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kinsoku/>
        <w:topLinePunct/>
        <w:autoSpaceDE/>
        <w:autoSpaceDN/>
        <w:ind w:left="0" w:leftChars="0" w:firstLine="0" w:firstLineChars="0"/>
        <w:rPr>
          <w:rFonts w:ascii="黑体" w:cs="黑体" w:eastAsia="黑体" w:hAnsi="黑体" w:hint="eastAsia"/>
          <w:highlight w:val="none"/>
          <w:lang w:val="en-US" w:eastAsia="zh-CN"/>
        </w:rPr>
      </w:pPr>
      <w:r>
        <w:rPr>
          <w:rFonts w:ascii="黑体" w:cs="黑体" w:eastAsia="黑体" w:hAnsi="黑体" w:hint="eastAsia"/>
          <w:highlight w:val="none"/>
          <w:lang w:val="en-US" w:eastAsia="zh-CN"/>
        </w:rPr>
        <w:t>附  件</w:t>
      </w:r>
    </w:p>
    <w:p>
      <w:pPr>
        <w:pStyle w:val="style0"/>
        <w:keepNext w:val="false"/>
        <w:keepLines w:val="false"/>
        <w:pageBreakBefore w:val="false"/>
        <w:widowControl w:val="false"/>
        <w:kinsoku/>
        <w:wordWrap/>
        <w:overflowPunct/>
        <w:topLinePunct/>
        <w:autoSpaceDE/>
        <w:autoSpaceDN/>
        <w:bidi w:val="false"/>
        <w:adjustRightInd w:val="false"/>
        <w:snapToGrid w:val="false"/>
        <w:spacing w:lineRule="exact" w:line="400"/>
        <w:ind w:left="0" w:leftChars="0" w:firstLine="0" w:firstLineChars="0"/>
        <w:textAlignment w:val="baseline"/>
        <w:rPr>
          <w:rFonts w:ascii="黑体" w:cs="黑体" w:eastAsia="黑体" w:hAnsi="黑体" w:hint="eastAsia"/>
          <w:highlight w:val="none"/>
          <w:lang w:val="en-US" w:eastAsia="zh-CN"/>
        </w:rPr>
      </w:pPr>
    </w:p>
    <w:p>
      <w:pPr>
        <w:pStyle w:val="style0"/>
        <w:keepNext w:val="false"/>
        <w:keepLines w:val="false"/>
        <w:pageBreakBefore w:val="false"/>
        <w:widowControl w:val="false"/>
        <w:kinsoku/>
        <w:wordWrap/>
        <w:overflowPunct/>
        <w:topLinePunct/>
        <w:autoSpaceDE/>
        <w:autoSpaceDN/>
        <w:bidi w:val="false"/>
        <w:adjustRightInd w:val="false"/>
        <w:snapToGrid w:val="false"/>
        <w:spacing w:lineRule="exact" w:line="400"/>
        <w:ind w:left="0" w:leftChars="0" w:firstLine="0" w:firstLineChars="0"/>
        <w:textAlignment w:val="baseline"/>
        <w:rPr>
          <w:rFonts w:ascii="黑体" w:cs="黑体" w:eastAsia="黑体" w:hAnsi="黑体" w:hint="eastAsia"/>
          <w:highlight w:val="none"/>
          <w:lang w:val="en-US" w:eastAsia="zh-CN"/>
        </w:rPr>
      </w:pPr>
    </w:p>
    <w:p>
      <w:pPr>
        <w:pStyle w:val="style1"/>
        <w:keepNext w:val="false"/>
        <w:keepLines w:val="false"/>
        <w:widowControl w:val="false"/>
        <w:topLinePunct/>
        <w:rPr>
          <w:rFonts w:ascii="方正小标宋简体" w:cs="方正小标宋简体" w:eastAsia="方正小标宋简体" w:hAnsi="方正小标宋简体" w:hint="eastAsia"/>
          <w:highlight w:val="none"/>
        </w:rPr>
      </w:pPr>
      <w:r>
        <w:rPr>
          <w:rFonts w:ascii="方正小标宋简体" w:cs="方正小标宋简体" w:eastAsia="方正小标宋简体" w:hAnsi="方正小标宋简体" w:hint="eastAsia"/>
          <w:highlight w:val="none"/>
        </w:rPr>
        <w:t>贵州省公路工程</w:t>
      </w:r>
    </w:p>
    <w:p>
      <w:pPr>
        <w:pStyle w:val="style1"/>
        <w:keepNext w:val="false"/>
        <w:keepLines w:val="false"/>
        <w:widowControl w:val="false"/>
        <w:topLinePunct/>
        <w:rPr>
          <w:rFonts w:ascii="方正小标宋简体" w:cs="方正小标宋简体" w:eastAsia="方正小标宋简体" w:hAnsi="方正小标宋简体" w:hint="eastAsia"/>
          <w:highlight w:val="none"/>
          <w:lang w:eastAsia="zh-CN"/>
        </w:rPr>
      </w:pPr>
      <w:r>
        <w:rPr>
          <w:rFonts w:ascii="方正小标宋简体" w:cs="方正小标宋简体" w:eastAsia="方正小标宋简体" w:hAnsi="方正小标宋简体" w:hint="eastAsia"/>
          <w:highlight w:val="none"/>
        </w:rPr>
        <w:t>从业单位省级信用评价</w:t>
      </w:r>
      <w:r>
        <w:rPr>
          <w:rFonts w:ascii="方正小标宋简体" w:cs="方正小标宋简体" w:eastAsia="方正小标宋简体" w:hAnsi="方正小标宋简体" w:hint="eastAsia"/>
          <w:highlight w:val="none"/>
          <w:lang w:eastAsia="zh-CN"/>
        </w:rPr>
        <w:t>指南（试行）</w:t>
      </w:r>
    </w:p>
    <w:bookmarkStart w:id="0" w:name="_GoBack"/>
    <w:bookmarkEnd w:id="0"/>
    <w:p>
      <w:pPr>
        <w:pStyle w:val="style2"/>
        <w:keepNext w:val="false"/>
        <w:keepLines w:val="false"/>
        <w:pageBreakBefore w:val="false"/>
        <w:widowControl w:val="false"/>
        <w:kinsoku/>
        <w:wordWrap/>
        <w:overflowPunct/>
        <w:topLinePunct/>
        <w:autoSpaceDE/>
        <w:autoSpaceDN/>
        <w:bidi w:val="false"/>
        <w:adjustRightInd/>
        <w:snapToGrid/>
        <w:spacing w:lineRule="exact" w:line="400"/>
        <w:textAlignment w:val="auto"/>
        <w:rPr>
          <w:rFonts w:ascii="仿宋_GB2312" w:cs="仿宋_GB2312" w:eastAsia="仿宋_GB2312" w:hAnsi="仿宋_GB2312" w:hint="eastAsia"/>
          <w:highlight w:val="none"/>
        </w:rPr>
      </w:pPr>
    </w:p>
    <w:p>
      <w:pPr>
        <w:pStyle w:val="style2"/>
        <w:keepNext w:val="false"/>
        <w:keepLines w:val="false"/>
        <w:widowControl w:val="false"/>
        <w:topLinePunct/>
        <w:rPr>
          <w:rFonts w:ascii="黑体" w:cs="黑体" w:eastAsia="黑体" w:hAnsi="黑体" w:hint="eastAsia"/>
          <w:highlight w:val="none"/>
        </w:rPr>
      </w:pPr>
      <w:r>
        <w:rPr>
          <w:rFonts w:ascii="黑体" w:cs="黑体" w:eastAsia="黑体" w:hAnsi="黑体" w:hint="eastAsia"/>
          <w:highlight w:val="none"/>
        </w:rPr>
        <w:t>第一章 总则</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为进一步</w:t>
      </w:r>
      <w:r>
        <w:rPr>
          <w:rFonts w:ascii="仿宋_GB2312" w:cs="仿宋_GB2312" w:eastAsia="仿宋_GB2312" w:hAnsi="仿宋_GB2312" w:hint="eastAsia"/>
          <w:highlight w:val="none"/>
          <w:lang w:eastAsia="zh-CN"/>
        </w:rPr>
        <w:t>细化贵州省公路工程从业单位省级信用评价</w:t>
      </w:r>
      <w:r>
        <w:rPr>
          <w:rFonts w:ascii="仿宋_GB2312" w:cs="仿宋_GB2312" w:eastAsia="仿宋_GB2312" w:hAnsi="仿宋_GB2312" w:hint="eastAsia"/>
          <w:highlight w:val="none"/>
        </w:rPr>
        <w:t>（以下简称省级信用评价）</w:t>
      </w:r>
      <w:r>
        <w:rPr>
          <w:rFonts w:ascii="仿宋_GB2312" w:cs="仿宋_GB2312" w:eastAsia="仿宋_GB2312" w:hAnsi="仿宋_GB2312" w:hint="eastAsia"/>
          <w:highlight w:val="none"/>
          <w:lang w:eastAsia="zh-CN"/>
        </w:rPr>
        <w:t>工作要求，明确评价流程，指导各监督管理部门、项目建设单位高效开展评价工作，</w:t>
      </w:r>
      <w:r>
        <w:rPr>
          <w:rFonts w:ascii="仿宋_GB2312" w:cs="仿宋_GB2312" w:eastAsia="仿宋_GB2312" w:hAnsi="仿宋_GB2312" w:hint="eastAsia"/>
          <w:highlight w:val="none"/>
        </w:rPr>
        <w:t>规范我省公路工程建设市场秩序，营造诚实守信的市场环境，制定本</w:t>
      </w:r>
      <w:r>
        <w:rPr>
          <w:rFonts w:ascii="仿宋_GB2312" w:cs="仿宋_GB2312" w:eastAsia="仿宋_GB2312" w:hAnsi="仿宋_GB2312" w:hint="eastAsia"/>
          <w:highlight w:val="none"/>
          <w:lang w:eastAsia="zh-CN"/>
        </w:rPr>
        <w:t>指南</w:t>
      </w:r>
      <w:r>
        <w:rPr>
          <w:rFonts w:ascii="仿宋_GB2312" w:cs="仿宋_GB2312" w:eastAsia="仿宋_GB2312" w:hAnsi="仿宋_GB2312" w:hint="eastAsia"/>
          <w:highlight w:val="none"/>
        </w:rPr>
        <w:t>。</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省级信用评价是指由贵州省交通运输厅组织相关单位依据有关评价标准及方法，通过量化方式对</w:t>
      </w:r>
      <w:r>
        <w:rPr>
          <w:rFonts w:ascii="仿宋_GB2312" w:cs="仿宋_GB2312" w:eastAsia="仿宋_GB2312" w:hAnsi="仿宋_GB2312" w:hint="eastAsia"/>
          <w:highlight w:val="none"/>
          <w:lang w:eastAsia="zh-CN"/>
        </w:rPr>
        <w:t>符合参评范围的</w:t>
      </w:r>
      <w:r>
        <w:rPr>
          <w:rFonts w:ascii="仿宋_GB2312" w:cs="仿宋_GB2312" w:eastAsia="仿宋_GB2312" w:hAnsi="仿宋_GB2312" w:hint="eastAsia"/>
          <w:highlight w:val="none"/>
        </w:rPr>
        <w:t>公路工程</w:t>
      </w:r>
      <w:r>
        <w:rPr>
          <w:rFonts w:ascii="仿宋_GB2312" w:cs="仿宋_GB2312" w:eastAsia="仿宋_GB2312" w:hAnsi="仿宋_GB2312" w:hint="eastAsia"/>
          <w:highlight w:val="none"/>
          <w:lang w:eastAsia="zh-CN"/>
        </w:rPr>
        <w:t>设计（含咨询，下同）、施工</w:t>
      </w:r>
      <w:r>
        <w:rPr>
          <w:rFonts w:ascii="仿宋_GB2312" w:cs="仿宋_GB2312" w:eastAsia="仿宋_GB2312" w:hAnsi="仿宋_GB2312" w:hint="eastAsia"/>
          <w:spacing w:val="-6"/>
          <w:highlight w:val="none"/>
        </w:rPr>
        <w:t>单位在贵州省内从业行为的评价。</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参与省级信用评价的从业单位应通过市场方式取得从业任务（包括</w:t>
      </w:r>
      <w:r>
        <w:rPr>
          <w:rFonts w:ascii="仿宋_GB2312" w:cs="仿宋_GB2312" w:eastAsia="仿宋_GB2312" w:hAnsi="仿宋_GB2312" w:hint="eastAsia"/>
          <w:highlight w:val="none"/>
          <w:lang w:eastAsia="zh-CN"/>
        </w:rPr>
        <w:t>通过公开招标取得</w:t>
      </w:r>
      <w:r>
        <w:rPr>
          <w:rFonts w:ascii="仿宋_GB2312" w:cs="仿宋_GB2312" w:eastAsia="仿宋_GB2312" w:hAnsi="仿宋_GB2312" w:hint="eastAsia"/>
          <w:highlight w:val="none"/>
          <w:lang w:val="en-US" w:eastAsia="zh-CN"/>
        </w:rPr>
        <w:t>项目投资人身份的政府和社会资本合作项目从业单位</w:t>
      </w:r>
      <w:r>
        <w:rPr>
          <w:rFonts w:ascii="仿宋_GB2312" w:cs="仿宋_GB2312" w:eastAsia="仿宋_GB2312" w:hAnsi="仿宋_GB2312" w:hint="eastAsia"/>
          <w:highlight w:val="none"/>
        </w:rPr>
        <w:t>）</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应具有与其承担从业任务匹配的相应资质</w:t>
      </w:r>
      <w:r>
        <w:rPr>
          <w:rFonts w:ascii="仿宋_GB2312" w:cs="仿宋_GB2312" w:eastAsia="仿宋_GB2312" w:hAnsi="仿宋_GB2312" w:hint="eastAsia"/>
          <w:highlight w:val="none"/>
          <w:lang w:eastAsia="zh-CN"/>
        </w:rPr>
        <w:t>。</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省级信用评价遵循客观、公平、公正、公开的原则，评价结果实行公示和公告制度。</w:t>
      </w:r>
    </w:p>
    <w:p>
      <w:pPr>
        <w:pStyle w:val="style2"/>
        <w:keepNext w:val="false"/>
        <w:keepLines w:val="false"/>
        <w:widowControl w:val="false"/>
        <w:topLinePunct/>
        <w:rPr>
          <w:rFonts w:ascii="黑体" w:cs="黑体" w:eastAsia="黑体" w:hAnsi="黑体" w:hint="eastAsia"/>
          <w:highlight w:val="none"/>
          <w:lang w:eastAsia="zh-CN"/>
        </w:rPr>
      </w:pPr>
      <w:r>
        <w:rPr>
          <w:rFonts w:ascii="黑体" w:cs="黑体" w:eastAsia="黑体" w:hAnsi="黑体" w:hint="eastAsia"/>
          <w:highlight w:val="none"/>
        </w:rPr>
        <w:t>第二章 评价</w:t>
      </w:r>
      <w:r>
        <w:rPr>
          <w:rFonts w:ascii="黑体" w:cs="黑体" w:eastAsia="黑体" w:hAnsi="黑体" w:hint="eastAsia"/>
          <w:highlight w:val="none"/>
          <w:lang w:eastAsia="zh-CN"/>
        </w:rPr>
        <w:t>分工</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厅建设养护管理处具体</w:t>
      </w:r>
      <w:r>
        <w:rPr>
          <w:rFonts w:ascii="仿宋_GB2312" w:cs="仿宋_GB2312" w:eastAsia="仿宋_GB2312" w:hAnsi="仿宋_GB2312" w:hint="eastAsia"/>
          <w:highlight w:val="none"/>
        </w:rPr>
        <w:t>实施省级信用评价</w:t>
      </w:r>
      <w:r>
        <w:rPr>
          <w:rFonts w:ascii="仿宋_GB2312" w:cs="仿宋_GB2312" w:eastAsia="仿宋_GB2312" w:hAnsi="仿宋_GB2312" w:hint="eastAsia"/>
          <w:highlight w:val="none"/>
          <w:lang w:eastAsia="zh-CN"/>
        </w:rPr>
        <w:t>工作并</w:t>
      </w:r>
      <w:r>
        <w:rPr>
          <w:rFonts w:ascii="仿宋_GB2312" w:cs="仿宋_GB2312" w:eastAsia="仿宋_GB2312" w:hAnsi="仿宋_GB2312" w:hint="eastAsia"/>
          <w:highlight w:val="none"/>
        </w:rPr>
        <w:t>发布评价结果</w:t>
      </w:r>
      <w:r>
        <w:rPr>
          <w:rFonts w:ascii="仿宋_GB2312" w:cs="仿宋_GB2312" w:eastAsia="仿宋_GB2312" w:hAnsi="仿宋_GB2312" w:hint="eastAsia"/>
          <w:highlight w:val="none"/>
          <w:lang w:eastAsia="zh-CN"/>
        </w:rPr>
        <w:t>，同时将省级综合信用评价结果报交通运输部纳入全国综合信用评价范畴。</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省公路局在每年</w:t>
      </w:r>
      <w:r>
        <w:rPr>
          <w:rFonts w:ascii="仿宋_GB2312" w:cs="仿宋_GB2312" w:eastAsia="仿宋_GB2312" w:hAnsi="仿宋_GB2312" w:hint="eastAsia"/>
          <w:highlight w:val="none"/>
          <w:lang w:val="en-US" w:eastAsia="zh-CN"/>
        </w:rPr>
        <w:t>2月底</w:t>
      </w:r>
      <w:r>
        <w:rPr>
          <w:rFonts w:ascii="仿宋_GB2312" w:cs="仿宋_GB2312" w:eastAsia="仿宋_GB2312" w:hAnsi="仿宋_GB2312" w:hint="eastAsia"/>
          <w:highlight w:val="none"/>
        </w:rPr>
        <w:t>前提交普通国省道项目设计、施工单位信用评价结果纳入</w:t>
      </w:r>
      <w:r>
        <w:rPr>
          <w:rFonts w:ascii="仿宋_GB2312" w:cs="仿宋_GB2312" w:eastAsia="仿宋_GB2312" w:hAnsi="仿宋_GB2312" w:hint="eastAsia"/>
          <w:highlight w:val="none"/>
          <w:lang w:eastAsia="zh-CN"/>
        </w:rPr>
        <w:t>省级</w:t>
      </w:r>
      <w:r>
        <w:rPr>
          <w:rFonts w:ascii="仿宋_GB2312" w:cs="仿宋_GB2312" w:eastAsia="仿宋_GB2312" w:hAnsi="仿宋_GB2312" w:hint="eastAsia"/>
          <w:highlight w:val="none"/>
        </w:rPr>
        <w:t>综合信用评价计分范畴。</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省交通执法监督局</w:t>
      </w:r>
      <w:r>
        <w:rPr>
          <w:rFonts w:ascii="仿宋_GB2312" w:cs="仿宋_GB2312" w:eastAsia="仿宋_GB2312" w:hAnsi="仿宋_GB2312" w:hint="eastAsia"/>
          <w:highlight w:val="none"/>
          <w:lang w:eastAsia="zh-CN"/>
        </w:rPr>
        <w:t>质监支队负责</w:t>
      </w:r>
      <w:r>
        <w:rPr>
          <w:rFonts w:ascii="仿宋_GB2312" w:cs="仿宋_GB2312" w:eastAsia="仿宋_GB2312" w:hAnsi="仿宋_GB2312" w:hint="eastAsia"/>
          <w:highlight w:val="none"/>
        </w:rPr>
        <w:t>按季度对高速公路施工单位</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机电专业</w:t>
      </w:r>
      <w:r>
        <w:rPr>
          <w:rFonts w:ascii="仿宋_GB2312" w:cs="仿宋_GB2312" w:eastAsia="仿宋_GB2312" w:hAnsi="仿宋_GB2312" w:hint="eastAsia"/>
          <w:highlight w:val="none"/>
          <w:lang w:eastAsia="zh-CN"/>
        </w:rPr>
        <w:t>除</w:t>
      </w:r>
      <w:r>
        <w:rPr>
          <w:rFonts w:ascii="仿宋_GB2312" w:cs="仿宋_GB2312" w:eastAsia="仿宋_GB2312" w:hAnsi="仿宋_GB2312" w:hint="eastAsia"/>
          <w:highlight w:val="none"/>
        </w:rPr>
        <w:t>外</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履约失信行为记录进行复核认定。</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省交通造价中心</w:t>
      </w:r>
      <w:r>
        <w:rPr>
          <w:rFonts w:ascii="仿宋_GB2312" w:cs="仿宋_GB2312" w:eastAsia="仿宋_GB2312" w:hAnsi="仿宋_GB2312" w:hint="eastAsia"/>
          <w:highlight w:val="none"/>
          <w:lang w:eastAsia="zh-CN"/>
        </w:rPr>
        <w:t>负责</w:t>
      </w:r>
      <w:r>
        <w:rPr>
          <w:rFonts w:ascii="仿宋_GB2312" w:cs="仿宋_GB2312" w:eastAsia="仿宋_GB2312" w:hAnsi="仿宋_GB2312" w:hint="eastAsia"/>
          <w:highlight w:val="none"/>
        </w:rPr>
        <w:t>按季度对高速公路设计单位履约失信行为记录进行复核认定。</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省路网中心</w:t>
      </w:r>
      <w:r>
        <w:rPr>
          <w:rFonts w:ascii="仿宋_GB2312" w:cs="仿宋_GB2312" w:eastAsia="仿宋_GB2312" w:hAnsi="仿宋_GB2312" w:hint="eastAsia"/>
          <w:highlight w:val="none"/>
          <w:lang w:eastAsia="zh-CN"/>
        </w:rPr>
        <w:t>负责</w:t>
      </w:r>
      <w:r>
        <w:rPr>
          <w:rFonts w:ascii="仿宋_GB2312" w:cs="仿宋_GB2312" w:eastAsia="仿宋_GB2312" w:hAnsi="仿宋_GB2312" w:hint="eastAsia"/>
          <w:highlight w:val="none"/>
        </w:rPr>
        <w:t>按季度对高速公路机电专业施工单位履约失信行为记录进行复核认定</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负责</w:t>
      </w:r>
      <w:r>
        <w:rPr>
          <w:rFonts w:ascii="仿宋_GB2312" w:cs="仿宋_GB2312" w:eastAsia="仿宋_GB2312" w:hAnsi="仿宋_GB2312" w:hint="eastAsia"/>
          <w:highlight w:val="none"/>
          <w:lang w:eastAsia="zh-CN"/>
        </w:rPr>
        <w:t>信用评价</w:t>
      </w:r>
      <w:r>
        <w:rPr>
          <w:rFonts w:ascii="仿宋_GB2312" w:cs="仿宋_GB2312" w:eastAsia="仿宋_GB2312" w:hAnsi="仿宋_GB2312" w:hint="eastAsia"/>
          <w:highlight w:val="none"/>
        </w:rPr>
        <w:t>系统的建设及日常维护，为信用评价工作提供技术保障。</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省交通运输厅</w:t>
      </w:r>
      <w:r>
        <w:rPr>
          <w:rFonts w:ascii="仿宋_GB2312" w:cs="仿宋_GB2312" w:eastAsia="仿宋_GB2312" w:hAnsi="仿宋_GB2312" w:hint="eastAsia"/>
          <w:highlight w:val="none"/>
          <w:lang w:eastAsia="zh-CN"/>
        </w:rPr>
        <w:t>建养处、安监处、规划处、审计处、办公室等相关处室会同相关质量监督、造价管理部门依据自身职责及日常监管情况，对高速公路在建项目的投资、进度、安全、质量、信访、审计、造价执行情况等进行综合考核等次评定</w:t>
      </w:r>
      <w:r>
        <w:rPr>
          <w:rFonts w:ascii="仿宋_GB2312" w:cs="仿宋_GB2312" w:eastAsia="仿宋_GB2312" w:hAnsi="仿宋_GB2312" w:hint="eastAsia"/>
          <w:highlight w:val="none"/>
        </w:rPr>
        <w:t>。</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厅相关处室</w:t>
      </w:r>
      <w:r>
        <w:rPr>
          <w:rFonts w:ascii="仿宋_GB2312" w:cs="仿宋_GB2312" w:eastAsia="仿宋_GB2312" w:hAnsi="仿宋_GB2312" w:hint="eastAsia"/>
          <w:highlight w:val="none"/>
        </w:rPr>
        <w:t>、省公路局、省交通执法监督局、省交通造价中心、省路网中心、各市（州）交通运输局（委）等评价主体依据各自监管职责</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及时</w:t>
      </w:r>
      <w:r>
        <w:rPr>
          <w:rFonts w:ascii="仿宋_GB2312" w:cs="仿宋_GB2312" w:eastAsia="仿宋_GB2312" w:hAnsi="仿宋_GB2312" w:hint="eastAsia"/>
          <w:highlight w:val="none"/>
          <w:lang w:eastAsia="zh-CN"/>
        </w:rPr>
        <w:t>对从业单位发生的</w:t>
      </w:r>
      <w:r>
        <w:rPr>
          <w:rFonts w:ascii="仿宋_GB2312" w:cs="仿宋_GB2312" w:eastAsia="仿宋_GB2312" w:hAnsi="仿宋_GB2312" w:hint="eastAsia"/>
          <w:highlight w:val="none"/>
        </w:rPr>
        <w:t>直接定级</w:t>
      </w:r>
      <w:r>
        <w:rPr>
          <w:rFonts w:ascii="仿宋_GB2312" w:cs="仿宋_GB2312" w:eastAsia="仿宋_GB2312" w:hAnsi="仿宋_GB2312" w:hint="eastAsia"/>
          <w:highlight w:val="none"/>
          <w:lang w:eastAsia="zh-CN"/>
        </w:rPr>
        <w:t>行为</w:t>
      </w:r>
      <w:r>
        <w:rPr>
          <w:rFonts w:ascii="仿宋_GB2312" w:cs="仿宋_GB2312" w:eastAsia="仿宋_GB2312" w:hAnsi="仿宋_GB2312" w:hint="eastAsia"/>
          <w:highlight w:val="none"/>
        </w:rPr>
        <w:t>开展动态评价，并</w:t>
      </w:r>
      <w:r>
        <w:rPr>
          <w:rFonts w:ascii="仿宋_GB2312" w:cs="仿宋_GB2312" w:eastAsia="仿宋_GB2312" w:hAnsi="仿宋_GB2312" w:hint="eastAsia"/>
          <w:highlight w:val="none"/>
          <w:lang w:eastAsia="zh-CN"/>
        </w:rPr>
        <w:t>在定期评价时</w:t>
      </w:r>
      <w:r>
        <w:rPr>
          <w:rFonts w:ascii="仿宋_GB2312" w:cs="仿宋_GB2312" w:eastAsia="仿宋_GB2312" w:hAnsi="仿宋_GB2312" w:hint="eastAsia"/>
          <w:highlight w:val="none"/>
        </w:rPr>
        <w:t>对从业单位的总分扣除</w:t>
      </w:r>
      <w:r>
        <w:rPr>
          <w:rFonts w:ascii="仿宋_GB2312" w:cs="仿宋_GB2312" w:eastAsia="仿宋_GB2312" w:hAnsi="仿宋_GB2312" w:hint="eastAsia"/>
          <w:highlight w:val="none"/>
          <w:lang w:eastAsia="zh-CN"/>
        </w:rPr>
        <w:t>行为</w:t>
      </w:r>
      <w:r>
        <w:rPr>
          <w:rFonts w:ascii="仿宋_GB2312" w:cs="仿宋_GB2312" w:eastAsia="仿宋_GB2312" w:hAnsi="仿宋_GB2312" w:hint="eastAsia"/>
          <w:highlight w:val="none"/>
        </w:rPr>
        <w:t>进行评价。</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项目建设单位或招标人负责参评项目有关信用评价基础信息的采集录入及动态更新</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督促、指导参评项目从业单位按要求参加信用评价</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结合日常建设管理情况，建立从业单位履约行为信用信息台账，按季度填报从业单位履约失信行为记录</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按要求开展从业单位投标行为及履约行为评价</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按规定应用交通运输主管部门发布的最新信用评价结果。</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参评从业单位应</w:t>
      </w:r>
      <w:r>
        <w:rPr>
          <w:rFonts w:ascii="仿宋_GB2312" w:cs="仿宋_GB2312" w:eastAsia="仿宋_GB2312" w:hAnsi="仿宋_GB2312" w:hint="eastAsia"/>
          <w:spacing w:val="-6"/>
          <w:highlight w:val="none"/>
        </w:rPr>
        <w:t>及时录入并更新企业基础信息，并对基础信息的真实性、准确性、合规性负责；</w:t>
      </w:r>
      <w:r>
        <w:rPr>
          <w:rFonts w:ascii="仿宋_GB2312" w:cs="仿宋_GB2312" w:eastAsia="仿宋_GB2312" w:hAnsi="仿宋_GB2312" w:hint="eastAsia"/>
          <w:highlight w:val="none"/>
        </w:rPr>
        <w:t>及时接收、查阅项目建设单位、各级交通运输主管部门及相关监督管理部门推送的企业具体评价扣分情况；有权依程序提出异议或申诉。</w:t>
      </w:r>
    </w:p>
    <w:p>
      <w:pPr>
        <w:pStyle w:val="style2"/>
        <w:keepNext w:val="false"/>
        <w:keepLines w:val="false"/>
        <w:widowControl w:val="false"/>
        <w:topLinePunct/>
        <w:rPr>
          <w:rFonts w:ascii="黑体" w:cs="黑体" w:eastAsia="黑体" w:hAnsi="黑体" w:hint="eastAsia"/>
          <w:highlight w:val="none"/>
        </w:rPr>
      </w:pPr>
      <w:r>
        <w:rPr>
          <w:rFonts w:ascii="黑体" w:cs="黑体" w:eastAsia="黑体" w:hAnsi="黑体" w:hint="eastAsia"/>
          <w:highlight w:val="none"/>
        </w:rPr>
        <w:t>第三章 评价对象</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纳入省级信用评价的对象一般包括评价年度内参与省</w:t>
      </w:r>
      <w:r>
        <w:rPr>
          <w:rFonts w:ascii="仿宋_GB2312" w:cs="仿宋_GB2312" w:eastAsia="仿宋_GB2312" w:hAnsi="仿宋_GB2312" w:hint="eastAsia"/>
          <w:highlight w:val="none"/>
          <w:lang w:eastAsia="zh-CN"/>
        </w:rPr>
        <w:t>内</w:t>
      </w:r>
      <w:r>
        <w:rPr>
          <w:rFonts w:ascii="仿宋_GB2312" w:cs="仿宋_GB2312" w:eastAsia="仿宋_GB2312" w:hAnsi="仿宋_GB2312" w:hint="eastAsia"/>
          <w:highlight w:val="none"/>
        </w:rPr>
        <w:t>投标或承揽</w:t>
      </w:r>
      <w:r>
        <w:rPr>
          <w:rFonts w:ascii="仿宋_GB2312" w:cs="仿宋_GB2312" w:eastAsia="仿宋_GB2312" w:hAnsi="仿宋_GB2312" w:hint="eastAsia"/>
          <w:highlight w:val="none"/>
          <w:lang w:eastAsia="zh-CN"/>
        </w:rPr>
        <w:t>省内</w:t>
      </w:r>
      <w:r>
        <w:rPr>
          <w:rFonts w:ascii="仿宋_GB2312" w:cs="仿宋_GB2312" w:eastAsia="仿宋_GB2312" w:hAnsi="仿宋_GB2312" w:hint="eastAsia"/>
          <w:highlight w:val="none"/>
        </w:rPr>
        <w:t>公路市场相关业务的以下从业单位：</w:t>
      </w:r>
    </w:p>
    <w:p>
      <w:pPr>
        <w:pStyle w:val="style0"/>
        <w:widowControl w:val="false"/>
        <w:numPr>
          <w:ilvl w:val="0"/>
          <w:numId w:val="2"/>
        </w:numPr>
        <w:kinsoku/>
        <w:topLinePunct/>
        <w:autoSpaceDE/>
        <w:autoSpaceDN/>
        <w:ind w:left="640" w:leftChars="0" w:firstLine="0" w:firstLineChars="0"/>
        <w:rPr>
          <w:rFonts w:ascii="仿宋_GB2312" w:cs="仿宋_GB2312" w:eastAsia="仿宋_GB2312" w:hAnsi="仿宋_GB2312" w:hint="eastAsia"/>
          <w:highlight w:val="none"/>
          <w:lang w:eastAsia="zh-CN"/>
        </w:rPr>
      </w:pPr>
      <w:r>
        <w:rPr>
          <w:rFonts w:ascii="仿宋_GB2312" w:cs="仿宋_GB2312" w:eastAsia="仿宋_GB2312" w:hAnsi="仿宋_GB2312" w:hint="eastAsia"/>
          <w:highlight w:val="none"/>
        </w:rPr>
        <w:t>参与贵州省内高速公路</w:t>
      </w:r>
      <w:r>
        <w:rPr>
          <w:rFonts w:ascii="仿宋_GB2312" w:cs="仿宋_GB2312" w:eastAsia="仿宋_GB2312" w:hAnsi="仿宋_GB2312" w:hint="eastAsia"/>
          <w:highlight w:val="none"/>
          <w:lang w:eastAsia="zh-CN"/>
        </w:rPr>
        <w:t>项目</w:t>
      </w:r>
      <w:r>
        <w:rPr>
          <w:rFonts w:ascii="仿宋_GB2312" w:cs="仿宋_GB2312" w:eastAsia="仿宋_GB2312" w:hAnsi="仿宋_GB2312" w:hint="eastAsia"/>
          <w:highlight w:val="none"/>
        </w:rPr>
        <w:t>投标并发生失信行为的从业单位</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（二）</w:t>
      </w:r>
      <w:r>
        <w:rPr>
          <w:rFonts w:ascii="仿宋_GB2312" w:cs="仿宋_GB2312" w:eastAsia="仿宋_GB2312" w:hAnsi="仿宋_GB2312" w:hint="eastAsia"/>
          <w:highlight w:val="none"/>
        </w:rPr>
        <w:t>高速公路项目的设计、施工单位</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（三）其他</w:t>
      </w:r>
      <w:r>
        <w:rPr>
          <w:rFonts w:ascii="仿宋_GB2312" w:cs="仿宋_GB2312" w:eastAsia="仿宋_GB2312" w:hAnsi="仿宋_GB2312" w:hint="eastAsia"/>
          <w:highlight w:val="none"/>
        </w:rPr>
        <w:t>发生与</w:t>
      </w:r>
      <w:r>
        <w:rPr>
          <w:rFonts w:ascii="仿宋_GB2312" w:cs="仿宋_GB2312" w:eastAsia="仿宋_GB2312" w:hAnsi="仿宋_GB2312" w:hint="eastAsia"/>
          <w:highlight w:val="none"/>
          <w:lang w:eastAsia="zh-CN"/>
        </w:rPr>
        <w:t>贵州省内</w:t>
      </w:r>
      <w:r>
        <w:rPr>
          <w:rFonts w:ascii="仿宋_GB2312" w:cs="仿宋_GB2312" w:eastAsia="仿宋_GB2312" w:hAnsi="仿宋_GB2312" w:hint="eastAsia"/>
          <w:highlight w:val="none"/>
        </w:rPr>
        <w:t>公路建设相关的严重失信行为（</w:t>
      </w:r>
      <w:r>
        <w:rPr>
          <w:rFonts w:ascii="仿宋_GB2312" w:cs="仿宋_GB2312" w:eastAsia="仿宋_GB2312" w:hAnsi="仿宋_GB2312" w:hint="eastAsia"/>
          <w:highlight w:val="none"/>
          <w:lang w:eastAsia="zh-CN"/>
        </w:rPr>
        <w:t>含</w:t>
      </w:r>
      <w:r>
        <w:rPr>
          <w:rFonts w:ascii="仿宋_GB2312" w:cs="仿宋_GB2312" w:eastAsia="仿宋_GB2312" w:hAnsi="仿宋_GB2312" w:hint="eastAsia"/>
          <w:highlight w:val="none"/>
        </w:rPr>
        <w:t>涉路施工等）且具有公路行业相关设计、施工资质的从业单位。</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评价年度内未参与省内投标或承揽省内公路市场相关业务，</w:t>
      </w:r>
      <w:r>
        <w:rPr>
          <w:rFonts w:ascii="仿宋_GB2312" w:cs="仿宋_GB2312" w:eastAsia="仿宋_GB2312" w:hAnsi="仿宋_GB2312" w:hint="eastAsia"/>
          <w:highlight w:val="none"/>
        </w:rPr>
        <w:t>但</w:t>
      </w:r>
      <w:r>
        <w:rPr>
          <w:rFonts w:ascii="仿宋_GB2312" w:cs="仿宋_GB2312" w:eastAsia="仿宋_GB2312" w:hAnsi="仿宋_GB2312" w:hint="eastAsia"/>
          <w:highlight w:val="none"/>
          <w:lang w:eastAsia="zh-CN"/>
        </w:rPr>
        <w:t>暴露出</w:t>
      </w:r>
      <w:r>
        <w:rPr>
          <w:rFonts w:ascii="仿宋_GB2312" w:cs="仿宋_GB2312" w:eastAsia="仿宋_GB2312" w:hAnsi="仿宋_GB2312" w:hint="eastAsia"/>
          <w:highlight w:val="none"/>
        </w:rPr>
        <w:t>与从业单位实施的既往公路项目相关失信行为的从业单位，作为评价对象</w:t>
      </w:r>
      <w:r>
        <w:rPr>
          <w:rFonts w:ascii="仿宋_GB2312" w:cs="仿宋_GB2312" w:eastAsia="仿宋_GB2312" w:hAnsi="仿宋_GB2312" w:hint="eastAsia"/>
          <w:highlight w:val="none"/>
          <w:lang w:eastAsia="zh-CN"/>
        </w:rPr>
        <w:t>纳入评价年度信用评价</w:t>
      </w:r>
      <w:r>
        <w:rPr>
          <w:rFonts w:ascii="仿宋_GB2312" w:cs="仿宋_GB2312" w:eastAsia="仿宋_GB2312" w:hAnsi="仿宋_GB2312" w:hint="eastAsia"/>
          <w:highlight w:val="none"/>
        </w:rPr>
        <w:t>。</w:t>
      </w:r>
      <w:r>
        <w:rPr>
          <w:rFonts w:ascii="仿宋_GB2312" w:cs="仿宋_GB2312" w:eastAsia="仿宋_GB2312" w:hAnsi="仿宋_GB2312" w:hint="eastAsia"/>
          <w:highlight w:val="none"/>
          <w:lang w:eastAsia="zh-CN"/>
        </w:rPr>
        <w:t>此类</w:t>
      </w:r>
      <w:r>
        <w:rPr>
          <w:rFonts w:ascii="仿宋_GB2312" w:cs="仿宋_GB2312" w:eastAsia="仿宋_GB2312" w:hAnsi="仿宋_GB2312" w:hint="eastAsia"/>
          <w:highlight w:val="none"/>
        </w:rPr>
        <w:t>失信行为包括但不限于以下情形，以附件中的行为评定标准为依据：</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spacing w:val="-6"/>
          <w:highlight w:val="none"/>
          <w:lang w:val="en-US" w:eastAsia="zh-CN"/>
        </w:rPr>
        <w:t xml:space="preserve">    </w:t>
      </w:r>
      <w:r>
        <w:rPr>
          <w:rFonts w:ascii="仿宋_GB2312" w:cs="仿宋_GB2312" w:eastAsia="仿宋_GB2312" w:hAnsi="仿宋_GB2312" w:hint="eastAsia"/>
          <w:spacing w:val="-6"/>
          <w:highlight w:val="none"/>
          <w:lang w:eastAsia="zh-CN"/>
        </w:rPr>
        <w:t>（一）</w:t>
      </w:r>
      <w:r>
        <w:rPr>
          <w:rFonts w:ascii="仿宋_GB2312" w:cs="仿宋_GB2312" w:eastAsia="仿宋_GB2312" w:hAnsi="仿宋_GB2312" w:hint="eastAsia"/>
          <w:spacing w:val="-6"/>
          <w:highlight w:val="none"/>
        </w:rPr>
        <w:t>因从业单位自身原因，导致未能按合同、计划或相关监管部门要求进场开工或施工进度严重滞后的</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（二）</w:t>
      </w:r>
      <w:r>
        <w:rPr>
          <w:rFonts w:ascii="仿宋_GB2312" w:cs="仿宋_GB2312" w:eastAsia="仿宋_GB2312" w:hAnsi="仿宋_GB2312" w:hint="eastAsia"/>
          <w:highlight w:val="none"/>
        </w:rPr>
        <w:t>设计或施工的工程发生较大及以上质量安全生产责任事故的</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spacing w:val="-6"/>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（三）</w:t>
      </w:r>
      <w:r>
        <w:rPr>
          <w:rFonts w:ascii="仿宋_GB2312" w:cs="仿宋_GB2312" w:eastAsia="仿宋_GB2312" w:hAnsi="仿宋_GB2312" w:hint="eastAsia"/>
          <w:highlight w:val="none"/>
        </w:rPr>
        <w:t>不积极配合项目建设单位开展交工验收的，或质量缺陷责任期内不积极履行缺陷处治整改责任的，或不积极配合交通运输主管部门开展竣工验收的</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spacing w:val="-6"/>
          <w:highlight w:val="none"/>
          <w:lang w:val="en-US" w:eastAsia="zh-CN"/>
        </w:rPr>
        <w:t xml:space="preserve">    </w:t>
      </w:r>
      <w:r>
        <w:rPr>
          <w:rFonts w:ascii="仿宋_GB2312" w:cs="仿宋_GB2312" w:eastAsia="仿宋_GB2312" w:hAnsi="仿宋_GB2312" w:hint="eastAsia"/>
          <w:spacing w:val="-6"/>
          <w:highlight w:val="none"/>
          <w:lang w:eastAsia="zh-CN"/>
        </w:rPr>
        <w:t>（四）</w:t>
      </w:r>
      <w:r>
        <w:rPr>
          <w:rFonts w:ascii="仿宋_GB2312" w:cs="仿宋_GB2312" w:eastAsia="仿宋_GB2312" w:hAnsi="仿宋_GB2312" w:hint="eastAsia"/>
          <w:spacing w:val="-6"/>
          <w:highlight w:val="none"/>
        </w:rPr>
        <w:t>因已完工程相关的原因包括但不限于恶意拖欠工程款、农民工工资、材料款等造成群体性事件引发不良社会影响的</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（五）</w:t>
      </w:r>
      <w:r>
        <w:rPr>
          <w:rFonts w:ascii="仿宋_GB2312" w:cs="仿宋_GB2312" w:eastAsia="仿宋_GB2312" w:hAnsi="仿宋_GB2312" w:hint="eastAsia"/>
          <w:highlight w:val="none"/>
        </w:rPr>
        <w:t>无正当理由拒绝参与交通运输主管部门组织的应急抢险任务的</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（六）</w:t>
      </w:r>
      <w:r>
        <w:rPr>
          <w:rFonts w:ascii="仿宋_GB2312" w:cs="仿宋_GB2312" w:eastAsia="仿宋_GB2312" w:hAnsi="仿宋_GB2312" w:hint="eastAsia"/>
          <w:highlight w:val="none"/>
        </w:rPr>
        <w:t>被各级交通运输主管部门及行业监督管理部门查实存在违法违规问题而受到通报批评或行政处罚的</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（七）</w:t>
      </w:r>
      <w:r>
        <w:rPr>
          <w:rFonts w:ascii="仿宋_GB2312" w:cs="仿宋_GB2312" w:eastAsia="仿宋_GB2312" w:hAnsi="仿宋_GB2312" w:hint="eastAsia"/>
          <w:highlight w:val="none"/>
        </w:rPr>
        <w:t>因既往在黔从业行为被投诉举报受到查处的</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（八）因施工单位自身原因，导致行业主管部门被行政复议、起诉的；</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（九）</w:t>
      </w:r>
      <w:r>
        <w:rPr>
          <w:rFonts w:ascii="仿宋_GB2312" w:cs="仿宋_GB2312" w:eastAsia="仿宋_GB2312" w:hAnsi="仿宋_GB2312" w:hint="eastAsia"/>
          <w:highlight w:val="none"/>
        </w:rPr>
        <w:t>设计企业后期服务履职不到位的。</w:t>
      </w:r>
    </w:p>
    <w:p>
      <w:pPr>
        <w:pStyle w:val="style2"/>
        <w:keepNext w:val="false"/>
        <w:keepLines w:val="false"/>
        <w:widowControl w:val="false"/>
        <w:topLinePunct/>
        <w:rPr>
          <w:rFonts w:ascii="黑体" w:cs="黑体" w:eastAsia="黑体" w:hAnsi="黑体" w:hint="eastAsia"/>
          <w:highlight w:val="none"/>
        </w:rPr>
      </w:pPr>
      <w:r>
        <w:rPr>
          <w:rFonts w:ascii="黑体" w:cs="黑体" w:eastAsia="黑体" w:hAnsi="黑体" w:hint="eastAsia"/>
          <w:highlight w:val="none"/>
        </w:rPr>
        <w:t>第四章 评价方式及标准</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省级信用评价实行定期评价和动态评价相结合的方式：</w:t>
      </w:r>
    </w:p>
    <w:p>
      <w:pPr>
        <w:pStyle w:val="style0"/>
        <w:widowControl w:val="false"/>
        <w:numPr>
          <w:ilvl w:val="0"/>
          <w:numId w:val="0"/>
        </w:numPr>
        <w:kinsoku/>
        <w:topLinePunct/>
        <w:autoSpaceDE/>
        <w:autoSpaceDN/>
        <w:rPr>
          <w:rFonts w:ascii="仿宋_GB2312" w:cs="仿宋_GB2312" w:eastAsia="仿宋_GB2312" w:hAnsi="仿宋_GB2312" w:hint="eastAsia"/>
          <w:highlight w:val="none"/>
          <w:lang w:eastAsia="zh-CN"/>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（一）</w:t>
      </w:r>
      <w:r>
        <w:rPr>
          <w:rFonts w:ascii="仿宋_GB2312" w:cs="仿宋_GB2312" w:eastAsia="仿宋_GB2312" w:hAnsi="仿宋_GB2312" w:hint="eastAsia"/>
          <w:highlight w:val="none"/>
        </w:rPr>
        <w:t>定期评价是对从业单位在评价年度（1月1日至12月31日）内的从业行为开展的周期性评价</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一般在次年第一季度进</w:t>
      </w:r>
      <w:r>
        <w:rPr>
          <w:rFonts w:ascii="仿宋_GB2312" w:cs="仿宋_GB2312" w:eastAsia="仿宋_GB2312" w:hAnsi="仿宋_GB2312" w:hint="eastAsia"/>
          <w:highlight w:val="none"/>
          <w:lang w:eastAsia="zh-CN"/>
        </w:rPr>
        <w:t>行；</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（二）</w:t>
      </w:r>
      <w:r>
        <w:rPr>
          <w:rFonts w:ascii="仿宋_GB2312" w:cs="仿宋_GB2312" w:eastAsia="仿宋_GB2312" w:hAnsi="仿宋_GB2312" w:hint="eastAsia"/>
          <w:highlight w:val="none"/>
        </w:rPr>
        <w:t>动态评价是各建设单位、监</w:t>
      </w:r>
      <w:r>
        <w:rPr>
          <w:rFonts w:ascii="仿宋_GB2312" w:cs="仿宋_GB2312" w:eastAsia="仿宋_GB2312" w:hAnsi="仿宋_GB2312" w:hint="eastAsia"/>
          <w:highlight w:val="none"/>
          <w:lang w:eastAsia="zh-CN"/>
        </w:rPr>
        <w:t>督</w:t>
      </w:r>
      <w:r>
        <w:rPr>
          <w:rFonts w:ascii="仿宋_GB2312" w:cs="仿宋_GB2312" w:eastAsia="仿宋_GB2312" w:hAnsi="仿宋_GB2312" w:hint="eastAsia"/>
          <w:highlight w:val="none"/>
        </w:rPr>
        <w:t>管</w:t>
      </w:r>
      <w:r>
        <w:rPr>
          <w:rFonts w:ascii="仿宋_GB2312" w:cs="仿宋_GB2312" w:eastAsia="仿宋_GB2312" w:hAnsi="仿宋_GB2312" w:hint="eastAsia"/>
          <w:highlight w:val="none"/>
          <w:lang w:eastAsia="zh-CN"/>
        </w:rPr>
        <w:t>理</w:t>
      </w:r>
      <w:r>
        <w:rPr>
          <w:rFonts w:ascii="仿宋_GB2312" w:cs="仿宋_GB2312" w:eastAsia="仿宋_GB2312" w:hAnsi="仿宋_GB2312" w:hint="eastAsia"/>
          <w:highlight w:val="none"/>
        </w:rPr>
        <w:t>部门及时上报从业单位发生的直接被评价为D级的严重失信行为，由省交通运输厅确认并实时公布生效的评价过程。动态评价相关事由不再纳入相应年度的定期评价扣分。</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省级信用评价分为设计、施工</w:t>
      </w:r>
      <w:r>
        <w:rPr>
          <w:rFonts w:ascii="仿宋_GB2312" w:cs="仿宋_GB2312" w:eastAsia="仿宋_GB2312" w:hAnsi="仿宋_GB2312" w:hint="eastAsia"/>
          <w:highlight w:val="none"/>
          <w:lang w:eastAsia="zh-CN"/>
        </w:rPr>
        <w:t>两</w:t>
      </w:r>
      <w:r>
        <w:rPr>
          <w:rFonts w:ascii="仿宋_GB2312" w:cs="仿宋_GB2312" w:eastAsia="仿宋_GB2312" w:hAnsi="仿宋_GB2312" w:hint="eastAsia"/>
          <w:highlight w:val="none"/>
        </w:rPr>
        <w:t>个序列，分别</w:t>
      </w:r>
      <w:r>
        <w:rPr>
          <w:rFonts w:ascii="仿宋_GB2312" w:cs="仿宋_GB2312" w:eastAsia="仿宋_GB2312" w:hAnsi="仿宋_GB2312" w:hint="eastAsia"/>
          <w:highlight w:val="none"/>
          <w:lang w:eastAsia="zh-CN"/>
        </w:rPr>
        <w:t>按</w:t>
      </w:r>
      <w:r>
        <w:rPr>
          <w:rFonts w:ascii="仿宋_GB2312" w:cs="仿宋_GB2312" w:eastAsia="仿宋_GB2312" w:hAnsi="仿宋_GB2312" w:hint="eastAsia"/>
          <w:highlight w:val="none"/>
        </w:rPr>
        <w:t>公路设计单位信用行为评定标准（附件1）、公路施工单位信用行为评定标准（附件2）</w:t>
      </w:r>
      <w:r>
        <w:rPr>
          <w:rFonts w:ascii="仿宋_GB2312" w:cs="仿宋_GB2312" w:eastAsia="仿宋_GB2312" w:hAnsi="仿宋_GB2312" w:hint="eastAsia"/>
          <w:highlight w:val="none"/>
          <w:lang w:eastAsia="zh-CN"/>
        </w:rPr>
        <w:t>执行</w:t>
      </w:r>
      <w:r>
        <w:rPr>
          <w:rFonts w:ascii="仿宋_GB2312" w:cs="仿宋_GB2312" w:eastAsia="仿宋_GB2312" w:hAnsi="仿宋_GB2312" w:hint="eastAsia"/>
          <w:highlight w:val="none"/>
        </w:rPr>
        <w:t>。</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设计序列定期评价标准：</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（一）</w:t>
      </w:r>
      <w:r>
        <w:rPr>
          <w:rFonts w:ascii="仿宋_GB2312" w:cs="仿宋_GB2312" w:eastAsia="仿宋_GB2312" w:hAnsi="仿宋_GB2312" w:hint="eastAsia"/>
          <w:highlight w:val="none"/>
        </w:rPr>
        <w:t>评价不分专业</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（二）</w:t>
      </w:r>
      <w:r>
        <w:rPr>
          <w:rFonts w:ascii="仿宋_GB2312" w:cs="仿宋_GB2312" w:eastAsia="仿宋_GB2312" w:hAnsi="仿宋_GB2312" w:hint="eastAsia"/>
          <w:highlight w:val="none"/>
        </w:rPr>
        <w:t>在评价年度内完成以下任一工作节点的勘察设计项目，纳入设计单位信用评价</w:t>
      </w:r>
      <w:r>
        <w:rPr>
          <w:rFonts w:ascii="仿宋_GB2312" w:cs="仿宋_GB2312" w:eastAsia="仿宋_GB2312" w:hAnsi="仿宋_GB2312" w:hint="eastAsia"/>
          <w:highlight w:val="none"/>
          <w:lang w:eastAsia="zh-CN"/>
        </w:rPr>
        <w:t>：</w:t>
      </w:r>
    </w:p>
    <w:p>
      <w:pPr>
        <w:pStyle w:val="style0"/>
        <w:widowControl w:val="false"/>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rPr>
        <w:t>1.完成初测、初勘外业验收；</w:t>
      </w:r>
    </w:p>
    <w:p>
      <w:pPr>
        <w:pStyle w:val="style0"/>
        <w:widowControl w:val="false"/>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rPr>
        <w:t>2.完成初步设计审查</w:t>
      </w:r>
      <w:r>
        <w:rPr>
          <w:rFonts w:ascii="仿宋_GB2312" w:cs="仿宋_GB2312" w:eastAsia="仿宋_GB2312" w:hAnsi="仿宋_GB2312" w:hint="eastAsia"/>
          <w:highlight w:val="none"/>
          <w:lang w:eastAsia="zh-CN"/>
        </w:rPr>
        <w:t>或</w:t>
      </w:r>
      <w:r>
        <w:rPr>
          <w:rFonts w:ascii="仿宋_GB2312" w:cs="仿宋_GB2312" w:eastAsia="仿宋_GB2312" w:hAnsi="仿宋_GB2312" w:hint="eastAsia"/>
          <w:highlight w:val="none"/>
        </w:rPr>
        <w:t>预审查；</w:t>
      </w:r>
    </w:p>
    <w:p>
      <w:pPr>
        <w:pStyle w:val="style0"/>
        <w:widowControl w:val="false"/>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rPr>
        <w:t>3.完成定测、详勘外业验收；</w:t>
      </w:r>
    </w:p>
    <w:p>
      <w:pPr>
        <w:pStyle w:val="style0"/>
        <w:widowControl w:val="false"/>
        <w:kinsoku/>
        <w:topLinePunct/>
        <w:autoSpaceDE/>
        <w:autoSpaceDN/>
        <w:rPr>
          <w:rFonts w:ascii="仿宋_GB2312" w:cs="仿宋_GB2312" w:eastAsia="仿宋_GB2312" w:hAnsi="仿宋_GB2312" w:hint="eastAsia"/>
          <w:highlight w:val="none"/>
          <w:lang w:eastAsia="zh-CN"/>
        </w:rPr>
      </w:pPr>
      <w:r>
        <w:rPr>
          <w:rFonts w:ascii="仿宋_GB2312" w:cs="仿宋_GB2312" w:eastAsia="仿宋_GB2312" w:hAnsi="仿宋_GB2312" w:hint="eastAsia"/>
          <w:highlight w:val="none"/>
        </w:rPr>
        <w:t>4.完成施工图设计审查</w:t>
      </w:r>
      <w:r>
        <w:rPr>
          <w:rFonts w:ascii="仿宋_GB2312" w:cs="仿宋_GB2312" w:eastAsia="仿宋_GB2312" w:hAnsi="仿宋_GB2312" w:hint="eastAsia"/>
          <w:highlight w:val="none"/>
          <w:lang w:eastAsia="zh-CN"/>
        </w:rPr>
        <w:t>或</w:t>
      </w:r>
      <w:r>
        <w:rPr>
          <w:rFonts w:ascii="仿宋_GB2312" w:cs="仿宋_GB2312" w:eastAsia="仿宋_GB2312" w:hAnsi="仿宋_GB2312" w:hint="eastAsia"/>
          <w:highlight w:val="none"/>
        </w:rPr>
        <w:t>预审查</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（三）</w:t>
      </w:r>
      <w:r>
        <w:rPr>
          <w:rFonts w:ascii="仿宋_GB2312" w:cs="仿宋_GB2312" w:eastAsia="仿宋_GB2312" w:hAnsi="仿宋_GB2312" w:hint="eastAsia"/>
          <w:highlight w:val="none"/>
        </w:rPr>
        <w:t>项目设计咨询单位应与勘察设计单位同步评价。</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施工序列定期评价标准：</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（一）</w:t>
      </w:r>
      <w:r>
        <w:rPr>
          <w:rFonts w:ascii="仿宋_GB2312" w:cs="仿宋_GB2312" w:eastAsia="仿宋_GB2312" w:hAnsi="仿宋_GB2312" w:hint="eastAsia"/>
          <w:highlight w:val="none"/>
        </w:rPr>
        <w:t>划分为路桥隧、路面、交安、机电、房建5类专业评价</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（二）</w:t>
      </w:r>
      <w:r>
        <w:rPr>
          <w:rFonts w:ascii="仿宋_GB2312" w:cs="仿宋_GB2312" w:eastAsia="仿宋_GB2312" w:hAnsi="仿宋_GB2312" w:hint="eastAsia"/>
          <w:highlight w:val="none"/>
        </w:rPr>
        <w:t>评价年度内完成合同金额5%以上或产值5000万元以上的合同段纳入施工单位信用评价</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（三）</w:t>
      </w:r>
      <w:r>
        <w:rPr>
          <w:rFonts w:ascii="仿宋_GB2312" w:cs="仿宋_GB2312" w:eastAsia="仿宋_GB2312" w:hAnsi="仿宋_GB2312" w:hint="eastAsia"/>
          <w:highlight w:val="none"/>
        </w:rPr>
        <w:t>同一施工合同段包含多个评价专业内容的，应对合同金额进行拆分，按施工序列专业分别评价。</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施工分包、</w:t>
      </w:r>
      <w:r>
        <w:rPr>
          <w:rFonts w:ascii="仿宋_GB2312" w:cs="仿宋_GB2312" w:eastAsia="仿宋_GB2312" w:hAnsi="仿宋_GB2312" w:hint="eastAsia"/>
          <w:highlight w:val="none"/>
        </w:rPr>
        <w:t>施工总承包、联合体方式承揽业务的评价标准：</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（一）</w:t>
      </w:r>
      <w:r>
        <w:rPr>
          <w:rFonts w:ascii="仿宋_GB2312" w:cs="仿宋_GB2312" w:eastAsia="仿宋_GB2312" w:hAnsi="仿宋_GB2312" w:hint="eastAsia"/>
          <w:highlight w:val="none"/>
        </w:rPr>
        <w:t>合法</w:t>
      </w:r>
      <w:r>
        <w:rPr>
          <w:rFonts w:ascii="仿宋_GB2312" w:cs="仿宋_GB2312" w:eastAsia="仿宋_GB2312" w:hAnsi="仿宋_GB2312" w:hint="eastAsia"/>
          <w:highlight w:val="none"/>
          <w:lang w:eastAsia="zh-CN"/>
        </w:rPr>
        <w:t>施工</w:t>
      </w:r>
      <w:r>
        <w:rPr>
          <w:rFonts w:ascii="仿宋_GB2312" w:cs="仿宋_GB2312" w:eastAsia="仿宋_GB2312" w:hAnsi="仿宋_GB2312" w:hint="eastAsia"/>
          <w:highlight w:val="none"/>
        </w:rPr>
        <w:t>分包</w:t>
      </w:r>
      <w:r>
        <w:rPr>
          <w:rFonts w:ascii="仿宋_GB2312" w:cs="仿宋_GB2312" w:eastAsia="仿宋_GB2312" w:hAnsi="仿宋_GB2312" w:hint="eastAsia"/>
          <w:highlight w:val="none"/>
          <w:lang w:eastAsia="zh-CN"/>
        </w:rPr>
        <w:t>单位按其承担的施工分包合同段进行</w:t>
      </w:r>
      <w:r>
        <w:rPr>
          <w:rFonts w:ascii="仿宋_GB2312" w:cs="仿宋_GB2312" w:eastAsia="仿宋_GB2312" w:hAnsi="仿宋_GB2312" w:hint="eastAsia"/>
          <w:highlight w:val="none"/>
        </w:rPr>
        <w:t>信用评价</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（二）</w:t>
      </w:r>
      <w:r>
        <w:rPr>
          <w:rFonts w:ascii="仿宋_GB2312" w:cs="仿宋_GB2312" w:eastAsia="仿宋_GB2312" w:hAnsi="仿宋_GB2312" w:hint="eastAsia"/>
          <w:highlight w:val="none"/>
        </w:rPr>
        <w:t>总承包</w:t>
      </w:r>
      <w:r>
        <w:rPr>
          <w:rFonts w:ascii="仿宋_GB2312" w:cs="仿宋_GB2312" w:eastAsia="仿宋_GB2312" w:hAnsi="仿宋_GB2312" w:hint="eastAsia"/>
          <w:highlight w:val="none"/>
          <w:lang w:eastAsia="zh-CN"/>
        </w:rPr>
        <w:t>单位直接承担的施工合同段正常</w:t>
      </w:r>
      <w:r>
        <w:rPr>
          <w:rFonts w:ascii="仿宋_GB2312" w:cs="仿宋_GB2312" w:eastAsia="仿宋_GB2312" w:hAnsi="仿宋_GB2312" w:hint="eastAsia"/>
          <w:highlight w:val="none"/>
        </w:rPr>
        <w:t>评价</w:t>
      </w:r>
      <w:r>
        <w:rPr>
          <w:rFonts w:ascii="仿宋_GB2312" w:cs="仿宋_GB2312" w:eastAsia="仿宋_GB2312" w:hAnsi="仿宋_GB2312" w:hint="eastAsia"/>
          <w:highlight w:val="none"/>
          <w:lang w:eastAsia="zh-CN"/>
        </w:rPr>
        <w:t>，并将其所有分包工程内容视为一个独立合同段，对其施工总承包管理职责履行情况进行评价（评价分数按其所有分包合同段的履约失信行为扣分总和减半计算，合同金额按所有分包合同金额的平均值计算）。</w:t>
      </w:r>
      <w:r>
        <w:rPr>
          <w:rFonts w:ascii="仿宋_GB2312" w:cs="仿宋_GB2312" w:eastAsia="仿宋_GB2312" w:hAnsi="仿宋_GB2312" w:hint="eastAsia"/>
          <w:highlight w:val="none"/>
          <w:lang w:val="en-US" w:eastAsia="zh-CN"/>
        </w:rPr>
        <w:t>1家</w:t>
      </w:r>
      <w:r>
        <w:rPr>
          <w:rFonts w:ascii="仿宋_GB2312" w:cs="仿宋_GB2312" w:eastAsia="仿宋_GB2312" w:hAnsi="仿宋_GB2312" w:hint="eastAsia"/>
          <w:highlight w:val="none"/>
          <w:lang w:eastAsia="zh-CN"/>
        </w:rPr>
        <w:t>分包单位被直接定为</w:t>
      </w:r>
      <w:r>
        <w:rPr>
          <w:rFonts w:ascii="仿宋_GB2312" w:cs="仿宋_GB2312" w:eastAsia="仿宋_GB2312" w:hAnsi="仿宋_GB2312" w:hint="eastAsia"/>
          <w:highlight w:val="none"/>
          <w:lang w:val="en-US" w:eastAsia="zh-CN"/>
        </w:rPr>
        <w:t>D</w:t>
      </w:r>
      <w:r>
        <w:rPr>
          <w:rFonts w:ascii="仿宋_GB2312" w:cs="仿宋_GB2312" w:eastAsia="仿宋_GB2312" w:hAnsi="仿宋_GB2312" w:hint="eastAsia"/>
          <w:highlight w:val="none"/>
          <w:lang w:eastAsia="zh-CN"/>
        </w:rPr>
        <w:t>级的，总承包单位直接定为</w:t>
      </w:r>
      <w:r>
        <w:rPr>
          <w:rFonts w:ascii="仿宋_GB2312" w:cs="仿宋_GB2312" w:eastAsia="仿宋_GB2312" w:hAnsi="仿宋_GB2312" w:hint="eastAsia"/>
          <w:highlight w:val="none"/>
          <w:lang w:val="en-US" w:eastAsia="zh-CN"/>
        </w:rPr>
        <w:t>C级，2家及以上分包单位被直接定为D级的，总承包单位直接定为D级</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（三）</w:t>
      </w:r>
      <w:r>
        <w:rPr>
          <w:rFonts w:ascii="仿宋_GB2312" w:cs="仿宋_GB2312" w:eastAsia="仿宋_GB2312" w:hAnsi="仿宋_GB2312" w:hint="eastAsia"/>
          <w:highlight w:val="none"/>
        </w:rPr>
        <w:t>联合体各成员单位按联合体协议书等合同文件约定的设计、施工承包范围</w:t>
      </w:r>
      <w:r>
        <w:rPr>
          <w:rFonts w:ascii="仿宋_GB2312" w:cs="仿宋_GB2312" w:eastAsia="仿宋_GB2312" w:hAnsi="仿宋_GB2312" w:hint="eastAsia"/>
          <w:highlight w:val="none"/>
          <w:lang w:eastAsia="zh-CN"/>
        </w:rPr>
        <w:t>及</w:t>
      </w:r>
      <w:r>
        <w:rPr>
          <w:rFonts w:ascii="仿宋_GB2312" w:cs="仿宋_GB2312" w:eastAsia="仿宋_GB2312" w:hAnsi="仿宋_GB2312" w:hint="eastAsia"/>
          <w:highlight w:val="none"/>
        </w:rPr>
        <w:t>合同金额独立参评。联合体有不良投标行为的，</w:t>
      </w:r>
      <w:r>
        <w:rPr>
          <w:rFonts w:ascii="仿宋_GB2312" w:cs="仿宋_GB2312" w:eastAsia="仿宋_GB2312" w:hAnsi="仿宋_GB2312" w:hint="eastAsia"/>
          <w:highlight w:val="none"/>
          <w:lang w:eastAsia="zh-CN"/>
        </w:rPr>
        <w:t>其成员各方均按相应标准进行评价；</w:t>
      </w:r>
      <w:r>
        <w:rPr>
          <w:rFonts w:ascii="仿宋_GB2312" w:cs="仿宋_GB2312" w:eastAsia="仿宋_GB2312" w:hAnsi="仿宋_GB2312" w:hint="eastAsia"/>
          <w:highlight w:val="none"/>
        </w:rPr>
        <w:t>联合体</w:t>
      </w:r>
      <w:r>
        <w:rPr>
          <w:rFonts w:ascii="仿宋_GB2312" w:cs="仿宋_GB2312" w:eastAsia="仿宋_GB2312" w:hAnsi="仿宋_GB2312" w:hint="eastAsia"/>
          <w:highlight w:val="none"/>
          <w:lang w:eastAsia="zh-CN"/>
        </w:rPr>
        <w:t>有履约行为扣分、直接定级及总分扣除</w:t>
      </w:r>
      <w:r>
        <w:rPr>
          <w:rFonts w:ascii="仿宋_GB2312" w:cs="仿宋_GB2312" w:eastAsia="仿宋_GB2312" w:hAnsi="仿宋_GB2312" w:hint="eastAsia"/>
          <w:highlight w:val="none"/>
        </w:rPr>
        <w:t>行为的，只对相关责任方按相应标准扣分，不能区分责任方的，对当事成员方和联合体牵头方均按相应标准</w:t>
      </w:r>
      <w:r>
        <w:rPr>
          <w:rFonts w:ascii="仿宋_GB2312" w:cs="仿宋_GB2312" w:eastAsia="仿宋_GB2312" w:hAnsi="仿宋_GB2312" w:hint="eastAsia"/>
          <w:highlight w:val="none"/>
          <w:lang w:eastAsia="zh-CN"/>
        </w:rPr>
        <w:t>评价</w:t>
      </w:r>
      <w:r>
        <w:rPr>
          <w:rFonts w:ascii="仿宋_GB2312" w:cs="仿宋_GB2312" w:eastAsia="仿宋_GB2312" w:hAnsi="仿宋_GB2312" w:hint="eastAsia"/>
          <w:highlight w:val="none"/>
        </w:rPr>
        <w:t>，无关成员方不</w:t>
      </w:r>
      <w:r>
        <w:rPr>
          <w:rFonts w:ascii="仿宋_GB2312" w:cs="仿宋_GB2312" w:eastAsia="仿宋_GB2312" w:hAnsi="仿宋_GB2312" w:hint="eastAsia"/>
          <w:highlight w:val="none"/>
          <w:lang w:eastAsia="zh-CN"/>
        </w:rPr>
        <w:t>评价。</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省级</w:t>
      </w:r>
      <w:r>
        <w:rPr>
          <w:rFonts w:ascii="仿宋_GB2312" w:cs="仿宋_GB2312" w:eastAsia="仿宋_GB2312" w:hAnsi="仿宋_GB2312" w:hint="eastAsia"/>
          <w:highlight w:val="none"/>
        </w:rPr>
        <w:t>信用评价结果由</w:t>
      </w:r>
      <w:r>
        <w:rPr>
          <w:rFonts w:ascii="仿宋_GB2312" w:cs="仿宋_GB2312" w:eastAsia="仿宋_GB2312" w:hAnsi="仿宋_GB2312" w:hint="eastAsia"/>
          <w:highlight w:val="none"/>
          <w:lang w:eastAsia="zh-CN"/>
        </w:rPr>
        <w:t>信用评分</w:t>
      </w:r>
      <w:r>
        <w:rPr>
          <w:rFonts w:ascii="仿宋_GB2312" w:cs="仿宋_GB2312" w:eastAsia="仿宋_GB2312" w:hAnsi="仿宋_GB2312" w:hint="eastAsia"/>
          <w:highlight w:val="none"/>
        </w:rPr>
        <w:t>和</w:t>
      </w:r>
      <w:r>
        <w:rPr>
          <w:rFonts w:ascii="仿宋_GB2312" w:cs="仿宋_GB2312" w:eastAsia="仿宋_GB2312" w:hAnsi="仿宋_GB2312" w:hint="eastAsia"/>
          <w:highlight w:val="none"/>
          <w:lang w:eastAsia="zh-CN"/>
        </w:rPr>
        <w:t>信用等级两部分</w:t>
      </w:r>
      <w:r>
        <w:rPr>
          <w:rFonts w:ascii="仿宋_GB2312" w:cs="仿宋_GB2312" w:eastAsia="仿宋_GB2312" w:hAnsi="仿宋_GB2312" w:hint="eastAsia"/>
          <w:highlight w:val="none"/>
        </w:rPr>
        <w:t>组成</w:t>
      </w:r>
      <w:r>
        <w:rPr>
          <w:rFonts w:ascii="仿宋_GB2312" w:cs="仿宋_GB2312" w:eastAsia="仿宋_GB2312" w:hAnsi="仿宋_GB2312" w:hint="eastAsia"/>
          <w:highlight w:val="none"/>
          <w:lang w:eastAsia="zh-CN"/>
        </w:rPr>
        <w:t>，包含专业</w:t>
      </w:r>
      <w:r>
        <w:rPr>
          <w:rFonts w:ascii="仿宋_GB2312" w:cs="仿宋_GB2312" w:eastAsia="仿宋_GB2312" w:hAnsi="仿宋_GB2312" w:hint="eastAsia"/>
          <w:highlight w:val="none"/>
        </w:rPr>
        <w:t>信用评价</w:t>
      </w:r>
      <w:r>
        <w:rPr>
          <w:rFonts w:ascii="仿宋_GB2312" w:cs="仿宋_GB2312" w:eastAsia="仿宋_GB2312" w:hAnsi="仿宋_GB2312" w:hint="eastAsia"/>
          <w:highlight w:val="none"/>
          <w:lang w:eastAsia="zh-CN"/>
        </w:rPr>
        <w:t>结果</w:t>
      </w:r>
      <w:r>
        <w:rPr>
          <w:rFonts w:ascii="仿宋_GB2312" w:cs="仿宋_GB2312" w:eastAsia="仿宋_GB2312" w:hAnsi="仿宋_GB2312" w:hint="eastAsia"/>
          <w:highlight w:val="none"/>
        </w:rPr>
        <w:t>及综合信用评价</w:t>
      </w:r>
      <w:r>
        <w:rPr>
          <w:rFonts w:ascii="仿宋_GB2312" w:cs="仿宋_GB2312" w:eastAsia="仿宋_GB2312" w:hAnsi="仿宋_GB2312" w:hint="eastAsia"/>
          <w:highlight w:val="none"/>
          <w:lang w:eastAsia="zh-CN"/>
        </w:rPr>
        <w:t>结果。</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信用评分</w:t>
      </w:r>
      <w:r>
        <w:rPr>
          <w:rFonts w:ascii="仿宋_GB2312" w:cs="仿宋_GB2312" w:eastAsia="仿宋_GB2312" w:hAnsi="仿宋_GB2312" w:hint="eastAsia"/>
          <w:highlight w:val="none"/>
        </w:rPr>
        <w:t>为 100 分制</w:t>
      </w:r>
      <w:r>
        <w:rPr>
          <w:rFonts w:ascii="仿宋_GB2312" w:cs="仿宋_GB2312" w:eastAsia="仿宋_GB2312" w:hAnsi="仿宋_GB2312" w:hint="eastAsia"/>
          <w:highlight w:val="none"/>
          <w:lang w:eastAsia="zh-CN"/>
        </w:rPr>
        <w:t>，以各参评合同段的合同金额为权重计算，具体评分计算公式</w:t>
      </w:r>
      <w:r>
        <w:rPr>
          <w:rFonts w:ascii="仿宋_GB2312" w:cs="仿宋_GB2312" w:eastAsia="仿宋_GB2312" w:hAnsi="仿宋_GB2312" w:hint="eastAsia"/>
          <w:highlight w:val="none"/>
        </w:rPr>
        <w:t>详见附件</w:t>
      </w:r>
      <w:r>
        <w:rPr>
          <w:rFonts w:ascii="仿宋_GB2312" w:cs="仿宋_GB2312" w:eastAsia="仿宋_GB2312" w:hAnsi="仿宋_GB2312" w:hint="eastAsia"/>
          <w:highlight w:val="none"/>
          <w:lang w:val="en-US" w:eastAsia="zh-CN"/>
        </w:rPr>
        <w:t>3</w:t>
      </w:r>
      <w:r>
        <w:rPr>
          <w:rFonts w:ascii="仿宋_GB2312" w:cs="仿宋_GB2312" w:eastAsia="仿宋_GB2312" w:hAnsi="仿宋_GB2312" w:hint="eastAsia"/>
          <w:highlight w:val="none"/>
        </w:rPr>
        <w:t>：</w:t>
      </w:r>
    </w:p>
    <w:p>
      <w:pPr>
        <w:pStyle w:val="style0"/>
        <w:widowControl w:val="false"/>
        <w:numPr>
          <w:ilvl w:val="0"/>
          <w:numId w:val="3"/>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专业信用评分是指未考虑普通国省道评价情况的从业单位设计序列或施工某专业的信用评分；</w:t>
      </w:r>
    </w:p>
    <w:p>
      <w:pPr>
        <w:pStyle w:val="style0"/>
        <w:widowControl w:val="false"/>
        <w:numPr>
          <w:ilvl w:val="0"/>
          <w:numId w:val="3"/>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rPr>
        <w:t>综合</w:t>
      </w:r>
      <w:r>
        <w:rPr>
          <w:rFonts w:ascii="仿宋_GB2312" w:cs="仿宋_GB2312" w:eastAsia="仿宋_GB2312" w:hAnsi="仿宋_GB2312" w:hint="eastAsia"/>
          <w:highlight w:val="none"/>
          <w:lang w:eastAsia="zh-CN"/>
        </w:rPr>
        <w:t>信用评分</w:t>
      </w:r>
      <w:r>
        <w:rPr>
          <w:rFonts w:ascii="仿宋_GB2312" w:cs="仿宋_GB2312" w:eastAsia="仿宋_GB2312" w:hAnsi="仿宋_GB2312" w:hint="eastAsia"/>
          <w:highlight w:val="none"/>
        </w:rPr>
        <w:t>以</w:t>
      </w:r>
      <w:r>
        <w:rPr>
          <w:rFonts w:ascii="仿宋_GB2312" w:cs="仿宋_GB2312" w:eastAsia="仿宋_GB2312" w:hAnsi="仿宋_GB2312" w:hint="eastAsia"/>
          <w:highlight w:val="none"/>
          <w:lang w:eastAsia="zh-CN"/>
        </w:rPr>
        <w:t>专业信用评分</w:t>
      </w:r>
      <w:r>
        <w:rPr>
          <w:rFonts w:ascii="仿宋_GB2312" w:cs="仿宋_GB2312" w:eastAsia="仿宋_GB2312" w:hAnsi="仿宋_GB2312" w:hint="eastAsia"/>
          <w:highlight w:val="none"/>
        </w:rPr>
        <w:t>及普通国省道</w:t>
      </w:r>
      <w:r>
        <w:rPr>
          <w:rFonts w:ascii="仿宋_GB2312" w:cs="仿宋_GB2312" w:eastAsia="仿宋_GB2312" w:hAnsi="仿宋_GB2312" w:hint="eastAsia"/>
          <w:highlight w:val="none"/>
          <w:lang w:eastAsia="zh-CN"/>
        </w:rPr>
        <w:t>信用评分</w:t>
      </w:r>
      <w:r>
        <w:rPr>
          <w:rFonts w:ascii="仿宋_GB2312" w:cs="仿宋_GB2312" w:eastAsia="仿宋_GB2312" w:hAnsi="仿宋_GB2312" w:hint="eastAsia"/>
          <w:highlight w:val="none"/>
        </w:rPr>
        <w:t>为基础加权计算。</w:t>
      </w:r>
      <w:r>
        <w:rPr>
          <w:rFonts w:ascii="仿宋_GB2312" w:cs="仿宋_GB2312" w:eastAsia="仿宋_GB2312" w:hAnsi="仿宋_GB2312" w:hint="eastAsia"/>
          <w:highlight w:val="none"/>
          <w:lang w:eastAsia="zh-CN"/>
        </w:rPr>
        <w:t>参评年度内，</w:t>
      </w:r>
      <w:r>
        <w:rPr>
          <w:rFonts w:ascii="仿宋_GB2312" w:cs="仿宋_GB2312" w:eastAsia="仿宋_GB2312" w:hAnsi="仿宋_GB2312" w:hint="eastAsia"/>
          <w:highlight w:val="none"/>
        </w:rPr>
        <w:t>从业单位同时</w:t>
      </w:r>
      <w:r>
        <w:rPr>
          <w:rFonts w:ascii="仿宋_GB2312" w:cs="仿宋_GB2312" w:eastAsia="仿宋_GB2312" w:hAnsi="仿宋_GB2312" w:hint="eastAsia"/>
          <w:highlight w:val="none"/>
          <w:lang w:eastAsia="zh-CN"/>
        </w:rPr>
        <w:t>有专业信用评分和</w:t>
      </w:r>
      <w:r>
        <w:rPr>
          <w:rFonts w:ascii="仿宋_GB2312" w:cs="仿宋_GB2312" w:eastAsia="仿宋_GB2312" w:hAnsi="仿宋_GB2312" w:hint="eastAsia"/>
          <w:highlight w:val="none"/>
        </w:rPr>
        <w:t>省公路局组织的普通国省道项目信用</w:t>
      </w:r>
      <w:r>
        <w:rPr>
          <w:rFonts w:ascii="仿宋_GB2312" w:cs="仿宋_GB2312" w:eastAsia="仿宋_GB2312" w:hAnsi="仿宋_GB2312" w:hint="eastAsia"/>
          <w:highlight w:val="none"/>
          <w:lang w:eastAsia="zh-CN"/>
        </w:rPr>
        <w:t>评分</w:t>
      </w:r>
      <w:r>
        <w:rPr>
          <w:rFonts w:ascii="仿宋_GB2312" w:cs="仿宋_GB2312" w:eastAsia="仿宋_GB2312" w:hAnsi="仿宋_GB2312" w:hint="eastAsia"/>
          <w:highlight w:val="none"/>
        </w:rPr>
        <w:t>的，</w:t>
      </w:r>
      <w:r>
        <w:rPr>
          <w:rFonts w:ascii="仿宋_GB2312" w:cs="仿宋_GB2312" w:eastAsia="仿宋_GB2312" w:hAnsi="仿宋_GB2312" w:hint="eastAsia"/>
          <w:highlight w:val="none"/>
          <w:lang w:eastAsia="zh-CN"/>
        </w:rPr>
        <w:t>专业信用评分</w:t>
      </w:r>
      <w:r>
        <w:rPr>
          <w:rFonts w:ascii="仿宋_GB2312" w:cs="仿宋_GB2312" w:eastAsia="仿宋_GB2312" w:hAnsi="仿宋_GB2312" w:hint="eastAsia"/>
          <w:highlight w:val="none"/>
        </w:rPr>
        <w:t>权重为0.</w:t>
      </w:r>
      <w:r>
        <w:rPr>
          <w:rFonts w:ascii="仿宋_GB2312" w:cs="仿宋_GB2312" w:eastAsia="仿宋_GB2312" w:hAnsi="仿宋_GB2312" w:hint="eastAsia"/>
          <w:highlight w:val="none"/>
          <w:lang w:val="en-US" w:eastAsia="zh-CN"/>
        </w:rPr>
        <w:t>7</w:t>
      </w:r>
      <w:r>
        <w:rPr>
          <w:rFonts w:ascii="仿宋_GB2312" w:cs="仿宋_GB2312" w:eastAsia="仿宋_GB2312" w:hAnsi="仿宋_GB2312" w:hint="eastAsia"/>
          <w:highlight w:val="none"/>
        </w:rPr>
        <w:t>，普通国省道项目</w:t>
      </w:r>
      <w:r>
        <w:rPr>
          <w:rFonts w:ascii="仿宋_GB2312" w:cs="仿宋_GB2312" w:eastAsia="仿宋_GB2312" w:hAnsi="仿宋_GB2312" w:hint="eastAsia"/>
          <w:highlight w:val="none"/>
          <w:lang w:eastAsia="zh-CN"/>
        </w:rPr>
        <w:t>信用评分</w:t>
      </w:r>
      <w:r>
        <w:rPr>
          <w:rFonts w:ascii="仿宋_GB2312" w:cs="仿宋_GB2312" w:eastAsia="仿宋_GB2312" w:hAnsi="仿宋_GB2312" w:hint="eastAsia"/>
          <w:highlight w:val="none"/>
        </w:rPr>
        <w:t>权重为0.</w:t>
      </w:r>
      <w:r>
        <w:rPr>
          <w:rFonts w:ascii="仿宋_GB2312" w:cs="仿宋_GB2312" w:eastAsia="仿宋_GB2312" w:hAnsi="仿宋_GB2312" w:hint="eastAsia"/>
          <w:highlight w:val="none"/>
          <w:lang w:val="en-US" w:eastAsia="zh-CN"/>
        </w:rPr>
        <w:t>3</w:t>
      </w:r>
      <w:r>
        <w:rPr>
          <w:rFonts w:ascii="仿宋_GB2312" w:cs="仿宋_GB2312" w:eastAsia="仿宋_GB2312" w:hAnsi="仿宋_GB2312" w:hint="eastAsia"/>
          <w:highlight w:val="none"/>
        </w:rPr>
        <w:t>；从业单位仅</w:t>
      </w:r>
      <w:r>
        <w:rPr>
          <w:rFonts w:ascii="仿宋_GB2312" w:cs="仿宋_GB2312" w:eastAsia="仿宋_GB2312" w:hAnsi="仿宋_GB2312" w:hint="eastAsia"/>
          <w:highlight w:val="none"/>
          <w:lang w:eastAsia="zh-CN"/>
        </w:rPr>
        <w:t>有专业信用评分</w:t>
      </w:r>
      <w:r>
        <w:rPr>
          <w:rFonts w:ascii="仿宋_GB2312" w:cs="仿宋_GB2312" w:eastAsia="仿宋_GB2312" w:hAnsi="仿宋_GB2312" w:hint="eastAsia"/>
          <w:highlight w:val="none"/>
        </w:rPr>
        <w:t>的，</w:t>
      </w:r>
      <w:r>
        <w:rPr>
          <w:rFonts w:ascii="仿宋_GB2312" w:cs="仿宋_GB2312" w:eastAsia="仿宋_GB2312" w:hAnsi="仿宋_GB2312" w:hint="eastAsia"/>
          <w:highlight w:val="none"/>
          <w:lang w:eastAsia="zh-CN"/>
        </w:rPr>
        <w:t>专业信用评分</w:t>
      </w:r>
      <w:r>
        <w:rPr>
          <w:rFonts w:ascii="仿宋_GB2312" w:cs="仿宋_GB2312" w:eastAsia="仿宋_GB2312" w:hAnsi="仿宋_GB2312" w:hint="eastAsia"/>
          <w:highlight w:val="none"/>
        </w:rPr>
        <w:t>权重为1；从业单位</w:t>
      </w:r>
      <w:r>
        <w:rPr>
          <w:rFonts w:ascii="仿宋_GB2312" w:cs="仿宋_GB2312" w:eastAsia="仿宋_GB2312" w:hAnsi="仿宋_GB2312" w:hint="eastAsia"/>
          <w:highlight w:val="none"/>
          <w:lang w:eastAsia="zh-CN"/>
        </w:rPr>
        <w:t>仅有</w:t>
      </w:r>
      <w:r>
        <w:rPr>
          <w:rFonts w:ascii="仿宋_GB2312" w:cs="仿宋_GB2312" w:eastAsia="仿宋_GB2312" w:hAnsi="仿宋_GB2312" w:hint="eastAsia"/>
          <w:highlight w:val="none"/>
        </w:rPr>
        <w:t>普通国省道项目信用</w:t>
      </w:r>
      <w:r>
        <w:rPr>
          <w:rFonts w:ascii="仿宋_GB2312" w:cs="仿宋_GB2312" w:eastAsia="仿宋_GB2312" w:hAnsi="仿宋_GB2312" w:hint="eastAsia"/>
          <w:highlight w:val="none"/>
          <w:lang w:eastAsia="zh-CN"/>
        </w:rPr>
        <w:t>评分</w:t>
      </w:r>
      <w:r>
        <w:rPr>
          <w:rFonts w:ascii="仿宋_GB2312" w:cs="仿宋_GB2312" w:eastAsia="仿宋_GB2312" w:hAnsi="仿宋_GB2312" w:hint="eastAsia"/>
          <w:highlight w:val="none"/>
        </w:rPr>
        <w:t>的，不纳入省级综合信用评价。</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信用等级</w:t>
      </w:r>
      <w:r>
        <w:rPr>
          <w:rFonts w:ascii="仿宋_GB2312" w:cs="仿宋_GB2312" w:eastAsia="仿宋_GB2312" w:hAnsi="仿宋_GB2312" w:hint="eastAsia"/>
          <w:highlight w:val="none"/>
        </w:rPr>
        <w:t>分为 AA、A、B、 C 、D 五个等级：</w:t>
      </w:r>
    </w:p>
    <w:p>
      <w:pPr>
        <w:pStyle w:val="style0"/>
        <w:widowControl w:val="false"/>
        <w:numPr>
          <w:ilvl w:val="255"/>
          <w:numId w:val="0"/>
        </w:numPr>
        <w:kinsoku/>
        <w:topLinePunct/>
        <w:autoSpaceDE/>
        <w:autoSpaceDN/>
        <w:ind w:firstLine="640" w:firstLineChars="200"/>
        <w:rPr>
          <w:rFonts w:ascii="仿宋_GB2312" w:cs="仿宋_GB2312" w:eastAsia="仿宋_GB2312" w:hAnsi="仿宋_GB2312" w:hint="eastAsia"/>
          <w:highlight w:val="none"/>
        </w:rPr>
      </w:pPr>
      <w:r>
        <w:rPr>
          <w:rFonts w:ascii="仿宋_GB2312" w:cs="仿宋_GB2312" w:eastAsia="仿宋_GB2312" w:hAnsi="仿宋_GB2312" w:hint="eastAsia"/>
          <w:highlight w:val="none"/>
        </w:rPr>
        <w:t>（一）各评价等级对应的从业单位</w:t>
      </w:r>
      <w:r>
        <w:rPr>
          <w:rFonts w:ascii="仿宋_GB2312" w:cs="仿宋_GB2312" w:eastAsia="仿宋_GB2312" w:hAnsi="仿宋_GB2312" w:hint="eastAsia"/>
          <w:highlight w:val="none"/>
          <w:lang w:eastAsia="zh-CN"/>
        </w:rPr>
        <w:t>信用评分</w:t>
      </w:r>
      <w:r>
        <w:rPr>
          <w:rFonts w:ascii="仿宋_GB2312" w:cs="仿宋_GB2312" w:eastAsia="仿宋_GB2312" w:hAnsi="仿宋_GB2312" w:hint="eastAsia"/>
          <w:highlight w:val="none"/>
        </w:rPr>
        <w:t>分别为：</w:t>
      </w:r>
    </w:p>
    <w:p>
      <w:pPr>
        <w:pStyle w:val="style0"/>
        <w:widowControl w:val="false"/>
        <w:numPr>
          <w:ilvl w:val="255"/>
          <w:numId w:val="0"/>
        </w:numPr>
        <w:tabs>
          <w:tab w:val="left" w:leader="none" w:pos="0"/>
        </w:tabs>
        <w:kinsoku/>
        <w:topLinePunct/>
        <w:autoSpaceDE/>
        <w:autoSpaceDN/>
        <w:ind w:firstLine="640" w:firstLineChars="200"/>
        <w:rPr>
          <w:rFonts w:ascii="仿宋_GB2312" w:cs="仿宋_GB2312" w:eastAsia="仿宋_GB2312" w:hAnsi="仿宋_GB2312" w:hint="eastAsia"/>
          <w:highlight w:val="none"/>
        </w:rPr>
      </w:pPr>
      <w:r>
        <w:rPr>
          <w:rFonts w:ascii="仿宋_GB2312" w:cs="仿宋_GB2312" w:eastAsia="仿宋_GB2312" w:hAnsi="仿宋_GB2312" w:hint="eastAsia"/>
          <w:highlight w:val="none"/>
        </w:rPr>
        <w:t>AA级：95分≤</w:t>
      </w:r>
      <w:r>
        <w:rPr>
          <w:rFonts w:ascii="仿宋_GB2312" w:cs="仿宋_GB2312" w:eastAsia="仿宋_GB2312" w:hAnsi="仿宋_GB2312" w:hint="eastAsia"/>
          <w:highlight w:val="none"/>
          <w:lang w:eastAsia="zh-CN"/>
        </w:rPr>
        <w:t>信用评分</w:t>
      </w:r>
      <w:r>
        <w:rPr>
          <w:rFonts w:ascii="仿宋_GB2312" w:cs="仿宋_GB2312" w:eastAsia="仿宋_GB2312" w:hAnsi="仿宋_GB2312" w:hint="eastAsia"/>
          <w:highlight w:val="none"/>
        </w:rPr>
        <w:t>≤100分，信用好；</w:t>
      </w:r>
    </w:p>
    <w:p>
      <w:pPr>
        <w:pStyle w:val="style0"/>
        <w:widowControl w:val="false"/>
        <w:numPr>
          <w:ilvl w:val="255"/>
          <w:numId w:val="0"/>
        </w:numPr>
        <w:tabs>
          <w:tab w:val="left" w:leader="none" w:pos="0"/>
        </w:tabs>
        <w:kinsoku/>
        <w:topLinePunct/>
        <w:autoSpaceDE/>
        <w:autoSpaceDN/>
        <w:ind w:firstLine="640" w:firstLineChars="200"/>
        <w:rPr>
          <w:rFonts w:ascii="仿宋_GB2312" w:cs="仿宋_GB2312" w:eastAsia="仿宋_GB2312" w:hAnsi="仿宋_GB2312" w:hint="eastAsia"/>
          <w:highlight w:val="none"/>
        </w:rPr>
      </w:pPr>
      <w:r>
        <w:rPr>
          <w:rFonts w:ascii="仿宋_GB2312" w:cs="仿宋_GB2312" w:eastAsia="仿宋_GB2312" w:hAnsi="仿宋_GB2312" w:hint="eastAsia"/>
          <w:highlight w:val="none"/>
        </w:rPr>
        <w:t>A级：85分≤</w:t>
      </w:r>
      <w:r>
        <w:rPr>
          <w:rFonts w:ascii="仿宋_GB2312" w:cs="仿宋_GB2312" w:eastAsia="仿宋_GB2312" w:hAnsi="仿宋_GB2312" w:hint="eastAsia"/>
          <w:highlight w:val="none"/>
          <w:lang w:eastAsia="zh-CN"/>
        </w:rPr>
        <w:t>信用评分</w:t>
      </w:r>
      <w:r>
        <w:rPr>
          <w:rFonts w:ascii="仿宋_GB2312" w:cs="仿宋_GB2312" w:eastAsia="仿宋_GB2312" w:hAnsi="仿宋_GB2312" w:hint="eastAsia"/>
          <w:highlight w:val="none"/>
        </w:rPr>
        <w:t>＜95分，信用较好；</w:t>
      </w:r>
    </w:p>
    <w:p>
      <w:pPr>
        <w:pStyle w:val="style0"/>
        <w:widowControl w:val="false"/>
        <w:numPr>
          <w:ilvl w:val="255"/>
          <w:numId w:val="0"/>
        </w:numPr>
        <w:tabs>
          <w:tab w:val="left" w:leader="none" w:pos="0"/>
        </w:tabs>
        <w:kinsoku/>
        <w:topLinePunct/>
        <w:autoSpaceDE/>
        <w:autoSpaceDN/>
        <w:ind w:firstLine="640" w:firstLineChars="200"/>
        <w:rPr>
          <w:rFonts w:ascii="仿宋_GB2312" w:cs="仿宋_GB2312" w:eastAsia="仿宋_GB2312" w:hAnsi="仿宋_GB2312" w:hint="eastAsia"/>
          <w:highlight w:val="none"/>
        </w:rPr>
      </w:pPr>
      <w:r>
        <w:rPr>
          <w:rFonts w:ascii="仿宋_GB2312" w:cs="仿宋_GB2312" w:eastAsia="仿宋_GB2312" w:hAnsi="仿宋_GB2312" w:hint="eastAsia"/>
          <w:highlight w:val="none"/>
        </w:rPr>
        <w:t>B级：75分≤</w:t>
      </w:r>
      <w:r>
        <w:rPr>
          <w:rFonts w:ascii="仿宋_GB2312" w:cs="仿宋_GB2312" w:eastAsia="仿宋_GB2312" w:hAnsi="仿宋_GB2312" w:hint="eastAsia"/>
          <w:highlight w:val="none"/>
          <w:lang w:eastAsia="zh-CN"/>
        </w:rPr>
        <w:t>信用评分</w:t>
      </w:r>
      <w:r>
        <w:rPr>
          <w:rFonts w:ascii="仿宋_GB2312" w:cs="仿宋_GB2312" w:eastAsia="仿宋_GB2312" w:hAnsi="仿宋_GB2312" w:hint="eastAsia"/>
          <w:highlight w:val="none"/>
        </w:rPr>
        <w:t>＜85分，信用一般；</w:t>
      </w:r>
    </w:p>
    <w:p>
      <w:pPr>
        <w:pStyle w:val="style0"/>
        <w:widowControl w:val="false"/>
        <w:numPr>
          <w:ilvl w:val="255"/>
          <w:numId w:val="0"/>
        </w:numPr>
        <w:tabs>
          <w:tab w:val="left" w:leader="none" w:pos="0"/>
        </w:tabs>
        <w:kinsoku/>
        <w:topLinePunct/>
        <w:autoSpaceDE/>
        <w:autoSpaceDN/>
        <w:ind w:firstLine="640" w:firstLineChars="200"/>
        <w:rPr>
          <w:rFonts w:ascii="仿宋_GB2312" w:cs="仿宋_GB2312" w:eastAsia="仿宋_GB2312" w:hAnsi="仿宋_GB2312" w:hint="eastAsia"/>
          <w:highlight w:val="none"/>
        </w:rPr>
      </w:pPr>
      <w:r>
        <w:rPr>
          <w:rFonts w:ascii="仿宋_GB2312" w:cs="仿宋_GB2312" w:eastAsia="仿宋_GB2312" w:hAnsi="仿宋_GB2312" w:hint="eastAsia"/>
          <w:highlight w:val="none"/>
        </w:rPr>
        <w:t>C级：60分≤</w:t>
      </w:r>
      <w:r>
        <w:rPr>
          <w:rFonts w:ascii="仿宋_GB2312" w:cs="仿宋_GB2312" w:eastAsia="仿宋_GB2312" w:hAnsi="仿宋_GB2312" w:hint="eastAsia"/>
          <w:highlight w:val="none"/>
          <w:lang w:eastAsia="zh-CN"/>
        </w:rPr>
        <w:t>信用评分</w:t>
      </w:r>
      <w:r>
        <w:rPr>
          <w:rFonts w:ascii="仿宋_GB2312" w:cs="仿宋_GB2312" w:eastAsia="仿宋_GB2312" w:hAnsi="仿宋_GB2312" w:hint="eastAsia"/>
          <w:highlight w:val="none"/>
        </w:rPr>
        <w:t>＜75分，信用较差；</w:t>
      </w:r>
    </w:p>
    <w:p>
      <w:pPr>
        <w:pStyle w:val="style0"/>
        <w:widowControl w:val="false"/>
        <w:numPr>
          <w:ilvl w:val="255"/>
          <w:numId w:val="0"/>
        </w:numPr>
        <w:tabs>
          <w:tab w:val="left" w:leader="none" w:pos="0"/>
        </w:tabs>
        <w:kinsoku/>
        <w:topLinePunct/>
        <w:autoSpaceDE/>
        <w:autoSpaceDN/>
        <w:ind w:firstLine="640" w:firstLineChars="200"/>
        <w:rPr>
          <w:rFonts w:ascii="仿宋_GB2312" w:cs="仿宋_GB2312" w:eastAsia="仿宋_GB2312" w:hAnsi="仿宋_GB2312" w:hint="eastAsia"/>
          <w:highlight w:val="none"/>
        </w:rPr>
      </w:pPr>
      <w:r>
        <w:rPr>
          <w:rFonts w:ascii="仿宋_GB2312" w:cs="仿宋_GB2312" w:eastAsia="仿宋_GB2312" w:hAnsi="仿宋_GB2312" w:hint="eastAsia"/>
          <w:highlight w:val="none"/>
        </w:rPr>
        <w:t>D级：</w:t>
      </w:r>
      <w:r>
        <w:rPr>
          <w:rFonts w:ascii="仿宋_GB2312" w:cs="仿宋_GB2312" w:eastAsia="仿宋_GB2312" w:hAnsi="仿宋_GB2312" w:hint="eastAsia"/>
          <w:highlight w:val="none"/>
          <w:lang w:eastAsia="zh-CN"/>
        </w:rPr>
        <w:t>信用评分</w:t>
      </w:r>
      <w:r>
        <w:rPr>
          <w:rFonts w:ascii="仿宋_GB2312" w:cs="仿宋_GB2312" w:eastAsia="仿宋_GB2312" w:hAnsi="仿宋_GB2312" w:hint="eastAsia"/>
          <w:highlight w:val="none"/>
        </w:rPr>
        <w:t>＜60分，或存在严重失信行为，信用差。</w:t>
      </w:r>
    </w:p>
    <w:p>
      <w:pPr>
        <w:pStyle w:val="style0"/>
        <w:widowControl w:val="false"/>
        <w:numPr>
          <w:ilvl w:val="255"/>
          <w:numId w:val="0"/>
        </w:numPr>
        <w:kinsoku/>
        <w:topLinePunct/>
        <w:autoSpaceDE/>
        <w:autoSpaceDN/>
        <w:ind w:firstLine="640" w:firstLineChars="200"/>
        <w:rPr>
          <w:rFonts w:ascii="仿宋_GB2312" w:cs="仿宋_GB2312" w:eastAsia="仿宋_GB2312" w:hAnsi="仿宋_GB2312" w:hint="eastAsia"/>
          <w:highlight w:val="yellow"/>
        </w:rPr>
      </w:pPr>
      <w:r>
        <w:rPr>
          <w:rFonts w:ascii="仿宋_GB2312" w:cs="仿宋_GB2312" w:eastAsia="仿宋_GB2312" w:hAnsi="仿宋_GB2312" w:hint="eastAsia"/>
          <w:highlight w:val="none"/>
        </w:rPr>
        <w:t>（二）被直接定为D级</w:t>
      </w:r>
      <w:r>
        <w:rPr>
          <w:rFonts w:ascii="仿宋_GB2312" w:cs="仿宋_GB2312" w:eastAsia="仿宋_GB2312" w:hAnsi="仿宋_GB2312" w:hint="eastAsia"/>
          <w:highlight w:val="none"/>
          <w:lang w:eastAsia="zh-CN"/>
        </w:rPr>
        <w:t>是就设计或施工序列而言</w:t>
      </w:r>
      <w:r>
        <w:rPr>
          <w:rFonts w:ascii="仿宋_GB2312" w:cs="仿宋_GB2312" w:eastAsia="仿宋_GB2312" w:hAnsi="仿宋_GB2312" w:hint="eastAsia"/>
          <w:highlight w:val="none"/>
        </w:rPr>
        <w:t>，</w:t>
      </w:r>
      <w:r>
        <w:rPr>
          <w:rFonts w:ascii="仿宋_GB2312" w:cs="仿宋_GB2312" w:eastAsia="仿宋_GB2312" w:hAnsi="仿宋_GB2312" w:hint="eastAsia"/>
          <w:highlight w:val="none"/>
          <w:lang w:eastAsia="zh-CN"/>
        </w:rPr>
        <w:t>从业单位同时具有设计、施工序列评价的，两序列评价结果互不影响</w:t>
      </w:r>
      <w:r>
        <w:rPr>
          <w:rFonts w:ascii="仿宋_GB2312" w:cs="仿宋_GB2312" w:eastAsia="仿宋_GB2312" w:hAnsi="仿宋_GB2312" w:hint="eastAsia"/>
          <w:highlight w:val="none"/>
        </w:rPr>
        <w:t>。</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信用评价实行正面清单制。</w:t>
      </w:r>
      <w:r>
        <w:rPr>
          <w:rFonts w:ascii="仿宋_GB2312" w:cs="仿宋_GB2312" w:eastAsia="仿宋_GB2312" w:hAnsi="仿宋_GB2312" w:hint="eastAsia"/>
          <w:highlight w:val="none"/>
          <w:lang w:eastAsia="zh-CN"/>
        </w:rPr>
        <w:t>对</w:t>
      </w:r>
      <w:r>
        <w:rPr>
          <w:rFonts w:ascii="仿宋_GB2312" w:cs="仿宋_GB2312" w:eastAsia="仿宋_GB2312" w:hAnsi="仿宋_GB2312" w:hint="eastAsia"/>
          <w:highlight w:val="none"/>
        </w:rPr>
        <w:t>从业单位发生</w:t>
      </w:r>
      <w:r>
        <w:rPr>
          <w:rFonts w:ascii="仿宋_GB2312" w:cs="仿宋_GB2312" w:eastAsia="仿宋_GB2312" w:hAnsi="仿宋_GB2312" w:hint="eastAsia"/>
          <w:highlight w:val="none"/>
          <w:lang w:eastAsia="zh-CN"/>
        </w:rPr>
        <w:t>的</w:t>
      </w:r>
      <w:r>
        <w:rPr>
          <w:rFonts w:ascii="仿宋_GB2312" w:cs="仿宋_GB2312" w:eastAsia="仿宋_GB2312" w:hAnsi="仿宋_GB2312" w:hint="eastAsia"/>
          <w:highlight w:val="none"/>
        </w:rPr>
        <w:t>正面清单行为</w:t>
      </w:r>
      <w:r>
        <w:rPr>
          <w:rFonts w:ascii="仿宋_GB2312" w:cs="仿宋_GB2312" w:eastAsia="仿宋_GB2312" w:hAnsi="仿宋_GB2312" w:hint="eastAsia"/>
          <w:highlight w:val="none"/>
          <w:lang w:eastAsia="zh-CN"/>
        </w:rPr>
        <w:t>进行</w:t>
      </w:r>
      <w:r>
        <w:rPr>
          <w:rFonts w:ascii="仿宋_GB2312" w:cs="仿宋_GB2312" w:eastAsia="仿宋_GB2312" w:hAnsi="仿宋_GB2312" w:hint="eastAsia"/>
          <w:highlight w:val="none"/>
        </w:rPr>
        <w:t>信用评分总分</w:t>
      </w:r>
      <w:r>
        <w:rPr>
          <w:rFonts w:ascii="仿宋_GB2312" w:cs="仿宋_GB2312" w:eastAsia="仿宋_GB2312" w:hAnsi="仿宋_GB2312" w:hint="eastAsia"/>
          <w:highlight w:val="none"/>
          <w:lang w:eastAsia="zh-CN"/>
        </w:rPr>
        <w:t>加</w:t>
      </w:r>
      <w:r>
        <w:rPr>
          <w:rFonts w:ascii="仿宋_GB2312" w:cs="仿宋_GB2312" w:eastAsia="仿宋_GB2312" w:hAnsi="仿宋_GB2312" w:hint="eastAsia"/>
          <w:highlight w:val="none"/>
        </w:rPr>
        <w:t>分，累计加分最高不超过5分，从业单位最终评价得分超过100分的，以100分计。</w:t>
      </w:r>
    </w:p>
    <w:p>
      <w:pPr>
        <w:pStyle w:val="style2"/>
        <w:keepNext w:val="false"/>
        <w:keepLines w:val="false"/>
        <w:widowControl w:val="false"/>
        <w:topLinePunct/>
        <w:rPr>
          <w:rFonts w:ascii="黑体" w:cs="黑体" w:eastAsia="黑体" w:hAnsi="黑体" w:hint="eastAsia"/>
          <w:highlight w:val="none"/>
        </w:rPr>
      </w:pPr>
      <w:r>
        <w:rPr>
          <w:rFonts w:ascii="黑体" w:cs="黑体" w:eastAsia="黑体" w:hAnsi="黑体" w:hint="eastAsia"/>
          <w:highlight w:val="none"/>
        </w:rPr>
        <w:t>第五章 评价内容及程序</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省级信用评价通过贵州省交通建设市场信用信息系统（以下简称系统）进行。</w:t>
      </w:r>
      <w:r>
        <w:rPr>
          <w:rFonts w:ascii="仿宋_GB2312" w:cs="仿宋_GB2312" w:eastAsia="仿宋_GB2312" w:hAnsi="仿宋_GB2312" w:hint="eastAsia"/>
          <w:highlight w:val="none"/>
        </w:rPr>
        <w:t>项目建设单位应及时录入参评项目相关信息</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从业单位应</w:t>
      </w:r>
      <w:r>
        <w:rPr>
          <w:rFonts w:ascii="仿宋_GB2312" w:cs="仿宋_GB2312" w:eastAsia="仿宋_GB2312" w:hAnsi="仿宋_GB2312" w:hint="eastAsia"/>
          <w:highlight w:val="none"/>
          <w:lang w:eastAsia="zh-CN"/>
        </w:rPr>
        <w:t>及时</w:t>
      </w:r>
      <w:r>
        <w:rPr>
          <w:rFonts w:ascii="仿宋_GB2312" w:cs="仿宋_GB2312" w:eastAsia="仿宋_GB2312" w:hAnsi="仿宋_GB2312" w:hint="eastAsia"/>
          <w:highlight w:val="none"/>
        </w:rPr>
        <w:t>填报</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更新企业基础信息</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从业单位注册名称</w:t>
      </w:r>
      <w:r>
        <w:rPr>
          <w:rFonts w:ascii="仿宋_GB2312" w:cs="仿宋_GB2312" w:eastAsia="仿宋_GB2312" w:hAnsi="仿宋_GB2312" w:hint="eastAsia"/>
          <w:highlight w:val="none"/>
          <w:lang w:eastAsia="zh-CN"/>
        </w:rPr>
        <w:t>应与</w:t>
      </w:r>
      <w:r>
        <w:rPr>
          <w:rFonts w:ascii="仿宋_GB2312" w:cs="仿宋_GB2312" w:eastAsia="仿宋_GB2312" w:hAnsi="仿宋_GB2312" w:hint="eastAsia"/>
          <w:highlight w:val="none"/>
        </w:rPr>
        <w:t>全国公路建设市场</w:t>
      </w:r>
      <w:r>
        <w:rPr>
          <w:rFonts w:ascii="仿宋_GB2312" w:cs="仿宋_GB2312" w:eastAsia="仿宋_GB2312" w:hAnsi="仿宋_GB2312" w:hint="eastAsia"/>
          <w:highlight w:val="none"/>
          <w:lang w:eastAsia="zh-CN"/>
        </w:rPr>
        <w:t>监督</w:t>
      </w:r>
      <w:r>
        <w:rPr>
          <w:rFonts w:ascii="仿宋_GB2312" w:cs="仿宋_GB2312" w:eastAsia="仿宋_GB2312" w:hAnsi="仿宋_GB2312" w:hint="eastAsia"/>
          <w:highlight w:val="none"/>
        </w:rPr>
        <w:t>管理系统公布的企业资质名录中的名称</w:t>
      </w:r>
      <w:r>
        <w:rPr>
          <w:rFonts w:ascii="仿宋_GB2312" w:cs="仿宋_GB2312" w:eastAsia="仿宋_GB2312" w:hAnsi="仿宋_GB2312" w:hint="eastAsia"/>
          <w:highlight w:val="none"/>
          <w:lang w:eastAsia="zh-CN"/>
        </w:rPr>
        <w:t>保持</w:t>
      </w:r>
      <w:r>
        <w:rPr>
          <w:rFonts w:ascii="仿宋_GB2312" w:cs="仿宋_GB2312" w:eastAsia="仿宋_GB2312" w:hAnsi="仿宋_GB2312" w:hint="eastAsia"/>
          <w:highlight w:val="none"/>
        </w:rPr>
        <w:t>一致。</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省级信用评价内容由投标行为、履约行为和其他行为三部分构成。</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投标行为评价：</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（一）</w:t>
      </w:r>
      <w:r>
        <w:rPr>
          <w:rFonts w:ascii="仿宋_GB2312" w:cs="仿宋_GB2312" w:eastAsia="仿宋_GB2312" w:hAnsi="仿宋_GB2312" w:hint="eastAsia"/>
          <w:highlight w:val="none"/>
        </w:rPr>
        <w:t>招标人对从业单位的单次投标行为进行评价</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（二）</w:t>
      </w:r>
      <w:r>
        <w:rPr>
          <w:rFonts w:ascii="仿宋_GB2312" w:cs="仿宋_GB2312" w:eastAsia="仿宋_GB2312" w:hAnsi="仿宋_GB2312" w:hint="eastAsia"/>
          <w:highlight w:val="none"/>
        </w:rPr>
        <w:t>评价初始分值为 100 分</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（三）</w:t>
      </w:r>
      <w:r>
        <w:rPr>
          <w:rFonts w:ascii="仿宋_GB2312" w:cs="仿宋_GB2312" w:eastAsia="仿宋_GB2312" w:hAnsi="仿宋_GB2312" w:hint="eastAsia"/>
          <w:highlight w:val="none"/>
        </w:rPr>
        <w:t>投标人未发生投标失信行为的，招标人不予评价。</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履约行为评价：</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（一）项目建设单位对从业单位在单个合同段的履约行为进行评价；</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（二）</w:t>
      </w:r>
      <w:r>
        <w:rPr>
          <w:rFonts w:ascii="仿宋_GB2312" w:cs="仿宋_GB2312" w:eastAsia="仿宋_GB2312" w:hAnsi="仿宋_GB2312" w:hint="eastAsia"/>
          <w:highlight w:val="none"/>
        </w:rPr>
        <w:t>评价初始分值为 100 分</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分为评分项20分和扣分项80分</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lang w:eastAsia="zh-CN"/>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（三）定期评价前，负有监督管理职责的厅相关处室及单位按优秀、合格、欠佳3个等次对高速公路在建项目先行开展综合考核等次评定并公布评定结果，</w:t>
      </w:r>
      <w:r>
        <w:rPr>
          <w:rFonts w:ascii="仿宋_GB2312" w:cs="仿宋_GB2312" w:eastAsia="仿宋_GB2312" w:hAnsi="仿宋_GB2312" w:hint="eastAsia"/>
          <w:highlight w:val="none"/>
          <w:lang w:val="en-US" w:eastAsia="zh-CN"/>
        </w:rPr>
        <w:t>建设单位依据综合考核评定等次确定的不同比例按</w:t>
      </w:r>
      <w:r>
        <w:rPr>
          <w:rFonts w:ascii="仿宋_GB2312" w:cs="仿宋_GB2312" w:eastAsia="仿宋_GB2312" w:hAnsi="仿宋_GB2312" w:hint="eastAsia"/>
          <w:highlight w:val="none"/>
          <w:lang w:eastAsia="zh-CN"/>
        </w:rPr>
        <w:t>“Ⅰ”“Ⅱ”“Ⅲ”三个等级</w:t>
      </w:r>
      <w:r>
        <w:rPr>
          <w:rFonts w:ascii="仿宋_GB2312" w:cs="仿宋_GB2312" w:eastAsia="仿宋_GB2312" w:hAnsi="仿宋_GB2312" w:hint="eastAsia"/>
          <w:highlight w:val="none"/>
          <w:lang w:val="en-US" w:eastAsia="zh-CN"/>
        </w:rPr>
        <w:t>对</w:t>
      </w:r>
      <w:r>
        <w:rPr>
          <w:rFonts w:ascii="仿宋_GB2312" w:cs="仿宋_GB2312" w:eastAsia="仿宋_GB2312" w:hAnsi="仿宋_GB2312" w:hint="eastAsia"/>
          <w:highlight w:val="none"/>
          <w:lang w:eastAsia="zh-CN"/>
        </w:rPr>
        <w:t>从业单位进行评分项评分（附件</w:t>
      </w:r>
      <w:r>
        <w:rPr>
          <w:rFonts w:ascii="仿宋_GB2312" w:cs="仿宋_GB2312" w:eastAsia="仿宋_GB2312" w:hAnsi="仿宋_GB2312" w:hint="eastAsia"/>
          <w:highlight w:val="none"/>
          <w:lang w:val="en-US" w:eastAsia="zh-CN"/>
        </w:rPr>
        <w:t>4</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lang w:val="en-US"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（四）</w:t>
      </w:r>
      <w:r>
        <w:rPr>
          <w:rFonts w:ascii="仿宋_GB2312" w:cs="仿宋_GB2312" w:eastAsia="仿宋_GB2312" w:hAnsi="仿宋_GB2312" w:hint="eastAsia"/>
          <w:highlight w:val="none"/>
        </w:rPr>
        <w:t>扣分项实行预扣制度</w:t>
      </w:r>
      <w:r>
        <w:rPr>
          <w:rFonts w:ascii="仿宋_GB2312" w:cs="仿宋_GB2312" w:eastAsia="仿宋_GB2312" w:hAnsi="仿宋_GB2312" w:hint="eastAsia"/>
          <w:highlight w:val="none"/>
          <w:lang w:eastAsia="zh-CN"/>
        </w:rPr>
        <w:t>，由项目建设单位直接进行评定：</w:t>
      </w:r>
    </w:p>
    <w:p>
      <w:pPr>
        <w:pStyle w:val="style0"/>
        <w:widowControl w:val="false"/>
        <w:numPr>
          <w:ilvl w:val="255"/>
          <w:numId w:val="0"/>
        </w:numPr>
        <w:kinsoku/>
        <w:topLinePunct/>
        <w:autoSpaceDE/>
        <w:autoSpaceDN/>
        <w:ind w:firstLine="640" w:firstLineChars="200"/>
        <w:rPr>
          <w:rFonts w:ascii="仿宋_GB2312" w:cs="仿宋_GB2312" w:eastAsia="仿宋_GB2312" w:hAnsi="仿宋_GB2312" w:hint="eastAsia"/>
          <w:highlight w:val="none"/>
          <w:lang w:eastAsia="zh-CN"/>
        </w:rPr>
      </w:pPr>
      <w:r>
        <w:rPr>
          <w:rFonts w:ascii="仿宋_GB2312" w:cs="仿宋_GB2312" w:eastAsia="仿宋_GB2312" w:hAnsi="仿宋_GB2312" w:hint="eastAsia"/>
          <w:highlight w:val="none"/>
        </w:rPr>
        <w:t>1.项目建设单位每季度开展一次涵盖各从业单位的</w:t>
      </w:r>
      <w:r>
        <w:rPr>
          <w:rFonts w:ascii="仿宋_GB2312" w:cs="仿宋_GB2312" w:eastAsia="仿宋_GB2312" w:hAnsi="仿宋_GB2312" w:hint="eastAsia"/>
          <w:highlight w:val="none"/>
          <w:lang w:eastAsia="zh-CN"/>
        </w:rPr>
        <w:t>市场</w:t>
      </w:r>
      <w:r>
        <w:rPr>
          <w:rFonts w:ascii="仿宋_GB2312" w:cs="仿宋_GB2312" w:eastAsia="仿宋_GB2312" w:hAnsi="仿宋_GB2312" w:hint="eastAsia"/>
          <w:highlight w:val="none"/>
        </w:rPr>
        <w:t>检查</w:t>
      </w:r>
      <w:r>
        <w:rPr>
          <w:rFonts w:ascii="仿宋_GB2312" w:cs="仿宋_GB2312" w:eastAsia="仿宋_GB2312" w:hAnsi="仿宋_GB2312" w:hint="eastAsia"/>
          <w:highlight w:val="none"/>
          <w:lang w:eastAsia="zh-CN"/>
        </w:rPr>
        <w:t>（可与其他检查合并进行）</w:t>
      </w:r>
      <w:r>
        <w:rPr>
          <w:rFonts w:ascii="仿宋_GB2312" w:cs="仿宋_GB2312" w:eastAsia="仿宋_GB2312" w:hAnsi="仿宋_GB2312" w:hint="eastAsia"/>
          <w:highlight w:val="none"/>
        </w:rPr>
        <w:t>，依据检查结果对从业单位</w:t>
      </w:r>
      <w:r>
        <w:rPr>
          <w:rFonts w:ascii="仿宋_GB2312" w:cs="仿宋_GB2312" w:eastAsia="仿宋_GB2312" w:hAnsi="仿宋_GB2312" w:hint="eastAsia"/>
          <w:highlight w:val="none"/>
          <w:lang w:eastAsia="zh-CN"/>
        </w:rPr>
        <w:t>的</w:t>
      </w:r>
      <w:r>
        <w:rPr>
          <w:rFonts w:ascii="仿宋_GB2312" w:cs="仿宋_GB2312" w:eastAsia="仿宋_GB2312" w:hAnsi="仿宋_GB2312" w:hint="eastAsia"/>
          <w:highlight w:val="none"/>
        </w:rPr>
        <w:t>履约</w:t>
      </w:r>
      <w:r>
        <w:rPr>
          <w:rFonts w:ascii="仿宋_GB2312" w:cs="仿宋_GB2312" w:eastAsia="仿宋_GB2312" w:hAnsi="仿宋_GB2312" w:hint="eastAsia"/>
          <w:highlight w:val="none"/>
          <w:lang w:eastAsia="zh-CN"/>
        </w:rPr>
        <w:t>失信</w:t>
      </w:r>
      <w:r>
        <w:rPr>
          <w:rFonts w:ascii="仿宋_GB2312" w:cs="仿宋_GB2312" w:eastAsia="仿宋_GB2312" w:hAnsi="仿宋_GB2312" w:hint="eastAsia"/>
          <w:highlight w:val="none"/>
        </w:rPr>
        <w:t>行为进行预扣分，同时设定整改期限要求限期整改</w:t>
      </w:r>
      <w:r>
        <w:rPr>
          <w:rFonts w:ascii="仿宋_GB2312" w:cs="仿宋_GB2312" w:eastAsia="仿宋_GB2312" w:hAnsi="仿宋_GB2312" w:hint="eastAsia"/>
          <w:highlight w:val="none"/>
          <w:lang w:eastAsia="zh-CN"/>
        </w:rPr>
        <w:t>；</w:t>
      </w:r>
    </w:p>
    <w:p>
      <w:pPr>
        <w:pStyle w:val="style0"/>
        <w:widowControl w:val="false"/>
        <w:numPr>
          <w:ilvl w:val="255"/>
          <w:numId w:val="0"/>
        </w:numPr>
        <w:kinsoku/>
        <w:topLinePunct/>
        <w:autoSpaceDE/>
        <w:autoSpaceDN/>
        <w:ind w:firstLine="640" w:firstLineChars="200"/>
        <w:rPr>
          <w:rFonts w:ascii="仿宋_GB2312" w:cs="仿宋_GB2312" w:eastAsia="仿宋_GB2312" w:hAnsi="仿宋_GB2312" w:hint="eastAsia"/>
          <w:highlight w:val="none"/>
          <w:lang w:eastAsia="zh-CN"/>
        </w:rPr>
      </w:pPr>
      <w:r>
        <w:rPr>
          <w:rFonts w:ascii="仿宋_GB2312" w:cs="仿宋_GB2312" w:eastAsia="仿宋_GB2312" w:hAnsi="仿宋_GB2312" w:hint="eastAsia"/>
          <w:highlight w:val="none"/>
        </w:rPr>
        <w:t>2.整改期限内，建设单位、监理单位等应当督促从业单位认真整改，若期限内整改到位且未造成不良影响和实质损失的，取消相应预扣分</w:t>
      </w:r>
      <w:r>
        <w:rPr>
          <w:rFonts w:ascii="仿宋_GB2312" w:cs="仿宋_GB2312" w:eastAsia="仿宋_GB2312" w:hAnsi="仿宋_GB2312" w:hint="eastAsia"/>
          <w:highlight w:val="none"/>
          <w:lang w:eastAsia="zh-CN"/>
        </w:rPr>
        <w:t>；无法整改、整改不到位、已造成不良影响或实质损失的，应</w:t>
      </w:r>
      <w:r>
        <w:rPr>
          <w:rFonts w:ascii="仿宋_GB2312" w:cs="仿宋_GB2312" w:eastAsia="仿宋_GB2312" w:hAnsi="仿宋_GB2312" w:hint="eastAsia"/>
          <w:highlight w:val="none"/>
        </w:rPr>
        <w:t>在下季度对履约行为预扣</w:t>
      </w:r>
      <w:r>
        <w:rPr>
          <w:rFonts w:ascii="仿宋_GB2312" w:cs="仿宋_GB2312" w:eastAsia="仿宋_GB2312" w:hAnsi="仿宋_GB2312" w:hint="eastAsia"/>
          <w:highlight w:val="none"/>
          <w:lang w:eastAsia="zh-CN"/>
        </w:rPr>
        <w:t>分情况</w:t>
      </w:r>
      <w:r>
        <w:rPr>
          <w:rFonts w:ascii="仿宋_GB2312" w:cs="仿宋_GB2312" w:eastAsia="仿宋_GB2312" w:hAnsi="仿宋_GB2312" w:hint="eastAsia"/>
          <w:highlight w:val="none"/>
        </w:rPr>
        <w:t>进行认定并</w:t>
      </w:r>
      <w:r>
        <w:rPr>
          <w:rFonts w:ascii="仿宋_GB2312" w:cs="仿宋_GB2312" w:eastAsia="仿宋_GB2312" w:hAnsi="仿宋_GB2312" w:hint="eastAsia"/>
          <w:highlight w:val="none"/>
          <w:lang w:eastAsia="zh-CN"/>
        </w:rPr>
        <w:t>正式</w:t>
      </w:r>
      <w:r>
        <w:rPr>
          <w:rFonts w:ascii="仿宋_GB2312" w:cs="仿宋_GB2312" w:eastAsia="仿宋_GB2312" w:hAnsi="仿宋_GB2312" w:hint="eastAsia"/>
          <w:highlight w:val="none"/>
        </w:rPr>
        <w:t>扣分</w:t>
      </w:r>
      <w:r>
        <w:rPr>
          <w:rFonts w:ascii="仿宋_GB2312" w:cs="仿宋_GB2312" w:eastAsia="仿宋_GB2312" w:hAnsi="仿宋_GB2312" w:hint="eastAsia"/>
          <w:highlight w:val="none"/>
          <w:lang w:eastAsia="zh-CN"/>
        </w:rPr>
        <w:t>；</w:t>
      </w:r>
    </w:p>
    <w:p>
      <w:pPr>
        <w:pStyle w:val="style0"/>
        <w:widowControl w:val="false"/>
        <w:numPr>
          <w:ilvl w:val="255"/>
          <w:numId w:val="0"/>
        </w:numPr>
        <w:kinsoku/>
        <w:topLinePunct/>
        <w:autoSpaceDE/>
        <w:autoSpaceDN/>
        <w:ind w:firstLine="640" w:firstLineChars="200"/>
        <w:rPr>
          <w:rFonts w:ascii="仿宋_GB2312" w:cs="仿宋_GB2312" w:eastAsia="仿宋_GB2312" w:hAnsi="仿宋_GB2312" w:hint="eastAsia"/>
          <w:highlight w:val="none"/>
          <w:lang w:eastAsia="zh-CN"/>
        </w:rPr>
      </w:pPr>
      <w:r>
        <w:rPr>
          <w:rFonts w:ascii="仿宋_GB2312" w:cs="仿宋_GB2312" w:eastAsia="仿宋_GB2312" w:hAnsi="仿宋_GB2312" w:hint="eastAsia"/>
          <w:highlight w:val="none"/>
        </w:rPr>
        <w:t>3.</w:t>
      </w:r>
      <w:r>
        <w:rPr>
          <w:rFonts w:ascii="仿宋_GB2312" w:cs="仿宋_GB2312" w:eastAsia="仿宋_GB2312" w:hAnsi="仿宋_GB2312" w:hint="eastAsia"/>
          <w:highlight w:val="none"/>
          <w:lang w:eastAsia="zh-CN"/>
        </w:rPr>
        <w:t>发生下列情形的应直接扣分：同一失信行为在同一季度内发生</w:t>
      </w:r>
      <w:r>
        <w:rPr>
          <w:rFonts w:ascii="仿宋_GB2312" w:cs="仿宋_GB2312" w:eastAsia="仿宋_GB2312" w:hAnsi="仿宋_GB2312" w:hint="eastAsia"/>
          <w:highlight w:val="none"/>
          <w:lang w:val="en-US" w:eastAsia="zh-CN"/>
        </w:rPr>
        <w:t>2次及以上的；</w:t>
      </w:r>
      <w:r>
        <w:rPr>
          <w:rFonts w:ascii="仿宋_GB2312" w:cs="仿宋_GB2312" w:eastAsia="仿宋_GB2312" w:hAnsi="仿宋_GB2312" w:hint="eastAsia"/>
          <w:highlight w:val="none"/>
        </w:rPr>
        <w:t>拒不整改</w:t>
      </w:r>
      <w:r>
        <w:rPr>
          <w:rFonts w:ascii="仿宋_GB2312" w:cs="仿宋_GB2312" w:eastAsia="仿宋_GB2312" w:hAnsi="仿宋_GB2312" w:hint="eastAsia"/>
          <w:highlight w:val="none"/>
          <w:lang w:eastAsia="zh-CN"/>
        </w:rPr>
        <w:t>的；</w:t>
      </w:r>
      <w:r>
        <w:rPr>
          <w:rFonts w:ascii="仿宋_GB2312" w:cs="仿宋_GB2312" w:eastAsia="仿宋_GB2312" w:hAnsi="仿宋_GB2312" w:hint="eastAsia"/>
          <w:highlight w:val="none"/>
        </w:rPr>
        <w:t>发生</w:t>
      </w:r>
      <w:r>
        <w:rPr>
          <w:rFonts w:ascii="仿宋_GB2312" w:cs="仿宋_GB2312" w:eastAsia="仿宋_GB2312" w:hAnsi="仿宋_GB2312" w:hint="eastAsia"/>
          <w:highlight w:val="none"/>
          <w:lang w:eastAsia="zh-CN"/>
        </w:rPr>
        <w:t>人员死亡的</w:t>
      </w:r>
      <w:r>
        <w:rPr>
          <w:rFonts w:ascii="仿宋_GB2312" w:cs="仿宋_GB2312" w:eastAsia="仿宋_GB2312" w:hAnsi="仿宋_GB2312" w:hint="eastAsia"/>
          <w:highlight w:val="none"/>
        </w:rPr>
        <w:t>质量安全</w:t>
      </w:r>
      <w:r>
        <w:rPr>
          <w:rFonts w:ascii="仿宋_GB2312" w:cs="仿宋_GB2312" w:eastAsia="仿宋_GB2312" w:hAnsi="仿宋_GB2312" w:hint="eastAsia"/>
          <w:highlight w:val="none"/>
          <w:lang w:eastAsia="zh-CN"/>
        </w:rPr>
        <w:t>责任</w:t>
      </w:r>
      <w:r>
        <w:rPr>
          <w:rFonts w:ascii="仿宋_GB2312" w:cs="仿宋_GB2312" w:eastAsia="仿宋_GB2312" w:hAnsi="仿宋_GB2312" w:hint="eastAsia"/>
          <w:highlight w:val="none"/>
        </w:rPr>
        <w:t>事故的</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严重违反有关技术标准、规程施工</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严重不按设计图纸施工</w:t>
      </w:r>
      <w:r>
        <w:rPr>
          <w:rFonts w:ascii="仿宋_GB2312" w:cs="仿宋_GB2312" w:eastAsia="仿宋_GB2312" w:hAnsi="仿宋_GB2312" w:hint="eastAsia"/>
          <w:highlight w:val="none"/>
          <w:lang w:eastAsia="zh-CN"/>
        </w:rPr>
        <w:t>的；存在</w:t>
      </w:r>
      <w:r>
        <w:rPr>
          <w:rFonts w:ascii="仿宋_GB2312" w:cs="仿宋_GB2312" w:eastAsia="仿宋_GB2312" w:hAnsi="仿宋_GB2312" w:hint="eastAsia"/>
          <w:highlight w:val="none"/>
        </w:rPr>
        <w:t>其他严重违规行为的</w:t>
      </w:r>
      <w:r>
        <w:rPr>
          <w:rFonts w:ascii="仿宋_GB2312" w:cs="仿宋_GB2312" w:eastAsia="仿宋_GB2312" w:hAnsi="仿宋_GB2312" w:hint="eastAsia"/>
          <w:highlight w:val="none"/>
          <w:lang w:eastAsia="zh-CN"/>
        </w:rPr>
        <w:t>。直接扣分项应</w:t>
      </w:r>
      <w:r>
        <w:rPr>
          <w:rFonts w:ascii="仿宋_GB2312" w:cs="仿宋_GB2312" w:eastAsia="仿宋_GB2312" w:hAnsi="仿宋_GB2312" w:hint="eastAsia"/>
          <w:highlight w:val="none"/>
        </w:rPr>
        <w:t>同时设定整改期限要求限期整改</w:t>
      </w:r>
      <w:r>
        <w:rPr>
          <w:rFonts w:ascii="仿宋_GB2312" w:cs="仿宋_GB2312" w:eastAsia="仿宋_GB2312" w:hAnsi="仿宋_GB2312" w:hint="eastAsia"/>
          <w:highlight w:val="none"/>
          <w:lang w:eastAsia="zh-CN"/>
        </w:rPr>
        <w:t>，但从业单位整改结果不影响其直接扣分；</w:t>
      </w:r>
    </w:p>
    <w:p>
      <w:pPr>
        <w:pStyle w:val="style0"/>
        <w:widowControl w:val="false"/>
        <w:numPr>
          <w:ilvl w:val="255"/>
          <w:numId w:val="0"/>
        </w:numPr>
        <w:kinsoku/>
        <w:topLinePunct/>
        <w:autoSpaceDE/>
        <w:autoSpaceDN/>
        <w:ind w:firstLine="640" w:firstLineChars="200"/>
        <w:rPr>
          <w:rFonts w:ascii="仿宋_GB2312" w:cs="仿宋_GB2312" w:eastAsia="仿宋_GB2312" w:hAnsi="仿宋_GB2312" w:hint="eastAsia"/>
          <w:highlight w:val="none"/>
        </w:rPr>
      </w:pPr>
      <w:r>
        <w:rPr>
          <w:rFonts w:ascii="仿宋_GB2312" w:cs="仿宋_GB2312" w:eastAsia="仿宋_GB2312" w:hAnsi="仿宋_GB2312" w:hint="eastAsia"/>
          <w:highlight w:val="none"/>
        </w:rPr>
        <w:t>4.失信行为整改期限一般不超过 1 个月，难以短期整改到位的问题整改时间不应超过 3 个月，整改时限以</w:t>
      </w:r>
      <w:r>
        <w:rPr>
          <w:rFonts w:ascii="仿宋_GB2312" w:cs="仿宋_GB2312" w:eastAsia="仿宋_GB2312" w:hAnsi="仿宋_GB2312" w:hint="eastAsia"/>
          <w:highlight w:val="none"/>
          <w:lang w:eastAsia="zh-CN"/>
        </w:rPr>
        <w:t>建设单位的通报或</w:t>
      </w:r>
      <w:r>
        <w:rPr>
          <w:rFonts w:ascii="仿宋_GB2312" w:cs="仿宋_GB2312" w:eastAsia="仿宋_GB2312" w:hAnsi="仿宋_GB2312" w:hint="eastAsia"/>
          <w:highlight w:val="none"/>
        </w:rPr>
        <w:t>下发的文书为准。涉及危及生命安全的应立即整改或停工整改</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 xml:space="preserve"> </w:t>
      </w:r>
    </w:p>
    <w:p>
      <w:pPr>
        <w:pStyle w:val="style0"/>
        <w:widowControl w:val="false"/>
        <w:numPr>
          <w:ilvl w:val="255"/>
          <w:numId w:val="0"/>
        </w:numPr>
        <w:kinsoku/>
        <w:topLinePunct/>
        <w:autoSpaceDE/>
        <w:autoSpaceDN/>
        <w:ind w:firstLine="640" w:firstLineChars="200"/>
        <w:rPr>
          <w:rFonts w:ascii="仿宋_GB2312" w:cs="仿宋_GB2312" w:eastAsia="仿宋_GB2312" w:hAnsi="仿宋_GB2312" w:hint="default"/>
          <w:highlight w:val="none"/>
          <w:lang w:val="en-US" w:eastAsia="zh-CN"/>
        </w:rPr>
      </w:pPr>
      <w:r>
        <w:rPr>
          <w:rFonts w:ascii="仿宋_GB2312" w:cs="仿宋_GB2312" w:eastAsia="仿宋_GB2312" w:hAnsi="仿宋_GB2312" w:hint="eastAsia"/>
          <w:highlight w:val="none"/>
          <w:lang w:val="en-US" w:eastAsia="zh-CN"/>
        </w:rPr>
        <w:t>5.项目建设单位应在项目范围内对预扣分情况、直接扣分情况、整改期限、整改结果、正式扣分认定情况等进行通报，并允许从业单位进行申诉；</w:t>
      </w:r>
    </w:p>
    <w:p>
      <w:pPr>
        <w:pStyle w:val="style0"/>
        <w:widowControl w:val="false"/>
        <w:numPr>
          <w:ilvl w:val="255"/>
          <w:numId w:val="0"/>
        </w:numPr>
        <w:kinsoku/>
        <w:topLinePunct/>
        <w:autoSpaceDE/>
        <w:autoSpaceDN/>
        <w:ind w:firstLine="640" w:firstLineChars="200"/>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6</w:t>
      </w:r>
      <w:r>
        <w:rPr>
          <w:rFonts w:ascii="仿宋_GB2312" w:cs="仿宋_GB2312" w:eastAsia="仿宋_GB2312" w:hAnsi="仿宋_GB2312" w:hint="eastAsia"/>
          <w:highlight w:val="none"/>
        </w:rPr>
        <w:t>.各复核认定单位</w:t>
      </w:r>
      <w:r>
        <w:rPr>
          <w:rFonts w:ascii="仿宋_GB2312" w:cs="仿宋_GB2312" w:eastAsia="仿宋_GB2312" w:hAnsi="仿宋_GB2312" w:hint="eastAsia"/>
          <w:highlight w:val="none"/>
          <w:lang w:eastAsia="zh-CN"/>
        </w:rPr>
        <w:t>应</w:t>
      </w:r>
      <w:r>
        <w:rPr>
          <w:rFonts w:ascii="仿宋_GB2312" w:cs="仿宋_GB2312" w:eastAsia="仿宋_GB2312" w:hAnsi="仿宋_GB2312" w:hint="eastAsia"/>
          <w:highlight w:val="none"/>
        </w:rPr>
        <w:t>依据职责分工，对建设单位</w:t>
      </w:r>
      <w:r>
        <w:rPr>
          <w:rFonts w:ascii="仿宋_GB2312" w:cs="仿宋_GB2312" w:eastAsia="仿宋_GB2312" w:hAnsi="仿宋_GB2312" w:hint="eastAsia"/>
          <w:highlight w:val="none"/>
          <w:lang w:eastAsia="zh-CN"/>
        </w:rPr>
        <w:t>填</w:t>
      </w:r>
      <w:r>
        <w:rPr>
          <w:rFonts w:ascii="仿宋_GB2312" w:cs="仿宋_GB2312" w:eastAsia="仿宋_GB2312" w:hAnsi="仿宋_GB2312" w:hint="eastAsia"/>
          <w:highlight w:val="none"/>
        </w:rPr>
        <w:t>报的履约行为扣分情况进行复核认定</w:t>
      </w:r>
      <w:r>
        <w:rPr>
          <w:rFonts w:ascii="仿宋_GB2312" w:cs="仿宋_GB2312" w:eastAsia="仿宋_GB2312" w:hAnsi="仿宋_GB2312" w:hint="eastAsia"/>
          <w:highlight w:val="none"/>
          <w:lang w:val="en-US" w:eastAsia="zh-CN"/>
        </w:rPr>
        <w:t>(政府和社会资本合作项目应先由政府出资人代表确认扣分情况),</w:t>
      </w:r>
      <w:r>
        <w:rPr>
          <w:rFonts w:ascii="仿宋_GB2312" w:cs="仿宋_GB2312" w:eastAsia="仿宋_GB2312" w:hAnsi="仿宋_GB2312" w:hint="eastAsia"/>
          <w:highlight w:val="none"/>
        </w:rPr>
        <w:t>经复核认定的正式扣分</w:t>
      </w:r>
      <w:r>
        <w:rPr>
          <w:rFonts w:ascii="仿宋_GB2312" w:cs="仿宋_GB2312" w:eastAsia="仿宋_GB2312" w:hAnsi="仿宋_GB2312" w:hint="eastAsia"/>
          <w:highlight w:val="none"/>
          <w:lang w:eastAsia="zh-CN"/>
        </w:rPr>
        <w:t>及直接扣分</w:t>
      </w:r>
      <w:r>
        <w:rPr>
          <w:rFonts w:ascii="仿宋_GB2312" w:cs="仿宋_GB2312" w:eastAsia="仿宋_GB2312" w:hAnsi="仿宋_GB2312" w:hint="eastAsia"/>
          <w:highlight w:val="none"/>
        </w:rPr>
        <w:t>，</w:t>
      </w:r>
      <w:r>
        <w:rPr>
          <w:rFonts w:ascii="仿宋_GB2312" w:cs="仿宋_GB2312" w:eastAsia="仿宋_GB2312" w:hAnsi="仿宋_GB2312" w:hint="eastAsia"/>
          <w:highlight w:val="none"/>
          <w:lang w:eastAsia="zh-CN"/>
        </w:rPr>
        <w:t>通过系统</w:t>
      </w:r>
      <w:r>
        <w:rPr>
          <w:rFonts w:ascii="仿宋_GB2312" w:cs="仿宋_GB2312" w:eastAsia="仿宋_GB2312" w:hAnsi="仿宋_GB2312" w:hint="eastAsia"/>
          <w:highlight w:val="none"/>
        </w:rPr>
        <w:t>予以公</w:t>
      </w:r>
      <w:r>
        <w:rPr>
          <w:rFonts w:ascii="仿宋_GB2312" w:cs="仿宋_GB2312" w:eastAsia="仿宋_GB2312" w:hAnsi="仿宋_GB2312" w:hint="eastAsia"/>
          <w:highlight w:val="none"/>
          <w:lang w:eastAsia="zh-CN"/>
        </w:rPr>
        <w:t>布，</w:t>
      </w:r>
      <w:r>
        <w:rPr>
          <w:rFonts w:ascii="仿宋_GB2312" w:cs="仿宋_GB2312" w:eastAsia="仿宋_GB2312" w:hAnsi="仿宋_GB2312" w:hint="eastAsia"/>
          <w:highlight w:val="none"/>
        </w:rPr>
        <w:t>作为定期评价扣分依据。</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其他行为评价：</w:t>
      </w:r>
    </w:p>
    <w:p>
      <w:pPr>
        <w:pStyle w:val="style0"/>
        <w:widowControl w:val="false"/>
        <w:numPr>
          <w:ilvl w:val="0"/>
          <w:numId w:val="4"/>
        </w:numPr>
        <w:kinsoku/>
        <w:topLinePunct/>
        <w:autoSpaceDE/>
        <w:autoSpaceDN/>
        <w:ind w:firstLine="640" w:firstLineChars="200"/>
        <w:rPr>
          <w:rFonts w:ascii="仿宋_GB2312" w:cs="仿宋_GB2312" w:eastAsia="仿宋_GB2312" w:hAnsi="仿宋_GB2312" w:hint="eastAsia"/>
          <w:highlight w:val="none"/>
        </w:rPr>
      </w:pPr>
      <w:r>
        <w:rPr>
          <w:rFonts w:ascii="仿宋_GB2312" w:cs="仿宋_GB2312" w:eastAsia="仿宋_GB2312" w:hAnsi="仿宋_GB2312" w:hint="eastAsia"/>
          <w:highlight w:val="none"/>
        </w:rPr>
        <w:t>其他行为评价</w:t>
      </w:r>
      <w:r>
        <w:rPr>
          <w:rFonts w:ascii="仿宋_GB2312" w:cs="仿宋_GB2312" w:eastAsia="仿宋_GB2312" w:hAnsi="仿宋_GB2312" w:hint="eastAsia"/>
          <w:highlight w:val="none"/>
          <w:lang w:eastAsia="zh-CN"/>
        </w:rPr>
        <w:t>分</w:t>
      </w:r>
      <w:r>
        <w:rPr>
          <w:rFonts w:ascii="仿宋_GB2312" w:cs="仿宋_GB2312" w:eastAsia="仿宋_GB2312" w:hAnsi="仿宋_GB2312" w:hint="eastAsia"/>
          <w:highlight w:val="none"/>
        </w:rPr>
        <w:t>为直接定级</w:t>
      </w:r>
      <w:r>
        <w:rPr>
          <w:rFonts w:ascii="仿宋_GB2312" w:cs="仿宋_GB2312" w:eastAsia="仿宋_GB2312" w:hAnsi="仿宋_GB2312" w:hint="eastAsia"/>
          <w:highlight w:val="none"/>
          <w:lang w:eastAsia="zh-CN"/>
        </w:rPr>
        <w:t>行为、</w:t>
      </w:r>
      <w:r>
        <w:rPr>
          <w:rFonts w:ascii="仿宋_GB2312" w:cs="仿宋_GB2312" w:eastAsia="仿宋_GB2312" w:hAnsi="仿宋_GB2312" w:hint="eastAsia"/>
          <w:highlight w:val="none"/>
        </w:rPr>
        <w:t>总分扣除</w:t>
      </w:r>
      <w:r>
        <w:rPr>
          <w:rFonts w:ascii="仿宋_GB2312" w:cs="仿宋_GB2312" w:eastAsia="仿宋_GB2312" w:hAnsi="仿宋_GB2312" w:hint="eastAsia"/>
          <w:highlight w:val="none"/>
          <w:lang w:eastAsia="zh-CN"/>
        </w:rPr>
        <w:t>行为、正面清单行为三部分；</w:t>
      </w:r>
    </w:p>
    <w:p>
      <w:pPr>
        <w:pStyle w:val="style0"/>
        <w:widowControl w:val="false"/>
        <w:numPr>
          <w:ilvl w:val="0"/>
          <w:numId w:val="4"/>
        </w:numPr>
        <w:kinsoku/>
        <w:topLinePunct/>
        <w:autoSpaceDE/>
        <w:autoSpaceDN/>
        <w:ind w:firstLine="640" w:firstLineChars="200"/>
        <w:rPr>
          <w:rFonts w:ascii="仿宋_GB2312" w:cs="仿宋_GB2312" w:eastAsia="仿宋_GB2312" w:hAnsi="仿宋_GB2312" w:hint="eastAsia"/>
          <w:highlight w:val="none"/>
        </w:rPr>
      </w:pPr>
      <w:r>
        <w:rPr>
          <w:rFonts w:ascii="仿宋_GB2312" w:cs="仿宋_GB2312" w:eastAsia="仿宋_GB2312" w:hAnsi="仿宋_GB2312" w:hint="eastAsia"/>
          <w:highlight w:val="none"/>
        </w:rPr>
        <w:t>负有监督管理职责的相关单位应</w:t>
      </w:r>
      <w:r>
        <w:rPr>
          <w:rFonts w:ascii="仿宋_GB2312" w:cs="仿宋_GB2312" w:eastAsia="仿宋_GB2312" w:hAnsi="仿宋_GB2312" w:hint="eastAsia"/>
          <w:highlight w:val="none"/>
          <w:lang w:eastAsia="zh-CN"/>
        </w:rPr>
        <w:t>对各从业单位的直接定级行为进行动态评价，并</w:t>
      </w:r>
      <w:r>
        <w:rPr>
          <w:rFonts w:ascii="仿宋_GB2312" w:cs="仿宋_GB2312" w:eastAsia="仿宋_GB2312" w:hAnsi="仿宋_GB2312" w:hint="eastAsia"/>
          <w:highlight w:val="none"/>
        </w:rPr>
        <w:t>在定期评价时对</w:t>
      </w:r>
      <w:r>
        <w:rPr>
          <w:rFonts w:ascii="仿宋_GB2312" w:cs="仿宋_GB2312" w:eastAsia="仿宋_GB2312" w:hAnsi="仿宋_GB2312" w:hint="eastAsia"/>
          <w:highlight w:val="none"/>
          <w:lang w:eastAsia="zh-CN"/>
        </w:rPr>
        <w:t>各从业单位的</w:t>
      </w:r>
      <w:r>
        <w:rPr>
          <w:rFonts w:ascii="仿宋_GB2312" w:cs="仿宋_GB2312" w:eastAsia="仿宋_GB2312" w:hAnsi="仿宋_GB2312" w:hint="eastAsia"/>
          <w:highlight w:val="none"/>
        </w:rPr>
        <w:t>总分扣除</w:t>
      </w:r>
      <w:r>
        <w:rPr>
          <w:rFonts w:ascii="仿宋_GB2312" w:cs="仿宋_GB2312" w:eastAsia="仿宋_GB2312" w:hAnsi="仿宋_GB2312" w:hint="eastAsia"/>
          <w:highlight w:val="none"/>
          <w:lang w:eastAsia="zh-CN"/>
        </w:rPr>
        <w:t>行为</w:t>
      </w:r>
      <w:r>
        <w:rPr>
          <w:rFonts w:ascii="仿宋_GB2312" w:cs="仿宋_GB2312" w:eastAsia="仿宋_GB2312" w:hAnsi="仿宋_GB2312" w:hint="eastAsia"/>
          <w:highlight w:val="none"/>
        </w:rPr>
        <w:t>进行评价</w:t>
      </w:r>
      <w:r>
        <w:rPr>
          <w:rFonts w:ascii="仿宋_GB2312" w:cs="仿宋_GB2312" w:eastAsia="仿宋_GB2312" w:hAnsi="仿宋_GB2312" w:hint="eastAsia"/>
          <w:highlight w:val="none"/>
          <w:lang w:eastAsia="zh-CN"/>
        </w:rPr>
        <w:t>；</w:t>
      </w:r>
    </w:p>
    <w:p>
      <w:pPr>
        <w:pStyle w:val="style0"/>
        <w:widowControl w:val="false"/>
        <w:numPr>
          <w:ilvl w:val="0"/>
          <w:numId w:val="4"/>
        </w:numPr>
        <w:kinsoku/>
        <w:topLinePunct/>
        <w:autoSpaceDE/>
        <w:autoSpaceDN/>
        <w:ind w:firstLine="640" w:firstLineChars="200"/>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从业单位应及时填报正面清单行为并提供相应佐证材料，由厅负责审核。</w:t>
      </w:r>
    </w:p>
    <w:p>
      <w:pPr>
        <w:pStyle w:val="style179"/>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信用评价相关信息及评价结果应在厅门户网站进行公示，公示期为 10 个工作日</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参评单位对公示内容有异议的，可</w:t>
      </w:r>
      <w:r>
        <w:rPr>
          <w:rFonts w:ascii="仿宋_GB2312" w:cs="仿宋_GB2312" w:eastAsia="仿宋_GB2312" w:hAnsi="仿宋_GB2312" w:hint="eastAsia"/>
          <w:highlight w:val="none"/>
          <w:lang w:eastAsia="zh-CN"/>
        </w:rPr>
        <w:t>通过系统</w:t>
      </w:r>
      <w:r>
        <w:rPr>
          <w:rFonts w:ascii="仿宋_GB2312" w:cs="仿宋_GB2312" w:eastAsia="仿宋_GB2312" w:hAnsi="仿宋_GB2312" w:hint="eastAsia"/>
          <w:highlight w:val="none"/>
        </w:rPr>
        <w:t>在公示期内提出除补评申请外的申诉</w:t>
      </w:r>
      <w:r>
        <w:rPr>
          <w:rFonts w:ascii="仿宋_GB2312" w:cs="仿宋_GB2312" w:eastAsia="仿宋_GB2312" w:hAnsi="仿宋_GB2312" w:hint="eastAsia"/>
          <w:highlight w:val="none"/>
          <w:lang w:eastAsia="zh-CN"/>
        </w:rPr>
        <w:t>。</w:t>
      </w:r>
      <w:r>
        <w:rPr>
          <w:rFonts w:ascii="仿宋_GB2312" w:cs="仿宋_GB2312" w:eastAsia="仿宋_GB2312" w:hAnsi="仿宋_GB2312" w:hint="eastAsia"/>
          <w:highlight w:val="none"/>
        </w:rPr>
        <w:t xml:space="preserve">申诉应附详细的原始证明材料，申诉人对原始证明材料的真实性负责。 </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公示期间接受投诉和举报，投诉和</w:t>
      </w:r>
      <w:r>
        <w:rPr>
          <w:rFonts w:ascii="仿宋_GB2312" w:cs="仿宋_GB2312" w:eastAsia="仿宋_GB2312" w:hAnsi="仿宋_GB2312" w:hint="eastAsia"/>
          <w:spacing w:val="-11"/>
          <w:highlight w:val="none"/>
        </w:rPr>
        <w:t>举报应采取实名形式</w:t>
      </w:r>
      <w:r>
        <w:rPr>
          <w:rFonts w:ascii="仿宋_GB2312" w:cs="仿宋_GB2312" w:eastAsia="仿宋_GB2312" w:hAnsi="仿宋_GB2312" w:hint="eastAsia"/>
          <w:spacing w:val="-11"/>
          <w:highlight w:val="none"/>
          <w:lang w:eastAsia="zh-CN"/>
        </w:rPr>
        <w:t>，通过系统进行</w:t>
      </w:r>
      <w:r>
        <w:rPr>
          <w:rFonts w:ascii="仿宋_GB2312" w:cs="仿宋_GB2312" w:eastAsia="仿宋_GB2312" w:hAnsi="仿宋_GB2312" w:hint="eastAsia"/>
          <w:spacing w:val="-11"/>
          <w:highlight w:val="none"/>
        </w:rPr>
        <w:t>，材料中应包括以下内容：</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（一）</w:t>
      </w:r>
      <w:r>
        <w:rPr>
          <w:rFonts w:ascii="仿宋_GB2312" w:cs="仿宋_GB2312" w:eastAsia="仿宋_GB2312" w:hAnsi="仿宋_GB2312" w:hint="eastAsia"/>
          <w:highlight w:val="none"/>
        </w:rPr>
        <w:t>举报人的姓名或单位名称、地址及有效联系方式</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（二）</w:t>
      </w:r>
      <w:r>
        <w:rPr>
          <w:rFonts w:ascii="仿宋_GB2312" w:cs="仿宋_GB2312" w:eastAsia="仿宋_GB2312" w:hAnsi="仿宋_GB2312" w:hint="eastAsia"/>
          <w:highlight w:val="none"/>
        </w:rPr>
        <w:t>被举报人的单位名称或姓名</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（三）</w:t>
      </w:r>
      <w:r>
        <w:rPr>
          <w:rFonts w:ascii="仿宋_GB2312" w:cs="仿宋_GB2312" w:eastAsia="仿宋_GB2312" w:hAnsi="仿宋_GB2312" w:hint="eastAsia"/>
          <w:highlight w:val="none"/>
        </w:rPr>
        <w:t>举报事项的基本事实</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（四）</w:t>
      </w:r>
      <w:r>
        <w:rPr>
          <w:rFonts w:ascii="仿宋_GB2312" w:cs="仿宋_GB2312" w:eastAsia="仿宋_GB2312" w:hAnsi="仿宋_GB2312" w:hint="eastAsia"/>
          <w:highlight w:val="none"/>
        </w:rPr>
        <w:t>举报人相关请求及主张</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（五）</w:t>
      </w:r>
      <w:r>
        <w:rPr>
          <w:rFonts w:ascii="仿宋_GB2312" w:cs="仿宋_GB2312" w:eastAsia="仿宋_GB2312" w:hAnsi="仿宋_GB2312" w:hint="eastAsia"/>
          <w:highlight w:val="none"/>
        </w:rPr>
        <w:t>有效线索和相关证明材料</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spacing w:val="-11"/>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spacing w:val="-11"/>
          <w:highlight w:val="none"/>
          <w:lang w:eastAsia="zh-CN"/>
        </w:rPr>
        <w:t>（六）</w:t>
      </w:r>
      <w:r>
        <w:rPr>
          <w:rFonts w:ascii="仿宋_GB2312" w:cs="仿宋_GB2312" w:eastAsia="仿宋_GB2312" w:hAnsi="仿宋_GB2312" w:hint="eastAsia"/>
          <w:spacing w:val="-11"/>
          <w:highlight w:val="none"/>
        </w:rPr>
        <w:t>举报人为单位的，应由法定代表人签字并加盖法人公章。</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省交通运输厅在收到申诉或</w:t>
      </w:r>
      <w:r>
        <w:rPr>
          <w:rFonts w:ascii="仿宋_GB2312" w:cs="仿宋_GB2312" w:eastAsia="仿宋_GB2312" w:hAnsi="仿宋_GB2312" w:hint="eastAsia"/>
          <w:highlight w:val="none"/>
          <w:lang w:eastAsia="zh-CN"/>
        </w:rPr>
        <w:t>投诉</w:t>
      </w:r>
      <w:r>
        <w:rPr>
          <w:rFonts w:ascii="仿宋_GB2312" w:cs="仿宋_GB2312" w:eastAsia="仿宋_GB2312" w:hAnsi="仿宋_GB2312" w:hint="eastAsia"/>
          <w:highlight w:val="none"/>
        </w:rPr>
        <w:t>举报后，将及时组织相关单位进行调查处理，</w:t>
      </w:r>
      <w:r>
        <w:rPr>
          <w:rFonts w:ascii="仿宋_GB2312" w:cs="仿宋_GB2312" w:eastAsia="仿宋_GB2312" w:hAnsi="仿宋_GB2312" w:hint="eastAsia"/>
          <w:highlight w:val="none"/>
          <w:lang w:eastAsia="zh-CN"/>
        </w:rPr>
        <w:t>并通过厅门户网站及时发布信用评价结果。</w:t>
      </w:r>
    </w:p>
    <w:p>
      <w:pPr>
        <w:pStyle w:val="style2"/>
        <w:keepNext w:val="false"/>
        <w:keepLines w:val="false"/>
        <w:widowControl w:val="false"/>
        <w:topLinePunct/>
        <w:rPr>
          <w:rFonts w:ascii="黑体" w:cs="黑体" w:eastAsia="黑体" w:hAnsi="黑体" w:hint="eastAsia"/>
          <w:highlight w:val="none"/>
        </w:rPr>
      </w:pPr>
      <w:r>
        <w:rPr>
          <w:rFonts w:ascii="黑体" w:cs="黑体" w:eastAsia="黑体" w:hAnsi="黑体" w:hint="eastAsia"/>
          <w:highlight w:val="none"/>
        </w:rPr>
        <w:t>第六章 评价结果应用</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信用评价结果</w:t>
      </w:r>
      <w:r>
        <w:rPr>
          <w:rFonts w:ascii="仿宋_GB2312" w:cs="仿宋_GB2312" w:eastAsia="仿宋_GB2312" w:hAnsi="仿宋_GB2312" w:hint="eastAsia"/>
          <w:highlight w:val="none"/>
        </w:rPr>
        <w:t>不予延续。</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信用评价结果有效期为</w:t>
      </w:r>
      <w:r>
        <w:rPr>
          <w:rFonts w:ascii="仿宋_GB2312" w:cs="仿宋_GB2312" w:eastAsia="仿宋_GB2312" w:hAnsi="仿宋_GB2312" w:hint="eastAsia"/>
          <w:highlight w:val="none"/>
          <w:lang w:eastAsia="zh-CN"/>
        </w:rPr>
        <w:t>本年度</w:t>
      </w:r>
      <w:r>
        <w:rPr>
          <w:rFonts w:ascii="仿宋_GB2312" w:cs="仿宋_GB2312" w:eastAsia="仿宋_GB2312" w:hAnsi="仿宋_GB2312" w:hint="eastAsia"/>
          <w:highlight w:val="none"/>
        </w:rPr>
        <w:t>评价结果公布</w:t>
      </w:r>
      <w:r>
        <w:rPr>
          <w:rFonts w:ascii="仿宋_GB2312" w:cs="仿宋_GB2312" w:eastAsia="仿宋_GB2312" w:hAnsi="仿宋_GB2312" w:hint="eastAsia"/>
          <w:highlight w:val="none"/>
          <w:lang w:eastAsia="zh-CN"/>
        </w:rPr>
        <w:t>时</w:t>
      </w:r>
      <w:r>
        <w:rPr>
          <w:rFonts w:ascii="仿宋_GB2312" w:cs="仿宋_GB2312" w:eastAsia="仿宋_GB2312" w:hAnsi="仿宋_GB2312" w:hint="eastAsia"/>
          <w:highlight w:val="none"/>
        </w:rPr>
        <w:t>至下年度评价结果公布</w:t>
      </w:r>
      <w:r>
        <w:rPr>
          <w:rFonts w:ascii="仿宋_GB2312" w:cs="仿宋_GB2312" w:eastAsia="仿宋_GB2312" w:hAnsi="仿宋_GB2312" w:hint="eastAsia"/>
          <w:highlight w:val="none"/>
          <w:lang w:eastAsia="zh-CN"/>
        </w:rPr>
        <w:t>前</w:t>
      </w:r>
      <w:r>
        <w:rPr>
          <w:rFonts w:ascii="仿宋_GB2312" w:cs="仿宋_GB2312" w:eastAsia="仿宋_GB2312" w:hAnsi="仿宋_GB2312" w:hint="eastAsia"/>
          <w:highlight w:val="none"/>
        </w:rPr>
        <w:t>。动态评价有效期为1年，应在动态评价公告中明确。动态评价有效期满后，适用该企业在我省最新的省级</w:t>
      </w:r>
      <w:r>
        <w:rPr>
          <w:rFonts w:ascii="仿宋_GB2312" w:cs="仿宋_GB2312" w:eastAsia="仿宋_GB2312" w:hAnsi="仿宋_GB2312" w:hint="eastAsia"/>
          <w:highlight w:val="none"/>
          <w:lang w:eastAsia="zh-CN"/>
        </w:rPr>
        <w:t>信用评价结果</w:t>
      </w:r>
      <w:r>
        <w:rPr>
          <w:rFonts w:ascii="仿宋_GB2312" w:cs="仿宋_GB2312" w:eastAsia="仿宋_GB2312" w:hAnsi="仿宋_GB2312" w:hint="eastAsia"/>
          <w:highlight w:val="none"/>
        </w:rPr>
        <w:t>。</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评价结果</w:t>
      </w:r>
      <w:r>
        <w:rPr>
          <w:rFonts w:ascii="仿宋_GB2312" w:cs="仿宋_GB2312" w:eastAsia="仿宋_GB2312" w:hAnsi="仿宋_GB2312" w:hint="eastAsia"/>
          <w:highlight w:val="none"/>
          <w:lang w:eastAsia="zh-CN"/>
        </w:rPr>
        <w:t>按以下方式</w:t>
      </w:r>
      <w:r>
        <w:rPr>
          <w:rFonts w:ascii="仿宋_GB2312" w:cs="仿宋_GB2312" w:eastAsia="仿宋_GB2312" w:hAnsi="仿宋_GB2312" w:hint="eastAsia"/>
          <w:highlight w:val="none"/>
        </w:rPr>
        <w:t>引用：</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（一）</w:t>
      </w:r>
      <w:r>
        <w:rPr>
          <w:rFonts w:ascii="仿宋_GB2312" w:cs="仿宋_GB2312" w:eastAsia="仿宋_GB2312" w:hAnsi="仿宋_GB2312" w:hint="eastAsia"/>
          <w:highlight w:val="none"/>
        </w:rPr>
        <w:t>全省范围内的高速公路项目设计、施工招标应优先引用</w:t>
      </w:r>
      <w:r>
        <w:rPr>
          <w:rFonts w:ascii="仿宋_GB2312" w:cs="仿宋_GB2312" w:eastAsia="仿宋_GB2312" w:hAnsi="仿宋_GB2312" w:hint="eastAsia"/>
          <w:highlight w:val="none"/>
          <w:lang w:eastAsia="zh-CN"/>
        </w:rPr>
        <w:t>贵州省专业</w:t>
      </w:r>
      <w:r>
        <w:rPr>
          <w:rFonts w:ascii="仿宋_GB2312" w:cs="仿宋_GB2312" w:eastAsia="仿宋_GB2312" w:hAnsi="仿宋_GB2312" w:hint="eastAsia"/>
          <w:highlight w:val="none"/>
        </w:rPr>
        <w:t>信用评价结果；无贵州省</w:t>
      </w:r>
      <w:r>
        <w:rPr>
          <w:rFonts w:ascii="仿宋_GB2312" w:cs="仿宋_GB2312" w:eastAsia="仿宋_GB2312" w:hAnsi="仿宋_GB2312" w:hint="eastAsia"/>
          <w:highlight w:val="none"/>
          <w:lang w:eastAsia="zh-CN"/>
        </w:rPr>
        <w:t>专业</w:t>
      </w:r>
      <w:r>
        <w:rPr>
          <w:rFonts w:ascii="仿宋_GB2312" w:cs="仿宋_GB2312" w:eastAsia="仿宋_GB2312" w:hAnsi="仿宋_GB2312" w:hint="eastAsia"/>
          <w:highlight w:val="none"/>
        </w:rPr>
        <w:t>信用评价结果的，引用</w:t>
      </w:r>
      <w:r>
        <w:rPr>
          <w:rFonts w:ascii="仿宋_GB2312" w:cs="仿宋_GB2312" w:eastAsia="仿宋_GB2312" w:hAnsi="仿宋_GB2312" w:hint="eastAsia"/>
          <w:highlight w:val="none"/>
          <w:lang w:eastAsia="zh-CN"/>
        </w:rPr>
        <w:t>贵州省综合信用评价结果；无贵州省综合信用评价结果的，引用</w:t>
      </w:r>
      <w:r>
        <w:rPr>
          <w:rFonts w:ascii="仿宋_GB2312" w:cs="仿宋_GB2312" w:eastAsia="仿宋_GB2312" w:hAnsi="仿宋_GB2312" w:hint="eastAsia"/>
          <w:highlight w:val="none"/>
        </w:rPr>
        <w:t>全国综合</w:t>
      </w:r>
      <w:r>
        <w:rPr>
          <w:rFonts w:ascii="仿宋_GB2312" w:cs="仿宋_GB2312" w:eastAsia="仿宋_GB2312" w:hAnsi="仿宋_GB2312" w:hint="eastAsia"/>
          <w:highlight w:val="none"/>
          <w:lang w:eastAsia="zh-CN"/>
        </w:rPr>
        <w:t>信用评价结果</w:t>
      </w:r>
      <w:r>
        <w:rPr>
          <w:rFonts w:ascii="仿宋_GB2312" w:cs="仿宋_GB2312" w:eastAsia="仿宋_GB2312" w:hAnsi="仿宋_GB2312" w:hint="eastAsia"/>
          <w:highlight w:val="none"/>
        </w:rPr>
        <w:t>；</w:t>
      </w:r>
      <w:r>
        <w:rPr>
          <w:rFonts w:ascii="仿宋_GB2312" w:cs="仿宋_GB2312" w:eastAsia="仿宋_GB2312" w:hAnsi="仿宋_GB2312" w:hint="eastAsia"/>
          <w:highlight w:val="none"/>
          <w:lang w:eastAsia="zh-CN"/>
        </w:rPr>
        <w:t>以上评价结果</w:t>
      </w:r>
      <w:r>
        <w:rPr>
          <w:rFonts w:ascii="仿宋_GB2312" w:cs="仿宋_GB2312" w:eastAsia="仿宋_GB2312" w:hAnsi="仿宋_GB2312" w:hint="eastAsia"/>
          <w:highlight w:val="none"/>
        </w:rPr>
        <w:t>皆无</w:t>
      </w:r>
      <w:r>
        <w:rPr>
          <w:rFonts w:ascii="仿宋_GB2312" w:cs="仿宋_GB2312" w:eastAsia="仿宋_GB2312" w:hAnsi="仿宋_GB2312" w:hint="eastAsia"/>
          <w:highlight w:val="none"/>
          <w:lang w:eastAsia="zh-CN"/>
        </w:rPr>
        <w:t>且无失信行为记录</w:t>
      </w:r>
      <w:r>
        <w:rPr>
          <w:rFonts w:ascii="仿宋_GB2312" w:cs="仿宋_GB2312" w:eastAsia="仿宋_GB2312" w:hAnsi="仿宋_GB2312" w:hint="eastAsia"/>
          <w:highlight w:val="none"/>
        </w:rPr>
        <w:t>的</w:t>
      </w:r>
      <w:r>
        <w:rPr>
          <w:rFonts w:ascii="仿宋_GB2312" w:cs="仿宋_GB2312" w:eastAsia="仿宋_GB2312" w:hAnsi="仿宋_GB2312" w:hint="eastAsia"/>
          <w:highlight w:val="none"/>
          <w:lang w:eastAsia="zh-CN"/>
        </w:rPr>
        <w:t>视为</w:t>
      </w:r>
      <w:r>
        <w:rPr>
          <w:rFonts w:ascii="仿宋_GB2312" w:cs="仿宋_GB2312" w:eastAsia="仿宋_GB2312" w:hAnsi="仿宋_GB2312" w:hint="eastAsia"/>
          <w:highlight w:val="none"/>
        </w:rPr>
        <w:t>初次进入贵州省，</w:t>
      </w:r>
      <w:r>
        <w:rPr>
          <w:rFonts w:ascii="仿宋_GB2312" w:cs="仿宋_GB2312" w:eastAsia="仿宋_GB2312" w:hAnsi="仿宋_GB2312" w:hint="eastAsia"/>
          <w:highlight w:val="none"/>
          <w:lang w:eastAsia="zh-CN"/>
        </w:rPr>
        <w:t>信用等级按综合评价结果</w:t>
      </w:r>
      <w:r>
        <w:rPr>
          <w:rFonts w:ascii="仿宋_GB2312" w:cs="仿宋_GB2312" w:eastAsia="仿宋_GB2312" w:hAnsi="仿宋_GB2312" w:hint="eastAsia"/>
          <w:highlight w:val="none"/>
        </w:rPr>
        <w:t>A级</w:t>
      </w:r>
      <w:r>
        <w:rPr>
          <w:rFonts w:ascii="仿宋_GB2312" w:cs="仿宋_GB2312" w:eastAsia="仿宋_GB2312" w:hAnsi="仿宋_GB2312" w:hint="eastAsia"/>
          <w:highlight w:val="none"/>
          <w:lang w:eastAsia="zh-CN"/>
        </w:rPr>
        <w:t>对待；</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（二）</w:t>
      </w:r>
      <w:r>
        <w:rPr>
          <w:rFonts w:ascii="仿宋_GB2312" w:cs="仿宋_GB2312" w:eastAsia="仿宋_GB2312" w:hAnsi="仿宋_GB2312" w:hint="eastAsia"/>
          <w:highlight w:val="none"/>
        </w:rPr>
        <w:t>公路施工招标应按招标专业对应引用。招标人应在施工招标文件中明确各合同段对应的招标专业，同一合同段涉及多个专业的，以其中工程规模所占比例最大的专业为招标专业</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（三）</w:t>
      </w:r>
      <w:r>
        <w:rPr>
          <w:rFonts w:ascii="仿宋_GB2312" w:cs="仿宋_GB2312" w:eastAsia="仿宋_GB2312" w:hAnsi="仿宋_GB2312" w:hint="eastAsia"/>
          <w:highlight w:val="none"/>
        </w:rPr>
        <w:t>从业单位为联合体参与投标的，其</w:t>
      </w:r>
      <w:r>
        <w:rPr>
          <w:rFonts w:ascii="仿宋_GB2312" w:cs="仿宋_GB2312" w:eastAsia="仿宋_GB2312" w:hAnsi="仿宋_GB2312" w:hint="eastAsia"/>
          <w:highlight w:val="none"/>
          <w:lang w:eastAsia="zh-CN"/>
        </w:rPr>
        <w:t>信用等级</w:t>
      </w:r>
      <w:r>
        <w:rPr>
          <w:rFonts w:ascii="仿宋_GB2312" w:cs="仿宋_GB2312" w:eastAsia="仿宋_GB2312" w:hAnsi="仿宋_GB2312" w:hint="eastAsia"/>
          <w:highlight w:val="none"/>
        </w:rPr>
        <w:t>按照联合体成员中最低</w:t>
      </w:r>
      <w:r>
        <w:rPr>
          <w:rFonts w:ascii="仿宋_GB2312" w:cs="仿宋_GB2312" w:eastAsia="仿宋_GB2312" w:hAnsi="仿宋_GB2312" w:hint="eastAsia"/>
          <w:highlight w:val="none"/>
          <w:lang w:eastAsia="zh-CN"/>
        </w:rPr>
        <w:t>信用等级</w:t>
      </w:r>
      <w:r>
        <w:rPr>
          <w:rFonts w:ascii="仿宋_GB2312" w:cs="仿宋_GB2312" w:eastAsia="仿宋_GB2312" w:hAnsi="仿宋_GB2312" w:hint="eastAsia"/>
          <w:highlight w:val="none"/>
        </w:rPr>
        <w:t>确定</w:t>
      </w:r>
      <w:r>
        <w:rPr>
          <w:rFonts w:ascii="仿宋_GB2312" w:cs="仿宋_GB2312" w:eastAsia="仿宋_GB2312" w:hAnsi="仿宋_GB2312" w:hint="eastAsia"/>
          <w:highlight w:val="none"/>
          <w:lang w:eastAsia="zh-CN"/>
        </w:rPr>
        <w:t>；</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rPr>
        <w:t>从业单位分立、更名、改制、转制、重组的，不改变其信用等级。从业单位合并的，按照信用等级较低单位的等级确定合并后单位的信用等级</w:t>
      </w:r>
      <w:r>
        <w:rPr>
          <w:rFonts w:ascii="仿宋_GB2312" w:cs="仿宋_GB2312" w:eastAsia="仿宋_GB2312" w:hAnsi="仿宋_GB2312" w:hint="eastAsia"/>
          <w:highlight w:val="none"/>
          <w:lang w:eastAsia="zh-CN"/>
        </w:rPr>
        <w:t>。</w:t>
      </w:r>
    </w:p>
    <w:p>
      <w:pPr>
        <w:pStyle w:val="style0"/>
        <w:widowControl w:val="false"/>
        <w:numPr>
          <w:ilvl w:val="0"/>
          <w:numId w:val="1"/>
        </w:numPr>
        <w:kinsoku/>
        <w:topLinePunct/>
        <w:autoSpaceDE/>
        <w:autoSpaceDN/>
        <w:ind w:firstLine="0" w:firstLineChars="0"/>
        <w:rPr>
          <w:rFonts w:ascii="仿宋_GB2312" w:cs="仿宋_GB2312" w:eastAsia="仿宋_GB2312" w:hAnsi="仿宋_GB2312" w:hint="eastAsia"/>
          <w:highlight w:val="none"/>
        </w:rPr>
      </w:pPr>
      <w:r>
        <w:rPr>
          <w:rFonts w:ascii="仿宋_GB2312" w:cs="仿宋_GB2312" w:eastAsia="仿宋_GB2312" w:hAnsi="仿宋_GB2312" w:hint="eastAsia"/>
          <w:highlight w:val="none"/>
        </w:rPr>
        <w:t>各招标人</w:t>
      </w:r>
      <w:r>
        <w:rPr>
          <w:rFonts w:ascii="仿宋_GB2312" w:cs="仿宋_GB2312" w:eastAsia="仿宋_GB2312" w:hAnsi="仿宋_GB2312" w:hint="eastAsia"/>
          <w:highlight w:val="none"/>
          <w:lang w:eastAsia="zh-CN"/>
        </w:rPr>
        <w:t>可参考使用以下</w:t>
      </w:r>
      <w:r>
        <w:rPr>
          <w:rFonts w:ascii="仿宋_GB2312" w:cs="仿宋_GB2312" w:eastAsia="仿宋_GB2312" w:hAnsi="仿宋_GB2312" w:hint="eastAsia"/>
          <w:highlight w:val="none"/>
        </w:rPr>
        <w:t>评价结果在我省公路市场招标投标中的具体应用</w:t>
      </w:r>
      <w:r>
        <w:rPr>
          <w:rFonts w:ascii="仿宋_GB2312" w:cs="仿宋_GB2312" w:eastAsia="仿宋_GB2312" w:hAnsi="仿宋_GB2312" w:hint="eastAsia"/>
          <w:highlight w:val="none"/>
          <w:lang w:eastAsia="zh-CN"/>
        </w:rPr>
        <w:t>方式</w:t>
      </w:r>
      <w:r>
        <w:rPr>
          <w:rFonts w:ascii="仿宋_GB2312" w:cs="仿宋_GB2312" w:eastAsia="仿宋_GB2312" w:hAnsi="仿宋_GB2312" w:hint="eastAsia"/>
          <w:highlight w:val="none"/>
        </w:rPr>
        <w:t>，</w:t>
      </w:r>
      <w:r>
        <w:rPr>
          <w:rFonts w:ascii="仿宋_GB2312" w:cs="仿宋_GB2312" w:eastAsia="仿宋_GB2312" w:hAnsi="仿宋_GB2312" w:hint="eastAsia"/>
          <w:highlight w:val="none"/>
          <w:lang w:eastAsia="zh-CN"/>
        </w:rPr>
        <w:t>并</w:t>
      </w:r>
      <w:r>
        <w:rPr>
          <w:rFonts w:ascii="仿宋_GB2312" w:cs="仿宋_GB2312" w:eastAsia="仿宋_GB2312" w:hAnsi="仿宋_GB2312" w:hint="eastAsia"/>
          <w:highlight w:val="none"/>
        </w:rPr>
        <w:t>将其写入招标文件中：</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（一）</w:t>
      </w:r>
      <w:r>
        <w:rPr>
          <w:rFonts w:ascii="仿宋_GB2312" w:cs="仿宋_GB2312" w:eastAsia="仿宋_GB2312" w:hAnsi="仿宋_GB2312" w:hint="eastAsia"/>
          <w:highlight w:val="none"/>
        </w:rPr>
        <w:t>从业单位</w:t>
      </w:r>
      <w:r>
        <w:rPr>
          <w:rFonts w:ascii="仿宋_GB2312" w:cs="仿宋_GB2312" w:eastAsia="仿宋_GB2312" w:hAnsi="仿宋_GB2312" w:hint="eastAsia"/>
          <w:highlight w:val="none"/>
          <w:lang w:eastAsia="zh-CN"/>
        </w:rPr>
        <w:t>可参与投标的合同段数量</w:t>
      </w:r>
      <w:r>
        <w:rPr>
          <w:rFonts w:ascii="仿宋_GB2312" w:cs="仿宋_GB2312" w:eastAsia="仿宋_GB2312" w:hAnsi="仿宋_GB2312" w:hint="eastAsia"/>
          <w:highlight w:val="none"/>
        </w:rPr>
        <w:t>（</w:t>
      </w:r>
      <w:r>
        <w:rPr>
          <w:rFonts w:ascii="仿宋_GB2312" w:cs="仿宋_GB2312" w:eastAsia="仿宋_GB2312" w:hAnsi="仿宋_GB2312" w:hint="eastAsia"/>
          <w:highlight w:val="none"/>
          <w:lang w:eastAsia="zh-CN"/>
        </w:rPr>
        <w:t>该数量为最大值，</w:t>
      </w:r>
      <w:r>
        <w:rPr>
          <w:rFonts w:ascii="仿宋_GB2312" w:cs="仿宋_GB2312" w:eastAsia="仿宋_GB2312" w:hAnsi="仿宋_GB2312" w:hint="eastAsia"/>
          <w:highlight w:val="none"/>
        </w:rPr>
        <w:t>括号中数字表示可中标合同段数</w:t>
      </w:r>
      <w:r>
        <w:rPr>
          <w:rFonts w:ascii="仿宋_GB2312" w:cs="仿宋_GB2312" w:eastAsia="仿宋_GB2312" w:hAnsi="仿宋_GB2312" w:hint="eastAsia"/>
          <w:highlight w:val="none"/>
          <w:lang w:eastAsia="zh-CN"/>
        </w:rPr>
        <w:t>量</w:t>
      </w:r>
      <w:r>
        <w:rPr>
          <w:rFonts w:ascii="仿宋_GB2312" w:cs="仿宋_GB2312" w:eastAsia="仿宋_GB2312" w:hAnsi="仿宋_GB2312" w:hint="eastAsia"/>
          <w:highlight w:val="none"/>
        </w:rPr>
        <w:t>）：</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558"/>
        <w:gridCol w:w="1174"/>
        <w:gridCol w:w="1069"/>
        <w:gridCol w:w="1028"/>
        <w:gridCol w:w="974"/>
        <w:gridCol w:w="1435"/>
      </w:tblGrid>
      <w:tr>
        <w:trPr>
          <w:trHeight w:val="357" w:hRule="atLeast"/>
          <w:tblHeader/>
          <w:jc w:val="center"/>
        </w:trPr>
        <w:tc>
          <w:tcPr>
            <w:tcW w:w="2558"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一次招标合同段数N</w:t>
            </w:r>
          </w:p>
        </w:tc>
        <w:tc>
          <w:tcPr>
            <w:tcW w:w="1174"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AA</w:t>
            </w:r>
          </w:p>
        </w:tc>
        <w:tc>
          <w:tcPr>
            <w:tcW w:w="1069"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A</w:t>
            </w:r>
          </w:p>
        </w:tc>
        <w:tc>
          <w:tcPr>
            <w:tcW w:w="1028"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B</w:t>
            </w:r>
          </w:p>
        </w:tc>
        <w:tc>
          <w:tcPr>
            <w:tcW w:w="974"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C</w:t>
            </w:r>
          </w:p>
        </w:tc>
        <w:tc>
          <w:tcPr>
            <w:tcW w:w="1435"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lang w:val="en-US" w:eastAsia="zh-CN"/>
              </w:rPr>
            </w:pPr>
            <w:r>
              <w:rPr>
                <w:rFonts w:ascii="仿宋_GB2312" w:cs="仿宋_GB2312" w:eastAsia="仿宋_GB2312" w:hAnsi="仿宋_GB2312" w:hint="eastAsia"/>
                <w:sz w:val="21"/>
                <w:highlight w:val="none"/>
                <w:lang w:val="en-US" w:eastAsia="zh-CN"/>
              </w:rPr>
              <w:t>D</w:t>
            </w:r>
          </w:p>
        </w:tc>
      </w:tr>
      <w:tr>
        <w:tblPrEx/>
        <w:trPr>
          <w:trHeight w:val="357" w:hRule="atLeast"/>
          <w:jc w:val="center"/>
        </w:trPr>
        <w:tc>
          <w:tcPr>
            <w:tcW w:w="2558"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N≥11</w:t>
            </w:r>
          </w:p>
        </w:tc>
        <w:tc>
          <w:tcPr>
            <w:tcW w:w="1174"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lang w:val="en-US" w:eastAsia="zh-CN"/>
              </w:rPr>
              <w:t>6</w:t>
            </w: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3</w:t>
            </w:r>
            <w:r>
              <w:rPr>
                <w:rFonts w:ascii="仿宋_GB2312" w:cs="仿宋_GB2312" w:eastAsia="仿宋_GB2312" w:hAnsi="仿宋_GB2312" w:hint="eastAsia"/>
                <w:sz w:val="21"/>
                <w:highlight w:val="none"/>
              </w:rPr>
              <w:t>）</w:t>
            </w:r>
          </w:p>
        </w:tc>
        <w:tc>
          <w:tcPr>
            <w:tcW w:w="1069"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lang w:val="en-US" w:eastAsia="zh-CN"/>
              </w:rPr>
              <w:t>4</w:t>
            </w: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2</w:t>
            </w:r>
            <w:r>
              <w:rPr>
                <w:rFonts w:ascii="仿宋_GB2312" w:cs="仿宋_GB2312" w:eastAsia="仿宋_GB2312" w:hAnsi="仿宋_GB2312" w:hint="eastAsia"/>
                <w:sz w:val="21"/>
                <w:highlight w:val="none"/>
              </w:rPr>
              <w:t>）</w:t>
            </w:r>
          </w:p>
        </w:tc>
        <w:tc>
          <w:tcPr>
            <w:tcW w:w="1028"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1（1）</w:t>
            </w:r>
          </w:p>
        </w:tc>
        <w:tc>
          <w:tcPr>
            <w:tcW w:w="974"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1（1）</w:t>
            </w:r>
          </w:p>
        </w:tc>
        <w:tc>
          <w:tcPr>
            <w:tcW w:w="1435"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1（1）</w:t>
            </w:r>
          </w:p>
        </w:tc>
      </w:tr>
      <w:tr>
        <w:tblPrEx/>
        <w:trPr>
          <w:trHeight w:val="357" w:hRule="atLeast"/>
          <w:jc w:val="center"/>
        </w:trPr>
        <w:tc>
          <w:tcPr>
            <w:tcW w:w="2558"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10≥N≥6</w:t>
            </w:r>
          </w:p>
        </w:tc>
        <w:tc>
          <w:tcPr>
            <w:tcW w:w="1174"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lang w:val="en-US" w:eastAsia="zh-CN"/>
              </w:rPr>
              <w:t>4</w:t>
            </w: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2</w:t>
            </w:r>
            <w:r>
              <w:rPr>
                <w:rFonts w:ascii="仿宋_GB2312" w:cs="仿宋_GB2312" w:eastAsia="仿宋_GB2312" w:hAnsi="仿宋_GB2312" w:hint="eastAsia"/>
                <w:sz w:val="21"/>
                <w:highlight w:val="none"/>
              </w:rPr>
              <w:t>）</w:t>
            </w:r>
          </w:p>
        </w:tc>
        <w:tc>
          <w:tcPr>
            <w:tcW w:w="1069"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2（1）</w:t>
            </w:r>
          </w:p>
        </w:tc>
        <w:tc>
          <w:tcPr>
            <w:tcW w:w="1028"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1（1）</w:t>
            </w:r>
          </w:p>
        </w:tc>
        <w:tc>
          <w:tcPr>
            <w:tcW w:w="974"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1（1）</w:t>
            </w:r>
          </w:p>
        </w:tc>
        <w:tc>
          <w:tcPr>
            <w:tcW w:w="1435"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1（1）</w:t>
            </w:r>
          </w:p>
        </w:tc>
      </w:tr>
      <w:tr>
        <w:tblPrEx/>
        <w:trPr>
          <w:trHeight w:val="357" w:hRule="atLeast"/>
          <w:jc w:val="center"/>
        </w:trPr>
        <w:tc>
          <w:tcPr>
            <w:tcW w:w="2558"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5≥N≥3</w:t>
            </w:r>
          </w:p>
        </w:tc>
        <w:tc>
          <w:tcPr>
            <w:tcW w:w="1174"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lang w:val="en-US" w:eastAsia="zh-CN"/>
              </w:rPr>
              <w:t>3</w:t>
            </w: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1</w:t>
            </w:r>
            <w:r>
              <w:rPr>
                <w:rFonts w:ascii="仿宋_GB2312" w:cs="仿宋_GB2312" w:eastAsia="仿宋_GB2312" w:hAnsi="仿宋_GB2312" w:hint="eastAsia"/>
                <w:sz w:val="21"/>
                <w:highlight w:val="none"/>
              </w:rPr>
              <w:t>）</w:t>
            </w:r>
          </w:p>
        </w:tc>
        <w:tc>
          <w:tcPr>
            <w:tcW w:w="1069"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2（1）</w:t>
            </w:r>
          </w:p>
        </w:tc>
        <w:tc>
          <w:tcPr>
            <w:tcW w:w="1028"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1（1）</w:t>
            </w:r>
          </w:p>
        </w:tc>
        <w:tc>
          <w:tcPr>
            <w:tcW w:w="974"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1（1）</w:t>
            </w:r>
          </w:p>
        </w:tc>
        <w:tc>
          <w:tcPr>
            <w:tcW w:w="1435"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1（1）</w:t>
            </w:r>
          </w:p>
        </w:tc>
      </w:tr>
      <w:tr>
        <w:tblPrEx/>
        <w:trPr>
          <w:trHeight w:val="367" w:hRule="atLeast"/>
          <w:jc w:val="center"/>
        </w:trPr>
        <w:tc>
          <w:tcPr>
            <w:tcW w:w="2558"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N＝2</w:t>
            </w:r>
          </w:p>
        </w:tc>
        <w:tc>
          <w:tcPr>
            <w:tcW w:w="1174"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2（</w:t>
            </w:r>
            <w:r>
              <w:rPr>
                <w:rFonts w:ascii="仿宋_GB2312" w:cs="仿宋_GB2312" w:eastAsia="仿宋_GB2312" w:hAnsi="仿宋_GB2312" w:hint="eastAsia"/>
                <w:sz w:val="21"/>
                <w:highlight w:val="none"/>
                <w:lang w:val="en-US" w:eastAsia="zh-CN"/>
              </w:rPr>
              <w:t>1</w:t>
            </w:r>
            <w:r>
              <w:rPr>
                <w:rFonts w:ascii="仿宋_GB2312" w:cs="仿宋_GB2312" w:eastAsia="仿宋_GB2312" w:hAnsi="仿宋_GB2312" w:hint="eastAsia"/>
                <w:sz w:val="21"/>
                <w:highlight w:val="none"/>
              </w:rPr>
              <w:t>）</w:t>
            </w:r>
          </w:p>
        </w:tc>
        <w:tc>
          <w:tcPr>
            <w:tcW w:w="1069"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2（1）</w:t>
            </w:r>
          </w:p>
        </w:tc>
        <w:tc>
          <w:tcPr>
            <w:tcW w:w="1028"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1（1）</w:t>
            </w:r>
          </w:p>
        </w:tc>
        <w:tc>
          <w:tcPr>
            <w:tcW w:w="974"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1（1）</w:t>
            </w:r>
          </w:p>
        </w:tc>
        <w:tc>
          <w:tcPr>
            <w:tcW w:w="1435"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1（1）</w:t>
            </w:r>
          </w:p>
        </w:tc>
      </w:tr>
    </w:tbl>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（二）设计招标及</w:t>
      </w:r>
      <w:r>
        <w:rPr>
          <w:rFonts w:ascii="仿宋_GB2312" w:cs="仿宋_GB2312" w:eastAsia="仿宋_GB2312" w:hAnsi="仿宋_GB2312" w:hint="eastAsia"/>
          <w:highlight w:val="none"/>
        </w:rPr>
        <w:t>采用综合评</w:t>
      </w:r>
      <w:r>
        <w:rPr>
          <w:rFonts w:ascii="仿宋_GB2312" w:cs="仿宋_GB2312" w:eastAsia="仿宋_GB2312" w:hAnsi="仿宋_GB2312" w:hint="eastAsia"/>
          <w:highlight w:val="none"/>
          <w:lang w:eastAsia="zh-CN"/>
        </w:rPr>
        <w:t>分</w:t>
      </w:r>
      <w:r>
        <w:rPr>
          <w:rFonts w:ascii="仿宋_GB2312" w:cs="仿宋_GB2312" w:eastAsia="仿宋_GB2312" w:hAnsi="仿宋_GB2312" w:hint="eastAsia"/>
          <w:highlight w:val="none"/>
        </w:rPr>
        <w:t>法</w:t>
      </w:r>
      <w:r>
        <w:rPr>
          <w:rFonts w:ascii="仿宋_GB2312" w:cs="仿宋_GB2312" w:eastAsia="仿宋_GB2312" w:hAnsi="仿宋_GB2312" w:hint="eastAsia"/>
          <w:highlight w:val="none"/>
          <w:lang w:eastAsia="zh-CN"/>
        </w:rPr>
        <w:t>、技术评分最低标价法进行施工招标</w:t>
      </w:r>
      <w:r>
        <w:rPr>
          <w:rFonts w:ascii="仿宋_GB2312" w:cs="仿宋_GB2312" w:eastAsia="仿宋_GB2312" w:hAnsi="仿宋_GB2312" w:hint="eastAsia"/>
          <w:highlight w:val="none"/>
        </w:rPr>
        <w:t>时，根据投标人的</w:t>
      </w:r>
      <w:r>
        <w:rPr>
          <w:rFonts w:ascii="仿宋_GB2312" w:cs="仿宋_GB2312" w:eastAsia="仿宋_GB2312" w:hAnsi="仿宋_GB2312" w:hint="eastAsia"/>
          <w:highlight w:val="none"/>
          <w:lang w:eastAsia="zh-CN"/>
        </w:rPr>
        <w:t>信用评价等级</w:t>
      </w:r>
      <w:r>
        <w:rPr>
          <w:rFonts w:ascii="仿宋_GB2312" w:cs="仿宋_GB2312" w:eastAsia="仿宋_GB2312" w:hAnsi="仿宋_GB2312" w:hint="eastAsia"/>
          <w:highlight w:val="none"/>
        </w:rPr>
        <w:t>按下列标准</w:t>
      </w:r>
      <w:r>
        <w:rPr>
          <w:rFonts w:ascii="仿宋_GB2312" w:cs="仿宋_GB2312" w:eastAsia="仿宋_GB2312" w:hAnsi="仿宋_GB2312" w:hint="eastAsia"/>
          <w:highlight w:val="none"/>
          <w:lang w:eastAsia="zh-CN"/>
        </w:rPr>
        <w:t>加分或减分（下表中的综合评价包括贵州省综合信用评价和全国</w:t>
      </w:r>
      <w:r>
        <w:rPr>
          <w:rFonts w:ascii="仿宋_GB2312" w:cs="仿宋_GB2312" w:eastAsia="仿宋_GB2312" w:hAnsi="仿宋_GB2312" w:hint="eastAsia"/>
          <w:highlight w:val="none"/>
        </w:rPr>
        <w:t>综合</w:t>
      </w:r>
      <w:r>
        <w:rPr>
          <w:rFonts w:ascii="仿宋_GB2312" w:cs="仿宋_GB2312" w:eastAsia="仿宋_GB2312" w:hAnsi="仿宋_GB2312" w:hint="eastAsia"/>
          <w:highlight w:val="none"/>
          <w:lang w:eastAsia="zh-CN"/>
        </w:rPr>
        <w:t>信用评价）</w:t>
      </w:r>
      <w:r>
        <w:rPr>
          <w:rFonts w:ascii="仿宋_GB2312" w:cs="仿宋_GB2312" w:eastAsia="仿宋_GB2312" w:hAnsi="仿宋_GB2312" w:hint="eastAsia"/>
          <w:highlight w:val="none"/>
        </w:rPr>
        <w:t>：</w:t>
      </w:r>
    </w:p>
    <w:tbl>
      <w:tblPr>
        <w:tblStyle w:val="style105"/>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11"/>
        <w:gridCol w:w="827"/>
        <w:gridCol w:w="755"/>
        <w:gridCol w:w="755"/>
        <w:gridCol w:w="792"/>
        <w:gridCol w:w="731"/>
        <w:gridCol w:w="732"/>
        <w:gridCol w:w="791"/>
        <w:gridCol w:w="767"/>
        <w:gridCol w:w="803"/>
      </w:tblGrid>
      <w:tr>
        <w:trPr>
          <w:tblHeader/>
          <w:jc w:val="center"/>
        </w:trPr>
        <w:tc>
          <w:tcPr>
            <w:tcW w:w="1811" w:type="dxa"/>
            <w:vMerge w:val="restart"/>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总分100时专家具有个人自由裁量权的分数T</w:t>
            </w:r>
          </w:p>
        </w:tc>
        <w:tc>
          <w:tcPr>
            <w:tcW w:w="1582" w:type="dxa"/>
            <w:gridSpan w:val="2"/>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AA</w:t>
            </w:r>
          </w:p>
        </w:tc>
        <w:tc>
          <w:tcPr>
            <w:tcW w:w="1547" w:type="dxa"/>
            <w:gridSpan w:val="2"/>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A</w:t>
            </w:r>
          </w:p>
        </w:tc>
        <w:tc>
          <w:tcPr>
            <w:tcW w:w="73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B</w:t>
            </w:r>
          </w:p>
        </w:tc>
        <w:tc>
          <w:tcPr>
            <w:tcW w:w="1523" w:type="dxa"/>
            <w:gridSpan w:val="2"/>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C</w:t>
            </w:r>
          </w:p>
        </w:tc>
        <w:tc>
          <w:tcPr>
            <w:tcW w:w="1570" w:type="dxa"/>
            <w:gridSpan w:val="2"/>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lang w:val="en-US" w:eastAsia="zh-CN"/>
              </w:rPr>
            </w:pPr>
            <w:r>
              <w:rPr>
                <w:rFonts w:ascii="仿宋_GB2312" w:cs="仿宋_GB2312" w:eastAsia="仿宋_GB2312" w:hAnsi="仿宋_GB2312" w:hint="eastAsia"/>
                <w:sz w:val="21"/>
                <w:highlight w:val="none"/>
                <w:lang w:val="en-US" w:eastAsia="zh-CN"/>
              </w:rPr>
              <w:t>D</w:t>
            </w:r>
          </w:p>
        </w:tc>
      </w:tr>
      <w:tr>
        <w:tblPrEx/>
        <w:trPr>
          <w:tblHeader/>
          <w:jc w:val="center"/>
        </w:trPr>
        <w:tc>
          <w:tcPr>
            <w:tcW w:w="1811" w:type="dxa"/>
            <w:vMerge w:val="continue"/>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p>
        </w:tc>
        <w:tc>
          <w:tcPr>
            <w:tcW w:w="827"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lang w:eastAsia="zh-CN"/>
              </w:rPr>
              <w:t>专业</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评价</w:t>
            </w:r>
          </w:p>
        </w:tc>
        <w:tc>
          <w:tcPr>
            <w:tcW w:w="755"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综合评价</w:t>
            </w:r>
          </w:p>
        </w:tc>
        <w:tc>
          <w:tcPr>
            <w:tcW w:w="755"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lang w:eastAsia="zh-CN"/>
              </w:rPr>
              <w:t>专业</w:t>
            </w:r>
            <w:r>
              <w:rPr>
                <w:rFonts w:ascii="仿宋_GB2312" w:cs="仿宋_GB2312" w:eastAsia="仿宋_GB2312" w:hAnsi="仿宋_GB2312" w:hint="eastAsia"/>
                <w:sz w:val="21"/>
                <w:highlight w:val="none"/>
              </w:rPr>
              <w:t>评价</w:t>
            </w:r>
          </w:p>
        </w:tc>
        <w:tc>
          <w:tcPr>
            <w:tcW w:w="792"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综合评价</w:t>
            </w:r>
          </w:p>
        </w:tc>
        <w:tc>
          <w:tcPr>
            <w:tcW w:w="73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w:t>
            </w:r>
          </w:p>
        </w:tc>
        <w:tc>
          <w:tcPr>
            <w:tcW w:w="732"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lang w:eastAsia="zh-CN"/>
              </w:rPr>
              <w:t>专业</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评价</w:t>
            </w:r>
          </w:p>
        </w:tc>
        <w:tc>
          <w:tcPr>
            <w:tcW w:w="79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综合评价</w:t>
            </w:r>
          </w:p>
        </w:tc>
        <w:tc>
          <w:tcPr>
            <w:tcW w:w="767"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lang w:eastAsia="zh-CN"/>
              </w:rPr>
              <w:t>专业</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评价</w:t>
            </w:r>
          </w:p>
        </w:tc>
        <w:tc>
          <w:tcPr>
            <w:tcW w:w="803"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综合评价</w:t>
            </w:r>
          </w:p>
        </w:tc>
      </w:tr>
      <w:tr>
        <w:tblPrEx/>
        <w:trPr>
          <w:jc w:val="center"/>
        </w:trPr>
        <w:tc>
          <w:tcPr>
            <w:tcW w:w="181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T</w:t>
            </w:r>
            <w:r>
              <w:rPr>
                <w:rFonts w:ascii="仿宋_GB2312" w:cs="仿宋_GB2312" w:eastAsia="仿宋_GB2312" w:hAnsi="仿宋_GB2312" w:hint="eastAsia"/>
                <w:sz w:val="21"/>
                <w:highlight w:val="none"/>
                <w:lang w:eastAsia="zh-CN"/>
              </w:rPr>
              <w:t>＞</w:t>
            </w:r>
            <w:r>
              <w:rPr>
                <w:rFonts w:ascii="仿宋_GB2312" w:cs="仿宋_GB2312" w:eastAsia="仿宋_GB2312" w:hAnsi="仿宋_GB2312" w:hint="eastAsia"/>
                <w:sz w:val="21"/>
                <w:highlight w:val="none"/>
              </w:rPr>
              <w:t>10</w:t>
            </w:r>
          </w:p>
        </w:tc>
        <w:tc>
          <w:tcPr>
            <w:tcW w:w="827"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3</w:t>
            </w:r>
            <w:r>
              <w:rPr>
                <w:rFonts w:ascii="仿宋_GB2312" w:cs="仿宋_GB2312" w:eastAsia="仿宋_GB2312" w:hAnsi="仿宋_GB2312" w:hint="eastAsia"/>
                <w:sz w:val="21"/>
                <w:highlight w:val="none"/>
              </w:rPr>
              <w:t>.0</w:t>
            </w:r>
          </w:p>
        </w:tc>
        <w:tc>
          <w:tcPr>
            <w:tcW w:w="755"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lang w:eastAsia="zh-CN"/>
              </w:rPr>
            </w:pPr>
            <w:r>
              <w:rPr>
                <w:rFonts w:ascii="仿宋_GB2312" w:cs="仿宋_GB2312" w:eastAsia="仿宋_GB2312" w:hAnsi="仿宋_GB2312" w:hint="eastAsia"/>
                <w:sz w:val="21"/>
                <w:highlight w:val="none"/>
              </w:rPr>
              <w:t>+1.</w:t>
            </w:r>
            <w:r>
              <w:rPr>
                <w:rFonts w:ascii="仿宋_GB2312" w:cs="仿宋_GB2312" w:eastAsia="仿宋_GB2312" w:hAnsi="仿宋_GB2312" w:hint="eastAsia"/>
                <w:sz w:val="21"/>
                <w:highlight w:val="none"/>
                <w:lang w:val="en-US" w:eastAsia="zh-CN"/>
              </w:rPr>
              <w:t>5</w:t>
            </w:r>
          </w:p>
        </w:tc>
        <w:tc>
          <w:tcPr>
            <w:tcW w:w="755"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lang w:val="en-US" w:eastAsia="zh-CN"/>
              </w:rPr>
            </w:pP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1.5</w:t>
            </w:r>
          </w:p>
        </w:tc>
        <w:tc>
          <w:tcPr>
            <w:tcW w:w="792"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lang w:eastAsia="zh-CN"/>
              </w:rPr>
            </w:pPr>
            <w:r>
              <w:rPr>
                <w:rFonts w:ascii="仿宋_GB2312" w:cs="仿宋_GB2312" w:eastAsia="仿宋_GB2312" w:hAnsi="仿宋_GB2312" w:hint="eastAsia"/>
                <w:sz w:val="21"/>
                <w:highlight w:val="none"/>
              </w:rPr>
              <w:t>+0.</w:t>
            </w:r>
            <w:r>
              <w:rPr>
                <w:rFonts w:ascii="仿宋_GB2312" w:cs="仿宋_GB2312" w:eastAsia="仿宋_GB2312" w:hAnsi="仿宋_GB2312" w:hint="eastAsia"/>
                <w:sz w:val="21"/>
                <w:highlight w:val="none"/>
                <w:lang w:val="en-US" w:eastAsia="zh-CN"/>
              </w:rPr>
              <w:t>8</w:t>
            </w:r>
          </w:p>
        </w:tc>
        <w:tc>
          <w:tcPr>
            <w:tcW w:w="73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0.0</w:t>
            </w:r>
          </w:p>
        </w:tc>
        <w:tc>
          <w:tcPr>
            <w:tcW w:w="732"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lang w:val="en-US"/>
              </w:rPr>
            </w:pP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1.5</w:t>
            </w:r>
          </w:p>
        </w:tc>
        <w:tc>
          <w:tcPr>
            <w:tcW w:w="79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lang w:val="en-US" w:eastAsia="zh-CN"/>
              </w:rPr>
            </w:pP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0.8</w:t>
            </w:r>
          </w:p>
        </w:tc>
        <w:tc>
          <w:tcPr>
            <w:tcW w:w="767"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3.</w:t>
            </w:r>
            <w:r>
              <w:rPr>
                <w:rFonts w:ascii="仿宋_GB2312" w:cs="仿宋_GB2312" w:eastAsia="仿宋_GB2312" w:hAnsi="仿宋_GB2312" w:hint="eastAsia"/>
                <w:sz w:val="21"/>
                <w:highlight w:val="none"/>
              </w:rPr>
              <w:t>0</w:t>
            </w:r>
          </w:p>
        </w:tc>
        <w:tc>
          <w:tcPr>
            <w:tcW w:w="803"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1.5</w:t>
            </w:r>
          </w:p>
        </w:tc>
      </w:tr>
      <w:tr>
        <w:tblPrEx/>
        <w:trPr>
          <w:jc w:val="center"/>
        </w:trPr>
        <w:tc>
          <w:tcPr>
            <w:tcW w:w="181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lang w:eastAsia="zh-CN"/>
              </w:rPr>
            </w:pPr>
            <w:r>
              <w:rPr>
                <w:rFonts w:ascii="仿宋_GB2312" w:cs="仿宋_GB2312" w:eastAsia="仿宋_GB2312" w:hAnsi="仿宋_GB2312" w:hint="eastAsia"/>
                <w:sz w:val="21"/>
                <w:highlight w:val="none"/>
                <w:lang w:val="en-US" w:eastAsia="zh-CN"/>
              </w:rPr>
              <w:t>10</w:t>
            </w:r>
            <w:r>
              <w:rPr>
                <w:rFonts w:ascii="仿宋_GB2312" w:cs="仿宋_GB2312" w:eastAsia="仿宋_GB2312" w:hAnsi="仿宋_GB2312" w:hint="eastAsia"/>
                <w:sz w:val="21"/>
                <w:highlight w:val="none"/>
                <w:lang w:eastAsia="zh-CN"/>
              </w:rPr>
              <w:t>≥</w:t>
            </w:r>
            <w:r>
              <w:rPr>
                <w:rFonts w:ascii="仿宋_GB2312" w:cs="仿宋_GB2312" w:eastAsia="仿宋_GB2312" w:hAnsi="仿宋_GB2312" w:hint="eastAsia"/>
                <w:sz w:val="21"/>
                <w:highlight w:val="none"/>
              </w:rPr>
              <w:t>T</w:t>
            </w:r>
            <w:r>
              <w:rPr>
                <w:rFonts w:ascii="仿宋_GB2312" w:cs="仿宋_GB2312" w:eastAsia="仿宋_GB2312" w:hAnsi="仿宋_GB2312" w:hint="eastAsia"/>
                <w:sz w:val="21"/>
                <w:highlight w:val="none"/>
                <w:lang w:eastAsia="zh-CN"/>
              </w:rPr>
              <w:t>≥</w:t>
            </w:r>
            <w:r>
              <w:rPr>
                <w:rFonts w:ascii="仿宋_GB2312" w:cs="仿宋_GB2312" w:eastAsia="仿宋_GB2312" w:hAnsi="仿宋_GB2312" w:hint="eastAsia"/>
                <w:sz w:val="21"/>
                <w:highlight w:val="none"/>
                <w:lang w:val="en-US" w:eastAsia="zh-CN"/>
              </w:rPr>
              <w:t>5</w:t>
            </w:r>
          </w:p>
        </w:tc>
        <w:tc>
          <w:tcPr>
            <w:tcW w:w="827"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+2.0</w:t>
            </w:r>
          </w:p>
        </w:tc>
        <w:tc>
          <w:tcPr>
            <w:tcW w:w="755"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+1.0</w:t>
            </w:r>
          </w:p>
        </w:tc>
        <w:tc>
          <w:tcPr>
            <w:tcW w:w="755"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+1.0</w:t>
            </w:r>
          </w:p>
        </w:tc>
        <w:tc>
          <w:tcPr>
            <w:tcW w:w="792"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+0.5</w:t>
            </w:r>
          </w:p>
        </w:tc>
        <w:tc>
          <w:tcPr>
            <w:tcW w:w="73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0.0</w:t>
            </w:r>
          </w:p>
        </w:tc>
        <w:tc>
          <w:tcPr>
            <w:tcW w:w="732"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1</w:t>
            </w:r>
            <w:r>
              <w:rPr>
                <w:rFonts w:ascii="仿宋_GB2312" w:cs="仿宋_GB2312" w:eastAsia="仿宋_GB2312" w:hAnsi="仿宋_GB2312" w:hint="eastAsia"/>
                <w:sz w:val="21"/>
                <w:highlight w:val="none"/>
              </w:rPr>
              <w:t>.0</w:t>
            </w:r>
          </w:p>
        </w:tc>
        <w:tc>
          <w:tcPr>
            <w:tcW w:w="79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0.5</w:t>
            </w:r>
          </w:p>
        </w:tc>
        <w:tc>
          <w:tcPr>
            <w:tcW w:w="767"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2</w:t>
            </w:r>
            <w:r>
              <w:rPr>
                <w:rFonts w:ascii="仿宋_GB2312" w:cs="仿宋_GB2312" w:eastAsia="仿宋_GB2312" w:hAnsi="仿宋_GB2312" w:hint="eastAsia"/>
                <w:sz w:val="21"/>
                <w:highlight w:val="none"/>
              </w:rPr>
              <w:t>.0</w:t>
            </w:r>
          </w:p>
        </w:tc>
        <w:tc>
          <w:tcPr>
            <w:tcW w:w="803"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w:t>
            </w:r>
            <w:r>
              <w:rPr>
                <w:rFonts w:ascii="仿宋_GB2312" w:cs="仿宋_GB2312" w:eastAsia="仿宋_GB2312" w:hAnsi="仿宋_GB2312" w:hint="eastAsia"/>
                <w:sz w:val="21"/>
                <w:highlight w:val="none"/>
                <w:lang w:val="en-US" w:eastAsia="zh-CN"/>
              </w:rPr>
              <w:t>1.0</w:t>
            </w:r>
          </w:p>
        </w:tc>
      </w:tr>
    </w:tbl>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（三）</w:t>
      </w:r>
      <w:r>
        <w:rPr>
          <w:rFonts w:ascii="仿宋_GB2312" w:cs="仿宋_GB2312" w:eastAsia="仿宋_GB2312" w:hAnsi="仿宋_GB2312" w:hint="eastAsia"/>
          <w:highlight w:val="none"/>
        </w:rPr>
        <w:t>评标办法采用合理低价法时，评标得分为评标价得分与投标人信用得分之和</w:t>
      </w:r>
      <w:r>
        <w:rPr>
          <w:rFonts w:ascii="仿宋_GB2312" w:cs="仿宋_GB2312" w:eastAsia="仿宋_GB2312" w:hAnsi="仿宋_GB2312" w:hint="eastAsia"/>
          <w:highlight w:val="none"/>
          <w:lang w:eastAsia="zh-CN"/>
        </w:rPr>
        <w:t>，投标人信用得分按本条第（二）款“10≥T≥5”情形引用；</w:t>
      </w:r>
    </w:p>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（四）</w:t>
      </w:r>
      <w:r>
        <w:rPr>
          <w:rFonts w:ascii="仿宋_GB2312" w:cs="仿宋_GB2312" w:eastAsia="仿宋_GB2312" w:hAnsi="仿宋_GB2312" w:hint="eastAsia"/>
          <w:highlight w:val="none"/>
        </w:rPr>
        <w:t>评标办法采用</w:t>
      </w:r>
      <w:r>
        <w:rPr>
          <w:rFonts w:ascii="仿宋_GB2312" w:cs="仿宋_GB2312" w:eastAsia="仿宋_GB2312" w:hAnsi="仿宋_GB2312" w:hint="eastAsia"/>
          <w:highlight w:val="none"/>
          <w:lang w:eastAsia="zh-CN"/>
        </w:rPr>
        <w:t>经评审的最低投标价法</w:t>
      </w:r>
      <w:r>
        <w:rPr>
          <w:rFonts w:ascii="仿宋_GB2312" w:cs="仿宋_GB2312" w:eastAsia="仿宋_GB2312" w:hAnsi="仿宋_GB2312" w:hint="eastAsia"/>
          <w:highlight w:val="none"/>
        </w:rPr>
        <w:t>时，以调整投标人投标报价（B）的方式进行奖惩（签约合同价按实际报价），调整幅度以所在合同段最高有效报价与开标现场随机抽取的系数（0.1～0.2）相乘结果为基数M。调整后报价A为：</w:t>
      </w:r>
    </w:p>
    <w:p>
      <w:pPr>
        <w:pStyle w:val="style0"/>
        <w:widowControl w:val="false"/>
        <w:kinsoku/>
        <w:topLinePunct/>
        <w:autoSpaceDE/>
        <w:autoSpaceDN/>
        <w:ind w:firstLine="0" w:firstLineChars="0"/>
        <w:jc w:val="center"/>
        <w:rPr>
          <w:rFonts w:ascii="仿宋_GB2312" w:cs="仿宋_GB2312" w:eastAsia="仿宋_GB2312" w:hAnsi="仿宋_GB2312" w:hint="eastAsia"/>
          <w:highlight w:val="none"/>
        </w:rPr>
      </w:pPr>
      <w:r>
        <w:rPr>
          <w:rFonts w:ascii="仿宋_GB2312" w:cs="仿宋_GB2312" w:eastAsia="仿宋_GB2312" w:hAnsi="仿宋_GB2312" w:hint="eastAsia"/>
          <w:highlight w:val="none"/>
        </w:rPr>
        <w:t>A＝B＋k×Ps×M</w:t>
      </w:r>
    </w:p>
    <w:p>
      <w:pPr>
        <w:pStyle w:val="style0"/>
        <w:keepNext w:val="false"/>
        <w:keepLines w:val="false"/>
        <w:pageBreakBefore w:val="false"/>
        <w:widowControl w:val="false"/>
        <w:kinsoku/>
        <w:wordWrap/>
        <w:overflowPunct/>
        <w:topLinePunct/>
        <w:autoSpaceDE/>
        <w:autoSpaceDN/>
        <w:bidi w:val="false"/>
        <w:adjustRightInd w:val="false"/>
        <w:snapToGrid w:val="false"/>
        <w:textAlignment w:val="baseline"/>
        <w:rPr>
          <w:rFonts w:ascii="仿宋_GB2312" w:cs="仿宋_GB2312" w:eastAsia="仿宋_GB2312" w:hAnsi="仿宋_GB2312" w:hint="eastAsia"/>
          <w:highlight w:val="none"/>
        </w:rPr>
      </w:pPr>
      <w:r>
        <w:rPr>
          <w:rFonts w:ascii="仿宋_GB2312" w:cs="仿宋_GB2312" w:eastAsia="仿宋_GB2312" w:hAnsi="仿宋_GB2312" w:hint="eastAsia"/>
          <w:highlight w:val="none"/>
        </w:rPr>
        <w:t>式中：k——系数，在开标现场随机抽取，范围为0.2～1.0，步长0.2。</w:t>
      </w:r>
    </w:p>
    <w:p>
      <w:pPr>
        <w:pStyle w:val="style0"/>
        <w:keepNext w:val="false"/>
        <w:keepLines w:val="false"/>
        <w:pageBreakBefore w:val="false"/>
        <w:widowControl w:val="false"/>
        <w:kinsoku/>
        <w:wordWrap/>
        <w:overflowPunct/>
        <w:topLinePunct/>
        <w:autoSpaceDE/>
        <w:autoSpaceDN/>
        <w:bidi w:val="false"/>
        <w:adjustRightInd w:val="false"/>
        <w:snapToGrid w:val="false"/>
        <w:textAlignment w:val="baseline"/>
        <w:rPr>
          <w:rFonts w:ascii="仿宋_GB2312" w:cs="仿宋_GB2312" w:eastAsia="仿宋_GB2312" w:hAnsi="仿宋_GB2312" w:hint="eastAsia"/>
          <w:highlight w:val="none"/>
        </w:rPr>
      </w:pPr>
      <w:r>
        <w:rPr>
          <w:rFonts w:ascii="仿宋_GB2312" w:cs="仿宋_GB2312" w:eastAsia="仿宋_GB2312" w:hAnsi="仿宋_GB2312" w:hint="eastAsia"/>
          <w:highlight w:val="none"/>
        </w:rPr>
        <w:t>Ps——根据投标人</w:t>
      </w:r>
      <w:r>
        <w:rPr>
          <w:rFonts w:ascii="仿宋_GB2312" w:cs="仿宋_GB2312" w:eastAsia="仿宋_GB2312" w:hAnsi="仿宋_GB2312" w:hint="eastAsia"/>
          <w:highlight w:val="none"/>
          <w:lang w:eastAsia="zh-CN"/>
        </w:rPr>
        <w:t>信用等级</w:t>
      </w:r>
      <w:r>
        <w:rPr>
          <w:rFonts w:ascii="仿宋_GB2312" w:cs="仿宋_GB2312" w:eastAsia="仿宋_GB2312" w:hAnsi="仿宋_GB2312" w:hint="eastAsia"/>
          <w:highlight w:val="none"/>
        </w:rPr>
        <w:t>从下表中选用（最高投标限价越高取值的绝对值越小，评价为不分专业的综合评价时采用括号中数据）：</w:t>
      </w:r>
    </w:p>
    <w:tbl>
      <w:tblPr>
        <w:tblStyle w:val="style105"/>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11"/>
        <w:gridCol w:w="1703"/>
        <w:gridCol w:w="1697"/>
        <w:gridCol w:w="603"/>
        <w:gridCol w:w="1822"/>
        <w:gridCol w:w="1786"/>
      </w:tblGrid>
      <w:tr>
        <w:trPr>
          <w:tblHeader/>
          <w:jc w:val="center"/>
        </w:trPr>
        <w:tc>
          <w:tcPr>
            <w:tcW w:w="171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投标控制价上限</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S（亿元）</w:t>
            </w:r>
          </w:p>
        </w:tc>
        <w:tc>
          <w:tcPr>
            <w:tcW w:w="1703"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AA</w:t>
            </w:r>
          </w:p>
        </w:tc>
        <w:tc>
          <w:tcPr>
            <w:tcW w:w="1697"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A</w:t>
            </w:r>
          </w:p>
        </w:tc>
        <w:tc>
          <w:tcPr>
            <w:tcW w:w="603"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B</w:t>
            </w:r>
          </w:p>
        </w:tc>
        <w:tc>
          <w:tcPr>
            <w:tcW w:w="1822"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C</w:t>
            </w:r>
          </w:p>
        </w:tc>
        <w:tc>
          <w:tcPr>
            <w:tcW w:w="1786"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lang w:eastAsia="zh-CN"/>
              </w:rPr>
              <w:t>D</w:t>
            </w:r>
          </w:p>
        </w:tc>
      </w:tr>
      <w:tr>
        <w:tblPrEx/>
        <w:trPr>
          <w:jc w:val="center"/>
        </w:trPr>
        <w:tc>
          <w:tcPr>
            <w:tcW w:w="171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S＞1</w:t>
            </w:r>
          </w:p>
        </w:tc>
        <w:tc>
          <w:tcPr>
            <w:tcW w:w="1703"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pacing w:val="-4"/>
                <w:sz w:val="21"/>
                <w:highlight w:val="none"/>
              </w:rPr>
            </w:pPr>
            <w:r>
              <w:rPr>
                <w:rFonts w:ascii="仿宋_GB2312" w:cs="仿宋_GB2312" w:eastAsia="仿宋_GB2312" w:hAnsi="仿宋_GB2312" w:hint="eastAsia"/>
                <w:spacing w:val="-4"/>
                <w:sz w:val="21"/>
                <w:highlight w:val="none"/>
              </w:rPr>
              <w:t>-5.0%～-4.0%</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pacing w:val="-4"/>
                <w:sz w:val="21"/>
                <w:highlight w:val="none"/>
              </w:rPr>
              <w:t>（-2.5%～-2.0%）</w:t>
            </w:r>
          </w:p>
        </w:tc>
        <w:tc>
          <w:tcPr>
            <w:tcW w:w="1697"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pacing w:val="-4"/>
                <w:sz w:val="21"/>
                <w:highlight w:val="none"/>
              </w:rPr>
            </w:pPr>
            <w:r>
              <w:rPr>
                <w:rFonts w:ascii="仿宋_GB2312" w:cs="仿宋_GB2312" w:eastAsia="仿宋_GB2312" w:hAnsi="仿宋_GB2312" w:hint="eastAsia"/>
                <w:spacing w:val="-4"/>
                <w:sz w:val="21"/>
                <w:highlight w:val="none"/>
              </w:rPr>
              <w:t>-4.0%～-3.0%</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pacing w:val="-4"/>
                <w:sz w:val="21"/>
                <w:highlight w:val="none"/>
              </w:rPr>
              <w:t>（-2.0%～-1.5%）</w:t>
            </w:r>
          </w:p>
        </w:tc>
        <w:tc>
          <w:tcPr>
            <w:tcW w:w="603"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0</w:t>
            </w:r>
          </w:p>
        </w:tc>
        <w:tc>
          <w:tcPr>
            <w:tcW w:w="1822"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pacing w:val="-4"/>
                <w:sz w:val="21"/>
                <w:highlight w:val="none"/>
              </w:rPr>
            </w:pPr>
            <w:r>
              <w:rPr>
                <w:rFonts w:ascii="仿宋_GB2312" w:cs="仿宋_GB2312" w:eastAsia="仿宋_GB2312" w:hAnsi="仿宋_GB2312" w:hint="eastAsia"/>
                <w:spacing w:val="-4"/>
                <w:sz w:val="21"/>
                <w:highlight w:val="none"/>
              </w:rPr>
              <w:t>+2.0%～+3.0%</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pacing w:val="-4"/>
                <w:sz w:val="21"/>
                <w:highlight w:val="none"/>
              </w:rPr>
              <w:t>（+1.0%～+1.5%）</w:t>
            </w:r>
          </w:p>
        </w:tc>
        <w:tc>
          <w:tcPr>
            <w:tcW w:w="1786"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pacing w:val="-4"/>
                <w:sz w:val="21"/>
                <w:highlight w:val="none"/>
              </w:rPr>
            </w:pPr>
            <w:r>
              <w:rPr>
                <w:rFonts w:ascii="仿宋_GB2312" w:cs="仿宋_GB2312" w:eastAsia="仿宋_GB2312" w:hAnsi="仿宋_GB2312" w:hint="eastAsia"/>
                <w:spacing w:val="-4"/>
                <w:sz w:val="21"/>
                <w:highlight w:val="none"/>
              </w:rPr>
              <w:t>+</w:t>
            </w:r>
            <w:r>
              <w:rPr>
                <w:rFonts w:ascii="仿宋_GB2312" w:cs="仿宋_GB2312" w:eastAsia="仿宋_GB2312" w:hAnsi="仿宋_GB2312" w:hint="eastAsia"/>
                <w:spacing w:val="-4"/>
                <w:sz w:val="21"/>
                <w:highlight w:val="none"/>
                <w:lang w:eastAsia="zh-CN"/>
              </w:rPr>
              <w:t>3</w:t>
            </w:r>
            <w:r>
              <w:rPr>
                <w:rFonts w:ascii="仿宋_GB2312" w:cs="仿宋_GB2312" w:eastAsia="仿宋_GB2312" w:hAnsi="仿宋_GB2312" w:hint="eastAsia"/>
                <w:spacing w:val="-4"/>
                <w:sz w:val="21"/>
                <w:highlight w:val="none"/>
              </w:rPr>
              <w:t>.0%～+</w:t>
            </w:r>
            <w:r>
              <w:rPr>
                <w:rFonts w:ascii="仿宋_GB2312" w:cs="仿宋_GB2312" w:eastAsia="仿宋_GB2312" w:hAnsi="仿宋_GB2312" w:hint="eastAsia"/>
                <w:spacing w:val="-4"/>
                <w:sz w:val="21"/>
                <w:highlight w:val="none"/>
                <w:lang w:eastAsia="zh-CN"/>
              </w:rPr>
              <w:t>4</w:t>
            </w:r>
            <w:r>
              <w:rPr>
                <w:rFonts w:ascii="仿宋_GB2312" w:cs="仿宋_GB2312" w:eastAsia="仿宋_GB2312" w:hAnsi="仿宋_GB2312" w:hint="eastAsia"/>
                <w:spacing w:val="-4"/>
                <w:sz w:val="21"/>
                <w:highlight w:val="none"/>
              </w:rPr>
              <w:t>.0%</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pacing w:val="-4"/>
                <w:sz w:val="21"/>
                <w:highlight w:val="none"/>
              </w:rPr>
              <w:t>（+</w:t>
            </w:r>
            <w:r>
              <w:rPr>
                <w:rFonts w:ascii="仿宋_GB2312" w:cs="仿宋_GB2312" w:eastAsia="仿宋_GB2312" w:hAnsi="仿宋_GB2312" w:hint="eastAsia"/>
                <w:spacing w:val="-4"/>
                <w:sz w:val="21"/>
                <w:highlight w:val="none"/>
                <w:lang w:eastAsia="zh-CN"/>
              </w:rPr>
              <w:t>1</w:t>
            </w:r>
            <w:r>
              <w:rPr>
                <w:rFonts w:ascii="仿宋_GB2312" w:cs="仿宋_GB2312" w:eastAsia="仿宋_GB2312" w:hAnsi="仿宋_GB2312" w:hint="eastAsia"/>
                <w:spacing w:val="-4"/>
                <w:sz w:val="21"/>
                <w:highlight w:val="none"/>
                <w:lang w:val="en-US" w:eastAsia="zh-CN"/>
              </w:rPr>
              <w:t>.5</w:t>
            </w:r>
            <w:r>
              <w:rPr>
                <w:rFonts w:ascii="仿宋_GB2312" w:cs="仿宋_GB2312" w:eastAsia="仿宋_GB2312" w:hAnsi="仿宋_GB2312" w:hint="eastAsia"/>
                <w:spacing w:val="-4"/>
                <w:sz w:val="21"/>
                <w:highlight w:val="none"/>
              </w:rPr>
              <w:t>.0%～+</w:t>
            </w:r>
            <w:r>
              <w:rPr>
                <w:rFonts w:ascii="仿宋_GB2312" w:cs="仿宋_GB2312" w:eastAsia="仿宋_GB2312" w:hAnsi="仿宋_GB2312" w:hint="eastAsia"/>
                <w:spacing w:val="-4"/>
                <w:sz w:val="21"/>
                <w:highlight w:val="none"/>
                <w:lang w:eastAsia="zh-CN"/>
              </w:rPr>
              <w:t>2</w:t>
            </w:r>
            <w:r>
              <w:rPr>
                <w:rFonts w:ascii="仿宋_GB2312" w:cs="仿宋_GB2312" w:eastAsia="仿宋_GB2312" w:hAnsi="仿宋_GB2312" w:hint="eastAsia"/>
                <w:spacing w:val="-4"/>
                <w:sz w:val="21"/>
                <w:highlight w:val="none"/>
              </w:rPr>
              <w:t>%）</w:t>
            </w:r>
          </w:p>
        </w:tc>
      </w:tr>
      <w:tr>
        <w:tblPrEx/>
        <w:trPr>
          <w:jc w:val="center"/>
        </w:trPr>
        <w:tc>
          <w:tcPr>
            <w:tcW w:w="1711"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S≤1</w:t>
            </w:r>
          </w:p>
        </w:tc>
        <w:tc>
          <w:tcPr>
            <w:tcW w:w="1703"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pacing w:val="-4"/>
                <w:sz w:val="21"/>
                <w:highlight w:val="none"/>
              </w:rPr>
            </w:pPr>
            <w:r>
              <w:rPr>
                <w:rFonts w:ascii="仿宋_GB2312" w:cs="仿宋_GB2312" w:eastAsia="仿宋_GB2312" w:hAnsi="仿宋_GB2312" w:hint="eastAsia"/>
                <w:spacing w:val="-4"/>
                <w:sz w:val="21"/>
                <w:highlight w:val="none"/>
              </w:rPr>
              <w:t>-6.0%～-5.0%</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pacing w:val="-4"/>
                <w:sz w:val="21"/>
                <w:highlight w:val="none"/>
              </w:rPr>
              <w:t>（-3.0%～-2.5%）</w:t>
            </w:r>
          </w:p>
        </w:tc>
        <w:tc>
          <w:tcPr>
            <w:tcW w:w="1697"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pacing w:val="-4"/>
                <w:sz w:val="21"/>
                <w:highlight w:val="none"/>
              </w:rPr>
            </w:pPr>
            <w:r>
              <w:rPr>
                <w:rFonts w:ascii="仿宋_GB2312" w:cs="仿宋_GB2312" w:eastAsia="仿宋_GB2312" w:hAnsi="仿宋_GB2312" w:hint="eastAsia"/>
                <w:spacing w:val="-4"/>
                <w:sz w:val="21"/>
                <w:highlight w:val="none"/>
              </w:rPr>
              <w:t>-5.0%～-4.0%</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pacing w:val="-4"/>
                <w:sz w:val="21"/>
                <w:highlight w:val="none"/>
              </w:rPr>
              <w:t>（-2.5%～-2.0%）</w:t>
            </w:r>
          </w:p>
        </w:tc>
        <w:tc>
          <w:tcPr>
            <w:tcW w:w="603"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0</w:t>
            </w:r>
          </w:p>
        </w:tc>
        <w:tc>
          <w:tcPr>
            <w:tcW w:w="1822"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pacing w:val="-4"/>
                <w:sz w:val="21"/>
                <w:highlight w:val="none"/>
              </w:rPr>
            </w:pPr>
            <w:r>
              <w:rPr>
                <w:rFonts w:ascii="仿宋_GB2312" w:cs="仿宋_GB2312" w:eastAsia="仿宋_GB2312" w:hAnsi="仿宋_GB2312" w:hint="eastAsia"/>
                <w:spacing w:val="-4"/>
                <w:sz w:val="21"/>
                <w:highlight w:val="none"/>
              </w:rPr>
              <w:t>+3.0%～+4.0%</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pacing w:val="-4"/>
                <w:sz w:val="21"/>
                <w:highlight w:val="none"/>
              </w:rPr>
              <w:t>（+1.5%～+2.0%）</w:t>
            </w:r>
          </w:p>
        </w:tc>
        <w:tc>
          <w:tcPr>
            <w:tcW w:w="1786" w:type="dxa"/>
            <w:tcBorders/>
            <w:shd w:val="clear" w:color="auto" w:fill="auto"/>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pacing w:val="-4"/>
                <w:sz w:val="21"/>
                <w:highlight w:val="none"/>
              </w:rPr>
            </w:pPr>
            <w:r>
              <w:rPr>
                <w:rFonts w:ascii="仿宋_GB2312" w:cs="仿宋_GB2312" w:eastAsia="仿宋_GB2312" w:hAnsi="仿宋_GB2312" w:hint="eastAsia"/>
                <w:spacing w:val="-4"/>
                <w:sz w:val="21"/>
                <w:highlight w:val="none"/>
              </w:rPr>
              <w:t>+</w:t>
            </w:r>
            <w:r>
              <w:rPr>
                <w:rFonts w:ascii="仿宋_GB2312" w:cs="仿宋_GB2312" w:eastAsia="仿宋_GB2312" w:hAnsi="仿宋_GB2312" w:hint="eastAsia"/>
                <w:spacing w:val="-4"/>
                <w:sz w:val="21"/>
                <w:highlight w:val="none"/>
                <w:lang w:eastAsia="zh-CN"/>
              </w:rPr>
              <w:t>4</w:t>
            </w:r>
            <w:r>
              <w:rPr>
                <w:rFonts w:ascii="仿宋_GB2312" w:cs="仿宋_GB2312" w:eastAsia="仿宋_GB2312" w:hAnsi="仿宋_GB2312" w:hint="eastAsia"/>
                <w:spacing w:val="-4"/>
                <w:sz w:val="21"/>
                <w:highlight w:val="none"/>
              </w:rPr>
              <w:t>.0%～+</w:t>
            </w:r>
            <w:r>
              <w:rPr>
                <w:rFonts w:ascii="仿宋_GB2312" w:cs="仿宋_GB2312" w:eastAsia="仿宋_GB2312" w:hAnsi="仿宋_GB2312" w:hint="eastAsia"/>
                <w:spacing w:val="-4"/>
                <w:sz w:val="21"/>
                <w:highlight w:val="none"/>
                <w:lang w:eastAsia="zh-CN"/>
              </w:rPr>
              <w:t>5</w:t>
            </w:r>
            <w:r>
              <w:rPr>
                <w:rFonts w:ascii="仿宋_GB2312" w:cs="仿宋_GB2312" w:eastAsia="仿宋_GB2312" w:hAnsi="仿宋_GB2312" w:hint="eastAsia"/>
                <w:spacing w:val="-4"/>
                <w:sz w:val="21"/>
                <w:highlight w:val="none"/>
              </w:rPr>
              <w:t>.0%</w:t>
            </w:r>
          </w:p>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pacing w:val="-4"/>
                <w:sz w:val="21"/>
                <w:highlight w:val="none"/>
              </w:rPr>
              <w:t>（+</w:t>
            </w:r>
            <w:r>
              <w:rPr>
                <w:rFonts w:ascii="仿宋_GB2312" w:cs="仿宋_GB2312" w:eastAsia="仿宋_GB2312" w:hAnsi="仿宋_GB2312" w:hint="eastAsia"/>
                <w:spacing w:val="-4"/>
                <w:sz w:val="21"/>
                <w:highlight w:val="none"/>
                <w:lang w:eastAsia="zh-CN"/>
              </w:rPr>
              <w:t>2</w:t>
            </w:r>
            <w:r>
              <w:rPr>
                <w:rFonts w:ascii="仿宋_GB2312" w:cs="仿宋_GB2312" w:eastAsia="仿宋_GB2312" w:hAnsi="仿宋_GB2312" w:hint="eastAsia"/>
                <w:spacing w:val="-4"/>
                <w:sz w:val="21"/>
                <w:highlight w:val="none"/>
              </w:rPr>
              <w:t>%～+2</w:t>
            </w:r>
            <w:r>
              <w:rPr>
                <w:rFonts w:ascii="仿宋_GB2312" w:cs="仿宋_GB2312" w:eastAsia="仿宋_GB2312" w:hAnsi="仿宋_GB2312" w:hint="eastAsia"/>
                <w:spacing w:val="-4"/>
                <w:sz w:val="21"/>
                <w:highlight w:val="none"/>
                <w:lang w:eastAsia="zh-CN"/>
              </w:rPr>
              <w:t>.</w:t>
            </w:r>
            <w:r>
              <w:rPr>
                <w:rFonts w:ascii="仿宋_GB2312" w:cs="仿宋_GB2312" w:eastAsia="仿宋_GB2312" w:hAnsi="仿宋_GB2312" w:hint="eastAsia"/>
                <w:spacing w:val="-4"/>
                <w:sz w:val="21"/>
                <w:highlight w:val="none"/>
                <w:lang w:val="en-US" w:eastAsia="zh-CN"/>
              </w:rPr>
              <w:t>5</w:t>
            </w:r>
            <w:r>
              <w:rPr>
                <w:rFonts w:ascii="仿宋_GB2312" w:cs="仿宋_GB2312" w:eastAsia="仿宋_GB2312" w:hAnsi="仿宋_GB2312" w:hint="eastAsia"/>
                <w:spacing w:val="-4"/>
                <w:sz w:val="21"/>
                <w:highlight w:val="none"/>
              </w:rPr>
              <w:t>%）</w:t>
            </w:r>
          </w:p>
        </w:tc>
      </w:tr>
    </w:tbl>
    <w:p>
      <w:pPr>
        <w:pStyle w:val="style0"/>
        <w:widowControl w:val="false"/>
        <w:numPr>
          <w:ilvl w:val="0"/>
          <w:numId w:val="0"/>
        </w:numPr>
        <w:kinsoku/>
        <w:topLinePunct/>
        <w:autoSpaceDE/>
        <w:autoSpaceDN/>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 xml:space="preserve">    </w:t>
      </w:r>
      <w:r>
        <w:rPr>
          <w:rFonts w:ascii="仿宋_GB2312" w:cs="仿宋_GB2312" w:eastAsia="仿宋_GB2312" w:hAnsi="仿宋_GB2312" w:hint="eastAsia"/>
          <w:highlight w:val="none"/>
          <w:lang w:eastAsia="zh-CN"/>
        </w:rPr>
        <w:t>（五）</w:t>
      </w:r>
      <w:r>
        <w:rPr>
          <w:rFonts w:ascii="仿宋_GB2312" w:cs="仿宋_GB2312" w:eastAsia="仿宋_GB2312" w:hAnsi="仿宋_GB2312" w:hint="eastAsia"/>
          <w:highlight w:val="none"/>
        </w:rPr>
        <w:t>投标</w:t>
      </w:r>
      <w:r>
        <w:rPr>
          <w:rFonts w:ascii="仿宋_GB2312" w:cs="仿宋_GB2312" w:eastAsia="仿宋_GB2312" w:hAnsi="仿宋_GB2312" w:hint="eastAsia"/>
          <w:highlight w:val="none"/>
          <w:lang w:eastAsia="zh-CN"/>
        </w:rPr>
        <w:t>保证金</w:t>
      </w:r>
      <w:r>
        <w:rPr>
          <w:rFonts w:ascii="仿宋_GB2312" w:cs="仿宋_GB2312" w:eastAsia="仿宋_GB2312" w:hAnsi="仿宋_GB2312" w:hint="eastAsia"/>
          <w:highlight w:val="none"/>
        </w:rPr>
        <w:t>、履约</w:t>
      </w:r>
      <w:r>
        <w:rPr>
          <w:rFonts w:ascii="仿宋_GB2312" w:cs="仿宋_GB2312" w:eastAsia="仿宋_GB2312" w:hAnsi="仿宋_GB2312" w:hint="eastAsia"/>
          <w:highlight w:val="none"/>
          <w:lang w:eastAsia="zh-CN"/>
        </w:rPr>
        <w:t>保证金</w:t>
      </w:r>
      <w:r>
        <w:rPr>
          <w:rFonts w:ascii="仿宋_GB2312" w:cs="仿宋_GB2312" w:eastAsia="仿宋_GB2312" w:hAnsi="仿宋_GB2312" w:hint="eastAsia"/>
          <w:highlight w:val="none"/>
        </w:rPr>
        <w:t>及质量保证金</w:t>
      </w:r>
      <w:r>
        <w:rPr>
          <w:rFonts w:ascii="仿宋_GB2312" w:cs="仿宋_GB2312" w:eastAsia="仿宋_GB2312" w:hAnsi="仿宋_GB2312" w:hint="eastAsia"/>
          <w:highlight w:val="none"/>
          <w:lang w:eastAsia="zh-CN"/>
        </w:rPr>
        <w:t>可以</w:t>
      </w:r>
      <w:r>
        <w:rPr>
          <w:rFonts w:ascii="仿宋_GB2312" w:cs="仿宋_GB2312" w:eastAsia="仿宋_GB2312" w:hAnsi="仿宋_GB2312" w:hint="eastAsia"/>
          <w:highlight w:val="none"/>
        </w:rPr>
        <w:t>根据投标人的</w:t>
      </w:r>
      <w:r>
        <w:rPr>
          <w:rFonts w:ascii="仿宋_GB2312" w:cs="仿宋_GB2312" w:eastAsia="仿宋_GB2312" w:hAnsi="仿宋_GB2312" w:hint="eastAsia"/>
          <w:highlight w:val="none"/>
          <w:lang w:eastAsia="zh-CN"/>
        </w:rPr>
        <w:t>信用等级</w:t>
      </w:r>
      <w:r>
        <w:rPr>
          <w:rFonts w:ascii="仿宋_GB2312" w:cs="仿宋_GB2312" w:eastAsia="仿宋_GB2312" w:hAnsi="仿宋_GB2312" w:hint="eastAsia"/>
          <w:highlight w:val="none"/>
        </w:rPr>
        <w:t>进行减免：</w:t>
      </w:r>
    </w:p>
    <w:tbl>
      <w:tblPr>
        <w:tblStyle w:val="style105"/>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737"/>
        <w:gridCol w:w="965"/>
        <w:gridCol w:w="825"/>
        <w:gridCol w:w="837"/>
        <w:gridCol w:w="913"/>
        <w:gridCol w:w="2923"/>
      </w:tblGrid>
      <w:tr>
        <w:trPr>
          <w:trHeight w:val="20" w:hRule="atLeast"/>
          <w:tblHeader/>
          <w:jc w:val="center"/>
        </w:trPr>
        <w:tc>
          <w:tcPr>
            <w:tcW w:w="2737"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lang w:eastAsia="zh-CN"/>
              </w:rPr>
            </w:pPr>
            <w:r>
              <w:rPr>
                <w:rFonts w:ascii="仿宋_GB2312" w:cs="仿宋_GB2312" w:eastAsia="仿宋_GB2312" w:hAnsi="仿宋_GB2312" w:hint="eastAsia"/>
                <w:sz w:val="21"/>
                <w:highlight w:val="none"/>
                <w:lang w:eastAsia="zh-CN"/>
              </w:rPr>
              <w:t>信用等级</w:t>
            </w:r>
          </w:p>
        </w:tc>
        <w:tc>
          <w:tcPr>
            <w:tcW w:w="965"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AA</w:t>
            </w:r>
          </w:p>
        </w:tc>
        <w:tc>
          <w:tcPr>
            <w:tcW w:w="825"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A</w:t>
            </w:r>
          </w:p>
        </w:tc>
        <w:tc>
          <w:tcPr>
            <w:tcW w:w="837"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B</w:t>
            </w:r>
          </w:p>
        </w:tc>
        <w:tc>
          <w:tcPr>
            <w:tcW w:w="913"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C</w:t>
            </w:r>
          </w:p>
        </w:tc>
        <w:tc>
          <w:tcPr>
            <w:tcW w:w="2923"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lang w:val="en-US" w:eastAsia="zh-CN"/>
              </w:rPr>
              <w:t>D</w:t>
            </w:r>
          </w:p>
        </w:tc>
      </w:tr>
      <w:tr>
        <w:tblPrEx/>
        <w:trPr>
          <w:trHeight w:val="20" w:hRule="atLeast"/>
          <w:jc w:val="center"/>
        </w:trPr>
        <w:tc>
          <w:tcPr>
            <w:tcW w:w="2737"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投标保证金减免幅度</w:t>
            </w:r>
          </w:p>
        </w:tc>
        <w:tc>
          <w:tcPr>
            <w:tcW w:w="965"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40%</w:t>
            </w:r>
          </w:p>
        </w:tc>
        <w:tc>
          <w:tcPr>
            <w:tcW w:w="825"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20%</w:t>
            </w:r>
          </w:p>
        </w:tc>
        <w:tc>
          <w:tcPr>
            <w:tcW w:w="837"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0%</w:t>
            </w:r>
          </w:p>
        </w:tc>
        <w:tc>
          <w:tcPr>
            <w:tcW w:w="913"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0%</w:t>
            </w:r>
          </w:p>
        </w:tc>
        <w:tc>
          <w:tcPr>
            <w:tcW w:w="2923"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0%</w:t>
            </w:r>
          </w:p>
        </w:tc>
      </w:tr>
      <w:tr>
        <w:tblPrEx/>
        <w:trPr>
          <w:trHeight w:val="20" w:hRule="atLeast"/>
          <w:jc w:val="center"/>
        </w:trPr>
        <w:tc>
          <w:tcPr>
            <w:tcW w:w="2737"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履约担保金减免幅度</w:t>
            </w:r>
          </w:p>
        </w:tc>
        <w:tc>
          <w:tcPr>
            <w:tcW w:w="965"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40%</w:t>
            </w:r>
          </w:p>
        </w:tc>
        <w:tc>
          <w:tcPr>
            <w:tcW w:w="825"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20%</w:t>
            </w:r>
          </w:p>
        </w:tc>
        <w:tc>
          <w:tcPr>
            <w:tcW w:w="837"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0%</w:t>
            </w:r>
          </w:p>
        </w:tc>
        <w:tc>
          <w:tcPr>
            <w:tcW w:w="913"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0%</w:t>
            </w:r>
          </w:p>
        </w:tc>
        <w:tc>
          <w:tcPr>
            <w:tcW w:w="2923"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0%</w:t>
            </w:r>
          </w:p>
        </w:tc>
      </w:tr>
      <w:tr>
        <w:tblPrEx/>
        <w:trPr>
          <w:trHeight w:val="20" w:hRule="atLeast"/>
          <w:jc w:val="center"/>
        </w:trPr>
        <w:tc>
          <w:tcPr>
            <w:tcW w:w="2737"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质量保证金减免幅度</w:t>
            </w:r>
          </w:p>
        </w:tc>
        <w:tc>
          <w:tcPr>
            <w:tcW w:w="965"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40%</w:t>
            </w:r>
          </w:p>
        </w:tc>
        <w:tc>
          <w:tcPr>
            <w:tcW w:w="825"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20%</w:t>
            </w:r>
          </w:p>
        </w:tc>
        <w:tc>
          <w:tcPr>
            <w:tcW w:w="837"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0%</w:t>
            </w:r>
          </w:p>
        </w:tc>
        <w:tc>
          <w:tcPr>
            <w:tcW w:w="913"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z w:val="21"/>
                <w:highlight w:val="none"/>
              </w:rPr>
            </w:pPr>
            <w:r>
              <w:rPr>
                <w:rFonts w:ascii="仿宋_GB2312" w:cs="仿宋_GB2312" w:eastAsia="仿宋_GB2312" w:hAnsi="仿宋_GB2312" w:hint="eastAsia"/>
                <w:sz w:val="21"/>
                <w:highlight w:val="none"/>
              </w:rPr>
              <w:t>0%</w:t>
            </w:r>
          </w:p>
        </w:tc>
        <w:tc>
          <w:tcPr>
            <w:tcW w:w="2923" w:type="dxa"/>
            <w:tcBorders/>
            <w:shd w:val="clear" w:color="auto" w:fill="ffffff"/>
            <w:vAlign w:val="center"/>
          </w:tcPr>
          <w:p>
            <w:pPr>
              <w:pStyle w:val="style0"/>
              <w:widowControl w:val="false"/>
              <w:kinsoku/>
              <w:topLinePunct/>
              <w:autoSpaceDE/>
              <w:autoSpaceDN/>
              <w:spacing w:before="31" w:beforeLines="10" w:after="31" w:afterLines="10" w:lineRule="auto" w:line="240"/>
              <w:ind w:firstLine="0" w:firstLineChars="0"/>
              <w:jc w:val="center"/>
              <w:rPr>
                <w:rFonts w:ascii="仿宋_GB2312" w:cs="仿宋_GB2312" w:eastAsia="仿宋_GB2312" w:hAnsi="仿宋_GB2312" w:hint="eastAsia"/>
                <w:snapToGrid w:val="false"/>
                <w:color w:val="000000"/>
                <w:sz w:val="21"/>
                <w:szCs w:val="21"/>
                <w:highlight w:val="none"/>
                <w:lang w:val="en-US" w:bidi="ar-SA" w:eastAsia="zh-CN"/>
              </w:rPr>
            </w:pPr>
            <w:r>
              <w:rPr>
                <w:rFonts w:ascii="仿宋_GB2312" w:cs="仿宋_GB2312" w:eastAsia="仿宋_GB2312" w:hAnsi="仿宋_GB2312" w:hint="eastAsia"/>
                <w:sz w:val="21"/>
                <w:highlight w:val="none"/>
              </w:rPr>
              <w:t>0%</w:t>
            </w:r>
          </w:p>
        </w:tc>
      </w:tr>
    </w:tbl>
    <w:p>
      <w:pPr>
        <w:pStyle w:val="style2"/>
        <w:keepNext w:val="false"/>
        <w:keepLines w:val="false"/>
        <w:pageBreakBefore w:val="false"/>
        <w:widowControl w:val="false"/>
        <w:kinsoku/>
        <w:wordWrap/>
        <w:overflowPunct/>
        <w:topLinePunct/>
        <w:autoSpaceDE/>
        <w:autoSpaceDN/>
        <w:bidi w:val="false"/>
        <w:spacing w:lineRule="exact" w:line="520"/>
        <w:jc w:val="center"/>
        <w:rPr>
          <w:rFonts w:ascii="黑体" w:cs="黑体" w:eastAsia="黑体" w:hAnsi="黑体" w:hint="eastAsia"/>
          <w:highlight w:val="none"/>
        </w:rPr>
      </w:pPr>
      <w:r>
        <w:rPr>
          <w:rFonts w:ascii="黑体" w:cs="黑体" w:eastAsia="黑体" w:hAnsi="黑体" w:hint="eastAsia"/>
          <w:highlight w:val="none"/>
        </w:rPr>
        <w:t>第七章 附则</w:t>
      </w:r>
    </w:p>
    <w:p>
      <w:pPr>
        <w:pStyle w:val="style0"/>
        <w:keepNext w:val="false"/>
        <w:keepLines w:val="false"/>
        <w:pageBreakBefore w:val="false"/>
        <w:widowControl w:val="false"/>
        <w:numPr>
          <w:ilvl w:val="0"/>
          <w:numId w:val="1"/>
        </w:numPr>
        <w:kinsoku/>
        <w:wordWrap/>
        <w:overflowPunct/>
        <w:topLinePunct/>
        <w:autoSpaceDE/>
        <w:autoSpaceDN/>
        <w:bidi w:val="false"/>
        <w:spacing w:lineRule="exact" w:line="520"/>
        <w:ind w:firstLine="0" w:firstLineChars="0"/>
        <w:jc w:val="left"/>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本指南与</w:t>
      </w:r>
      <w:r>
        <w:rPr>
          <w:rFonts w:ascii="仿宋_GB2312" w:cs="仿宋_GB2312" w:eastAsia="仿宋_GB2312" w:hAnsi="仿宋_GB2312" w:hint="eastAsia"/>
          <w:highlight w:val="none"/>
        </w:rPr>
        <w:t>《贵州省高速公路设计施工企业信用评价实施细则（试行）》（黔交建设〔2016〕279号）及《贵州省交通运输厅关于高速公路设计施工企业信用评价结果引用的补充通知》（黔交建设〔2016〕291号）</w:t>
      </w:r>
      <w:r>
        <w:rPr>
          <w:rFonts w:ascii="仿宋_GB2312" w:cs="仿宋_GB2312" w:eastAsia="仿宋_GB2312" w:hAnsi="仿宋_GB2312" w:hint="eastAsia"/>
          <w:highlight w:val="none"/>
          <w:lang w:eastAsia="zh-CN"/>
        </w:rPr>
        <w:t>中不一致的，以本指南为准</w:t>
      </w:r>
      <w:r>
        <w:rPr>
          <w:rFonts w:ascii="仿宋_GB2312" w:cs="仿宋_GB2312" w:eastAsia="仿宋_GB2312" w:hAnsi="仿宋_GB2312" w:hint="eastAsia"/>
          <w:highlight w:val="none"/>
        </w:rPr>
        <w:t>。</w:t>
      </w:r>
    </w:p>
    <w:p>
      <w:pPr>
        <w:pStyle w:val="style0"/>
        <w:keepNext w:val="false"/>
        <w:keepLines w:val="false"/>
        <w:pageBreakBefore w:val="false"/>
        <w:widowControl w:val="false"/>
        <w:numPr>
          <w:ilvl w:val="0"/>
          <w:numId w:val="1"/>
        </w:numPr>
        <w:kinsoku/>
        <w:wordWrap/>
        <w:overflowPunct/>
        <w:topLinePunct/>
        <w:autoSpaceDE/>
        <w:autoSpaceDN/>
        <w:bidi w:val="false"/>
        <w:spacing w:lineRule="exact" w:line="520"/>
        <w:ind w:firstLine="0" w:firstLineChars="0"/>
        <w:jc w:val="left"/>
        <w:rPr>
          <w:rFonts w:ascii="仿宋_GB2312" w:cs="仿宋_GB2312" w:eastAsia="仿宋_GB2312" w:hAnsi="仿宋_GB2312" w:hint="eastAsia"/>
          <w:highlight w:val="none"/>
        </w:rPr>
      </w:pPr>
      <w:r>
        <w:rPr>
          <w:rFonts w:ascii="仿宋_GB2312" w:cs="仿宋_GB2312" w:eastAsia="仿宋_GB2312" w:hAnsi="仿宋_GB2312" w:hint="eastAsia"/>
          <w:highlight w:val="none"/>
          <w:lang w:eastAsia="zh-CN"/>
        </w:rPr>
        <w:t>本指南为试行</w:t>
      </w:r>
      <w:r>
        <w:rPr>
          <w:rFonts w:ascii="仿宋_GB2312" w:cs="仿宋_GB2312" w:eastAsia="仿宋_GB2312" w:hAnsi="仿宋_GB2312" w:hint="eastAsia"/>
          <w:highlight w:val="none"/>
          <w:lang w:val="en-US" w:eastAsia="zh-CN"/>
        </w:rPr>
        <w:t>，自印发之日起2年有效</w:t>
      </w:r>
      <w:r>
        <w:rPr>
          <w:rFonts w:ascii="仿宋_GB2312" w:cs="仿宋_GB2312" w:eastAsia="仿宋_GB2312" w:hAnsi="仿宋_GB2312" w:hint="eastAsia"/>
          <w:highlight w:val="none"/>
          <w:lang w:eastAsia="zh-CN"/>
        </w:rPr>
        <w:t>。后期将根据交通运输部对信用评价规则的修订情况及指南的试行情况进行相应修订。</w:t>
      </w:r>
    </w:p>
    <w:p>
      <w:pPr>
        <w:pStyle w:val="style0"/>
        <w:keepNext w:val="false"/>
        <w:keepLines w:val="false"/>
        <w:pageBreakBefore w:val="false"/>
        <w:widowControl w:val="false"/>
        <w:kinsoku/>
        <w:wordWrap/>
        <w:overflowPunct/>
        <w:topLinePunct/>
        <w:autoSpaceDE/>
        <w:autoSpaceDN/>
        <w:bidi w:val="false"/>
        <w:spacing w:lineRule="exact" w:line="520"/>
        <w:ind w:left="0" w:leftChars="0" w:firstLine="0" w:firstLineChars="0"/>
        <w:jc w:val="left"/>
        <w:rPr>
          <w:rFonts w:ascii="仿宋_GB2312" w:cs="仿宋_GB2312" w:eastAsia="仿宋_GB2312" w:hAnsi="仿宋_GB2312" w:hint="eastAsia"/>
          <w:highlight w:val="none"/>
        </w:rPr>
      </w:pPr>
    </w:p>
    <w:p>
      <w:pPr>
        <w:pStyle w:val="style0"/>
        <w:keepNext w:val="false"/>
        <w:keepLines w:val="false"/>
        <w:pageBreakBefore w:val="false"/>
        <w:widowControl w:val="false"/>
        <w:kinsoku/>
        <w:wordWrap/>
        <w:overflowPunct/>
        <w:topLinePunct/>
        <w:autoSpaceDE/>
        <w:autoSpaceDN/>
        <w:bidi w:val="false"/>
        <w:spacing w:lineRule="exact" w:line="520"/>
        <w:jc w:val="left"/>
        <w:rPr>
          <w:rFonts w:ascii="仿宋_GB2312" w:cs="仿宋_GB2312" w:eastAsia="仿宋_GB2312" w:hAnsi="仿宋_GB2312" w:hint="eastAsia"/>
          <w:highlight w:val="none"/>
        </w:rPr>
      </w:pPr>
      <w:r>
        <w:rPr>
          <w:rFonts w:ascii="仿宋_GB2312" w:cs="仿宋_GB2312" w:eastAsia="仿宋_GB2312" w:hAnsi="仿宋_GB2312" w:hint="eastAsia"/>
          <w:highlight w:val="none"/>
        </w:rPr>
        <w:t>附件：1.公路设计单位信用行为评定标准</w:t>
      </w:r>
    </w:p>
    <w:p>
      <w:pPr>
        <w:pStyle w:val="style0"/>
        <w:keepNext w:val="false"/>
        <w:keepLines w:val="false"/>
        <w:pageBreakBefore w:val="false"/>
        <w:widowControl w:val="false"/>
        <w:kinsoku/>
        <w:wordWrap/>
        <w:overflowPunct/>
        <w:topLinePunct/>
        <w:autoSpaceDE/>
        <w:autoSpaceDN/>
        <w:bidi w:val="false"/>
        <w:spacing w:lineRule="exact" w:line="520"/>
        <w:ind w:firstLine="1600" w:firstLineChars="500"/>
        <w:jc w:val="left"/>
        <w:rPr>
          <w:rFonts w:ascii="仿宋_GB2312" w:cs="仿宋_GB2312" w:eastAsia="仿宋_GB2312" w:hAnsi="仿宋_GB2312" w:hint="eastAsia"/>
          <w:highlight w:val="none"/>
        </w:rPr>
      </w:pPr>
      <w:r>
        <w:rPr>
          <w:rFonts w:ascii="仿宋_GB2312" w:cs="仿宋_GB2312" w:eastAsia="仿宋_GB2312" w:hAnsi="仿宋_GB2312" w:hint="eastAsia"/>
          <w:highlight w:val="none"/>
        </w:rPr>
        <w:t>2.公路施工单位信用行为评定标准</w:t>
      </w:r>
    </w:p>
    <w:p>
      <w:pPr>
        <w:pStyle w:val="style0"/>
        <w:keepNext w:val="false"/>
        <w:keepLines w:val="false"/>
        <w:pageBreakBefore w:val="false"/>
        <w:widowControl w:val="false"/>
        <w:kinsoku/>
        <w:wordWrap/>
        <w:overflowPunct/>
        <w:topLinePunct/>
        <w:autoSpaceDE/>
        <w:autoSpaceDN/>
        <w:bidi w:val="false"/>
        <w:spacing w:lineRule="exact" w:line="520"/>
        <w:ind w:firstLine="1600" w:firstLineChars="500"/>
        <w:jc w:val="left"/>
        <w:rPr>
          <w:rFonts w:ascii="仿宋_GB2312" w:cs="仿宋_GB2312" w:eastAsia="仿宋_GB2312" w:hAnsi="仿宋_GB2312" w:hint="eastAsia"/>
          <w:highlight w:val="none"/>
        </w:rPr>
      </w:pPr>
      <w:r>
        <w:rPr>
          <w:rFonts w:ascii="仿宋_GB2312" w:cs="仿宋_GB2312" w:eastAsia="仿宋_GB2312" w:hAnsi="仿宋_GB2312" w:hint="eastAsia"/>
          <w:highlight w:val="none"/>
        </w:rPr>
        <w:t>3.从业单位信用评分计算公式</w:t>
      </w:r>
    </w:p>
    <w:p>
      <w:pPr>
        <w:pStyle w:val="style0"/>
        <w:keepNext w:val="false"/>
        <w:keepLines w:val="false"/>
        <w:pageBreakBefore w:val="false"/>
        <w:widowControl w:val="false"/>
        <w:kinsoku/>
        <w:wordWrap/>
        <w:overflowPunct/>
        <w:topLinePunct/>
        <w:autoSpaceDE/>
        <w:autoSpaceDN/>
        <w:bidi w:val="false"/>
        <w:spacing w:lineRule="exact" w:line="520"/>
        <w:ind w:firstLine="1600" w:firstLineChars="500"/>
        <w:jc w:val="left"/>
        <w:rPr>
          <w:rFonts w:ascii="仿宋_GB2312" w:cs="仿宋_GB2312" w:eastAsia="仿宋_GB2312" w:hAnsi="仿宋_GB2312" w:hint="eastAsia"/>
          <w:highlight w:val="none"/>
        </w:rPr>
      </w:pPr>
      <w:r>
        <w:rPr>
          <w:rFonts w:ascii="仿宋_GB2312" w:cs="仿宋_GB2312" w:eastAsia="仿宋_GB2312" w:hAnsi="仿宋_GB2312" w:hint="eastAsia"/>
          <w:highlight w:val="none"/>
          <w:lang w:val="en-US" w:eastAsia="zh-CN"/>
        </w:rPr>
        <w:t>4.</w:t>
      </w:r>
      <w:r>
        <w:rPr>
          <w:rFonts w:ascii="仿宋_GB2312" w:cs="仿宋_GB2312" w:eastAsia="仿宋_GB2312" w:hAnsi="仿宋_GB2312" w:hint="eastAsia"/>
          <w:highlight w:val="none"/>
        </w:rPr>
        <w:t>履约行为评价评分项规则</w:t>
      </w:r>
    </w:p>
    <w:sectPr>
      <w:headerReference w:type="even" r:id="rId2"/>
      <w:headerReference w:type="default" r:id="rId3"/>
      <w:footerReference w:type="even" r:id="rId4"/>
      <w:footerReference w:type="default" r:id="rId5"/>
      <w:headerReference w:type="first" r:id="rId6"/>
      <w:pgSz w:w="11906" w:h="16838" w:orient="portrait"/>
      <w:pgMar w:top="1270" w:right="1519" w:bottom="53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方正小标宋简体">
    <w:altName w:val="方正小标宋简体"/>
    <w:panose1 w:val="02010601030001010101"/>
    <w:charset w:val="86"/>
    <w:family w:val="script"/>
    <w:pitch w:val="default"/>
    <w:sig w:usb0="00000001" w:usb1="080E0000" w:usb2="00000000" w:usb3="00000000" w:csb0="00040000" w:csb1="00000000"/>
  </w:font>
  <w:font w:name="华光细圆_CNKI">
    <w:altName w:val="华光细圆_CNKI"/>
    <w:panose1 w:val="02000500000000000000"/>
    <w:charset w:val="86"/>
    <w:family w:val="auto"/>
    <w:pitch w:val="default"/>
    <w:sig w:usb0="A00002BF" w:usb1="38CF7CFA" w:usb2="00000016" w:usb3="00000000" w:csb0="0004000F" w:csb1="00000000"/>
  </w:font>
  <w:font w:name="华光行楷_CNKI">
    <w:altName w:val="华光行楷_CNKI"/>
    <w:panose1 w:val="02000500000000000000"/>
    <w:charset w:val="86"/>
    <w:family w:val="auto"/>
    <w:pitch w:val="default"/>
    <w:sig w:usb0="A00002BF" w:usb1="18CF7CFA" w:usb2="00000016" w:usb3="00000000" w:csb0="0004000F" w:csb1="00000000"/>
  </w:font>
  <w:font w:name="华光隶书_CNKI">
    <w:altName w:val="华光隶书_CNKI"/>
    <w:panose1 w:val="02000500000000000000"/>
    <w:charset w:val="86"/>
    <w:family w:val="auto"/>
    <w:pitch w:val="default"/>
    <w:sig w:usb0="A00002BF" w:usb1="38CF7CFA" w:usb2="00000016" w:usb3="00000000" w:csb0="0004000F" w:csb1="00000000"/>
  </w:font>
  <w:font w:name="华文仿宋">
    <w:altName w:val="华文仿宋"/>
    <w:panose1 w:val="02010600040001010101"/>
    <w:charset w:val="86"/>
    <w:family w:val="auto"/>
    <w:pitch w:val="default"/>
    <w:sig w:usb0="00000287" w:usb1="080F0000" w:usb2="00000000" w:usb3="00000000" w:csb0="0004009F" w:csb1="DFD70000"/>
  </w:font>
  <w:font w:name="华文新魏">
    <w:altName w:val="华文新魏"/>
    <w:panose1 w:val="02010800040001010101"/>
    <w:charset w:val="86"/>
    <w:family w:val="auto"/>
    <w:pitch w:val="default"/>
    <w:sig w:usb0="00000001" w:usb1="080F0000" w:usb2="00000000" w:usb3="00000000" w:csb0="00040000" w:csb1="00000000"/>
  </w:font>
  <w:font w:name="幼圆">
    <w:altName w:val="幼圆"/>
    <w:panose1 w:val="02010509060001010101"/>
    <w:charset w:val="86"/>
    <w:family w:val="auto"/>
    <w:pitch w:val="default"/>
    <w:sig w:usb0="00000001" w:usb1="080E0000" w:usb2="00000000" w:usb3="00000000" w:csb0="00040000" w:csb1="00000000"/>
  </w:font>
  <w:font w:name="方正大标宋_GBK">
    <w:altName w:val="方正大标宋_GBK"/>
    <w:panose1 w:val="03000509000000000000"/>
    <w:charset w:val="86"/>
    <w:family w:val="auto"/>
    <w:pitch w:val="default"/>
    <w:sig w:usb0="00000001"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rPr>
        <w:rFonts w:eastAsia="宋体"/>
      </w:rPr>
    </w:pPr>
    <w:r>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ind w:firstLine="360"/>
                            <w:rPr>
                              <w:rFonts w:eastAsia="宋体"/>
                            </w:rPr>
                          </w:pPr>
                          <w:r>
                            <w:rPr>
                              <w:rFonts w:eastAsia="宋体"/>
                            </w:rPr>
                            <w:t xml:space="preserve">—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- 1 -</w:t>
                          </w:r>
                          <w:r>
                            <w:rPr>
                              <w:rFonts w:eastAsia="宋体"/>
                            </w:rPr>
                            <w:fldChar w:fldCharType="end"/>
                          </w:r>
                          <w:r>
                            <w:rPr>
                              <w:rFonts w:eastAsia="宋体"/>
                            </w:rPr>
                            <w:t xml:space="preserve"> —</w:t>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ind w:firstLine="360"/>
                      <w:rPr>
                        <w:rFonts w:eastAsia="宋体"/>
                      </w:rPr>
                    </w:pPr>
                    <w:r>
                      <w:rPr>
                        <w:rFonts w:eastAsia="宋体"/>
                      </w:rPr>
                      <w:t xml:space="preserve">—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- 1 -</w:t>
                    </w:r>
                    <w:r>
                      <w:rPr>
                        <w:rFonts w:eastAsia="宋体"/>
                      </w:rPr>
                      <w:fldChar w:fldCharType="end"/>
                    </w:r>
                    <w:r>
                      <w:rPr>
                        <w:rFonts w:eastAsia="宋体"/>
                      </w:rPr>
                      <w:t xml:space="preserve"> —</w:t>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firstLine="36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firstLine="36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firstLine="3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D7FD7CC3"/>
    <w:lvl w:ilvl="0">
      <w:start w:val="1"/>
      <w:numFmt w:val="chineseCounting"/>
      <w:suff w:val="nothing"/>
      <w:lvlText w:val="（%1）"/>
      <w:lvlJc w:val="left"/>
      <w:pPr/>
      <w:rPr>
        <w:rFonts w:hint="eastAsia"/>
      </w:rPr>
    </w:lvl>
  </w:abstractNum>
  <w:abstractNum w:abstractNumId="1">
    <w:nsid w:val="00000001"/>
    <w:multiLevelType w:val="singleLevel"/>
    <w:tmpl w:val="F7B848F7"/>
    <w:lvl w:ilvl="0">
      <w:start w:val="1"/>
      <w:numFmt w:val="chineseCounting"/>
      <w:suff w:val="space"/>
      <w:lvlText w:val="    第%1条"/>
      <w:lvlJc w:val="left"/>
      <w:pPr>
        <w:tabs>
          <w:tab w:val="left" w:leader="none" w:pos="0"/>
        </w:tabs>
      </w:pPr>
      <w:rPr>
        <w:rFonts w:ascii="宋体" w:cs="宋体" w:eastAsia="宋体" w:hAnsi="宋体" w:hint="eastAsia"/>
        <w:b/>
        <w:sz w:val="32"/>
      </w:rPr>
    </w:lvl>
  </w:abstractNum>
  <w:abstractNum w:abstractNumId="2">
    <w:nsid w:val="00000002"/>
    <w:multiLevelType w:val="singleLevel"/>
    <w:tmpl w:val="07B6866E"/>
    <w:lvl w:ilvl="0">
      <w:start w:val="1"/>
      <w:numFmt w:val="chineseCounting"/>
      <w:suff w:val="nothing"/>
      <w:lvlText w:val="（%1）"/>
      <w:lvlJc w:val="left"/>
      <w:pPr>
        <w:ind w:left="640" w:leftChars="0" w:firstLine="0" w:firstLineChars="0"/>
      </w:pPr>
      <w:rPr>
        <w:rFonts w:hint="eastAsia"/>
      </w:rPr>
    </w:lvl>
  </w:abstractNum>
  <w:abstractNum w:abstractNumId="3">
    <w:nsid w:val="00000003"/>
    <w:multiLevelType w:val="singleLevel"/>
    <w:tmpl w:val="4DD94E4D"/>
    <w:lvl w:ilvl="0">
      <w:start w:val="1"/>
      <w:numFmt w:val="chineseCounting"/>
      <w:suff w:val="nothing"/>
      <w:lvlText w:val="（%1）"/>
      <w:lvlJc w:val="left"/>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kinsoku w:val="false"/>
      <w:autoSpaceDE w:val="false"/>
      <w:autoSpaceDN w:val="false"/>
      <w:adjustRightInd w:val="false"/>
      <w:snapToGrid w:val="false"/>
      <w:spacing w:lineRule="exact" w:line="540"/>
      <w:ind w:firstLine="640" w:firstLineChars="200"/>
      <w:jc w:val="both"/>
      <w:textAlignment w:val="baseline"/>
    </w:pPr>
    <w:rPr>
      <w:rFonts w:ascii="Arial" w:cs="Arial" w:eastAsia="仿宋" w:hAnsi="Arial"/>
      <w:snapToGrid w:val="false"/>
      <w:color w:val="000000"/>
      <w:sz w:val="32"/>
      <w:szCs w:val="21"/>
      <w:lang w:val="en-US" w:bidi="ar-SA" w:eastAsia="zh-CN"/>
    </w:rPr>
  </w:style>
  <w:style w:type="paragraph" w:styleId="style1">
    <w:name w:val="heading 1"/>
    <w:next w:val="style0"/>
    <w:qFormat/>
    <w:uiPriority w:val="0"/>
    <w:pPr>
      <w:keepNext/>
      <w:keepLines/>
      <w:spacing w:lineRule="exact" w:line="640"/>
      <w:jc w:val="center"/>
      <w:outlineLvl w:val="0"/>
    </w:pPr>
    <w:rPr>
      <w:rFonts w:ascii="Arial" w:cs="Times New Roman" w:eastAsia="方正小标宋简体" w:hAnsi="Arial"/>
      <w:kern w:val="44"/>
      <w:sz w:val="44"/>
      <w:lang w:val="en-US" w:bidi="ar-SA" w:eastAsia="zh-CN"/>
    </w:rPr>
  </w:style>
  <w:style w:type="paragraph" w:styleId="style2">
    <w:name w:val="heading 2"/>
    <w:next w:val="style0"/>
    <w:link w:val="style4097"/>
    <w:qFormat/>
    <w:uiPriority w:val="0"/>
    <w:pPr>
      <w:keepNext/>
      <w:keepLines/>
      <w:spacing w:before="140" w:after="140" w:lineRule="exact" w:line="540"/>
      <w:jc w:val="center"/>
      <w:outlineLvl w:val="1"/>
    </w:pPr>
    <w:rPr>
      <w:rFonts w:ascii="Arial" w:cs="Times New Roman" w:eastAsia="黑体" w:hAnsi="Arial"/>
      <w:sz w:val="36"/>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link w:val="style4100"/>
    <w:qFormat/>
    <w:uiPriority w:val="0"/>
    <w:pPr>
      <w:jc w:val="left"/>
    </w:pPr>
    <w:rPr>
      <w:sz w:val="30"/>
    </w:rPr>
  </w:style>
  <w:style w:type="paragraph" w:styleId="style153">
    <w:name w:val="Balloon Text"/>
    <w:basedOn w:val="style0"/>
    <w:next w:val="style153"/>
    <w:link w:val="style4099"/>
    <w:qFormat/>
    <w:uiPriority w:val="0"/>
    <w:pPr>
      <w:spacing w:lineRule="auto" w:line="240"/>
    </w:pPr>
    <w:rPr>
      <w:sz w:val="18"/>
      <w:szCs w:val="18"/>
    </w:rPr>
  </w:style>
  <w:style w:type="paragraph" w:styleId="style32">
    <w:name w:val="footer"/>
    <w:basedOn w:val="style0"/>
    <w:next w:val="style32"/>
    <w:qFormat/>
    <w:uiPriority w:val="0"/>
    <w:pPr>
      <w:tabs>
        <w:tab w:val="center" w:leader="none" w:pos="4153"/>
        <w:tab w:val="right" w:leader="none" w:pos="8306"/>
      </w:tabs>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pacing w:lineRule="auto" w:line="240"/>
    </w:pPr>
    <w:rPr>
      <w:sz w:val="18"/>
    </w:rPr>
  </w:style>
  <w:style w:type="character" w:styleId="style39">
    <w:name w:val="annotation reference"/>
    <w:basedOn w:val="style65"/>
    <w:next w:val="style39"/>
    <w:qFormat/>
    <w:uiPriority w:val="0"/>
    <w:rPr>
      <w:sz w:val="21"/>
      <w:szCs w:val="21"/>
    </w:rPr>
  </w:style>
  <w:style w:type="character" w:customStyle="1" w:styleId="style4097">
    <w:name w:val="标题 2 Char"/>
    <w:basedOn w:val="style65"/>
    <w:next w:val="style4097"/>
    <w:link w:val="style2"/>
    <w:qFormat/>
    <w:uiPriority w:val="0"/>
    <w:rPr>
      <w:rFonts w:ascii="Arial" w:eastAsia="黑体" w:hAnsi="Arial"/>
      <w:sz w:val="36"/>
    </w:rPr>
  </w:style>
  <w:style w:type="table" w:customStyle="1" w:styleId="style4098">
    <w:name w:val="Table Normal"/>
    <w:next w:val="style4098"/>
    <w:qFormat/>
    <w:uiPriority w:val="0"/>
    <w:pPr/>
    <w:rPr/>
    <w:tblPr>
      <w:tblCellMar>
        <w:top w:w="0" w:type="dxa"/>
        <w:left w:w="0" w:type="dxa"/>
        <w:bottom w:w="0" w:type="dxa"/>
        <w:right w:w="0" w:type="dxa"/>
      </w:tblCellMar>
    </w:tblPr>
    <w:tcPr>
      <w:tcBorders/>
    </w:tcPr>
  </w:style>
  <w:style w:type="character" w:customStyle="1" w:styleId="style4099">
    <w:name w:val="批注框文本 Char"/>
    <w:basedOn w:val="style65"/>
    <w:next w:val="style4099"/>
    <w:link w:val="style153"/>
    <w:qFormat/>
    <w:uiPriority w:val="0"/>
    <w:rPr>
      <w:rFonts w:ascii="Arial" w:cs="Arial" w:eastAsia="仿宋" w:hAnsi="Arial"/>
      <w:snapToGrid w:val="false"/>
      <w:color w:val="000000"/>
      <w:sz w:val="18"/>
      <w:szCs w:val="18"/>
    </w:rPr>
  </w:style>
  <w:style w:type="character" w:customStyle="1" w:styleId="style4100">
    <w:name w:val="批注文字 Char"/>
    <w:basedOn w:val="style65"/>
    <w:next w:val="style4100"/>
    <w:link w:val="style30"/>
    <w:qFormat/>
    <w:uiPriority w:val="0"/>
    <w:rPr>
      <w:rFonts w:ascii="Arial" w:cs="Arial" w:eastAsia="仿宋" w:hAnsi="Arial"/>
      <w:snapToGrid w:val="false"/>
      <w:color w:val="000000"/>
      <w:sz w:val="30"/>
      <w:szCs w:val="21"/>
    </w:rPr>
  </w:style>
  <w:style w:type="paragraph" w:styleId="style179">
    <w:name w:val="List Paragraph"/>
    <w:basedOn w:val="style0"/>
    <w:next w:val="style179"/>
    <w:qFormat/>
    <w:uiPriority w:val="99"/>
    <w:pPr>
      <w:ind w:firstLine="42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6032</Words>
  <Pages>13</Pages>
  <Characters>6314</Characters>
  <Application>WPS Office</Application>
  <DocSecurity>0</DocSecurity>
  <Paragraphs>276</Paragraphs>
  <ScaleCrop>false</ScaleCrop>
  <Company>China</Company>
  <LinksUpToDate>false</LinksUpToDate>
  <CharactersWithSpaces>6521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2023-10-13T06:35:00Z</dcterms:created>
  <dc:creator>何刚</dc:creator>
  <lastModifiedBy>M2102J2SC</lastModifiedBy>
  <lastPrinted>2024-09-08T15:47:00Z</lastPrinted>
  <dcterms:modified xsi:type="dcterms:W3CDTF">2024-10-31T18:02:00Z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3669560456BC4AE7A4911F710568A3C5</vt:lpwstr>
  </property>
</Properties>
</file>