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widowControl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履约行为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评价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评分项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规则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numPr>
          <w:ilvl w:val="0"/>
          <w:numId w:val="5"/>
        </w:numPr>
        <w:spacing w:line="500" w:lineRule="exact"/>
        <w:ind w:firstLine="622" w:firstLineChars="200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评分方式</w:t>
      </w:r>
    </w:p>
    <w:p>
      <w:pPr>
        <w:widowControl/>
        <w:spacing w:line="500" w:lineRule="exact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设计、施工单位履约行为评分项初始分值 20 分，由建设单位按照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省交通运输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厅确定的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高速公路在建项目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综合考核等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结合其对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各从业单位的日常管理情况进行评分。 </w:t>
      </w:r>
    </w:p>
    <w:p>
      <w:pPr>
        <w:widowControl/>
        <w:numPr>
          <w:ilvl w:val="0"/>
          <w:numId w:val="5"/>
        </w:numPr>
        <w:spacing w:line="500" w:lineRule="exact"/>
        <w:ind w:firstLine="622" w:firstLineChars="200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高速公路在建项目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综合考核等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eastAsia="zh-CN" w:bidi="ar"/>
        </w:rPr>
        <w:t>次评定</w:t>
      </w:r>
    </w:p>
    <w:p>
      <w:pPr>
        <w:widowControl/>
        <w:spacing w:line="500" w:lineRule="exact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高速公路在建项目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综合考核等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由厅综合投资、进度、安全、质量、信访、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审计、造价执行情况等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进行评定，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以高速公路在建项目为单元，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评定等次分为优秀、合格、欠佳3类，于每年定期评价前公布。</w:t>
      </w:r>
    </w:p>
    <w:p>
      <w:pPr>
        <w:widowControl/>
        <w:numPr>
          <w:ilvl w:val="0"/>
          <w:numId w:val="5"/>
        </w:numPr>
        <w:spacing w:line="500" w:lineRule="exact"/>
        <w:ind w:firstLine="622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建设单位对从业单位的日常管理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eastAsia="zh-CN" w:bidi="ar"/>
        </w:rPr>
        <w:t>评定</w:t>
      </w:r>
    </w:p>
    <w:p>
      <w:pPr>
        <w:widowControl/>
        <w:spacing w:line="500" w:lineRule="exact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1.建设单位应当综合考虑工程安全、质量、进度、环保、廉政、平安工地建设、品质工程创建、农民工工资支付以及合同履约等方面，对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高速公路在建项目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的设计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施工各专业合同段分别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进行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评定。</w:t>
      </w:r>
    </w:p>
    <w:p>
      <w:pPr>
        <w:widowControl/>
        <w:spacing w:line="500" w:lineRule="exact"/>
        <w:ind w:firstLine="62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2.评定于每年12月进行，年底前完成。</w:t>
      </w:r>
    </w:p>
    <w:p>
      <w:pPr>
        <w:widowControl/>
        <w:spacing w:line="500" w:lineRule="exact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3.评定等级：建设单位对设计、施工合同段的评定分为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Ⅰ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”“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Ⅱ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”“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Ⅲ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”三个等级，Ⅰ级得15-20分，Ⅱ级得5-14分，Ⅲ级得0-4分。</w:t>
      </w:r>
    </w:p>
    <w:p>
      <w:pPr>
        <w:widowControl/>
        <w:spacing w:line="500" w:lineRule="exact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4.各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高速公路在建项目的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设计、施工合同段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评定为Ⅰ级的数量上限和评定为Ⅲ级的数量下限按表1比例计算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，计算结果按四舍五入取整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，剩余合同段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评定等级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确定为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Ⅱ级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widowControl/>
        <w:ind w:firstLine="72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72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72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72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72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72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表一</w:t>
      </w:r>
    </w:p>
    <w:tbl>
      <w:tblPr>
        <w:tblStyle w:val="7"/>
        <w:tblW w:w="461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1576"/>
        <w:gridCol w:w="1435"/>
        <w:gridCol w:w="14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2093" w:type="pct"/>
            <w:noWrap w:val="0"/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高速公路在建项目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综合考核等次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合同段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评定等级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级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（比例上限）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Ⅱ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级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级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（比例下限）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0%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20%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欠佳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30%</w:t>
            </w:r>
          </w:p>
        </w:tc>
      </w:tr>
    </w:tbl>
    <w:p>
      <w:pPr>
        <w:widowControl/>
        <w:spacing w:line="500" w:lineRule="exact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各高速公路在建项目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设计序列或施工序列某专业参评合同段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数量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≤3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个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的，建设单位评定为Ⅰ级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的数量上限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和Ⅲ级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数量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下限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按表2取值（斜线前为Ⅰ级数量，斜线后为Ⅲ级数量）：</w:t>
      </w:r>
    </w:p>
    <w:p>
      <w:pPr>
        <w:widowControl/>
        <w:ind w:firstLine="72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表二</w:t>
      </w:r>
    </w:p>
    <w:tbl>
      <w:tblPr>
        <w:tblStyle w:val="7"/>
        <w:tblW w:w="455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4"/>
        <w:gridCol w:w="1346"/>
        <w:gridCol w:w="1311"/>
        <w:gridCol w:w="11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2471" w:type="pct"/>
            <w:noWrap w:val="0"/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高速公路在建项目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综合考核等次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参评合同段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1个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2个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8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8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1/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欠佳</w:t>
            </w:r>
          </w:p>
        </w:tc>
        <w:tc>
          <w:tcPr>
            <w:tcW w:w="8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0/1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</w:tbl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示例：某高速项目综合考核等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次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为合格，项目建设单位对从业单位的评定结果计算如下：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1.设计序列，4个合同段参评，按表一计算：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Ⅰ级4*20%=0.8，按1取值，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则评定为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Ⅰ级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的合同段数量最多为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1个，可按0个或1个确定；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Ⅲ级4*10%=0.4，按0取值。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则评定为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Ⅲ级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的合同段数量不少于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0个，按0～4个确定均可；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评定为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Ⅰ级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Ⅲ级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的合同段数量确定后，剩余的合同段则应评定为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Ⅱ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。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施工序列路面专业，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个合同段参评，按表二取值：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按Ⅰ级评分的合同段数量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最多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为1个，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可按0个或1个确定；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按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Ⅲ级评分的合同段数量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不少于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1个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可按0个、1个或2个确定；</w:t>
      </w:r>
    </w:p>
    <w:p>
      <w:pPr>
        <w:widowControl/>
        <w:ind w:firstLine="0" w:firstLineChars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　　评定为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Ⅰ级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Ⅲ级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的合同段数量确定后，剩余的合同段则应评定为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Ⅱ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95571"/>
    <w:multiLevelType w:val="singleLevel"/>
    <w:tmpl w:val="AC795571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lang w:val="en-US"/>
      </w:rPr>
    </w:lvl>
  </w:abstractNum>
  <w:abstractNum w:abstractNumId="1">
    <w:nsid w:val="DD56CF5E"/>
    <w:multiLevelType w:val="singleLevel"/>
    <w:tmpl w:val="DD56CF5E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9DE1473"/>
    <w:multiLevelType w:val="singleLevel"/>
    <w:tmpl w:val="19DE1473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  <w:b/>
      </w:rPr>
    </w:lvl>
  </w:abstractNum>
  <w:abstractNum w:abstractNumId="3">
    <w:nsid w:val="4DEF7731"/>
    <w:multiLevelType w:val="singleLevel"/>
    <w:tmpl w:val="4DEF7731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4">
    <w:nsid w:val="7DFB21B6"/>
    <w:multiLevelType w:val="singleLevel"/>
    <w:tmpl w:val="7DFB21B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TA3YTQwOTkzNzFlZTVmM2RmNGFjMzIwNjhiMDIifQ=="/>
  </w:docVars>
  <w:rsids>
    <w:rsidRoot w:val="668A4A25"/>
    <w:rsid w:val="02061D90"/>
    <w:rsid w:val="1F422471"/>
    <w:rsid w:val="21E67FF9"/>
    <w:rsid w:val="23223D09"/>
    <w:rsid w:val="247D4B3F"/>
    <w:rsid w:val="25136172"/>
    <w:rsid w:val="258F555F"/>
    <w:rsid w:val="28C1783D"/>
    <w:rsid w:val="2FB770B0"/>
    <w:rsid w:val="2FEC165F"/>
    <w:rsid w:val="34EDC98C"/>
    <w:rsid w:val="37DC4B2C"/>
    <w:rsid w:val="3B836388"/>
    <w:rsid w:val="3BF66817"/>
    <w:rsid w:val="44EF2CBF"/>
    <w:rsid w:val="62F73A3A"/>
    <w:rsid w:val="668A4A25"/>
    <w:rsid w:val="674E1E9C"/>
    <w:rsid w:val="697C6A36"/>
    <w:rsid w:val="71C7102C"/>
    <w:rsid w:val="71D345E0"/>
    <w:rsid w:val="729B3027"/>
    <w:rsid w:val="790225A9"/>
    <w:rsid w:val="7CC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9"/>
    <w:semiHidden/>
    <w:unhideWhenUsed/>
    <w:qFormat/>
    <w:uiPriority w:val="0"/>
    <w:pPr>
      <w:keepNext/>
      <w:keepLines/>
      <w:numPr>
        <w:ilvl w:val="0"/>
        <w:numId w:val="1"/>
      </w:numPr>
      <w:autoSpaceDE w:val="0"/>
      <w:autoSpaceDN w:val="0"/>
      <w:spacing w:before="140" w:after="140" w:line="540" w:lineRule="exact"/>
      <w:ind w:left="640" w:leftChars="200" w:firstLine="0"/>
      <w:jc w:val="left"/>
      <w:outlineLvl w:val="1"/>
    </w:pPr>
    <w:rPr>
      <w:rFonts w:ascii="Arial" w:hAnsi="Arial" w:eastAsia="黑体" w:cs="Times New Roman"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0" w:beforeLines="0" w:beforeAutospacing="0" w:after="0" w:afterLines="0" w:afterAutospacing="0" w:line="540" w:lineRule="exact"/>
      <w:outlineLvl w:val="2"/>
    </w:pPr>
    <w:rPr>
      <w:rFonts w:ascii="Arial" w:hAnsi="Arial" w:eastAsia="仿宋" w:cs="Arial"/>
      <w:snapToGrid w:val="0"/>
      <w:color w:val="000000"/>
      <w:sz w:val="32"/>
      <w:szCs w:val="21"/>
    </w:rPr>
  </w:style>
  <w:style w:type="paragraph" w:styleId="5">
    <w:name w:val="heading 4"/>
    <w:basedOn w:val="4"/>
    <w:next w:val="1"/>
    <w:semiHidden/>
    <w:unhideWhenUsed/>
    <w:qFormat/>
    <w:uiPriority w:val="0"/>
    <w:pPr>
      <w:keepNext/>
      <w:keepLines/>
      <w:numPr>
        <w:numId w:val="3"/>
      </w:numPr>
      <w:spacing w:beforeLines="0" w:beforeAutospacing="0" w:afterLines="0" w:afterAutospacing="0" w:line="540" w:lineRule="exact"/>
      <w:outlineLvl w:val="3"/>
    </w:pPr>
    <w:rPr>
      <w:rFonts w:eastAsia="仿宋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="280" w:beforeLines="0" w:beforeAutospacing="0" w:after="290" w:afterLines="0" w:afterAutospacing="0" w:line="372" w:lineRule="auto"/>
      <w:outlineLvl w:val="4"/>
    </w:pPr>
    <w:rPr>
      <w:rFonts w:ascii="Arial" w:hAnsi="Arial" w:eastAsia="仿宋" w:cs="Arial"/>
      <w:snapToGrid w:val="0"/>
      <w:color w:val="000000"/>
      <w:sz w:val="3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970</Characters>
  <Lines>0</Lines>
  <Paragraphs>0</Paragraphs>
  <TotalTime>4</TotalTime>
  <ScaleCrop>false</ScaleCrop>
  <LinksUpToDate>false</LinksUpToDate>
  <CharactersWithSpaces>976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2024-08-12T11:32:00Z</dcterms:created>
  <dc:creator>无意炊烟</dc:creator>
  <cp:lastModifiedBy>ysgz</cp:lastModifiedBy>
  <cp:lastPrinted>2024-08-22T14:51:00Z</cp:lastPrinted>
  <dcterms:modified xsi:type="dcterms:W3CDTF">2024-09-04T16:38:23Z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CF6653C5970D450E974D03A1E2DA96C0_11</vt:lpwstr>
  </property>
</Properties>
</file>