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E92D3">
      <w:pPr>
        <w:spacing w:line="360" w:lineRule="auto"/>
        <w:jc w:val="center"/>
        <w:rPr>
          <w:rFonts w:hint="default" w:ascii="Times New Roman" w:hAnsi="Times New Roman" w:eastAsia="仿宋_GB2312" w:cs="Times New Roman"/>
          <w:b/>
          <w:snapToGrid w:val="0"/>
          <w:kern w:val="0"/>
          <w:position w:val="6"/>
          <w:sz w:val="52"/>
          <w:szCs w:val="52"/>
        </w:rPr>
      </w:pPr>
    </w:p>
    <w:p w14:paraId="5111C6B3">
      <w:pPr>
        <w:spacing w:line="360" w:lineRule="auto"/>
        <w:jc w:val="center"/>
        <w:rPr>
          <w:rFonts w:hint="default" w:ascii="Times New Roman" w:hAnsi="Times New Roman" w:eastAsia="仿宋_GB2312" w:cs="Times New Roman"/>
          <w:b/>
          <w:snapToGrid w:val="0"/>
          <w:kern w:val="0"/>
          <w:position w:val="6"/>
          <w:sz w:val="52"/>
          <w:szCs w:val="52"/>
        </w:rPr>
      </w:pPr>
    </w:p>
    <w:p w14:paraId="0B436D2C">
      <w:pPr>
        <w:spacing w:line="360" w:lineRule="auto"/>
        <w:jc w:val="center"/>
        <w:rPr>
          <w:rFonts w:hint="eastAsia" w:eastAsia="仿宋_GB2312" w:cs="Times New Roman"/>
          <w:b/>
          <w:snapToGrid w:val="0"/>
          <w:kern w:val="0"/>
          <w:position w:val="6"/>
          <w:sz w:val="44"/>
          <w:szCs w:val="44"/>
          <w:u w:val="none"/>
          <w:lang w:val="en-US" w:eastAsia="zh-CN"/>
        </w:rPr>
      </w:pPr>
      <w:r>
        <w:rPr>
          <w:rFonts w:hint="eastAsia" w:eastAsia="仿宋_GB2312" w:cs="Times New Roman"/>
          <w:b/>
          <w:snapToGrid w:val="0"/>
          <w:kern w:val="0"/>
          <w:position w:val="6"/>
          <w:sz w:val="44"/>
          <w:szCs w:val="44"/>
          <w:u w:val="none"/>
          <w:lang w:val="en-US" w:eastAsia="zh-CN"/>
        </w:rPr>
        <w:t>贵州省交通运输厅技术指南</w:t>
      </w:r>
    </w:p>
    <w:p w14:paraId="6AE1CE40">
      <w:pPr>
        <w:spacing w:line="360" w:lineRule="auto"/>
        <w:jc w:val="center"/>
        <w:rPr>
          <w:rFonts w:hint="eastAsia" w:eastAsia="仿宋_GB2312" w:cs="Times New Roman"/>
          <w:b/>
          <w:snapToGrid w:val="0"/>
          <w:kern w:val="0"/>
          <w:position w:val="6"/>
          <w:sz w:val="44"/>
          <w:szCs w:val="44"/>
          <w:u w:val="single"/>
          <w:lang w:val="en-US" w:eastAsia="zh-CN"/>
        </w:rPr>
      </w:pPr>
      <w:r>
        <w:rPr>
          <w:rFonts w:hint="eastAsia" w:eastAsia="仿宋_GB2312" w:cs="Times New Roman"/>
          <w:b/>
          <w:snapToGrid w:val="0"/>
          <w:kern w:val="0"/>
          <w:position w:val="6"/>
          <w:sz w:val="44"/>
          <w:szCs w:val="44"/>
          <w:u w:val="single"/>
          <w:lang w:val="en-US" w:eastAsia="zh-CN"/>
        </w:rPr>
        <w:t xml:space="preserve">                       </w:t>
      </w:r>
    </w:p>
    <w:p w14:paraId="64C4195F">
      <w:pPr>
        <w:spacing w:line="360" w:lineRule="auto"/>
        <w:jc w:val="center"/>
        <w:rPr>
          <w:rFonts w:hint="default" w:eastAsia="仿宋_GB2312" w:cs="Times New Roman"/>
          <w:b/>
          <w:snapToGrid w:val="0"/>
          <w:kern w:val="0"/>
          <w:position w:val="6"/>
          <w:sz w:val="44"/>
          <w:szCs w:val="44"/>
          <w:u w:val="single"/>
          <w:lang w:val="en-US" w:eastAsia="zh-CN"/>
        </w:rPr>
      </w:pPr>
      <w:r>
        <w:rPr>
          <w:rFonts w:hint="eastAsia" w:eastAsia="仿宋_GB2312" w:cs="Times New Roman"/>
          <w:b/>
          <w:snapToGrid w:val="0"/>
          <w:kern w:val="0"/>
          <w:position w:val="6"/>
          <w:sz w:val="36"/>
          <w:szCs w:val="36"/>
          <w:u w:val="single"/>
          <w:lang w:val="en-US" w:eastAsia="zh-CN"/>
        </w:rPr>
        <w:t xml:space="preserve">                            JTZN****—2025</w:t>
      </w:r>
      <w:r>
        <w:rPr>
          <w:rFonts w:hint="eastAsia" w:eastAsia="仿宋_GB2312" w:cs="Times New Roman"/>
          <w:b/>
          <w:snapToGrid w:val="0"/>
          <w:kern w:val="0"/>
          <w:position w:val="6"/>
          <w:sz w:val="44"/>
          <w:szCs w:val="44"/>
          <w:u w:val="single"/>
          <w:lang w:val="en-US" w:eastAsia="zh-CN"/>
        </w:rPr>
        <w:t xml:space="preserve">  </w:t>
      </w:r>
    </w:p>
    <w:p w14:paraId="59DE3673">
      <w:pPr>
        <w:spacing w:line="360" w:lineRule="auto"/>
        <w:jc w:val="center"/>
        <w:rPr>
          <w:rFonts w:hint="default" w:eastAsia="仿宋_GB2312" w:cs="Times New Roman"/>
          <w:b/>
          <w:snapToGrid w:val="0"/>
          <w:kern w:val="0"/>
          <w:position w:val="6"/>
          <w:sz w:val="44"/>
          <w:szCs w:val="44"/>
          <w:u w:val="single"/>
          <w:lang w:val="en-US" w:eastAsia="zh-CN"/>
        </w:rPr>
      </w:pPr>
    </w:p>
    <w:p w14:paraId="3F412247">
      <w:pPr>
        <w:spacing w:line="360" w:lineRule="auto"/>
        <w:jc w:val="center"/>
        <w:rPr>
          <w:rFonts w:hint="default" w:ascii="Times New Roman" w:hAnsi="Times New Roman" w:eastAsia="仿宋_GB2312" w:cs="Times New Roman"/>
          <w:b/>
          <w:snapToGrid w:val="0"/>
          <w:kern w:val="0"/>
          <w:position w:val="6"/>
          <w:sz w:val="52"/>
          <w:szCs w:val="52"/>
        </w:rPr>
      </w:pPr>
    </w:p>
    <w:p w14:paraId="6BCBDD43">
      <w:pPr>
        <w:spacing w:line="360" w:lineRule="auto"/>
        <w:jc w:val="center"/>
        <w:rPr>
          <w:rFonts w:hint="default" w:ascii="Times New Roman" w:hAnsi="Times New Roman" w:eastAsia="仿宋_GB2312" w:cs="Times New Roman"/>
          <w:b/>
          <w:snapToGrid w:val="0"/>
          <w:kern w:val="0"/>
          <w:position w:val="6"/>
          <w:sz w:val="52"/>
          <w:szCs w:val="52"/>
        </w:rPr>
      </w:pPr>
    </w:p>
    <w:p w14:paraId="59E9E992">
      <w:pPr>
        <w:spacing w:line="360" w:lineRule="auto"/>
        <w:ind w:firstLine="1124"/>
        <w:jc w:val="center"/>
        <w:rPr>
          <w:rFonts w:hint="default" w:ascii="Times New Roman" w:hAnsi="Times New Roman" w:eastAsia="仿宋_GB2312" w:cs="Times New Roman"/>
          <w:b/>
          <w:snapToGrid w:val="0"/>
          <w:spacing w:val="20"/>
          <w:kern w:val="0"/>
          <w:sz w:val="52"/>
          <w:szCs w:val="52"/>
        </w:rPr>
      </w:pPr>
    </w:p>
    <w:p w14:paraId="7DB27322">
      <w:pPr>
        <w:tabs>
          <w:tab w:val="left" w:pos="7065"/>
        </w:tabs>
        <w:spacing w:line="360" w:lineRule="auto"/>
        <w:jc w:val="center"/>
        <w:rPr>
          <w:rFonts w:hint="default" w:ascii="Times New Roman" w:hAnsi="Times New Roman" w:eastAsia="仿宋_GB2312" w:cs="Times New Roman"/>
          <w:b/>
          <w:snapToGrid w:val="0"/>
          <w:color w:val="000000" w:themeColor="text1"/>
          <w:kern w:val="0"/>
          <w:position w:val="6"/>
          <w:sz w:val="52"/>
          <w:szCs w:val="52"/>
          <w14:textFill>
            <w14:solidFill>
              <w14:schemeClr w14:val="tx1"/>
            </w14:solidFill>
          </w14:textFill>
        </w:rPr>
      </w:pPr>
      <w:r>
        <w:rPr>
          <w:rFonts w:hint="default" w:ascii="Times New Roman" w:hAnsi="Times New Roman" w:eastAsia="仿宋_GB2312" w:cs="Times New Roman"/>
          <w:b/>
          <w:snapToGrid w:val="0"/>
          <w:color w:val="000000" w:themeColor="text1"/>
          <w:kern w:val="0"/>
          <w:position w:val="6"/>
          <w:sz w:val="52"/>
          <w:szCs w:val="52"/>
          <w14:textFill>
            <w14:solidFill>
              <w14:schemeClr w14:val="tx1"/>
            </w14:solidFill>
          </w14:textFill>
        </w:rPr>
        <w:t>冷拌超表处施工技术指南</w:t>
      </w:r>
    </w:p>
    <w:p w14:paraId="41F7CB2C">
      <w:pPr>
        <w:spacing w:line="360" w:lineRule="auto"/>
        <w:jc w:val="center"/>
        <w:rPr>
          <w:rFonts w:hint="default" w:ascii="Times New Roman" w:hAnsi="Times New Roman" w:eastAsia="仿宋_GB2312" w:cs="Times New Roman"/>
          <w:sz w:val="48"/>
          <w:szCs w:val="48"/>
        </w:rPr>
      </w:pPr>
    </w:p>
    <w:p w14:paraId="5A3A3F82">
      <w:pPr>
        <w:spacing w:line="360" w:lineRule="auto"/>
        <w:jc w:val="center"/>
        <w:rPr>
          <w:rFonts w:hint="default" w:ascii="Times New Roman" w:hAnsi="Times New Roman" w:eastAsia="仿宋_GB2312" w:cs="Times New Roman"/>
          <w:sz w:val="48"/>
          <w:szCs w:val="48"/>
        </w:rPr>
      </w:pPr>
      <w:r>
        <w:rPr>
          <w:rFonts w:hint="default" w:ascii="Times New Roman" w:hAnsi="Times New Roman" w:eastAsia="仿宋_GB2312" w:cs="Times New Roman"/>
          <w:sz w:val="48"/>
          <w:szCs w:val="48"/>
        </w:rPr>
        <w:t>（</w:t>
      </w:r>
      <w:r>
        <w:rPr>
          <w:rFonts w:hint="default" w:ascii="Times New Roman" w:hAnsi="Times New Roman" w:eastAsia="仿宋_GB2312" w:cs="Times New Roman"/>
          <w:sz w:val="48"/>
          <w:szCs w:val="48"/>
          <w:lang w:val="en-US" w:eastAsia="zh-CN"/>
        </w:rPr>
        <w:t>试行</w:t>
      </w:r>
      <w:r>
        <w:rPr>
          <w:rFonts w:hint="default" w:ascii="Times New Roman" w:hAnsi="Times New Roman" w:eastAsia="仿宋_GB2312" w:cs="Times New Roman"/>
          <w:sz w:val="48"/>
          <w:szCs w:val="48"/>
        </w:rPr>
        <w:t>）</w:t>
      </w:r>
    </w:p>
    <w:p w14:paraId="07A346FB">
      <w:pPr>
        <w:rPr>
          <w:rFonts w:hint="default" w:ascii="Times New Roman" w:hAnsi="Times New Roman" w:eastAsia="仿宋_GB2312" w:cs="Times New Roman"/>
          <w:sz w:val="28"/>
        </w:rPr>
      </w:pPr>
    </w:p>
    <w:p w14:paraId="1DE6BC1D">
      <w:pPr>
        <w:ind w:firstLine="560"/>
        <w:jc w:val="center"/>
        <w:rPr>
          <w:rFonts w:hint="default" w:ascii="Times New Roman" w:hAnsi="Times New Roman" w:eastAsia="仿宋_GB2312" w:cs="Times New Roman"/>
          <w:sz w:val="28"/>
        </w:rPr>
      </w:pPr>
    </w:p>
    <w:p w14:paraId="37CB6F77">
      <w:pPr>
        <w:ind w:firstLine="560"/>
        <w:jc w:val="center"/>
        <w:rPr>
          <w:rFonts w:hint="default" w:ascii="Times New Roman" w:hAnsi="Times New Roman" w:eastAsia="仿宋_GB2312" w:cs="Times New Roman"/>
          <w:sz w:val="28"/>
        </w:rPr>
      </w:pPr>
    </w:p>
    <w:p w14:paraId="127FF449">
      <w:pPr>
        <w:ind w:firstLine="560"/>
        <w:jc w:val="center"/>
        <w:rPr>
          <w:rFonts w:hint="default" w:ascii="Times New Roman" w:hAnsi="Times New Roman" w:eastAsia="仿宋_GB2312" w:cs="Times New Roman"/>
          <w:sz w:val="28"/>
        </w:rPr>
      </w:pPr>
    </w:p>
    <w:p w14:paraId="00AF5B21">
      <w:pPr>
        <w:ind w:firstLine="560"/>
        <w:jc w:val="center"/>
        <w:rPr>
          <w:rFonts w:hint="default" w:ascii="Times New Roman" w:hAnsi="Times New Roman" w:eastAsia="仿宋_GB2312" w:cs="Times New Roman"/>
          <w:sz w:val="28"/>
        </w:rPr>
      </w:pPr>
    </w:p>
    <w:p w14:paraId="6247B0A4">
      <w:pPr>
        <w:ind w:firstLine="560"/>
        <w:jc w:val="center"/>
        <w:rPr>
          <w:rFonts w:hint="default" w:ascii="Times New Roman" w:hAnsi="Times New Roman" w:eastAsia="仿宋_GB2312" w:cs="Times New Roman"/>
          <w:sz w:val="28"/>
        </w:rPr>
      </w:pPr>
    </w:p>
    <w:p w14:paraId="595E011E">
      <w:pPr>
        <w:jc w:val="center"/>
        <w:rPr>
          <w:rFonts w:hint="eastAsia" w:ascii="宋体" w:hAnsi="宋体" w:eastAsia="宋体" w:cs="宋体"/>
          <w:sz w:val="28"/>
          <w:szCs w:val="36"/>
          <w:u w:val="thick"/>
          <w:lang w:val="en-US" w:eastAsia="zh-CN"/>
        </w:rPr>
      </w:pP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 xml:space="preserve">发布                            </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实施</w:t>
      </w:r>
    </w:p>
    <w:p w14:paraId="040A67D7">
      <w:pPr>
        <w:jc w:val="both"/>
        <w:rPr>
          <w:rFonts w:hint="default" w:ascii="Times New Roman" w:hAnsi="Times New Roman" w:eastAsia="仿宋_GB2312" w:cs="Times New Roman"/>
          <w:u w:val="single"/>
          <w:lang w:val="en-US" w:eastAsia="zh-CN"/>
        </w:rPr>
      </w:pPr>
      <w:r>
        <w:rPr>
          <w:rFonts w:hint="eastAsia" w:ascii="Times New Roman" w:hAnsi="Times New Roman" w:eastAsia="仿宋_GB2312" w:cs="Times New Roman"/>
          <w:u w:val="thick"/>
          <w:lang w:val="en-US" w:eastAsia="zh-CN"/>
        </w:rPr>
        <w:t xml:space="preserve">                                                                                          </w:t>
      </w:r>
      <w:r>
        <w:rPr>
          <w:rFonts w:hint="eastAsia" w:ascii="Times New Roman" w:hAnsi="Times New Roman" w:eastAsia="仿宋_GB2312" w:cs="Times New Roman"/>
          <w:u w:val="single"/>
          <w:lang w:val="en-US" w:eastAsia="zh-CN"/>
        </w:rPr>
        <w:t xml:space="preserve"> </w:t>
      </w:r>
    </w:p>
    <w:p w14:paraId="186D0859">
      <w:pPr>
        <w:jc w:val="center"/>
        <w:rPr>
          <w:rFonts w:hint="default" w:ascii="Times New Roman" w:hAnsi="Times New Roman" w:eastAsia="仿宋_GB2312" w:cs="Times New Roman"/>
        </w:rPr>
      </w:pPr>
    </w:p>
    <w:p w14:paraId="2C19E17C">
      <w:pPr>
        <w:jc w:val="center"/>
        <w:rPr>
          <w:rFonts w:hint="default" w:ascii="Times New Roman" w:hAnsi="Times New Roman" w:eastAsia="仿宋_GB2312" w:cs="Times New Roman"/>
        </w:rPr>
      </w:pPr>
    </w:p>
    <w:p w14:paraId="5ACFDD2E">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贵州省交通运输厅        发布</w:t>
      </w:r>
    </w:p>
    <w:p w14:paraId="7F0A828A">
      <w:pPr>
        <w:spacing w:line="360" w:lineRule="auto"/>
        <w:jc w:val="center"/>
        <w:rPr>
          <w:rFonts w:hint="default" w:ascii="Times New Roman" w:hAnsi="Times New Roman" w:eastAsia="仿宋_GB2312" w:cs="Times New Roman"/>
          <w:b/>
          <w:bCs/>
          <w:sz w:val="32"/>
          <w:szCs w:val="28"/>
        </w:rPr>
      </w:pPr>
    </w:p>
    <w:p w14:paraId="6311580E">
      <w:pPr>
        <w:spacing w:line="360" w:lineRule="auto"/>
        <w:jc w:val="center"/>
        <w:rPr>
          <w:rFonts w:hint="default" w:ascii="Times New Roman" w:hAnsi="Times New Roman" w:eastAsia="仿宋_GB2312" w:cs="Times New Roman"/>
          <w:b/>
          <w:bCs/>
          <w:sz w:val="32"/>
          <w:szCs w:val="28"/>
        </w:rPr>
      </w:pPr>
    </w:p>
    <w:p w14:paraId="4738686E">
      <w:pPr>
        <w:spacing w:line="360" w:lineRule="auto"/>
        <w:jc w:val="center"/>
        <w:rPr>
          <w:rFonts w:hint="default" w:ascii="Times New Roman" w:hAnsi="Times New Roman" w:eastAsia="仿宋_GB2312" w:cs="Times New Roman"/>
          <w:b/>
          <w:bCs/>
          <w:sz w:val="32"/>
          <w:szCs w:val="28"/>
        </w:rPr>
      </w:pPr>
    </w:p>
    <w:p w14:paraId="5CAD4FCD">
      <w:pPr>
        <w:widowControl/>
        <w:jc w:val="center"/>
        <w:rPr>
          <w:rFonts w:hint="default" w:ascii="Times New Roman" w:hAnsi="Times New Roman" w:eastAsia="仿宋_GB2312" w:cs="Times New Roman"/>
          <w:bCs/>
          <w:sz w:val="32"/>
          <w:szCs w:val="28"/>
        </w:rPr>
      </w:pPr>
      <w:r>
        <w:rPr>
          <w:rFonts w:hint="default" w:ascii="Times New Roman" w:hAnsi="Times New Roman" w:eastAsia="仿宋_GB2312" w:cs="Times New Roman"/>
          <w:bCs/>
          <w:sz w:val="32"/>
          <w:szCs w:val="28"/>
        </w:rPr>
        <w:t>前  言</w:t>
      </w:r>
    </w:p>
    <w:p w14:paraId="1E34CF3D">
      <w:pPr>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color w:val="000000" w:themeColor="text1"/>
          <w:sz w:val="24"/>
          <w:szCs w:val="40"/>
          <w14:textFill>
            <w14:solidFill>
              <w14:schemeClr w14:val="tx1"/>
            </w14:solidFill>
          </w14:textFill>
        </w:rPr>
        <w:t>为推动绿色养护技术应用推广，贵州高速公路集团有限公司、贵州高速公路实业有限公司</w:t>
      </w:r>
      <w:r>
        <w:rPr>
          <w:rFonts w:hint="default" w:ascii="Times New Roman" w:hAnsi="Times New Roman" w:eastAsia="宋体" w:cs="Times New Roman"/>
          <w:color w:val="000000" w:themeColor="text1"/>
          <w:sz w:val="24"/>
          <w:szCs w:val="40"/>
          <w:lang w:eastAsia="zh-CN"/>
          <w14:textFill>
            <w14:solidFill>
              <w14:schemeClr w14:val="tx1"/>
            </w14:solidFill>
          </w14:textFill>
        </w:rPr>
        <w:t>、</w:t>
      </w:r>
      <w:r>
        <w:rPr>
          <w:rFonts w:hint="default" w:ascii="Times New Roman" w:hAnsi="Times New Roman" w:eastAsia="宋体" w:cs="Times New Roman"/>
          <w:color w:val="000000" w:themeColor="text1"/>
          <w:sz w:val="24"/>
          <w:szCs w:val="40"/>
          <w14:textFill>
            <w14:solidFill>
              <w14:schemeClr w14:val="tx1"/>
            </w14:solidFill>
          </w14:textFill>
        </w:rPr>
        <w:t>同济大学</w:t>
      </w:r>
      <w:r>
        <w:rPr>
          <w:rFonts w:hint="default" w:ascii="Times New Roman" w:hAnsi="Times New Roman" w:eastAsia="宋体" w:cs="Times New Roman"/>
          <w:color w:val="000000" w:themeColor="text1"/>
          <w:sz w:val="24"/>
          <w:szCs w:val="40"/>
          <w:lang w:eastAsia="zh-CN"/>
          <w14:textFill>
            <w14:solidFill>
              <w14:schemeClr w14:val="tx1"/>
            </w14:solidFill>
          </w14:textFill>
        </w:rPr>
        <w:t>、</w:t>
      </w:r>
      <w:r>
        <w:rPr>
          <w:rFonts w:hint="default" w:ascii="Times New Roman" w:hAnsi="Times New Roman" w:eastAsia="宋体" w:cs="Times New Roman"/>
          <w:color w:val="000000" w:themeColor="text1"/>
          <w:sz w:val="24"/>
          <w:szCs w:val="40"/>
          <w:lang w:val="en-US" w:eastAsia="zh-CN"/>
          <w14:textFill>
            <w14:solidFill>
              <w14:schemeClr w14:val="tx1"/>
            </w14:solidFill>
          </w14:textFill>
        </w:rPr>
        <w:t>贵州黔和物流有限公司</w:t>
      </w:r>
      <w:r>
        <w:rPr>
          <w:rFonts w:hint="default" w:ascii="Times New Roman" w:hAnsi="Times New Roman" w:eastAsia="宋体" w:cs="Times New Roman"/>
          <w:color w:val="000000" w:themeColor="text1"/>
          <w:sz w:val="24"/>
          <w:szCs w:val="40"/>
          <w14:textFill>
            <w14:solidFill>
              <w14:schemeClr w14:val="tx1"/>
            </w14:solidFill>
          </w14:textFill>
        </w:rPr>
        <w:t>承担</w:t>
      </w:r>
      <w:r>
        <w:rPr>
          <w:rFonts w:hint="default" w:ascii="Times New Roman" w:hAnsi="Times New Roman" w:eastAsia="宋体" w:cs="Times New Roman"/>
          <w:sz w:val="24"/>
          <w:szCs w:val="32"/>
        </w:rPr>
        <w:t>承担《冷拌超表处施工技术指南》（以下简称“本指南”）的制定工作。</w:t>
      </w:r>
    </w:p>
    <w:p w14:paraId="6AFF25C2">
      <w:pPr>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编写组在对冷拌超表处技术的相关科研成果和工程应用调研基础上，充分吸收借鉴国内外相关标准的先进经验，开展了重要参数验证试验，经广泛调研和征求意见后，制定本指南。</w:t>
      </w:r>
    </w:p>
    <w:p w14:paraId="59587212">
      <w:pPr>
        <w:spacing w:line="360" w:lineRule="auto"/>
        <w:ind w:firstLine="480" w:firstLineChars="200"/>
        <w:rPr>
          <w:rFonts w:hint="default" w:ascii="Times New Roman" w:hAnsi="Times New Roman" w:eastAsia="宋体" w:cs="Times New Roman"/>
          <w:bCs/>
          <w:kern w:val="44"/>
          <w:sz w:val="24"/>
          <w:szCs w:val="32"/>
        </w:rPr>
      </w:pPr>
      <w:r>
        <w:rPr>
          <w:rFonts w:hint="default" w:ascii="Times New Roman" w:hAnsi="Times New Roman" w:eastAsia="宋体" w:cs="Times New Roman"/>
          <w:sz w:val="24"/>
          <w:szCs w:val="32"/>
        </w:rPr>
        <w:t>本指南分为8章，主要包括：总则；规范性引用文件；术语与符号；基本规定；材料；</w:t>
      </w:r>
      <w:r>
        <w:rPr>
          <w:rFonts w:hint="default" w:ascii="Times New Roman" w:hAnsi="Times New Roman" w:eastAsia="宋体" w:cs="Times New Roman"/>
          <w:bCs/>
          <w:kern w:val="44"/>
          <w:sz w:val="24"/>
          <w:szCs w:val="32"/>
        </w:rPr>
        <w:t>冷拌超表处混合料设计；施工；施工质量控制与检查验收。</w:t>
      </w:r>
    </w:p>
    <w:p w14:paraId="311CFA47">
      <w:pPr>
        <w:spacing w:line="360" w:lineRule="auto"/>
        <w:ind w:firstLine="480" w:firstLineChars="200"/>
        <w:rPr>
          <w:rFonts w:hint="default" w:ascii="Times New Roman" w:hAnsi="Times New Roman" w:eastAsia="宋体" w:cs="Times New Roman"/>
          <w:bCs/>
          <w:kern w:val="44"/>
          <w:sz w:val="24"/>
          <w:szCs w:val="32"/>
        </w:rPr>
      </w:pPr>
      <w:r>
        <w:rPr>
          <w:rFonts w:hint="default" w:ascii="Times New Roman" w:hAnsi="Times New Roman" w:eastAsia="宋体" w:cs="Times New Roman"/>
          <w:bCs/>
          <w:kern w:val="44"/>
          <w:sz w:val="24"/>
          <w:szCs w:val="32"/>
        </w:rPr>
        <w:t>本</w:t>
      </w:r>
      <w:r>
        <w:rPr>
          <w:rFonts w:hint="default" w:ascii="Times New Roman" w:hAnsi="Times New Roman" w:eastAsia="宋体" w:cs="Times New Roman"/>
          <w:sz w:val="24"/>
          <w:szCs w:val="32"/>
        </w:rPr>
        <w:t>指南</w:t>
      </w:r>
      <w:r>
        <w:rPr>
          <w:rFonts w:hint="default" w:ascii="Times New Roman" w:hAnsi="Times New Roman" w:eastAsia="宋体" w:cs="Times New Roman"/>
          <w:bCs/>
          <w:kern w:val="44"/>
          <w:sz w:val="24"/>
          <w:szCs w:val="32"/>
        </w:rPr>
        <w:t>基于通用的工程建设理论及原则编制，适用于本</w:t>
      </w:r>
      <w:r>
        <w:rPr>
          <w:rFonts w:hint="default" w:ascii="Times New Roman" w:hAnsi="Times New Roman" w:eastAsia="宋体" w:cs="Times New Roman"/>
          <w:sz w:val="24"/>
          <w:szCs w:val="32"/>
        </w:rPr>
        <w:t>指南</w:t>
      </w:r>
      <w:r>
        <w:rPr>
          <w:rFonts w:hint="default" w:ascii="Times New Roman" w:hAnsi="Times New Roman" w:eastAsia="宋体" w:cs="Times New Roman"/>
          <w:bCs/>
          <w:kern w:val="44"/>
          <w:sz w:val="24"/>
          <w:szCs w:val="32"/>
        </w:rPr>
        <w:t>提出的应用条件。对于某些特定专项应用条件，使用本</w:t>
      </w:r>
      <w:r>
        <w:rPr>
          <w:rFonts w:hint="default" w:ascii="Times New Roman" w:hAnsi="Times New Roman" w:eastAsia="宋体" w:cs="Times New Roman"/>
          <w:sz w:val="24"/>
          <w:szCs w:val="32"/>
        </w:rPr>
        <w:t>指南</w:t>
      </w:r>
      <w:r>
        <w:rPr>
          <w:rFonts w:hint="default" w:ascii="Times New Roman" w:hAnsi="Times New Roman" w:eastAsia="宋体" w:cs="Times New Roman"/>
          <w:bCs/>
          <w:kern w:val="44"/>
          <w:sz w:val="24"/>
          <w:szCs w:val="32"/>
        </w:rPr>
        <w:t>相关条文时，应对适用性及有效性进行验证。</w:t>
      </w:r>
    </w:p>
    <w:p w14:paraId="3FBA322F">
      <w:pPr>
        <w:tabs>
          <w:tab w:val="left" w:pos="9064"/>
        </w:tabs>
        <w:spacing w:line="360" w:lineRule="auto"/>
        <w:ind w:right="13" w:rightChars="6"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sz w:val="24"/>
        </w:rPr>
        <w:t>请各有关单位在使用本标准过程中，将发现的问题和意见，函告本标准日常管理组，联系人：吕泉（地址：上海市嘉定区曹安公路4800号，同济大学嘉定校区，邮编：200092，电话：18317152095，电子邮箱：100026787@qq.com），以便下次修订时参考。</w:t>
      </w:r>
    </w:p>
    <w:p w14:paraId="472331D3">
      <w:pPr>
        <w:spacing w:line="348" w:lineRule="auto"/>
        <w:ind w:firstLine="480" w:firstLineChars="200"/>
        <w:rPr>
          <w:rFonts w:hint="eastAsia"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批准单位：贵州省交通运输厅</w:t>
      </w:r>
    </w:p>
    <w:p w14:paraId="7E99ADE2">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主编单位：贵州高速公路实业有限公司</w:t>
      </w:r>
    </w:p>
    <w:p w14:paraId="6CE1C78A">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贵州高速公路集团有限公司</w:t>
      </w:r>
    </w:p>
    <w:p w14:paraId="2456C64C">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参编单位：同济大学</w:t>
      </w:r>
    </w:p>
    <w:p w14:paraId="5C2DECC0">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贵州黔和物流有限公司</w:t>
      </w:r>
    </w:p>
    <w:p w14:paraId="284CC8AA">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贵州高速公路集团有限公司兴义营运管理中心</w:t>
      </w:r>
    </w:p>
    <w:p w14:paraId="60F6D616">
      <w:pPr>
        <w:spacing w:line="348" w:lineRule="auto"/>
        <w:ind w:firstLine="480" w:firstLineChars="2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 xml:space="preserve">主要审查人员： </w:t>
      </w:r>
    </w:p>
    <w:p w14:paraId="30C85C65">
      <w:pPr>
        <w:spacing w:line="348" w:lineRule="auto"/>
        <w:ind w:left="2399" w:leftChars="228" w:hanging="1920" w:hangingChars="8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 xml:space="preserve">主要参编人员： </w:t>
      </w:r>
      <w:bookmarkStart w:id="68" w:name="_GoBack"/>
      <w:bookmarkEnd w:id="68"/>
    </w:p>
    <w:p w14:paraId="27FF3BFE">
      <w:pPr>
        <w:widowControl/>
        <w:jc w:val="left"/>
        <w:rPr>
          <w:rFonts w:hint="default" w:ascii="Times New Roman" w:hAnsi="Times New Roman" w:cs="Times New Roman"/>
          <w:sz w:val="24"/>
        </w:rPr>
      </w:pPr>
    </w:p>
    <w:p w14:paraId="3ED72614">
      <w:pPr>
        <w:widowControl/>
        <w:jc w:val="left"/>
        <w:rPr>
          <w:rFonts w:hint="default" w:ascii="Times New Roman" w:hAnsi="Times New Roman" w:cs="Times New Roman"/>
          <w:sz w:val="24"/>
        </w:rPr>
      </w:pPr>
    </w:p>
    <w:p w14:paraId="5EDCA887">
      <w:pPr>
        <w:widowControl/>
        <w:jc w:val="left"/>
        <w:rPr>
          <w:rFonts w:hint="default" w:ascii="Times New Roman" w:hAnsi="Times New Roman" w:cs="Times New Roman"/>
          <w:sz w:val="24"/>
        </w:rPr>
      </w:pPr>
    </w:p>
    <w:p w14:paraId="523A2606">
      <w:pPr>
        <w:widowControl/>
        <w:jc w:val="left"/>
        <w:rPr>
          <w:rFonts w:hint="default" w:ascii="Times New Roman" w:hAnsi="Times New Roman" w:cs="Times New Roman"/>
          <w:sz w:val="24"/>
        </w:rPr>
        <w:sectPr>
          <w:footerReference r:id="rId3" w:type="default"/>
          <w:footerReference r:id="rId4" w:type="even"/>
          <w:type w:val="continuous"/>
          <w:pgSz w:w="11906" w:h="16838"/>
          <w:pgMar w:top="1440" w:right="1800" w:bottom="1440" w:left="1800" w:header="850" w:footer="992" w:gutter="0"/>
          <w:cols w:space="425" w:num="1"/>
          <w:formProt w:val="0"/>
          <w:docGrid w:type="lines" w:linePitch="312" w:charSpace="0"/>
        </w:sectPr>
      </w:pPr>
    </w:p>
    <w:sdt>
      <w:sdtPr>
        <w:rPr>
          <w:rFonts w:hint="default" w:ascii="Times New Roman" w:hAnsi="Times New Roman" w:eastAsia="宋体" w:cs="Times New Roman"/>
          <w:color w:val="auto"/>
          <w:kern w:val="2"/>
          <w:sz w:val="21"/>
          <w:szCs w:val="24"/>
          <w:lang w:val="zh-CN"/>
        </w:rPr>
        <w:id w:val="721032219"/>
        <w:docPartObj>
          <w:docPartGallery w:val="Table of Contents"/>
          <w:docPartUnique/>
        </w:docPartObj>
      </w:sdtPr>
      <w:sdtEndPr>
        <w:rPr>
          <w:rFonts w:hint="default" w:ascii="Times New Roman" w:hAnsi="Times New Roman" w:eastAsia="宋体" w:cs="Times New Roman"/>
          <w:b/>
          <w:bCs/>
          <w:color w:val="auto"/>
          <w:kern w:val="2"/>
          <w:sz w:val="21"/>
          <w:szCs w:val="24"/>
          <w:lang w:val="zh-CN"/>
        </w:rPr>
      </w:sdtEndPr>
      <w:sdtContent>
        <w:p w14:paraId="1BD18C00">
          <w:pPr>
            <w:pStyle w:val="197"/>
            <w:spacing w:before="0" w:line="240" w:lineRule="auto"/>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lang w:val="zh-CN"/>
            </w:rPr>
            <w:t>目 录</w:t>
          </w:r>
        </w:p>
        <w:p w14:paraId="4D676B94">
          <w:pPr>
            <w:pStyle w:val="25"/>
            <w:tabs>
              <w:tab w:val="right" w:leader="dot" w:pos="8306"/>
              <w:tab w:val="clear" w:pos="9242"/>
            </w:tabs>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_Toc3259 </w:instrText>
          </w:r>
          <w:r>
            <w:rPr>
              <w:rFonts w:hint="default" w:ascii="Times New Roman" w:hAnsi="Times New Roman" w:cs="Times New Roman"/>
              <w:szCs w:val="24"/>
            </w:rPr>
            <w:fldChar w:fldCharType="separate"/>
          </w:r>
          <w:r>
            <w:rPr>
              <w:rFonts w:hint="eastAsia" w:ascii="Times New Roman" w:hAnsi="Times New Roman" w:cs="Times New Roman" w:eastAsiaTheme="minorEastAsia"/>
              <w:bCs w:val="0"/>
              <w:i w:val="0"/>
              <w:szCs w:val="32"/>
            </w:rPr>
            <w:t xml:space="preserve">1 </w:t>
          </w:r>
          <w:r>
            <w:rPr>
              <w:rFonts w:hint="default" w:ascii="Times New Roman" w:hAnsi="Times New Roman" w:cs="Times New Roman" w:eastAsiaTheme="minorEastAsia"/>
              <w:bCs/>
              <w:szCs w:val="22"/>
              <w:lang w:val="en-US" w:eastAsia="zh-CN"/>
            </w:rPr>
            <w:t>总则</w:t>
          </w:r>
          <w:r>
            <w:tab/>
          </w:r>
          <w:r>
            <w:fldChar w:fldCharType="begin"/>
          </w:r>
          <w:r>
            <w:instrText xml:space="preserve"> PAGEREF _Toc3259 \h </w:instrText>
          </w:r>
          <w:r>
            <w:fldChar w:fldCharType="separate"/>
          </w:r>
          <w:r>
            <w:t>1</w:t>
          </w:r>
          <w:r>
            <w:fldChar w:fldCharType="end"/>
          </w:r>
          <w:r>
            <w:rPr>
              <w:rFonts w:hint="default" w:ascii="Times New Roman" w:hAnsi="Times New Roman" w:cs="Times New Roman"/>
              <w:szCs w:val="24"/>
            </w:rPr>
            <w:fldChar w:fldCharType="end"/>
          </w:r>
        </w:p>
        <w:p w14:paraId="2AFCD977">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_Toc30495 </w:instrText>
          </w:r>
          <w:r>
            <w:rPr>
              <w:rFonts w:hint="default" w:ascii="Times New Roman" w:hAnsi="Times New Roman" w:cs="Times New Roman"/>
              <w:lang w:val="zh-CN"/>
            </w:rPr>
            <w:fldChar w:fldCharType="separate"/>
          </w:r>
          <w:r>
            <w:rPr>
              <w:rFonts w:hint="default" w:ascii="Times New Roman" w:hAnsi="Times New Roman" w:cs="Times New Roman" w:eastAsiaTheme="minorEastAsia"/>
              <w:bCs/>
              <w:szCs w:val="22"/>
            </w:rPr>
            <w:t>2 规范性引用文件</w:t>
          </w:r>
          <w:r>
            <w:tab/>
          </w:r>
          <w:r>
            <w:fldChar w:fldCharType="begin"/>
          </w:r>
          <w:r>
            <w:instrText xml:space="preserve"> PAGEREF _Toc30495 \h </w:instrText>
          </w:r>
          <w:r>
            <w:fldChar w:fldCharType="separate"/>
          </w:r>
          <w:r>
            <w:t>2</w:t>
          </w:r>
          <w:r>
            <w:fldChar w:fldCharType="end"/>
          </w:r>
          <w:r>
            <w:rPr>
              <w:rFonts w:hint="default" w:ascii="Times New Roman" w:hAnsi="Times New Roman" w:cs="Times New Roman"/>
              <w:lang w:val="zh-CN"/>
            </w:rPr>
            <w:fldChar w:fldCharType="end"/>
          </w:r>
        </w:p>
        <w:p w14:paraId="45D53100">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_Toc2536 </w:instrText>
          </w:r>
          <w:r>
            <w:rPr>
              <w:rFonts w:hint="default" w:ascii="Times New Roman" w:hAnsi="Times New Roman" w:cs="Times New Roman"/>
              <w:lang w:val="zh-CN"/>
            </w:rPr>
            <w:fldChar w:fldCharType="separate"/>
          </w:r>
          <w:r>
            <w:rPr>
              <w:rFonts w:hint="default" w:ascii="Times New Roman" w:hAnsi="Times New Roman" w:cs="Times New Roman" w:eastAsiaTheme="minorEastAsia"/>
              <w:bCs/>
              <w:szCs w:val="22"/>
            </w:rPr>
            <w:t>3 术语与符号</w:t>
          </w:r>
          <w:r>
            <w:tab/>
          </w:r>
          <w:r>
            <w:fldChar w:fldCharType="begin"/>
          </w:r>
          <w:r>
            <w:instrText xml:space="preserve"> PAGEREF _Toc2536 \h </w:instrText>
          </w:r>
          <w:r>
            <w:fldChar w:fldCharType="separate"/>
          </w:r>
          <w:r>
            <w:t>3</w:t>
          </w:r>
          <w:r>
            <w:fldChar w:fldCharType="end"/>
          </w:r>
          <w:r>
            <w:rPr>
              <w:rFonts w:hint="default" w:ascii="Times New Roman" w:hAnsi="Times New Roman" w:cs="Times New Roman"/>
              <w:lang w:val="zh-CN"/>
            </w:rPr>
            <w:fldChar w:fldCharType="end"/>
          </w:r>
        </w:p>
        <w:p w14:paraId="05EA301B">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_Toc25889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3</w:t>
          </w:r>
          <w:r>
            <w:rPr>
              <w:rFonts w:hint="default" w:ascii="Times New Roman" w:hAnsi="Times New Roman" w:eastAsia="宋体" w:cs="Times New Roman"/>
              <w:bCs/>
              <w:szCs w:val="21"/>
              <w:lang w:val="en-US" w:eastAsia="zh-CN" w:bidi="ar-SA"/>
            </w:rPr>
            <w:t>.1</w:t>
          </w:r>
          <w:r>
            <w:rPr>
              <w:rFonts w:hint="default" w:ascii="Times New Roman" w:hAnsi="Times New Roman" w:eastAsia="宋体" w:cs="Times New Roman"/>
              <w:bCs/>
            </w:rPr>
            <w:t>术语</w:t>
          </w:r>
          <w:r>
            <w:tab/>
          </w:r>
          <w:r>
            <w:fldChar w:fldCharType="begin"/>
          </w:r>
          <w:r>
            <w:instrText xml:space="preserve"> PAGEREF _Toc25889 \h </w:instrText>
          </w:r>
          <w:r>
            <w:fldChar w:fldCharType="separate"/>
          </w:r>
          <w:r>
            <w:t>3</w:t>
          </w:r>
          <w:r>
            <w:fldChar w:fldCharType="end"/>
          </w:r>
          <w:r>
            <w:rPr>
              <w:rFonts w:hint="default" w:ascii="Times New Roman" w:hAnsi="Times New Roman" w:cs="Times New Roman"/>
              <w:lang w:val="zh-CN"/>
            </w:rPr>
            <w:fldChar w:fldCharType="end"/>
          </w:r>
        </w:p>
        <w:p w14:paraId="3DE5288A">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_Toc15465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3</w:t>
          </w:r>
          <w:r>
            <w:rPr>
              <w:rFonts w:hint="default" w:ascii="Times New Roman" w:hAnsi="Times New Roman" w:eastAsia="宋体" w:cs="Times New Roman"/>
              <w:bCs/>
              <w:szCs w:val="21"/>
              <w:lang w:val="en-US" w:eastAsia="zh-CN" w:bidi="ar-SA"/>
            </w:rPr>
            <w:t>.2</w:t>
          </w:r>
          <w:r>
            <w:rPr>
              <w:rFonts w:hint="default" w:ascii="Times New Roman" w:hAnsi="Times New Roman" w:eastAsia="宋体" w:cs="Times New Roman"/>
              <w:bCs/>
            </w:rPr>
            <w:t>符号</w:t>
          </w:r>
          <w:r>
            <w:tab/>
          </w:r>
          <w:r>
            <w:fldChar w:fldCharType="begin"/>
          </w:r>
          <w:r>
            <w:instrText xml:space="preserve"> PAGEREF _Toc15465 \h </w:instrText>
          </w:r>
          <w:r>
            <w:fldChar w:fldCharType="separate"/>
          </w:r>
          <w:r>
            <w:t>3</w:t>
          </w:r>
          <w:r>
            <w:fldChar w:fldCharType="end"/>
          </w:r>
          <w:r>
            <w:rPr>
              <w:rFonts w:hint="default" w:ascii="Times New Roman" w:hAnsi="Times New Roman" w:cs="Times New Roman"/>
              <w:lang w:val="zh-CN"/>
            </w:rPr>
            <w:fldChar w:fldCharType="end"/>
          </w:r>
        </w:p>
        <w:p w14:paraId="0507DCB2">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_Toc20655 </w:instrText>
          </w:r>
          <w:r>
            <w:rPr>
              <w:rFonts w:hint="default" w:ascii="Times New Roman" w:hAnsi="Times New Roman" w:cs="Times New Roman"/>
              <w:lang w:val="zh-CN"/>
            </w:rPr>
            <w:fldChar w:fldCharType="separate"/>
          </w:r>
          <w:r>
            <w:rPr>
              <w:rFonts w:hint="eastAsia" w:ascii="Times New Roman" w:cs="Times New Roman" w:eastAsiaTheme="minorEastAsia"/>
              <w:bCs/>
              <w:szCs w:val="22"/>
              <w:lang w:val="en-US" w:eastAsia="zh-CN" w:bidi="ar-SA"/>
            </w:rPr>
            <w:t>4</w:t>
          </w:r>
          <w:r>
            <w:rPr>
              <w:rFonts w:hint="default" w:ascii="Times New Roman" w:hAnsi="Times New Roman" w:cs="Times New Roman" w:eastAsiaTheme="minorEastAsia"/>
              <w:bCs/>
              <w:szCs w:val="22"/>
            </w:rPr>
            <w:t>基本规定</w:t>
          </w:r>
          <w:r>
            <w:tab/>
          </w:r>
          <w:r>
            <w:fldChar w:fldCharType="begin"/>
          </w:r>
          <w:r>
            <w:instrText xml:space="preserve"> PAGEREF _Toc20655 \h </w:instrText>
          </w:r>
          <w:r>
            <w:fldChar w:fldCharType="separate"/>
          </w:r>
          <w:r>
            <w:t>4</w:t>
          </w:r>
          <w:r>
            <w:fldChar w:fldCharType="end"/>
          </w:r>
          <w:r>
            <w:rPr>
              <w:rFonts w:hint="default" w:ascii="Times New Roman" w:hAnsi="Times New Roman" w:cs="Times New Roman"/>
              <w:lang w:val="zh-CN"/>
            </w:rPr>
            <w:fldChar w:fldCharType="end"/>
          </w:r>
        </w:p>
        <w:p w14:paraId="4B0F3CF6">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_Toc1712 </w:instrText>
          </w:r>
          <w:r>
            <w:rPr>
              <w:rFonts w:hint="default" w:ascii="Times New Roman" w:hAnsi="Times New Roman" w:cs="Times New Roman"/>
              <w:lang w:val="zh-CN"/>
            </w:rPr>
            <w:fldChar w:fldCharType="separate"/>
          </w:r>
          <w:r>
            <w:rPr>
              <w:rFonts w:hint="eastAsia" w:ascii="Times New Roman" w:eastAsia="宋体" w:cs="Times New Roman"/>
              <w:bCs/>
              <w:lang w:val="en-US" w:eastAsia="zh-CN"/>
            </w:rPr>
            <w:t>4.1</w:t>
          </w:r>
          <w:r>
            <w:rPr>
              <w:rFonts w:hint="default" w:ascii="Times New Roman" w:hAnsi="Times New Roman" w:eastAsia="宋体" w:cs="Times New Roman"/>
              <w:bCs/>
            </w:rPr>
            <w:t xml:space="preserve"> 一般规定</w:t>
          </w:r>
          <w:r>
            <w:tab/>
          </w:r>
          <w:r>
            <w:fldChar w:fldCharType="begin"/>
          </w:r>
          <w:r>
            <w:instrText xml:space="preserve"> PAGEREF _Toc1712 \h </w:instrText>
          </w:r>
          <w:r>
            <w:fldChar w:fldCharType="separate"/>
          </w:r>
          <w:r>
            <w:t>4</w:t>
          </w:r>
          <w:r>
            <w:fldChar w:fldCharType="end"/>
          </w:r>
          <w:r>
            <w:rPr>
              <w:rFonts w:hint="default" w:ascii="Times New Roman" w:hAnsi="Times New Roman" w:cs="Times New Roman"/>
              <w:lang w:val="zh-CN"/>
            </w:rPr>
            <w:fldChar w:fldCharType="end"/>
          </w:r>
        </w:p>
        <w:p w14:paraId="79568E72">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_Toc2209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4</w:t>
          </w:r>
          <w:r>
            <w:rPr>
              <w:rFonts w:hint="default" w:ascii="Times New Roman" w:hAnsi="Times New Roman" w:eastAsia="宋体" w:cs="Times New Roman"/>
              <w:bCs/>
              <w:szCs w:val="21"/>
              <w:lang w:val="en-US" w:eastAsia="zh-CN" w:bidi="ar-SA"/>
            </w:rPr>
            <w:t>.2</w:t>
          </w:r>
          <w:r>
            <w:rPr>
              <w:rFonts w:hint="default" w:ascii="Times New Roman" w:hAnsi="Times New Roman" w:eastAsia="宋体" w:cs="Times New Roman"/>
              <w:bCs/>
            </w:rPr>
            <w:t>原路面技术状况要求</w:t>
          </w:r>
          <w:r>
            <w:tab/>
          </w:r>
          <w:r>
            <w:fldChar w:fldCharType="begin"/>
          </w:r>
          <w:r>
            <w:instrText xml:space="preserve"> PAGEREF _Toc2209 \h </w:instrText>
          </w:r>
          <w:r>
            <w:fldChar w:fldCharType="separate"/>
          </w:r>
          <w:r>
            <w:t>4</w:t>
          </w:r>
          <w:r>
            <w:fldChar w:fldCharType="end"/>
          </w:r>
          <w:r>
            <w:rPr>
              <w:rFonts w:hint="default" w:ascii="Times New Roman" w:hAnsi="Times New Roman" w:cs="Times New Roman"/>
              <w:lang w:val="zh-CN"/>
            </w:rPr>
            <w:fldChar w:fldCharType="end"/>
          </w:r>
        </w:p>
        <w:p w14:paraId="3047BE23">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_Toc24997 </w:instrText>
          </w:r>
          <w:r>
            <w:rPr>
              <w:rFonts w:hint="default" w:ascii="Times New Roman" w:hAnsi="Times New Roman" w:cs="Times New Roman"/>
              <w:lang w:val="zh-CN"/>
            </w:rPr>
            <w:fldChar w:fldCharType="separate"/>
          </w:r>
          <w:r>
            <w:rPr>
              <w:rFonts w:hint="eastAsia" w:ascii="Times New Roman" w:cs="Times New Roman" w:eastAsiaTheme="minorEastAsia"/>
              <w:bCs/>
              <w:szCs w:val="22"/>
              <w:lang w:val="en-US" w:eastAsia="zh-CN" w:bidi="ar-SA"/>
            </w:rPr>
            <w:t>5</w:t>
          </w:r>
          <w:r>
            <w:rPr>
              <w:rFonts w:hint="default" w:ascii="Times New Roman" w:hAnsi="Times New Roman" w:cs="Times New Roman" w:eastAsiaTheme="minorEastAsia"/>
              <w:bCs/>
              <w:szCs w:val="22"/>
            </w:rPr>
            <w:t>材料</w:t>
          </w:r>
          <w:r>
            <w:tab/>
          </w:r>
          <w:r>
            <w:fldChar w:fldCharType="begin"/>
          </w:r>
          <w:r>
            <w:instrText xml:space="preserve"> PAGEREF _Toc24997 \h </w:instrText>
          </w:r>
          <w:r>
            <w:fldChar w:fldCharType="separate"/>
          </w:r>
          <w:r>
            <w:t>5</w:t>
          </w:r>
          <w:r>
            <w:fldChar w:fldCharType="end"/>
          </w:r>
          <w:r>
            <w:rPr>
              <w:rFonts w:hint="default" w:ascii="Times New Roman" w:hAnsi="Times New Roman" w:cs="Times New Roman"/>
              <w:lang w:val="zh-CN"/>
            </w:rPr>
            <w:fldChar w:fldCharType="end"/>
          </w:r>
        </w:p>
        <w:p w14:paraId="7DF4BA93">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_Toc6658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5</w:t>
          </w:r>
          <w:r>
            <w:rPr>
              <w:rFonts w:hint="default" w:ascii="Times New Roman" w:hAnsi="Times New Roman" w:eastAsia="宋体" w:cs="Times New Roman"/>
              <w:bCs/>
              <w:szCs w:val="21"/>
              <w:lang w:val="en-US" w:eastAsia="zh-CN" w:bidi="ar-SA"/>
            </w:rPr>
            <w:t>.1</w:t>
          </w:r>
          <w:r>
            <w:rPr>
              <w:rFonts w:hint="default" w:ascii="Times New Roman" w:hAnsi="Times New Roman" w:eastAsia="宋体" w:cs="Times New Roman"/>
              <w:bCs/>
            </w:rPr>
            <w:t>高黏度改性乳化沥青</w:t>
          </w:r>
          <w:r>
            <w:tab/>
          </w:r>
          <w:r>
            <w:fldChar w:fldCharType="begin"/>
          </w:r>
          <w:r>
            <w:instrText xml:space="preserve"> PAGEREF _Toc6658 \h </w:instrText>
          </w:r>
          <w:r>
            <w:fldChar w:fldCharType="separate"/>
          </w:r>
          <w:r>
            <w:t>5</w:t>
          </w:r>
          <w:r>
            <w:fldChar w:fldCharType="end"/>
          </w:r>
          <w:r>
            <w:rPr>
              <w:rFonts w:hint="default" w:ascii="Times New Roman" w:hAnsi="Times New Roman" w:cs="Times New Roman"/>
              <w:lang w:val="zh-CN"/>
            </w:rPr>
            <w:fldChar w:fldCharType="end"/>
          </w:r>
        </w:p>
        <w:p w14:paraId="3D04E614">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_Toc18140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5</w:t>
          </w:r>
          <w:r>
            <w:rPr>
              <w:rFonts w:hint="default" w:ascii="Times New Roman" w:hAnsi="Times New Roman" w:eastAsia="宋体" w:cs="Times New Roman"/>
              <w:bCs/>
              <w:szCs w:val="21"/>
              <w:lang w:val="en-US" w:eastAsia="zh-CN" w:bidi="ar-SA"/>
            </w:rPr>
            <w:t>.2</w:t>
          </w:r>
          <w:r>
            <w:rPr>
              <w:rFonts w:hint="default" w:ascii="Times New Roman" w:hAnsi="Times New Roman" w:eastAsia="宋体" w:cs="Times New Roman"/>
              <w:bCs/>
            </w:rPr>
            <w:t>溶剂型黏层材料</w:t>
          </w:r>
          <w:r>
            <w:tab/>
          </w:r>
          <w:r>
            <w:fldChar w:fldCharType="begin"/>
          </w:r>
          <w:r>
            <w:instrText xml:space="preserve"> PAGEREF _Toc18140 \h </w:instrText>
          </w:r>
          <w:r>
            <w:fldChar w:fldCharType="separate"/>
          </w:r>
          <w:r>
            <w:t>5</w:t>
          </w:r>
          <w:r>
            <w:fldChar w:fldCharType="end"/>
          </w:r>
          <w:r>
            <w:rPr>
              <w:rFonts w:hint="default" w:ascii="Times New Roman" w:hAnsi="Times New Roman" w:cs="Times New Roman"/>
              <w:lang w:val="zh-CN"/>
            </w:rPr>
            <w:fldChar w:fldCharType="end"/>
          </w:r>
        </w:p>
        <w:p w14:paraId="25590085">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_Toc7660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5</w:t>
          </w:r>
          <w:r>
            <w:rPr>
              <w:rFonts w:hint="default" w:ascii="Times New Roman" w:hAnsi="Times New Roman" w:eastAsia="宋体" w:cs="Times New Roman"/>
              <w:bCs/>
              <w:szCs w:val="21"/>
              <w:lang w:val="en-US" w:eastAsia="zh-CN" w:bidi="ar-SA"/>
            </w:rPr>
            <w:t>.3</w:t>
          </w:r>
          <w:r>
            <w:rPr>
              <w:rFonts w:hint="default" w:ascii="Times New Roman" w:hAnsi="Times New Roman" w:eastAsia="宋体" w:cs="Times New Roman"/>
              <w:bCs/>
            </w:rPr>
            <w:t>粗集料</w:t>
          </w:r>
          <w:r>
            <w:tab/>
          </w:r>
          <w:r>
            <w:fldChar w:fldCharType="begin"/>
          </w:r>
          <w:r>
            <w:instrText xml:space="preserve"> PAGEREF _Toc7660 \h </w:instrText>
          </w:r>
          <w:r>
            <w:fldChar w:fldCharType="separate"/>
          </w:r>
          <w:r>
            <w:t>5</w:t>
          </w:r>
          <w:r>
            <w:fldChar w:fldCharType="end"/>
          </w:r>
          <w:r>
            <w:rPr>
              <w:rFonts w:hint="default" w:ascii="Times New Roman" w:hAnsi="Times New Roman" w:cs="Times New Roman"/>
              <w:lang w:val="zh-CN"/>
            </w:rPr>
            <w:fldChar w:fldCharType="end"/>
          </w:r>
        </w:p>
        <w:p w14:paraId="4B6CC11A">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_Toc8598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5</w:t>
          </w:r>
          <w:r>
            <w:rPr>
              <w:rFonts w:hint="default" w:ascii="Times New Roman" w:hAnsi="Times New Roman" w:eastAsia="宋体" w:cs="Times New Roman"/>
              <w:bCs/>
              <w:szCs w:val="21"/>
              <w:lang w:val="en-US" w:eastAsia="zh-CN" w:bidi="ar-SA"/>
            </w:rPr>
            <w:t>.4</w:t>
          </w:r>
          <w:r>
            <w:rPr>
              <w:rFonts w:hint="default" w:ascii="Times New Roman" w:hAnsi="Times New Roman" w:eastAsia="宋体" w:cs="Times New Roman"/>
              <w:bCs/>
            </w:rPr>
            <w:t>细集料</w:t>
          </w:r>
          <w:r>
            <w:tab/>
          </w:r>
          <w:r>
            <w:fldChar w:fldCharType="begin"/>
          </w:r>
          <w:r>
            <w:instrText xml:space="preserve"> PAGEREF _Toc8598 \h </w:instrText>
          </w:r>
          <w:r>
            <w:fldChar w:fldCharType="separate"/>
          </w:r>
          <w:r>
            <w:t>6</w:t>
          </w:r>
          <w:r>
            <w:fldChar w:fldCharType="end"/>
          </w:r>
          <w:r>
            <w:rPr>
              <w:rFonts w:hint="default" w:ascii="Times New Roman" w:hAnsi="Times New Roman" w:cs="Times New Roman"/>
              <w:lang w:val="zh-CN"/>
            </w:rPr>
            <w:fldChar w:fldCharType="end"/>
          </w:r>
        </w:p>
        <w:p w14:paraId="0F4EA2D8">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_Toc22266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5</w:t>
          </w:r>
          <w:r>
            <w:rPr>
              <w:rFonts w:hint="default" w:ascii="Times New Roman" w:hAnsi="Times New Roman" w:eastAsia="宋体" w:cs="Times New Roman"/>
              <w:bCs/>
              <w:szCs w:val="21"/>
              <w:lang w:val="en-US" w:eastAsia="zh-CN" w:bidi="ar-SA"/>
            </w:rPr>
            <w:t>.5</w:t>
          </w:r>
          <w:r>
            <w:rPr>
              <w:rFonts w:hint="default" w:ascii="Times New Roman" w:hAnsi="Times New Roman" w:eastAsia="宋体" w:cs="Times New Roman"/>
              <w:bCs/>
            </w:rPr>
            <w:t>填料</w:t>
          </w:r>
          <w:r>
            <w:tab/>
          </w:r>
          <w:r>
            <w:fldChar w:fldCharType="begin"/>
          </w:r>
          <w:r>
            <w:instrText xml:space="preserve"> PAGEREF _Toc22266 \h </w:instrText>
          </w:r>
          <w:r>
            <w:fldChar w:fldCharType="separate"/>
          </w:r>
          <w:r>
            <w:t>6</w:t>
          </w:r>
          <w:r>
            <w:fldChar w:fldCharType="end"/>
          </w:r>
          <w:r>
            <w:rPr>
              <w:rFonts w:hint="default" w:ascii="Times New Roman" w:hAnsi="Times New Roman" w:cs="Times New Roman"/>
              <w:lang w:val="zh-CN"/>
            </w:rPr>
            <w:fldChar w:fldCharType="end"/>
          </w:r>
        </w:p>
        <w:p w14:paraId="5CEBA556">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_Toc9430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5</w:t>
          </w:r>
          <w:r>
            <w:rPr>
              <w:rFonts w:hint="default" w:ascii="Times New Roman" w:hAnsi="Times New Roman" w:eastAsia="宋体" w:cs="Times New Roman"/>
              <w:bCs/>
              <w:szCs w:val="21"/>
              <w:lang w:val="en-US" w:eastAsia="zh-CN" w:bidi="ar-SA"/>
            </w:rPr>
            <w:t>.6</w:t>
          </w:r>
          <w:r>
            <w:rPr>
              <w:rFonts w:hint="default" w:ascii="Times New Roman" w:hAnsi="Times New Roman" w:eastAsia="宋体" w:cs="Times New Roman"/>
              <w:bCs/>
            </w:rPr>
            <w:t>灌缝胶</w:t>
          </w:r>
          <w:r>
            <w:tab/>
          </w:r>
          <w:r>
            <w:fldChar w:fldCharType="begin"/>
          </w:r>
          <w:r>
            <w:instrText xml:space="preserve"> PAGEREF _Toc9430 \h </w:instrText>
          </w:r>
          <w:r>
            <w:fldChar w:fldCharType="separate"/>
          </w:r>
          <w:r>
            <w:t>6</w:t>
          </w:r>
          <w:r>
            <w:fldChar w:fldCharType="end"/>
          </w:r>
          <w:r>
            <w:rPr>
              <w:rFonts w:hint="default" w:ascii="Times New Roman" w:hAnsi="Times New Roman" w:cs="Times New Roman"/>
              <w:lang w:val="zh-CN"/>
            </w:rPr>
            <w:fldChar w:fldCharType="end"/>
          </w:r>
        </w:p>
        <w:p w14:paraId="7EE91D92">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_Toc9110 </w:instrText>
          </w:r>
          <w:r>
            <w:rPr>
              <w:rFonts w:hint="default" w:ascii="Times New Roman" w:hAnsi="Times New Roman" w:cs="Times New Roman"/>
              <w:lang w:val="zh-CN"/>
            </w:rPr>
            <w:fldChar w:fldCharType="separate"/>
          </w:r>
          <w:r>
            <w:rPr>
              <w:rFonts w:hint="eastAsia" w:ascii="Times New Roman" w:cs="Times New Roman" w:eastAsiaTheme="minorEastAsia"/>
              <w:bCs/>
              <w:szCs w:val="22"/>
              <w:lang w:val="en-US" w:eastAsia="zh-CN" w:bidi="ar-SA"/>
            </w:rPr>
            <w:t>6</w:t>
          </w:r>
          <w:r>
            <w:rPr>
              <w:rFonts w:hint="default" w:ascii="Times New Roman" w:hAnsi="Times New Roman" w:cs="Times New Roman" w:eastAsiaTheme="minorEastAsia"/>
              <w:bCs/>
              <w:szCs w:val="22"/>
            </w:rPr>
            <w:t>冷拌超表处混合料配合比设计</w:t>
          </w:r>
          <w:r>
            <w:tab/>
          </w:r>
          <w:r>
            <w:fldChar w:fldCharType="begin"/>
          </w:r>
          <w:r>
            <w:instrText xml:space="preserve"> PAGEREF _Toc9110 \h </w:instrText>
          </w:r>
          <w:r>
            <w:fldChar w:fldCharType="separate"/>
          </w:r>
          <w:r>
            <w:t>8</w:t>
          </w:r>
          <w:r>
            <w:fldChar w:fldCharType="end"/>
          </w:r>
          <w:r>
            <w:rPr>
              <w:rFonts w:hint="default" w:ascii="Times New Roman" w:hAnsi="Times New Roman" w:cs="Times New Roman"/>
              <w:lang w:val="zh-CN"/>
            </w:rPr>
            <w:fldChar w:fldCharType="end"/>
          </w:r>
        </w:p>
        <w:p w14:paraId="304F559A">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_Toc5901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6</w:t>
          </w:r>
          <w:r>
            <w:rPr>
              <w:rFonts w:hint="default" w:ascii="Times New Roman" w:hAnsi="Times New Roman" w:eastAsia="宋体" w:cs="Times New Roman"/>
              <w:bCs/>
              <w:szCs w:val="21"/>
              <w:lang w:val="en-US" w:eastAsia="zh-CN" w:bidi="ar-SA"/>
            </w:rPr>
            <w:t>.1</w:t>
          </w:r>
          <w:r>
            <w:rPr>
              <w:rFonts w:hint="default" w:ascii="Times New Roman" w:hAnsi="Times New Roman" w:eastAsia="宋体" w:cs="Times New Roman"/>
              <w:bCs/>
            </w:rPr>
            <w:t xml:space="preserve"> 一般规定</w:t>
          </w:r>
          <w:r>
            <w:tab/>
          </w:r>
          <w:r>
            <w:fldChar w:fldCharType="begin"/>
          </w:r>
          <w:r>
            <w:instrText xml:space="preserve"> PAGEREF _Toc5901 \h </w:instrText>
          </w:r>
          <w:r>
            <w:fldChar w:fldCharType="separate"/>
          </w:r>
          <w:r>
            <w:t>8</w:t>
          </w:r>
          <w:r>
            <w:fldChar w:fldCharType="end"/>
          </w:r>
          <w:r>
            <w:rPr>
              <w:rFonts w:hint="default" w:ascii="Times New Roman" w:hAnsi="Times New Roman" w:cs="Times New Roman"/>
              <w:lang w:val="zh-CN"/>
            </w:rPr>
            <w:fldChar w:fldCharType="end"/>
          </w:r>
        </w:p>
        <w:p w14:paraId="2B4E3000">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_Toc13167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6</w:t>
          </w:r>
          <w:r>
            <w:rPr>
              <w:rFonts w:hint="default" w:ascii="Times New Roman" w:hAnsi="Times New Roman" w:eastAsia="宋体" w:cs="Times New Roman"/>
              <w:bCs/>
              <w:szCs w:val="21"/>
              <w:lang w:val="en-US" w:eastAsia="zh-CN" w:bidi="ar-SA"/>
            </w:rPr>
            <w:t>.2</w:t>
          </w:r>
          <w:r>
            <w:rPr>
              <w:rFonts w:hint="default" w:ascii="Times New Roman" w:hAnsi="Times New Roman" w:eastAsia="宋体" w:cs="Times New Roman"/>
              <w:bCs/>
            </w:rPr>
            <w:t>混合料技术指标</w:t>
          </w:r>
          <w:r>
            <w:tab/>
          </w:r>
          <w:r>
            <w:fldChar w:fldCharType="begin"/>
          </w:r>
          <w:r>
            <w:instrText xml:space="preserve"> PAGEREF _Toc13167 \h </w:instrText>
          </w:r>
          <w:r>
            <w:fldChar w:fldCharType="separate"/>
          </w:r>
          <w:r>
            <w:t>8</w:t>
          </w:r>
          <w:r>
            <w:fldChar w:fldCharType="end"/>
          </w:r>
          <w:r>
            <w:rPr>
              <w:rFonts w:hint="default" w:ascii="Times New Roman" w:hAnsi="Times New Roman" w:cs="Times New Roman"/>
              <w:lang w:val="zh-CN"/>
            </w:rPr>
            <w:fldChar w:fldCharType="end"/>
          </w:r>
        </w:p>
        <w:p w14:paraId="31050F89">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_Toc26663 </w:instrText>
          </w:r>
          <w:r>
            <w:rPr>
              <w:rFonts w:hint="default" w:ascii="Times New Roman" w:hAnsi="Times New Roman" w:cs="Times New Roman"/>
              <w:lang w:val="zh-CN"/>
            </w:rPr>
            <w:fldChar w:fldCharType="separate"/>
          </w:r>
          <w:r>
            <w:rPr>
              <w:rFonts w:hint="eastAsia" w:ascii="Times New Roman" w:cs="Times New Roman" w:eastAsiaTheme="minorEastAsia"/>
              <w:bCs/>
              <w:szCs w:val="22"/>
              <w:lang w:val="en-US" w:eastAsia="zh-CN" w:bidi="ar-SA"/>
            </w:rPr>
            <w:t>7</w:t>
          </w:r>
          <w:r>
            <w:rPr>
              <w:rFonts w:hint="default" w:ascii="Times New Roman" w:hAnsi="Times New Roman" w:cs="Times New Roman" w:eastAsiaTheme="minorEastAsia"/>
              <w:bCs/>
              <w:szCs w:val="22"/>
            </w:rPr>
            <w:t>施工</w:t>
          </w:r>
          <w:r>
            <w:tab/>
          </w:r>
          <w:r>
            <w:fldChar w:fldCharType="begin"/>
          </w:r>
          <w:r>
            <w:instrText xml:space="preserve"> PAGEREF _Toc26663 \h </w:instrText>
          </w:r>
          <w:r>
            <w:fldChar w:fldCharType="separate"/>
          </w:r>
          <w:r>
            <w:t>9</w:t>
          </w:r>
          <w:r>
            <w:fldChar w:fldCharType="end"/>
          </w:r>
          <w:r>
            <w:rPr>
              <w:rFonts w:hint="default" w:ascii="Times New Roman" w:hAnsi="Times New Roman" w:cs="Times New Roman"/>
              <w:lang w:val="zh-CN"/>
            </w:rPr>
            <w:fldChar w:fldCharType="end"/>
          </w:r>
        </w:p>
        <w:p w14:paraId="48FA01DE">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_Toc8660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7</w:t>
          </w:r>
          <w:r>
            <w:rPr>
              <w:rFonts w:hint="default" w:ascii="Times New Roman" w:hAnsi="Times New Roman" w:eastAsia="宋体" w:cs="Times New Roman"/>
              <w:bCs/>
              <w:szCs w:val="21"/>
              <w:lang w:val="en-US" w:eastAsia="zh-CN" w:bidi="ar-SA"/>
            </w:rPr>
            <w:t>.1</w:t>
          </w:r>
          <w:r>
            <w:rPr>
              <w:rFonts w:hint="default" w:ascii="Times New Roman" w:hAnsi="Times New Roman" w:eastAsia="宋体" w:cs="Times New Roman"/>
              <w:bCs/>
            </w:rPr>
            <w:t>施工准备</w:t>
          </w:r>
          <w:r>
            <w:tab/>
          </w:r>
          <w:r>
            <w:fldChar w:fldCharType="begin"/>
          </w:r>
          <w:r>
            <w:instrText xml:space="preserve"> PAGEREF _Toc8660 \h </w:instrText>
          </w:r>
          <w:r>
            <w:fldChar w:fldCharType="separate"/>
          </w:r>
          <w:r>
            <w:t>9</w:t>
          </w:r>
          <w:r>
            <w:fldChar w:fldCharType="end"/>
          </w:r>
          <w:r>
            <w:rPr>
              <w:rFonts w:hint="default" w:ascii="Times New Roman" w:hAnsi="Times New Roman" w:cs="Times New Roman"/>
              <w:lang w:val="zh-CN"/>
            </w:rPr>
            <w:fldChar w:fldCharType="end"/>
          </w:r>
        </w:p>
        <w:p w14:paraId="36177FB7">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_Toc19712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7</w:t>
          </w:r>
          <w:r>
            <w:rPr>
              <w:rFonts w:hint="default" w:ascii="Times New Roman" w:hAnsi="Times New Roman" w:eastAsia="宋体" w:cs="Times New Roman"/>
              <w:bCs/>
              <w:szCs w:val="21"/>
              <w:lang w:val="en-US" w:eastAsia="zh-CN" w:bidi="ar-SA"/>
            </w:rPr>
            <w:t>.2</w:t>
          </w:r>
          <w:r>
            <w:rPr>
              <w:rFonts w:hint="default" w:ascii="Times New Roman" w:hAnsi="Times New Roman" w:eastAsia="宋体" w:cs="Times New Roman"/>
              <w:bCs/>
            </w:rPr>
            <w:t>试验段铺筑</w:t>
          </w:r>
          <w:r>
            <w:tab/>
          </w:r>
          <w:r>
            <w:fldChar w:fldCharType="begin"/>
          </w:r>
          <w:r>
            <w:instrText xml:space="preserve"> PAGEREF _Toc19712 \h </w:instrText>
          </w:r>
          <w:r>
            <w:fldChar w:fldCharType="separate"/>
          </w:r>
          <w:r>
            <w:t>9</w:t>
          </w:r>
          <w:r>
            <w:fldChar w:fldCharType="end"/>
          </w:r>
          <w:r>
            <w:rPr>
              <w:rFonts w:hint="default" w:ascii="Times New Roman" w:hAnsi="Times New Roman" w:cs="Times New Roman"/>
              <w:lang w:val="zh-CN"/>
            </w:rPr>
            <w:fldChar w:fldCharType="end"/>
          </w:r>
        </w:p>
        <w:p w14:paraId="03713087">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_Toc25553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7</w:t>
          </w:r>
          <w:r>
            <w:rPr>
              <w:rFonts w:hint="default" w:ascii="Times New Roman" w:hAnsi="Times New Roman" w:eastAsia="宋体" w:cs="Times New Roman"/>
              <w:bCs/>
              <w:szCs w:val="21"/>
              <w:lang w:val="en-US" w:eastAsia="zh-CN" w:bidi="ar-SA"/>
            </w:rPr>
            <w:t>.3</w:t>
          </w:r>
          <w:r>
            <w:rPr>
              <w:rFonts w:hint="default" w:ascii="Times New Roman" w:hAnsi="Times New Roman" w:eastAsia="宋体" w:cs="Times New Roman"/>
              <w:bCs/>
            </w:rPr>
            <w:t>黏层材料喷洒</w:t>
          </w:r>
          <w:r>
            <w:tab/>
          </w:r>
          <w:r>
            <w:fldChar w:fldCharType="begin"/>
          </w:r>
          <w:r>
            <w:instrText xml:space="preserve"> PAGEREF _Toc25553 \h </w:instrText>
          </w:r>
          <w:r>
            <w:fldChar w:fldCharType="separate"/>
          </w:r>
          <w:r>
            <w:t>9</w:t>
          </w:r>
          <w:r>
            <w:fldChar w:fldCharType="end"/>
          </w:r>
          <w:r>
            <w:rPr>
              <w:rFonts w:hint="default" w:ascii="Times New Roman" w:hAnsi="Times New Roman" w:cs="Times New Roman"/>
              <w:lang w:val="zh-CN"/>
            </w:rPr>
            <w:fldChar w:fldCharType="end"/>
          </w:r>
        </w:p>
        <w:p w14:paraId="54014E4E">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_Toc13197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7</w:t>
          </w:r>
          <w:r>
            <w:rPr>
              <w:rFonts w:hint="default" w:ascii="Times New Roman" w:hAnsi="Times New Roman" w:eastAsia="宋体" w:cs="Times New Roman"/>
              <w:bCs/>
              <w:szCs w:val="21"/>
              <w:lang w:val="en-US" w:eastAsia="zh-CN" w:bidi="ar-SA"/>
            </w:rPr>
            <w:t>.4</w:t>
          </w:r>
          <w:r>
            <w:rPr>
              <w:rFonts w:hint="default" w:ascii="Times New Roman" w:hAnsi="Times New Roman" w:eastAsia="宋体" w:cs="Times New Roman"/>
              <w:bCs/>
            </w:rPr>
            <w:t>施工</w:t>
          </w:r>
          <w:r>
            <w:tab/>
          </w:r>
          <w:r>
            <w:fldChar w:fldCharType="begin"/>
          </w:r>
          <w:r>
            <w:instrText xml:space="preserve"> PAGEREF _Toc13197 \h </w:instrText>
          </w:r>
          <w:r>
            <w:fldChar w:fldCharType="separate"/>
          </w:r>
          <w:r>
            <w:t>10</w:t>
          </w:r>
          <w:r>
            <w:fldChar w:fldCharType="end"/>
          </w:r>
          <w:r>
            <w:rPr>
              <w:rFonts w:hint="default" w:ascii="Times New Roman" w:hAnsi="Times New Roman" w:cs="Times New Roman"/>
              <w:lang w:val="zh-CN"/>
            </w:rPr>
            <w:fldChar w:fldCharType="end"/>
          </w:r>
        </w:p>
        <w:p w14:paraId="3E70C523">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_Toc12348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7</w:t>
          </w:r>
          <w:r>
            <w:rPr>
              <w:rFonts w:hint="default" w:ascii="Times New Roman" w:hAnsi="Times New Roman" w:eastAsia="宋体" w:cs="Times New Roman"/>
              <w:bCs/>
              <w:szCs w:val="21"/>
              <w:lang w:val="en-US" w:eastAsia="zh-CN" w:bidi="ar-SA"/>
            </w:rPr>
            <w:t>.5</w:t>
          </w:r>
          <w:r>
            <w:rPr>
              <w:rFonts w:hint="default" w:ascii="Times New Roman" w:hAnsi="Times New Roman" w:eastAsia="宋体" w:cs="Times New Roman"/>
              <w:bCs/>
            </w:rPr>
            <w:t>初期养护与开放交通</w:t>
          </w:r>
          <w:r>
            <w:tab/>
          </w:r>
          <w:r>
            <w:fldChar w:fldCharType="begin"/>
          </w:r>
          <w:r>
            <w:instrText xml:space="preserve"> PAGEREF _Toc12348 \h </w:instrText>
          </w:r>
          <w:r>
            <w:fldChar w:fldCharType="separate"/>
          </w:r>
          <w:r>
            <w:t>10</w:t>
          </w:r>
          <w:r>
            <w:fldChar w:fldCharType="end"/>
          </w:r>
          <w:r>
            <w:rPr>
              <w:rFonts w:hint="default" w:ascii="Times New Roman" w:hAnsi="Times New Roman" w:cs="Times New Roman"/>
              <w:lang w:val="zh-CN"/>
            </w:rPr>
            <w:fldChar w:fldCharType="end"/>
          </w:r>
        </w:p>
        <w:p w14:paraId="365380F9">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_Toc15675 </w:instrText>
          </w:r>
          <w:r>
            <w:rPr>
              <w:rFonts w:hint="default" w:ascii="Times New Roman" w:hAnsi="Times New Roman" w:cs="Times New Roman"/>
              <w:lang w:val="zh-CN"/>
            </w:rPr>
            <w:fldChar w:fldCharType="separate"/>
          </w:r>
          <w:r>
            <w:rPr>
              <w:rFonts w:hint="eastAsia" w:ascii="Times New Roman" w:cs="Times New Roman" w:eastAsiaTheme="minorEastAsia"/>
              <w:bCs/>
              <w:szCs w:val="22"/>
              <w:lang w:val="en-US" w:eastAsia="zh-CN" w:bidi="ar-SA"/>
            </w:rPr>
            <w:t>8</w:t>
          </w:r>
          <w:r>
            <w:rPr>
              <w:rFonts w:hint="default" w:ascii="Times New Roman" w:hAnsi="Times New Roman" w:cs="Times New Roman" w:eastAsiaTheme="minorEastAsia"/>
              <w:bCs/>
              <w:szCs w:val="22"/>
            </w:rPr>
            <w:t>施工质量控制与检查验收</w:t>
          </w:r>
          <w:r>
            <w:tab/>
          </w:r>
          <w:r>
            <w:fldChar w:fldCharType="begin"/>
          </w:r>
          <w:r>
            <w:instrText xml:space="preserve"> PAGEREF _Toc15675 \h </w:instrText>
          </w:r>
          <w:r>
            <w:fldChar w:fldCharType="separate"/>
          </w:r>
          <w:r>
            <w:t>11</w:t>
          </w:r>
          <w:r>
            <w:fldChar w:fldCharType="end"/>
          </w:r>
          <w:r>
            <w:rPr>
              <w:rFonts w:hint="default" w:ascii="Times New Roman" w:hAnsi="Times New Roman" w:cs="Times New Roman"/>
              <w:lang w:val="zh-CN"/>
            </w:rPr>
            <w:fldChar w:fldCharType="end"/>
          </w:r>
        </w:p>
        <w:p w14:paraId="6424D8E9">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_Toc30991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8</w:t>
          </w:r>
          <w:r>
            <w:rPr>
              <w:rFonts w:hint="default" w:ascii="Times New Roman" w:hAnsi="Times New Roman" w:eastAsia="宋体" w:cs="Times New Roman"/>
              <w:bCs/>
              <w:szCs w:val="21"/>
              <w:lang w:val="en-US" w:eastAsia="zh-CN" w:bidi="ar-SA"/>
            </w:rPr>
            <w:t>.1</w:t>
          </w:r>
          <w:r>
            <w:rPr>
              <w:rFonts w:hint="default" w:ascii="Times New Roman" w:hAnsi="Times New Roman" w:eastAsia="宋体" w:cs="Times New Roman"/>
              <w:bCs/>
            </w:rPr>
            <w:t>原材料质量控制</w:t>
          </w:r>
          <w:r>
            <w:tab/>
          </w:r>
          <w:r>
            <w:fldChar w:fldCharType="begin"/>
          </w:r>
          <w:r>
            <w:instrText xml:space="preserve"> PAGEREF _Toc30991 \h </w:instrText>
          </w:r>
          <w:r>
            <w:fldChar w:fldCharType="separate"/>
          </w:r>
          <w:r>
            <w:t>11</w:t>
          </w:r>
          <w:r>
            <w:fldChar w:fldCharType="end"/>
          </w:r>
          <w:r>
            <w:rPr>
              <w:rFonts w:hint="default" w:ascii="Times New Roman" w:hAnsi="Times New Roman" w:cs="Times New Roman"/>
              <w:lang w:val="zh-CN"/>
            </w:rPr>
            <w:fldChar w:fldCharType="end"/>
          </w:r>
        </w:p>
        <w:p w14:paraId="09037784">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_Toc6478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8</w:t>
          </w:r>
          <w:r>
            <w:rPr>
              <w:rFonts w:hint="default" w:ascii="Times New Roman" w:hAnsi="Times New Roman" w:eastAsia="宋体" w:cs="Times New Roman"/>
              <w:bCs/>
              <w:szCs w:val="21"/>
              <w:lang w:val="en-US" w:eastAsia="zh-CN" w:bidi="ar-SA"/>
            </w:rPr>
            <w:t>.2</w:t>
          </w:r>
          <w:r>
            <w:rPr>
              <w:rFonts w:hint="default" w:ascii="Times New Roman" w:hAnsi="Times New Roman" w:eastAsia="宋体" w:cs="Times New Roman"/>
              <w:bCs/>
            </w:rPr>
            <w:t>施工过程中质量控制</w:t>
          </w:r>
          <w:r>
            <w:tab/>
          </w:r>
          <w:r>
            <w:fldChar w:fldCharType="begin"/>
          </w:r>
          <w:r>
            <w:instrText xml:space="preserve"> PAGEREF _Toc6478 \h </w:instrText>
          </w:r>
          <w:r>
            <w:fldChar w:fldCharType="separate"/>
          </w:r>
          <w:r>
            <w:t>11</w:t>
          </w:r>
          <w:r>
            <w:fldChar w:fldCharType="end"/>
          </w:r>
          <w:r>
            <w:rPr>
              <w:rFonts w:hint="default" w:ascii="Times New Roman" w:hAnsi="Times New Roman" w:cs="Times New Roman"/>
              <w:lang w:val="zh-CN"/>
            </w:rPr>
            <w:fldChar w:fldCharType="end"/>
          </w:r>
        </w:p>
        <w:p w14:paraId="35D8E9D9">
          <w:pPr>
            <w:pStyle w:val="3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_Toc2251 </w:instrText>
          </w:r>
          <w:r>
            <w:rPr>
              <w:rFonts w:hint="default" w:ascii="Times New Roman" w:hAnsi="Times New Roman" w:cs="Times New Roman"/>
              <w:lang w:val="zh-CN"/>
            </w:rPr>
            <w:fldChar w:fldCharType="separate"/>
          </w:r>
          <w:r>
            <w:rPr>
              <w:rFonts w:hint="eastAsia" w:ascii="Times New Roman" w:eastAsia="宋体" w:cs="Times New Roman"/>
              <w:bCs/>
              <w:szCs w:val="21"/>
              <w:lang w:val="en-US" w:eastAsia="zh-CN" w:bidi="ar-SA"/>
            </w:rPr>
            <w:t>8</w:t>
          </w:r>
          <w:r>
            <w:rPr>
              <w:rFonts w:hint="default" w:ascii="Times New Roman" w:hAnsi="Times New Roman" w:eastAsia="宋体" w:cs="Times New Roman"/>
              <w:bCs/>
              <w:szCs w:val="21"/>
              <w:lang w:val="en-US" w:eastAsia="zh-CN" w:bidi="ar-SA"/>
            </w:rPr>
            <w:t>.3</w:t>
          </w:r>
          <w:r>
            <w:rPr>
              <w:rFonts w:hint="default" w:ascii="Times New Roman" w:hAnsi="Times New Roman" w:eastAsia="宋体" w:cs="Times New Roman"/>
              <w:bCs/>
            </w:rPr>
            <w:t>工程验收</w:t>
          </w:r>
          <w:r>
            <w:tab/>
          </w:r>
          <w:r>
            <w:fldChar w:fldCharType="begin"/>
          </w:r>
          <w:r>
            <w:instrText xml:space="preserve"> PAGEREF _Toc2251 \h </w:instrText>
          </w:r>
          <w:r>
            <w:fldChar w:fldCharType="separate"/>
          </w:r>
          <w:r>
            <w:t>11</w:t>
          </w:r>
          <w:r>
            <w:fldChar w:fldCharType="end"/>
          </w:r>
          <w:r>
            <w:rPr>
              <w:rFonts w:hint="default" w:ascii="Times New Roman" w:hAnsi="Times New Roman" w:cs="Times New Roman"/>
              <w:lang w:val="zh-CN"/>
            </w:rPr>
            <w:fldChar w:fldCharType="end"/>
          </w:r>
        </w:p>
        <w:p w14:paraId="711AB107">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_Toc10066 </w:instrText>
          </w:r>
          <w:r>
            <w:rPr>
              <w:rFonts w:hint="default" w:ascii="Times New Roman" w:hAnsi="Times New Roman" w:cs="Times New Roman"/>
              <w:lang w:val="zh-CN"/>
            </w:rPr>
            <w:fldChar w:fldCharType="separate"/>
          </w:r>
          <w:r>
            <w:rPr>
              <w:rFonts w:hint="default" w:ascii="Times New Roman" w:hAnsi="Times New Roman" w:cs="Times New Roman" w:eastAsiaTheme="minorEastAsia"/>
              <w:bCs/>
              <w:szCs w:val="22"/>
            </w:rPr>
            <w:t>附录A 粘结强度测定方法</w:t>
          </w:r>
          <w:r>
            <w:tab/>
          </w:r>
          <w:r>
            <w:fldChar w:fldCharType="begin"/>
          </w:r>
          <w:r>
            <w:instrText xml:space="preserve"> PAGEREF _Toc10066 \h </w:instrText>
          </w:r>
          <w:r>
            <w:fldChar w:fldCharType="separate"/>
          </w:r>
          <w:r>
            <w:t>13</w:t>
          </w:r>
          <w:r>
            <w:fldChar w:fldCharType="end"/>
          </w:r>
          <w:r>
            <w:rPr>
              <w:rFonts w:hint="default" w:ascii="Times New Roman" w:hAnsi="Times New Roman" w:cs="Times New Roman"/>
              <w:lang w:val="zh-CN"/>
            </w:rPr>
            <w:fldChar w:fldCharType="end"/>
          </w:r>
        </w:p>
        <w:p w14:paraId="0A12ABF3">
          <w:pPr>
            <w:pStyle w:val="25"/>
            <w:tabs>
              <w:tab w:val="right" w:leader="dot" w:pos="8306"/>
              <w:tab w:val="clear" w:pos="9242"/>
            </w:tabs>
          </w:pPr>
          <w:r>
            <w:rPr>
              <w:rFonts w:hint="default" w:ascii="Times New Roman" w:hAnsi="Times New Roman" w:cs="Times New Roman"/>
              <w:lang w:val="zh-CN"/>
            </w:rPr>
            <w:fldChar w:fldCharType="begin"/>
          </w:r>
          <w:r>
            <w:rPr>
              <w:rFonts w:hint="default" w:ascii="Times New Roman" w:hAnsi="Times New Roman" w:cs="Times New Roman"/>
              <w:lang w:val="zh-CN"/>
            </w:rPr>
            <w:instrText xml:space="preserve"> HYPERLINK \l _Toc11191 </w:instrText>
          </w:r>
          <w:r>
            <w:rPr>
              <w:rFonts w:hint="default" w:ascii="Times New Roman" w:hAnsi="Times New Roman" w:cs="Times New Roman"/>
              <w:lang w:val="zh-CN"/>
            </w:rPr>
            <w:fldChar w:fldCharType="separate"/>
          </w:r>
          <w:r>
            <w:rPr>
              <w:rFonts w:hint="default" w:ascii="Times New Roman" w:hAnsi="Times New Roman" w:cs="Times New Roman" w:eastAsiaTheme="minorEastAsia"/>
              <w:bCs/>
              <w:szCs w:val="22"/>
            </w:rPr>
            <w:t>附录B 配合比设计方法与步骤</w:t>
          </w:r>
          <w:r>
            <w:tab/>
          </w:r>
          <w:r>
            <w:fldChar w:fldCharType="begin"/>
          </w:r>
          <w:r>
            <w:instrText xml:space="preserve"> PAGEREF _Toc11191 \h </w:instrText>
          </w:r>
          <w:r>
            <w:fldChar w:fldCharType="separate"/>
          </w:r>
          <w:r>
            <w:t>15</w:t>
          </w:r>
          <w:r>
            <w:fldChar w:fldCharType="end"/>
          </w:r>
          <w:r>
            <w:rPr>
              <w:rFonts w:hint="default" w:ascii="Times New Roman" w:hAnsi="Times New Roman" w:cs="Times New Roman"/>
              <w:lang w:val="zh-CN"/>
            </w:rPr>
            <w:fldChar w:fldCharType="end"/>
          </w:r>
        </w:p>
        <w:p w14:paraId="5D1C80E2">
          <w:pPr>
            <w:rPr>
              <w:rFonts w:hint="default" w:ascii="Times New Roman" w:hAnsi="Times New Roman" w:cs="Times New Roman"/>
            </w:rPr>
          </w:pPr>
          <w:r>
            <w:rPr>
              <w:rFonts w:hint="default" w:ascii="Times New Roman" w:hAnsi="Times New Roman" w:cs="Times New Roman"/>
              <w:lang w:val="zh-CN"/>
            </w:rPr>
            <w:fldChar w:fldCharType="end"/>
          </w:r>
        </w:p>
      </w:sdtContent>
    </w:sdt>
    <w:p w14:paraId="2989529E">
      <w:pPr>
        <w:pStyle w:val="29"/>
        <w:tabs>
          <w:tab w:val="clear" w:pos="4201"/>
          <w:tab w:val="clear" w:pos="9298"/>
        </w:tabs>
        <w:spacing w:line="360" w:lineRule="auto"/>
        <w:ind w:firstLine="0" w:firstLineChars="0"/>
        <w:rPr>
          <w:rFonts w:hint="default" w:ascii="Times New Roman" w:hAnsi="Times New Roman" w:cs="Times New Roman"/>
          <w:sz w:val="24"/>
          <w:szCs w:val="21"/>
        </w:rPr>
      </w:pPr>
    </w:p>
    <w:p w14:paraId="14333C30">
      <w:pPr>
        <w:pStyle w:val="29"/>
        <w:tabs>
          <w:tab w:val="clear" w:pos="4201"/>
          <w:tab w:val="clear" w:pos="9298"/>
        </w:tabs>
        <w:spacing w:line="360" w:lineRule="auto"/>
        <w:ind w:firstLine="0" w:firstLineChars="0"/>
        <w:rPr>
          <w:rFonts w:hint="default" w:ascii="Times New Roman" w:hAnsi="Times New Roman" w:cs="Times New Roman"/>
          <w:sz w:val="24"/>
          <w:szCs w:val="21"/>
        </w:rPr>
        <w:sectPr>
          <w:pgSz w:w="11906" w:h="16838"/>
          <w:pgMar w:top="1440" w:right="1800" w:bottom="1440" w:left="1800" w:header="850" w:footer="992" w:gutter="0"/>
          <w:cols w:space="425" w:num="1"/>
          <w:formProt w:val="0"/>
          <w:docGrid w:type="lines" w:linePitch="312" w:charSpace="0"/>
        </w:sectPr>
      </w:pPr>
    </w:p>
    <w:p w14:paraId="0C98A72D">
      <w:pPr>
        <w:pStyle w:val="54"/>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0" w:name="_Toc3259"/>
      <w:bookmarkStart w:id="1" w:name="_Toc447282095"/>
      <w:r>
        <w:rPr>
          <w:rFonts w:hint="default" w:ascii="Times New Roman" w:hAnsi="Times New Roman" w:cs="Times New Roman" w:eastAsiaTheme="minorEastAsia"/>
          <w:b/>
          <w:bCs/>
          <w:sz w:val="32"/>
          <w:szCs w:val="22"/>
          <w:lang w:val="en-US" w:eastAsia="zh-CN"/>
        </w:rPr>
        <w:t>总则</w:t>
      </w:r>
      <w:bookmarkEnd w:id="0"/>
    </w:p>
    <w:p w14:paraId="5752237E">
      <w:pPr>
        <w:pStyle w:val="51"/>
        <w:numPr>
          <w:ilvl w:val="2"/>
          <w:numId w:val="18"/>
        </w:numPr>
        <w:spacing w:beforeLines="0" w:afterLines="0" w:line="360" w:lineRule="auto"/>
        <w:ind w:left="0" w:firstLine="240" w:firstLineChars="100"/>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为指导贵州省冷拌超表处养护技术的设计、施工、验收，保证工程质量，制定本指南。</w:t>
      </w:r>
    </w:p>
    <w:p w14:paraId="052870D1">
      <w:pPr>
        <w:pStyle w:val="51"/>
        <w:numPr>
          <w:ilvl w:val="2"/>
          <w:numId w:val="18"/>
        </w:numPr>
        <w:spacing w:beforeLines="0" w:afterLines="0" w:line="360" w:lineRule="auto"/>
        <w:ind w:left="0" w:firstLine="240" w:firstLineChars="100"/>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冷拌超表处技术除应符合本指南的规定外，尚应符合国家和行业现行有关标准的规定。</w:t>
      </w:r>
    </w:p>
    <w:p w14:paraId="7B7CC5CF">
      <w:pPr>
        <w:pStyle w:val="29"/>
        <w:rPr>
          <w:rFonts w:hint="default" w:ascii="Times New Roman" w:hAnsi="Times New Roman" w:cs="Times New Roman"/>
        </w:rPr>
        <w:sectPr>
          <w:headerReference r:id="rId5" w:type="default"/>
          <w:footerReference r:id="rId6" w:type="default"/>
          <w:pgSz w:w="11906" w:h="16838"/>
          <w:pgMar w:top="1440" w:right="1800" w:bottom="1440" w:left="1800" w:header="850" w:footer="992" w:gutter="0"/>
          <w:pgNumType w:start="1"/>
          <w:cols w:space="425" w:num="1"/>
          <w:formProt w:val="0"/>
          <w:docGrid w:type="lines" w:linePitch="312" w:charSpace="0"/>
        </w:sectPr>
      </w:pPr>
    </w:p>
    <w:bookmarkEnd w:id="1"/>
    <w:p w14:paraId="19177FF7">
      <w:pPr>
        <w:pStyle w:val="54"/>
        <w:numPr>
          <w:ilvl w:val="0"/>
          <w:numId w:val="19"/>
        </w:numPr>
        <w:spacing w:beforeLines="0" w:afterLines="0" w:line="360" w:lineRule="auto"/>
        <w:outlineLvl w:val="0"/>
        <w:rPr>
          <w:rFonts w:hint="default" w:ascii="Times New Roman" w:hAnsi="Times New Roman" w:cs="Times New Roman" w:eastAsiaTheme="minorEastAsia"/>
          <w:b/>
          <w:bCs/>
          <w:sz w:val="32"/>
          <w:szCs w:val="22"/>
        </w:rPr>
      </w:pPr>
      <w:bookmarkStart w:id="2" w:name="_Toc179636650"/>
      <w:bookmarkStart w:id="3" w:name="_Toc30495"/>
      <w:bookmarkStart w:id="4" w:name="_Toc126742831"/>
      <w:bookmarkStart w:id="5" w:name="_Toc126742832"/>
      <w:bookmarkStart w:id="6" w:name="_Toc179636647"/>
      <w:r>
        <w:rPr>
          <w:rFonts w:hint="default" w:ascii="Times New Roman" w:hAnsi="Times New Roman" w:cs="Times New Roman" w:eastAsiaTheme="minorEastAsia"/>
          <w:b/>
          <w:bCs/>
          <w:sz w:val="32"/>
          <w:szCs w:val="22"/>
        </w:rPr>
        <w:t>规范性引用文件</w:t>
      </w:r>
      <w:bookmarkEnd w:id="2"/>
      <w:bookmarkEnd w:id="3"/>
      <w:bookmarkEnd w:id="4"/>
    </w:p>
    <w:p w14:paraId="3594F8B4">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下列文件对于本指南的应用是必不可少的。凡是注日期的引用文件，仅注日期的版本适用于本指南。凡是不注日期的引用文件，其最新版本（包括所有的修改单）适用于本指南。</w:t>
      </w:r>
    </w:p>
    <w:p w14:paraId="2F15E04B">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D50公路沥青路面设计规范</w:t>
      </w:r>
    </w:p>
    <w:p w14:paraId="754A5AFC">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E20公路工程沥青及沥青混合料试验</w:t>
      </w:r>
    </w:p>
    <w:p w14:paraId="40916929">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F40公路沥青路面施工技术规范</w:t>
      </w:r>
    </w:p>
    <w:p w14:paraId="257C2E3A">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 xml:space="preserve">JTG F80/1公路工程质量检验评定标准 </w:t>
      </w:r>
    </w:p>
    <w:p w14:paraId="280622DD">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3432公路工程集料试验规程</w:t>
      </w:r>
    </w:p>
    <w:p w14:paraId="1990A335">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5110公路养护技术标准</w:t>
      </w:r>
    </w:p>
    <w:p w14:paraId="20AD7FD5">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5142公路沥青路面养护技术规范</w:t>
      </w:r>
    </w:p>
    <w:p w14:paraId="0E74502E">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5210公路技术状况评定标准</w:t>
      </w:r>
    </w:p>
    <w:p w14:paraId="4283E6D7">
      <w:pPr>
        <w:pStyle w:val="29"/>
        <w:tabs>
          <w:tab w:val="clear" w:pos="4201"/>
          <w:tab w:val="clear" w:pos="9298"/>
        </w:tabs>
        <w:spacing w:line="360" w:lineRule="auto"/>
        <w:ind w:firstLine="480"/>
        <w:rPr>
          <w:rFonts w:hint="default" w:ascii="Times New Roman" w:hAnsi="Times New Roman" w:cs="Times New Roman"/>
          <w:sz w:val="24"/>
        </w:rPr>
        <w:sectPr>
          <w:headerReference r:id="rId7" w:type="default"/>
          <w:headerReference r:id="rId8" w:type="even"/>
          <w:footerReference r:id="rId9" w:type="even"/>
          <w:pgSz w:w="11906" w:h="16838"/>
          <w:pgMar w:top="1440" w:right="1800" w:bottom="1440" w:left="1800" w:header="850" w:footer="992" w:gutter="0"/>
          <w:cols w:space="425" w:num="1"/>
          <w:formProt w:val="0"/>
          <w:docGrid w:type="lines" w:linePitch="312" w:charSpace="0"/>
        </w:sectPr>
      </w:pPr>
      <w:r>
        <w:rPr>
          <w:rFonts w:hint="default" w:ascii="Times New Roman" w:hAnsi="Times New Roman" w:cs="Times New Roman"/>
          <w:sz w:val="24"/>
        </w:rPr>
        <w:t xml:space="preserve">T/CECS G：M53-02-2020 微超表处技术规程 </w:t>
      </w:r>
    </w:p>
    <w:p w14:paraId="593BB0F4">
      <w:pPr>
        <w:pStyle w:val="54"/>
        <w:numPr>
          <w:ilvl w:val="0"/>
          <w:numId w:val="19"/>
        </w:numPr>
        <w:spacing w:beforeLines="0" w:afterLines="0" w:line="360" w:lineRule="auto"/>
        <w:outlineLvl w:val="0"/>
        <w:rPr>
          <w:rFonts w:hint="default" w:ascii="Times New Roman" w:hAnsi="Times New Roman" w:cs="Times New Roman" w:eastAsiaTheme="minorEastAsia"/>
          <w:b/>
          <w:bCs/>
          <w:sz w:val="32"/>
          <w:szCs w:val="22"/>
        </w:rPr>
      </w:pPr>
      <w:bookmarkStart w:id="7" w:name="_Toc2536"/>
      <w:r>
        <w:rPr>
          <w:rFonts w:hint="default" w:ascii="Times New Roman" w:hAnsi="Times New Roman" w:cs="Times New Roman" w:eastAsiaTheme="minorEastAsia"/>
          <w:b/>
          <w:bCs/>
          <w:sz w:val="32"/>
          <w:szCs w:val="22"/>
        </w:rPr>
        <w:t>术语与符号</w:t>
      </w:r>
      <w:bookmarkEnd w:id="5"/>
      <w:bookmarkEnd w:id="6"/>
      <w:bookmarkEnd w:id="7"/>
    </w:p>
    <w:p w14:paraId="62005B3A">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8" w:name="_Toc126742833"/>
      <w:bookmarkStart w:id="9" w:name="_Toc25889"/>
      <w:bookmarkStart w:id="10" w:name="_Toc179636648"/>
      <w:r>
        <w:rPr>
          <w:rFonts w:hint="eastAsia" w:ascii="Times New Roman" w:eastAsia="宋体" w:cs="Times New Roman"/>
          <w:b/>
          <w:bCs/>
          <w:sz w:val="24"/>
          <w:szCs w:val="21"/>
          <w:lang w:val="en-US" w:eastAsia="zh-CN" w:bidi="ar-SA"/>
        </w:rPr>
        <w:t>3</w:t>
      </w:r>
      <w:r>
        <w:rPr>
          <w:rFonts w:hint="default" w:ascii="Times New Roman" w:hAnsi="Times New Roman" w:eastAsia="宋体" w:cs="Times New Roman"/>
          <w:b/>
          <w:bCs/>
          <w:sz w:val="24"/>
          <w:szCs w:val="21"/>
          <w:lang w:val="en-US" w:eastAsia="zh-CN" w:bidi="ar-SA"/>
        </w:rPr>
        <w:t>.1</w:t>
      </w:r>
      <w:r>
        <w:rPr>
          <w:rFonts w:hint="default" w:ascii="Times New Roman" w:hAnsi="Times New Roman" w:eastAsia="宋体" w:cs="Times New Roman"/>
          <w:b/>
          <w:bCs/>
          <w:sz w:val="24"/>
        </w:rPr>
        <w:t>术语</w:t>
      </w:r>
      <w:bookmarkEnd w:id="8"/>
      <w:bookmarkEnd w:id="9"/>
      <w:bookmarkEnd w:id="10"/>
      <w:r>
        <w:rPr>
          <w:rFonts w:hint="default" w:ascii="Times New Roman" w:hAnsi="Times New Roman" w:eastAsia="宋体" w:cs="Times New Roman"/>
          <w:b/>
          <w:bCs/>
          <w:sz w:val="24"/>
        </w:rPr>
        <w:t xml:space="preserve"> </w:t>
      </w:r>
    </w:p>
    <w:p w14:paraId="42B8B110">
      <w:pPr>
        <w:pStyle w:val="29"/>
        <w:numPr>
          <w:ilvl w:val="2"/>
          <w:numId w:val="0"/>
        </w:numPr>
        <w:tabs>
          <w:tab w:val="clear" w:pos="4201"/>
          <w:tab w:val="clear" w:pos="9298"/>
        </w:tabs>
        <w:spacing w:line="360" w:lineRule="auto"/>
        <w:ind w:left="0" w:leftChars="0" w:firstLine="240" w:firstLineChars="100"/>
        <w:rPr>
          <w:rFonts w:hint="default" w:ascii="Times New Roman" w:hAnsi="Times New Roman" w:cs="Times New Roman"/>
          <w:sz w:val="24"/>
        </w:rPr>
      </w:pPr>
      <w:r>
        <w:rPr>
          <w:rFonts w:hint="eastAsia" w:ascii="Times New Roman" w:cs="Times New Roman"/>
          <w:sz w:val="24"/>
          <w:lang w:val="en-US" w:eastAsia="zh-CN" w:bidi="ar-SA"/>
        </w:rPr>
        <w:t>3</w:t>
      </w:r>
      <w:r>
        <w:rPr>
          <w:rFonts w:hint="default" w:ascii="Times New Roman" w:hAnsi="Times New Roman" w:eastAsia="宋体" w:cs="Times New Roman"/>
          <w:sz w:val="24"/>
          <w:lang w:val="en-US" w:eastAsia="zh-CN" w:bidi="ar-SA"/>
        </w:rPr>
        <w:t>.1.1</w:t>
      </w:r>
      <w:r>
        <w:rPr>
          <w:rFonts w:hint="default" w:ascii="Times New Roman" w:hAnsi="Times New Roman" w:cs="Times New Roman"/>
          <w:sz w:val="24"/>
        </w:rPr>
        <w:t>冷拌超表处混合料 cold mix surfacing mixture</w:t>
      </w:r>
    </w:p>
    <w:p w14:paraId="426D895B">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采用高黏度改性乳化沥青、集料、填料、水和添加剂等，按照半开级配进行拌和形成的浆状混合料。</w:t>
      </w:r>
    </w:p>
    <w:p w14:paraId="7F3B3A07">
      <w:pPr>
        <w:pStyle w:val="29"/>
        <w:numPr>
          <w:ilvl w:val="2"/>
          <w:numId w:val="0"/>
        </w:numPr>
        <w:tabs>
          <w:tab w:val="clear" w:pos="4201"/>
          <w:tab w:val="clear" w:pos="9298"/>
        </w:tabs>
        <w:spacing w:line="360" w:lineRule="auto"/>
        <w:ind w:left="0" w:leftChars="0" w:firstLine="240" w:firstLineChars="100"/>
        <w:rPr>
          <w:rFonts w:hint="default" w:ascii="Times New Roman" w:hAnsi="Times New Roman" w:cs="Times New Roman"/>
          <w:sz w:val="24"/>
        </w:rPr>
      </w:pPr>
      <w:r>
        <w:rPr>
          <w:rFonts w:hint="eastAsia" w:ascii="Times New Roman" w:cs="Times New Roman"/>
          <w:sz w:val="24"/>
          <w:lang w:val="en-US" w:eastAsia="zh-CN" w:bidi="ar-SA"/>
        </w:rPr>
        <w:t>3</w:t>
      </w:r>
      <w:r>
        <w:rPr>
          <w:rFonts w:hint="default" w:ascii="Times New Roman" w:hAnsi="Times New Roman" w:eastAsia="宋体" w:cs="Times New Roman"/>
          <w:sz w:val="24"/>
          <w:lang w:val="en-US" w:eastAsia="zh-CN" w:bidi="ar-SA"/>
        </w:rPr>
        <w:t>.1.2</w:t>
      </w:r>
      <w:r>
        <w:rPr>
          <w:rFonts w:hint="default" w:ascii="Times New Roman" w:hAnsi="Times New Roman" w:cs="Times New Roman"/>
          <w:sz w:val="24"/>
        </w:rPr>
        <w:t>溶剂型黏层材料 solvent based adhesive material</w:t>
      </w:r>
    </w:p>
    <w:p w14:paraId="1E2E13CF">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冷拌超表处与原路面之间起到防水黏结作用，且不黏轮的溶剂型改性沥青黏层材料。</w:t>
      </w:r>
    </w:p>
    <w:p w14:paraId="68BAAA03">
      <w:pPr>
        <w:pStyle w:val="29"/>
        <w:numPr>
          <w:ilvl w:val="2"/>
          <w:numId w:val="0"/>
        </w:numPr>
        <w:tabs>
          <w:tab w:val="clear" w:pos="4201"/>
          <w:tab w:val="clear" w:pos="9298"/>
        </w:tabs>
        <w:spacing w:line="360" w:lineRule="auto"/>
        <w:ind w:left="0" w:leftChars="0" w:firstLine="240" w:firstLineChars="100"/>
        <w:rPr>
          <w:rFonts w:hint="default" w:ascii="Times New Roman" w:hAnsi="Times New Roman" w:cs="Times New Roman"/>
          <w:sz w:val="24"/>
        </w:rPr>
      </w:pPr>
      <w:r>
        <w:rPr>
          <w:rFonts w:hint="eastAsia" w:ascii="Times New Roman" w:cs="Times New Roman"/>
          <w:sz w:val="24"/>
          <w:lang w:val="en-US" w:eastAsia="zh-CN" w:bidi="ar-SA"/>
        </w:rPr>
        <w:t>3</w:t>
      </w:r>
      <w:r>
        <w:rPr>
          <w:rFonts w:hint="default" w:ascii="Times New Roman" w:hAnsi="Times New Roman" w:eastAsia="宋体" w:cs="Times New Roman"/>
          <w:sz w:val="24"/>
          <w:lang w:val="en-US" w:eastAsia="zh-CN" w:bidi="ar-SA"/>
        </w:rPr>
        <w:t>.1.3</w:t>
      </w:r>
      <w:r>
        <w:rPr>
          <w:rFonts w:hint="default" w:ascii="Times New Roman" w:hAnsi="Times New Roman" w:cs="Times New Roman"/>
          <w:sz w:val="24"/>
        </w:rPr>
        <w:t>冷拌超表处  cold mix surfacing</w:t>
      </w:r>
    </w:p>
    <w:p w14:paraId="4D46B99E">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指预洒布一层溶剂型黏层材料于原路面上，用稀浆封层车在常温下拌制冷拌超表处混合料并摊铺到原路面上，通过适当碾压快速成型厚度一般为</w:t>
      </w:r>
      <w:r>
        <w:rPr>
          <w:rFonts w:hint="default" w:ascii="Times New Roman" w:hAnsi="Times New Roman" w:cs="Times New Roman"/>
          <w:color w:val="000000" w:themeColor="text1"/>
          <w:sz w:val="24"/>
          <w14:textFill>
            <w14:solidFill>
              <w14:schemeClr w14:val="tx1"/>
            </w14:solidFill>
          </w14:textFill>
        </w:rPr>
        <w:t>5mm~9mm</w:t>
      </w:r>
      <w:r>
        <w:rPr>
          <w:rFonts w:hint="default" w:ascii="Times New Roman" w:hAnsi="Times New Roman" w:cs="Times New Roman"/>
          <w:sz w:val="24"/>
        </w:rPr>
        <w:t>的冷拌冷铺罩面技术。</w:t>
      </w:r>
    </w:p>
    <w:p w14:paraId="2D4BBDF6">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11" w:name="_Toc15465"/>
      <w:bookmarkStart w:id="12" w:name="_Toc179636649"/>
      <w:bookmarkStart w:id="13" w:name="_Toc126742834"/>
      <w:r>
        <w:rPr>
          <w:rFonts w:hint="eastAsia" w:ascii="Times New Roman" w:eastAsia="宋体" w:cs="Times New Roman"/>
          <w:b/>
          <w:bCs/>
          <w:sz w:val="24"/>
          <w:szCs w:val="21"/>
          <w:lang w:val="en-US" w:eastAsia="zh-CN" w:bidi="ar-SA"/>
        </w:rPr>
        <w:t>3</w:t>
      </w:r>
      <w:r>
        <w:rPr>
          <w:rFonts w:hint="default" w:ascii="Times New Roman" w:hAnsi="Times New Roman" w:eastAsia="宋体" w:cs="Times New Roman"/>
          <w:b/>
          <w:bCs/>
          <w:sz w:val="24"/>
          <w:szCs w:val="21"/>
          <w:lang w:val="en-US" w:eastAsia="zh-CN" w:bidi="ar-SA"/>
        </w:rPr>
        <w:t>.2</w:t>
      </w:r>
      <w:r>
        <w:rPr>
          <w:rFonts w:hint="default" w:ascii="Times New Roman" w:hAnsi="Times New Roman" w:eastAsia="宋体" w:cs="Times New Roman"/>
          <w:b/>
          <w:bCs/>
          <w:sz w:val="24"/>
        </w:rPr>
        <w:t>符号</w:t>
      </w:r>
      <w:bookmarkEnd w:id="11"/>
      <w:bookmarkEnd w:id="12"/>
      <w:bookmarkEnd w:id="13"/>
      <w:r>
        <w:rPr>
          <w:rFonts w:hint="default" w:ascii="Times New Roman" w:hAnsi="Times New Roman" w:eastAsia="宋体" w:cs="Times New Roman"/>
          <w:b/>
          <w:bCs/>
          <w:sz w:val="24"/>
        </w:rPr>
        <w:t xml:space="preserve"> </w:t>
      </w:r>
    </w:p>
    <w:p w14:paraId="4DC35EDB">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BPN——摆值；</w:t>
      </w:r>
    </w:p>
    <w:p w14:paraId="5B1AE541">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PCI——路面损坏状况指数；</w:t>
      </w:r>
    </w:p>
    <w:p w14:paraId="31D9C575">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RQI——路面行驶质量指数；</w:t>
      </w:r>
    </w:p>
    <w:p w14:paraId="0A78E0FD">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RDI——路面车辙深度指数；</w:t>
      </w:r>
    </w:p>
    <w:p w14:paraId="5A5C0853">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RTFOT——旋转薄膜加热试验；</w:t>
      </w:r>
    </w:p>
    <w:p w14:paraId="17B83DC2">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TD——路面构造深度；</w:t>
      </w:r>
    </w:p>
    <w:p w14:paraId="1225FAA5">
      <w:pPr>
        <w:pStyle w:val="29"/>
        <w:tabs>
          <w:tab w:val="clear" w:pos="4201"/>
          <w:tab w:val="clear" w:pos="9298"/>
        </w:tabs>
        <w:spacing w:line="360" w:lineRule="auto"/>
        <w:ind w:firstLine="480"/>
        <w:rPr>
          <w:rFonts w:hint="default" w:ascii="Times New Roman" w:hAnsi="Times New Roman" w:cs="Times New Roman"/>
          <w:sz w:val="24"/>
        </w:rPr>
        <w:sectPr>
          <w:headerReference r:id="rId10" w:type="default"/>
          <w:headerReference r:id="rId11" w:type="even"/>
          <w:footerReference r:id="rId12" w:type="even"/>
          <w:pgSz w:w="11906" w:h="16838"/>
          <w:pgMar w:top="1440" w:right="1800" w:bottom="1440" w:left="1800" w:header="850" w:footer="992" w:gutter="0"/>
          <w:cols w:space="425" w:num="1"/>
          <w:formProt w:val="0"/>
          <w:docGrid w:type="lines" w:linePitch="312" w:charSpace="0"/>
        </w:sectPr>
      </w:pPr>
    </w:p>
    <w:p w14:paraId="560D4423">
      <w:pPr>
        <w:pStyle w:val="54"/>
        <w:numPr>
          <w:ilvl w:val="0"/>
          <w:numId w:val="0"/>
        </w:numPr>
        <w:spacing w:beforeLines="0" w:afterLines="0" w:line="360" w:lineRule="auto"/>
        <w:ind w:left="360" w:leftChars="0" w:hanging="360" w:firstLineChars="0"/>
        <w:outlineLvl w:val="0"/>
        <w:rPr>
          <w:rFonts w:hint="default" w:ascii="Times New Roman" w:hAnsi="Times New Roman" w:cs="Times New Roman" w:eastAsiaTheme="minorEastAsia"/>
          <w:b/>
          <w:bCs/>
          <w:sz w:val="32"/>
          <w:szCs w:val="22"/>
        </w:rPr>
      </w:pPr>
      <w:bookmarkStart w:id="14" w:name="_Toc179636651"/>
      <w:bookmarkStart w:id="15" w:name="_Toc20655"/>
      <w:r>
        <w:rPr>
          <w:rFonts w:hint="eastAsia" w:ascii="Times New Roman" w:cs="Times New Roman" w:eastAsiaTheme="minorEastAsia"/>
          <w:b/>
          <w:bCs/>
          <w:sz w:val="32"/>
          <w:szCs w:val="22"/>
          <w:lang w:val="en-US" w:eastAsia="zh-CN" w:bidi="ar-SA"/>
        </w:rPr>
        <w:t>4</w:t>
      </w:r>
      <w:r>
        <w:rPr>
          <w:rFonts w:hint="default" w:ascii="Times New Roman" w:hAnsi="Times New Roman" w:cs="Times New Roman" w:eastAsiaTheme="minorEastAsia"/>
          <w:b/>
          <w:bCs/>
          <w:sz w:val="32"/>
          <w:szCs w:val="22"/>
        </w:rPr>
        <w:t>基本规定</w:t>
      </w:r>
      <w:bookmarkEnd w:id="14"/>
      <w:bookmarkEnd w:id="15"/>
    </w:p>
    <w:p w14:paraId="55FBD565">
      <w:pPr>
        <w:pStyle w:val="51"/>
        <w:numPr>
          <w:ilvl w:val="0"/>
          <w:numId w:val="0"/>
        </w:numPr>
        <w:spacing w:beforeLines="0" w:afterLines="0" w:line="360" w:lineRule="auto"/>
        <w:ind w:left="66" w:leftChars="0"/>
        <w:outlineLvl w:val="1"/>
        <w:rPr>
          <w:rFonts w:hint="default" w:ascii="Times New Roman" w:hAnsi="Times New Roman" w:eastAsia="宋体" w:cs="Times New Roman"/>
          <w:b/>
          <w:bCs/>
          <w:sz w:val="24"/>
        </w:rPr>
      </w:pPr>
      <w:bookmarkStart w:id="16" w:name="_Toc1712"/>
      <w:bookmarkStart w:id="17" w:name="OLE_LINK2"/>
      <w:r>
        <w:rPr>
          <w:rFonts w:hint="eastAsia" w:ascii="Times New Roman" w:eastAsia="宋体" w:cs="Times New Roman"/>
          <w:b/>
          <w:bCs/>
          <w:sz w:val="24"/>
          <w:lang w:val="en-US" w:eastAsia="zh-CN"/>
        </w:rPr>
        <w:t>4.1</w:t>
      </w:r>
      <w:r>
        <w:rPr>
          <w:rFonts w:hint="default" w:ascii="Times New Roman" w:hAnsi="Times New Roman" w:eastAsia="宋体" w:cs="Times New Roman"/>
          <w:b/>
          <w:bCs/>
          <w:sz w:val="24"/>
        </w:rPr>
        <w:t xml:space="preserve"> </w:t>
      </w:r>
      <w:bookmarkStart w:id="18" w:name="_Toc179636652"/>
      <w:r>
        <w:rPr>
          <w:rFonts w:hint="default" w:ascii="Times New Roman" w:hAnsi="Times New Roman" w:eastAsia="宋体" w:cs="Times New Roman"/>
          <w:b/>
          <w:bCs/>
          <w:sz w:val="24"/>
        </w:rPr>
        <w:t>一般规定</w:t>
      </w:r>
      <w:bookmarkEnd w:id="16"/>
      <w:bookmarkEnd w:id="18"/>
    </w:p>
    <w:p w14:paraId="39366600">
      <w:pPr>
        <w:pStyle w:val="29"/>
        <w:numPr>
          <w:ilvl w:val="2"/>
          <w:numId w:val="0"/>
        </w:numPr>
        <w:tabs>
          <w:tab w:val="clear" w:pos="4201"/>
          <w:tab w:val="clear" w:pos="9298"/>
        </w:tabs>
        <w:spacing w:line="360" w:lineRule="auto"/>
        <w:ind w:left="0" w:leftChars="0" w:firstLine="284" w:firstLineChars="118"/>
        <w:rPr>
          <w:rFonts w:hint="default" w:ascii="Times New Roman" w:hAnsi="Times New Roman" w:cs="Times New Roman"/>
          <w:sz w:val="24"/>
        </w:rPr>
      </w:pPr>
      <w:r>
        <w:rPr>
          <w:rFonts w:hint="eastAsia" w:ascii="Times New Roman" w:cs="Times New Roman"/>
          <w:b/>
          <w:bCs/>
          <w:sz w:val="24"/>
          <w:lang w:val="en-US" w:eastAsia="zh-CN" w:bidi="ar-SA"/>
        </w:rPr>
        <w:t>4</w:t>
      </w:r>
      <w:r>
        <w:rPr>
          <w:rFonts w:hint="default" w:ascii="Times New Roman" w:hAnsi="Times New Roman" w:eastAsia="宋体" w:cs="Times New Roman"/>
          <w:b/>
          <w:bCs/>
          <w:sz w:val="24"/>
          <w:lang w:val="en-US" w:eastAsia="zh-CN" w:bidi="ar-SA"/>
        </w:rPr>
        <w:t>.1.1</w:t>
      </w:r>
      <w:r>
        <w:rPr>
          <w:rFonts w:hint="default" w:ascii="Times New Roman" w:hAnsi="Times New Roman" w:cs="Times New Roman"/>
          <w:sz w:val="24"/>
        </w:rPr>
        <w:t>冷拌超表处可用于沥青路面非结构性损坏的预防养护及面层功能修复，不能作为结构补强层。</w:t>
      </w:r>
    </w:p>
    <w:p w14:paraId="76F3CD76">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4</w:t>
      </w:r>
      <w:r>
        <w:rPr>
          <w:rFonts w:hint="default" w:ascii="Times New Roman" w:hAnsi="Times New Roman" w:eastAsia="宋体" w:cs="Times New Roman"/>
          <w:b/>
          <w:bCs/>
          <w:sz w:val="24"/>
          <w:lang w:val="en-US" w:eastAsia="zh-CN" w:bidi="ar-SA"/>
        </w:rPr>
        <w:t>.1.2</w:t>
      </w:r>
      <w:r>
        <w:rPr>
          <w:rFonts w:hint="default" w:ascii="Times New Roman" w:hAnsi="Times New Roman" w:cs="Times New Roman"/>
          <w:sz w:val="24"/>
        </w:rPr>
        <w:t>冷拌超表处的混合料设计应充分考虑使用要求、原路面状况、交通量、气候条件等因素，选择适宜的混合料级配和乳化沥青用量。</w:t>
      </w:r>
    </w:p>
    <w:p w14:paraId="021E224E">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4</w:t>
      </w:r>
      <w:r>
        <w:rPr>
          <w:rFonts w:hint="default" w:ascii="Times New Roman" w:hAnsi="Times New Roman" w:eastAsia="宋体" w:cs="Times New Roman"/>
          <w:b/>
          <w:bCs/>
          <w:sz w:val="24"/>
          <w:lang w:val="en-US" w:eastAsia="zh-CN" w:bidi="ar-SA"/>
        </w:rPr>
        <w:t>.1.3</w:t>
      </w:r>
      <w:r>
        <w:rPr>
          <w:rFonts w:hint="default" w:ascii="Times New Roman" w:hAnsi="Times New Roman" w:cs="Times New Roman"/>
          <w:sz w:val="24"/>
        </w:rPr>
        <w:t>冷拌超表处应采用专用机械施工，主要包括稀浆封层车、摊铺槽等。</w:t>
      </w:r>
    </w:p>
    <w:p w14:paraId="5916B651">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4</w:t>
      </w:r>
      <w:r>
        <w:rPr>
          <w:rFonts w:hint="default" w:ascii="Times New Roman" w:hAnsi="Times New Roman" w:eastAsia="宋体" w:cs="Times New Roman"/>
          <w:b/>
          <w:bCs/>
          <w:sz w:val="24"/>
          <w:lang w:val="en-US" w:eastAsia="zh-CN" w:bidi="ar-SA"/>
        </w:rPr>
        <w:t>.1.4</w:t>
      </w:r>
      <w:r>
        <w:rPr>
          <w:rFonts w:hint="default" w:ascii="Times New Roman" w:hAnsi="Times New Roman" w:cs="Times New Roman"/>
          <w:sz w:val="24"/>
        </w:rPr>
        <w:t>冷拌超表处应在原路面与冷拌超表处层之间设立黏层，宜采用溶剂型黏层材料。</w:t>
      </w:r>
    </w:p>
    <w:p w14:paraId="575D332B">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color w:val="000000" w:themeColor="text1"/>
          <w:sz w:val="24"/>
          <w14:textFill>
            <w14:solidFill>
              <w14:schemeClr w14:val="tx1"/>
            </w14:solidFill>
          </w14:textFill>
        </w:rPr>
      </w:pPr>
      <w:r>
        <w:rPr>
          <w:rFonts w:hint="eastAsia" w:ascii="Times New Roman" w:cs="Times New Roman"/>
          <w:b/>
          <w:bCs/>
          <w:color w:val="000000" w:themeColor="text1"/>
          <w:sz w:val="24"/>
          <w:lang w:val="en-US" w:eastAsia="zh-CN" w:bidi="ar-SA"/>
          <w14:textFill>
            <w14:solidFill>
              <w14:schemeClr w14:val="tx1"/>
            </w14:solidFill>
          </w14:textFill>
        </w:rPr>
        <w:t>4</w:t>
      </w:r>
      <w:r>
        <w:rPr>
          <w:rFonts w:hint="default" w:ascii="Times New Roman" w:hAnsi="Times New Roman" w:eastAsia="宋体" w:cs="Times New Roman"/>
          <w:b/>
          <w:bCs/>
          <w:color w:val="000000" w:themeColor="text1"/>
          <w:sz w:val="24"/>
          <w:lang w:val="en-US" w:eastAsia="zh-CN" w:bidi="ar-SA"/>
          <w14:textFill>
            <w14:solidFill>
              <w14:schemeClr w14:val="tx1"/>
            </w14:solidFill>
          </w14:textFill>
        </w:rPr>
        <w:t>.1.5</w:t>
      </w:r>
      <w:r>
        <w:rPr>
          <w:rFonts w:hint="default" w:ascii="Times New Roman" w:hAnsi="Times New Roman" w:cs="Times New Roman"/>
          <w:color w:val="000000" w:themeColor="text1"/>
          <w:sz w:val="24"/>
          <w14:textFill>
            <w14:solidFill>
              <w14:schemeClr w14:val="tx1"/>
            </w14:solidFill>
          </w14:textFill>
        </w:rPr>
        <w:t>冷拌超表处的施工及养生期的气温应高于10℃。</w:t>
      </w:r>
    </w:p>
    <w:p w14:paraId="2D80DF20">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4</w:t>
      </w:r>
      <w:r>
        <w:rPr>
          <w:rFonts w:hint="default" w:ascii="Times New Roman" w:hAnsi="Times New Roman" w:eastAsia="宋体" w:cs="Times New Roman"/>
          <w:b/>
          <w:bCs/>
          <w:sz w:val="24"/>
          <w:lang w:val="en-US" w:eastAsia="zh-CN" w:bidi="ar-SA"/>
        </w:rPr>
        <w:t>.1.6</w:t>
      </w:r>
      <w:r>
        <w:rPr>
          <w:rFonts w:hint="default" w:ascii="Times New Roman" w:hAnsi="Times New Roman" w:cs="Times New Roman"/>
          <w:sz w:val="24"/>
        </w:rPr>
        <w:t>严禁在雨天施工，不得在路面有积水或大部分仍处于潮湿状态下进行施工；</w:t>
      </w:r>
    </w:p>
    <w:p w14:paraId="43FC94AF">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4</w:t>
      </w:r>
      <w:r>
        <w:rPr>
          <w:rFonts w:hint="default" w:ascii="Times New Roman" w:hAnsi="Times New Roman" w:eastAsia="宋体" w:cs="Times New Roman"/>
          <w:b/>
          <w:bCs/>
          <w:sz w:val="24"/>
          <w:lang w:val="en-US" w:eastAsia="zh-CN" w:bidi="ar-SA"/>
        </w:rPr>
        <w:t>.1.7</w:t>
      </w:r>
      <w:r>
        <w:rPr>
          <w:rFonts w:hint="default" w:ascii="Times New Roman" w:hAnsi="Times New Roman" w:cs="Times New Roman"/>
          <w:sz w:val="24"/>
        </w:rPr>
        <w:t>施工中遇下雨或施工后混合料尚未成型遇雨时，应在雨后将无法正常成型的材料铲除。</w:t>
      </w:r>
    </w:p>
    <w:p w14:paraId="4BE0D10B">
      <w:pPr>
        <w:pStyle w:val="51"/>
        <w:numPr>
          <w:ilvl w:val="1"/>
          <w:numId w:val="0"/>
        </w:numPr>
        <w:spacing w:beforeLines="0" w:afterLines="0" w:line="360" w:lineRule="auto"/>
        <w:ind w:left="426" w:leftChars="0" w:hanging="360" w:firstLineChars="0"/>
        <w:outlineLvl w:val="1"/>
        <w:rPr>
          <w:rFonts w:hint="default" w:ascii="Times New Roman" w:hAnsi="Times New Roman" w:eastAsia="宋体" w:cs="Times New Roman"/>
          <w:b/>
          <w:bCs/>
          <w:sz w:val="24"/>
        </w:rPr>
      </w:pPr>
      <w:bookmarkStart w:id="19" w:name="_Toc2209"/>
      <w:bookmarkStart w:id="20" w:name="_Toc179636653"/>
      <w:r>
        <w:rPr>
          <w:rFonts w:hint="eastAsia" w:ascii="Times New Roman" w:eastAsia="宋体" w:cs="Times New Roman"/>
          <w:b/>
          <w:bCs/>
          <w:sz w:val="24"/>
          <w:szCs w:val="21"/>
          <w:lang w:val="en-US" w:eastAsia="zh-CN" w:bidi="ar-SA"/>
        </w:rPr>
        <w:t>4</w:t>
      </w:r>
      <w:r>
        <w:rPr>
          <w:rFonts w:hint="default" w:ascii="Times New Roman" w:hAnsi="Times New Roman" w:eastAsia="宋体" w:cs="Times New Roman"/>
          <w:b/>
          <w:bCs/>
          <w:sz w:val="24"/>
          <w:szCs w:val="21"/>
          <w:lang w:val="en-US" w:eastAsia="zh-CN" w:bidi="ar-SA"/>
        </w:rPr>
        <w:t>.2</w:t>
      </w:r>
      <w:r>
        <w:rPr>
          <w:rFonts w:hint="default" w:ascii="Times New Roman" w:hAnsi="Times New Roman" w:eastAsia="宋体" w:cs="Times New Roman"/>
          <w:b/>
          <w:bCs/>
          <w:sz w:val="24"/>
        </w:rPr>
        <w:t>原路面技术状况要求</w:t>
      </w:r>
      <w:bookmarkEnd w:id="19"/>
      <w:bookmarkEnd w:id="20"/>
    </w:p>
    <w:p w14:paraId="0AC07A2D">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4</w:t>
      </w:r>
      <w:r>
        <w:rPr>
          <w:rFonts w:hint="default" w:ascii="Times New Roman" w:hAnsi="Times New Roman" w:eastAsia="宋体" w:cs="Times New Roman"/>
          <w:b/>
          <w:bCs/>
          <w:sz w:val="24"/>
          <w:lang w:val="en-US" w:eastAsia="zh-CN" w:bidi="ar-SA"/>
        </w:rPr>
        <w:t>.2.1</w:t>
      </w:r>
      <w:r>
        <w:rPr>
          <w:rFonts w:hint="default" w:ascii="Times New Roman" w:hAnsi="Times New Roman" w:cs="Times New Roman"/>
          <w:sz w:val="24"/>
        </w:rPr>
        <w:t>冷拌超表处在使用时应对原路面进行技术状况检查评定。</w:t>
      </w:r>
    </w:p>
    <w:p w14:paraId="151BC866">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4</w:t>
      </w:r>
      <w:r>
        <w:rPr>
          <w:rFonts w:hint="default" w:ascii="Times New Roman" w:hAnsi="Times New Roman" w:eastAsia="宋体" w:cs="Times New Roman"/>
          <w:b/>
          <w:bCs/>
          <w:sz w:val="24"/>
          <w:lang w:val="en-US" w:eastAsia="zh-CN" w:bidi="ar-SA"/>
        </w:rPr>
        <w:t>.2.2</w:t>
      </w:r>
      <w:r>
        <w:rPr>
          <w:rFonts w:hint="default" w:ascii="Times New Roman" w:hAnsi="Times New Roman" w:cs="Times New Roman"/>
          <w:sz w:val="24"/>
        </w:rPr>
        <w:t>冷拌超表处适用的各等级公路沥青路面技术状况，或经处理后技术状况应符合表</w:t>
      </w:r>
      <w:r>
        <w:rPr>
          <w:rFonts w:hint="eastAsia" w:ascii="Times New Roman" w:cs="Times New Roman"/>
          <w:sz w:val="24"/>
          <w:lang w:val="en-US" w:eastAsia="zh-CN"/>
        </w:rPr>
        <w:t>4</w:t>
      </w:r>
      <w:r>
        <w:rPr>
          <w:rFonts w:hint="default" w:ascii="Times New Roman" w:hAnsi="Times New Roman" w:cs="Times New Roman"/>
          <w:sz w:val="24"/>
        </w:rPr>
        <w:t>.2.2的规定。</w:t>
      </w:r>
    </w:p>
    <w:p w14:paraId="65E39F6F">
      <w:pPr>
        <w:pStyle w:val="192"/>
        <w:ind w:left="360"/>
        <w:rPr>
          <w:rStyle w:val="182"/>
          <w:rFonts w:hint="default" w:ascii="Times New Roman" w:hAnsi="Times New Roman" w:eastAsia="黑体" w:cs="Times New Roman"/>
          <w:sz w:val="21"/>
          <w:szCs w:val="21"/>
        </w:rPr>
      </w:pPr>
      <w:r>
        <w:rPr>
          <w:rStyle w:val="182"/>
          <w:rFonts w:hint="default" w:ascii="Times New Roman" w:hAnsi="Times New Roman" w:eastAsia="黑体" w:cs="Times New Roman"/>
          <w:sz w:val="21"/>
          <w:szCs w:val="21"/>
        </w:rPr>
        <w:t>表</w:t>
      </w:r>
      <w:r>
        <w:rPr>
          <w:rStyle w:val="182"/>
          <w:rFonts w:hint="eastAsia" w:eastAsia="黑体" w:cs="Times New Roman"/>
          <w:sz w:val="21"/>
          <w:szCs w:val="21"/>
          <w:lang w:val="en-US" w:eastAsia="zh-CN"/>
        </w:rPr>
        <w:t>4</w:t>
      </w:r>
      <w:r>
        <w:rPr>
          <w:rStyle w:val="182"/>
          <w:rFonts w:hint="default" w:ascii="Times New Roman" w:hAnsi="Times New Roman" w:eastAsia="黑体" w:cs="Times New Roman"/>
          <w:sz w:val="21"/>
          <w:szCs w:val="21"/>
        </w:rPr>
        <w:t>.2.2 冷拌超表处薄层罩面适用的各等级公路沥青路面路况水平</w:t>
      </w:r>
    </w:p>
    <w:tbl>
      <w:tblPr>
        <w:tblStyle w:val="19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121"/>
        <w:gridCol w:w="2121"/>
        <w:gridCol w:w="1917"/>
        <w:gridCol w:w="2177"/>
      </w:tblGrid>
      <w:tr w14:paraId="7F356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72" w:type="pct"/>
            <w:tcBorders>
              <w:top w:val="single" w:color="auto" w:sz="12" w:space="0"/>
              <w:bottom w:val="single" w:color="auto" w:sz="12" w:space="0"/>
            </w:tcBorders>
          </w:tcPr>
          <w:p w14:paraId="68684FDF">
            <w:pPr>
              <w:pStyle w:val="194"/>
              <w:rPr>
                <w:rFonts w:hint="default" w:ascii="Times New Roman" w:hAnsi="Times New Roman" w:cs="Times New Roman"/>
                <w:spacing w:val="-2"/>
                <w:szCs w:val="18"/>
              </w:rPr>
            </w:pPr>
            <w:r>
              <w:rPr>
                <w:rFonts w:hint="default" w:ascii="Times New Roman" w:hAnsi="Times New Roman" w:cs="Times New Roman"/>
                <w:spacing w:val="-2"/>
                <w:szCs w:val="18"/>
              </w:rPr>
              <w:t>原路面类型</w:t>
            </w:r>
          </w:p>
        </w:tc>
        <w:tc>
          <w:tcPr>
            <w:tcW w:w="1272" w:type="pct"/>
            <w:tcBorders>
              <w:top w:val="single" w:color="auto" w:sz="12" w:space="0"/>
              <w:bottom w:val="single" w:color="auto" w:sz="12" w:space="0"/>
            </w:tcBorders>
          </w:tcPr>
          <w:p w14:paraId="04CD0318">
            <w:pPr>
              <w:pStyle w:val="194"/>
              <w:rPr>
                <w:rFonts w:hint="default" w:ascii="Times New Roman" w:hAnsi="Times New Roman" w:cs="Times New Roman"/>
                <w:spacing w:val="-2"/>
                <w:szCs w:val="18"/>
              </w:rPr>
            </w:pPr>
            <w:r>
              <w:rPr>
                <w:rFonts w:hint="default" w:ascii="Times New Roman" w:hAnsi="Times New Roman" w:cs="Times New Roman"/>
                <w:spacing w:val="-2"/>
                <w:szCs w:val="18"/>
              </w:rPr>
              <w:t>路况指数</w:t>
            </w:r>
          </w:p>
        </w:tc>
        <w:tc>
          <w:tcPr>
            <w:tcW w:w="1150" w:type="pct"/>
            <w:tcBorders>
              <w:top w:val="single" w:color="auto" w:sz="12" w:space="0"/>
              <w:bottom w:val="single" w:color="auto" w:sz="12" w:space="0"/>
            </w:tcBorders>
          </w:tcPr>
          <w:p w14:paraId="47FC6478">
            <w:pPr>
              <w:pStyle w:val="194"/>
              <w:rPr>
                <w:rFonts w:hint="default" w:ascii="Times New Roman" w:hAnsi="Times New Roman" w:cs="Times New Roman"/>
                <w:spacing w:val="-2"/>
                <w:szCs w:val="18"/>
              </w:rPr>
            </w:pPr>
            <w:r>
              <w:rPr>
                <w:rFonts w:hint="default" w:ascii="Times New Roman" w:hAnsi="Times New Roman" w:cs="Times New Roman"/>
                <w:spacing w:val="-2"/>
                <w:szCs w:val="18"/>
              </w:rPr>
              <w:t>高速公路</w:t>
            </w:r>
          </w:p>
        </w:tc>
        <w:tc>
          <w:tcPr>
            <w:tcW w:w="1306" w:type="pct"/>
            <w:tcBorders>
              <w:top w:val="single" w:color="auto" w:sz="12" w:space="0"/>
              <w:bottom w:val="single" w:color="auto" w:sz="12" w:space="0"/>
            </w:tcBorders>
          </w:tcPr>
          <w:p w14:paraId="38A724A3">
            <w:pPr>
              <w:pStyle w:val="194"/>
              <w:rPr>
                <w:rFonts w:hint="default" w:ascii="Times New Roman" w:hAnsi="Times New Roman" w:cs="Times New Roman"/>
                <w:spacing w:val="-2"/>
                <w:szCs w:val="18"/>
              </w:rPr>
            </w:pPr>
            <w:r>
              <w:rPr>
                <w:rFonts w:hint="default" w:ascii="Times New Roman" w:hAnsi="Times New Roman" w:cs="Times New Roman"/>
                <w:spacing w:val="-2"/>
                <w:szCs w:val="18"/>
              </w:rPr>
              <w:t>其他等级公路</w:t>
            </w:r>
          </w:p>
        </w:tc>
      </w:tr>
      <w:tr w14:paraId="3E978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72" w:type="pct"/>
            <w:vMerge w:val="restart"/>
            <w:tcBorders>
              <w:top w:val="single" w:color="auto" w:sz="12" w:space="0"/>
            </w:tcBorders>
            <w:vAlign w:val="center"/>
          </w:tcPr>
          <w:p w14:paraId="3DE18F06">
            <w:pPr>
              <w:pStyle w:val="194"/>
              <w:rPr>
                <w:rFonts w:hint="default" w:ascii="Times New Roman" w:hAnsi="Times New Roman" w:cs="Times New Roman"/>
                <w:spacing w:val="-2"/>
                <w:szCs w:val="18"/>
              </w:rPr>
            </w:pPr>
            <w:r>
              <w:rPr>
                <w:rFonts w:hint="default" w:ascii="Times New Roman" w:hAnsi="Times New Roman" w:cs="Times New Roman"/>
                <w:spacing w:val="-2"/>
                <w:szCs w:val="18"/>
              </w:rPr>
              <w:t>沥青路面</w:t>
            </w:r>
          </w:p>
        </w:tc>
        <w:tc>
          <w:tcPr>
            <w:tcW w:w="1272" w:type="pct"/>
            <w:tcBorders>
              <w:top w:val="single" w:color="auto" w:sz="12" w:space="0"/>
            </w:tcBorders>
          </w:tcPr>
          <w:p w14:paraId="1138B5DF">
            <w:pPr>
              <w:pStyle w:val="194"/>
              <w:rPr>
                <w:rFonts w:hint="default" w:ascii="Times New Roman" w:hAnsi="Times New Roman" w:cs="Times New Roman"/>
                <w:spacing w:val="-2"/>
                <w:szCs w:val="18"/>
              </w:rPr>
            </w:pPr>
            <w:r>
              <w:rPr>
                <w:rFonts w:hint="default" w:ascii="Times New Roman" w:hAnsi="Times New Roman" w:cs="Times New Roman"/>
                <w:spacing w:val="-2"/>
                <w:szCs w:val="18"/>
              </w:rPr>
              <w:t>PCI、RQI</w:t>
            </w:r>
          </w:p>
        </w:tc>
        <w:tc>
          <w:tcPr>
            <w:tcW w:w="1150" w:type="pct"/>
            <w:tcBorders>
              <w:top w:val="single" w:color="auto" w:sz="12" w:space="0"/>
            </w:tcBorders>
          </w:tcPr>
          <w:p w14:paraId="47A5D393">
            <w:pPr>
              <w:pStyle w:val="194"/>
              <w:rPr>
                <w:rFonts w:hint="default" w:ascii="Times New Roman" w:hAnsi="Times New Roman" w:cs="Times New Roman"/>
                <w:spacing w:val="-2"/>
                <w:szCs w:val="18"/>
              </w:rPr>
            </w:pPr>
            <w:r>
              <w:rPr>
                <w:rFonts w:hint="default" w:ascii="Times New Roman" w:hAnsi="Times New Roman" w:cs="Times New Roman"/>
                <w:spacing w:val="-2"/>
                <w:szCs w:val="18"/>
              </w:rPr>
              <w:t>≥85</w:t>
            </w:r>
          </w:p>
        </w:tc>
        <w:tc>
          <w:tcPr>
            <w:tcW w:w="1306" w:type="pct"/>
            <w:tcBorders>
              <w:top w:val="single" w:color="auto" w:sz="12" w:space="0"/>
            </w:tcBorders>
          </w:tcPr>
          <w:p w14:paraId="3FB284A5">
            <w:pPr>
              <w:pStyle w:val="194"/>
              <w:rPr>
                <w:rFonts w:hint="default" w:ascii="Times New Roman" w:hAnsi="Times New Roman" w:cs="Times New Roman"/>
                <w:spacing w:val="-2"/>
                <w:szCs w:val="18"/>
              </w:rPr>
            </w:pPr>
            <w:r>
              <w:rPr>
                <w:rFonts w:hint="default" w:ascii="Times New Roman" w:hAnsi="Times New Roman" w:cs="Times New Roman"/>
                <w:spacing w:val="-2"/>
                <w:szCs w:val="18"/>
              </w:rPr>
              <w:t>≥80</w:t>
            </w:r>
          </w:p>
        </w:tc>
      </w:tr>
      <w:tr w14:paraId="0F46A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72" w:type="pct"/>
            <w:vMerge w:val="continue"/>
          </w:tcPr>
          <w:p w14:paraId="56A570CD">
            <w:pPr>
              <w:pStyle w:val="194"/>
              <w:rPr>
                <w:rFonts w:hint="default" w:ascii="Times New Roman" w:hAnsi="Times New Roman" w:cs="Times New Roman"/>
                <w:spacing w:val="-2"/>
                <w:szCs w:val="18"/>
              </w:rPr>
            </w:pPr>
          </w:p>
        </w:tc>
        <w:tc>
          <w:tcPr>
            <w:tcW w:w="1272" w:type="pct"/>
          </w:tcPr>
          <w:p w14:paraId="23E54B15">
            <w:pPr>
              <w:pStyle w:val="194"/>
              <w:rPr>
                <w:rFonts w:hint="default" w:ascii="Times New Roman" w:hAnsi="Times New Roman" w:cs="Times New Roman"/>
                <w:spacing w:val="-2"/>
                <w:szCs w:val="18"/>
              </w:rPr>
            </w:pPr>
            <w:r>
              <w:rPr>
                <w:rFonts w:hint="default" w:ascii="Times New Roman" w:hAnsi="Times New Roman" w:cs="Times New Roman"/>
                <w:spacing w:val="-2"/>
                <w:szCs w:val="18"/>
              </w:rPr>
              <w:t>RDI</w:t>
            </w:r>
          </w:p>
        </w:tc>
        <w:tc>
          <w:tcPr>
            <w:tcW w:w="1150" w:type="pct"/>
          </w:tcPr>
          <w:p w14:paraId="2E7E199B">
            <w:pPr>
              <w:pStyle w:val="194"/>
              <w:rPr>
                <w:rFonts w:hint="default" w:ascii="Times New Roman" w:hAnsi="Times New Roman" w:cs="Times New Roman"/>
                <w:spacing w:val="-2"/>
                <w:szCs w:val="18"/>
              </w:rPr>
            </w:pPr>
            <w:r>
              <w:rPr>
                <w:rFonts w:hint="default" w:ascii="Times New Roman" w:hAnsi="Times New Roman" w:cs="Times New Roman"/>
                <w:spacing w:val="-2"/>
                <w:szCs w:val="18"/>
              </w:rPr>
              <w:t>≥80</w:t>
            </w:r>
          </w:p>
        </w:tc>
        <w:tc>
          <w:tcPr>
            <w:tcW w:w="1306" w:type="pct"/>
          </w:tcPr>
          <w:p w14:paraId="36A912E5">
            <w:pPr>
              <w:pStyle w:val="194"/>
              <w:rPr>
                <w:rFonts w:hint="default" w:ascii="Times New Roman" w:hAnsi="Times New Roman" w:cs="Times New Roman"/>
                <w:spacing w:val="-2"/>
                <w:szCs w:val="18"/>
              </w:rPr>
            </w:pPr>
            <w:r>
              <w:rPr>
                <w:rFonts w:hint="default" w:ascii="Times New Roman" w:hAnsi="Times New Roman" w:cs="Times New Roman"/>
                <w:spacing w:val="-2"/>
                <w:szCs w:val="18"/>
              </w:rPr>
              <w:t>≥75</w:t>
            </w:r>
          </w:p>
        </w:tc>
      </w:tr>
    </w:tbl>
    <w:p w14:paraId="25B0102F">
      <w:pPr>
        <w:pStyle w:val="188"/>
        <w:numPr>
          <w:ilvl w:val="2"/>
          <w:numId w:val="0"/>
        </w:numPr>
        <w:spacing w:line="360" w:lineRule="auto"/>
        <w:ind w:left="0" w:leftChars="0" w:firstLine="241" w:firstLineChars="100"/>
        <w:rPr>
          <w:rFonts w:hint="default" w:ascii="Times New Roman" w:hAnsi="Times New Roman" w:eastAsia="宋体" w:cs="Times New Roman"/>
          <w:kern w:val="0"/>
          <w:sz w:val="24"/>
          <w:szCs w:val="20"/>
        </w:rPr>
      </w:pPr>
      <w:r>
        <w:rPr>
          <w:rFonts w:hint="eastAsia" w:ascii="Times New Roman" w:hAnsi="Times New Roman" w:eastAsia="宋体" w:cs="Times New Roman"/>
          <w:b/>
          <w:bCs/>
          <w:kern w:val="0"/>
          <w:sz w:val="24"/>
          <w:szCs w:val="20"/>
          <w:lang w:val="en-US" w:eastAsia="zh-CN" w:bidi="ar-SA"/>
        </w:rPr>
        <w:t>4</w:t>
      </w:r>
      <w:r>
        <w:rPr>
          <w:rFonts w:hint="default" w:ascii="Times New Roman" w:hAnsi="Times New Roman" w:eastAsia="宋体" w:cs="Times New Roman"/>
          <w:b/>
          <w:bCs/>
          <w:kern w:val="0"/>
          <w:sz w:val="24"/>
          <w:szCs w:val="20"/>
          <w:lang w:val="en-US" w:eastAsia="zh-CN" w:bidi="ar-SA"/>
        </w:rPr>
        <w:t>.2.3</w:t>
      </w:r>
      <w:r>
        <w:rPr>
          <w:rFonts w:hint="default" w:ascii="Times New Roman" w:hAnsi="Times New Roman" w:cs="Times New Roman"/>
          <w:sz w:val="24"/>
        </w:rPr>
        <w:t>冷拌超表处用于沥青路面养护工程时，在施工前应完成翻浆、坑槽、严重裂缝、沉陷、拥包、松散、车辙等病害的修复工作，并清除路面上的泥土杂物。</w:t>
      </w:r>
    </w:p>
    <w:p w14:paraId="6E69AD1E">
      <w:pPr>
        <w:pStyle w:val="188"/>
        <w:numPr>
          <w:ilvl w:val="2"/>
          <w:numId w:val="0"/>
        </w:numPr>
        <w:spacing w:line="360" w:lineRule="auto"/>
        <w:ind w:left="0" w:leftChars="0" w:firstLine="241" w:firstLineChars="100"/>
        <w:rPr>
          <w:rFonts w:hint="default" w:ascii="Times New Roman" w:hAnsi="Times New Roman" w:eastAsia="宋体" w:cs="Times New Roman"/>
          <w:kern w:val="0"/>
          <w:sz w:val="24"/>
          <w:szCs w:val="20"/>
        </w:rPr>
      </w:pPr>
      <w:r>
        <w:rPr>
          <w:rFonts w:hint="eastAsia" w:ascii="Times New Roman" w:hAnsi="Times New Roman" w:eastAsia="宋体" w:cs="Times New Roman"/>
          <w:b/>
          <w:bCs/>
          <w:kern w:val="0"/>
          <w:sz w:val="24"/>
          <w:szCs w:val="20"/>
          <w:lang w:val="en-US" w:eastAsia="zh-CN" w:bidi="ar-SA"/>
        </w:rPr>
        <w:t>4</w:t>
      </w:r>
      <w:r>
        <w:rPr>
          <w:rFonts w:hint="default" w:ascii="Times New Roman" w:hAnsi="Times New Roman" w:eastAsia="宋体" w:cs="Times New Roman"/>
          <w:b/>
          <w:bCs/>
          <w:kern w:val="0"/>
          <w:sz w:val="24"/>
          <w:szCs w:val="20"/>
          <w:lang w:val="en-US" w:eastAsia="zh-CN" w:bidi="ar-SA"/>
        </w:rPr>
        <w:t>.2.4</w:t>
      </w:r>
      <w:r>
        <w:rPr>
          <w:rFonts w:hint="default" w:ascii="Times New Roman" w:hAnsi="Times New Roman" w:eastAsia="宋体" w:cs="Times New Roman"/>
          <w:kern w:val="0"/>
          <w:sz w:val="24"/>
          <w:szCs w:val="20"/>
        </w:rPr>
        <w:t>原路面深度在10mm以下的车辙可直接加铺冷拌超表处，深度在10mm以上的车辙需经处理后才可加铺冷拌超表处。原路面所有裂缝均需进行灌缝处置。</w:t>
      </w:r>
    </w:p>
    <w:p w14:paraId="67235421">
      <w:pPr>
        <w:pStyle w:val="188"/>
        <w:numPr>
          <w:ilvl w:val="2"/>
          <w:numId w:val="0"/>
        </w:numPr>
        <w:spacing w:line="360" w:lineRule="auto"/>
        <w:ind w:left="0" w:leftChars="0" w:firstLine="241" w:firstLineChars="100"/>
        <w:rPr>
          <w:rFonts w:hint="default" w:ascii="Times New Roman" w:hAnsi="Times New Roman" w:eastAsia="宋体" w:cs="Times New Roman"/>
          <w:kern w:val="0"/>
          <w:sz w:val="24"/>
          <w:szCs w:val="20"/>
        </w:rPr>
      </w:pPr>
      <w:r>
        <w:rPr>
          <w:rFonts w:hint="eastAsia" w:ascii="Times New Roman" w:hAnsi="Times New Roman" w:eastAsia="宋体" w:cs="Times New Roman"/>
          <w:b/>
          <w:bCs/>
          <w:kern w:val="0"/>
          <w:sz w:val="24"/>
          <w:szCs w:val="20"/>
          <w:lang w:val="en-US" w:eastAsia="zh-CN" w:bidi="ar-SA"/>
        </w:rPr>
        <w:t>4</w:t>
      </w:r>
      <w:r>
        <w:rPr>
          <w:rFonts w:hint="default" w:ascii="Times New Roman" w:hAnsi="Times New Roman" w:eastAsia="宋体" w:cs="Times New Roman"/>
          <w:b/>
          <w:bCs/>
          <w:kern w:val="0"/>
          <w:sz w:val="24"/>
          <w:szCs w:val="20"/>
          <w:lang w:val="en-US" w:eastAsia="zh-CN" w:bidi="ar-SA"/>
        </w:rPr>
        <w:t>.2.5</w:t>
      </w:r>
      <w:r>
        <w:rPr>
          <w:rFonts w:hint="default" w:ascii="Times New Roman" w:hAnsi="Times New Roman" w:eastAsia="宋体" w:cs="Times New Roman"/>
          <w:kern w:val="0"/>
          <w:sz w:val="24"/>
          <w:szCs w:val="20"/>
        </w:rPr>
        <w:t>原路面应具有足够的结构强度，局部结构强度不足的，应根据具体情况选择合适的方法进行补强。</w:t>
      </w:r>
      <w:r>
        <w:rPr>
          <w:rFonts w:hint="default" w:ascii="Times New Roman" w:hAnsi="Times New Roman" w:eastAsia="宋体" w:cs="Times New Roman"/>
          <w:kern w:val="0"/>
          <w:sz w:val="24"/>
          <w:szCs w:val="20"/>
        </w:rPr>
        <w:tab/>
      </w:r>
      <w:r>
        <w:rPr>
          <w:rFonts w:hint="default" w:ascii="Times New Roman" w:hAnsi="Times New Roman" w:eastAsia="宋体" w:cs="Times New Roman"/>
          <w:kern w:val="0"/>
          <w:sz w:val="24"/>
          <w:szCs w:val="20"/>
        </w:rPr>
        <w:tab/>
      </w:r>
    </w:p>
    <w:p w14:paraId="5177BED3">
      <w:pPr>
        <w:spacing w:line="360" w:lineRule="auto"/>
        <w:rPr>
          <w:rFonts w:hint="default" w:ascii="Times New Roman" w:hAnsi="Times New Roman" w:cs="Times New Roman"/>
          <w:kern w:val="0"/>
          <w:sz w:val="24"/>
          <w:szCs w:val="20"/>
        </w:rPr>
        <w:sectPr>
          <w:headerReference r:id="rId13" w:type="even"/>
          <w:pgSz w:w="11906" w:h="16838"/>
          <w:pgMar w:top="1440" w:right="1800" w:bottom="1440" w:left="1800" w:header="850" w:footer="992" w:gutter="0"/>
          <w:cols w:space="425" w:num="1"/>
          <w:formProt w:val="0"/>
          <w:docGrid w:type="lines" w:linePitch="312" w:charSpace="0"/>
        </w:sectPr>
      </w:pPr>
    </w:p>
    <w:p w14:paraId="79E07D24">
      <w:pPr>
        <w:pStyle w:val="54"/>
        <w:numPr>
          <w:ilvl w:val="0"/>
          <w:numId w:val="0"/>
        </w:numPr>
        <w:spacing w:beforeLines="0" w:afterLines="0" w:line="360" w:lineRule="auto"/>
        <w:ind w:left="360" w:leftChars="0" w:hanging="360" w:firstLineChars="0"/>
        <w:outlineLvl w:val="0"/>
        <w:rPr>
          <w:rFonts w:hint="default" w:ascii="Times New Roman" w:hAnsi="Times New Roman" w:cs="Times New Roman" w:eastAsiaTheme="minorEastAsia"/>
          <w:b/>
          <w:bCs/>
          <w:sz w:val="32"/>
          <w:szCs w:val="22"/>
        </w:rPr>
      </w:pPr>
      <w:bookmarkStart w:id="21" w:name="_Toc24997"/>
      <w:bookmarkStart w:id="22" w:name="_Toc179636655"/>
      <w:bookmarkStart w:id="23" w:name="_Toc126742836"/>
      <w:r>
        <w:rPr>
          <w:rFonts w:hint="eastAsia" w:ascii="Times New Roman" w:cs="Times New Roman" w:eastAsiaTheme="minorEastAsia"/>
          <w:b/>
          <w:bCs/>
          <w:sz w:val="32"/>
          <w:szCs w:val="22"/>
          <w:lang w:val="en-US" w:eastAsia="zh-CN" w:bidi="ar-SA"/>
        </w:rPr>
        <w:t>5</w:t>
      </w:r>
      <w:r>
        <w:rPr>
          <w:rFonts w:hint="default" w:ascii="Times New Roman" w:hAnsi="Times New Roman" w:cs="Times New Roman" w:eastAsiaTheme="minorEastAsia"/>
          <w:b/>
          <w:bCs/>
          <w:sz w:val="32"/>
          <w:szCs w:val="22"/>
        </w:rPr>
        <w:t>材料</w:t>
      </w:r>
      <w:bookmarkEnd w:id="21"/>
      <w:bookmarkEnd w:id="22"/>
    </w:p>
    <w:p w14:paraId="342DBBC6">
      <w:pPr>
        <w:pStyle w:val="51"/>
        <w:numPr>
          <w:ilvl w:val="1"/>
          <w:numId w:val="0"/>
        </w:numPr>
        <w:spacing w:beforeLines="0" w:afterLines="0" w:line="360" w:lineRule="auto"/>
        <w:ind w:left="360" w:leftChars="0" w:hanging="360" w:firstLineChars="0"/>
        <w:outlineLvl w:val="1"/>
        <w:rPr>
          <w:rFonts w:hint="default" w:ascii="Times New Roman" w:hAnsi="Times New Roman" w:eastAsia="宋体" w:cs="Times New Roman"/>
          <w:b/>
          <w:bCs/>
          <w:sz w:val="24"/>
        </w:rPr>
      </w:pPr>
      <w:bookmarkStart w:id="24" w:name="_Toc6658"/>
      <w:r>
        <w:rPr>
          <w:rFonts w:hint="eastAsia" w:ascii="Times New Roman" w:eastAsia="宋体" w:cs="Times New Roman"/>
          <w:b/>
          <w:bCs/>
          <w:sz w:val="24"/>
          <w:szCs w:val="21"/>
          <w:lang w:val="en-US" w:eastAsia="zh-CN" w:bidi="ar-SA"/>
        </w:rPr>
        <w:t>5</w:t>
      </w:r>
      <w:r>
        <w:rPr>
          <w:rFonts w:hint="default" w:ascii="Times New Roman" w:hAnsi="Times New Roman" w:eastAsia="宋体" w:cs="Times New Roman"/>
          <w:b/>
          <w:bCs/>
          <w:sz w:val="24"/>
          <w:szCs w:val="21"/>
          <w:lang w:val="en-US" w:eastAsia="zh-CN" w:bidi="ar-SA"/>
        </w:rPr>
        <w:t>.1</w:t>
      </w:r>
      <w:r>
        <w:rPr>
          <w:rFonts w:hint="default" w:ascii="Times New Roman" w:hAnsi="Times New Roman" w:eastAsia="宋体" w:cs="Times New Roman"/>
          <w:b/>
          <w:bCs/>
          <w:sz w:val="24"/>
        </w:rPr>
        <w:t>高黏度改性乳化沥青</w:t>
      </w:r>
      <w:bookmarkEnd w:id="24"/>
    </w:p>
    <w:p w14:paraId="598971C5">
      <w:pPr>
        <w:pStyle w:val="188"/>
        <w:numPr>
          <w:ilvl w:val="2"/>
          <w:numId w:val="0"/>
        </w:numPr>
        <w:spacing w:line="360" w:lineRule="auto"/>
        <w:ind w:left="720" w:leftChars="0" w:hanging="436" w:firstLineChars="0"/>
        <w:rPr>
          <w:rFonts w:hint="default" w:ascii="Times New Roman" w:hAnsi="Times New Roman" w:eastAsia="宋体" w:cs="Times New Roman"/>
          <w:kern w:val="0"/>
          <w:sz w:val="24"/>
          <w:szCs w:val="20"/>
        </w:rPr>
      </w:pPr>
      <w:r>
        <w:rPr>
          <w:rFonts w:hint="eastAsia" w:ascii="Times New Roman" w:hAnsi="Times New Roman" w:eastAsia="宋体" w:cs="Times New Roman"/>
          <w:b/>
          <w:bCs/>
          <w:kern w:val="0"/>
          <w:sz w:val="24"/>
          <w:szCs w:val="20"/>
          <w:lang w:val="en-US" w:eastAsia="zh-CN" w:bidi="ar-SA"/>
        </w:rPr>
        <w:t>5</w:t>
      </w:r>
      <w:r>
        <w:rPr>
          <w:rFonts w:hint="default" w:ascii="Times New Roman" w:hAnsi="Times New Roman" w:eastAsia="宋体" w:cs="Times New Roman"/>
          <w:b/>
          <w:bCs/>
          <w:kern w:val="0"/>
          <w:sz w:val="24"/>
          <w:szCs w:val="20"/>
          <w:lang w:val="en-US" w:eastAsia="zh-CN" w:bidi="ar-SA"/>
        </w:rPr>
        <w:t>.1.1</w:t>
      </w:r>
      <w:r>
        <w:rPr>
          <w:rFonts w:hint="default" w:ascii="Times New Roman" w:hAnsi="Times New Roman" w:eastAsia="宋体" w:cs="Times New Roman"/>
          <w:kern w:val="0"/>
          <w:sz w:val="24"/>
          <w:szCs w:val="20"/>
        </w:rPr>
        <w:t>高黏度改性乳化沥青应满足表</w:t>
      </w:r>
      <w:r>
        <w:rPr>
          <w:rFonts w:hint="eastAsia" w:ascii="Times New Roman" w:hAnsi="Times New Roman" w:eastAsia="宋体" w:cs="Times New Roman"/>
          <w:kern w:val="0"/>
          <w:sz w:val="24"/>
          <w:szCs w:val="20"/>
          <w:lang w:val="en-US" w:eastAsia="zh-CN"/>
        </w:rPr>
        <w:t>5</w:t>
      </w:r>
      <w:r>
        <w:rPr>
          <w:rFonts w:hint="default" w:ascii="Times New Roman" w:hAnsi="Times New Roman" w:eastAsia="宋体" w:cs="Times New Roman"/>
          <w:kern w:val="0"/>
          <w:sz w:val="24"/>
          <w:szCs w:val="20"/>
        </w:rPr>
        <w:t>.1.1所示的规定。</w:t>
      </w:r>
    </w:p>
    <w:p w14:paraId="08DE806A">
      <w:pPr>
        <w:pStyle w:val="192"/>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w:t>
      </w:r>
      <w:r>
        <w:rPr>
          <w:rFonts w:hint="eastAsia" w:eastAsia="黑体" w:cs="Times New Roman"/>
          <w:sz w:val="21"/>
          <w:szCs w:val="21"/>
          <w:lang w:val="en-US" w:eastAsia="zh-CN"/>
        </w:rPr>
        <w:t>5</w:t>
      </w:r>
      <w:r>
        <w:rPr>
          <w:rFonts w:hint="default" w:ascii="Times New Roman" w:hAnsi="Times New Roman" w:eastAsia="黑体" w:cs="Times New Roman"/>
          <w:sz w:val="21"/>
          <w:szCs w:val="21"/>
        </w:rPr>
        <w:t>.1.1 高黏度改性乳化沥青技术指标</w:t>
      </w:r>
    </w:p>
    <w:tbl>
      <w:tblPr>
        <w:tblStyle w:val="4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0"/>
        <w:gridCol w:w="2190"/>
        <w:gridCol w:w="1062"/>
        <w:gridCol w:w="1691"/>
        <w:gridCol w:w="1989"/>
      </w:tblGrid>
      <w:tr w14:paraId="043D5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218" w:type="pct"/>
            <w:gridSpan w:val="2"/>
            <w:tcBorders>
              <w:top w:val="single" w:color="000000" w:sz="12" w:space="0"/>
              <w:bottom w:val="single" w:color="000000" w:sz="12" w:space="0"/>
            </w:tcBorders>
            <w:shd w:val="clear" w:color="auto" w:fill="auto"/>
            <w:vAlign w:val="center"/>
          </w:tcPr>
          <w:p w14:paraId="5AF120E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试验项目</w:t>
            </w:r>
          </w:p>
        </w:tc>
        <w:tc>
          <w:tcPr>
            <w:tcW w:w="623" w:type="pct"/>
            <w:tcBorders>
              <w:top w:val="single" w:color="000000" w:sz="12" w:space="0"/>
              <w:bottom w:val="single" w:color="000000" w:sz="12" w:space="0"/>
            </w:tcBorders>
            <w:shd w:val="clear" w:color="auto" w:fill="auto"/>
            <w:vAlign w:val="center"/>
          </w:tcPr>
          <w:p w14:paraId="6F88E356">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单位</w:t>
            </w:r>
          </w:p>
        </w:tc>
        <w:tc>
          <w:tcPr>
            <w:tcW w:w="992" w:type="pct"/>
            <w:tcBorders>
              <w:top w:val="single" w:color="000000" w:sz="12" w:space="0"/>
              <w:bottom w:val="single" w:color="000000" w:sz="12" w:space="0"/>
            </w:tcBorders>
            <w:shd w:val="clear" w:color="auto" w:fill="auto"/>
            <w:vAlign w:val="center"/>
          </w:tcPr>
          <w:p w14:paraId="71863FC4">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技术要求</w:t>
            </w:r>
          </w:p>
        </w:tc>
        <w:tc>
          <w:tcPr>
            <w:tcW w:w="1167" w:type="pct"/>
            <w:tcBorders>
              <w:top w:val="single" w:color="000000" w:sz="12" w:space="0"/>
              <w:bottom w:val="single" w:color="000000" w:sz="12" w:space="0"/>
            </w:tcBorders>
            <w:shd w:val="clear" w:color="auto" w:fill="auto"/>
            <w:vAlign w:val="center"/>
          </w:tcPr>
          <w:p w14:paraId="4649473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试验方法</w:t>
            </w:r>
          </w:p>
        </w:tc>
      </w:tr>
      <w:tr w14:paraId="5470B3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restart"/>
            <w:tcBorders>
              <w:top w:val="single" w:color="000000" w:sz="12" w:space="0"/>
            </w:tcBorders>
            <w:shd w:val="clear" w:color="auto" w:fill="auto"/>
            <w:vAlign w:val="center"/>
          </w:tcPr>
          <w:p w14:paraId="4095D167">
            <w:pPr>
              <w:widowControl/>
              <w:jc w:val="center"/>
              <w:rPr>
                <w:rFonts w:hint="default" w:ascii="Times New Roman" w:hAnsi="Times New Roman" w:cs="Times New Roman"/>
                <w:bCs/>
                <w:kern w:val="0"/>
                <w:szCs w:val="21"/>
              </w:rPr>
            </w:pPr>
            <w:r>
              <w:rPr>
                <w:rFonts w:hint="default" w:ascii="Times New Roman" w:hAnsi="Times New Roman" w:cs="Times New Roman"/>
                <w:bCs/>
                <w:kern w:val="0"/>
                <w:szCs w:val="21"/>
              </w:rPr>
              <w:t>粘度</w:t>
            </w:r>
            <w:r>
              <w:rPr>
                <w:rFonts w:hint="default" w:ascii="Times New Roman" w:hAnsi="Times New Roman" w:cs="Times New Roman"/>
                <w:bCs/>
                <w:kern w:val="0"/>
                <w:szCs w:val="21"/>
                <w:vertAlign w:val="superscript"/>
              </w:rPr>
              <w:t>①</w:t>
            </w:r>
          </w:p>
        </w:tc>
        <w:tc>
          <w:tcPr>
            <w:tcW w:w="1285" w:type="pct"/>
            <w:tcBorders>
              <w:top w:val="single" w:color="000000" w:sz="12" w:space="0"/>
            </w:tcBorders>
            <w:shd w:val="clear" w:color="auto" w:fill="auto"/>
          </w:tcPr>
          <w:p w14:paraId="4E8F3E80">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恩格拉粘度 E</w:t>
            </w:r>
            <w:r>
              <w:rPr>
                <w:rFonts w:hint="default" w:ascii="Times New Roman" w:hAnsi="Times New Roman" w:cs="Times New Roman"/>
                <w:kern w:val="0"/>
                <w:szCs w:val="21"/>
                <w:vertAlign w:val="subscript"/>
              </w:rPr>
              <w:t>25</w:t>
            </w:r>
          </w:p>
        </w:tc>
        <w:tc>
          <w:tcPr>
            <w:tcW w:w="623" w:type="pct"/>
            <w:tcBorders>
              <w:top w:val="single" w:color="000000" w:sz="12" w:space="0"/>
            </w:tcBorders>
            <w:shd w:val="clear" w:color="auto" w:fill="auto"/>
          </w:tcPr>
          <w:p w14:paraId="685D856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w:t>
            </w:r>
          </w:p>
        </w:tc>
        <w:tc>
          <w:tcPr>
            <w:tcW w:w="992" w:type="pct"/>
            <w:tcBorders>
              <w:top w:val="single" w:color="000000" w:sz="12" w:space="0"/>
            </w:tcBorders>
            <w:shd w:val="clear" w:color="auto" w:fill="auto"/>
          </w:tcPr>
          <w:p w14:paraId="66D460AA">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3～30</w:t>
            </w:r>
          </w:p>
        </w:tc>
        <w:tc>
          <w:tcPr>
            <w:tcW w:w="1167" w:type="pct"/>
            <w:tcBorders>
              <w:top w:val="single" w:color="000000" w:sz="12" w:space="0"/>
            </w:tcBorders>
            <w:shd w:val="clear" w:color="auto" w:fill="auto"/>
          </w:tcPr>
          <w:p w14:paraId="7C8D5131">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T0622</w:t>
            </w:r>
          </w:p>
        </w:tc>
      </w:tr>
      <w:tr w14:paraId="6481E7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continue"/>
            <w:shd w:val="clear" w:color="auto" w:fill="auto"/>
          </w:tcPr>
          <w:p w14:paraId="029667E5">
            <w:pPr>
              <w:widowControl/>
              <w:jc w:val="left"/>
              <w:rPr>
                <w:rFonts w:hint="default" w:ascii="Times New Roman" w:hAnsi="Times New Roman" w:cs="Times New Roman"/>
                <w:bCs/>
                <w:kern w:val="0"/>
                <w:szCs w:val="21"/>
              </w:rPr>
            </w:pPr>
          </w:p>
        </w:tc>
        <w:tc>
          <w:tcPr>
            <w:tcW w:w="1285" w:type="pct"/>
            <w:shd w:val="clear" w:color="auto" w:fill="auto"/>
          </w:tcPr>
          <w:p w14:paraId="5F1C658D">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沥青标准粘度C</w:t>
            </w:r>
            <w:r>
              <w:rPr>
                <w:rFonts w:hint="default" w:ascii="Times New Roman" w:hAnsi="Times New Roman" w:cs="Times New Roman"/>
                <w:kern w:val="0"/>
                <w:szCs w:val="21"/>
                <w:vertAlign w:val="subscript"/>
              </w:rPr>
              <w:t>25，3</w:t>
            </w:r>
          </w:p>
        </w:tc>
        <w:tc>
          <w:tcPr>
            <w:tcW w:w="623" w:type="pct"/>
            <w:shd w:val="clear" w:color="auto" w:fill="auto"/>
          </w:tcPr>
          <w:p w14:paraId="5F70B641">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s</w:t>
            </w:r>
          </w:p>
          <w:p w14:paraId="020CB8E7">
            <w:pPr>
              <w:rPr>
                <w:rFonts w:hint="default" w:ascii="Times New Roman" w:hAnsi="Times New Roman" w:cs="Times New Roman"/>
                <w:szCs w:val="21"/>
              </w:rPr>
            </w:pPr>
          </w:p>
        </w:tc>
        <w:tc>
          <w:tcPr>
            <w:tcW w:w="992" w:type="pct"/>
            <w:shd w:val="clear" w:color="auto" w:fill="auto"/>
          </w:tcPr>
          <w:p w14:paraId="3D1E2EDD">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12～60</w:t>
            </w:r>
          </w:p>
        </w:tc>
        <w:tc>
          <w:tcPr>
            <w:tcW w:w="1167" w:type="pct"/>
            <w:shd w:val="clear" w:color="auto" w:fill="auto"/>
          </w:tcPr>
          <w:p w14:paraId="49F8AFED">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T0621</w:t>
            </w:r>
          </w:p>
        </w:tc>
      </w:tr>
      <w:tr w14:paraId="7C6FDB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restart"/>
            <w:shd w:val="clear" w:color="auto" w:fill="auto"/>
            <w:vAlign w:val="center"/>
          </w:tcPr>
          <w:p w14:paraId="668F49AB">
            <w:pPr>
              <w:widowControl/>
              <w:jc w:val="center"/>
              <w:rPr>
                <w:rFonts w:hint="default" w:ascii="Times New Roman" w:hAnsi="Times New Roman" w:cs="Times New Roman"/>
                <w:bCs/>
                <w:kern w:val="0"/>
                <w:szCs w:val="21"/>
              </w:rPr>
            </w:pPr>
            <w:r>
              <w:rPr>
                <w:rFonts w:hint="default" w:ascii="Times New Roman" w:hAnsi="Times New Roman" w:cs="Times New Roman"/>
                <w:bCs/>
                <w:kern w:val="0"/>
                <w:szCs w:val="21"/>
              </w:rPr>
              <w:t>蒸发残留物</w:t>
            </w:r>
          </w:p>
        </w:tc>
        <w:tc>
          <w:tcPr>
            <w:tcW w:w="1285" w:type="pct"/>
            <w:shd w:val="clear" w:color="auto" w:fill="auto"/>
          </w:tcPr>
          <w:p w14:paraId="220A2387">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蒸发残留物含量</w:t>
            </w:r>
          </w:p>
        </w:tc>
        <w:tc>
          <w:tcPr>
            <w:tcW w:w="623" w:type="pct"/>
            <w:shd w:val="clear" w:color="auto" w:fill="auto"/>
          </w:tcPr>
          <w:p w14:paraId="7A01B5ED">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w:t>
            </w:r>
          </w:p>
        </w:tc>
        <w:tc>
          <w:tcPr>
            <w:tcW w:w="992" w:type="pct"/>
            <w:shd w:val="clear" w:color="auto" w:fill="auto"/>
          </w:tcPr>
          <w:p w14:paraId="2EAD34AB">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≥60</w:t>
            </w:r>
          </w:p>
        </w:tc>
        <w:tc>
          <w:tcPr>
            <w:tcW w:w="1167" w:type="pct"/>
            <w:shd w:val="clear" w:color="auto" w:fill="auto"/>
          </w:tcPr>
          <w:p w14:paraId="45CA496E">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T0651</w:t>
            </w:r>
          </w:p>
        </w:tc>
      </w:tr>
      <w:tr w14:paraId="17628F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continue"/>
            <w:shd w:val="clear" w:color="auto" w:fill="auto"/>
          </w:tcPr>
          <w:p w14:paraId="6A439AFA">
            <w:pPr>
              <w:widowControl/>
              <w:jc w:val="left"/>
              <w:rPr>
                <w:rFonts w:hint="default" w:ascii="Times New Roman" w:hAnsi="Times New Roman" w:cs="Times New Roman"/>
                <w:bCs/>
                <w:kern w:val="0"/>
                <w:szCs w:val="21"/>
              </w:rPr>
            </w:pPr>
          </w:p>
        </w:tc>
        <w:tc>
          <w:tcPr>
            <w:tcW w:w="1285" w:type="pct"/>
            <w:shd w:val="clear" w:color="auto" w:fill="auto"/>
          </w:tcPr>
          <w:p w14:paraId="3E9D69E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软化点（T</w:t>
            </w:r>
            <w:r>
              <w:rPr>
                <w:rFonts w:hint="default" w:ascii="Times New Roman" w:hAnsi="Times New Roman" w:cs="Times New Roman"/>
                <w:kern w:val="0"/>
                <w:szCs w:val="21"/>
                <w:vertAlign w:val="subscript"/>
              </w:rPr>
              <w:t>R&amp;B</w:t>
            </w:r>
            <w:r>
              <w:rPr>
                <w:rFonts w:hint="default" w:ascii="Times New Roman" w:hAnsi="Times New Roman" w:cs="Times New Roman"/>
                <w:kern w:val="0"/>
                <w:szCs w:val="21"/>
              </w:rPr>
              <w:t>）</w:t>
            </w:r>
          </w:p>
        </w:tc>
        <w:tc>
          <w:tcPr>
            <w:tcW w:w="623" w:type="pct"/>
            <w:shd w:val="clear" w:color="auto" w:fill="auto"/>
          </w:tcPr>
          <w:p w14:paraId="37F55B4D">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w:t>
            </w:r>
          </w:p>
        </w:tc>
        <w:tc>
          <w:tcPr>
            <w:tcW w:w="992" w:type="pct"/>
            <w:shd w:val="clear" w:color="auto" w:fill="auto"/>
          </w:tcPr>
          <w:p w14:paraId="5ABC6745">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≥85</w:t>
            </w:r>
          </w:p>
        </w:tc>
        <w:tc>
          <w:tcPr>
            <w:tcW w:w="1167" w:type="pct"/>
            <w:shd w:val="clear" w:color="auto" w:fill="auto"/>
          </w:tcPr>
          <w:p w14:paraId="08D2BB27">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T0606</w:t>
            </w:r>
          </w:p>
        </w:tc>
      </w:tr>
      <w:tr w14:paraId="71DC3C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continue"/>
            <w:shd w:val="clear" w:color="auto" w:fill="auto"/>
          </w:tcPr>
          <w:p w14:paraId="3B15BA70">
            <w:pPr>
              <w:widowControl/>
              <w:jc w:val="left"/>
              <w:rPr>
                <w:rFonts w:hint="default" w:ascii="Times New Roman" w:hAnsi="Times New Roman" w:cs="Times New Roman"/>
                <w:bCs/>
                <w:kern w:val="0"/>
                <w:szCs w:val="21"/>
              </w:rPr>
            </w:pPr>
          </w:p>
        </w:tc>
        <w:tc>
          <w:tcPr>
            <w:tcW w:w="1285" w:type="pct"/>
            <w:shd w:val="clear" w:color="auto" w:fill="auto"/>
          </w:tcPr>
          <w:p w14:paraId="4B9E2BAF">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 xml:space="preserve">延度（5℃） </w:t>
            </w:r>
          </w:p>
        </w:tc>
        <w:tc>
          <w:tcPr>
            <w:tcW w:w="623" w:type="pct"/>
            <w:shd w:val="clear" w:color="auto" w:fill="auto"/>
          </w:tcPr>
          <w:p w14:paraId="0DFEBFFB">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cm</w:t>
            </w:r>
          </w:p>
        </w:tc>
        <w:tc>
          <w:tcPr>
            <w:tcW w:w="992" w:type="pct"/>
            <w:shd w:val="clear" w:color="auto" w:fill="auto"/>
          </w:tcPr>
          <w:p w14:paraId="0117A6C7">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≥50</w:t>
            </w:r>
          </w:p>
        </w:tc>
        <w:tc>
          <w:tcPr>
            <w:tcW w:w="1167" w:type="pct"/>
            <w:shd w:val="clear" w:color="auto" w:fill="auto"/>
          </w:tcPr>
          <w:p w14:paraId="0365C250">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T0605</w:t>
            </w:r>
          </w:p>
        </w:tc>
      </w:tr>
      <w:tr w14:paraId="32BCF1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continue"/>
            <w:shd w:val="clear" w:color="auto" w:fill="auto"/>
          </w:tcPr>
          <w:p w14:paraId="2904EE86">
            <w:pPr>
              <w:widowControl/>
              <w:jc w:val="left"/>
              <w:rPr>
                <w:rFonts w:hint="default" w:ascii="Times New Roman" w:hAnsi="Times New Roman" w:cs="Times New Roman"/>
                <w:bCs/>
                <w:kern w:val="0"/>
                <w:szCs w:val="21"/>
              </w:rPr>
            </w:pPr>
          </w:p>
        </w:tc>
        <w:tc>
          <w:tcPr>
            <w:tcW w:w="1285" w:type="pct"/>
            <w:shd w:val="clear" w:color="auto" w:fill="auto"/>
          </w:tcPr>
          <w:p w14:paraId="3D3F5562">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弹性恢复（25℃）</w:t>
            </w:r>
          </w:p>
        </w:tc>
        <w:tc>
          <w:tcPr>
            <w:tcW w:w="623" w:type="pct"/>
            <w:shd w:val="clear" w:color="auto" w:fill="auto"/>
          </w:tcPr>
          <w:p w14:paraId="41BB6E1D">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w:t>
            </w:r>
          </w:p>
        </w:tc>
        <w:tc>
          <w:tcPr>
            <w:tcW w:w="992" w:type="pct"/>
            <w:shd w:val="clear" w:color="auto" w:fill="auto"/>
          </w:tcPr>
          <w:p w14:paraId="4E7C1C63">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≥95</w:t>
            </w:r>
          </w:p>
        </w:tc>
        <w:tc>
          <w:tcPr>
            <w:tcW w:w="1167" w:type="pct"/>
            <w:shd w:val="clear" w:color="auto" w:fill="auto"/>
          </w:tcPr>
          <w:p w14:paraId="0A59D13E">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T0662</w:t>
            </w:r>
          </w:p>
        </w:tc>
      </w:tr>
      <w:tr w14:paraId="7B8189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continue"/>
            <w:shd w:val="clear" w:color="auto" w:fill="auto"/>
          </w:tcPr>
          <w:p w14:paraId="1592E509">
            <w:pPr>
              <w:widowControl/>
              <w:jc w:val="left"/>
              <w:rPr>
                <w:rFonts w:hint="default" w:ascii="Times New Roman" w:hAnsi="Times New Roman" w:cs="Times New Roman"/>
                <w:bCs/>
                <w:kern w:val="0"/>
                <w:szCs w:val="21"/>
              </w:rPr>
            </w:pPr>
          </w:p>
        </w:tc>
        <w:tc>
          <w:tcPr>
            <w:tcW w:w="1285" w:type="pct"/>
            <w:shd w:val="clear" w:color="auto" w:fill="auto"/>
            <w:vAlign w:val="center"/>
          </w:tcPr>
          <w:p w14:paraId="3F694A09">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60℃动力黏度</w:t>
            </w:r>
          </w:p>
        </w:tc>
        <w:tc>
          <w:tcPr>
            <w:tcW w:w="623" w:type="pct"/>
            <w:shd w:val="clear" w:color="auto" w:fill="auto"/>
            <w:vAlign w:val="center"/>
          </w:tcPr>
          <w:p w14:paraId="454A04D9">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w:t>
            </w:r>
          </w:p>
        </w:tc>
        <w:tc>
          <w:tcPr>
            <w:tcW w:w="992" w:type="pct"/>
            <w:shd w:val="clear" w:color="auto" w:fill="auto"/>
            <w:vAlign w:val="center"/>
          </w:tcPr>
          <w:p w14:paraId="43A8E0E8">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≥20000</w:t>
            </w:r>
          </w:p>
        </w:tc>
        <w:tc>
          <w:tcPr>
            <w:tcW w:w="1167" w:type="pct"/>
            <w:shd w:val="clear" w:color="auto" w:fill="auto"/>
            <w:vAlign w:val="center"/>
          </w:tcPr>
          <w:p w14:paraId="40C90996">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T0620</w:t>
            </w:r>
          </w:p>
        </w:tc>
      </w:tr>
      <w:tr w14:paraId="22B1DB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restart"/>
            <w:shd w:val="clear" w:color="auto" w:fill="auto"/>
            <w:vAlign w:val="center"/>
          </w:tcPr>
          <w:p w14:paraId="33773F7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储存稳定性</w:t>
            </w:r>
            <w:r>
              <w:rPr>
                <w:rFonts w:hint="default" w:ascii="Times New Roman" w:hAnsi="Times New Roman" w:cs="Times New Roman"/>
                <w:kern w:val="0"/>
                <w:szCs w:val="21"/>
                <w:vertAlign w:val="superscript"/>
              </w:rPr>
              <w:t>②</w:t>
            </w:r>
          </w:p>
        </w:tc>
        <w:tc>
          <w:tcPr>
            <w:tcW w:w="1285" w:type="pct"/>
            <w:shd w:val="clear" w:color="auto" w:fill="auto"/>
          </w:tcPr>
          <w:p w14:paraId="00CB5962">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 d</w:t>
            </w:r>
          </w:p>
        </w:tc>
        <w:tc>
          <w:tcPr>
            <w:tcW w:w="623" w:type="pct"/>
            <w:shd w:val="clear" w:color="auto" w:fill="auto"/>
          </w:tcPr>
          <w:p w14:paraId="1430B635">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w:t>
            </w:r>
          </w:p>
        </w:tc>
        <w:tc>
          <w:tcPr>
            <w:tcW w:w="992" w:type="pct"/>
            <w:shd w:val="clear" w:color="auto" w:fill="auto"/>
          </w:tcPr>
          <w:p w14:paraId="2BCACC2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1167" w:type="pct"/>
            <w:vMerge w:val="restart"/>
            <w:shd w:val="clear" w:color="auto" w:fill="auto"/>
            <w:vAlign w:val="center"/>
          </w:tcPr>
          <w:p w14:paraId="1E078CD0">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T0655</w:t>
            </w:r>
          </w:p>
        </w:tc>
      </w:tr>
      <w:tr w14:paraId="2480BE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vMerge w:val="continue"/>
            <w:shd w:val="clear" w:color="auto" w:fill="auto"/>
          </w:tcPr>
          <w:p w14:paraId="1C2E1905">
            <w:pPr>
              <w:widowControl/>
              <w:jc w:val="left"/>
              <w:rPr>
                <w:rFonts w:hint="default" w:ascii="Times New Roman" w:hAnsi="Times New Roman" w:cs="Times New Roman"/>
                <w:bCs/>
                <w:kern w:val="0"/>
                <w:szCs w:val="21"/>
              </w:rPr>
            </w:pPr>
          </w:p>
        </w:tc>
        <w:tc>
          <w:tcPr>
            <w:tcW w:w="1285" w:type="pct"/>
            <w:shd w:val="clear" w:color="auto" w:fill="auto"/>
          </w:tcPr>
          <w:p w14:paraId="2F829DF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5 d</w:t>
            </w:r>
          </w:p>
        </w:tc>
        <w:tc>
          <w:tcPr>
            <w:tcW w:w="623" w:type="pct"/>
            <w:shd w:val="clear" w:color="auto" w:fill="auto"/>
          </w:tcPr>
          <w:p w14:paraId="40F3A17A">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w:t>
            </w:r>
          </w:p>
        </w:tc>
        <w:tc>
          <w:tcPr>
            <w:tcW w:w="992" w:type="pct"/>
            <w:shd w:val="clear" w:color="auto" w:fill="auto"/>
          </w:tcPr>
          <w:p w14:paraId="5D86AE1B">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1167" w:type="pct"/>
            <w:vMerge w:val="continue"/>
            <w:shd w:val="clear" w:color="auto" w:fill="auto"/>
          </w:tcPr>
          <w:p w14:paraId="12D22FCE">
            <w:pPr>
              <w:widowControl/>
              <w:jc w:val="center"/>
              <w:rPr>
                <w:rFonts w:hint="default" w:ascii="Times New Roman" w:hAnsi="Times New Roman" w:cs="Times New Roman"/>
                <w:kern w:val="0"/>
                <w:szCs w:val="21"/>
              </w:rPr>
            </w:pPr>
          </w:p>
        </w:tc>
      </w:tr>
      <w:tr w14:paraId="0779B0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shd w:val="clear" w:color="auto" w:fill="auto"/>
            <w:vAlign w:val="center"/>
          </w:tcPr>
          <w:p w14:paraId="7A0D14CC">
            <w:pPr>
              <w:widowControl/>
              <w:jc w:val="center"/>
              <w:rPr>
                <w:rFonts w:hint="default" w:ascii="Times New Roman" w:hAnsi="Times New Roman" w:cs="Times New Roman"/>
                <w:bCs/>
                <w:kern w:val="0"/>
                <w:szCs w:val="21"/>
              </w:rPr>
            </w:pPr>
            <w:r>
              <w:rPr>
                <w:rFonts w:hint="default" w:ascii="Times New Roman" w:hAnsi="Times New Roman" w:cs="Times New Roman"/>
                <w:bCs/>
                <w:kern w:val="0"/>
                <w:szCs w:val="21"/>
              </w:rPr>
              <w:t>20℃拉拔强度</w:t>
            </w:r>
          </w:p>
        </w:tc>
        <w:tc>
          <w:tcPr>
            <w:tcW w:w="1285" w:type="pct"/>
            <w:shd w:val="clear" w:color="auto" w:fill="auto"/>
            <w:vAlign w:val="center"/>
          </w:tcPr>
          <w:p w14:paraId="62E3BC62">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80℃养生4天</w:t>
            </w:r>
          </w:p>
        </w:tc>
        <w:tc>
          <w:tcPr>
            <w:tcW w:w="623" w:type="pct"/>
            <w:shd w:val="clear" w:color="auto" w:fill="auto"/>
            <w:vAlign w:val="center"/>
          </w:tcPr>
          <w:p w14:paraId="55BEF98E">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Mpa</w:t>
            </w:r>
          </w:p>
        </w:tc>
        <w:tc>
          <w:tcPr>
            <w:tcW w:w="992" w:type="pct"/>
            <w:shd w:val="clear" w:color="auto" w:fill="auto"/>
            <w:vAlign w:val="center"/>
          </w:tcPr>
          <w:p w14:paraId="1A78A364">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≥1.0</w:t>
            </w:r>
          </w:p>
        </w:tc>
        <w:tc>
          <w:tcPr>
            <w:tcW w:w="1167" w:type="pct"/>
            <w:shd w:val="clear" w:color="auto" w:fill="auto"/>
            <w:vAlign w:val="center"/>
          </w:tcPr>
          <w:p w14:paraId="2120EEE6">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附录A</w:t>
            </w:r>
          </w:p>
        </w:tc>
      </w:tr>
    </w:tbl>
    <w:p w14:paraId="627686CE">
      <w:pPr>
        <w:spacing w:line="360" w:lineRule="auto"/>
        <w:ind w:firstLine="482" w:firstLineChars="200"/>
        <w:rPr>
          <w:rFonts w:hint="default" w:ascii="Times New Roman" w:hAnsi="Times New Roman" w:eastAsia="楷体" w:cs="Times New Roman"/>
          <w:b/>
          <w:bCs/>
          <w:kern w:val="0"/>
          <w:sz w:val="24"/>
          <w:szCs w:val="20"/>
        </w:rPr>
      </w:pPr>
      <w:r>
        <w:rPr>
          <w:rFonts w:hint="default" w:ascii="Times New Roman" w:hAnsi="Times New Roman" w:eastAsia="楷体" w:cs="Times New Roman"/>
          <w:b/>
          <w:bCs/>
          <w:kern w:val="0"/>
          <w:sz w:val="24"/>
          <w:szCs w:val="20"/>
        </w:rPr>
        <w:t>注：</w:t>
      </w:r>
    </w:p>
    <w:p w14:paraId="781E8385">
      <w:pPr>
        <w:pStyle w:val="188"/>
        <w:numPr>
          <w:ilvl w:val="0"/>
          <w:numId w:val="20"/>
        </w:numPr>
        <w:spacing w:line="360" w:lineRule="auto"/>
        <w:ind w:firstLineChars="0"/>
        <w:rPr>
          <w:rFonts w:hint="default" w:ascii="Times New Roman" w:hAnsi="Times New Roman" w:eastAsia="楷体" w:cs="Times New Roman"/>
          <w:kern w:val="0"/>
          <w:sz w:val="24"/>
          <w:szCs w:val="20"/>
        </w:rPr>
      </w:pPr>
      <w:r>
        <w:rPr>
          <w:rFonts w:hint="default" w:ascii="Times New Roman" w:hAnsi="Times New Roman" w:eastAsia="楷体" w:cs="Times New Roman"/>
          <w:kern w:val="0"/>
          <w:sz w:val="24"/>
          <w:szCs w:val="20"/>
        </w:rPr>
        <w:t xml:space="preserve"> 沥青粘度以恩格拉粘度为准，条件不具备时也可采用沥青标准粘度；</w:t>
      </w:r>
    </w:p>
    <w:p w14:paraId="45A87ABB">
      <w:pPr>
        <w:pStyle w:val="188"/>
        <w:numPr>
          <w:ilvl w:val="0"/>
          <w:numId w:val="20"/>
        </w:numPr>
        <w:spacing w:line="360" w:lineRule="auto"/>
        <w:ind w:firstLineChars="0"/>
        <w:rPr>
          <w:rFonts w:hint="default" w:ascii="Times New Roman" w:hAnsi="Times New Roman" w:eastAsia="楷体" w:cs="Times New Roman"/>
          <w:kern w:val="0"/>
          <w:sz w:val="24"/>
          <w:szCs w:val="20"/>
        </w:rPr>
      </w:pPr>
      <w:r>
        <w:rPr>
          <w:rFonts w:hint="default" w:ascii="Times New Roman" w:hAnsi="Times New Roman" w:eastAsia="楷体" w:cs="Times New Roman"/>
          <w:kern w:val="0"/>
          <w:sz w:val="24"/>
          <w:szCs w:val="20"/>
        </w:rPr>
        <w:t>贮存稳定性根据施工实际情况选择试验天数，通常采用5d，沥青生产后能在第二天使用完时也可选用1d。个别情况下改性沥青5d的贮存稳定性难以满足要求，如果经搅拌后能够达到均匀一致并不影响正常使用，此时要求改性沥青运至工地后应存放在附有循环或搅拌装置的贮存罐内，并进行循环或搅拌，否则不准使用。</w:t>
      </w:r>
    </w:p>
    <w:p w14:paraId="6B7923AF">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25" w:name="_Toc18140"/>
      <w:r>
        <w:rPr>
          <w:rFonts w:hint="eastAsia" w:ascii="Times New Roman" w:eastAsia="宋体" w:cs="Times New Roman"/>
          <w:b/>
          <w:bCs/>
          <w:sz w:val="24"/>
          <w:szCs w:val="21"/>
          <w:lang w:val="en-US" w:eastAsia="zh-CN" w:bidi="ar-SA"/>
        </w:rPr>
        <w:t>5</w:t>
      </w:r>
      <w:r>
        <w:rPr>
          <w:rFonts w:hint="default" w:ascii="Times New Roman" w:hAnsi="Times New Roman" w:eastAsia="宋体" w:cs="Times New Roman"/>
          <w:b/>
          <w:bCs/>
          <w:sz w:val="24"/>
          <w:szCs w:val="21"/>
          <w:lang w:val="en-US" w:eastAsia="zh-CN" w:bidi="ar-SA"/>
        </w:rPr>
        <w:t>.2</w:t>
      </w:r>
      <w:r>
        <w:rPr>
          <w:rFonts w:hint="default" w:ascii="Times New Roman" w:hAnsi="Times New Roman" w:eastAsia="宋体" w:cs="Times New Roman"/>
          <w:b/>
          <w:bCs/>
          <w:sz w:val="24"/>
        </w:rPr>
        <w:t>溶剂型黏层材料</w:t>
      </w:r>
      <w:bookmarkEnd w:id="25"/>
    </w:p>
    <w:p w14:paraId="215AE2EB">
      <w:pPr>
        <w:numPr>
          <w:ilvl w:val="2"/>
          <w:numId w:val="0"/>
        </w:numPr>
        <w:spacing w:line="360" w:lineRule="auto"/>
        <w:ind w:left="0" w:leftChars="0" w:firstLine="241" w:firstLineChars="100"/>
        <w:rPr>
          <w:rFonts w:hint="default" w:ascii="Times New Roman" w:hAnsi="Times New Roman" w:cs="Times New Roman"/>
          <w:kern w:val="0"/>
          <w:sz w:val="24"/>
          <w:szCs w:val="20"/>
        </w:rPr>
      </w:pPr>
      <w:r>
        <w:rPr>
          <w:rFonts w:hint="eastAsia" w:cs="Times New Roman"/>
          <w:b/>
          <w:bCs/>
          <w:kern w:val="0"/>
          <w:sz w:val="24"/>
          <w:szCs w:val="20"/>
          <w:lang w:val="en-US" w:eastAsia="zh-CN" w:bidi="ar-SA"/>
        </w:rPr>
        <w:t>5</w:t>
      </w:r>
      <w:r>
        <w:rPr>
          <w:rFonts w:hint="default" w:ascii="Times New Roman" w:hAnsi="Times New Roman" w:eastAsia="宋体" w:cs="Times New Roman"/>
          <w:b/>
          <w:bCs/>
          <w:kern w:val="0"/>
          <w:sz w:val="24"/>
          <w:szCs w:val="20"/>
          <w:lang w:val="en-US" w:eastAsia="zh-CN" w:bidi="ar-SA"/>
        </w:rPr>
        <w:t>.2.1</w:t>
      </w:r>
      <w:r>
        <w:rPr>
          <w:rFonts w:hint="default" w:ascii="Times New Roman" w:hAnsi="Times New Roman" w:cs="Times New Roman"/>
          <w:kern w:val="0"/>
          <w:sz w:val="24"/>
        </w:rPr>
        <w:t>溶剂型黏层材料应</w:t>
      </w:r>
      <w:r>
        <w:rPr>
          <w:rFonts w:hint="default" w:ascii="Times New Roman" w:hAnsi="Times New Roman" w:cs="Times New Roman"/>
          <w:kern w:val="0"/>
          <w:sz w:val="24"/>
          <w:szCs w:val="20"/>
        </w:rPr>
        <w:t>符合表</w:t>
      </w:r>
      <w:r>
        <w:rPr>
          <w:rFonts w:hint="eastAsia" w:cs="Times New Roman"/>
          <w:kern w:val="0"/>
          <w:sz w:val="24"/>
          <w:szCs w:val="20"/>
          <w:lang w:val="en-US" w:eastAsia="zh-CN"/>
        </w:rPr>
        <w:t>5</w:t>
      </w:r>
      <w:r>
        <w:rPr>
          <w:rFonts w:hint="default" w:ascii="Times New Roman" w:hAnsi="Times New Roman" w:cs="Times New Roman"/>
          <w:kern w:val="0"/>
          <w:sz w:val="24"/>
          <w:szCs w:val="20"/>
        </w:rPr>
        <w:t xml:space="preserve">.2.1的规定。 </w:t>
      </w:r>
    </w:p>
    <w:p w14:paraId="36C00C0A">
      <w:pPr>
        <w:pStyle w:val="192"/>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w:t>
      </w:r>
      <w:r>
        <w:rPr>
          <w:rFonts w:hint="eastAsia" w:eastAsia="黑体" w:cs="Times New Roman"/>
          <w:sz w:val="21"/>
          <w:szCs w:val="21"/>
          <w:lang w:val="en-US" w:eastAsia="zh-CN"/>
        </w:rPr>
        <w:t>5</w:t>
      </w:r>
      <w:r>
        <w:rPr>
          <w:rFonts w:hint="default" w:ascii="Times New Roman" w:hAnsi="Times New Roman" w:eastAsia="黑体" w:cs="Times New Roman"/>
          <w:sz w:val="21"/>
          <w:szCs w:val="21"/>
        </w:rPr>
        <w:t>.2.1</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t>溶剂型黏层材料技术指标</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610"/>
        <w:gridCol w:w="1609"/>
        <w:gridCol w:w="1756"/>
        <w:gridCol w:w="2361"/>
      </w:tblGrid>
      <w:tr w14:paraId="1D3EB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66" w:type="pct"/>
            <w:shd w:val="clear" w:color="auto" w:fill="auto"/>
            <w:vAlign w:val="center"/>
          </w:tcPr>
          <w:p w14:paraId="009ABE18">
            <w:pPr>
              <w:pStyle w:val="194"/>
              <w:rPr>
                <w:rFonts w:hint="default" w:ascii="Times New Roman" w:hAnsi="Times New Roman" w:cs="Times New Roman"/>
                <w:spacing w:val="-2"/>
                <w:szCs w:val="18"/>
              </w:rPr>
            </w:pPr>
            <w:r>
              <w:rPr>
                <w:rFonts w:hint="default" w:ascii="Times New Roman" w:hAnsi="Times New Roman" w:cs="Times New Roman"/>
                <w:spacing w:val="-2"/>
                <w:szCs w:val="18"/>
              </w:rPr>
              <w:t>指标</w:t>
            </w:r>
          </w:p>
        </w:tc>
        <w:tc>
          <w:tcPr>
            <w:tcW w:w="965" w:type="pct"/>
            <w:shd w:val="clear" w:color="auto" w:fill="auto"/>
            <w:vAlign w:val="center"/>
          </w:tcPr>
          <w:p w14:paraId="4B7B45C2">
            <w:pPr>
              <w:pStyle w:val="194"/>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053" w:type="pct"/>
            <w:shd w:val="clear" w:color="auto" w:fill="auto"/>
            <w:vAlign w:val="center"/>
          </w:tcPr>
          <w:p w14:paraId="532FEF4E">
            <w:pPr>
              <w:pStyle w:val="194"/>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1416" w:type="pct"/>
            <w:shd w:val="clear" w:color="auto" w:fill="auto"/>
            <w:vAlign w:val="center"/>
          </w:tcPr>
          <w:p w14:paraId="70FC61BE">
            <w:pPr>
              <w:pStyle w:val="194"/>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5F205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66" w:type="pct"/>
            <w:shd w:val="clear" w:color="auto" w:fill="auto"/>
            <w:vAlign w:val="center"/>
          </w:tcPr>
          <w:p w14:paraId="091E299D">
            <w:pPr>
              <w:pStyle w:val="194"/>
              <w:rPr>
                <w:rFonts w:hint="default" w:ascii="Times New Roman" w:hAnsi="Times New Roman" w:cs="Times New Roman"/>
                <w:spacing w:val="-2"/>
                <w:szCs w:val="18"/>
              </w:rPr>
            </w:pPr>
            <w:r>
              <w:rPr>
                <w:rFonts w:hint="default" w:ascii="Times New Roman" w:hAnsi="Times New Roman" w:cs="Times New Roman"/>
                <w:spacing w:val="-2"/>
                <w:szCs w:val="18"/>
              </w:rPr>
              <w:t>粘度， 25℃</w:t>
            </w:r>
          </w:p>
        </w:tc>
        <w:tc>
          <w:tcPr>
            <w:tcW w:w="965" w:type="pct"/>
            <w:shd w:val="clear" w:color="auto" w:fill="auto"/>
            <w:vAlign w:val="center"/>
          </w:tcPr>
          <w:p w14:paraId="652F31B7">
            <w:pPr>
              <w:pStyle w:val="194"/>
              <w:rPr>
                <w:rFonts w:hint="default" w:ascii="Times New Roman" w:hAnsi="Times New Roman" w:cs="Times New Roman"/>
                <w:spacing w:val="-2"/>
                <w:szCs w:val="18"/>
              </w:rPr>
            </w:pPr>
            <w:r>
              <w:rPr>
                <w:rFonts w:hint="default" w:ascii="Times New Roman" w:hAnsi="Times New Roman" w:cs="Times New Roman"/>
                <w:spacing w:val="-2"/>
                <w:szCs w:val="18"/>
              </w:rPr>
              <w:t>mPa·s</w:t>
            </w:r>
          </w:p>
        </w:tc>
        <w:tc>
          <w:tcPr>
            <w:tcW w:w="1053" w:type="pct"/>
            <w:shd w:val="clear" w:color="auto" w:fill="auto"/>
            <w:vAlign w:val="center"/>
          </w:tcPr>
          <w:p w14:paraId="5E9336D5">
            <w:pPr>
              <w:pStyle w:val="194"/>
              <w:rPr>
                <w:rFonts w:hint="default" w:ascii="Times New Roman" w:hAnsi="Times New Roman" w:cs="Times New Roman"/>
                <w:spacing w:val="-2"/>
                <w:szCs w:val="18"/>
              </w:rPr>
            </w:pPr>
            <w:r>
              <w:rPr>
                <w:rFonts w:hint="default" w:ascii="Times New Roman" w:hAnsi="Times New Roman" w:cs="Times New Roman"/>
                <w:spacing w:val="-2"/>
                <w:szCs w:val="18"/>
              </w:rPr>
              <w:t>50~150</w:t>
            </w:r>
          </w:p>
        </w:tc>
        <w:tc>
          <w:tcPr>
            <w:tcW w:w="1416" w:type="pct"/>
            <w:shd w:val="clear" w:color="auto" w:fill="auto"/>
            <w:vAlign w:val="center"/>
          </w:tcPr>
          <w:p w14:paraId="50AB8529">
            <w:pPr>
              <w:pStyle w:val="194"/>
              <w:rPr>
                <w:rFonts w:hint="default" w:ascii="Times New Roman" w:hAnsi="Times New Roman" w:cs="Times New Roman"/>
                <w:spacing w:val="-2"/>
                <w:szCs w:val="18"/>
              </w:rPr>
            </w:pPr>
            <w:r>
              <w:rPr>
                <w:rFonts w:hint="default" w:ascii="Times New Roman" w:hAnsi="Times New Roman" w:cs="Times New Roman"/>
                <w:spacing w:val="-2"/>
                <w:szCs w:val="18"/>
              </w:rPr>
              <w:t>T0625</w:t>
            </w:r>
          </w:p>
        </w:tc>
      </w:tr>
      <w:tr w14:paraId="3343A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66" w:type="pct"/>
            <w:shd w:val="clear" w:color="auto" w:fill="auto"/>
            <w:vAlign w:val="center"/>
          </w:tcPr>
          <w:p w14:paraId="76072C4F">
            <w:pPr>
              <w:pStyle w:val="194"/>
              <w:rPr>
                <w:rFonts w:hint="default" w:ascii="Times New Roman" w:hAnsi="Times New Roman" w:cs="Times New Roman"/>
                <w:spacing w:val="-2"/>
                <w:szCs w:val="18"/>
              </w:rPr>
            </w:pPr>
            <w:r>
              <w:rPr>
                <w:rFonts w:hint="default" w:ascii="Times New Roman" w:hAnsi="Times New Roman" w:cs="Times New Roman"/>
                <w:spacing w:val="-2"/>
                <w:szCs w:val="18"/>
              </w:rPr>
              <w:t>储存稳定性， 24h</w:t>
            </w:r>
          </w:p>
        </w:tc>
        <w:tc>
          <w:tcPr>
            <w:tcW w:w="965" w:type="pct"/>
            <w:shd w:val="clear" w:color="auto" w:fill="auto"/>
            <w:vAlign w:val="center"/>
          </w:tcPr>
          <w:p w14:paraId="0C3BD78D">
            <w:pPr>
              <w:pStyle w:val="194"/>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053" w:type="pct"/>
            <w:shd w:val="clear" w:color="auto" w:fill="auto"/>
            <w:vAlign w:val="center"/>
          </w:tcPr>
          <w:p w14:paraId="6EC8F1A5">
            <w:pPr>
              <w:pStyle w:val="194"/>
              <w:rPr>
                <w:rFonts w:hint="default" w:ascii="Times New Roman" w:hAnsi="Times New Roman" w:cs="Times New Roman"/>
                <w:spacing w:val="-2"/>
                <w:szCs w:val="18"/>
              </w:rPr>
            </w:pPr>
            <w:r>
              <w:rPr>
                <w:rFonts w:hint="default" w:ascii="Times New Roman" w:hAnsi="Times New Roman" w:cs="Times New Roman"/>
                <w:spacing w:val="-2"/>
                <w:szCs w:val="18"/>
              </w:rPr>
              <w:t>≤0.5</w:t>
            </w:r>
          </w:p>
        </w:tc>
        <w:tc>
          <w:tcPr>
            <w:tcW w:w="1416" w:type="pct"/>
            <w:shd w:val="clear" w:color="auto" w:fill="auto"/>
            <w:vAlign w:val="center"/>
          </w:tcPr>
          <w:p w14:paraId="2DEB3457">
            <w:pPr>
              <w:pStyle w:val="194"/>
              <w:rPr>
                <w:rFonts w:hint="default" w:ascii="Times New Roman" w:hAnsi="Times New Roman" w:cs="Times New Roman"/>
                <w:spacing w:val="-2"/>
                <w:szCs w:val="18"/>
              </w:rPr>
            </w:pPr>
            <w:r>
              <w:rPr>
                <w:rFonts w:hint="default" w:ascii="Times New Roman" w:hAnsi="Times New Roman" w:cs="Times New Roman"/>
                <w:spacing w:val="-2"/>
                <w:szCs w:val="18"/>
              </w:rPr>
              <w:t>T0656</w:t>
            </w:r>
          </w:p>
        </w:tc>
      </w:tr>
      <w:tr w14:paraId="167BA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66" w:type="pct"/>
            <w:vMerge w:val="restart"/>
            <w:shd w:val="clear" w:color="auto" w:fill="auto"/>
            <w:vAlign w:val="center"/>
          </w:tcPr>
          <w:p w14:paraId="45A6E75E">
            <w:pPr>
              <w:pStyle w:val="194"/>
              <w:rPr>
                <w:rFonts w:hint="default" w:ascii="Times New Roman" w:hAnsi="Times New Roman" w:cs="Times New Roman"/>
                <w:spacing w:val="-2"/>
                <w:szCs w:val="18"/>
              </w:rPr>
            </w:pPr>
            <w:r>
              <w:rPr>
                <w:rFonts w:hint="default" w:ascii="Times New Roman" w:hAnsi="Times New Roman" w:cs="Times New Roman"/>
                <w:spacing w:val="-2"/>
                <w:szCs w:val="18"/>
              </w:rPr>
              <w:t>干燥时间， 25℃</w:t>
            </w:r>
          </w:p>
        </w:tc>
        <w:tc>
          <w:tcPr>
            <w:tcW w:w="965" w:type="pct"/>
            <w:vMerge w:val="restart"/>
            <w:shd w:val="clear" w:color="auto" w:fill="auto"/>
            <w:vAlign w:val="center"/>
          </w:tcPr>
          <w:p w14:paraId="2F06E46E">
            <w:pPr>
              <w:pStyle w:val="194"/>
              <w:rPr>
                <w:rFonts w:hint="default" w:ascii="Times New Roman" w:hAnsi="Times New Roman" w:cs="Times New Roman"/>
                <w:spacing w:val="-2"/>
                <w:szCs w:val="18"/>
              </w:rPr>
            </w:pPr>
            <w:r>
              <w:rPr>
                <w:rFonts w:hint="default" w:ascii="Times New Roman" w:hAnsi="Times New Roman" w:cs="Times New Roman"/>
                <w:spacing w:val="-2"/>
                <w:szCs w:val="18"/>
              </w:rPr>
              <w:t>h</w:t>
            </w:r>
          </w:p>
        </w:tc>
        <w:tc>
          <w:tcPr>
            <w:tcW w:w="1053" w:type="pct"/>
            <w:shd w:val="clear" w:color="auto" w:fill="auto"/>
            <w:vAlign w:val="center"/>
          </w:tcPr>
          <w:p w14:paraId="36761D4A">
            <w:pPr>
              <w:pStyle w:val="194"/>
              <w:rPr>
                <w:rFonts w:hint="default" w:ascii="Times New Roman" w:hAnsi="Times New Roman" w:cs="Times New Roman"/>
                <w:spacing w:val="-2"/>
                <w:szCs w:val="18"/>
              </w:rPr>
            </w:pPr>
            <w:r>
              <w:rPr>
                <w:rFonts w:hint="default" w:ascii="Times New Roman" w:hAnsi="Times New Roman" w:cs="Times New Roman"/>
                <w:spacing w:val="-2"/>
                <w:szCs w:val="18"/>
              </w:rPr>
              <w:t>表干≤1.5</w:t>
            </w:r>
          </w:p>
        </w:tc>
        <w:tc>
          <w:tcPr>
            <w:tcW w:w="1416" w:type="pct"/>
            <w:vMerge w:val="restart"/>
            <w:shd w:val="clear" w:color="auto" w:fill="auto"/>
            <w:vAlign w:val="center"/>
          </w:tcPr>
          <w:p w14:paraId="6C4E64BD">
            <w:pPr>
              <w:pStyle w:val="194"/>
              <w:rPr>
                <w:rFonts w:hint="default" w:ascii="Times New Roman" w:hAnsi="Times New Roman" w:cs="Times New Roman"/>
                <w:spacing w:val="-2"/>
                <w:szCs w:val="18"/>
              </w:rPr>
            </w:pPr>
            <w:r>
              <w:rPr>
                <w:rFonts w:hint="default" w:ascii="Times New Roman" w:hAnsi="Times New Roman" w:cs="Times New Roman"/>
                <w:spacing w:val="-2"/>
                <w:szCs w:val="18"/>
              </w:rPr>
              <w:t>GB/T16777</w:t>
            </w:r>
          </w:p>
        </w:tc>
      </w:tr>
      <w:tr w14:paraId="1A0FB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66" w:type="pct"/>
            <w:vMerge w:val="continue"/>
            <w:shd w:val="clear" w:color="auto" w:fill="auto"/>
            <w:vAlign w:val="center"/>
          </w:tcPr>
          <w:p w14:paraId="2052E2E5">
            <w:pPr>
              <w:pStyle w:val="194"/>
              <w:rPr>
                <w:rFonts w:hint="default" w:ascii="Times New Roman" w:hAnsi="Times New Roman" w:cs="Times New Roman"/>
                <w:spacing w:val="-2"/>
                <w:szCs w:val="18"/>
              </w:rPr>
            </w:pPr>
          </w:p>
        </w:tc>
        <w:tc>
          <w:tcPr>
            <w:tcW w:w="965" w:type="pct"/>
            <w:vMerge w:val="continue"/>
            <w:shd w:val="clear" w:color="auto" w:fill="auto"/>
            <w:vAlign w:val="center"/>
          </w:tcPr>
          <w:p w14:paraId="26D72B2F">
            <w:pPr>
              <w:pStyle w:val="194"/>
              <w:rPr>
                <w:rFonts w:hint="default" w:ascii="Times New Roman" w:hAnsi="Times New Roman" w:cs="Times New Roman"/>
                <w:spacing w:val="-2"/>
                <w:szCs w:val="18"/>
              </w:rPr>
            </w:pPr>
          </w:p>
        </w:tc>
        <w:tc>
          <w:tcPr>
            <w:tcW w:w="1053" w:type="pct"/>
            <w:shd w:val="clear" w:color="auto" w:fill="auto"/>
            <w:vAlign w:val="center"/>
          </w:tcPr>
          <w:p w14:paraId="27A06233">
            <w:pPr>
              <w:pStyle w:val="194"/>
              <w:rPr>
                <w:rFonts w:hint="default" w:ascii="Times New Roman" w:hAnsi="Times New Roman" w:cs="Times New Roman"/>
                <w:spacing w:val="-2"/>
                <w:szCs w:val="18"/>
              </w:rPr>
            </w:pPr>
            <w:r>
              <w:rPr>
                <w:rFonts w:hint="default" w:ascii="Times New Roman" w:hAnsi="Times New Roman" w:cs="Times New Roman"/>
                <w:spacing w:val="-2"/>
                <w:szCs w:val="18"/>
              </w:rPr>
              <w:t>实干≤7</w:t>
            </w:r>
          </w:p>
        </w:tc>
        <w:tc>
          <w:tcPr>
            <w:tcW w:w="1416" w:type="pct"/>
            <w:vMerge w:val="continue"/>
            <w:shd w:val="clear" w:color="auto" w:fill="auto"/>
            <w:vAlign w:val="center"/>
          </w:tcPr>
          <w:p w14:paraId="4EE3F3E0">
            <w:pPr>
              <w:pStyle w:val="194"/>
              <w:rPr>
                <w:rFonts w:hint="default" w:ascii="Times New Roman" w:hAnsi="Times New Roman" w:cs="Times New Roman"/>
                <w:spacing w:val="-2"/>
                <w:szCs w:val="18"/>
              </w:rPr>
            </w:pPr>
          </w:p>
        </w:tc>
      </w:tr>
      <w:tr w14:paraId="20423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66" w:type="pct"/>
            <w:shd w:val="clear" w:color="auto" w:fill="auto"/>
            <w:vAlign w:val="center"/>
          </w:tcPr>
          <w:p w14:paraId="6917A3EC">
            <w:pPr>
              <w:pStyle w:val="194"/>
              <w:rPr>
                <w:rFonts w:hint="default" w:ascii="Times New Roman" w:hAnsi="Times New Roman" w:cs="Times New Roman"/>
                <w:spacing w:val="-2"/>
                <w:szCs w:val="18"/>
              </w:rPr>
            </w:pPr>
            <w:r>
              <w:rPr>
                <w:rFonts w:hint="default" w:ascii="Times New Roman" w:hAnsi="Times New Roman" w:cs="Times New Roman"/>
                <w:spacing w:val="-2"/>
                <w:szCs w:val="18"/>
              </w:rPr>
              <w:t>筛上剩余量，0.3mm，25℃</w:t>
            </w:r>
          </w:p>
        </w:tc>
        <w:tc>
          <w:tcPr>
            <w:tcW w:w="965" w:type="pct"/>
            <w:shd w:val="clear" w:color="auto" w:fill="auto"/>
            <w:vAlign w:val="center"/>
          </w:tcPr>
          <w:p w14:paraId="4AF892B0">
            <w:pPr>
              <w:pStyle w:val="194"/>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053" w:type="pct"/>
            <w:shd w:val="clear" w:color="auto" w:fill="auto"/>
            <w:vAlign w:val="center"/>
          </w:tcPr>
          <w:p w14:paraId="3D2050BD">
            <w:pPr>
              <w:pStyle w:val="194"/>
              <w:rPr>
                <w:rFonts w:hint="default" w:ascii="Times New Roman" w:hAnsi="Times New Roman" w:cs="Times New Roman"/>
                <w:spacing w:val="-2"/>
                <w:szCs w:val="18"/>
              </w:rPr>
            </w:pPr>
            <w:r>
              <w:rPr>
                <w:rFonts w:hint="default" w:ascii="Times New Roman" w:hAnsi="Times New Roman" w:cs="Times New Roman"/>
                <w:spacing w:val="-2"/>
                <w:szCs w:val="18"/>
              </w:rPr>
              <w:t>≤0.1</w:t>
            </w:r>
          </w:p>
        </w:tc>
        <w:tc>
          <w:tcPr>
            <w:tcW w:w="1416" w:type="pct"/>
            <w:shd w:val="clear" w:color="auto" w:fill="auto"/>
            <w:vAlign w:val="center"/>
          </w:tcPr>
          <w:p w14:paraId="1BC64498">
            <w:pPr>
              <w:pStyle w:val="194"/>
              <w:rPr>
                <w:rFonts w:hint="default" w:ascii="Times New Roman" w:hAnsi="Times New Roman" w:cs="Times New Roman"/>
                <w:spacing w:val="-2"/>
                <w:szCs w:val="18"/>
              </w:rPr>
            </w:pPr>
            <w:r>
              <w:rPr>
                <w:rFonts w:hint="default" w:ascii="Times New Roman" w:hAnsi="Times New Roman" w:cs="Times New Roman"/>
                <w:spacing w:val="-2"/>
                <w:szCs w:val="18"/>
              </w:rPr>
              <w:t>T0652</w:t>
            </w:r>
          </w:p>
        </w:tc>
      </w:tr>
      <w:tr w14:paraId="4E981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66" w:type="pct"/>
            <w:shd w:val="clear" w:color="auto" w:fill="auto"/>
            <w:vAlign w:val="center"/>
          </w:tcPr>
          <w:p w14:paraId="28593991">
            <w:pPr>
              <w:pStyle w:val="194"/>
              <w:rPr>
                <w:rFonts w:hint="default" w:ascii="Times New Roman" w:hAnsi="Times New Roman" w:cs="Times New Roman"/>
                <w:spacing w:val="-2"/>
                <w:szCs w:val="18"/>
              </w:rPr>
            </w:pPr>
            <w:r>
              <w:rPr>
                <w:rFonts w:hint="default" w:ascii="Times New Roman" w:hAnsi="Times New Roman" w:cs="Times New Roman"/>
                <w:spacing w:val="-2"/>
                <w:szCs w:val="18"/>
              </w:rPr>
              <w:t>粘结强度</w:t>
            </w:r>
          </w:p>
        </w:tc>
        <w:tc>
          <w:tcPr>
            <w:tcW w:w="965" w:type="pct"/>
            <w:shd w:val="clear" w:color="auto" w:fill="auto"/>
            <w:vAlign w:val="center"/>
          </w:tcPr>
          <w:p w14:paraId="02024001">
            <w:pPr>
              <w:pStyle w:val="194"/>
              <w:rPr>
                <w:rFonts w:hint="default" w:ascii="Times New Roman" w:hAnsi="Times New Roman" w:cs="Times New Roman"/>
                <w:spacing w:val="-2"/>
                <w:szCs w:val="18"/>
              </w:rPr>
            </w:pPr>
            <w:r>
              <w:rPr>
                <w:rFonts w:hint="default" w:ascii="Times New Roman" w:hAnsi="Times New Roman" w:cs="Times New Roman"/>
                <w:spacing w:val="-2"/>
                <w:szCs w:val="18"/>
              </w:rPr>
              <w:t>MPa</w:t>
            </w:r>
          </w:p>
        </w:tc>
        <w:tc>
          <w:tcPr>
            <w:tcW w:w="1053" w:type="pct"/>
            <w:shd w:val="clear" w:color="auto" w:fill="auto"/>
            <w:vAlign w:val="center"/>
          </w:tcPr>
          <w:p w14:paraId="2B5E0F0D">
            <w:pPr>
              <w:pStyle w:val="194"/>
              <w:rPr>
                <w:rFonts w:hint="default" w:ascii="Times New Roman" w:hAnsi="Times New Roman" w:cs="Times New Roman"/>
                <w:spacing w:val="-2"/>
                <w:szCs w:val="18"/>
              </w:rPr>
            </w:pPr>
            <w:r>
              <w:rPr>
                <w:rFonts w:hint="default" w:ascii="Times New Roman" w:hAnsi="Times New Roman" w:cs="Times New Roman"/>
                <w:spacing w:val="-2"/>
                <w:szCs w:val="18"/>
              </w:rPr>
              <w:t>≥1.0</w:t>
            </w:r>
          </w:p>
        </w:tc>
        <w:tc>
          <w:tcPr>
            <w:tcW w:w="1416" w:type="pct"/>
            <w:shd w:val="clear" w:color="auto" w:fill="auto"/>
            <w:vAlign w:val="center"/>
          </w:tcPr>
          <w:p w14:paraId="52743167">
            <w:pPr>
              <w:pStyle w:val="194"/>
              <w:rPr>
                <w:rFonts w:hint="default" w:ascii="Times New Roman" w:hAnsi="Times New Roman" w:cs="Times New Roman"/>
                <w:spacing w:val="-2"/>
                <w:szCs w:val="18"/>
              </w:rPr>
            </w:pPr>
            <w:r>
              <w:rPr>
                <w:rFonts w:hint="default" w:ascii="Times New Roman" w:hAnsi="Times New Roman" w:cs="Times New Roman"/>
                <w:spacing w:val="-2"/>
                <w:szCs w:val="18"/>
              </w:rPr>
              <w:t>附录A</w:t>
            </w:r>
          </w:p>
        </w:tc>
      </w:tr>
    </w:tbl>
    <w:p w14:paraId="3BEE0FE6">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26" w:name="_Toc7660"/>
      <w:bookmarkStart w:id="27" w:name="_Toc179636660"/>
      <w:bookmarkStart w:id="28" w:name="_Toc171517476"/>
      <w:bookmarkStart w:id="29" w:name="_Toc101871669"/>
      <w:r>
        <w:rPr>
          <w:rFonts w:hint="eastAsia" w:ascii="Times New Roman" w:eastAsia="宋体" w:cs="Times New Roman"/>
          <w:b/>
          <w:bCs/>
          <w:sz w:val="24"/>
          <w:szCs w:val="21"/>
          <w:lang w:val="en-US" w:eastAsia="zh-CN" w:bidi="ar-SA"/>
        </w:rPr>
        <w:t>5</w:t>
      </w:r>
      <w:r>
        <w:rPr>
          <w:rFonts w:hint="default" w:ascii="Times New Roman" w:hAnsi="Times New Roman" w:eastAsia="宋体" w:cs="Times New Roman"/>
          <w:b/>
          <w:bCs/>
          <w:sz w:val="24"/>
          <w:szCs w:val="21"/>
          <w:lang w:val="en-US" w:eastAsia="zh-CN" w:bidi="ar-SA"/>
        </w:rPr>
        <w:t>.3</w:t>
      </w:r>
      <w:r>
        <w:rPr>
          <w:rFonts w:hint="default" w:ascii="Times New Roman" w:hAnsi="Times New Roman" w:eastAsia="宋体" w:cs="Times New Roman"/>
          <w:b/>
          <w:bCs/>
          <w:sz w:val="24"/>
        </w:rPr>
        <w:t>粗集料</w:t>
      </w:r>
      <w:bookmarkEnd w:id="26"/>
    </w:p>
    <w:p w14:paraId="36E4BF86">
      <w:pPr>
        <w:numPr>
          <w:ilvl w:val="2"/>
          <w:numId w:val="0"/>
        </w:numPr>
        <w:spacing w:line="360" w:lineRule="auto"/>
        <w:ind w:left="0" w:leftChars="0" w:firstLine="241" w:firstLineChars="100"/>
        <w:rPr>
          <w:rFonts w:hint="default" w:ascii="Times New Roman" w:hAnsi="Times New Roman" w:cs="Times New Roman"/>
          <w:kern w:val="0"/>
          <w:sz w:val="24"/>
        </w:rPr>
      </w:pPr>
      <w:r>
        <w:rPr>
          <w:rFonts w:hint="eastAsia" w:cs="Times New Roman"/>
          <w:b/>
          <w:bCs/>
          <w:kern w:val="0"/>
          <w:sz w:val="24"/>
          <w:szCs w:val="24"/>
          <w:lang w:val="en-US" w:eastAsia="zh-CN" w:bidi="ar-SA"/>
        </w:rPr>
        <w:t>5</w:t>
      </w:r>
      <w:r>
        <w:rPr>
          <w:rFonts w:hint="default" w:ascii="Times New Roman" w:hAnsi="Times New Roman" w:eastAsia="宋体" w:cs="Times New Roman"/>
          <w:b/>
          <w:bCs/>
          <w:kern w:val="0"/>
          <w:sz w:val="24"/>
          <w:szCs w:val="24"/>
          <w:lang w:val="en-US" w:eastAsia="zh-CN" w:bidi="ar-SA"/>
        </w:rPr>
        <w:t>.3.1</w:t>
      </w:r>
      <w:r>
        <w:rPr>
          <w:rFonts w:hint="default" w:ascii="Times New Roman" w:hAnsi="Times New Roman" w:cs="Times New Roman"/>
          <w:kern w:val="0"/>
          <w:sz w:val="24"/>
        </w:rPr>
        <w:t>冷拌超表处优选用坚硬、洁净的玄武岩或辉绿岩破碎而成，粗集料应符合下表</w:t>
      </w:r>
      <w:r>
        <w:rPr>
          <w:rFonts w:hint="eastAsia" w:cs="Times New Roman"/>
          <w:kern w:val="0"/>
          <w:sz w:val="24"/>
          <w:lang w:val="en-US" w:eastAsia="zh-CN"/>
        </w:rPr>
        <w:t>5</w:t>
      </w:r>
      <w:r>
        <w:rPr>
          <w:rFonts w:hint="default" w:ascii="Times New Roman" w:hAnsi="Times New Roman" w:cs="Times New Roman"/>
          <w:kern w:val="0"/>
          <w:sz w:val="24"/>
        </w:rPr>
        <w:t>.3.1标准。</w:t>
      </w:r>
    </w:p>
    <w:p w14:paraId="009450C6">
      <w:pPr>
        <w:pStyle w:val="29"/>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eastAsia="黑体" w:cs="Times New Roman"/>
          <w:lang w:val="en-US" w:eastAsia="zh-CN"/>
        </w:rPr>
        <w:t>5</w:t>
      </w:r>
      <w:r>
        <w:rPr>
          <w:rFonts w:hint="default" w:ascii="Times New Roman" w:hAnsi="Times New Roman" w:eastAsia="黑体" w:cs="Times New Roman"/>
        </w:rPr>
        <w:t>.3.1 冷拌超表处粗集料质量要求</w:t>
      </w:r>
    </w:p>
    <w:tbl>
      <w:tblPr>
        <w:tblStyle w:val="4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754"/>
        <w:gridCol w:w="2052"/>
        <w:gridCol w:w="1675"/>
        <w:gridCol w:w="2041"/>
      </w:tblGrid>
      <w:tr w14:paraId="1405C5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16" w:type="pct"/>
            <w:tcBorders>
              <w:top w:val="single" w:color="000000" w:sz="12" w:space="0"/>
              <w:bottom w:val="single" w:color="000000" w:sz="12" w:space="0"/>
            </w:tcBorders>
            <w:vAlign w:val="center"/>
          </w:tcPr>
          <w:p w14:paraId="54EB6E48">
            <w:pPr>
              <w:widowControl/>
              <w:jc w:val="center"/>
              <w:rPr>
                <w:rFonts w:hint="default" w:ascii="Times New Roman" w:hAnsi="Times New Roman" w:cs="Times New Roman"/>
                <w:bCs/>
                <w:iCs/>
                <w:szCs w:val="21"/>
              </w:rPr>
            </w:pPr>
            <w:r>
              <w:rPr>
                <w:rFonts w:hint="default" w:ascii="Times New Roman" w:hAnsi="Times New Roman" w:cs="Times New Roman"/>
                <w:bCs/>
                <w:iCs/>
                <w:szCs w:val="21"/>
              </w:rPr>
              <w:t>项目</w:t>
            </w:r>
          </w:p>
        </w:tc>
        <w:tc>
          <w:tcPr>
            <w:tcW w:w="1204" w:type="pct"/>
            <w:tcBorders>
              <w:top w:val="single" w:color="000000" w:sz="12" w:space="0"/>
              <w:bottom w:val="single" w:color="000000" w:sz="12" w:space="0"/>
            </w:tcBorders>
            <w:vAlign w:val="center"/>
          </w:tcPr>
          <w:p w14:paraId="66F29C64">
            <w:pPr>
              <w:widowControl/>
              <w:jc w:val="center"/>
              <w:rPr>
                <w:rFonts w:hint="default" w:ascii="Times New Roman" w:hAnsi="Times New Roman" w:cs="Times New Roman"/>
                <w:bCs/>
                <w:iCs/>
                <w:szCs w:val="21"/>
              </w:rPr>
            </w:pPr>
            <w:r>
              <w:rPr>
                <w:rFonts w:hint="default" w:ascii="Times New Roman" w:hAnsi="Times New Roman" w:cs="Times New Roman"/>
                <w:bCs/>
                <w:iCs/>
                <w:szCs w:val="21"/>
              </w:rPr>
              <w:t>单位</w:t>
            </w:r>
          </w:p>
        </w:tc>
        <w:tc>
          <w:tcPr>
            <w:tcW w:w="983" w:type="pct"/>
            <w:tcBorders>
              <w:top w:val="single" w:color="000000" w:sz="12" w:space="0"/>
              <w:bottom w:val="single" w:color="000000" w:sz="12" w:space="0"/>
            </w:tcBorders>
            <w:shd w:val="clear" w:color="auto" w:fill="auto"/>
            <w:vAlign w:val="center"/>
          </w:tcPr>
          <w:p w14:paraId="0466A4A3">
            <w:pPr>
              <w:widowControl/>
              <w:jc w:val="center"/>
              <w:rPr>
                <w:rFonts w:hint="default" w:ascii="Times New Roman" w:hAnsi="Times New Roman" w:cs="Times New Roman"/>
                <w:bCs/>
                <w:iCs/>
                <w:szCs w:val="21"/>
              </w:rPr>
            </w:pPr>
            <w:r>
              <w:rPr>
                <w:rFonts w:hint="default" w:ascii="Times New Roman" w:hAnsi="Times New Roman" w:cs="Times New Roman"/>
                <w:bCs/>
                <w:iCs/>
                <w:szCs w:val="21"/>
              </w:rPr>
              <w:t>技术要求</w:t>
            </w:r>
          </w:p>
        </w:tc>
        <w:tc>
          <w:tcPr>
            <w:tcW w:w="1197" w:type="pct"/>
            <w:tcBorders>
              <w:top w:val="single" w:color="000000" w:sz="12" w:space="0"/>
              <w:bottom w:val="single" w:color="000000" w:sz="12" w:space="0"/>
            </w:tcBorders>
            <w:vAlign w:val="center"/>
          </w:tcPr>
          <w:p w14:paraId="70C6C1CD">
            <w:pPr>
              <w:widowControl/>
              <w:jc w:val="center"/>
              <w:rPr>
                <w:rFonts w:hint="default" w:ascii="Times New Roman" w:hAnsi="Times New Roman" w:cs="Times New Roman"/>
                <w:bCs/>
                <w:iCs/>
                <w:szCs w:val="21"/>
              </w:rPr>
            </w:pPr>
            <w:r>
              <w:rPr>
                <w:rFonts w:hint="default" w:ascii="Times New Roman" w:hAnsi="Times New Roman" w:cs="Times New Roman"/>
                <w:bCs/>
                <w:iCs/>
                <w:szCs w:val="21"/>
              </w:rPr>
              <w:t>试验方法</w:t>
            </w:r>
          </w:p>
        </w:tc>
      </w:tr>
      <w:tr w14:paraId="37CFAF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16" w:type="pct"/>
            <w:tcBorders>
              <w:top w:val="single" w:color="000000" w:sz="12" w:space="0"/>
            </w:tcBorders>
            <w:vAlign w:val="center"/>
          </w:tcPr>
          <w:p w14:paraId="3C707BCA">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石料压碎值</w:t>
            </w:r>
          </w:p>
        </w:tc>
        <w:tc>
          <w:tcPr>
            <w:tcW w:w="1204" w:type="pct"/>
            <w:tcBorders>
              <w:top w:val="single" w:color="000000" w:sz="12" w:space="0"/>
            </w:tcBorders>
            <w:vAlign w:val="center"/>
          </w:tcPr>
          <w:p w14:paraId="4249BE6A">
            <w:pPr>
              <w:widowControl/>
              <w:jc w:val="center"/>
              <w:rPr>
                <w:rFonts w:hint="default" w:ascii="Times New Roman" w:hAnsi="Times New Roman" w:cs="Times New Roman"/>
                <w:bCs/>
                <w:iCs/>
                <w:szCs w:val="21"/>
              </w:rPr>
            </w:pPr>
            <w:r>
              <w:rPr>
                <w:rFonts w:hint="default" w:ascii="Times New Roman" w:hAnsi="Times New Roman" w:cs="Times New Roman"/>
                <w:bCs/>
                <w:iCs/>
                <w:szCs w:val="21"/>
              </w:rPr>
              <w:t>%</w:t>
            </w:r>
          </w:p>
        </w:tc>
        <w:tc>
          <w:tcPr>
            <w:tcW w:w="983" w:type="pct"/>
            <w:tcBorders>
              <w:top w:val="single" w:color="000000" w:sz="12" w:space="0"/>
            </w:tcBorders>
            <w:shd w:val="clear" w:color="auto" w:fill="auto"/>
            <w:vAlign w:val="center"/>
          </w:tcPr>
          <w:p w14:paraId="221AADAB">
            <w:pPr>
              <w:widowControl/>
              <w:jc w:val="center"/>
              <w:rPr>
                <w:rFonts w:hint="default" w:ascii="Times New Roman" w:hAnsi="Times New Roman" w:cs="Times New Roman"/>
                <w:bCs/>
                <w:iCs/>
                <w:szCs w:val="21"/>
              </w:rPr>
            </w:pPr>
            <w:r>
              <w:rPr>
                <w:rFonts w:hint="default" w:ascii="Times New Roman" w:hAnsi="Times New Roman" w:cs="Times New Roman"/>
                <w:bCs/>
                <w:iCs/>
                <w:szCs w:val="21"/>
              </w:rPr>
              <w:t>≤18</w:t>
            </w:r>
          </w:p>
        </w:tc>
        <w:tc>
          <w:tcPr>
            <w:tcW w:w="1197" w:type="pct"/>
            <w:tcBorders>
              <w:top w:val="single" w:color="000000" w:sz="12" w:space="0"/>
            </w:tcBorders>
            <w:vAlign w:val="center"/>
          </w:tcPr>
          <w:p w14:paraId="748545B2">
            <w:pPr>
              <w:widowControl/>
              <w:jc w:val="center"/>
              <w:rPr>
                <w:rFonts w:hint="default" w:ascii="Times New Roman" w:hAnsi="Times New Roman" w:cs="Times New Roman"/>
                <w:bCs/>
                <w:iCs/>
                <w:szCs w:val="21"/>
              </w:rPr>
            </w:pPr>
            <w:r>
              <w:rPr>
                <w:rFonts w:hint="default" w:ascii="Times New Roman" w:hAnsi="Times New Roman" w:cs="Times New Roman"/>
                <w:bCs/>
                <w:iCs/>
                <w:szCs w:val="21"/>
              </w:rPr>
              <w:t>T 0316</w:t>
            </w:r>
          </w:p>
        </w:tc>
      </w:tr>
      <w:tr w14:paraId="6F55FE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16" w:type="pct"/>
            <w:vAlign w:val="center"/>
          </w:tcPr>
          <w:p w14:paraId="359D1773">
            <w:pPr>
              <w:ind w:right="288" w:rightChars="137" w:firstLine="210" w:firstLineChars="100"/>
              <w:rPr>
                <w:rFonts w:hint="default" w:ascii="Times New Roman" w:hAnsi="Times New Roman" w:cs="Times New Roman"/>
                <w:bCs/>
                <w:iCs/>
                <w:szCs w:val="21"/>
              </w:rPr>
            </w:pPr>
            <w:r>
              <w:rPr>
                <w:rFonts w:hint="default" w:ascii="Times New Roman" w:hAnsi="Times New Roman" w:cs="Times New Roman"/>
                <w:bCs/>
                <w:iCs/>
                <w:szCs w:val="21"/>
              </w:rPr>
              <w:t>洛杉矶磨耗损失</w:t>
            </w:r>
          </w:p>
        </w:tc>
        <w:tc>
          <w:tcPr>
            <w:tcW w:w="1204" w:type="pct"/>
            <w:vAlign w:val="center"/>
          </w:tcPr>
          <w:p w14:paraId="66997662">
            <w:pPr>
              <w:widowControl/>
              <w:jc w:val="center"/>
              <w:rPr>
                <w:rFonts w:hint="default" w:ascii="Times New Roman" w:hAnsi="Times New Roman" w:cs="Times New Roman"/>
                <w:bCs/>
                <w:iCs/>
                <w:szCs w:val="21"/>
              </w:rPr>
            </w:pPr>
            <w:r>
              <w:rPr>
                <w:rFonts w:hint="default" w:ascii="Times New Roman" w:hAnsi="Times New Roman" w:cs="Times New Roman"/>
                <w:bCs/>
                <w:iCs/>
                <w:szCs w:val="21"/>
              </w:rPr>
              <w:t>%</w:t>
            </w:r>
          </w:p>
        </w:tc>
        <w:tc>
          <w:tcPr>
            <w:tcW w:w="983" w:type="pct"/>
            <w:shd w:val="clear" w:color="auto" w:fill="auto"/>
            <w:vAlign w:val="center"/>
          </w:tcPr>
          <w:p w14:paraId="285F851D">
            <w:pPr>
              <w:widowControl/>
              <w:jc w:val="center"/>
              <w:rPr>
                <w:rFonts w:hint="default" w:ascii="Times New Roman" w:hAnsi="Times New Roman" w:cs="Times New Roman"/>
                <w:bCs/>
                <w:iCs/>
                <w:szCs w:val="21"/>
              </w:rPr>
            </w:pPr>
            <w:r>
              <w:rPr>
                <w:rFonts w:hint="default" w:ascii="Times New Roman" w:hAnsi="Times New Roman" w:cs="Times New Roman"/>
                <w:bCs/>
                <w:iCs/>
                <w:color w:val="000000" w:themeColor="text1"/>
                <w:szCs w:val="21"/>
                <w14:textFill>
                  <w14:solidFill>
                    <w14:schemeClr w14:val="tx1"/>
                  </w14:solidFill>
                </w14:textFill>
              </w:rPr>
              <w:t>≤20</w:t>
            </w:r>
          </w:p>
        </w:tc>
        <w:tc>
          <w:tcPr>
            <w:tcW w:w="1197" w:type="pct"/>
            <w:vAlign w:val="center"/>
          </w:tcPr>
          <w:p w14:paraId="73827882">
            <w:pPr>
              <w:widowControl/>
              <w:jc w:val="center"/>
              <w:rPr>
                <w:rFonts w:hint="default" w:ascii="Times New Roman" w:hAnsi="Times New Roman" w:cs="Times New Roman"/>
                <w:bCs/>
                <w:iCs/>
                <w:szCs w:val="21"/>
              </w:rPr>
            </w:pPr>
            <w:r>
              <w:rPr>
                <w:rFonts w:hint="default" w:ascii="Times New Roman" w:hAnsi="Times New Roman" w:cs="Times New Roman"/>
                <w:bCs/>
                <w:iCs/>
                <w:szCs w:val="21"/>
              </w:rPr>
              <w:t>T 0317</w:t>
            </w:r>
          </w:p>
        </w:tc>
      </w:tr>
      <w:tr w14:paraId="125C2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16" w:type="pct"/>
            <w:vAlign w:val="center"/>
          </w:tcPr>
          <w:p w14:paraId="5109992D">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石料磨光值</w:t>
            </w:r>
          </w:p>
        </w:tc>
        <w:tc>
          <w:tcPr>
            <w:tcW w:w="1204" w:type="pct"/>
            <w:vAlign w:val="center"/>
          </w:tcPr>
          <w:p w14:paraId="78463F04">
            <w:pPr>
              <w:widowControl/>
              <w:jc w:val="center"/>
              <w:rPr>
                <w:rFonts w:hint="default" w:ascii="Times New Roman" w:hAnsi="Times New Roman" w:cs="Times New Roman"/>
                <w:bCs/>
                <w:iCs/>
                <w:szCs w:val="21"/>
              </w:rPr>
            </w:pPr>
            <w:r>
              <w:rPr>
                <w:rFonts w:hint="default" w:ascii="Times New Roman" w:hAnsi="Times New Roman" w:cs="Times New Roman"/>
                <w:bCs/>
                <w:iCs/>
                <w:szCs w:val="21"/>
              </w:rPr>
              <w:t>BPN</w:t>
            </w:r>
          </w:p>
        </w:tc>
        <w:tc>
          <w:tcPr>
            <w:tcW w:w="983" w:type="pct"/>
            <w:shd w:val="clear" w:color="auto" w:fill="auto"/>
            <w:vAlign w:val="center"/>
          </w:tcPr>
          <w:p w14:paraId="39EC7D55">
            <w:pPr>
              <w:widowControl/>
              <w:jc w:val="center"/>
              <w:rPr>
                <w:rFonts w:hint="default" w:ascii="Times New Roman" w:hAnsi="Times New Roman" w:cs="Times New Roman"/>
                <w:bCs/>
                <w:iCs/>
                <w:szCs w:val="21"/>
              </w:rPr>
            </w:pPr>
            <w:r>
              <w:rPr>
                <w:rFonts w:hint="default" w:ascii="Times New Roman" w:hAnsi="Times New Roman" w:cs="Times New Roman"/>
                <w:bCs/>
                <w:iCs/>
                <w:szCs w:val="21"/>
              </w:rPr>
              <w:t>≥42</w:t>
            </w:r>
          </w:p>
        </w:tc>
        <w:tc>
          <w:tcPr>
            <w:tcW w:w="1197" w:type="pct"/>
            <w:vAlign w:val="center"/>
          </w:tcPr>
          <w:p w14:paraId="4090E98A">
            <w:pPr>
              <w:widowControl/>
              <w:jc w:val="center"/>
              <w:rPr>
                <w:rFonts w:hint="default" w:ascii="Times New Roman" w:hAnsi="Times New Roman" w:cs="Times New Roman"/>
                <w:bCs/>
                <w:iCs/>
                <w:szCs w:val="21"/>
              </w:rPr>
            </w:pPr>
            <w:r>
              <w:rPr>
                <w:rFonts w:hint="default" w:ascii="Times New Roman" w:hAnsi="Times New Roman" w:cs="Times New Roman"/>
                <w:bCs/>
                <w:iCs/>
                <w:szCs w:val="21"/>
              </w:rPr>
              <w:t>T 0321</w:t>
            </w:r>
          </w:p>
        </w:tc>
      </w:tr>
      <w:tr w14:paraId="745E33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16" w:type="pct"/>
            <w:vAlign w:val="center"/>
          </w:tcPr>
          <w:p w14:paraId="7555BCB4">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坚固性</w:t>
            </w:r>
          </w:p>
        </w:tc>
        <w:tc>
          <w:tcPr>
            <w:tcW w:w="1204" w:type="pct"/>
            <w:vAlign w:val="center"/>
          </w:tcPr>
          <w:p w14:paraId="75353E2C">
            <w:pPr>
              <w:widowControl/>
              <w:jc w:val="center"/>
              <w:rPr>
                <w:rFonts w:hint="default" w:ascii="Times New Roman" w:hAnsi="Times New Roman" w:cs="Times New Roman"/>
                <w:bCs/>
                <w:iCs/>
                <w:szCs w:val="21"/>
              </w:rPr>
            </w:pPr>
            <w:r>
              <w:rPr>
                <w:rFonts w:hint="default" w:ascii="Times New Roman" w:hAnsi="Times New Roman" w:cs="Times New Roman"/>
                <w:bCs/>
                <w:iCs/>
                <w:szCs w:val="21"/>
              </w:rPr>
              <w:t>%</w:t>
            </w:r>
          </w:p>
        </w:tc>
        <w:tc>
          <w:tcPr>
            <w:tcW w:w="983" w:type="pct"/>
            <w:shd w:val="clear" w:color="auto" w:fill="auto"/>
            <w:vAlign w:val="center"/>
          </w:tcPr>
          <w:p w14:paraId="169F16B2">
            <w:pPr>
              <w:widowControl/>
              <w:jc w:val="center"/>
              <w:rPr>
                <w:rFonts w:hint="default" w:ascii="Times New Roman" w:hAnsi="Times New Roman" w:cs="Times New Roman"/>
                <w:bCs/>
                <w:iCs/>
                <w:szCs w:val="21"/>
              </w:rPr>
            </w:pPr>
            <w:r>
              <w:rPr>
                <w:rFonts w:hint="default" w:ascii="Times New Roman" w:hAnsi="Times New Roman" w:cs="Times New Roman"/>
                <w:bCs/>
                <w:iCs/>
                <w:szCs w:val="21"/>
              </w:rPr>
              <w:t>≤12</w:t>
            </w:r>
          </w:p>
        </w:tc>
        <w:tc>
          <w:tcPr>
            <w:tcW w:w="1197" w:type="pct"/>
            <w:vAlign w:val="center"/>
          </w:tcPr>
          <w:p w14:paraId="7036761D">
            <w:pPr>
              <w:widowControl/>
              <w:jc w:val="center"/>
              <w:rPr>
                <w:rFonts w:hint="default" w:ascii="Times New Roman" w:hAnsi="Times New Roman" w:cs="Times New Roman"/>
                <w:bCs/>
                <w:iCs/>
                <w:szCs w:val="21"/>
              </w:rPr>
            </w:pPr>
            <w:r>
              <w:rPr>
                <w:rFonts w:hint="default" w:ascii="Times New Roman" w:hAnsi="Times New Roman" w:cs="Times New Roman"/>
                <w:bCs/>
                <w:iCs/>
                <w:szCs w:val="21"/>
              </w:rPr>
              <w:t>T 0314</w:t>
            </w:r>
          </w:p>
        </w:tc>
      </w:tr>
      <w:tr w14:paraId="50D1AA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16" w:type="pct"/>
            <w:vAlign w:val="center"/>
          </w:tcPr>
          <w:p w14:paraId="5CE5684D">
            <w:pPr>
              <w:widowControl/>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针片状含量</w:t>
            </w:r>
          </w:p>
        </w:tc>
        <w:tc>
          <w:tcPr>
            <w:tcW w:w="1204" w:type="pct"/>
            <w:vAlign w:val="center"/>
          </w:tcPr>
          <w:p w14:paraId="67DF3301">
            <w:pPr>
              <w:widowControl/>
              <w:jc w:val="center"/>
              <w:rPr>
                <w:rFonts w:hint="default" w:ascii="Times New Roman" w:hAnsi="Times New Roman" w:cs="Times New Roman"/>
                <w:bCs/>
                <w:iCs/>
                <w:szCs w:val="21"/>
              </w:rPr>
            </w:pPr>
            <w:r>
              <w:rPr>
                <w:rFonts w:hint="default" w:ascii="Times New Roman" w:hAnsi="Times New Roman" w:cs="Times New Roman"/>
                <w:bCs/>
                <w:iCs/>
                <w:szCs w:val="21"/>
              </w:rPr>
              <w:t>%</w:t>
            </w:r>
          </w:p>
        </w:tc>
        <w:tc>
          <w:tcPr>
            <w:tcW w:w="983" w:type="pct"/>
            <w:shd w:val="clear" w:color="auto" w:fill="auto"/>
            <w:vAlign w:val="center"/>
          </w:tcPr>
          <w:p w14:paraId="78B48FD1">
            <w:pPr>
              <w:widowControl/>
              <w:jc w:val="center"/>
              <w:rPr>
                <w:rFonts w:hint="default" w:ascii="Times New Roman" w:hAnsi="Times New Roman" w:cs="Times New Roman"/>
                <w:bCs/>
                <w:iCs/>
                <w:szCs w:val="21"/>
              </w:rPr>
            </w:pPr>
            <w:r>
              <w:rPr>
                <w:rFonts w:hint="default" w:ascii="Times New Roman" w:hAnsi="Times New Roman" w:cs="Times New Roman"/>
                <w:bCs/>
                <w:iCs/>
                <w:szCs w:val="21"/>
              </w:rPr>
              <w:t>≤10</w:t>
            </w:r>
          </w:p>
        </w:tc>
        <w:tc>
          <w:tcPr>
            <w:tcW w:w="1197" w:type="pct"/>
            <w:vAlign w:val="center"/>
          </w:tcPr>
          <w:p w14:paraId="41FE38B1">
            <w:pPr>
              <w:widowControl/>
              <w:jc w:val="center"/>
              <w:rPr>
                <w:rFonts w:hint="default" w:ascii="Times New Roman" w:hAnsi="Times New Roman" w:cs="Times New Roman"/>
                <w:bCs/>
                <w:iCs/>
                <w:szCs w:val="21"/>
              </w:rPr>
            </w:pPr>
            <w:r>
              <w:rPr>
                <w:rFonts w:hint="default" w:ascii="Times New Roman" w:hAnsi="Times New Roman" w:cs="Times New Roman"/>
                <w:bCs/>
                <w:iCs/>
                <w:szCs w:val="21"/>
              </w:rPr>
              <w:t>T 0312</w:t>
            </w:r>
          </w:p>
        </w:tc>
      </w:tr>
      <w:bookmarkEnd w:id="27"/>
      <w:bookmarkEnd w:id="28"/>
      <w:bookmarkEnd w:id="29"/>
    </w:tbl>
    <w:p w14:paraId="6A45AF19">
      <w:pPr>
        <w:numPr>
          <w:ilvl w:val="2"/>
          <w:numId w:val="0"/>
        </w:numPr>
        <w:spacing w:line="360" w:lineRule="auto"/>
        <w:ind w:left="0" w:leftChars="0" w:firstLine="241" w:firstLineChars="100"/>
        <w:rPr>
          <w:rFonts w:hint="default" w:ascii="Times New Roman" w:hAnsi="Times New Roman" w:cs="Times New Roman"/>
          <w:kern w:val="0"/>
          <w:sz w:val="24"/>
        </w:rPr>
      </w:pPr>
      <w:r>
        <w:rPr>
          <w:rFonts w:hint="eastAsia" w:cs="Times New Roman"/>
          <w:b/>
          <w:bCs/>
          <w:kern w:val="0"/>
          <w:sz w:val="24"/>
          <w:szCs w:val="24"/>
          <w:lang w:val="en-US" w:eastAsia="zh-CN" w:bidi="ar-SA"/>
        </w:rPr>
        <w:t>5</w:t>
      </w:r>
      <w:r>
        <w:rPr>
          <w:rFonts w:hint="default" w:ascii="Times New Roman" w:hAnsi="Times New Roman" w:eastAsia="宋体" w:cs="Times New Roman"/>
          <w:b/>
          <w:bCs/>
          <w:kern w:val="0"/>
          <w:sz w:val="24"/>
          <w:szCs w:val="24"/>
          <w:lang w:val="en-US" w:eastAsia="zh-CN" w:bidi="ar-SA"/>
        </w:rPr>
        <w:t>.3.2</w:t>
      </w:r>
      <w:r>
        <w:rPr>
          <w:rFonts w:hint="default" w:ascii="Times New Roman" w:hAnsi="Times New Roman" w:cs="Times New Roman"/>
          <w:kern w:val="0"/>
          <w:sz w:val="24"/>
        </w:rPr>
        <w:t>粗集料的粒径应符合表</w:t>
      </w:r>
      <w:r>
        <w:rPr>
          <w:rFonts w:hint="eastAsia" w:cs="Times New Roman"/>
          <w:kern w:val="0"/>
          <w:sz w:val="24"/>
          <w:lang w:val="en-US" w:eastAsia="zh-CN"/>
        </w:rPr>
        <w:t>5</w:t>
      </w:r>
      <w:r>
        <w:rPr>
          <w:rFonts w:hint="default" w:ascii="Times New Roman" w:hAnsi="Times New Roman" w:cs="Times New Roman"/>
          <w:kern w:val="0"/>
          <w:sz w:val="24"/>
        </w:rPr>
        <w:t>.3.2的规定。</w:t>
      </w:r>
    </w:p>
    <w:p w14:paraId="164CEEE6">
      <w:pPr>
        <w:pStyle w:val="29"/>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eastAsia="黑体" w:cs="Times New Roman"/>
          <w:lang w:val="en-US" w:eastAsia="zh-CN"/>
        </w:rPr>
        <w:t>5</w:t>
      </w:r>
      <w:r>
        <w:rPr>
          <w:rFonts w:hint="default" w:ascii="Times New Roman" w:hAnsi="Times New Roman" w:eastAsia="黑体" w:cs="Times New Roman"/>
        </w:rPr>
        <w:t>.3.2 粗集料粒径规格要求</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177"/>
        <w:gridCol w:w="1230"/>
        <w:gridCol w:w="1230"/>
        <w:gridCol w:w="1232"/>
        <w:gridCol w:w="1231"/>
        <w:gridCol w:w="1236"/>
      </w:tblGrid>
      <w:tr w14:paraId="02F0B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306" w:type="pct"/>
            <w:vMerge w:val="restart"/>
            <w:shd w:val="clear" w:color="auto" w:fill="auto"/>
            <w:vAlign w:val="center"/>
          </w:tcPr>
          <w:p w14:paraId="20759DBC">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公称粒径（mm）</w:t>
            </w:r>
          </w:p>
        </w:tc>
        <w:tc>
          <w:tcPr>
            <w:tcW w:w="3694" w:type="pct"/>
            <w:gridSpan w:val="5"/>
            <w:shd w:val="clear" w:color="auto" w:fill="auto"/>
            <w:vAlign w:val="center"/>
          </w:tcPr>
          <w:p w14:paraId="5B310744">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通过下列筛孔（方孔筛mm）的质量百分率（％）</w:t>
            </w:r>
          </w:p>
        </w:tc>
      </w:tr>
      <w:tr w14:paraId="219DD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306" w:type="pct"/>
            <w:vMerge w:val="continue"/>
            <w:shd w:val="clear" w:color="auto" w:fill="auto"/>
            <w:vAlign w:val="center"/>
          </w:tcPr>
          <w:p w14:paraId="66C1D7D5">
            <w:pPr>
              <w:ind w:firstLine="210" w:firstLineChars="100"/>
              <w:rPr>
                <w:rFonts w:hint="default" w:ascii="Times New Roman" w:hAnsi="Times New Roman" w:cs="Times New Roman"/>
                <w:bCs/>
                <w:iCs/>
                <w:szCs w:val="21"/>
              </w:rPr>
            </w:pPr>
          </w:p>
        </w:tc>
        <w:tc>
          <w:tcPr>
            <w:tcW w:w="738" w:type="pct"/>
            <w:shd w:val="clear" w:color="auto" w:fill="auto"/>
            <w:vAlign w:val="center"/>
          </w:tcPr>
          <w:p w14:paraId="3581F9FF">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13.2</w:t>
            </w:r>
          </w:p>
        </w:tc>
        <w:tc>
          <w:tcPr>
            <w:tcW w:w="738" w:type="pct"/>
            <w:shd w:val="clear" w:color="auto" w:fill="auto"/>
            <w:vAlign w:val="center"/>
          </w:tcPr>
          <w:p w14:paraId="56608088">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9.5</w:t>
            </w:r>
          </w:p>
        </w:tc>
        <w:tc>
          <w:tcPr>
            <w:tcW w:w="739" w:type="pct"/>
            <w:shd w:val="clear" w:color="auto" w:fill="auto"/>
            <w:vAlign w:val="center"/>
          </w:tcPr>
          <w:p w14:paraId="4F2FB387">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4.75</w:t>
            </w:r>
          </w:p>
        </w:tc>
        <w:tc>
          <w:tcPr>
            <w:tcW w:w="738" w:type="pct"/>
            <w:shd w:val="clear" w:color="auto" w:fill="auto"/>
            <w:vAlign w:val="center"/>
          </w:tcPr>
          <w:p w14:paraId="74071EE0">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2.36</w:t>
            </w:r>
          </w:p>
        </w:tc>
        <w:tc>
          <w:tcPr>
            <w:tcW w:w="740" w:type="pct"/>
            <w:shd w:val="clear" w:color="auto" w:fill="auto"/>
            <w:vAlign w:val="center"/>
          </w:tcPr>
          <w:p w14:paraId="5038799A">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0.6</w:t>
            </w:r>
          </w:p>
        </w:tc>
      </w:tr>
      <w:tr w14:paraId="02242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306" w:type="pct"/>
            <w:shd w:val="clear" w:color="auto" w:fill="auto"/>
            <w:vAlign w:val="center"/>
          </w:tcPr>
          <w:p w14:paraId="1FF7D43F">
            <w:pPr>
              <w:ind w:firstLine="630" w:firstLineChars="300"/>
              <w:rPr>
                <w:rFonts w:hint="default" w:ascii="Times New Roman" w:hAnsi="Times New Roman" w:cs="Times New Roman"/>
                <w:bCs/>
                <w:iCs/>
                <w:szCs w:val="21"/>
              </w:rPr>
            </w:pPr>
            <w:r>
              <w:rPr>
                <w:rFonts w:hint="default" w:ascii="Times New Roman" w:hAnsi="Times New Roman" w:cs="Times New Roman"/>
                <w:bCs/>
                <w:iCs/>
                <w:szCs w:val="21"/>
              </w:rPr>
              <w:t>3~5</w:t>
            </w:r>
          </w:p>
        </w:tc>
        <w:tc>
          <w:tcPr>
            <w:tcW w:w="738" w:type="pct"/>
            <w:shd w:val="clear" w:color="auto" w:fill="auto"/>
            <w:vAlign w:val="center"/>
          </w:tcPr>
          <w:p w14:paraId="0196388D">
            <w:pPr>
              <w:ind w:firstLine="210" w:firstLineChars="100"/>
              <w:jc w:val="center"/>
              <w:rPr>
                <w:rFonts w:hint="default" w:ascii="Times New Roman" w:hAnsi="Times New Roman" w:cs="Times New Roman"/>
                <w:bCs/>
                <w:iCs/>
                <w:szCs w:val="21"/>
              </w:rPr>
            </w:pPr>
            <w:r>
              <w:rPr>
                <w:rFonts w:hint="default" w:ascii="Times New Roman" w:hAnsi="Times New Roman" w:cs="Times New Roman"/>
                <w:bCs/>
                <w:iCs/>
                <w:szCs w:val="21"/>
              </w:rPr>
              <w:t>/</w:t>
            </w:r>
          </w:p>
        </w:tc>
        <w:tc>
          <w:tcPr>
            <w:tcW w:w="738" w:type="pct"/>
            <w:shd w:val="clear" w:color="auto" w:fill="auto"/>
            <w:vAlign w:val="center"/>
          </w:tcPr>
          <w:p w14:paraId="7B042D85">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100</w:t>
            </w:r>
          </w:p>
        </w:tc>
        <w:tc>
          <w:tcPr>
            <w:tcW w:w="739" w:type="pct"/>
            <w:shd w:val="clear" w:color="auto" w:fill="auto"/>
            <w:vAlign w:val="center"/>
          </w:tcPr>
          <w:p w14:paraId="6A533F47">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90~100</w:t>
            </w:r>
          </w:p>
        </w:tc>
        <w:tc>
          <w:tcPr>
            <w:tcW w:w="738" w:type="pct"/>
            <w:shd w:val="clear" w:color="auto" w:fill="auto"/>
            <w:vAlign w:val="center"/>
          </w:tcPr>
          <w:p w14:paraId="16AF64D5">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0~15</w:t>
            </w:r>
          </w:p>
        </w:tc>
        <w:tc>
          <w:tcPr>
            <w:tcW w:w="740" w:type="pct"/>
            <w:shd w:val="clear" w:color="auto" w:fill="auto"/>
            <w:vAlign w:val="center"/>
          </w:tcPr>
          <w:p w14:paraId="61BBF148">
            <w:pPr>
              <w:ind w:firstLine="210" w:firstLineChars="100"/>
              <w:rPr>
                <w:rFonts w:hint="default" w:ascii="Times New Roman" w:hAnsi="Times New Roman" w:cs="Times New Roman"/>
                <w:bCs/>
                <w:iCs/>
                <w:szCs w:val="21"/>
              </w:rPr>
            </w:pPr>
            <w:r>
              <w:rPr>
                <w:rFonts w:hint="default" w:ascii="Times New Roman" w:hAnsi="Times New Roman" w:cs="Times New Roman"/>
                <w:bCs/>
                <w:iCs/>
                <w:szCs w:val="21"/>
              </w:rPr>
              <w:t>0~4</w:t>
            </w:r>
          </w:p>
        </w:tc>
      </w:tr>
    </w:tbl>
    <w:p w14:paraId="3A8DFA06">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30" w:name="_Toc8598"/>
      <w:r>
        <w:rPr>
          <w:rFonts w:hint="eastAsia" w:ascii="Times New Roman" w:eastAsia="宋体" w:cs="Times New Roman"/>
          <w:b/>
          <w:bCs/>
          <w:sz w:val="24"/>
          <w:szCs w:val="21"/>
          <w:lang w:val="en-US" w:eastAsia="zh-CN" w:bidi="ar-SA"/>
        </w:rPr>
        <w:t>5</w:t>
      </w:r>
      <w:r>
        <w:rPr>
          <w:rFonts w:hint="default" w:ascii="Times New Roman" w:hAnsi="Times New Roman" w:eastAsia="宋体" w:cs="Times New Roman"/>
          <w:b/>
          <w:bCs/>
          <w:sz w:val="24"/>
          <w:szCs w:val="21"/>
          <w:lang w:val="en-US" w:eastAsia="zh-CN" w:bidi="ar-SA"/>
        </w:rPr>
        <w:t>.4</w:t>
      </w:r>
      <w:r>
        <w:rPr>
          <w:rFonts w:hint="default" w:ascii="Times New Roman" w:hAnsi="Times New Roman" w:eastAsia="宋体" w:cs="Times New Roman"/>
          <w:b/>
          <w:bCs/>
          <w:sz w:val="24"/>
        </w:rPr>
        <w:t>细集料</w:t>
      </w:r>
      <w:bookmarkEnd w:id="30"/>
    </w:p>
    <w:p w14:paraId="7B4AA25C">
      <w:pPr>
        <w:numPr>
          <w:ilvl w:val="2"/>
          <w:numId w:val="0"/>
        </w:numPr>
        <w:spacing w:line="360" w:lineRule="auto"/>
        <w:ind w:left="284" w:leftChars="0" w:hanging="11" w:firstLineChars="0"/>
        <w:rPr>
          <w:rFonts w:hint="default" w:ascii="Times New Roman" w:hAnsi="Times New Roman" w:cs="Times New Roman"/>
          <w:sz w:val="24"/>
          <w:szCs w:val="32"/>
        </w:rPr>
      </w:pPr>
      <w:r>
        <w:rPr>
          <w:rFonts w:hint="eastAsia" w:cs="Times New Roman"/>
          <w:b/>
          <w:bCs/>
          <w:kern w:val="2"/>
          <w:sz w:val="24"/>
          <w:szCs w:val="32"/>
          <w:lang w:val="en-US" w:eastAsia="zh-CN" w:bidi="ar-SA"/>
        </w:rPr>
        <w:t>5</w:t>
      </w:r>
      <w:r>
        <w:rPr>
          <w:rFonts w:hint="default" w:ascii="Times New Roman" w:hAnsi="Times New Roman" w:eastAsia="宋体" w:cs="Times New Roman"/>
          <w:b/>
          <w:bCs/>
          <w:kern w:val="2"/>
          <w:sz w:val="24"/>
          <w:szCs w:val="32"/>
          <w:lang w:val="en-US" w:eastAsia="zh-CN" w:bidi="ar-SA"/>
        </w:rPr>
        <w:t>.4.1</w:t>
      </w:r>
      <w:r>
        <w:rPr>
          <w:rFonts w:hint="default" w:ascii="Times New Roman" w:hAnsi="Times New Roman" w:cs="Times New Roman"/>
          <w:sz w:val="24"/>
          <w:szCs w:val="32"/>
        </w:rPr>
        <w:t>细集料宜采用石灰岩或岩浆岩中的强基性岩石经制砂机破碎得到的机制砂，与沥青具有良好的黏结能力。细集料应符合表</w:t>
      </w:r>
      <w:r>
        <w:rPr>
          <w:rFonts w:hint="eastAsia" w:cs="Times New Roman"/>
          <w:sz w:val="24"/>
          <w:szCs w:val="32"/>
          <w:lang w:val="en-US" w:eastAsia="zh-CN"/>
        </w:rPr>
        <w:t>5</w:t>
      </w:r>
      <w:r>
        <w:rPr>
          <w:rFonts w:hint="default" w:ascii="Times New Roman" w:hAnsi="Times New Roman" w:cs="Times New Roman"/>
          <w:sz w:val="24"/>
          <w:szCs w:val="32"/>
        </w:rPr>
        <w:t>.4.1的规定。</w:t>
      </w:r>
    </w:p>
    <w:p w14:paraId="79438FB1">
      <w:pPr>
        <w:pStyle w:val="192"/>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w:t>
      </w:r>
      <w:r>
        <w:rPr>
          <w:rFonts w:hint="eastAsia" w:eastAsia="黑体" w:cs="Times New Roman"/>
          <w:sz w:val="21"/>
          <w:szCs w:val="20"/>
          <w:lang w:val="en-US" w:eastAsia="zh-CN"/>
        </w:rPr>
        <w:t>5</w:t>
      </w:r>
      <w:r>
        <w:rPr>
          <w:rFonts w:hint="default" w:ascii="Times New Roman" w:hAnsi="Times New Roman" w:eastAsia="黑体" w:cs="Times New Roman"/>
          <w:sz w:val="21"/>
          <w:szCs w:val="20"/>
        </w:rPr>
        <w:t>.4.1 细集料技术指标</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24"/>
        <w:gridCol w:w="1327"/>
        <w:gridCol w:w="1897"/>
        <w:gridCol w:w="2088"/>
      </w:tblGrid>
      <w:tr w14:paraId="738F9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14" w:type="pct"/>
            <w:shd w:val="clear" w:color="auto" w:fill="auto"/>
            <w:vAlign w:val="center"/>
          </w:tcPr>
          <w:p w14:paraId="2FEC6546">
            <w:pPr>
              <w:pStyle w:val="194"/>
              <w:rPr>
                <w:rFonts w:hint="default" w:ascii="Times New Roman" w:hAnsi="Times New Roman" w:cs="Times New Roman"/>
                <w:spacing w:val="-2"/>
                <w:szCs w:val="18"/>
              </w:rPr>
            </w:pPr>
            <w:r>
              <w:rPr>
                <w:rFonts w:hint="default" w:ascii="Times New Roman" w:hAnsi="Times New Roman" w:cs="Times New Roman"/>
                <w:spacing w:val="-2"/>
                <w:szCs w:val="18"/>
              </w:rPr>
              <w:t>试验项目</w:t>
            </w:r>
          </w:p>
        </w:tc>
        <w:tc>
          <w:tcPr>
            <w:tcW w:w="796" w:type="pct"/>
            <w:shd w:val="clear" w:color="auto" w:fill="auto"/>
            <w:vAlign w:val="center"/>
          </w:tcPr>
          <w:p w14:paraId="1AF5FE88">
            <w:pPr>
              <w:pStyle w:val="194"/>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138" w:type="pct"/>
            <w:shd w:val="clear" w:color="auto" w:fill="auto"/>
            <w:vAlign w:val="center"/>
          </w:tcPr>
          <w:p w14:paraId="6A32618C">
            <w:pPr>
              <w:pStyle w:val="194"/>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1252" w:type="pct"/>
            <w:shd w:val="clear" w:color="auto" w:fill="auto"/>
            <w:vAlign w:val="center"/>
          </w:tcPr>
          <w:p w14:paraId="29D53644">
            <w:pPr>
              <w:pStyle w:val="194"/>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58DCC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14" w:type="pct"/>
            <w:shd w:val="clear" w:color="auto" w:fill="auto"/>
            <w:vAlign w:val="center"/>
          </w:tcPr>
          <w:p w14:paraId="65F7740F">
            <w:pPr>
              <w:pStyle w:val="194"/>
              <w:rPr>
                <w:rFonts w:hint="default" w:ascii="Times New Roman" w:hAnsi="Times New Roman" w:cs="Times New Roman"/>
                <w:spacing w:val="-2"/>
                <w:szCs w:val="18"/>
              </w:rPr>
            </w:pPr>
            <w:r>
              <w:rPr>
                <w:rFonts w:hint="default" w:ascii="Times New Roman" w:hAnsi="Times New Roman" w:cs="Times New Roman"/>
                <w:spacing w:val="-2"/>
                <w:szCs w:val="18"/>
              </w:rPr>
              <w:t>砂当量</w:t>
            </w:r>
          </w:p>
        </w:tc>
        <w:tc>
          <w:tcPr>
            <w:tcW w:w="796" w:type="pct"/>
            <w:shd w:val="clear" w:color="auto" w:fill="auto"/>
            <w:vAlign w:val="center"/>
          </w:tcPr>
          <w:p w14:paraId="612C4F1F">
            <w:pPr>
              <w:pStyle w:val="194"/>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38" w:type="pct"/>
            <w:shd w:val="clear" w:color="auto" w:fill="auto"/>
            <w:vAlign w:val="center"/>
          </w:tcPr>
          <w:p w14:paraId="7BE432C6">
            <w:pPr>
              <w:pStyle w:val="194"/>
              <w:rPr>
                <w:rFonts w:hint="default" w:ascii="Times New Roman" w:hAnsi="Times New Roman" w:cs="Times New Roman"/>
                <w:spacing w:val="-2"/>
                <w:szCs w:val="18"/>
              </w:rPr>
            </w:pPr>
            <w:r>
              <w:rPr>
                <w:rFonts w:hint="default" w:ascii="Times New Roman" w:hAnsi="Times New Roman" w:cs="Times New Roman"/>
                <w:spacing w:val="-2"/>
                <w:szCs w:val="18"/>
              </w:rPr>
              <w:t>≥65</w:t>
            </w:r>
          </w:p>
        </w:tc>
        <w:tc>
          <w:tcPr>
            <w:tcW w:w="1252" w:type="pct"/>
            <w:shd w:val="clear" w:color="auto" w:fill="auto"/>
            <w:vAlign w:val="center"/>
          </w:tcPr>
          <w:p w14:paraId="7C7CBFF3">
            <w:pPr>
              <w:pStyle w:val="194"/>
              <w:rPr>
                <w:rFonts w:hint="default" w:ascii="Times New Roman" w:hAnsi="Times New Roman" w:cs="Times New Roman"/>
                <w:spacing w:val="-2"/>
                <w:szCs w:val="18"/>
                <w:lang w:val="fr-FR"/>
              </w:rPr>
            </w:pPr>
            <w:r>
              <w:rPr>
                <w:rFonts w:hint="default" w:ascii="Times New Roman" w:hAnsi="Times New Roman" w:cs="Times New Roman"/>
                <w:spacing w:val="-2"/>
                <w:szCs w:val="18"/>
                <w:lang w:val="fr-FR"/>
              </w:rPr>
              <w:t>T 0334</w:t>
            </w:r>
          </w:p>
        </w:tc>
      </w:tr>
      <w:tr w14:paraId="52FEF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14" w:type="pct"/>
            <w:shd w:val="clear" w:color="auto" w:fill="auto"/>
            <w:vAlign w:val="center"/>
          </w:tcPr>
          <w:p w14:paraId="040E1624">
            <w:pPr>
              <w:pStyle w:val="194"/>
              <w:rPr>
                <w:rFonts w:hint="default" w:ascii="Times New Roman" w:hAnsi="Times New Roman" w:cs="Times New Roman"/>
                <w:spacing w:val="-2"/>
                <w:szCs w:val="18"/>
              </w:rPr>
            </w:pPr>
            <w:r>
              <w:rPr>
                <w:rFonts w:hint="default" w:ascii="Times New Roman" w:hAnsi="Times New Roman" w:cs="Times New Roman"/>
                <w:spacing w:val="-2"/>
                <w:szCs w:val="18"/>
              </w:rPr>
              <w:t>亚甲蓝值</w:t>
            </w:r>
          </w:p>
        </w:tc>
        <w:tc>
          <w:tcPr>
            <w:tcW w:w="796" w:type="pct"/>
            <w:shd w:val="clear" w:color="auto" w:fill="auto"/>
            <w:vAlign w:val="center"/>
          </w:tcPr>
          <w:p w14:paraId="2B740EFD">
            <w:pPr>
              <w:pStyle w:val="194"/>
              <w:rPr>
                <w:rFonts w:hint="default" w:ascii="Times New Roman" w:hAnsi="Times New Roman" w:cs="Times New Roman"/>
                <w:spacing w:val="-2"/>
                <w:szCs w:val="18"/>
              </w:rPr>
            </w:pPr>
            <w:r>
              <w:rPr>
                <w:rFonts w:hint="default" w:ascii="Times New Roman" w:hAnsi="Times New Roman" w:cs="Times New Roman"/>
                <w:spacing w:val="-2"/>
                <w:szCs w:val="18"/>
              </w:rPr>
              <w:t>g/kg</w:t>
            </w:r>
          </w:p>
        </w:tc>
        <w:tc>
          <w:tcPr>
            <w:tcW w:w="1138" w:type="pct"/>
            <w:shd w:val="clear" w:color="auto" w:fill="auto"/>
            <w:vAlign w:val="center"/>
          </w:tcPr>
          <w:p w14:paraId="1E6FC452">
            <w:pPr>
              <w:pStyle w:val="194"/>
              <w:rPr>
                <w:rFonts w:hint="default" w:ascii="Times New Roman" w:hAnsi="Times New Roman" w:cs="Times New Roman"/>
                <w:spacing w:val="-2"/>
                <w:szCs w:val="18"/>
              </w:rPr>
            </w:pPr>
            <w:r>
              <w:rPr>
                <w:rFonts w:hint="default" w:ascii="Times New Roman" w:hAnsi="Times New Roman" w:cs="Times New Roman"/>
                <w:spacing w:val="-2"/>
                <w:szCs w:val="18"/>
              </w:rPr>
              <w:t>≤2.5</w:t>
            </w:r>
          </w:p>
        </w:tc>
        <w:tc>
          <w:tcPr>
            <w:tcW w:w="1252" w:type="pct"/>
            <w:shd w:val="clear" w:color="auto" w:fill="auto"/>
            <w:vAlign w:val="center"/>
          </w:tcPr>
          <w:p w14:paraId="40CB5169">
            <w:pPr>
              <w:pStyle w:val="194"/>
              <w:rPr>
                <w:rFonts w:hint="default" w:ascii="Times New Roman" w:hAnsi="Times New Roman" w:cs="Times New Roman"/>
                <w:spacing w:val="-2"/>
                <w:szCs w:val="18"/>
              </w:rPr>
            </w:pPr>
            <w:r>
              <w:rPr>
                <w:rFonts w:hint="default" w:ascii="Times New Roman" w:hAnsi="Times New Roman" w:cs="Times New Roman"/>
                <w:spacing w:val="-2"/>
                <w:szCs w:val="18"/>
              </w:rPr>
              <w:t>T 0349</w:t>
            </w:r>
          </w:p>
        </w:tc>
      </w:tr>
    </w:tbl>
    <w:p w14:paraId="3EA96CC8">
      <w:pPr>
        <w:numPr>
          <w:ilvl w:val="2"/>
          <w:numId w:val="0"/>
        </w:numPr>
        <w:spacing w:line="360" w:lineRule="auto"/>
        <w:ind w:left="284" w:leftChars="0" w:hanging="11" w:firstLineChars="0"/>
        <w:rPr>
          <w:rFonts w:hint="default" w:ascii="Times New Roman" w:hAnsi="Times New Roman" w:cs="Times New Roman"/>
          <w:sz w:val="24"/>
          <w:szCs w:val="32"/>
        </w:rPr>
      </w:pPr>
      <w:r>
        <w:rPr>
          <w:rFonts w:hint="eastAsia" w:cs="Times New Roman"/>
          <w:b/>
          <w:bCs/>
          <w:kern w:val="2"/>
          <w:sz w:val="24"/>
          <w:szCs w:val="32"/>
          <w:lang w:val="en-US" w:eastAsia="zh-CN" w:bidi="ar-SA"/>
        </w:rPr>
        <w:t>5</w:t>
      </w:r>
      <w:r>
        <w:rPr>
          <w:rFonts w:hint="default" w:ascii="Times New Roman" w:hAnsi="Times New Roman" w:eastAsia="宋体" w:cs="Times New Roman"/>
          <w:b/>
          <w:bCs/>
          <w:kern w:val="2"/>
          <w:sz w:val="24"/>
          <w:szCs w:val="32"/>
          <w:lang w:val="en-US" w:eastAsia="zh-CN" w:bidi="ar-SA"/>
        </w:rPr>
        <w:t>.4.2</w:t>
      </w:r>
      <w:r>
        <w:rPr>
          <w:rFonts w:hint="default" w:ascii="Times New Roman" w:hAnsi="Times New Roman" w:cs="Times New Roman"/>
          <w:sz w:val="24"/>
          <w:szCs w:val="32"/>
        </w:rPr>
        <w:t>细集料规格应符合表</w:t>
      </w:r>
      <w:r>
        <w:rPr>
          <w:rFonts w:hint="eastAsia" w:cs="Times New Roman"/>
          <w:sz w:val="24"/>
          <w:szCs w:val="32"/>
          <w:lang w:val="en-US" w:eastAsia="zh-CN"/>
        </w:rPr>
        <w:t>5</w:t>
      </w:r>
      <w:r>
        <w:rPr>
          <w:rFonts w:hint="default" w:ascii="Times New Roman" w:hAnsi="Times New Roman" w:cs="Times New Roman"/>
          <w:sz w:val="24"/>
          <w:szCs w:val="32"/>
        </w:rPr>
        <w:t>.4.2的规定。</w:t>
      </w:r>
    </w:p>
    <w:p w14:paraId="04BF0A14">
      <w:pPr>
        <w:pStyle w:val="192"/>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w:t>
      </w:r>
      <w:r>
        <w:rPr>
          <w:rFonts w:hint="eastAsia" w:eastAsia="黑体" w:cs="Times New Roman"/>
          <w:sz w:val="21"/>
          <w:szCs w:val="20"/>
          <w:lang w:val="en-US" w:eastAsia="zh-CN"/>
        </w:rPr>
        <w:t>5</w:t>
      </w:r>
      <w:r>
        <w:rPr>
          <w:rFonts w:hint="default" w:ascii="Times New Roman" w:hAnsi="Times New Roman" w:eastAsia="黑体" w:cs="Times New Roman"/>
          <w:sz w:val="21"/>
          <w:szCs w:val="20"/>
        </w:rPr>
        <w:t>.4.2细集料粒径规格要求</w:t>
      </w:r>
    </w:p>
    <w:tbl>
      <w:tblPr>
        <w:tblStyle w:val="19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63"/>
        <w:gridCol w:w="808"/>
        <w:gridCol w:w="858"/>
        <w:gridCol w:w="859"/>
        <w:gridCol w:w="809"/>
        <w:gridCol w:w="809"/>
        <w:gridCol w:w="809"/>
        <w:gridCol w:w="809"/>
        <w:gridCol w:w="812"/>
      </w:tblGrid>
      <w:tr w14:paraId="55524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0" w:hRule="atLeast"/>
          <w:tblHeader/>
        </w:trPr>
        <w:tc>
          <w:tcPr>
            <w:tcW w:w="1058" w:type="pct"/>
            <w:vMerge w:val="restart"/>
            <w:shd w:val="clear" w:color="auto" w:fill="auto"/>
            <w:vAlign w:val="center"/>
          </w:tcPr>
          <w:p w14:paraId="2FF25771">
            <w:pPr>
              <w:pStyle w:val="194"/>
              <w:rPr>
                <w:rFonts w:hint="default" w:ascii="Times New Roman" w:hAnsi="Times New Roman" w:cs="Times New Roman"/>
                <w:spacing w:val="-2"/>
                <w:szCs w:val="18"/>
              </w:rPr>
            </w:pPr>
            <w:r>
              <w:rPr>
                <w:rFonts w:hint="default" w:ascii="Times New Roman" w:hAnsi="Times New Roman" w:cs="Times New Roman"/>
                <w:spacing w:val="-2"/>
                <w:szCs w:val="18"/>
              </w:rPr>
              <w:t>公称粒径（mm）</w:t>
            </w:r>
          </w:p>
        </w:tc>
        <w:tc>
          <w:tcPr>
            <w:tcW w:w="3942" w:type="pct"/>
            <w:gridSpan w:val="8"/>
            <w:shd w:val="clear" w:color="auto" w:fill="auto"/>
          </w:tcPr>
          <w:p w14:paraId="7F114A09">
            <w:pPr>
              <w:pStyle w:val="194"/>
              <w:rPr>
                <w:rFonts w:hint="default" w:ascii="Times New Roman" w:hAnsi="Times New Roman" w:cs="Times New Roman"/>
                <w:spacing w:val="-2"/>
                <w:szCs w:val="18"/>
              </w:rPr>
            </w:pPr>
            <w:r>
              <w:rPr>
                <w:rFonts w:hint="default" w:ascii="Times New Roman" w:hAnsi="Times New Roman" w:cs="Times New Roman"/>
                <w:spacing w:val="-2"/>
                <w:szCs w:val="18"/>
              </w:rPr>
              <w:t>通过下列筛孔（方孔筛mm）的质量百分率（％）</w:t>
            </w:r>
          </w:p>
        </w:tc>
      </w:tr>
      <w:tr w14:paraId="52921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058" w:type="pct"/>
            <w:vMerge w:val="continue"/>
            <w:shd w:val="clear" w:color="auto" w:fill="auto"/>
          </w:tcPr>
          <w:p w14:paraId="4F729AAF">
            <w:pPr>
              <w:pStyle w:val="194"/>
              <w:rPr>
                <w:rFonts w:hint="default" w:ascii="Times New Roman" w:hAnsi="Times New Roman" w:cs="Times New Roman"/>
                <w:spacing w:val="-2"/>
                <w:szCs w:val="18"/>
              </w:rPr>
            </w:pPr>
          </w:p>
        </w:tc>
        <w:tc>
          <w:tcPr>
            <w:tcW w:w="485" w:type="pct"/>
            <w:shd w:val="clear" w:color="auto" w:fill="auto"/>
          </w:tcPr>
          <w:p w14:paraId="7AA518F7">
            <w:pPr>
              <w:pStyle w:val="194"/>
              <w:rPr>
                <w:rFonts w:hint="default" w:ascii="Times New Roman" w:hAnsi="Times New Roman" w:cs="Times New Roman"/>
                <w:spacing w:val="-2"/>
                <w:szCs w:val="18"/>
              </w:rPr>
            </w:pPr>
            <w:r>
              <w:rPr>
                <w:rFonts w:hint="default" w:ascii="Times New Roman" w:hAnsi="Times New Roman" w:cs="Times New Roman"/>
                <w:spacing w:val="-2"/>
                <w:szCs w:val="18"/>
              </w:rPr>
              <w:t>9.5</w:t>
            </w:r>
          </w:p>
        </w:tc>
        <w:tc>
          <w:tcPr>
            <w:tcW w:w="515" w:type="pct"/>
            <w:shd w:val="clear" w:color="auto" w:fill="auto"/>
          </w:tcPr>
          <w:p w14:paraId="2ABBC36D">
            <w:pPr>
              <w:pStyle w:val="194"/>
              <w:rPr>
                <w:rFonts w:hint="default" w:ascii="Times New Roman" w:hAnsi="Times New Roman" w:cs="Times New Roman"/>
                <w:spacing w:val="-2"/>
                <w:szCs w:val="18"/>
              </w:rPr>
            </w:pPr>
            <w:r>
              <w:rPr>
                <w:rFonts w:hint="default" w:ascii="Times New Roman" w:hAnsi="Times New Roman" w:cs="Times New Roman"/>
                <w:spacing w:val="-2"/>
                <w:szCs w:val="18"/>
              </w:rPr>
              <w:t>4.75</w:t>
            </w:r>
          </w:p>
        </w:tc>
        <w:tc>
          <w:tcPr>
            <w:tcW w:w="515" w:type="pct"/>
            <w:shd w:val="clear" w:color="auto" w:fill="auto"/>
          </w:tcPr>
          <w:p w14:paraId="004504A5">
            <w:pPr>
              <w:pStyle w:val="194"/>
              <w:rPr>
                <w:rFonts w:hint="default" w:ascii="Times New Roman" w:hAnsi="Times New Roman" w:cs="Times New Roman"/>
                <w:spacing w:val="-2"/>
                <w:szCs w:val="18"/>
              </w:rPr>
            </w:pPr>
            <w:r>
              <w:rPr>
                <w:rFonts w:hint="default" w:ascii="Times New Roman" w:hAnsi="Times New Roman" w:cs="Times New Roman"/>
                <w:spacing w:val="-2"/>
                <w:szCs w:val="18"/>
              </w:rPr>
              <w:t>2.36</w:t>
            </w:r>
          </w:p>
        </w:tc>
        <w:tc>
          <w:tcPr>
            <w:tcW w:w="485" w:type="pct"/>
            <w:shd w:val="clear" w:color="auto" w:fill="auto"/>
          </w:tcPr>
          <w:p w14:paraId="72CFCB76">
            <w:pPr>
              <w:pStyle w:val="194"/>
              <w:rPr>
                <w:rFonts w:hint="default" w:ascii="Times New Roman" w:hAnsi="Times New Roman" w:cs="Times New Roman"/>
                <w:spacing w:val="-2"/>
                <w:szCs w:val="18"/>
              </w:rPr>
            </w:pPr>
            <w:r>
              <w:rPr>
                <w:rFonts w:hint="default" w:ascii="Times New Roman" w:hAnsi="Times New Roman" w:cs="Times New Roman"/>
                <w:spacing w:val="-2"/>
                <w:szCs w:val="18"/>
              </w:rPr>
              <w:t>1.18</w:t>
            </w:r>
          </w:p>
        </w:tc>
        <w:tc>
          <w:tcPr>
            <w:tcW w:w="485" w:type="pct"/>
            <w:shd w:val="clear" w:color="auto" w:fill="auto"/>
          </w:tcPr>
          <w:p w14:paraId="28BD5D70">
            <w:pPr>
              <w:pStyle w:val="194"/>
              <w:rPr>
                <w:rFonts w:hint="default" w:ascii="Times New Roman" w:hAnsi="Times New Roman" w:cs="Times New Roman"/>
                <w:spacing w:val="-2"/>
                <w:szCs w:val="18"/>
              </w:rPr>
            </w:pPr>
            <w:r>
              <w:rPr>
                <w:rFonts w:hint="default" w:ascii="Times New Roman" w:hAnsi="Times New Roman" w:cs="Times New Roman"/>
                <w:spacing w:val="-2"/>
                <w:szCs w:val="18"/>
              </w:rPr>
              <w:t>0.6</w:t>
            </w:r>
          </w:p>
        </w:tc>
        <w:tc>
          <w:tcPr>
            <w:tcW w:w="485" w:type="pct"/>
            <w:shd w:val="clear" w:color="auto" w:fill="auto"/>
          </w:tcPr>
          <w:p w14:paraId="03B66563">
            <w:pPr>
              <w:pStyle w:val="194"/>
              <w:rPr>
                <w:rFonts w:hint="default" w:ascii="Times New Roman" w:hAnsi="Times New Roman" w:cs="Times New Roman"/>
                <w:spacing w:val="-2"/>
                <w:szCs w:val="18"/>
              </w:rPr>
            </w:pPr>
            <w:r>
              <w:rPr>
                <w:rFonts w:hint="default" w:ascii="Times New Roman" w:hAnsi="Times New Roman" w:cs="Times New Roman"/>
                <w:spacing w:val="-2"/>
                <w:szCs w:val="18"/>
              </w:rPr>
              <w:t>0.3</w:t>
            </w:r>
          </w:p>
        </w:tc>
        <w:tc>
          <w:tcPr>
            <w:tcW w:w="485" w:type="pct"/>
            <w:shd w:val="clear" w:color="auto" w:fill="auto"/>
          </w:tcPr>
          <w:p w14:paraId="075C3653">
            <w:pPr>
              <w:pStyle w:val="194"/>
              <w:rPr>
                <w:rFonts w:hint="default" w:ascii="Times New Roman" w:hAnsi="Times New Roman" w:cs="Times New Roman"/>
                <w:spacing w:val="-2"/>
                <w:szCs w:val="18"/>
              </w:rPr>
            </w:pPr>
            <w:r>
              <w:rPr>
                <w:rFonts w:hint="default" w:ascii="Times New Roman" w:hAnsi="Times New Roman" w:cs="Times New Roman"/>
                <w:spacing w:val="-2"/>
                <w:szCs w:val="18"/>
              </w:rPr>
              <w:t>0.15</w:t>
            </w:r>
          </w:p>
        </w:tc>
        <w:tc>
          <w:tcPr>
            <w:tcW w:w="487" w:type="pct"/>
            <w:shd w:val="clear" w:color="auto" w:fill="auto"/>
          </w:tcPr>
          <w:p w14:paraId="779CB9D5">
            <w:pPr>
              <w:pStyle w:val="194"/>
              <w:rPr>
                <w:rFonts w:hint="default" w:ascii="Times New Roman" w:hAnsi="Times New Roman" w:cs="Times New Roman"/>
                <w:spacing w:val="-2"/>
                <w:szCs w:val="18"/>
              </w:rPr>
            </w:pPr>
            <w:r>
              <w:rPr>
                <w:rFonts w:hint="default" w:ascii="Times New Roman" w:hAnsi="Times New Roman" w:cs="Times New Roman"/>
                <w:spacing w:val="-2"/>
                <w:szCs w:val="18"/>
              </w:rPr>
              <w:t>0.075</w:t>
            </w:r>
          </w:p>
        </w:tc>
      </w:tr>
      <w:tr w14:paraId="3CE09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58" w:type="pct"/>
            <w:shd w:val="clear" w:color="auto" w:fill="auto"/>
          </w:tcPr>
          <w:p w14:paraId="0A2C9102">
            <w:pPr>
              <w:pStyle w:val="194"/>
              <w:rPr>
                <w:rFonts w:hint="default" w:ascii="Times New Roman" w:hAnsi="Times New Roman" w:cs="Times New Roman"/>
                <w:spacing w:val="-2"/>
                <w:szCs w:val="18"/>
              </w:rPr>
            </w:pPr>
            <w:r>
              <w:rPr>
                <w:rFonts w:hint="default" w:ascii="Times New Roman" w:hAnsi="Times New Roman" w:cs="Times New Roman"/>
                <w:spacing w:val="-2"/>
                <w:szCs w:val="18"/>
              </w:rPr>
              <w:t>0~3</w:t>
            </w:r>
          </w:p>
        </w:tc>
        <w:tc>
          <w:tcPr>
            <w:tcW w:w="485" w:type="pct"/>
            <w:shd w:val="clear" w:color="auto" w:fill="auto"/>
          </w:tcPr>
          <w:p w14:paraId="6AC3C1E1">
            <w:pPr>
              <w:pStyle w:val="194"/>
              <w:rPr>
                <w:rFonts w:hint="default" w:ascii="Times New Roman" w:hAnsi="Times New Roman" w:cs="Times New Roman"/>
                <w:spacing w:val="-2"/>
                <w:szCs w:val="18"/>
              </w:rPr>
            </w:pPr>
          </w:p>
        </w:tc>
        <w:tc>
          <w:tcPr>
            <w:tcW w:w="515" w:type="pct"/>
            <w:shd w:val="clear" w:color="auto" w:fill="auto"/>
          </w:tcPr>
          <w:p w14:paraId="72F1D1DE">
            <w:pPr>
              <w:pStyle w:val="194"/>
              <w:rPr>
                <w:rFonts w:hint="default" w:ascii="Times New Roman" w:hAnsi="Times New Roman" w:cs="Times New Roman"/>
                <w:spacing w:val="-2"/>
                <w:szCs w:val="18"/>
              </w:rPr>
            </w:pPr>
            <w:r>
              <w:rPr>
                <w:rFonts w:hint="default" w:ascii="Times New Roman" w:hAnsi="Times New Roman" w:cs="Times New Roman"/>
                <w:spacing w:val="-2"/>
                <w:szCs w:val="18"/>
              </w:rPr>
              <w:t>100</w:t>
            </w:r>
          </w:p>
        </w:tc>
        <w:tc>
          <w:tcPr>
            <w:tcW w:w="515" w:type="pct"/>
            <w:shd w:val="clear" w:color="auto" w:fill="auto"/>
          </w:tcPr>
          <w:p w14:paraId="420D1886">
            <w:pPr>
              <w:pStyle w:val="194"/>
              <w:rPr>
                <w:rFonts w:hint="default" w:ascii="Times New Roman" w:hAnsi="Times New Roman" w:cs="Times New Roman"/>
                <w:spacing w:val="-2"/>
                <w:szCs w:val="18"/>
              </w:rPr>
            </w:pPr>
            <w:r>
              <w:rPr>
                <w:rFonts w:hint="default" w:ascii="Times New Roman" w:hAnsi="Times New Roman" w:cs="Times New Roman"/>
                <w:spacing w:val="-2"/>
                <w:szCs w:val="18"/>
              </w:rPr>
              <w:t>80~100</w:t>
            </w:r>
          </w:p>
        </w:tc>
        <w:tc>
          <w:tcPr>
            <w:tcW w:w="485" w:type="pct"/>
            <w:shd w:val="clear" w:color="auto" w:fill="auto"/>
          </w:tcPr>
          <w:p w14:paraId="0B72B5A8">
            <w:pPr>
              <w:pStyle w:val="194"/>
              <w:rPr>
                <w:rFonts w:hint="default" w:ascii="Times New Roman" w:hAnsi="Times New Roman" w:cs="Times New Roman"/>
                <w:spacing w:val="-2"/>
                <w:szCs w:val="18"/>
              </w:rPr>
            </w:pPr>
            <w:r>
              <w:rPr>
                <w:rFonts w:hint="default" w:ascii="Times New Roman" w:hAnsi="Times New Roman" w:cs="Times New Roman"/>
                <w:spacing w:val="-2"/>
                <w:szCs w:val="18"/>
              </w:rPr>
              <w:t>50~80</w:t>
            </w:r>
          </w:p>
        </w:tc>
        <w:tc>
          <w:tcPr>
            <w:tcW w:w="485" w:type="pct"/>
            <w:shd w:val="clear" w:color="auto" w:fill="auto"/>
          </w:tcPr>
          <w:p w14:paraId="4AAFB3DD">
            <w:pPr>
              <w:pStyle w:val="194"/>
              <w:rPr>
                <w:rFonts w:hint="default" w:ascii="Times New Roman" w:hAnsi="Times New Roman" w:cs="Times New Roman"/>
                <w:spacing w:val="-2"/>
                <w:szCs w:val="18"/>
              </w:rPr>
            </w:pPr>
            <w:r>
              <w:rPr>
                <w:rFonts w:hint="default" w:ascii="Times New Roman" w:hAnsi="Times New Roman" w:cs="Times New Roman"/>
                <w:spacing w:val="-2"/>
                <w:szCs w:val="18"/>
              </w:rPr>
              <w:t>25~60</w:t>
            </w:r>
          </w:p>
        </w:tc>
        <w:tc>
          <w:tcPr>
            <w:tcW w:w="485" w:type="pct"/>
            <w:shd w:val="clear" w:color="auto" w:fill="auto"/>
          </w:tcPr>
          <w:p w14:paraId="51940A36">
            <w:pPr>
              <w:pStyle w:val="194"/>
              <w:rPr>
                <w:rFonts w:hint="default" w:ascii="Times New Roman" w:hAnsi="Times New Roman" w:cs="Times New Roman"/>
                <w:spacing w:val="-2"/>
                <w:szCs w:val="18"/>
              </w:rPr>
            </w:pPr>
            <w:r>
              <w:rPr>
                <w:rFonts w:hint="default" w:ascii="Times New Roman" w:hAnsi="Times New Roman" w:cs="Times New Roman"/>
                <w:spacing w:val="-2"/>
                <w:szCs w:val="18"/>
              </w:rPr>
              <w:t>8~45</w:t>
            </w:r>
          </w:p>
        </w:tc>
        <w:tc>
          <w:tcPr>
            <w:tcW w:w="485" w:type="pct"/>
            <w:shd w:val="clear" w:color="auto" w:fill="auto"/>
          </w:tcPr>
          <w:p w14:paraId="3758AD28">
            <w:pPr>
              <w:pStyle w:val="194"/>
              <w:rPr>
                <w:rFonts w:hint="default" w:ascii="Times New Roman" w:hAnsi="Times New Roman" w:cs="Times New Roman"/>
                <w:spacing w:val="-2"/>
                <w:szCs w:val="18"/>
              </w:rPr>
            </w:pPr>
            <w:r>
              <w:rPr>
                <w:rFonts w:hint="default" w:ascii="Times New Roman" w:hAnsi="Times New Roman" w:cs="Times New Roman"/>
                <w:spacing w:val="-2"/>
                <w:szCs w:val="18"/>
              </w:rPr>
              <w:t>0~25</w:t>
            </w:r>
          </w:p>
        </w:tc>
        <w:tc>
          <w:tcPr>
            <w:tcW w:w="487" w:type="pct"/>
            <w:shd w:val="clear" w:color="auto" w:fill="auto"/>
          </w:tcPr>
          <w:p w14:paraId="5FF7B4D1">
            <w:pPr>
              <w:pStyle w:val="194"/>
              <w:rPr>
                <w:rFonts w:hint="default" w:ascii="Times New Roman" w:hAnsi="Times New Roman" w:cs="Times New Roman"/>
                <w:spacing w:val="-2"/>
                <w:szCs w:val="18"/>
              </w:rPr>
            </w:pPr>
            <w:r>
              <w:rPr>
                <w:rFonts w:hint="default" w:ascii="Times New Roman" w:hAnsi="Times New Roman" w:cs="Times New Roman"/>
                <w:spacing w:val="-2"/>
                <w:szCs w:val="18"/>
              </w:rPr>
              <w:t>0~10</w:t>
            </w:r>
          </w:p>
        </w:tc>
      </w:tr>
    </w:tbl>
    <w:p w14:paraId="275DD260">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31" w:name="_Toc22266"/>
      <w:r>
        <w:rPr>
          <w:rFonts w:hint="eastAsia" w:ascii="Times New Roman" w:eastAsia="宋体" w:cs="Times New Roman"/>
          <w:b/>
          <w:bCs/>
          <w:sz w:val="24"/>
          <w:szCs w:val="21"/>
          <w:lang w:val="en-US" w:eastAsia="zh-CN" w:bidi="ar-SA"/>
        </w:rPr>
        <w:t>5</w:t>
      </w:r>
      <w:r>
        <w:rPr>
          <w:rFonts w:hint="default" w:ascii="Times New Roman" w:hAnsi="Times New Roman" w:eastAsia="宋体" w:cs="Times New Roman"/>
          <w:b/>
          <w:bCs/>
          <w:sz w:val="24"/>
          <w:szCs w:val="21"/>
          <w:lang w:val="en-US" w:eastAsia="zh-CN" w:bidi="ar-SA"/>
        </w:rPr>
        <w:t>.5</w:t>
      </w:r>
      <w:r>
        <w:rPr>
          <w:rFonts w:hint="default" w:ascii="Times New Roman" w:hAnsi="Times New Roman" w:eastAsia="宋体" w:cs="Times New Roman"/>
          <w:b/>
          <w:bCs/>
          <w:sz w:val="24"/>
        </w:rPr>
        <w:t>填料</w:t>
      </w:r>
      <w:bookmarkEnd w:id="31"/>
    </w:p>
    <w:p w14:paraId="79B9A99F">
      <w:pPr>
        <w:numPr>
          <w:ilvl w:val="2"/>
          <w:numId w:val="0"/>
        </w:numPr>
        <w:spacing w:line="360" w:lineRule="auto"/>
        <w:ind w:left="0" w:leftChars="0" w:firstLine="241" w:firstLineChars="100"/>
        <w:rPr>
          <w:rFonts w:hint="default" w:ascii="Times New Roman" w:hAnsi="Times New Roman" w:cs="Times New Roman"/>
          <w:kern w:val="0"/>
          <w:sz w:val="24"/>
        </w:rPr>
      </w:pPr>
      <w:r>
        <w:rPr>
          <w:rFonts w:hint="eastAsia" w:cs="Times New Roman"/>
          <w:b/>
          <w:bCs/>
          <w:kern w:val="0"/>
          <w:sz w:val="24"/>
          <w:szCs w:val="24"/>
          <w:lang w:val="en-US" w:eastAsia="zh-CN" w:bidi="ar-SA"/>
        </w:rPr>
        <w:t>5</w:t>
      </w:r>
      <w:r>
        <w:rPr>
          <w:rFonts w:hint="default" w:ascii="Times New Roman" w:hAnsi="Times New Roman" w:eastAsia="宋体" w:cs="Times New Roman"/>
          <w:b/>
          <w:bCs/>
          <w:kern w:val="0"/>
          <w:sz w:val="24"/>
          <w:szCs w:val="24"/>
          <w:lang w:val="en-US" w:eastAsia="zh-CN" w:bidi="ar-SA"/>
        </w:rPr>
        <w:t>.5.1</w:t>
      </w:r>
      <w:r>
        <w:rPr>
          <w:rFonts w:hint="default" w:ascii="Times New Roman" w:hAnsi="Times New Roman" w:cs="Times New Roman"/>
          <w:kern w:val="0"/>
          <w:sz w:val="24"/>
        </w:rPr>
        <w:t>冷拌超表处矿料中可视情况掺加矿粉、水泥、消石灰等材料作为填料。填料应符合《公路沥青路面施工技术规范》（JTG F40）中的相关要求。</w:t>
      </w:r>
    </w:p>
    <w:p w14:paraId="695488D9">
      <w:pPr>
        <w:numPr>
          <w:ilvl w:val="2"/>
          <w:numId w:val="0"/>
        </w:numPr>
        <w:spacing w:line="360" w:lineRule="auto"/>
        <w:ind w:left="0" w:leftChars="0" w:firstLine="241" w:firstLineChars="100"/>
        <w:rPr>
          <w:rFonts w:hint="default" w:ascii="Times New Roman" w:hAnsi="Times New Roman" w:cs="Times New Roman"/>
          <w:kern w:val="0"/>
          <w:sz w:val="24"/>
        </w:rPr>
      </w:pPr>
      <w:r>
        <w:rPr>
          <w:rFonts w:hint="eastAsia" w:cs="Times New Roman"/>
          <w:b/>
          <w:bCs/>
          <w:kern w:val="0"/>
          <w:sz w:val="24"/>
          <w:szCs w:val="24"/>
          <w:lang w:val="en-US" w:eastAsia="zh-CN" w:bidi="ar-SA"/>
        </w:rPr>
        <w:t>5</w:t>
      </w:r>
      <w:r>
        <w:rPr>
          <w:rFonts w:hint="default" w:ascii="Times New Roman" w:hAnsi="Times New Roman" w:eastAsia="宋体" w:cs="Times New Roman"/>
          <w:b/>
          <w:bCs/>
          <w:kern w:val="0"/>
          <w:sz w:val="24"/>
          <w:szCs w:val="24"/>
          <w:lang w:val="en-US" w:eastAsia="zh-CN" w:bidi="ar-SA"/>
        </w:rPr>
        <w:t>.5.2</w:t>
      </w:r>
      <w:r>
        <w:rPr>
          <w:rFonts w:hint="default" w:ascii="Times New Roman" w:hAnsi="Times New Roman" w:cs="Times New Roman"/>
          <w:kern w:val="0"/>
          <w:sz w:val="24"/>
        </w:rPr>
        <w:t>填料的添加量应通过混合料设计试验确定。</w:t>
      </w:r>
    </w:p>
    <w:p w14:paraId="64E941BC">
      <w:pPr>
        <w:numPr>
          <w:ilvl w:val="2"/>
          <w:numId w:val="0"/>
        </w:numPr>
        <w:spacing w:line="360" w:lineRule="auto"/>
        <w:ind w:left="0" w:leftChars="0" w:firstLine="241" w:firstLineChars="100"/>
        <w:rPr>
          <w:rFonts w:hint="default" w:ascii="Times New Roman" w:hAnsi="Times New Roman" w:cs="Times New Roman"/>
          <w:kern w:val="0"/>
          <w:sz w:val="24"/>
        </w:rPr>
      </w:pPr>
      <w:r>
        <w:rPr>
          <w:rFonts w:hint="eastAsia" w:cs="Times New Roman"/>
          <w:b/>
          <w:bCs/>
          <w:kern w:val="0"/>
          <w:sz w:val="24"/>
          <w:szCs w:val="24"/>
          <w:lang w:val="en-US" w:eastAsia="zh-CN" w:bidi="ar-SA"/>
        </w:rPr>
        <w:t>5</w:t>
      </w:r>
      <w:r>
        <w:rPr>
          <w:rFonts w:hint="default" w:ascii="Times New Roman" w:hAnsi="Times New Roman" w:eastAsia="宋体" w:cs="Times New Roman"/>
          <w:b/>
          <w:bCs/>
          <w:kern w:val="0"/>
          <w:sz w:val="24"/>
          <w:szCs w:val="24"/>
          <w:lang w:val="en-US" w:eastAsia="zh-CN" w:bidi="ar-SA"/>
        </w:rPr>
        <w:t>.5.3</w:t>
      </w:r>
      <w:r>
        <w:rPr>
          <w:rFonts w:hint="default" w:ascii="Times New Roman" w:hAnsi="Times New Roman" w:cs="Times New Roman"/>
          <w:kern w:val="0"/>
          <w:sz w:val="24"/>
        </w:rPr>
        <w:t>冷拌超表处用水不得含有有害的可溶性盐类、能引起化学反应的物质和其他污染物，宜采用可供生活饮用的水。</w:t>
      </w:r>
    </w:p>
    <w:p w14:paraId="638BA708">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32" w:name="_Toc9430"/>
      <w:r>
        <w:rPr>
          <w:rFonts w:hint="eastAsia" w:ascii="Times New Roman" w:eastAsia="宋体" w:cs="Times New Roman"/>
          <w:b/>
          <w:bCs/>
          <w:sz w:val="24"/>
          <w:szCs w:val="21"/>
          <w:lang w:val="en-US" w:eastAsia="zh-CN" w:bidi="ar-SA"/>
        </w:rPr>
        <w:t>5</w:t>
      </w:r>
      <w:r>
        <w:rPr>
          <w:rFonts w:hint="default" w:ascii="Times New Roman" w:hAnsi="Times New Roman" w:eastAsia="宋体" w:cs="Times New Roman"/>
          <w:b/>
          <w:bCs/>
          <w:sz w:val="24"/>
          <w:szCs w:val="21"/>
          <w:lang w:val="en-US" w:eastAsia="zh-CN" w:bidi="ar-SA"/>
        </w:rPr>
        <w:t>.6</w:t>
      </w:r>
      <w:r>
        <w:rPr>
          <w:rFonts w:hint="default" w:ascii="Times New Roman" w:hAnsi="Times New Roman" w:eastAsia="宋体" w:cs="Times New Roman"/>
          <w:b/>
          <w:bCs/>
          <w:sz w:val="24"/>
        </w:rPr>
        <w:t>灌缝胶</w:t>
      </w:r>
      <w:bookmarkEnd w:id="32"/>
    </w:p>
    <w:p w14:paraId="7F93C0A8">
      <w:pPr>
        <w:numPr>
          <w:ilvl w:val="2"/>
          <w:numId w:val="0"/>
        </w:numPr>
        <w:spacing w:line="360" w:lineRule="auto"/>
        <w:ind w:left="0" w:leftChars="0" w:firstLine="241" w:firstLineChars="100"/>
        <w:rPr>
          <w:rFonts w:hint="default" w:ascii="Times New Roman" w:hAnsi="Times New Roman" w:cs="Times New Roman"/>
          <w:kern w:val="0"/>
          <w:sz w:val="24"/>
        </w:rPr>
      </w:pPr>
      <w:r>
        <w:rPr>
          <w:rFonts w:hint="eastAsia" w:cs="Times New Roman"/>
          <w:b/>
          <w:bCs/>
          <w:kern w:val="0"/>
          <w:sz w:val="24"/>
          <w:szCs w:val="24"/>
          <w:lang w:val="en-US" w:eastAsia="zh-CN" w:bidi="ar-SA"/>
        </w:rPr>
        <w:t>5</w:t>
      </w:r>
      <w:r>
        <w:rPr>
          <w:rFonts w:hint="default" w:ascii="Times New Roman" w:hAnsi="Times New Roman" w:eastAsia="宋体" w:cs="Times New Roman"/>
          <w:b/>
          <w:bCs/>
          <w:kern w:val="0"/>
          <w:sz w:val="24"/>
          <w:szCs w:val="24"/>
          <w:lang w:val="en-US" w:eastAsia="zh-CN" w:bidi="ar-SA"/>
        </w:rPr>
        <w:t>.6.1</w:t>
      </w:r>
      <w:r>
        <w:rPr>
          <w:rFonts w:hint="default" w:ascii="Times New Roman" w:hAnsi="Times New Roman" w:cs="Times New Roman"/>
          <w:kern w:val="0"/>
          <w:sz w:val="24"/>
        </w:rPr>
        <w:t>原路面裂缝宜采用灌缝胶进行处理，灌缝胶的质量应符合表</w:t>
      </w:r>
      <w:r>
        <w:rPr>
          <w:rFonts w:hint="eastAsia" w:cs="Times New Roman"/>
          <w:kern w:val="0"/>
          <w:sz w:val="24"/>
          <w:lang w:val="en-US" w:eastAsia="zh-CN"/>
        </w:rPr>
        <w:t>5</w:t>
      </w:r>
      <w:r>
        <w:rPr>
          <w:rFonts w:hint="default" w:ascii="Times New Roman" w:hAnsi="Times New Roman" w:cs="Times New Roman"/>
          <w:kern w:val="0"/>
          <w:sz w:val="24"/>
        </w:rPr>
        <w:t>.4.1的规定。</w:t>
      </w:r>
    </w:p>
    <w:p w14:paraId="6252FCAB">
      <w:pPr>
        <w:pStyle w:val="192"/>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w:t>
      </w:r>
      <w:r>
        <w:rPr>
          <w:rFonts w:hint="eastAsia" w:eastAsia="黑体" w:cs="Times New Roman"/>
          <w:sz w:val="21"/>
          <w:szCs w:val="20"/>
          <w:lang w:val="en-US" w:eastAsia="zh-CN"/>
        </w:rPr>
        <w:t>5</w:t>
      </w:r>
      <w:r>
        <w:rPr>
          <w:rFonts w:hint="default" w:ascii="Times New Roman" w:hAnsi="Times New Roman" w:eastAsia="黑体" w:cs="Times New Roman"/>
          <w:sz w:val="21"/>
          <w:szCs w:val="20"/>
        </w:rPr>
        <w:t>.4.1灌缝胶技术指标</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97"/>
        <w:gridCol w:w="1571"/>
        <w:gridCol w:w="1429"/>
        <w:gridCol w:w="1639"/>
      </w:tblGrid>
      <w:tr w14:paraId="0E0C5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24B40DE8">
            <w:pPr>
              <w:pStyle w:val="194"/>
              <w:rPr>
                <w:rFonts w:hint="default" w:ascii="Times New Roman" w:hAnsi="Times New Roman" w:cs="Times New Roman"/>
                <w:spacing w:val="-2"/>
                <w:szCs w:val="18"/>
              </w:rPr>
            </w:pPr>
            <w:r>
              <w:rPr>
                <w:rFonts w:hint="default" w:ascii="Times New Roman" w:hAnsi="Times New Roman" w:cs="Times New Roman"/>
                <w:spacing w:val="-2"/>
                <w:szCs w:val="18"/>
              </w:rPr>
              <w:t>项目</w:t>
            </w:r>
          </w:p>
        </w:tc>
        <w:tc>
          <w:tcPr>
            <w:tcW w:w="942" w:type="pct"/>
            <w:shd w:val="clear" w:color="auto" w:fill="auto"/>
          </w:tcPr>
          <w:p w14:paraId="2A863255">
            <w:pPr>
              <w:pStyle w:val="194"/>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857" w:type="pct"/>
            <w:shd w:val="clear" w:color="auto" w:fill="auto"/>
            <w:vAlign w:val="center"/>
          </w:tcPr>
          <w:p w14:paraId="7945B16E">
            <w:pPr>
              <w:pStyle w:val="194"/>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983" w:type="pct"/>
            <w:shd w:val="clear" w:color="auto" w:fill="auto"/>
            <w:vAlign w:val="center"/>
          </w:tcPr>
          <w:p w14:paraId="01B4BEE7">
            <w:pPr>
              <w:pStyle w:val="194"/>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5BF78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09F79594">
            <w:pPr>
              <w:pStyle w:val="194"/>
              <w:rPr>
                <w:rFonts w:hint="default" w:ascii="Times New Roman" w:hAnsi="Times New Roman" w:cs="Times New Roman"/>
                <w:spacing w:val="-2"/>
                <w:szCs w:val="18"/>
              </w:rPr>
            </w:pPr>
            <w:r>
              <w:rPr>
                <w:rFonts w:hint="default" w:ascii="Times New Roman" w:hAnsi="Times New Roman" w:cs="Times New Roman"/>
                <w:spacing w:val="-2"/>
                <w:szCs w:val="18"/>
              </w:rPr>
              <w:t>软化点（T</w:t>
            </w:r>
            <w:r>
              <w:rPr>
                <w:rFonts w:hint="default" w:ascii="Times New Roman" w:hAnsi="Times New Roman" w:cs="Times New Roman"/>
                <w:spacing w:val="-2"/>
                <w:szCs w:val="18"/>
                <w:vertAlign w:val="subscript"/>
              </w:rPr>
              <w:t>R&amp;B</w:t>
            </w:r>
            <w:r>
              <w:rPr>
                <w:rFonts w:hint="default" w:ascii="Times New Roman" w:hAnsi="Times New Roman" w:cs="Times New Roman"/>
                <w:spacing w:val="-2"/>
                <w:szCs w:val="18"/>
              </w:rPr>
              <w:t>）</w:t>
            </w:r>
          </w:p>
        </w:tc>
        <w:tc>
          <w:tcPr>
            <w:tcW w:w="942" w:type="pct"/>
            <w:shd w:val="clear" w:color="auto" w:fill="auto"/>
          </w:tcPr>
          <w:p w14:paraId="7A31F86C">
            <w:pPr>
              <w:pStyle w:val="194"/>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6A144722">
            <w:pPr>
              <w:pStyle w:val="194"/>
              <w:rPr>
                <w:rFonts w:hint="default" w:ascii="Times New Roman" w:hAnsi="Times New Roman" w:cs="Times New Roman"/>
                <w:spacing w:val="-2"/>
                <w:szCs w:val="18"/>
              </w:rPr>
            </w:pPr>
            <w:r>
              <w:rPr>
                <w:rFonts w:hint="default" w:ascii="Times New Roman" w:hAnsi="Times New Roman" w:cs="Times New Roman"/>
                <w:spacing w:val="-2"/>
                <w:szCs w:val="18"/>
              </w:rPr>
              <w:t>≥90</w:t>
            </w:r>
          </w:p>
        </w:tc>
        <w:tc>
          <w:tcPr>
            <w:tcW w:w="983" w:type="pct"/>
            <w:shd w:val="clear" w:color="auto" w:fill="auto"/>
            <w:vAlign w:val="center"/>
          </w:tcPr>
          <w:p w14:paraId="26F9E5F4">
            <w:pPr>
              <w:pStyle w:val="194"/>
              <w:rPr>
                <w:rFonts w:hint="default" w:ascii="Times New Roman" w:hAnsi="Times New Roman" w:cs="Times New Roman"/>
                <w:spacing w:val="-2"/>
                <w:szCs w:val="18"/>
              </w:rPr>
            </w:pPr>
            <w:r>
              <w:rPr>
                <w:rFonts w:hint="default" w:ascii="Times New Roman" w:hAnsi="Times New Roman" w:cs="Times New Roman"/>
                <w:spacing w:val="-2"/>
                <w:szCs w:val="18"/>
              </w:rPr>
              <w:t>T 0606</w:t>
            </w:r>
          </w:p>
        </w:tc>
      </w:tr>
      <w:tr w14:paraId="467E8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42C749DE">
            <w:pPr>
              <w:pStyle w:val="194"/>
              <w:rPr>
                <w:rFonts w:hint="default" w:ascii="Times New Roman" w:hAnsi="Times New Roman" w:cs="Times New Roman"/>
                <w:spacing w:val="-2"/>
                <w:szCs w:val="18"/>
              </w:rPr>
            </w:pPr>
            <w:r>
              <w:rPr>
                <w:rFonts w:hint="default" w:ascii="Times New Roman" w:hAnsi="Times New Roman" w:cs="Times New Roman"/>
                <w:spacing w:val="-2"/>
                <w:szCs w:val="18"/>
              </w:rPr>
              <w:t xml:space="preserve">锥入度（150g,25℃,5s） </w:t>
            </w:r>
          </w:p>
        </w:tc>
        <w:tc>
          <w:tcPr>
            <w:tcW w:w="942" w:type="pct"/>
            <w:shd w:val="clear" w:color="auto" w:fill="auto"/>
            <w:vAlign w:val="center"/>
          </w:tcPr>
          <w:p w14:paraId="7269A3DC">
            <w:pPr>
              <w:pStyle w:val="194"/>
              <w:rPr>
                <w:rFonts w:hint="default" w:ascii="Times New Roman" w:hAnsi="Times New Roman" w:cs="Times New Roman"/>
                <w:spacing w:val="-2"/>
                <w:szCs w:val="18"/>
              </w:rPr>
            </w:pPr>
            <w:r>
              <w:rPr>
                <w:rFonts w:hint="default" w:ascii="Times New Roman" w:hAnsi="Times New Roman" w:cs="Times New Roman"/>
                <w:spacing w:val="-2"/>
                <w:szCs w:val="18"/>
              </w:rPr>
              <w:t>0.1mm</w:t>
            </w:r>
          </w:p>
        </w:tc>
        <w:tc>
          <w:tcPr>
            <w:tcW w:w="857" w:type="pct"/>
            <w:shd w:val="clear" w:color="auto" w:fill="auto"/>
            <w:vAlign w:val="center"/>
          </w:tcPr>
          <w:p w14:paraId="59C0236F">
            <w:pPr>
              <w:pStyle w:val="194"/>
              <w:rPr>
                <w:rFonts w:hint="default" w:ascii="Times New Roman" w:hAnsi="Times New Roman" w:cs="Times New Roman"/>
                <w:spacing w:val="-2"/>
                <w:szCs w:val="18"/>
              </w:rPr>
            </w:pPr>
            <w:r>
              <w:rPr>
                <w:rFonts w:hint="default" w:ascii="Times New Roman" w:hAnsi="Times New Roman" w:cs="Times New Roman"/>
                <w:spacing w:val="-2"/>
                <w:szCs w:val="18"/>
              </w:rPr>
              <w:t>50-90</w:t>
            </w:r>
          </w:p>
        </w:tc>
        <w:tc>
          <w:tcPr>
            <w:tcW w:w="983" w:type="pct"/>
            <w:shd w:val="clear" w:color="auto" w:fill="auto"/>
            <w:vAlign w:val="center"/>
          </w:tcPr>
          <w:p w14:paraId="3B1C448C">
            <w:pPr>
              <w:pStyle w:val="194"/>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72C64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7EE4B17B">
            <w:pPr>
              <w:pStyle w:val="194"/>
              <w:rPr>
                <w:rFonts w:hint="default" w:ascii="Times New Roman" w:hAnsi="Times New Roman" w:cs="Times New Roman"/>
                <w:spacing w:val="-2"/>
                <w:szCs w:val="18"/>
              </w:rPr>
            </w:pPr>
            <w:r>
              <w:rPr>
                <w:rFonts w:hint="default" w:ascii="Times New Roman" w:hAnsi="Times New Roman" w:cs="Times New Roman"/>
                <w:spacing w:val="-2"/>
                <w:szCs w:val="18"/>
              </w:rPr>
              <w:t>弹性恢复率 （75g，25℃）</w:t>
            </w:r>
          </w:p>
        </w:tc>
        <w:tc>
          <w:tcPr>
            <w:tcW w:w="942" w:type="pct"/>
            <w:shd w:val="clear" w:color="auto" w:fill="auto"/>
          </w:tcPr>
          <w:p w14:paraId="2679BA77">
            <w:pPr>
              <w:pStyle w:val="194"/>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26F32799">
            <w:pPr>
              <w:pStyle w:val="194"/>
              <w:rPr>
                <w:rFonts w:hint="default" w:ascii="Times New Roman" w:hAnsi="Times New Roman" w:cs="Times New Roman"/>
                <w:spacing w:val="-2"/>
                <w:szCs w:val="18"/>
              </w:rPr>
            </w:pPr>
            <w:r>
              <w:rPr>
                <w:rFonts w:hint="default" w:ascii="Times New Roman" w:hAnsi="Times New Roman" w:cs="Times New Roman"/>
                <w:spacing w:val="-2"/>
                <w:szCs w:val="18"/>
              </w:rPr>
              <w:t>30~70</w:t>
            </w:r>
          </w:p>
        </w:tc>
        <w:tc>
          <w:tcPr>
            <w:tcW w:w="983" w:type="pct"/>
            <w:shd w:val="clear" w:color="auto" w:fill="auto"/>
            <w:vAlign w:val="center"/>
          </w:tcPr>
          <w:p w14:paraId="5942CD2E">
            <w:pPr>
              <w:pStyle w:val="194"/>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57276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3C3F0C03">
            <w:pPr>
              <w:pStyle w:val="194"/>
              <w:rPr>
                <w:rFonts w:hint="default" w:ascii="Times New Roman" w:hAnsi="Times New Roman" w:cs="Times New Roman"/>
                <w:spacing w:val="-2"/>
                <w:szCs w:val="18"/>
              </w:rPr>
            </w:pPr>
            <w:r>
              <w:rPr>
                <w:rFonts w:hint="default" w:ascii="Times New Roman" w:hAnsi="Times New Roman" w:cs="Times New Roman"/>
                <w:spacing w:val="-2"/>
                <w:szCs w:val="18"/>
              </w:rPr>
              <w:t>流动值</w:t>
            </w:r>
          </w:p>
        </w:tc>
        <w:tc>
          <w:tcPr>
            <w:tcW w:w="942" w:type="pct"/>
            <w:shd w:val="clear" w:color="auto" w:fill="auto"/>
          </w:tcPr>
          <w:p w14:paraId="59BCA2EF">
            <w:pPr>
              <w:pStyle w:val="194"/>
              <w:rPr>
                <w:rFonts w:hint="default" w:ascii="Times New Roman" w:hAnsi="Times New Roman" w:cs="Times New Roman"/>
                <w:spacing w:val="-2"/>
                <w:szCs w:val="18"/>
              </w:rPr>
            </w:pPr>
            <w:r>
              <w:rPr>
                <w:rFonts w:hint="default" w:ascii="Times New Roman" w:hAnsi="Times New Roman" w:cs="Times New Roman"/>
                <w:spacing w:val="-2"/>
                <w:szCs w:val="18"/>
              </w:rPr>
              <w:t>mm</w:t>
            </w:r>
          </w:p>
        </w:tc>
        <w:tc>
          <w:tcPr>
            <w:tcW w:w="857" w:type="pct"/>
            <w:shd w:val="clear" w:color="auto" w:fill="auto"/>
            <w:vAlign w:val="center"/>
          </w:tcPr>
          <w:p w14:paraId="34C38E7B">
            <w:pPr>
              <w:pStyle w:val="194"/>
              <w:rPr>
                <w:rFonts w:hint="default" w:ascii="Times New Roman" w:hAnsi="Times New Roman" w:cs="Times New Roman"/>
                <w:spacing w:val="-2"/>
                <w:szCs w:val="18"/>
              </w:rPr>
            </w:pPr>
            <w:r>
              <w:rPr>
                <w:rFonts w:hint="default" w:ascii="Times New Roman" w:hAnsi="Times New Roman" w:cs="Times New Roman"/>
                <w:spacing w:val="-2"/>
                <w:szCs w:val="18"/>
              </w:rPr>
              <w:t>≤3</w:t>
            </w:r>
          </w:p>
        </w:tc>
        <w:tc>
          <w:tcPr>
            <w:tcW w:w="983" w:type="pct"/>
            <w:shd w:val="clear" w:color="auto" w:fill="auto"/>
            <w:vAlign w:val="center"/>
          </w:tcPr>
          <w:p w14:paraId="4D3DCE7D">
            <w:pPr>
              <w:pStyle w:val="194"/>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7BF00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1DCEAD7C">
            <w:pPr>
              <w:pStyle w:val="194"/>
              <w:rPr>
                <w:rFonts w:hint="default" w:ascii="Times New Roman" w:hAnsi="Times New Roman" w:cs="Times New Roman"/>
                <w:spacing w:val="-2"/>
                <w:szCs w:val="18"/>
              </w:rPr>
            </w:pPr>
            <w:r>
              <w:rPr>
                <w:rFonts w:hint="default" w:ascii="Times New Roman" w:hAnsi="Times New Roman" w:cs="Times New Roman"/>
                <w:spacing w:val="-2"/>
                <w:szCs w:val="18"/>
              </w:rPr>
              <w:t>低温拉伸(-10℃，50%，3次循环，)</w:t>
            </w:r>
          </w:p>
        </w:tc>
        <w:tc>
          <w:tcPr>
            <w:tcW w:w="942" w:type="pct"/>
            <w:shd w:val="clear" w:color="auto" w:fill="auto"/>
            <w:vAlign w:val="center"/>
          </w:tcPr>
          <w:p w14:paraId="1CE238D4">
            <w:pPr>
              <w:pStyle w:val="194"/>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2DAADB22">
            <w:pPr>
              <w:pStyle w:val="194"/>
              <w:rPr>
                <w:rFonts w:hint="default" w:ascii="Times New Roman" w:hAnsi="Times New Roman" w:cs="Times New Roman"/>
                <w:spacing w:val="-2"/>
                <w:szCs w:val="18"/>
              </w:rPr>
            </w:pPr>
            <w:r>
              <w:rPr>
                <w:rFonts w:hint="default" w:ascii="Times New Roman" w:hAnsi="Times New Roman" w:cs="Times New Roman"/>
                <w:spacing w:val="-2"/>
                <w:szCs w:val="18"/>
              </w:rPr>
              <w:t>通过</w:t>
            </w:r>
          </w:p>
        </w:tc>
        <w:tc>
          <w:tcPr>
            <w:tcW w:w="983" w:type="pct"/>
            <w:shd w:val="clear" w:color="auto" w:fill="auto"/>
            <w:vAlign w:val="center"/>
          </w:tcPr>
          <w:p w14:paraId="0EA57116">
            <w:pPr>
              <w:pStyle w:val="194"/>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bl>
    <w:p w14:paraId="41943ADB">
      <w:pPr>
        <w:rPr>
          <w:rFonts w:hint="default" w:ascii="Times New Roman" w:hAnsi="Times New Roman" w:cs="Times New Roman"/>
        </w:rPr>
        <w:sectPr>
          <w:headerReference r:id="rId14" w:type="default"/>
          <w:headerReference r:id="rId15" w:type="even"/>
          <w:pgSz w:w="11906" w:h="16838"/>
          <w:pgMar w:top="1440" w:right="1800" w:bottom="1440" w:left="1800" w:header="850" w:footer="992" w:gutter="0"/>
          <w:cols w:space="425" w:num="1"/>
          <w:formProt w:val="0"/>
          <w:docGrid w:type="lines" w:linePitch="312" w:charSpace="0"/>
        </w:sectPr>
      </w:pPr>
    </w:p>
    <w:p w14:paraId="6EA2AE1C">
      <w:pPr>
        <w:pStyle w:val="54"/>
        <w:numPr>
          <w:ilvl w:val="0"/>
          <w:numId w:val="0"/>
        </w:numPr>
        <w:spacing w:beforeLines="0" w:afterLines="0" w:line="360" w:lineRule="auto"/>
        <w:ind w:left="360" w:leftChars="0" w:hanging="360" w:firstLineChars="0"/>
        <w:outlineLvl w:val="0"/>
        <w:rPr>
          <w:rFonts w:hint="default" w:ascii="Times New Roman" w:hAnsi="Times New Roman" w:cs="Times New Roman" w:eastAsiaTheme="minorEastAsia"/>
          <w:b/>
          <w:bCs/>
          <w:sz w:val="32"/>
          <w:szCs w:val="22"/>
        </w:rPr>
      </w:pPr>
      <w:bookmarkStart w:id="33" w:name="_Toc179636661"/>
      <w:bookmarkStart w:id="34" w:name="_Toc9110"/>
      <w:r>
        <w:rPr>
          <w:rFonts w:hint="eastAsia" w:ascii="Times New Roman" w:cs="Times New Roman" w:eastAsiaTheme="minorEastAsia"/>
          <w:b/>
          <w:bCs/>
          <w:sz w:val="32"/>
          <w:szCs w:val="22"/>
          <w:lang w:val="en-US" w:eastAsia="zh-CN" w:bidi="ar-SA"/>
        </w:rPr>
        <w:t>6</w:t>
      </w:r>
      <w:r>
        <w:rPr>
          <w:rFonts w:hint="default" w:ascii="Times New Roman" w:hAnsi="Times New Roman" w:cs="Times New Roman" w:eastAsiaTheme="minorEastAsia"/>
          <w:b/>
          <w:bCs/>
          <w:sz w:val="32"/>
          <w:szCs w:val="22"/>
        </w:rPr>
        <w:t>冷拌超表处混合料配合比设计</w:t>
      </w:r>
      <w:bookmarkEnd w:id="23"/>
      <w:bookmarkEnd w:id="33"/>
      <w:bookmarkEnd w:id="34"/>
    </w:p>
    <w:bookmarkEnd w:id="17"/>
    <w:p w14:paraId="71FE5E1B">
      <w:pPr>
        <w:pStyle w:val="51"/>
        <w:numPr>
          <w:ilvl w:val="1"/>
          <w:numId w:val="0"/>
        </w:numPr>
        <w:spacing w:beforeLines="0" w:afterLines="0" w:line="360" w:lineRule="auto"/>
        <w:ind w:left="0" w:leftChars="0" w:firstLine="142" w:firstLineChars="0"/>
        <w:outlineLvl w:val="1"/>
        <w:rPr>
          <w:rFonts w:hint="default" w:ascii="Times New Roman" w:hAnsi="Times New Roman" w:eastAsia="宋体" w:cs="Times New Roman"/>
          <w:b/>
          <w:bCs/>
          <w:sz w:val="24"/>
        </w:rPr>
      </w:pPr>
      <w:bookmarkStart w:id="35" w:name="_Toc126742837"/>
      <w:bookmarkStart w:id="36" w:name="_Toc5901"/>
      <w:r>
        <w:rPr>
          <w:rFonts w:hint="eastAsia" w:ascii="Times New Roman" w:eastAsia="宋体" w:cs="Times New Roman"/>
          <w:b/>
          <w:bCs/>
          <w:sz w:val="24"/>
          <w:szCs w:val="21"/>
          <w:lang w:val="en-US" w:eastAsia="zh-CN" w:bidi="ar-SA"/>
        </w:rPr>
        <w:t>6</w:t>
      </w:r>
      <w:r>
        <w:rPr>
          <w:rFonts w:hint="default" w:ascii="Times New Roman" w:hAnsi="Times New Roman" w:eastAsia="宋体" w:cs="Times New Roman"/>
          <w:b/>
          <w:bCs/>
          <w:sz w:val="24"/>
          <w:szCs w:val="21"/>
          <w:lang w:val="en-US" w:eastAsia="zh-CN" w:bidi="ar-SA"/>
        </w:rPr>
        <w:t>.1</w:t>
      </w:r>
      <w:r>
        <w:rPr>
          <w:rFonts w:hint="default" w:ascii="Times New Roman" w:hAnsi="Times New Roman" w:eastAsia="宋体" w:cs="Times New Roman"/>
          <w:b/>
          <w:bCs/>
          <w:sz w:val="24"/>
        </w:rPr>
        <w:t xml:space="preserve"> </w:t>
      </w:r>
      <w:bookmarkStart w:id="37" w:name="_Toc179636662"/>
      <w:r>
        <w:rPr>
          <w:rFonts w:hint="default" w:ascii="Times New Roman" w:hAnsi="Times New Roman" w:eastAsia="宋体" w:cs="Times New Roman"/>
          <w:b/>
          <w:bCs/>
          <w:sz w:val="24"/>
        </w:rPr>
        <w:t>一般规定</w:t>
      </w:r>
      <w:bookmarkEnd w:id="35"/>
      <w:bookmarkEnd w:id="36"/>
      <w:bookmarkEnd w:id="37"/>
    </w:p>
    <w:p w14:paraId="466D2E6A">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6</w:t>
      </w:r>
      <w:r>
        <w:rPr>
          <w:rFonts w:hint="default" w:ascii="Times New Roman" w:hAnsi="Times New Roman" w:eastAsia="宋体" w:cs="Times New Roman"/>
          <w:b/>
          <w:bCs/>
          <w:sz w:val="24"/>
          <w:lang w:val="en-US" w:eastAsia="zh-CN" w:bidi="ar-SA"/>
        </w:rPr>
        <w:t>.1.1</w:t>
      </w:r>
      <w:r>
        <w:rPr>
          <w:rFonts w:hint="default" w:ascii="Times New Roman" w:hAnsi="Times New Roman" w:cs="Times New Roman"/>
          <w:sz w:val="24"/>
        </w:rPr>
        <w:t>冷拌超表处混合料设计应采用马歇尔设计方法，参照附录B的相关规定进行混合料设计。</w:t>
      </w:r>
    </w:p>
    <w:p w14:paraId="659A750B">
      <w:pPr>
        <w:pStyle w:val="29"/>
        <w:numPr>
          <w:ilvl w:val="2"/>
          <w:numId w:val="0"/>
        </w:numPr>
        <w:tabs>
          <w:tab w:val="clear" w:pos="4201"/>
          <w:tab w:val="clear" w:pos="9298"/>
        </w:tabs>
        <w:spacing w:line="360" w:lineRule="auto"/>
        <w:ind w:left="0" w:leftChars="0" w:firstLine="241" w:firstLineChars="100"/>
        <w:rPr>
          <w:rFonts w:hint="default" w:ascii="Times New Roman" w:hAnsi="Times New Roman" w:cs="Times New Roman"/>
          <w:sz w:val="24"/>
        </w:rPr>
      </w:pPr>
      <w:r>
        <w:rPr>
          <w:rFonts w:hint="eastAsia" w:ascii="Times New Roman" w:cs="Times New Roman"/>
          <w:b/>
          <w:bCs/>
          <w:sz w:val="24"/>
          <w:lang w:val="en-US" w:eastAsia="zh-CN" w:bidi="ar-SA"/>
        </w:rPr>
        <w:t>6</w:t>
      </w:r>
      <w:r>
        <w:rPr>
          <w:rFonts w:hint="default" w:ascii="Times New Roman" w:hAnsi="Times New Roman" w:eastAsia="宋体" w:cs="Times New Roman"/>
          <w:b/>
          <w:bCs/>
          <w:sz w:val="24"/>
          <w:lang w:val="en-US" w:eastAsia="zh-CN" w:bidi="ar-SA"/>
        </w:rPr>
        <w:t>.1.2</w:t>
      </w:r>
      <w:r>
        <w:rPr>
          <w:rFonts w:hint="default" w:ascii="Times New Roman" w:hAnsi="Times New Roman" w:cs="Times New Roman"/>
          <w:sz w:val="24"/>
        </w:rPr>
        <w:t>冷拌超表处混合料的矿料级配范围应符合表</w:t>
      </w:r>
      <w:r>
        <w:rPr>
          <w:rFonts w:hint="eastAsia" w:ascii="Times New Roman" w:cs="Times New Roman"/>
          <w:sz w:val="24"/>
          <w:lang w:val="en-US" w:eastAsia="zh-CN"/>
        </w:rPr>
        <w:t>6</w:t>
      </w:r>
      <w:r>
        <w:rPr>
          <w:rFonts w:hint="default" w:ascii="Times New Roman" w:hAnsi="Times New Roman" w:cs="Times New Roman"/>
          <w:sz w:val="24"/>
        </w:rPr>
        <w:t>.1.2的规定，矿粉及水泥等填料应计入矿料级配。</w:t>
      </w:r>
    </w:p>
    <w:p w14:paraId="71890D58">
      <w:pPr>
        <w:pStyle w:val="29"/>
        <w:tabs>
          <w:tab w:val="clear" w:pos="4201"/>
          <w:tab w:val="clear" w:pos="9298"/>
        </w:tabs>
        <w:spacing w:line="360" w:lineRule="auto"/>
        <w:ind w:left="210" w:firstLine="0" w:firstLineChars="0"/>
        <w:jc w:val="center"/>
        <w:rPr>
          <w:rFonts w:hint="default" w:ascii="Times New Roman" w:hAnsi="Times New Roman" w:cs="Times New Roman"/>
          <w:sz w:val="24"/>
        </w:rPr>
      </w:pPr>
      <w:r>
        <w:rPr>
          <w:rFonts w:hint="default" w:ascii="Times New Roman" w:hAnsi="Times New Roman" w:eastAsia="黑体" w:cs="Times New Roman"/>
        </w:rPr>
        <w:t>表</w:t>
      </w:r>
      <w:r>
        <w:rPr>
          <w:rFonts w:hint="eastAsia" w:ascii="Times New Roman" w:eastAsia="黑体" w:cs="Times New Roman"/>
          <w:lang w:val="en-US" w:eastAsia="zh-CN"/>
        </w:rPr>
        <w:t>6</w:t>
      </w:r>
      <w:r>
        <w:rPr>
          <w:rFonts w:hint="default" w:ascii="Times New Roman" w:hAnsi="Times New Roman" w:eastAsia="黑体" w:cs="Times New Roman"/>
        </w:rPr>
        <w:t>.1.2 冷拌超表处混合料矿料级配范围</w:t>
      </w:r>
    </w:p>
    <w:tbl>
      <w:tblPr>
        <w:tblStyle w:val="19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498"/>
        <w:gridCol w:w="1369"/>
        <w:gridCol w:w="1369"/>
        <w:gridCol w:w="1369"/>
        <w:gridCol w:w="1369"/>
        <w:gridCol w:w="1362"/>
      </w:tblGrid>
      <w:tr w14:paraId="75AEA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899" w:type="pct"/>
            <w:vMerge w:val="restart"/>
            <w:shd w:val="clear" w:color="auto" w:fill="auto"/>
            <w:vAlign w:val="center"/>
          </w:tcPr>
          <w:p w14:paraId="31D1EDD1">
            <w:pPr>
              <w:pStyle w:val="194"/>
              <w:rPr>
                <w:rFonts w:hint="default" w:ascii="Times New Roman" w:hAnsi="Times New Roman" w:cs="Times New Roman"/>
                <w:spacing w:val="-2"/>
                <w:sz w:val="24"/>
              </w:rPr>
            </w:pPr>
            <w:r>
              <w:rPr>
                <w:rFonts w:hint="default" w:ascii="Times New Roman" w:hAnsi="Times New Roman" w:cs="Times New Roman"/>
                <w:spacing w:val="-2"/>
                <w:sz w:val="24"/>
              </w:rPr>
              <w:t>规格</w:t>
            </w:r>
          </w:p>
        </w:tc>
        <w:tc>
          <w:tcPr>
            <w:tcW w:w="4101" w:type="pct"/>
            <w:gridSpan w:val="5"/>
          </w:tcPr>
          <w:p w14:paraId="5D9D46B6">
            <w:pPr>
              <w:pStyle w:val="194"/>
              <w:rPr>
                <w:rFonts w:hint="default" w:ascii="Times New Roman" w:hAnsi="Times New Roman" w:cs="Times New Roman"/>
                <w:spacing w:val="-2"/>
                <w:sz w:val="24"/>
              </w:rPr>
            </w:pPr>
            <w:r>
              <w:rPr>
                <w:rFonts w:hint="default" w:ascii="Times New Roman" w:hAnsi="Times New Roman" w:cs="Times New Roman"/>
                <w:spacing w:val="-2"/>
                <w:sz w:val="24"/>
              </w:rPr>
              <w:t>通过各个筛孔的质量百分率（％）</w:t>
            </w:r>
          </w:p>
        </w:tc>
      </w:tr>
      <w:tr w14:paraId="65F1F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99" w:type="pct"/>
            <w:vMerge w:val="continue"/>
            <w:shd w:val="clear" w:color="auto" w:fill="auto"/>
          </w:tcPr>
          <w:p w14:paraId="4776FFEC">
            <w:pPr>
              <w:pStyle w:val="194"/>
              <w:rPr>
                <w:rFonts w:hint="default" w:ascii="Times New Roman" w:hAnsi="Times New Roman" w:cs="Times New Roman"/>
                <w:spacing w:val="-2"/>
                <w:sz w:val="24"/>
              </w:rPr>
            </w:pPr>
          </w:p>
        </w:tc>
        <w:tc>
          <w:tcPr>
            <w:tcW w:w="821" w:type="pct"/>
            <w:shd w:val="clear" w:color="auto" w:fill="auto"/>
            <w:vAlign w:val="center"/>
          </w:tcPr>
          <w:p w14:paraId="3B44D8C7">
            <w:pPr>
              <w:pStyle w:val="194"/>
              <w:rPr>
                <w:rFonts w:hint="default" w:ascii="Times New Roman" w:hAnsi="Times New Roman" w:cs="Times New Roman"/>
                <w:spacing w:val="-2"/>
                <w:sz w:val="24"/>
              </w:rPr>
            </w:pPr>
            <w:r>
              <w:rPr>
                <w:rFonts w:hint="default" w:ascii="Times New Roman" w:hAnsi="Times New Roman" w:cs="Times New Roman"/>
                <w:color w:val="000000"/>
                <w:sz w:val="20"/>
              </w:rPr>
              <w:t>9.5</w:t>
            </w:r>
          </w:p>
        </w:tc>
        <w:tc>
          <w:tcPr>
            <w:tcW w:w="821" w:type="pct"/>
            <w:shd w:val="clear" w:color="auto" w:fill="auto"/>
            <w:vAlign w:val="center"/>
          </w:tcPr>
          <w:p w14:paraId="5B3D0E2D">
            <w:pPr>
              <w:pStyle w:val="194"/>
              <w:rPr>
                <w:rFonts w:hint="default" w:ascii="Times New Roman" w:hAnsi="Times New Roman" w:cs="Times New Roman"/>
                <w:spacing w:val="-2"/>
                <w:sz w:val="24"/>
              </w:rPr>
            </w:pPr>
            <w:r>
              <w:rPr>
                <w:rFonts w:hint="default" w:ascii="Times New Roman" w:hAnsi="Times New Roman" w:cs="Times New Roman"/>
                <w:color w:val="000000"/>
                <w:sz w:val="20"/>
              </w:rPr>
              <w:t>4.75</w:t>
            </w:r>
          </w:p>
        </w:tc>
        <w:tc>
          <w:tcPr>
            <w:tcW w:w="821" w:type="pct"/>
            <w:shd w:val="clear" w:color="auto" w:fill="auto"/>
            <w:vAlign w:val="center"/>
          </w:tcPr>
          <w:p w14:paraId="5055C3EA">
            <w:pPr>
              <w:pStyle w:val="194"/>
              <w:rPr>
                <w:rFonts w:hint="default" w:ascii="Times New Roman" w:hAnsi="Times New Roman" w:cs="Times New Roman"/>
                <w:spacing w:val="-2"/>
                <w:sz w:val="24"/>
              </w:rPr>
            </w:pPr>
            <w:r>
              <w:rPr>
                <w:rFonts w:hint="default" w:ascii="Times New Roman" w:hAnsi="Times New Roman" w:cs="Times New Roman"/>
                <w:color w:val="000000"/>
                <w:sz w:val="20"/>
              </w:rPr>
              <w:t>2.36</w:t>
            </w:r>
          </w:p>
        </w:tc>
        <w:tc>
          <w:tcPr>
            <w:tcW w:w="821" w:type="pct"/>
            <w:shd w:val="clear" w:color="auto" w:fill="auto"/>
            <w:vAlign w:val="center"/>
          </w:tcPr>
          <w:p w14:paraId="0549D39C">
            <w:pPr>
              <w:pStyle w:val="194"/>
              <w:rPr>
                <w:rFonts w:hint="default" w:ascii="Times New Roman" w:hAnsi="Times New Roman" w:cs="Times New Roman"/>
                <w:spacing w:val="-2"/>
                <w:sz w:val="24"/>
              </w:rPr>
            </w:pPr>
            <w:r>
              <w:rPr>
                <w:rFonts w:hint="default" w:ascii="Times New Roman" w:hAnsi="Times New Roman" w:cs="Times New Roman"/>
                <w:color w:val="000000"/>
                <w:sz w:val="20"/>
              </w:rPr>
              <w:t>1.18</w:t>
            </w:r>
          </w:p>
        </w:tc>
        <w:tc>
          <w:tcPr>
            <w:tcW w:w="817" w:type="pct"/>
            <w:shd w:val="clear" w:color="auto" w:fill="auto"/>
            <w:vAlign w:val="center"/>
          </w:tcPr>
          <w:p w14:paraId="7C47B4DA">
            <w:pPr>
              <w:pStyle w:val="194"/>
              <w:rPr>
                <w:rFonts w:hint="default" w:ascii="Times New Roman" w:hAnsi="Times New Roman" w:cs="Times New Roman"/>
                <w:spacing w:val="-2"/>
                <w:sz w:val="24"/>
              </w:rPr>
            </w:pPr>
            <w:r>
              <w:rPr>
                <w:rFonts w:hint="default" w:ascii="Times New Roman" w:hAnsi="Times New Roman" w:cs="Times New Roman"/>
                <w:color w:val="000000"/>
                <w:sz w:val="20"/>
              </w:rPr>
              <w:t>0.075</w:t>
            </w:r>
          </w:p>
        </w:tc>
      </w:tr>
      <w:tr w14:paraId="3EF3A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 w:hRule="atLeast"/>
        </w:trPr>
        <w:tc>
          <w:tcPr>
            <w:tcW w:w="899" w:type="pct"/>
            <w:shd w:val="clear" w:color="auto" w:fill="auto"/>
          </w:tcPr>
          <w:p w14:paraId="0F90CD0C">
            <w:pPr>
              <w:pStyle w:val="194"/>
              <w:rPr>
                <w:rFonts w:hint="default" w:ascii="Times New Roman" w:hAnsi="Times New Roman" w:cs="Times New Roman"/>
                <w:spacing w:val="-2"/>
                <w:sz w:val="24"/>
              </w:rPr>
            </w:pPr>
            <w:r>
              <w:rPr>
                <w:rFonts w:hint="default" w:ascii="Times New Roman" w:hAnsi="Times New Roman" w:cs="Times New Roman"/>
                <w:spacing w:val="-2"/>
                <w:sz w:val="24"/>
              </w:rPr>
              <w:t>通过率</w:t>
            </w:r>
          </w:p>
        </w:tc>
        <w:tc>
          <w:tcPr>
            <w:tcW w:w="821" w:type="pct"/>
            <w:shd w:val="clear" w:color="auto" w:fill="auto"/>
          </w:tcPr>
          <w:p w14:paraId="4117020D">
            <w:pPr>
              <w:pStyle w:val="194"/>
              <w:rPr>
                <w:rFonts w:hint="default" w:ascii="Times New Roman" w:hAnsi="Times New Roman" w:cs="Times New Roman"/>
                <w:spacing w:val="-2"/>
                <w:sz w:val="24"/>
              </w:rPr>
            </w:pPr>
            <w:r>
              <w:rPr>
                <w:rFonts w:hint="default" w:ascii="Times New Roman" w:hAnsi="Times New Roman" w:cs="Times New Roman"/>
              </w:rPr>
              <w:t>100</w:t>
            </w:r>
          </w:p>
        </w:tc>
        <w:tc>
          <w:tcPr>
            <w:tcW w:w="821" w:type="pct"/>
            <w:shd w:val="clear" w:color="auto" w:fill="auto"/>
          </w:tcPr>
          <w:p w14:paraId="2AB68B82">
            <w:pPr>
              <w:pStyle w:val="194"/>
              <w:rPr>
                <w:rFonts w:hint="default" w:ascii="Times New Roman" w:hAnsi="Times New Roman" w:cs="Times New Roman"/>
                <w:spacing w:val="-2"/>
                <w:sz w:val="24"/>
              </w:rPr>
            </w:pPr>
            <w:r>
              <w:rPr>
                <w:rFonts w:hint="default" w:ascii="Times New Roman" w:hAnsi="Times New Roman" w:cs="Times New Roman"/>
              </w:rPr>
              <w:t>60~100</w:t>
            </w:r>
          </w:p>
        </w:tc>
        <w:tc>
          <w:tcPr>
            <w:tcW w:w="821" w:type="pct"/>
            <w:shd w:val="clear" w:color="auto" w:fill="auto"/>
          </w:tcPr>
          <w:p w14:paraId="3812CB73">
            <w:pPr>
              <w:pStyle w:val="194"/>
              <w:rPr>
                <w:rFonts w:hint="default" w:ascii="Times New Roman" w:hAnsi="Times New Roman" w:cs="Times New Roman"/>
                <w:spacing w:val="-2"/>
                <w:sz w:val="24"/>
              </w:rPr>
            </w:pPr>
            <w:r>
              <w:rPr>
                <w:rFonts w:hint="default" w:ascii="Times New Roman" w:hAnsi="Times New Roman" w:cs="Times New Roman"/>
              </w:rPr>
              <w:t>5~15</w:t>
            </w:r>
          </w:p>
        </w:tc>
        <w:tc>
          <w:tcPr>
            <w:tcW w:w="821" w:type="pct"/>
            <w:shd w:val="clear" w:color="auto" w:fill="auto"/>
          </w:tcPr>
          <w:p w14:paraId="4413D0B8">
            <w:pPr>
              <w:pStyle w:val="194"/>
              <w:rPr>
                <w:rFonts w:hint="default" w:ascii="Times New Roman" w:hAnsi="Times New Roman" w:cs="Times New Roman"/>
                <w:spacing w:val="-2"/>
                <w:sz w:val="24"/>
              </w:rPr>
            </w:pPr>
            <w:r>
              <w:rPr>
                <w:rFonts w:hint="default" w:ascii="Times New Roman" w:hAnsi="Times New Roman" w:cs="Times New Roman"/>
              </w:rPr>
              <w:t>3-20</w:t>
            </w:r>
          </w:p>
        </w:tc>
        <w:tc>
          <w:tcPr>
            <w:tcW w:w="817" w:type="pct"/>
            <w:shd w:val="clear" w:color="auto" w:fill="auto"/>
          </w:tcPr>
          <w:p w14:paraId="473B09CC">
            <w:pPr>
              <w:pStyle w:val="194"/>
              <w:rPr>
                <w:rFonts w:hint="default" w:ascii="Times New Roman" w:hAnsi="Times New Roman" w:cs="Times New Roman"/>
                <w:spacing w:val="-2"/>
                <w:sz w:val="24"/>
              </w:rPr>
            </w:pPr>
            <w:r>
              <w:rPr>
                <w:rFonts w:hint="default" w:ascii="Times New Roman" w:hAnsi="Times New Roman" w:cs="Times New Roman"/>
              </w:rPr>
              <w:t>0~8</w:t>
            </w:r>
          </w:p>
        </w:tc>
      </w:tr>
    </w:tbl>
    <w:p w14:paraId="23658825">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38" w:name="_Toc179636663"/>
      <w:bookmarkStart w:id="39" w:name="_Toc13167"/>
      <w:r>
        <w:rPr>
          <w:rFonts w:hint="eastAsia" w:ascii="Times New Roman" w:eastAsia="宋体" w:cs="Times New Roman"/>
          <w:b/>
          <w:bCs/>
          <w:sz w:val="24"/>
          <w:szCs w:val="21"/>
          <w:lang w:val="en-US" w:eastAsia="zh-CN" w:bidi="ar-SA"/>
        </w:rPr>
        <w:t>6</w:t>
      </w:r>
      <w:r>
        <w:rPr>
          <w:rFonts w:hint="default" w:ascii="Times New Roman" w:hAnsi="Times New Roman" w:eastAsia="宋体" w:cs="Times New Roman"/>
          <w:b/>
          <w:bCs/>
          <w:sz w:val="24"/>
          <w:szCs w:val="21"/>
          <w:lang w:val="en-US" w:eastAsia="zh-CN" w:bidi="ar-SA"/>
        </w:rPr>
        <w:t>.2</w:t>
      </w:r>
      <w:r>
        <w:rPr>
          <w:rFonts w:hint="default" w:ascii="Times New Roman" w:hAnsi="Times New Roman" w:eastAsia="宋体" w:cs="Times New Roman"/>
          <w:b/>
          <w:bCs/>
          <w:sz w:val="24"/>
        </w:rPr>
        <w:t>混合料技术指标</w:t>
      </w:r>
      <w:bookmarkEnd w:id="38"/>
      <w:bookmarkEnd w:id="39"/>
    </w:p>
    <w:p w14:paraId="0924B682">
      <w:pPr>
        <w:numPr>
          <w:ilvl w:val="2"/>
          <w:numId w:val="0"/>
        </w:numPr>
        <w:spacing w:line="360" w:lineRule="auto"/>
        <w:ind w:left="0" w:leftChars="0" w:firstLine="241" w:firstLineChars="100"/>
        <w:jc w:val="left"/>
        <w:rPr>
          <w:rFonts w:hint="default" w:ascii="Times New Roman" w:hAnsi="Times New Roman" w:cs="Times New Roman"/>
          <w:kern w:val="0"/>
          <w:sz w:val="24"/>
          <w:szCs w:val="20"/>
        </w:rPr>
      </w:pPr>
      <w:bookmarkStart w:id="40" w:name="_Hlk89790592"/>
      <w:r>
        <w:rPr>
          <w:rFonts w:hint="eastAsia" w:cs="Times New Roman"/>
          <w:b/>
          <w:bCs/>
          <w:kern w:val="0"/>
          <w:sz w:val="24"/>
          <w:szCs w:val="20"/>
          <w:lang w:val="en-US" w:eastAsia="zh-CN" w:bidi="ar-SA"/>
        </w:rPr>
        <w:t>6</w:t>
      </w:r>
      <w:r>
        <w:rPr>
          <w:rFonts w:hint="default" w:ascii="Times New Roman" w:hAnsi="Times New Roman" w:eastAsia="宋体" w:cs="Times New Roman"/>
          <w:b/>
          <w:bCs/>
          <w:kern w:val="0"/>
          <w:sz w:val="24"/>
          <w:szCs w:val="20"/>
          <w:lang w:val="en-US" w:eastAsia="zh-CN" w:bidi="ar-SA"/>
        </w:rPr>
        <w:t>.2.1</w:t>
      </w:r>
      <w:r>
        <w:rPr>
          <w:rFonts w:hint="default" w:ascii="Times New Roman" w:hAnsi="Times New Roman" w:cs="Times New Roman"/>
          <w:kern w:val="0"/>
          <w:sz w:val="24"/>
          <w:szCs w:val="20"/>
        </w:rPr>
        <w:t>冷拌超表处材料用量范围可参照下表</w:t>
      </w:r>
      <w:r>
        <w:rPr>
          <w:rFonts w:hint="eastAsia" w:cs="Times New Roman"/>
          <w:kern w:val="0"/>
          <w:sz w:val="24"/>
          <w:szCs w:val="20"/>
          <w:lang w:val="en-US" w:eastAsia="zh-CN"/>
        </w:rPr>
        <w:t>6</w:t>
      </w:r>
      <w:r>
        <w:rPr>
          <w:rFonts w:hint="default" w:ascii="Times New Roman" w:hAnsi="Times New Roman" w:cs="Times New Roman"/>
          <w:kern w:val="0"/>
          <w:sz w:val="24"/>
          <w:szCs w:val="20"/>
        </w:rPr>
        <w:t>.2.1。</w:t>
      </w:r>
    </w:p>
    <w:p w14:paraId="607A3C24">
      <w:pPr>
        <w:pStyle w:val="29"/>
        <w:tabs>
          <w:tab w:val="clear" w:pos="4201"/>
          <w:tab w:val="clear" w:pos="9298"/>
        </w:tabs>
        <w:spacing w:line="360" w:lineRule="auto"/>
        <w:ind w:left="210" w:firstLine="0" w:firstLineChars="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eastAsia="黑体" w:cs="Times New Roman"/>
          <w:lang w:val="en-US" w:eastAsia="zh-CN"/>
        </w:rPr>
        <w:t>6</w:t>
      </w:r>
      <w:r>
        <w:rPr>
          <w:rFonts w:hint="default" w:ascii="Times New Roman" w:hAnsi="Times New Roman" w:eastAsia="黑体" w:cs="Times New Roman"/>
        </w:rPr>
        <w:t>.2.1 冷拌超表处通常的材料用量范围</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09"/>
        <w:gridCol w:w="1168"/>
        <w:gridCol w:w="2845"/>
      </w:tblGrid>
      <w:tr w14:paraId="30AF6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pct"/>
            <w:tcBorders>
              <w:top w:val="single" w:color="auto" w:sz="12" w:space="0"/>
              <w:bottom w:val="single" w:color="auto" w:sz="12" w:space="0"/>
            </w:tcBorders>
            <w:shd w:val="clear" w:color="auto" w:fill="auto"/>
            <w:vAlign w:val="center"/>
          </w:tcPr>
          <w:p w14:paraId="4C6223A5">
            <w:pPr>
              <w:widowControl/>
              <w:jc w:val="center"/>
              <w:rPr>
                <w:rStyle w:val="46"/>
                <w:rFonts w:hint="default" w:ascii="Times New Roman" w:hAnsi="Times New Roman" w:cs="Times New Roman"/>
                <w:bCs/>
                <w:sz w:val="21"/>
                <w:szCs w:val="32"/>
              </w:rPr>
            </w:pPr>
            <w:r>
              <w:rPr>
                <w:rStyle w:val="46"/>
                <w:rFonts w:hint="default" w:ascii="Times New Roman" w:hAnsi="Times New Roman" w:cs="Times New Roman"/>
                <w:bCs/>
                <w:sz w:val="21"/>
                <w:szCs w:val="32"/>
              </w:rPr>
              <w:t>项目</w:t>
            </w:r>
          </w:p>
        </w:tc>
        <w:tc>
          <w:tcPr>
            <w:tcW w:w="685" w:type="pct"/>
            <w:tcBorders>
              <w:top w:val="single" w:color="auto" w:sz="12" w:space="0"/>
              <w:bottom w:val="single" w:color="auto" w:sz="12" w:space="0"/>
            </w:tcBorders>
            <w:shd w:val="clear" w:color="auto" w:fill="auto"/>
            <w:vAlign w:val="center"/>
          </w:tcPr>
          <w:p w14:paraId="6BFE405D">
            <w:pPr>
              <w:widowControl/>
              <w:jc w:val="center"/>
              <w:rPr>
                <w:rStyle w:val="46"/>
                <w:rFonts w:hint="default" w:ascii="Times New Roman" w:hAnsi="Times New Roman" w:cs="Times New Roman"/>
                <w:bCs/>
                <w:sz w:val="21"/>
                <w:szCs w:val="32"/>
              </w:rPr>
            </w:pPr>
            <w:r>
              <w:rPr>
                <w:rStyle w:val="46"/>
                <w:rFonts w:hint="default" w:ascii="Times New Roman" w:hAnsi="Times New Roman" w:cs="Times New Roman"/>
                <w:bCs/>
                <w:sz w:val="21"/>
                <w:szCs w:val="32"/>
              </w:rPr>
              <w:t>单位</w:t>
            </w:r>
          </w:p>
        </w:tc>
        <w:tc>
          <w:tcPr>
            <w:tcW w:w="1669" w:type="pct"/>
            <w:tcBorders>
              <w:top w:val="single" w:color="auto" w:sz="12" w:space="0"/>
              <w:bottom w:val="single" w:color="auto" w:sz="12" w:space="0"/>
            </w:tcBorders>
            <w:vAlign w:val="center"/>
          </w:tcPr>
          <w:p w14:paraId="13F81E4F">
            <w:pPr>
              <w:widowControl/>
              <w:jc w:val="center"/>
              <w:rPr>
                <w:rStyle w:val="46"/>
                <w:rFonts w:hint="default" w:ascii="Times New Roman" w:hAnsi="Times New Roman" w:cs="Times New Roman"/>
                <w:bCs/>
                <w:sz w:val="21"/>
                <w:szCs w:val="32"/>
              </w:rPr>
            </w:pPr>
            <w:r>
              <w:rPr>
                <w:rStyle w:val="46"/>
                <w:rFonts w:hint="default" w:ascii="Times New Roman" w:hAnsi="Times New Roman" w:cs="Times New Roman"/>
                <w:bCs/>
                <w:sz w:val="21"/>
                <w:szCs w:val="32"/>
              </w:rPr>
              <w:t>技术要求</w:t>
            </w:r>
          </w:p>
        </w:tc>
      </w:tr>
      <w:tr w14:paraId="40AF5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pct"/>
            <w:tcBorders>
              <w:top w:val="single" w:color="auto" w:sz="12" w:space="0"/>
            </w:tcBorders>
            <w:shd w:val="clear" w:color="auto" w:fill="auto"/>
            <w:vAlign w:val="center"/>
          </w:tcPr>
          <w:p w14:paraId="54FC4531">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养生后的厚度</w:t>
            </w:r>
          </w:p>
        </w:tc>
        <w:tc>
          <w:tcPr>
            <w:tcW w:w="685" w:type="pct"/>
            <w:tcBorders>
              <w:top w:val="single" w:color="auto" w:sz="12" w:space="0"/>
            </w:tcBorders>
          </w:tcPr>
          <w:p w14:paraId="6CF74D94">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mm</w:t>
            </w:r>
          </w:p>
        </w:tc>
        <w:tc>
          <w:tcPr>
            <w:tcW w:w="1669" w:type="pct"/>
            <w:tcBorders>
              <w:top w:val="single" w:color="auto" w:sz="12" w:space="0"/>
            </w:tcBorders>
            <w:vAlign w:val="center"/>
          </w:tcPr>
          <w:p w14:paraId="66680C5E">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5～12</w:t>
            </w:r>
          </w:p>
        </w:tc>
      </w:tr>
      <w:tr w14:paraId="37276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pct"/>
            <w:shd w:val="clear" w:color="auto" w:fill="auto"/>
            <w:vAlign w:val="center"/>
          </w:tcPr>
          <w:p w14:paraId="21C36669">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矿料用量</w:t>
            </w:r>
          </w:p>
        </w:tc>
        <w:tc>
          <w:tcPr>
            <w:tcW w:w="685" w:type="pct"/>
          </w:tcPr>
          <w:p w14:paraId="603C8676">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kg/m</w:t>
            </w:r>
            <w:r>
              <w:rPr>
                <w:rStyle w:val="46"/>
                <w:rFonts w:hint="default" w:ascii="Times New Roman" w:hAnsi="Times New Roman" w:cs="Times New Roman"/>
                <w:sz w:val="21"/>
                <w:szCs w:val="32"/>
                <w:vertAlign w:val="superscript"/>
              </w:rPr>
              <w:t>2</w:t>
            </w:r>
          </w:p>
        </w:tc>
        <w:tc>
          <w:tcPr>
            <w:tcW w:w="1669" w:type="pct"/>
            <w:vAlign w:val="center"/>
          </w:tcPr>
          <w:p w14:paraId="0CFF3F2D">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10.0～22.0</w:t>
            </w:r>
          </w:p>
        </w:tc>
      </w:tr>
      <w:tr w14:paraId="6AFAE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pct"/>
            <w:shd w:val="clear" w:color="auto" w:fill="auto"/>
            <w:vAlign w:val="center"/>
          </w:tcPr>
          <w:p w14:paraId="7CB9DFA1">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油石比（沥青占矿料的质量百分比）</w:t>
            </w:r>
          </w:p>
        </w:tc>
        <w:tc>
          <w:tcPr>
            <w:tcW w:w="685" w:type="pct"/>
          </w:tcPr>
          <w:p w14:paraId="01C51C0D">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w:t>
            </w:r>
          </w:p>
        </w:tc>
        <w:tc>
          <w:tcPr>
            <w:tcW w:w="1669" w:type="pct"/>
            <w:vAlign w:val="center"/>
          </w:tcPr>
          <w:p w14:paraId="01D1DC3E">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6.5～9.5</w:t>
            </w:r>
          </w:p>
        </w:tc>
      </w:tr>
      <w:tr w14:paraId="2E591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pct"/>
            <w:shd w:val="clear" w:color="auto" w:fill="auto"/>
            <w:vAlign w:val="center"/>
          </w:tcPr>
          <w:p w14:paraId="37AAC244">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水泥、消石灰用量（占矿料的质量百分比）</w:t>
            </w:r>
          </w:p>
        </w:tc>
        <w:tc>
          <w:tcPr>
            <w:tcW w:w="685" w:type="pct"/>
            <w:vAlign w:val="center"/>
          </w:tcPr>
          <w:p w14:paraId="2CEB7436">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w:t>
            </w:r>
          </w:p>
        </w:tc>
        <w:tc>
          <w:tcPr>
            <w:tcW w:w="1669" w:type="pct"/>
            <w:vAlign w:val="center"/>
          </w:tcPr>
          <w:p w14:paraId="5FD5F65C">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0～3</w:t>
            </w:r>
          </w:p>
        </w:tc>
      </w:tr>
      <w:tr w14:paraId="3B0F4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pct"/>
            <w:shd w:val="clear" w:color="auto" w:fill="auto"/>
            <w:vAlign w:val="center"/>
          </w:tcPr>
          <w:p w14:paraId="29E81E1D">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外加水量（占干矿料质量百分比）</w:t>
            </w:r>
          </w:p>
        </w:tc>
        <w:tc>
          <w:tcPr>
            <w:tcW w:w="685" w:type="pct"/>
          </w:tcPr>
          <w:p w14:paraId="48D80ABD">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w:t>
            </w:r>
          </w:p>
        </w:tc>
        <w:tc>
          <w:tcPr>
            <w:tcW w:w="1669" w:type="pct"/>
            <w:vAlign w:val="center"/>
          </w:tcPr>
          <w:p w14:paraId="2320C416">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根据混合料的稠度确定</w:t>
            </w:r>
          </w:p>
        </w:tc>
      </w:tr>
    </w:tbl>
    <w:p w14:paraId="544FB092">
      <w:pPr>
        <w:numPr>
          <w:ilvl w:val="2"/>
          <w:numId w:val="0"/>
        </w:numPr>
        <w:spacing w:line="360" w:lineRule="auto"/>
        <w:ind w:left="0" w:leftChars="0" w:firstLine="241" w:firstLineChars="100"/>
        <w:jc w:val="left"/>
        <w:rPr>
          <w:rFonts w:hint="default" w:ascii="Times New Roman" w:hAnsi="Times New Roman" w:cs="Times New Roman"/>
          <w:kern w:val="0"/>
          <w:sz w:val="24"/>
          <w:szCs w:val="20"/>
        </w:rPr>
      </w:pPr>
      <w:r>
        <w:rPr>
          <w:rFonts w:hint="eastAsia" w:cs="Times New Roman"/>
          <w:b/>
          <w:bCs/>
          <w:kern w:val="0"/>
          <w:sz w:val="24"/>
          <w:szCs w:val="20"/>
          <w:lang w:val="en-US" w:eastAsia="zh-CN" w:bidi="ar-SA"/>
        </w:rPr>
        <w:t>6</w:t>
      </w:r>
      <w:r>
        <w:rPr>
          <w:rFonts w:hint="default" w:ascii="Times New Roman" w:hAnsi="Times New Roman" w:eastAsia="宋体" w:cs="Times New Roman"/>
          <w:b/>
          <w:bCs/>
          <w:kern w:val="0"/>
          <w:sz w:val="24"/>
          <w:szCs w:val="20"/>
          <w:lang w:val="en-US" w:eastAsia="zh-CN" w:bidi="ar-SA"/>
        </w:rPr>
        <w:t>.2.2</w:t>
      </w:r>
      <w:r>
        <w:rPr>
          <w:rFonts w:hint="default" w:ascii="Times New Roman" w:hAnsi="Times New Roman" w:cs="Times New Roman"/>
          <w:kern w:val="0"/>
          <w:sz w:val="24"/>
          <w:szCs w:val="20"/>
        </w:rPr>
        <w:t>混合料的室内试验技术指标应满足下表</w:t>
      </w:r>
      <w:r>
        <w:rPr>
          <w:rFonts w:hint="eastAsia" w:cs="Times New Roman"/>
          <w:kern w:val="0"/>
          <w:sz w:val="24"/>
          <w:szCs w:val="20"/>
          <w:lang w:val="en-US" w:eastAsia="zh-CN"/>
        </w:rPr>
        <w:t>6</w:t>
      </w:r>
      <w:r>
        <w:rPr>
          <w:rFonts w:hint="default" w:ascii="Times New Roman" w:hAnsi="Times New Roman" w:cs="Times New Roman"/>
          <w:kern w:val="0"/>
          <w:sz w:val="24"/>
          <w:szCs w:val="20"/>
        </w:rPr>
        <w:t>.2.2的要求。</w:t>
      </w:r>
    </w:p>
    <w:p w14:paraId="1035B7EB">
      <w:pPr>
        <w:pStyle w:val="192"/>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w:t>
      </w:r>
      <w:r>
        <w:rPr>
          <w:rFonts w:hint="eastAsia" w:eastAsia="黑体" w:cs="Times New Roman"/>
          <w:sz w:val="21"/>
          <w:szCs w:val="20"/>
          <w:lang w:val="en-US" w:eastAsia="zh-CN"/>
        </w:rPr>
        <w:t>6</w:t>
      </w:r>
      <w:r>
        <w:rPr>
          <w:rFonts w:hint="default" w:ascii="Times New Roman" w:hAnsi="Times New Roman" w:eastAsia="黑体" w:cs="Times New Roman"/>
          <w:sz w:val="21"/>
          <w:szCs w:val="20"/>
        </w:rPr>
        <w:t>.2.2混合料技术指标</w:t>
      </w:r>
    </w:p>
    <w:tbl>
      <w:tblPr>
        <w:tblStyle w:val="4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188"/>
        <w:gridCol w:w="3503"/>
        <w:gridCol w:w="1386"/>
      </w:tblGrid>
      <w:tr w14:paraId="59DA9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tcBorders>
              <w:top w:val="single" w:color="auto" w:sz="12" w:space="0"/>
              <w:bottom w:val="single" w:color="auto" w:sz="12" w:space="0"/>
            </w:tcBorders>
            <w:vAlign w:val="center"/>
          </w:tcPr>
          <w:p w14:paraId="77DD74E8">
            <w:pPr>
              <w:widowControl/>
              <w:jc w:val="center"/>
              <w:rPr>
                <w:rStyle w:val="46"/>
                <w:rFonts w:hint="default" w:ascii="Times New Roman" w:hAnsi="Times New Roman" w:cs="Times New Roman"/>
                <w:sz w:val="21"/>
                <w:szCs w:val="32"/>
              </w:rPr>
            </w:pPr>
            <w:bookmarkStart w:id="41" w:name="_Hlk77669166"/>
            <w:r>
              <w:rPr>
                <w:rStyle w:val="46"/>
                <w:rFonts w:hint="default" w:ascii="Times New Roman" w:hAnsi="Times New Roman" w:cs="Times New Roman"/>
                <w:sz w:val="21"/>
                <w:szCs w:val="32"/>
              </w:rPr>
              <w:t>试验项目</w:t>
            </w:r>
          </w:p>
        </w:tc>
        <w:tc>
          <w:tcPr>
            <w:tcW w:w="2055" w:type="pct"/>
            <w:tcBorders>
              <w:top w:val="single" w:color="auto" w:sz="12" w:space="0"/>
              <w:bottom w:val="single" w:color="auto" w:sz="12" w:space="0"/>
            </w:tcBorders>
            <w:vAlign w:val="center"/>
          </w:tcPr>
          <w:p w14:paraId="05DACD83">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技术指标</w:t>
            </w:r>
          </w:p>
        </w:tc>
        <w:tc>
          <w:tcPr>
            <w:tcW w:w="813" w:type="pct"/>
            <w:tcBorders>
              <w:top w:val="single" w:color="auto" w:sz="12" w:space="0"/>
              <w:bottom w:val="single" w:color="auto" w:sz="12" w:space="0"/>
            </w:tcBorders>
            <w:vAlign w:val="center"/>
          </w:tcPr>
          <w:p w14:paraId="360ADD5A">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试验方法</w:t>
            </w:r>
          </w:p>
        </w:tc>
      </w:tr>
      <w:tr w14:paraId="66BC8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tcBorders>
              <w:top w:val="single" w:color="auto" w:sz="12" w:space="0"/>
            </w:tcBorders>
            <w:vAlign w:val="center"/>
          </w:tcPr>
          <w:p w14:paraId="323E46EB">
            <w:pPr>
              <w:widowControl/>
              <w:jc w:val="center"/>
              <w:rPr>
                <w:rFonts w:hint="default" w:ascii="Times New Roman" w:hAnsi="Times New Roman" w:cs="Times New Roman"/>
                <w:szCs w:val="32"/>
              </w:rPr>
            </w:pPr>
            <w:r>
              <w:rPr>
                <w:rStyle w:val="46"/>
                <w:rFonts w:hint="default" w:ascii="Times New Roman" w:hAnsi="Times New Roman" w:cs="Times New Roman"/>
                <w:sz w:val="21"/>
                <w:szCs w:val="32"/>
              </w:rPr>
              <w:t>可拌和时间（s）</w:t>
            </w:r>
          </w:p>
        </w:tc>
        <w:tc>
          <w:tcPr>
            <w:tcW w:w="2055" w:type="pct"/>
            <w:tcBorders>
              <w:top w:val="single" w:color="auto" w:sz="12" w:space="0"/>
            </w:tcBorders>
            <w:vAlign w:val="center"/>
          </w:tcPr>
          <w:p w14:paraId="1A33734D">
            <w:pPr>
              <w:widowControl/>
              <w:jc w:val="center"/>
              <w:rPr>
                <w:rFonts w:hint="default" w:ascii="Times New Roman" w:hAnsi="Times New Roman" w:cs="Times New Roman"/>
                <w:szCs w:val="32"/>
              </w:rPr>
            </w:pPr>
            <w:r>
              <w:rPr>
                <w:rFonts w:hint="default" w:ascii="Times New Roman" w:hAnsi="Times New Roman" w:cs="Times New Roman"/>
                <w:szCs w:val="32"/>
              </w:rPr>
              <w:t xml:space="preserve">≥ </w:t>
            </w:r>
            <w:r>
              <w:rPr>
                <w:rStyle w:val="46"/>
                <w:rFonts w:hint="default" w:ascii="Times New Roman" w:hAnsi="Times New Roman" w:cs="Times New Roman"/>
                <w:sz w:val="21"/>
                <w:szCs w:val="32"/>
              </w:rPr>
              <w:t>90</w:t>
            </w:r>
          </w:p>
        </w:tc>
        <w:tc>
          <w:tcPr>
            <w:tcW w:w="813" w:type="pct"/>
            <w:tcBorders>
              <w:top w:val="single" w:color="auto" w:sz="12" w:space="0"/>
            </w:tcBorders>
            <w:vAlign w:val="center"/>
          </w:tcPr>
          <w:p w14:paraId="42DB00DA">
            <w:pPr>
              <w:widowControl/>
              <w:jc w:val="center"/>
              <w:rPr>
                <w:rFonts w:hint="default" w:ascii="Times New Roman" w:hAnsi="Times New Roman" w:cs="Times New Roman"/>
                <w:szCs w:val="32"/>
              </w:rPr>
            </w:pPr>
            <w:r>
              <w:rPr>
                <w:rFonts w:hint="default" w:ascii="Times New Roman" w:hAnsi="Times New Roman" w:cs="Times New Roman"/>
                <w:szCs w:val="32"/>
              </w:rPr>
              <w:t>手工拌和</w:t>
            </w:r>
          </w:p>
        </w:tc>
      </w:tr>
      <w:tr w14:paraId="3F60F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vAlign w:val="center"/>
          </w:tcPr>
          <w:p w14:paraId="69AD176A">
            <w:pPr>
              <w:widowControl/>
              <w:jc w:val="center"/>
              <w:rPr>
                <w:rFonts w:hint="default" w:ascii="Times New Roman" w:hAnsi="Times New Roman" w:cs="Times New Roman"/>
                <w:szCs w:val="32"/>
              </w:rPr>
            </w:pPr>
            <w:r>
              <w:rPr>
                <w:rFonts w:hint="default" w:ascii="Times New Roman" w:hAnsi="Times New Roman" w:cs="Times New Roman"/>
                <w:szCs w:val="32"/>
              </w:rPr>
              <w:t>试件养生方法</w:t>
            </w:r>
          </w:p>
        </w:tc>
        <w:tc>
          <w:tcPr>
            <w:tcW w:w="2055" w:type="pct"/>
            <w:vAlign w:val="center"/>
          </w:tcPr>
          <w:p w14:paraId="3068201D">
            <w:pPr>
              <w:widowControl/>
              <w:jc w:val="center"/>
              <w:rPr>
                <w:rFonts w:hint="default" w:ascii="Times New Roman" w:hAnsi="Times New Roman" w:cs="Times New Roman"/>
                <w:szCs w:val="32"/>
              </w:rPr>
            </w:pPr>
            <w:r>
              <w:rPr>
                <w:rFonts w:hint="default" w:ascii="Times New Roman" w:hAnsi="Times New Roman" w:cs="Times New Roman"/>
                <w:szCs w:val="32"/>
              </w:rPr>
              <w:t>混合料拌合好后105℃养生2天，随后163℃保温2h，成型试件</w:t>
            </w:r>
          </w:p>
        </w:tc>
        <w:tc>
          <w:tcPr>
            <w:tcW w:w="813" w:type="pct"/>
            <w:vAlign w:val="center"/>
          </w:tcPr>
          <w:p w14:paraId="25A4D3E0">
            <w:pPr>
              <w:widowControl/>
              <w:jc w:val="center"/>
              <w:rPr>
                <w:rFonts w:hint="default" w:ascii="Times New Roman" w:hAnsi="Times New Roman" w:cs="Times New Roman"/>
                <w:szCs w:val="32"/>
              </w:rPr>
            </w:pPr>
            <w:r>
              <w:rPr>
                <w:rFonts w:hint="default" w:ascii="Times New Roman" w:hAnsi="Times New Roman" w:cs="Times New Roman"/>
                <w:szCs w:val="32"/>
              </w:rPr>
              <w:t>—</w:t>
            </w:r>
          </w:p>
        </w:tc>
      </w:tr>
      <w:tr w14:paraId="46AE7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vAlign w:val="center"/>
          </w:tcPr>
          <w:p w14:paraId="06AEE011">
            <w:pPr>
              <w:widowControl/>
              <w:jc w:val="center"/>
              <w:rPr>
                <w:rFonts w:hint="default" w:ascii="Times New Roman" w:hAnsi="Times New Roman" w:cs="Times New Roman"/>
                <w:szCs w:val="32"/>
              </w:rPr>
            </w:pPr>
            <w:r>
              <w:rPr>
                <w:rFonts w:hint="default" w:ascii="Times New Roman" w:hAnsi="Times New Roman" w:cs="Times New Roman"/>
                <w:szCs w:val="32"/>
              </w:rPr>
              <w:t>马歇尔试件击实次数（次）</w:t>
            </w:r>
          </w:p>
        </w:tc>
        <w:tc>
          <w:tcPr>
            <w:tcW w:w="2055" w:type="pct"/>
            <w:vAlign w:val="center"/>
          </w:tcPr>
          <w:p w14:paraId="7DD69B87">
            <w:pPr>
              <w:widowControl/>
              <w:jc w:val="center"/>
              <w:rPr>
                <w:rFonts w:hint="default" w:ascii="Times New Roman" w:hAnsi="Times New Roman" w:cs="Times New Roman"/>
                <w:szCs w:val="32"/>
              </w:rPr>
            </w:pPr>
            <w:r>
              <w:rPr>
                <w:rFonts w:hint="default" w:ascii="Times New Roman" w:hAnsi="Times New Roman" w:cs="Times New Roman"/>
                <w:szCs w:val="32"/>
              </w:rPr>
              <w:t>75次</w:t>
            </w:r>
          </w:p>
        </w:tc>
        <w:tc>
          <w:tcPr>
            <w:tcW w:w="813" w:type="pct"/>
            <w:vAlign w:val="center"/>
          </w:tcPr>
          <w:p w14:paraId="2D198274">
            <w:pPr>
              <w:widowControl/>
              <w:jc w:val="center"/>
              <w:rPr>
                <w:rFonts w:hint="default" w:ascii="Times New Roman" w:hAnsi="Times New Roman" w:cs="Times New Roman"/>
                <w:szCs w:val="32"/>
              </w:rPr>
            </w:pPr>
            <w:r>
              <w:rPr>
                <w:rFonts w:hint="default" w:ascii="Times New Roman" w:hAnsi="Times New Roman" w:cs="Times New Roman"/>
                <w:szCs w:val="32"/>
              </w:rPr>
              <w:t>T 0702</w:t>
            </w:r>
          </w:p>
        </w:tc>
      </w:tr>
      <w:tr w14:paraId="726ED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vAlign w:val="center"/>
          </w:tcPr>
          <w:p w14:paraId="2D5B7695">
            <w:pPr>
              <w:widowControl/>
              <w:jc w:val="center"/>
              <w:rPr>
                <w:rFonts w:hint="default" w:ascii="Times New Roman" w:hAnsi="Times New Roman" w:cs="Times New Roman"/>
                <w:szCs w:val="32"/>
              </w:rPr>
            </w:pPr>
            <w:r>
              <w:rPr>
                <w:rFonts w:hint="default" w:ascii="Times New Roman" w:hAnsi="Times New Roman" w:cs="Times New Roman"/>
                <w:szCs w:val="32"/>
              </w:rPr>
              <w:t>矿料间隙率</w:t>
            </w:r>
            <w:r>
              <w:rPr>
                <w:rStyle w:val="46"/>
                <w:rFonts w:hint="default" w:ascii="Times New Roman" w:hAnsi="Times New Roman" w:cs="Times New Roman"/>
                <w:sz w:val="21"/>
                <w:szCs w:val="32"/>
              </w:rPr>
              <w:t>VMA（%</w:t>
            </w:r>
            <w:r>
              <w:rPr>
                <w:rStyle w:val="46"/>
                <w:rFonts w:hint="default" w:ascii="Times New Roman" w:hAnsi="Times New Roman" w:cs="Times New Roman"/>
                <w:sz w:val="21"/>
              </w:rPr>
              <w:t>）</w:t>
            </w:r>
          </w:p>
        </w:tc>
        <w:tc>
          <w:tcPr>
            <w:tcW w:w="2055" w:type="pct"/>
            <w:vAlign w:val="center"/>
          </w:tcPr>
          <w:p w14:paraId="28E0FBA3">
            <w:pPr>
              <w:widowControl/>
              <w:jc w:val="center"/>
              <w:rPr>
                <w:rFonts w:hint="default" w:ascii="Times New Roman" w:hAnsi="Times New Roman" w:cs="Times New Roman"/>
                <w:szCs w:val="32"/>
              </w:rPr>
            </w:pPr>
            <w:r>
              <w:rPr>
                <w:rFonts w:hint="default" w:ascii="Times New Roman" w:hAnsi="Times New Roman" w:cs="Times New Roman"/>
                <w:szCs w:val="32"/>
              </w:rPr>
              <w:t>≥ 20</w:t>
            </w:r>
          </w:p>
        </w:tc>
        <w:tc>
          <w:tcPr>
            <w:tcW w:w="813" w:type="pct"/>
            <w:vAlign w:val="center"/>
          </w:tcPr>
          <w:p w14:paraId="5A2256F5">
            <w:pPr>
              <w:widowControl/>
              <w:jc w:val="center"/>
              <w:rPr>
                <w:rFonts w:hint="default" w:ascii="Times New Roman" w:hAnsi="Times New Roman" w:cs="Times New Roman"/>
                <w:szCs w:val="32"/>
              </w:rPr>
            </w:pPr>
            <w:r>
              <w:rPr>
                <w:rFonts w:hint="default" w:ascii="Times New Roman" w:hAnsi="Times New Roman" w:cs="Times New Roman"/>
                <w:szCs w:val="32"/>
              </w:rPr>
              <w:t>T 0705</w:t>
            </w:r>
          </w:p>
        </w:tc>
      </w:tr>
      <w:tr w14:paraId="683FE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vAlign w:val="center"/>
          </w:tcPr>
          <w:p w14:paraId="2257EB3E">
            <w:pPr>
              <w:widowControl/>
              <w:jc w:val="center"/>
              <w:rPr>
                <w:rFonts w:hint="default" w:ascii="Times New Roman" w:hAnsi="Times New Roman" w:cs="Times New Roman"/>
                <w:szCs w:val="32"/>
              </w:rPr>
            </w:pPr>
            <w:r>
              <w:rPr>
                <w:rFonts w:hint="default" w:ascii="Times New Roman" w:hAnsi="Times New Roman" w:cs="Times New Roman"/>
                <w:szCs w:val="32"/>
              </w:rPr>
              <w:t>马歇尔稳定度（kN）</w:t>
            </w:r>
          </w:p>
        </w:tc>
        <w:tc>
          <w:tcPr>
            <w:tcW w:w="2055" w:type="pct"/>
            <w:vAlign w:val="center"/>
          </w:tcPr>
          <w:p w14:paraId="21E875E1">
            <w:pPr>
              <w:widowControl/>
              <w:jc w:val="center"/>
              <w:rPr>
                <w:rFonts w:hint="default" w:ascii="Times New Roman" w:hAnsi="Times New Roman" w:cs="Times New Roman"/>
                <w:szCs w:val="32"/>
              </w:rPr>
            </w:pPr>
            <w:r>
              <w:rPr>
                <w:rFonts w:hint="default" w:ascii="Times New Roman" w:hAnsi="Times New Roman" w:cs="Times New Roman"/>
                <w:szCs w:val="32"/>
              </w:rPr>
              <w:t>≥4</w:t>
            </w:r>
          </w:p>
        </w:tc>
        <w:tc>
          <w:tcPr>
            <w:tcW w:w="813" w:type="pct"/>
            <w:vAlign w:val="center"/>
          </w:tcPr>
          <w:p w14:paraId="6DFEEFBC">
            <w:pPr>
              <w:widowControl/>
              <w:jc w:val="center"/>
              <w:rPr>
                <w:rFonts w:hint="default" w:ascii="Times New Roman" w:hAnsi="Times New Roman" w:cs="Times New Roman"/>
                <w:szCs w:val="32"/>
              </w:rPr>
            </w:pPr>
            <w:r>
              <w:rPr>
                <w:rFonts w:hint="default" w:ascii="Times New Roman" w:hAnsi="Times New Roman" w:cs="Times New Roman"/>
                <w:szCs w:val="32"/>
              </w:rPr>
              <w:t>T 0719</w:t>
            </w:r>
          </w:p>
        </w:tc>
      </w:tr>
      <w:tr w14:paraId="3A49A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vAlign w:val="center"/>
          </w:tcPr>
          <w:p w14:paraId="76570FFE">
            <w:pPr>
              <w:widowControl/>
              <w:jc w:val="center"/>
              <w:rPr>
                <w:rFonts w:hint="default" w:ascii="Times New Roman" w:hAnsi="Times New Roman" w:cs="Times New Roman"/>
                <w:szCs w:val="32"/>
              </w:rPr>
            </w:pPr>
            <w:r>
              <w:rPr>
                <w:rStyle w:val="46"/>
                <w:rFonts w:hint="default" w:ascii="Times New Roman" w:hAnsi="Times New Roman" w:cs="Times New Roman"/>
                <w:sz w:val="21"/>
                <w:szCs w:val="32"/>
              </w:rPr>
              <w:t>孔隙率 （%）</w:t>
            </w:r>
          </w:p>
        </w:tc>
        <w:tc>
          <w:tcPr>
            <w:tcW w:w="2055" w:type="pct"/>
            <w:vAlign w:val="center"/>
          </w:tcPr>
          <w:p w14:paraId="050D6A14">
            <w:pPr>
              <w:widowControl/>
              <w:jc w:val="center"/>
              <w:rPr>
                <w:rFonts w:hint="default" w:ascii="Times New Roman" w:hAnsi="Times New Roman" w:cs="Times New Roman"/>
                <w:szCs w:val="32"/>
              </w:rPr>
            </w:pPr>
            <w:r>
              <w:rPr>
                <w:rFonts w:hint="default" w:ascii="Times New Roman" w:hAnsi="Times New Roman" w:cs="Times New Roman"/>
                <w:szCs w:val="32"/>
              </w:rPr>
              <w:t xml:space="preserve">≥ </w:t>
            </w:r>
            <w:r>
              <w:rPr>
                <w:rStyle w:val="46"/>
                <w:rFonts w:hint="default" w:ascii="Times New Roman" w:hAnsi="Times New Roman" w:cs="Times New Roman"/>
                <w:sz w:val="21"/>
                <w:szCs w:val="32"/>
              </w:rPr>
              <w:t>10</w:t>
            </w:r>
          </w:p>
        </w:tc>
        <w:tc>
          <w:tcPr>
            <w:tcW w:w="813" w:type="pct"/>
            <w:vAlign w:val="center"/>
          </w:tcPr>
          <w:p w14:paraId="6EAB3CD5">
            <w:pPr>
              <w:widowControl/>
              <w:jc w:val="center"/>
              <w:rPr>
                <w:rFonts w:hint="default" w:ascii="Times New Roman" w:hAnsi="Times New Roman" w:cs="Times New Roman"/>
                <w:szCs w:val="32"/>
              </w:rPr>
            </w:pPr>
            <w:r>
              <w:rPr>
                <w:rFonts w:hint="default" w:ascii="Times New Roman" w:hAnsi="Times New Roman" w:cs="Times New Roman"/>
                <w:szCs w:val="32"/>
              </w:rPr>
              <w:t>T 0705</w:t>
            </w:r>
          </w:p>
        </w:tc>
      </w:tr>
      <w:tr w14:paraId="35782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vAlign w:val="center"/>
          </w:tcPr>
          <w:p w14:paraId="35A7E865">
            <w:pPr>
              <w:widowControl/>
              <w:jc w:val="center"/>
              <w:rPr>
                <w:rStyle w:val="46"/>
                <w:rFonts w:hint="default" w:ascii="Times New Roman" w:hAnsi="Times New Roman" w:cs="Times New Roman"/>
                <w:sz w:val="21"/>
                <w:szCs w:val="32"/>
              </w:rPr>
            </w:pPr>
            <w:r>
              <w:rPr>
                <w:rFonts w:hint="default" w:ascii="Times New Roman" w:hAnsi="Times New Roman" w:cs="Times New Roman"/>
                <w:szCs w:val="32"/>
              </w:rPr>
              <w:t>肯塔堡飞散损失率（%）</w:t>
            </w:r>
          </w:p>
        </w:tc>
        <w:tc>
          <w:tcPr>
            <w:tcW w:w="2055" w:type="pct"/>
            <w:vAlign w:val="center"/>
          </w:tcPr>
          <w:p w14:paraId="058B48F5">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＜15</w:t>
            </w:r>
          </w:p>
        </w:tc>
        <w:tc>
          <w:tcPr>
            <w:tcW w:w="813" w:type="pct"/>
            <w:vAlign w:val="center"/>
          </w:tcPr>
          <w:p w14:paraId="4B7A7F73">
            <w:pPr>
              <w:widowControl/>
              <w:jc w:val="center"/>
              <w:rPr>
                <w:rFonts w:hint="default" w:ascii="Times New Roman" w:hAnsi="Times New Roman" w:cs="Times New Roman"/>
                <w:color w:val="000000"/>
                <w:szCs w:val="32"/>
              </w:rPr>
            </w:pPr>
            <w:r>
              <w:rPr>
                <w:rFonts w:hint="default" w:ascii="Times New Roman" w:hAnsi="Times New Roman" w:cs="Times New Roman"/>
                <w:szCs w:val="32"/>
              </w:rPr>
              <w:t>T 0733</w:t>
            </w:r>
          </w:p>
        </w:tc>
      </w:tr>
      <w:tr w14:paraId="211F9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8" w:type="pct"/>
            <w:vMerge w:val="restart"/>
            <w:vAlign w:val="center"/>
          </w:tcPr>
          <w:p w14:paraId="5E1E4E38">
            <w:pPr>
              <w:widowControl/>
              <w:jc w:val="center"/>
              <w:rPr>
                <w:rFonts w:hint="default" w:ascii="Times New Roman" w:hAnsi="Times New Roman" w:cs="Times New Roman"/>
                <w:szCs w:val="32"/>
              </w:rPr>
            </w:pPr>
            <w:r>
              <w:rPr>
                <w:rFonts w:hint="default" w:ascii="Times New Roman" w:hAnsi="Times New Roman" w:cs="Times New Roman"/>
                <w:szCs w:val="32"/>
              </w:rPr>
              <w:t>抗滑性能</w:t>
            </w:r>
          </w:p>
        </w:tc>
        <w:tc>
          <w:tcPr>
            <w:tcW w:w="1284" w:type="pct"/>
            <w:vAlign w:val="center"/>
          </w:tcPr>
          <w:p w14:paraId="4BAB9C80">
            <w:pPr>
              <w:widowControl/>
              <w:jc w:val="center"/>
              <w:rPr>
                <w:rFonts w:hint="default" w:ascii="Times New Roman" w:hAnsi="Times New Roman" w:cs="Times New Roman"/>
                <w:szCs w:val="32"/>
              </w:rPr>
            </w:pPr>
            <w:r>
              <w:rPr>
                <w:rFonts w:hint="default" w:ascii="Times New Roman" w:hAnsi="Times New Roman" w:cs="Times New Roman"/>
                <w:szCs w:val="32"/>
              </w:rPr>
              <w:t>构造深度（铺沙法）</w:t>
            </w:r>
          </w:p>
        </w:tc>
        <w:tc>
          <w:tcPr>
            <w:tcW w:w="2055" w:type="pct"/>
            <w:vAlign w:val="center"/>
          </w:tcPr>
          <w:p w14:paraId="119FB265">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&gt;</w:t>
            </w:r>
            <w:r>
              <w:rPr>
                <w:rStyle w:val="46"/>
                <w:rFonts w:hint="default" w:ascii="Times New Roman" w:hAnsi="Times New Roman" w:cs="Times New Roman"/>
                <w:sz w:val="21"/>
              </w:rPr>
              <w:t>0.6</w:t>
            </w:r>
          </w:p>
        </w:tc>
        <w:tc>
          <w:tcPr>
            <w:tcW w:w="813" w:type="pct"/>
            <w:vAlign w:val="center"/>
          </w:tcPr>
          <w:p w14:paraId="368B82A4">
            <w:pPr>
              <w:widowControl/>
              <w:jc w:val="center"/>
              <w:rPr>
                <w:rFonts w:hint="default" w:ascii="Times New Roman" w:hAnsi="Times New Roman" w:cs="Times New Roman"/>
                <w:szCs w:val="32"/>
              </w:rPr>
            </w:pPr>
            <w:r>
              <w:rPr>
                <w:rFonts w:hint="default" w:ascii="Times New Roman" w:hAnsi="Times New Roman" w:cs="Times New Roman"/>
                <w:szCs w:val="32"/>
              </w:rPr>
              <w:t>T 0961</w:t>
            </w:r>
          </w:p>
        </w:tc>
      </w:tr>
      <w:tr w14:paraId="0F994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8" w:type="pct"/>
            <w:vMerge w:val="continue"/>
            <w:vAlign w:val="center"/>
          </w:tcPr>
          <w:p w14:paraId="55249407">
            <w:pPr>
              <w:widowControl/>
              <w:jc w:val="center"/>
              <w:rPr>
                <w:rFonts w:hint="default" w:ascii="Times New Roman" w:hAnsi="Times New Roman" w:cs="Times New Roman"/>
                <w:szCs w:val="32"/>
              </w:rPr>
            </w:pPr>
          </w:p>
        </w:tc>
        <w:tc>
          <w:tcPr>
            <w:tcW w:w="1284" w:type="pct"/>
            <w:vAlign w:val="center"/>
          </w:tcPr>
          <w:p w14:paraId="774FAB21">
            <w:pPr>
              <w:widowControl/>
              <w:jc w:val="center"/>
              <w:rPr>
                <w:rFonts w:hint="default" w:ascii="Times New Roman" w:hAnsi="Times New Roman" w:cs="Times New Roman"/>
                <w:szCs w:val="32"/>
              </w:rPr>
            </w:pPr>
            <w:r>
              <w:rPr>
                <w:rFonts w:hint="default" w:ascii="Times New Roman" w:hAnsi="Times New Roman" w:cs="Times New Roman"/>
                <w:szCs w:val="32"/>
              </w:rPr>
              <w:t>摆式仪摩擦系数</w:t>
            </w:r>
          </w:p>
        </w:tc>
        <w:tc>
          <w:tcPr>
            <w:tcW w:w="2055" w:type="pct"/>
            <w:vAlign w:val="center"/>
          </w:tcPr>
          <w:p w14:paraId="466501FB">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&gt;</w:t>
            </w:r>
            <w:r>
              <w:rPr>
                <w:rStyle w:val="46"/>
                <w:rFonts w:hint="default" w:ascii="Times New Roman" w:hAnsi="Times New Roman" w:cs="Times New Roman"/>
                <w:sz w:val="21"/>
              </w:rPr>
              <w:t>45</w:t>
            </w:r>
          </w:p>
        </w:tc>
        <w:tc>
          <w:tcPr>
            <w:tcW w:w="813" w:type="pct"/>
            <w:vAlign w:val="center"/>
          </w:tcPr>
          <w:p w14:paraId="2C09D0BA">
            <w:pPr>
              <w:widowControl/>
              <w:jc w:val="center"/>
              <w:rPr>
                <w:rFonts w:hint="default" w:ascii="Times New Roman" w:hAnsi="Times New Roman" w:cs="Times New Roman"/>
                <w:szCs w:val="32"/>
              </w:rPr>
            </w:pPr>
            <w:r>
              <w:rPr>
                <w:rFonts w:hint="default" w:ascii="Times New Roman" w:hAnsi="Times New Roman" w:cs="Times New Roman"/>
                <w:szCs w:val="32"/>
              </w:rPr>
              <w:t>T0964</w:t>
            </w:r>
          </w:p>
        </w:tc>
      </w:tr>
      <w:tr w14:paraId="0AAA2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2" w:type="pct"/>
            <w:gridSpan w:val="2"/>
            <w:vAlign w:val="center"/>
          </w:tcPr>
          <w:p w14:paraId="05744066">
            <w:pPr>
              <w:widowControl/>
              <w:jc w:val="center"/>
              <w:rPr>
                <w:rFonts w:hint="default" w:ascii="Times New Roman" w:hAnsi="Times New Roman" w:cs="Times New Roman"/>
                <w:szCs w:val="32"/>
              </w:rPr>
            </w:pPr>
            <w:r>
              <w:rPr>
                <w:rFonts w:hint="default" w:ascii="Times New Roman" w:hAnsi="Times New Roman" w:cs="Times New Roman"/>
                <w:szCs w:val="32"/>
              </w:rPr>
              <w:t>冻融劈裂强度比试验</w:t>
            </w:r>
          </w:p>
        </w:tc>
        <w:tc>
          <w:tcPr>
            <w:tcW w:w="2055" w:type="pct"/>
            <w:vAlign w:val="center"/>
          </w:tcPr>
          <w:p w14:paraId="57D746CB">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&gt;80%</w:t>
            </w:r>
          </w:p>
        </w:tc>
        <w:tc>
          <w:tcPr>
            <w:tcW w:w="813" w:type="pct"/>
            <w:vAlign w:val="center"/>
          </w:tcPr>
          <w:p w14:paraId="78C3CD5B">
            <w:pPr>
              <w:widowControl/>
              <w:jc w:val="center"/>
              <w:rPr>
                <w:rFonts w:hint="default" w:ascii="Times New Roman" w:hAnsi="Times New Roman" w:cs="Times New Roman"/>
              </w:rPr>
            </w:pPr>
            <w:r>
              <w:rPr>
                <w:rFonts w:hint="default" w:ascii="Times New Roman" w:hAnsi="Times New Roman" w:cs="Times New Roman"/>
                <w:szCs w:val="32"/>
              </w:rPr>
              <w:t xml:space="preserve">T </w:t>
            </w:r>
            <w:r>
              <w:rPr>
                <w:rFonts w:hint="default" w:ascii="Times New Roman" w:hAnsi="Times New Roman" w:cs="Times New Roman"/>
              </w:rPr>
              <w:t>0729</w:t>
            </w:r>
          </w:p>
        </w:tc>
      </w:tr>
      <w:bookmarkEnd w:id="40"/>
      <w:bookmarkEnd w:id="41"/>
    </w:tbl>
    <w:p w14:paraId="3C9A9630">
      <w:pPr>
        <w:pStyle w:val="29"/>
        <w:spacing w:line="360" w:lineRule="auto"/>
        <w:ind w:firstLine="480"/>
        <w:rPr>
          <w:rFonts w:hint="default" w:ascii="Times New Roman" w:hAnsi="Times New Roman" w:cs="Times New Roman"/>
          <w:sz w:val="24"/>
          <w:szCs w:val="24"/>
        </w:rPr>
        <w:sectPr>
          <w:headerReference r:id="rId16" w:type="default"/>
          <w:pgSz w:w="11906" w:h="16838"/>
          <w:pgMar w:top="1440" w:right="1800" w:bottom="1440" w:left="1800" w:header="850" w:footer="992" w:gutter="0"/>
          <w:cols w:space="425" w:num="1"/>
          <w:formProt w:val="0"/>
          <w:docGrid w:type="lines" w:linePitch="312" w:charSpace="0"/>
        </w:sectPr>
      </w:pPr>
      <w:bookmarkStart w:id="42" w:name="_Toc126742843"/>
      <w:bookmarkStart w:id="43" w:name="_Toc179636664"/>
    </w:p>
    <w:p w14:paraId="11807307">
      <w:pPr>
        <w:pStyle w:val="54"/>
        <w:numPr>
          <w:ilvl w:val="0"/>
          <w:numId w:val="0"/>
        </w:numPr>
        <w:spacing w:beforeLines="0" w:afterLines="0" w:line="360" w:lineRule="auto"/>
        <w:ind w:left="360" w:leftChars="0" w:hanging="360" w:firstLineChars="0"/>
        <w:outlineLvl w:val="0"/>
        <w:rPr>
          <w:rFonts w:hint="default" w:ascii="Times New Roman" w:hAnsi="Times New Roman" w:cs="Times New Roman" w:eastAsiaTheme="minorEastAsia"/>
          <w:b/>
          <w:bCs/>
          <w:sz w:val="32"/>
          <w:szCs w:val="22"/>
        </w:rPr>
      </w:pPr>
      <w:bookmarkStart w:id="44" w:name="_Toc26663"/>
      <w:r>
        <w:rPr>
          <w:rFonts w:hint="eastAsia" w:ascii="Times New Roman" w:cs="Times New Roman" w:eastAsiaTheme="minorEastAsia"/>
          <w:b/>
          <w:bCs/>
          <w:sz w:val="32"/>
          <w:szCs w:val="22"/>
          <w:lang w:val="en-US" w:eastAsia="zh-CN" w:bidi="ar-SA"/>
        </w:rPr>
        <w:t>7</w:t>
      </w:r>
      <w:r>
        <w:rPr>
          <w:rFonts w:hint="default" w:ascii="Times New Roman" w:hAnsi="Times New Roman" w:cs="Times New Roman" w:eastAsiaTheme="minorEastAsia"/>
          <w:b/>
          <w:bCs/>
          <w:sz w:val="32"/>
          <w:szCs w:val="22"/>
        </w:rPr>
        <w:t>施工</w:t>
      </w:r>
      <w:bookmarkEnd w:id="42"/>
      <w:bookmarkEnd w:id="43"/>
      <w:bookmarkEnd w:id="44"/>
      <w:bookmarkStart w:id="45" w:name="DW"/>
      <w:bookmarkEnd w:id="45"/>
    </w:p>
    <w:p w14:paraId="07C980E1">
      <w:pPr>
        <w:pStyle w:val="51"/>
        <w:numPr>
          <w:ilvl w:val="1"/>
          <w:numId w:val="0"/>
        </w:numPr>
        <w:spacing w:beforeLines="0" w:afterLines="0" w:line="360" w:lineRule="auto"/>
        <w:ind w:left="284" w:leftChars="0" w:hanging="360" w:firstLineChars="0"/>
        <w:outlineLvl w:val="1"/>
        <w:rPr>
          <w:rFonts w:hint="default" w:ascii="Times New Roman" w:hAnsi="Times New Roman" w:eastAsia="宋体" w:cs="Times New Roman"/>
          <w:b/>
          <w:bCs/>
          <w:sz w:val="24"/>
        </w:rPr>
      </w:pPr>
      <w:bookmarkStart w:id="46" w:name="_Toc8660"/>
      <w:r>
        <w:rPr>
          <w:rFonts w:hint="eastAsia" w:ascii="Times New Roman" w:eastAsia="宋体" w:cs="Times New Roman"/>
          <w:b/>
          <w:bCs/>
          <w:sz w:val="24"/>
          <w:szCs w:val="21"/>
          <w:lang w:val="en-US" w:eastAsia="zh-CN" w:bidi="ar-SA"/>
        </w:rPr>
        <w:t>7</w:t>
      </w:r>
      <w:r>
        <w:rPr>
          <w:rFonts w:hint="default" w:ascii="Times New Roman" w:hAnsi="Times New Roman" w:eastAsia="宋体" w:cs="Times New Roman"/>
          <w:b/>
          <w:bCs/>
          <w:sz w:val="24"/>
          <w:szCs w:val="21"/>
          <w:lang w:val="en-US" w:eastAsia="zh-CN" w:bidi="ar-SA"/>
        </w:rPr>
        <w:t>.1</w:t>
      </w:r>
      <w:r>
        <w:rPr>
          <w:rFonts w:hint="default" w:ascii="Times New Roman" w:hAnsi="Times New Roman" w:eastAsia="宋体" w:cs="Times New Roman"/>
          <w:b/>
          <w:bCs/>
          <w:sz w:val="24"/>
        </w:rPr>
        <w:t>施工准备</w:t>
      </w:r>
      <w:bookmarkEnd w:id="46"/>
    </w:p>
    <w:p w14:paraId="5861E718">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.1.1</w:t>
      </w:r>
      <w:r>
        <w:rPr>
          <w:rFonts w:hint="default" w:ascii="Times New Roman" w:hAnsi="Times New Roman" w:cs="Times New Roman"/>
          <w:sz w:val="24"/>
          <w:szCs w:val="32"/>
        </w:rPr>
        <w:t>应准备足够数量的原材料，并按下列要求对材料进行检查：</w:t>
      </w:r>
    </w:p>
    <w:p w14:paraId="3EEB55C4">
      <w:pPr>
        <w:pStyle w:val="188"/>
        <w:numPr>
          <w:ilvl w:val="0"/>
          <w:numId w:val="21"/>
        </w:numPr>
        <w:spacing w:line="360" w:lineRule="auto"/>
        <w:ind w:left="851" w:firstLineChars="0"/>
        <w:rPr>
          <w:rFonts w:hint="default" w:ascii="Times New Roman" w:hAnsi="Times New Roman" w:cs="Times New Roman"/>
          <w:sz w:val="24"/>
          <w:szCs w:val="32"/>
        </w:rPr>
      </w:pPr>
      <w:r>
        <w:rPr>
          <w:rFonts w:hint="default" w:ascii="Times New Roman" w:hAnsi="Times New Roman" w:cs="Times New Roman"/>
          <w:sz w:val="24"/>
          <w:szCs w:val="32"/>
        </w:rPr>
        <w:t>应对施工用的高黏度改性乳化沥青、集料、水、填料等进行质量检查，符合设计要求后方可使用；</w:t>
      </w:r>
    </w:p>
    <w:p w14:paraId="65461612">
      <w:pPr>
        <w:pStyle w:val="188"/>
        <w:numPr>
          <w:ilvl w:val="0"/>
          <w:numId w:val="21"/>
        </w:numPr>
        <w:spacing w:line="360" w:lineRule="auto"/>
        <w:ind w:left="851" w:firstLineChars="0"/>
        <w:rPr>
          <w:rFonts w:hint="default" w:ascii="Times New Roman" w:hAnsi="Times New Roman" w:cs="Times New Roman"/>
          <w:sz w:val="24"/>
          <w:szCs w:val="32"/>
        </w:rPr>
      </w:pPr>
      <w:r>
        <w:rPr>
          <w:rFonts w:hint="default" w:ascii="Times New Roman" w:hAnsi="Times New Roman" w:cs="Times New Roman"/>
          <w:sz w:val="24"/>
          <w:szCs w:val="32"/>
        </w:rPr>
        <w:t>集料中的超粒径颗粒应当筛除；</w:t>
      </w:r>
    </w:p>
    <w:p w14:paraId="4CC99086">
      <w:pPr>
        <w:pStyle w:val="188"/>
        <w:numPr>
          <w:ilvl w:val="0"/>
          <w:numId w:val="21"/>
        </w:numPr>
        <w:spacing w:line="360" w:lineRule="auto"/>
        <w:ind w:left="851" w:firstLineChars="0"/>
        <w:rPr>
          <w:rFonts w:hint="default" w:ascii="Times New Roman" w:hAnsi="Times New Roman" w:cs="Times New Roman"/>
          <w:sz w:val="24"/>
          <w:szCs w:val="32"/>
        </w:rPr>
      </w:pPr>
      <w:r>
        <w:rPr>
          <w:rFonts w:hint="default" w:ascii="Times New Roman" w:hAnsi="Times New Roman" w:cs="Times New Roman"/>
          <w:sz w:val="24"/>
          <w:szCs w:val="32"/>
        </w:rPr>
        <w:t>应测定矿料含水率。</w:t>
      </w:r>
    </w:p>
    <w:p w14:paraId="6128BB11">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.1.2</w:t>
      </w:r>
      <w:r>
        <w:rPr>
          <w:rFonts w:hint="default" w:ascii="Times New Roman" w:hAnsi="Times New Roman" w:cs="Times New Roman"/>
          <w:sz w:val="24"/>
          <w:szCs w:val="32"/>
        </w:rPr>
        <w:t>稀浆封层车的拌和箱应为大功率双轴强制搅拌式，摊铺槽应带有两排布料器，摊铺车应具有精确计量系统并可记录或显示矿料、乳化沥青等用量。</w:t>
      </w:r>
    </w:p>
    <w:p w14:paraId="729D6832">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.1.3</w:t>
      </w:r>
      <w:r>
        <w:rPr>
          <w:rFonts w:hint="default" w:ascii="Times New Roman" w:hAnsi="Times New Roman" w:cs="Times New Roman"/>
          <w:sz w:val="24"/>
          <w:szCs w:val="32"/>
        </w:rPr>
        <w:t>冷拌超表处施工前应对摊铺车计量系统进行标定。当原材料改变和配合比发生较大变化时，应对摊铺车计量系统进行重新标定。</w:t>
      </w:r>
    </w:p>
    <w:p w14:paraId="1BB32B05">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.1.4</w:t>
      </w:r>
      <w:r>
        <w:rPr>
          <w:rFonts w:hint="default" w:ascii="Times New Roman" w:hAnsi="Times New Roman" w:cs="Times New Roman"/>
          <w:sz w:val="24"/>
          <w:szCs w:val="32"/>
        </w:rPr>
        <w:t>应按照现行行业标准《公路工程集料试验规程》（JTG 3432）中T0331细集料紧装密度测试方法，以1%的含水率间隔检测矿料含水率0%~7%情况下的单位体积干矿料质量，得出矿料的“含水率-单位体积干矿料质量”关系曲线，用于摊铺车计量系统设定。</w:t>
      </w:r>
    </w:p>
    <w:p w14:paraId="0C4CF855">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47" w:name="_Toc19712"/>
      <w:r>
        <w:rPr>
          <w:rFonts w:hint="eastAsia" w:ascii="Times New Roman" w:eastAsia="宋体" w:cs="Times New Roman"/>
          <w:b/>
          <w:bCs/>
          <w:sz w:val="24"/>
          <w:szCs w:val="21"/>
          <w:lang w:val="en-US" w:eastAsia="zh-CN" w:bidi="ar-SA"/>
        </w:rPr>
        <w:t>7</w:t>
      </w:r>
      <w:r>
        <w:rPr>
          <w:rFonts w:hint="default" w:ascii="Times New Roman" w:hAnsi="Times New Roman" w:eastAsia="宋体" w:cs="Times New Roman"/>
          <w:b/>
          <w:bCs/>
          <w:sz w:val="24"/>
          <w:szCs w:val="21"/>
          <w:lang w:val="en-US" w:eastAsia="zh-CN" w:bidi="ar-SA"/>
        </w:rPr>
        <w:t>.2</w:t>
      </w:r>
      <w:r>
        <w:rPr>
          <w:rFonts w:hint="default" w:ascii="Times New Roman" w:hAnsi="Times New Roman" w:eastAsia="宋体" w:cs="Times New Roman"/>
          <w:b/>
          <w:bCs/>
          <w:sz w:val="24"/>
        </w:rPr>
        <w:t>试验段铺筑</w:t>
      </w:r>
      <w:bookmarkEnd w:id="47"/>
    </w:p>
    <w:p w14:paraId="7FDF8534">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.2.1</w:t>
      </w:r>
      <w:r>
        <w:rPr>
          <w:rFonts w:hint="default" w:ascii="Times New Roman" w:hAnsi="Times New Roman" w:cs="Times New Roman"/>
          <w:sz w:val="24"/>
          <w:szCs w:val="32"/>
        </w:rPr>
        <w:t>冷拌超表处正式施工前，应按设计配合比进行试拌，铺筑试验段，试验段长度不宜小于200m，通过试验段的摊铺确定施工工艺。</w:t>
      </w:r>
    </w:p>
    <w:p w14:paraId="3D06222A">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.2.2</w:t>
      </w:r>
      <w:r>
        <w:rPr>
          <w:rFonts w:hint="default" w:ascii="Times New Roman" w:hAnsi="Times New Roman" w:cs="Times New Roman"/>
          <w:sz w:val="24"/>
          <w:szCs w:val="32"/>
        </w:rPr>
        <w:t>应根据试验段的摊铺情况，在设计配合比的基础上进行小范围调整，确定施工配合比。</w:t>
      </w:r>
    </w:p>
    <w:p w14:paraId="2F596BEB">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.2.3</w:t>
      </w:r>
      <w:r>
        <w:rPr>
          <w:rFonts w:hint="default" w:ascii="Times New Roman" w:hAnsi="Times New Roman" w:cs="Times New Roman"/>
          <w:sz w:val="24"/>
          <w:szCs w:val="32"/>
        </w:rPr>
        <w:t>施工配合比的油石比不应超过设计油石比±0.2%的范围；施工配合比的油石比调整幅度超过上述规定时，应重新进行混合料设计。</w:t>
      </w:r>
    </w:p>
    <w:p w14:paraId="148DD4DD">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.2.4</w:t>
      </w:r>
      <w:r>
        <w:rPr>
          <w:rFonts w:hint="default" w:ascii="Times New Roman" w:hAnsi="Times New Roman" w:cs="Times New Roman"/>
          <w:sz w:val="24"/>
          <w:szCs w:val="32"/>
        </w:rPr>
        <w:t>通过试验段确定的施工配合比和施工工艺，经监理或业主认可后作为正式施工依据，施工过程中不得随意更改。</w:t>
      </w:r>
    </w:p>
    <w:p w14:paraId="202BE87F">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48" w:name="_Toc25553"/>
      <w:bookmarkStart w:id="49" w:name="_Toc179636667"/>
      <w:r>
        <w:rPr>
          <w:rFonts w:hint="eastAsia" w:ascii="Times New Roman" w:eastAsia="宋体" w:cs="Times New Roman"/>
          <w:b/>
          <w:bCs/>
          <w:sz w:val="24"/>
          <w:szCs w:val="21"/>
          <w:lang w:val="en-US" w:eastAsia="zh-CN" w:bidi="ar-SA"/>
        </w:rPr>
        <w:t>7</w:t>
      </w:r>
      <w:r>
        <w:rPr>
          <w:rFonts w:hint="default" w:ascii="Times New Roman" w:hAnsi="Times New Roman" w:eastAsia="宋体" w:cs="Times New Roman"/>
          <w:b/>
          <w:bCs/>
          <w:sz w:val="24"/>
          <w:szCs w:val="21"/>
          <w:lang w:val="en-US" w:eastAsia="zh-CN" w:bidi="ar-SA"/>
        </w:rPr>
        <w:t>.3</w:t>
      </w:r>
      <w:r>
        <w:rPr>
          <w:rFonts w:hint="default" w:ascii="Times New Roman" w:hAnsi="Times New Roman" w:eastAsia="宋体" w:cs="Times New Roman"/>
          <w:b/>
          <w:bCs/>
          <w:sz w:val="24"/>
        </w:rPr>
        <w:t>黏层材料喷洒</w:t>
      </w:r>
      <w:bookmarkEnd w:id="48"/>
      <w:bookmarkEnd w:id="49"/>
    </w:p>
    <w:p w14:paraId="4F830B2E">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.3.1</w:t>
      </w:r>
      <w:r>
        <w:rPr>
          <w:rFonts w:hint="default" w:ascii="Times New Roman" w:hAnsi="Times New Roman" w:cs="Times New Roman"/>
          <w:sz w:val="24"/>
          <w:szCs w:val="32"/>
        </w:rPr>
        <w:t>冷拌超表处摊铺前需喷洒黏层材料，应充分清扫路面，清除路面杂物，并保证路面施工时处于干燥状态。</w:t>
      </w:r>
    </w:p>
    <w:p w14:paraId="4248131A">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.3.2</w:t>
      </w:r>
      <w:r>
        <w:rPr>
          <w:rFonts w:hint="default" w:ascii="Times New Roman" w:hAnsi="Times New Roman" w:cs="Times New Roman"/>
          <w:sz w:val="24"/>
          <w:szCs w:val="32"/>
        </w:rPr>
        <w:t>溶剂型黏层材料的喷洒量以0.15L/m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~0.25L/m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为基准，并根据原路面状况、气候条件、交通量等进行调节。裂缝处应适当增加用量，摊铺接缝处需喷洒或人工涂刷黏层材料。</w:t>
      </w:r>
    </w:p>
    <w:p w14:paraId="62119A4B">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50" w:name="_Toc13197"/>
      <w:r>
        <w:rPr>
          <w:rFonts w:hint="eastAsia" w:ascii="Times New Roman" w:eastAsia="宋体" w:cs="Times New Roman"/>
          <w:b/>
          <w:bCs/>
          <w:sz w:val="24"/>
          <w:szCs w:val="21"/>
          <w:lang w:val="en-US" w:eastAsia="zh-CN" w:bidi="ar-SA"/>
        </w:rPr>
        <w:t>7</w:t>
      </w:r>
      <w:r>
        <w:rPr>
          <w:rFonts w:hint="default" w:ascii="Times New Roman" w:hAnsi="Times New Roman" w:eastAsia="宋体" w:cs="Times New Roman"/>
          <w:b/>
          <w:bCs/>
          <w:sz w:val="24"/>
          <w:szCs w:val="21"/>
          <w:lang w:val="en-US" w:eastAsia="zh-CN" w:bidi="ar-SA"/>
        </w:rPr>
        <w:t>.4</w:t>
      </w:r>
      <w:r>
        <w:rPr>
          <w:rFonts w:hint="default" w:ascii="Times New Roman" w:hAnsi="Times New Roman" w:eastAsia="宋体" w:cs="Times New Roman"/>
          <w:b/>
          <w:bCs/>
          <w:sz w:val="24"/>
        </w:rPr>
        <w:t>施工</w:t>
      </w:r>
      <w:bookmarkEnd w:id="50"/>
    </w:p>
    <w:p w14:paraId="134B9347">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.4.1</w:t>
      </w:r>
      <w:r>
        <w:rPr>
          <w:rFonts w:hint="default" w:ascii="Times New Roman" w:hAnsi="Times New Roman" w:cs="Times New Roman"/>
          <w:sz w:val="24"/>
          <w:szCs w:val="32"/>
        </w:rPr>
        <w:t>应根据施工路段的设计摊铺宽度调整摊铺槽宽度，应减少纵向接缝数量，纵向接缝宜设置于标线附近。</w:t>
      </w:r>
    </w:p>
    <w:p w14:paraId="555DBE91">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.4.2</w:t>
      </w:r>
      <w:r>
        <w:rPr>
          <w:rFonts w:hint="default" w:ascii="Times New Roman" w:hAnsi="Times New Roman" w:cs="Times New Roman"/>
          <w:sz w:val="24"/>
          <w:szCs w:val="32"/>
        </w:rPr>
        <w:t>摊铺速度以保持混合料摊铺量与搅拌量基本一致为准。冷拌超表处施工时以保持摊铺槽中混合料的体积为摊铺槽容积的1/2左右。</w:t>
      </w:r>
    </w:p>
    <w:p w14:paraId="0864AE3A">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.4.3</w:t>
      </w:r>
      <w:r>
        <w:rPr>
          <w:rFonts w:hint="default" w:ascii="Times New Roman" w:hAnsi="Times New Roman" w:cs="Times New Roman"/>
          <w:sz w:val="24"/>
          <w:szCs w:val="32"/>
        </w:rPr>
        <w:t>冷拌超表处混合料摊铺后的局部缺陷，应及时使用橡胶耙等工具，对个别超粒径粗集料产生的纵向刮痕，横、纵接缝等进行人工找平。</w:t>
      </w:r>
    </w:p>
    <w:p w14:paraId="197C899D">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.4.4</w:t>
      </w:r>
      <w:r>
        <w:rPr>
          <w:rFonts w:hint="default" w:ascii="Times New Roman" w:hAnsi="Times New Roman" w:cs="Times New Roman"/>
          <w:sz w:val="24"/>
          <w:szCs w:val="32"/>
        </w:rPr>
        <w:t>当摊铺车内任何一种材料即将用完时，应立即关闭所有输送材料的控制开关，让搅拌器中的混合料搅拌完，并送入摊铺槽摊铺完毕后，摊铺车停止前进，提起摊铺槽，将摊铺车移出摊铺点清洗摊铺槽。施工中不得随意抛掷废弃物。</w:t>
      </w:r>
    </w:p>
    <w:p w14:paraId="59B81BC2">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51" w:name="_Toc12348"/>
      <w:r>
        <w:rPr>
          <w:rFonts w:hint="eastAsia" w:ascii="Times New Roman" w:eastAsia="宋体" w:cs="Times New Roman"/>
          <w:b/>
          <w:bCs/>
          <w:sz w:val="24"/>
          <w:szCs w:val="21"/>
          <w:lang w:val="en-US" w:eastAsia="zh-CN" w:bidi="ar-SA"/>
        </w:rPr>
        <w:t>7</w:t>
      </w:r>
      <w:r>
        <w:rPr>
          <w:rFonts w:hint="default" w:ascii="Times New Roman" w:hAnsi="Times New Roman" w:eastAsia="宋体" w:cs="Times New Roman"/>
          <w:b/>
          <w:bCs/>
          <w:sz w:val="24"/>
          <w:szCs w:val="21"/>
          <w:lang w:val="en-US" w:eastAsia="zh-CN" w:bidi="ar-SA"/>
        </w:rPr>
        <w:t>.5</w:t>
      </w:r>
      <w:r>
        <w:rPr>
          <w:rFonts w:hint="default" w:ascii="Times New Roman" w:hAnsi="Times New Roman" w:eastAsia="宋体" w:cs="Times New Roman"/>
          <w:b/>
          <w:bCs/>
          <w:sz w:val="24"/>
        </w:rPr>
        <w:t>初期养护与开放交通</w:t>
      </w:r>
      <w:bookmarkEnd w:id="51"/>
    </w:p>
    <w:p w14:paraId="070DC582">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.5.1</w:t>
      </w:r>
      <w:r>
        <w:rPr>
          <w:rFonts w:hint="default" w:ascii="Times New Roman" w:hAnsi="Times New Roman" w:cs="Times New Roman"/>
          <w:sz w:val="24"/>
          <w:szCs w:val="32"/>
        </w:rPr>
        <w:t>初期养护要求环境温度＞10℃，等待冷拌超表处外观从褐色转为黑色。</w:t>
      </w:r>
    </w:p>
    <w:p w14:paraId="365ED283">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.5.2</w:t>
      </w:r>
      <w:r>
        <w:rPr>
          <w:rFonts w:hint="default" w:ascii="Times New Roman" w:hAnsi="Times New Roman" w:cs="Times New Roman"/>
          <w:sz w:val="24"/>
          <w:szCs w:val="32"/>
        </w:rPr>
        <w:t>在冷拌超表处表面用手触碰没有明显粘度时，采用胶轮压路机进行碾压，碾压次数不少于2遍。</w:t>
      </w:r>
    </w:p>
    <w:p w14:paraId="6EBEAD99">
      <w:pPr>
        <w:pStyle w:val="188"/>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ascii="Times New Roman" w:hAnsi="Times New Roman" w:cs="Times New Roman"/>
          <w:b/>
          <w:bCs/>
          <w:kern w:val="2"/>
          <w:sz w:val="24"/>
          <w:szCs w:val="32"/>
          <w:lang w:val="en-US" w:eastAsia="zh-CN" w:bidi="ar-SA"/>
        </w:rPr>
        <w:t>7</w:t>
      </w:r>
      <w:r>
        <w:rPr>
          <w:rFonts w:hint="default" w:ascii="Times New Roman" w:hAnsi="Times New Roman" w:cs="Times New Roman" w:eastAsiaTheme="minorEastAsia"/>
          <w:b/>
          <w:bCs/>
          <w:kern w:val="2"/>
          <w:sz w:val="24"/>
          <w:szCs w:val="32"/>
          <w:lang w:val="en-US" w:eastAsia="zh-CN" w:bidi="ar-SA"/>
        </w:rPr>
        <w:t>.5.3</w:t>
      </w:r>
      <w:r>
        <w:rPr>
          <w:rFonts w:hint="default" w:ascii="Times New Roman" w:hAnsi="Times New Roman" w:cs="Times New Roman"/>
          <w:sz w:val="24"/>
          <w:szCs w:val="32"/>
        </w:rPr>
        <w:t>混合料表面用吸水纸轻压后看不到褐色斑点后，即可开放交通，若需要较早开放交通，可配合撒砂工艺。</w:t>
      </w:r>
    </w:p>
    <w:p w14:paraId="2416C7C3">
      <w:pPr>
        <w:pStyle w:val="188"/>
        <w:numPr>
          <w:ilvl w:val="2"/>
          <w:numId w:val="22"/>
        </w:numPr>
        <w:spacing w:line="360" w:lineRule="auto"/>
        <w:ind w:left="0" w:firstLine="240" w:firstLineChars="100"/>
        <w:rPr>
          <w:rFonts w:hint="default" w:ascii="Times New Roman" w:hAnsi="Times New Roman" w:cs="Times New Roman"/>
          <w:sz w:val="24"/>
          <w:szCs w:val="32"/>
        </w:rPr>
        <w:sectPr>
          <w:headerReference r:id="rId17" w:type="default"/>
          <w:headerReference r:id="rId18" w:type="even"/>
          <w:pgSz w:w="11906" w:h="16838"/>
          <w:pgMar w:top="1440" w:right="1800" w:bottom="1440" w:left="1800" w:header="850" w:footer="992" w:gutter="0"/>
          <w:cols w:space="425" w:num="1"/>
          <w:formProt w:val="0"/>
          <w:docGrid w:type="lines" w:linePitch="312" w:charSpace="0"/>
        </w:sectPr>
      </w:pPr>
    </w:p>
    <w:p w14:paraId="18FA3D03">
      <w:pPr>
        <w:pStyle w:val="54"/>
        <w:numPr>
          <w:ilvl w:val="0"/>
          <w:numId w:val="0"/>
        </w:numPr>
        <w:spacing w:beforeLines="0" w:afterLines="0" w:line="360" w:lineRule="auto"/>
        <w:ind w:left="360" w:leftChars="0" w:hanging="360" w:firstLineChars="0"/>
        <w:outlineLvl w:val="0"/>
        <w:rPr>
          <w:rFonts w:hint="default" w:ascii="Times New Roman" w:hAnsi="Times New Roman" w:cs="Times New Roman" w:eastAsiaTheme="minorEastAsia"/>
          <w:b/>
          <w:bCs/>
          <w:sz w:val="32"/>
          <w:szCs w:val="22"/>
        </w:rPr>
      </w:pPr>
      <w:bookmarkStart w:id="52" w:name="_Toc15675"/>
      <w:bookmarkStart w:id="53" w:name="_Toc126742853"/>
      <w:bookmarkStart w:id="54" w:name="_Toc179636671"/>
      <w:r>
        <w:rPr>
          <w:rFonts w:hint="eastAsia" w:ascii="Times New Roman" w:cs="Times New Roman" w:eastAsiaTheme="minorEastAsia"/>
          <w:b/>
          <w:bCs/>
          <w:sz w:val="32"/>
          <w:szCs w:val="22"/>
          <w:lang w:val="en-US" w:eastAsia="zh-CN" w:bidi="ar-SA"/>
        </w:rPr>
        <w:t>8</w:t>
      </w:r>
      <w:r>
        <w:rPr>
          <w:rFonts w:hint="default" w:ascii="Times New Roman" w:hAnsi="Times New Roman" w:cs="Times New Roman" w:eastAsiaTheme="minorEastAsia"/>
          <w:b/>
          <w:bCs/>
          <w:sz w:val="32"/>
          <w:szCs w:val="22"/>
        </w:rPr>
        <w:t>施工质量控制与检查验收</w:t>
      </w:r>
      <w:bookmarkEnd w:id="52"/>
      <w:bookmarkEnd w:id="53"/>
      <w:bookmarkEnd w:id="54"/>
    </w:p>
    <w:p w14:paraId="53036645">
      <w:pPr>
        <w:pStyle w:val="51"/>
        <w:numPr>
          <w:ilvl w:val="1"/>
          <w:numId w:val="0"/>
        </w:numPr>
        <w:spacing w:beforeLines="0" w:afterLines="0" w:line="360" w:lineRule="auto"/>
        <w:ind w:left="426" w:leftChars="0" w:hanging="360" w:firstLineChars="0"/>
        <w:outlineLvl w:val="1"/>
        <w:rPr>
          <w:rFonts w:hint="default" w:ascii="Times New Roman" w:hAnsi="Times New Roman" w:eastAsia="宋体" w:cs="Times New Roman"/>
          <w:b/>
          <w:bCs/>
          <w:sz w:val="24"/>
        </w:rPr>
      </w:pPr>
      <w:bookmarkStart w:id="55" w:name="_Toc30991"/>
      <w:bookmarkStart w:id="56" w:name="_Toc278541461"/>
      <w:bookmarkStart w:id="57" w:name="_Toc126742854"/>
      <w:bookmarkStart w:id="58" w:name="_Toc289597588"/>
      <w:bookmarkStart w:id="59" w:name="_Toc179636672"/>
      <w:r>
        <w:rPr>
          <w:rFonts w:hint="eastAsia" w:ascii="Times New Roman" w:eastAsia="宋体" w:cs="Times New Roman"/>
          <w:b/>
          <w:bCs/>
          <w:sz w:val="24"/>
          <w:szCs w:val="21"/>
          <w:lang w:val="en-US" w:eastAsia="zh-CN" w:bidi="ar-SA"/>
        </w:rPr>
        <w:t>8</w:t>
      </w:r>
      <w:r>
        <w:rPr>
          <w:rFonts w:hint="default" w:ascii="Times New Roman" w:hAnsi="Times New Roman" w:eastAsia="宋体" w:cs="Times New Roman"/>
          <w:b/>
          <w:bCs/>
          <w:sz w:val="24"/>
          <w:szCs w:val="21"/>
          <w:lang w:val="en-US" w:eastAsia="zh-CN" w:bidi="ar-SA"/>
        </w:rPr>
        <w:t>.1</w:t>
      </w:r>
      <w:r>
        <w:rPr>
          <w:rFonts w:hint="default" w:ascii="Times New Roman" w:hAnsi="Times New Roman" w:eastAsia="宋体" w:cs="Times New Roman"/>
          <w:b/>
          <w:bCs/>
          <w:sz w:val="24"/>
        </w:rPr>
        <w:t>原材料质量控制</w:t>
      </w:r>
      <w:bookmarkEnd w:id="55"/>
      <w:bookmarkEnd w:id="56"/>
      <w:bookmarkEnd w:id="57"/>
      <w:bookmarkEnd w:id="58"/>
      <w:bookmarkEnd w:id="59"/>
    </w:p>
    <w:p w14:paraId="44773829">
      <w:pPr>
        <w:pStyle w:val="188"/>
        <w:numPr>
          <w:ilvl w:val="2"/>
          <w:numId w:val="0"/>
        </w:numPr>
        <w:spacing w:line="360" w:lineRule="auto"/>
        <w:ind w:left="0" w:leftChars="0" w:firstLine="241" w:firstLineChars="100"/>
        <w:rPr>
          <w:rFonts w:hint="default"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lang w:val="en-US" w:eastAsia="zh-CN" w:bidi="ar-SA"/>
        </w:rPr>
        <w:t>8</w:t>
      </w:r>
      <w:r>
        <w:rPr>
          <w:rFonts w:hint="default" w:ascii="Times New Roman" w:hAnsi="Times New Roman" w:eastAsia="宋体" w:cs="Times New Roman"/>
          <w:b/>
          <w:bCs/>
          <w:kern w:val="0"/>
          <w:sz w:val="24"/>
          <w:szCs w:val="24"/>
          <w:lang w:val="en-US" w:eastAsia="zh-CN" w:bidi="ar-SA"/>
        </w:rPr>
        <w:t>.1.1</w:t>
      </w:r>
      <w:r>
        <w:rPr>
          <w:rFonts w:hint="default" w:ascii="Times New Roman" w:hAnsi="Times New Roman" w:eastAsia="宋体" w:cs="Times New Roman"/>
          <w:kern w:val="0"/>
          <w:sz w:val="24"/>
          <w:szCs w:val="24"/>
        </w:rPr>
        <w:t>施工前应对原材料进行质量检查，应符合表</w:t>
      </w:r>
      <w:r>
        <w:rPr>
          <w:rFonts w:hint="eastAsia"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rPr>
        <w:t>.1.1的规定。</w:t>
      </w:r>
    </w:p>
    <w:p w14:paraId="2CB26798">
      <w:pPr>
        <w:pStyle w:val="192"/>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w:t>
      </w:r>
      <w:r>
        <w:rPr>
          <w:rFonts w:hint="eastAsia" w:eastAsia="黑体" w:cs="Times New Roman"/>
          <w:sz w:val="21"/>
          <w:szCs w:val="20"/>
          <w:lang w:val="en-US" w:eastAsia="zh-CN"/>
        </w:rPr>
        <w:t>8</w:t>
      </w:r>
      <w:r>
        <w:rPr>
          <w:rFonts w:hint="default" w:ascii="Times New Roman" w:hAnsi="Times New Roman" w:eastAsia="黑体" w:cs="Times New Roman"/>
          <w:sz w:val="21"/>
          <w:szCs w:val="20"/>
        </w:rPr>
        <w:t>.1.1 施工前的原材料质量控制要求</w:t>
      </w:r>
    </w:p>
    <w:tbl>
      <w:tblPr>
        <w:tblStyle w:val="19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4186"/>
        <w:gridCol w:w="1314"/>
        <w:gridCol w:w="1239"/>
      </w:tblGrid>
      <w:tr w14:paraId="07D11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6" w:type="pct"/>
          </w:tcPr>
          <w:p w14:paraId="533CFEDF">
            <w:pPr>
              <w:pStyle w:val="194"/>
              <w:rPr>
                <w:rFonts w:hint="default" w:ascii="Times New Roman" w:hAnsi="Times New Roman" w:cs="Times New Roman"/>
                <w:spacing w:val="-2"/>
                <w:sz w:val="24"/>
              </w:rPr>
            </w:pPr>
            <w:r>
              <w:rPr>
                <w:rFonts w:hint="default" w:ascii="Times New Roman" w:hAnsi="Times New Roman" w:cs="Times New Roman"/>
                <w:spacing w:val="-2"/>
                <w:sz w:val="24"/>
              </w:rPr>
              <w:t>材料</w:t>
            </w:r>
          </w:p>
        </w:tc>
        <w:tc>
          <w:tcPr>
            <w:tcW w:w="2456" w:type="pct"/>
          </w:tcPr>
          <w:p w14:paraId="660A83E1">
            <w:pPr>
              <w:pStyle w:val="194"/>
              <w:rPr>
                <w:rFonts w:hint="default" w:ascii="Times New Roman" w:hAnsi="Times New Roman" w:cs="Times New Roman"/>
                <w:spacing w:val="-2"/>
                <w:sz w:val="24"/>
              </w:rPr>
            </w:pPr>
            <w:r>
              <w:rPr>
                <w:rFonts w:hint="default" w:ascii="Times New Roman" w:hAnsi="Times New Roman" w:cs="Times New Roman"/>
                <w:spacing w:val="-2"/>
                <w:sz w:val="24"/>
              </w:rPr>
              <w:t>检查项目</w:t>
            </w:r>
          </w:p>
        </w:tc>
        <w:tc>
          <w:tcPr>
            <w:tcW w:w="771" w:type="pct"/>
          </w:tcPr>
          <w:p w14:paraId="3C724AE5">
            <w:pPr>
              <w:pStyle w:val="194"/>
              <w:rPr>
                <w:rFonts w:hint="default" w:ascii="Times New Roman" w:hAnsi="Times New Roman" w:cs="Times New Roman"/>
                <w:spacing w:val="-2"/>
                <w:sz w:val="24"/>
              </w:rPr>
            </w:pPr>
            <w:r>
              <w:rPr>
                <w:rFonts w:hint="default" w:ascii="Times New Roman" w:hAnsi="Times New Roman" w:cs="Times New Roman"/>
                <w:spacing w:val="-2"/>
                <w:sz w:val="24"/>
              </w:rPr>
              <w:t>质量要求</w:t>
            </w:r>
          </w:p>
        </w:tc>
        <w:tc>
          <w:tcPr>
            <w:tcW w:w="727" w:type="pct"/>
          </w:tcPr>
          <w:p w14:paraId="07B00C36">
            <w:pPr>
              <w:pStyle w:val="194"/>
              <w:rPr>
                <w:rFonts w:hint="default" w:ascii="Times New Roman" w:hAnsi="Times New Roman" w:cs="Times New Roman"/>
                <w:spacing w:val="-2"/>
                <w:sz w:val="24"/>
              </w:rPr>
            </w:pPr>
            <w:r>
              <w:rPr>
                <w:rFonts w:hint="default" w:ascii="Times New Roman" w:hAnsi="Times New Roman" w:cs="Times New Roman"/>
                <w:spacing w:val="-2"/>
                <w:sz w:val="24"/>
              </w:rPr>
              <w:t>检查频率</w:t>
            </w:r>
          </w:p>
        </w:tc>
      </w:tr>
      <w:tr w14:paraId="40250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6" w:type="pct"/>
            <w:vAlign w:val="center"/>
          </w:tcPr>
          <w:p w14:paraId="7C9F235B">
            <w:pPr>
              <w:pStyle w:val="194"/>
              <w:rPr>
                <w:rFonts w:hint="default" w:ascii="Times New Roman" w:hAnsi="Times New Roman" w:cs="Times New Roman"/>
                <w:spacing w:val="-2"/>
                <w:sz w:val="24"/>
              </w:rPr>
            </w:pPr>
            <w:r>
              <w:rPr>
                <w:rFonts w:hint="default" w:ascii="Times New Roman" w:hAnsi="Times New Roman" w:cs="Times New Roman"/>
                <w:spacing w:val="-2"/>
                <w:sz w:val="24"/>
              </w:rPr>
              <w:t>高黏度改性乳化沥青</w:t>
            </w:r>
          </w:p>
        </w:tc>
        <w:tc>
          <w:tcPr>
            <w:tcW w:w="2456" w:type="pct"/>
            <w:vAlign w:val="center"/>
          </w:tcPr>
          <w:p w14:paraId="001C4A88">
            <w:pPr>
              <w:pStyle w:val="194"/>
              <w:rPr>
                <w:rFonts w:hint="default" w:ascii="Times New Roman" w:hAnsi="Times New Roman" w:cs="Times New Roman"/>
                <w:spacing w:val="-2"/>
                <w:sz w:val="24"/>
              </w:rPr>
            </w:pPr>
            <w:r>
              <w:rPr>
                <w:rFonts w:hint="default" w:ascii="Times New Roman" w:hAnsi="Times New Roman" w:cs="Times New Roman"/>
                <w:spacing w:val="-2"/>
                <w:sz w:val="24"/>
              </w:rPr>
              <w:t>本指南表6.1.1中要求的检测项目</w:t>
            </w:r>
          </w:p>
        </w:tc>
        <w:tc>
          <w:tcPr>
            <w:tcW w:w="771" w:type="pct"/>
            <w:vMerge w:val="restart"/>
            <w:vAlign w:val="center"/>
          </w:tcPr>
          <w:p w14:paraId="5863E93E">
            <w:pPr>
              <w:pStyle w:val="194"/>
              <w:rPr>
                <w:rFonts w:hint="default" w:ascii="Times New Roman" w:hAnsi="Times New Roman" w:cs="Times New Roman"/>
                <w:spacing w:val="-2"/>
                <w:sz w:val="24"/>
              </w:rPr>
            </w:pPr>
            <w:r>
              <w:rPr>
                <w:rFonts w:hint="default" w:ascii="Times New Roman" w:hAnsi="Times New Roman" w:cs="Times New Roman"/>
                <w:spacing w:val="-2"/>
                <w:sz w:val="24"/>
              </w:rPr>
              <w:t>符合设计要求</w:t>
            </w:r>
          </w:p>
        </w:tc>
        <w:tc>
          <w:tcPr>
            <w:tcW w:w="727" w:type="pct"/>
            <w:vMerge w:val="restart"/>
            <w:vAlign w:val="center"/>
          </w:tcPr>
          <w:p w14:paraId="0BF7E551">
            <w:pPr>
              <w:pStyle w:val="194"/>
              <w:rPr>
                <w:rFonts w:hint="default" w:ascii="Times New Roman" w:hAnsi="Times New Roman" w:cs="Times New Roman"/>
                <w:spacing w:val="-2"/>
                <w:sz w:val="24"/>
              </w:rPr>
            </w:pPr>
            <w:r>
              <w:rPr>
                <w:rFonts w:hint="default" w:ascii="Times New Roman" w:hAnsi="Times New Roman" w:cs="Times New Roman"/>
                <w:spacing w:val="-2"/>
                <w:sz w:val="24"/>
              </w:rPr>
              <w:t>每批来料1次</w:t>
            </w:r>
          </w:p>
        </w:tc>
      </w:tr>
      <w:tr w14:paraId="05E06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6" w:type="pct"/>
            <w:vAlign w:val="center"/>
          </w:tcPr>
          <w:p w14:paraId="672E8047">
            <w:pPr>
              <w:pStyle w:val="194"/>
              <w:rPr>
                <w:rStyle w:val="182"/>
                <w:rFonts w:hint="default" w:ascii="Times New Roman" w:hAnsi="Times New Roman" w:cs="Times New Roman"/>
                <w:spacing w:val="-2"/>
              </w:rPr>
            </w:pPr>
            <w:r>
              <w:rPr>
                <w:rStyle w:val="182"/>
                <w:rFonts w:hint="default" w:ascii="Times New Roman" w:hAnsi="Times New Roman" w:cs="Times New Roman"/>
                <w:spacing w:val="-2"/>
              </w:rPr>
              <w:t>黏层材料</w:t>
            </w:r>
          </w:p>
        </w:tc>
        <w:tc>
          <w:tcPr>
            <w:tcW w:w="2456" w:type="pct"/>
            <w:vAlign w:val="center"/>
          </w:tcPr>
          <w:p w14:paraId="7DFC190D">
            <w:pPr>
              <w:pStyle w:val="194"/>
              <w:rPr>
                <w:rFonts w:hint="default" w:ascii="Times New Roman" w:hAnsi="Times New Roman" w:cs="Times New Roman"/>
                <w:spacing w:val="-2"/>
                <w:sz w:val="24"/>
              </w:rPr>
            </w:pPr>
            <w:r>
              <w:rPr>
                <w:rFonts w:hint="default" w:ascii="Times New Roman" w:hAnsi="Times New Roman" w:cs="Times New Roman"/>
                <w:spacing w:val="-2"/>
                <w:sz w:val="24"/>
              </w:rPr>
              <w:t>本指南表6.2.1中要求的检测项目</w:t>
            </w:r>
          </w:p>
        </w:tc>
        <w:tc>
          <w:tcPr>
            <w:tcW w:w="771" w:type="pct"/>
            <w:vMerge w:val="continue"/>
          </w:tcPr>
          <w:p w14:paraId="4B5A1231">
            <w:pPr>
              <w:pStyle w:val="194"/>
              <w:rPr>
                <w:rFonts w:hint="default" w:ascii="Times New Roman" w:hAnsi="Times New Roman" w:cs="Times New Roman"/>
                <w:spacing w:val="-2"/>
                <w:sz w:val="24"/>
              </w:rPr>
            </w:pPr>
          </w:p>
        </w:tc>
        <w:tc>
          <w:tcPr>
            <w:tcW w:w="727" w:type="pct"/>
            <w:vMerge w:val="continue"/>
          </w:tcPr>
          <w:p w14:paraId="5978AF0D">
            <w:pPr>
              <w:pStyle w:val="194"/>
              <w:rPr>
                <w:rFonts w:hint="default" w:ascii="Times New Roman" w:hAnsi="Times New Roman" w:cs="Times New Roman"/>
                <w:spacing w:val="-2"/>
                <w:sz w:val="24"/>
              </w:rPr>
            </w:pPr>
          </w:p>
        </w:tc>
      </w:tr>
      <w:tr w14:paraId="67A88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6" w:type="pct"/>
            <w:vAlign w:val="center"/>
          </w:tcPr>
          <w:p w14:paraId="0D4E7703">
            <w:pPr>
              <w:pStyle w:val="194"/>
              <w:rPr>
                <w:rStyle w:val="182"/>
                <w:rFonts w:hint="default" w:ascii="Times New Roman" w:hAnsi="Times New Roman" w:cs="Times New Roman"/>
                <w:spacing w:val="-2"/>
              </w:rPr>
            </w:pPr>
            <w:r>
              <w:rPr>
                <w:rStyle w:val="182"/>
                <w:rFonts w:hint="default" w:ascii="Times New Roman" w:hAnsi="Times New Roman" w:cs="Times New Roman"/>
                <w:spacing w:val="-2"/>
              </w:rPr>
              <w:t>集料与填料</w:t>
            </w:r>
          </w:p>
        </w:tc>
        <w:tc>
          <w:tcPr>
            <w:tcW w:w="2456" w:type="pct"/>
            <w:vAlign w:val="center"/>
          </w:tcPr>
          <w:p w14:paraId="163863BE">
            <w:pPr>
              <w:pStyle w:val="194"/>
              <w:rPr>
                <w:rFonts w:hint="default" w:ascii="Times New Roman" w:hAnsi="Times New Roman" w:cs="Times New Roman"/>
                <w:spacing w:val="-2"/>
                <w:sz w:val="24"/>
              </w:rPr>
            </w:pPr>
            <w:r>
              <w:rPr>
                <w:rFonts w:hint="default" w:ascii="Times New Roman" w:hAnsi="Times New Roman" w:cs="Times New Roman"/>
                <w:sz w:val="24"/>
              </w:rPr>
              <w:t>本指南表6.3.1中要求的检测项目</w:t>
            </w:r>
          </w:p>
        </w:tc>
        <w:tc>
          <w:tcPr>
            <w:tcW w:w="771" w:type="pct"/>
            <w:vMerge w:val="continue"/>
          </w:tcPr>
          <w:p w14:paraId="0C57259A">
            <w:pPr>
              <w:pStyle w:val="194"/>
              <w:rPr>
                <w:rFonts w:hint="default" w:ascii="Times New Roman" w:hAnsi="Times New Roman" w:cs="Times New Roman"/>
                <w:spacing w:val="-2"/>
                <w:sz w:val="24"/>
              </w:rPr>
            </w:pPr>
          </w:p>
        </w:tc>
        <w:tc>
          <w:tcPr>
            <w:tcW w:w="727" w:type="pct"/>
            <w:vMerge w:val="continue"/>
          </w:tcPr>
          <w:p w14:paraId="064A338E">
            <w:pPr>
              <w:pStyle w:val="194"/>
              <w:rPr>
                <w:rFonts w:hint="default" w:ascii="Times New Roman" w:hAnsi="Times New Roman" w:cs="Times New Roman"/>
                <w:spacing w:val="-2"/>
                <w:sz w:val="24"/>
              </w:rPr>
            </w:pPr>
          </w:p>
        </w:tc>
      </w:tr>
    </w:tbl>
    <w:p w14:paraId="4675B2C7">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60" w:name="_Toc6478"/>
      <w:bookmarkStart w:id="61" w:name="_Toc179636673"/>
      <w:r>
        <w:rPr>
          <w:rFonts w:hint="eastAsia" w:ascii="Times New Roman" w:eastAsia="宋体" w:cs="Times New Roman"/>
          <w:b/>
          <w:bCs/>
          <w:sz w:val="24"/>
          <w:szCs w:val="21"/>
          <w:lang w:val="en-US" w:eastAsia="zh-CN" w:bidi="ar-SA"/>
        </w:rPr>
        <w:t>8</w:t>
      </w:r>
      <w:r>
        <w:rPr>
          <w:rFonts w:hint="default" w:ascii="Times New Roman" w:hAnsi="Times New Roman" w:eastAsia="宋体" w:cs="Times New Roman"/>
          <w:b/>
          <w:bCs/>
          <w:sz w:val="24"/>
          <w:szCs w:val="21"/>
          <w:lang w:val="en-US" w:eastAsia="zh-CN" w:bidi="ar-SA"/>
        </w:rPr>
        <w:t>.2</w:t>
      </w:r>
      <w:r>
        <w:rPr>
          <w:rFonts w:hint="default" w:ascii="Times New Roman" w:hAnsi="Times New Roman" w:eastAsia="宋体" w:cs="Times New Roman"/>
          <w:b/>
          <w:bCs/>
          <w:sz w:val="24"/>
        </w:rPr>
        <w:t>施工过程中质量控制</w:t>
      </w:r>
      <w:bookmarkEnd w:id="60"/>
      <w:bookmarkEnd w:id="61"/>
    </w:p>
    <w:p w14:paraId="2C585888">
      <w:pPr>
        <w:pStyle w:val="188"/>
        <w:numPr>
          <w:ilvl w:val="2"/>
          <w:numId w:val="0"/>
        </w:numPr>
        <w:spacing w:line="360" w:lineRule="auto"/>
        <w:ind w:left="0" w:leftChars="0" w:firstLine="241" w:firstLineChars="100"/>
        <w:rPr>
          <w:rFonts w:hint="default"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lang w:val="en-US" w:eastAsia="zh-CN" w:bidi="ar-SA"/>
        </w:rPr>
        <w:t>8</w:t>
      </w:r>
      <w:r>
        <w:rPr>
          <w:rFonts w:hint="default" w:ascii="Times New Roman" w:hAnsi="Times New Roman" w:eastAsia="宋体" w:cs="Times New Roman"/>
          <w:b/>
          <w:bCs/>
          <w:kern w:val="0"/>
          <w:sz w:val="24"/>
          <w:szCs w:val="24"/>
          <w:lang w:val="en-US" w:eastAsia="zh-CN" w:bidi="ar-SA"/>
        </w:rPr>
        <w:t>.2.1</w:t>
      </w:r>
      <w:r>
        <w:rPr>
          <w:rFonts w:hint="default" w:ascii="Times New Roman" w:hAnsi="Times New Roman" w:eastAsia="宋体" w:cs="Times New Roman"/>
          <w:kern w:val="0"/>
          <w:sz w:val="24"/>
          <w:szCs w:val="24"/>
        </w:rPr>
        <w:t>施工过程中，冷拌超表处混合料的检验频率和质量要求，应按《公路沥青路面施工技术规范》（JTG F40）的规定执行。</w:t>
      </w:r>
    </w:p>
    <w:p w14:paraId="544923E2">
      <w:pPr>
        <w:pStyle w:val="188"/>
        <w:numPr>
          <w:ilvl w:val="2"/>
          <w:numId w:val="0"/>
        </w:numPr>
        <w:spacing w:line="360" w:lineRule="auto"/>
        <w:ind w:left="0" w:leftChars="0" w:firstLine="241" w:firstLineChars="100"/>
        <w:rPr>
          <w:rFonts w:hint="default"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lang w:val="en-US" w:eastAsia="zh-CN" w:bidi="ar-SA"/>
        </w:rPr>
        <w:t>8</w:t>
      </w:r>
      <w:r>
        <w:rPr>
          <w:rFonts w:hint="default" w:ascii="Times New Roman" w:hAnsi="Times New Roman" w:eastAsia="宋体" w:cs="Times New Roman"/>
          <w:b/>
          <w:bCs/>
          <w:kern w:val="0"/>
          <w:sz w:val="24"/>
          <w:szCs w:val="24"/>
          <w:lang w:val="en-US" w:eastAsia="zh-CN" w:bidi="ar-SA"/>
        </w:rPr>
        <w:t>.2.2</w:t>
      </w:r>
      <w:r>
        <w:rPr>
          <w:rFonts w:hint="default" w:ascii="Times New Roman" w:hAnsi="Times New Roman" w:eastAsia="宋体" w:cs="Times New Roman"/>
          <w:kern w:val="0"/>
          <w:sz w:val="24"/>
          <w:szCs w:val="24"/>
        </w:rPr>
        <w:t>冷拌超表处的施工过程质量控制要求应表</w:t>
      </w:r>
      <w:r>
        <w:rPr>
          <w:rFonts w:hint="eastAsia"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rPr>
        <w:t>.2.2的规定执行。</w:t>
      </w:r>
    </w:p>
    <w:p w14:paraId="14F28413">
      <w:pPr>
        <w:pStyle w:val="192"/>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w:t>
      </w:r>
      <w:r>
        <w:rPr>
          <w:rFonts w:hint="eastAsia" w:eastAsia="黑体" w:cs="Times New Roman"/>
          <w:sz w:val="21"/>
          <w:szCs w:val="20"/>
          <w:lang w:val="en-US" w:eastAsia="zh-CN"/>
        </w:rPr>
        <w:t>8</w:t>
      </w:r>
      <w:r>
        <w:rPr>
          <w:rFonts w:hint="default" w:ascii="Times New Roman" w:hAnsi="Times New Roman" w:eastAsia="黑体" w:cs="Times New Roman"/>
          <w:sz w:val="21"/>
          <w:szCs w:val="20"/>
        </w:rPr>
        <w:t>.2.2冷拌超表处的施工过程质量控制要求</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3503"/>
        <w:gridCol w:w="1450"/>
        <w:gridCol w:w="2270"/>
      </w:tblGrid>
      <w:tr w14:paraId="24B95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tcBorders>
              <w:top w:val="single" w:color="auto" w:sz="12" w:space="0"/>
              <w:bottom w:val="single" w:color="auto" w:sz="12" w:space="0"/>
            </w:tcBorders>
            <w:shd w:val="clear" w:color="auto" w:fill="auto"/>
            <w:vAlign w:val="center"/>
          </w:tcPr>
          <w:p w14:paraId="36C180C1">
            <w:pPr>
              <w:widowControl/>
              <w:jc w:val="center"/>
              <w:rPr>
                <w:rStyle w:val="46"/>
                <w:rFonts w:hint="default" w:ascii="Times New Roman" w:hAnsi="Times New Roman" w:cs="Times New Roman"/>
                <w:b/>
                <w:sz w:val="21"/>
                <w:szCs w:val="32"/>
              </w:rPr>
            </w:pPr>
            <w:r>
              <w:rPr>
                <w:rStyle w:val="46"/>
                <w:rFonts w:hint="default" w:ascii="Times New Roman" w:hAnsi="Times New Roman" w:cs="Times New Roman"/>
                <w:b/>
                <w:sz w:val="21"/>
                <w:szCs w:val="32"/>
              </w:rPr>
              <w:t>项目</w:t>
            </w:r>
          </w:p>
        </w:tc>
        <w:tc>
          <w:tcPr>
            <w:tcW w:w="2055" w:type="pct"/>
            <w:tcBorders>
              <w:top w:val="single" w:color="auto" w:sz="12" w:space="0"/>
              <w:bottom w:val="single" w:color="auto" w:sz="12" w:space="0"/>
            </w:tcBorders>
          </w:tcPr>
          <w:p w14:paraId="38753A44">
            <w:pPr>
              <w:widowControl/>
              <w:jc w:val="center"/>
              <w:rPr>
                <w:rStyle w:val="46"/>
                <w:rFonts w:hint="default" w:ascii="Times New Roman" w:hAnsi="Times New Roman" w:cs="Times New Roman"/>
                <w:b/>
                <w:sz w:val="21"/>
                <w:szCs w:val="32"/>
              </w:rPr>
            </w:pPr>
            <w:r>
              <w:rPr>
                <w:rStyle w:val="46"/>
                <w:rFonts w:hint="default" w:ascii="Times New Roman" w:hAnsi="Times New Roman" w:cs="Times New Roman"/>
                <w:b/>
                <w:sz w:val="21"/>
                <w:szCs w:val="32"/>
              </w:rPr>
              <w:t>要求</w:t>
            </w:r>
          </w:p>
        </w:tc>
        <w:tc>
          <w:tcPr>
            <w:tcW w:w="851" w:type="pct"/>
            <w:tcBorders>
              <w:top w:val="single" w:color="auto" w:sz="12" w:space="0"/>
              <w:bottom w:val="single" w:color="auto" w:sz="12" w:space="0"/>
            </w:tcBorders>
            <w:vAlign w:val="center"/>
          </w:tcPr>
          <w:p w14:paraId="0449077E">
            <w:pPr>
              <w:widowControl/>
              <w:jc w:val="center"/>
              <w:rPr>
                <w:rStyle w:val="46"/>
                <w:rFonts w:hint="default" w:ascii="Times New Roman" w:hAnsi="Times New Roman" w:cs="Times New Roman"/>
                <w:b/>
                <w:sz w:val="21"/>
                <w:szCs w:val="32"/>
              </w:rPr>
            </w:pPr>
            <w:r>
              <w:rPr>
                <w:rStyle w:val="46"/>
                <w:rFonts w:hint="default" w:ascii="Times New Roman" w:hAnsi="Times New Roman" w:cs="Times New Roman"/>
                <w:b/>
                <w:sz w:val="21"/>
                <w:szCs w:val="32"/>
              </w:rPr>
              <w:t>检验频率</w:t>
            </w:r>
          </w:p>
        </w:tc>
        <w:tc>
          <w:tcPr>
            <w:tcW w:w="1332" w:type="pct"/>
            <w:tcBorders>
              <w:top w:val="single" w:color="auto" w:sz="12" w:space="0"/>
              <w:bottom w:val="single" w:color="auto" w:sz="12" w:space="0"/>
            </w:tcBorders>
          </w:tcPr>
          <w:p w14:paraId="00B11683">
            <w:pPr>
              <w:widowControl/>
              <w:jc w:val="center"/>
              <w:rPr>
                <w:rStyle w:val="46"/>
                <w:rFonts w:hint="default" w:ascii="Times New Roman" w:hAnsi="Times New Roman" w:cs="Times New Roman"/>
                <w:b/>
                <w:sz w:val="21"/>
                <w:szCs w:val="32"/>
              </w:rPr>
            </w:pPr>
            <w:r>
              <w:rPr>
                <w:rStyle w:val="46"/>
                <w:rFonts w:hint="default" w:ascii="Times New Roman" w:hAnsi="Times New Roman" w:cs="Times New Roman"/>
                <w:b/>
                <w:sz w:val="21"/>
                <w:szCs w:val="32"/>
              </w:rPr>
              <w:t>检验方法</w:t>
            </w:r>
          </w:p>
        </w:tc>
      </w:tr>
      <w:tr w14:paraId="596EE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tcBorders>
              <w:top w:val="single" w:color="auto" w:sz="12" w:space="0"/>
            </w:tcBorders>
            <w:shd w:val="clear" w:color="auto" w:fill="auto"/>
            <w:vAlign w:val="center"/>
          </w:tcPr>
          <w:p w14:paraId="75B45956">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稠度</w:t>
            </w:r>
          </w:p>
        </w:tc>
        <w:tc>
          <w:tcPr>
            <w:tcW w:w="2055" w:type="pct"/>
            <w:tcBorders>
              <w:top w:val="single" w:color="auto" w:sz="12" w:space="0"/>
            </w:tcBorders>
          </w:tcPr>
          <w:p w14:paraId="22D42DFE">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适中</w:t>
            </w:r>
          </w:p>
        </w:tc>
        <w:tc>
          <w:tcPr>
            <w:tcW w:w="851" w:type="pct"/>
            <w:tcBorders>
              <w:top w:val="single" w:color="auto" w:sz="12" w:space="0"/>
            </w:tcBorders>
            <w:vAlign w:val="center"/>
          </w:tcPr>
          <w:p w14:paraId="40F5412A">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1次/100m</w:t>
            </w:r>
          </w:p>
        </w:tc>
        <w:tc>
          <w:tcPr>
            <w:tcW w:w="1332" w:type="pct"/>
            <w:tcBorders>
              <w:top w:val="single" w:color="auto" w:sz="12" w:space="0"/>
            </w:tcBorders>
          </w:tcPr>
          <w:p w14:paraId="1BD1C492">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经验法</w:t>
            </w:r>
          </w:p>
        </w:tc>
      </w:tr>
      <w:tr w14:paraId="71AD1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shd w:val="clear" w:color="auto" w:fill="auto"/>
            <w:vAlign w:val="center"/>
          </w:tcPr>
          <w:p w14:paraId="0E8D0DE6">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油石比</w:t>
            </w:r>
          </w:p>
        </w:tc>
        <w:tc>
          <w:tcPr>
            <w:tcW w:w="2055" w:type="pct"/>
            <w:vAlign w:val="center"/>
          </w:tcPr>
          <w:p w14:paraId="545AE4C7">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施工配合比的油石比±0.2%</w:t>
            </w:r>
          </w:p>
        </w:tc>
        <w:tc>
          <w:tcPr>
            <w:tcW w:w="851" w:type="pct"/>
            <w:vAlign w:val="center"/>
          </w:tcPr>
          <w:p w14:paraId="3E079749">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1次/日</w:t>
            </w:r>
          </w:p>
        </w:tc>
        <w:tc>
          <w:tcPr>
            <w:tcW w:w="1332" w:type="pct"/>
            <w:vAlign w:val="center"/>
          </w:tcPr>
          <w:p w14:paraId="4443A210">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三控检验法</w:t>
            </w:r>
          </w:p>
        </w:tc>
      </w:tr>
      <w:tr w14:paraId="61503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shd w:val="clear" w:color="auto" w:fill="auto"/>
            <w:vAlign w:val="center"/>
          </w:tcPr>
          <w:p w14:paraId="17901AEC">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矿料级配</w:t>
            </w:r>
          </w:p>
        </w:tc>
        <w:tc>
          <w:tcPr>
            <w:tcW w:w="2055" w:type="pct"/>
            <w:vAlign w:val="center"/>
          </w:tcPr>
          <w:p w14:paraId="0E658D8E">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满足施工配合比的矿料级配要求</w:t>
            </w:r>
          </w:p>
        </w:tc>
        <w:tc>
          <w:tcPr>
            <w:tcW w:w="851" w:type="pct"/>
            <w:vAlign w:val="center"/>
          </w:tcPr>
          <w:p w14:paraId="68F42E71">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1次/日</w:t>
            </w:r>
          </w:p>
        </w:tc>
        <w:tc>
          <w:tcPr>
            <w:tcW w:w="1332" w:type="pct"/>
            <w:vAlign w:val="center"/>
          </w:tcPr>
          <w:p w14:paraId="7AA6852E">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摊铺过程中从矿料输送带末端接出集料进行筛分</w:t>
            </w:r>
          </w:p>
        </w:tc>
      </w:tr>
      <w:tr w14:paraId="79B36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shd w:val="clear" w:color="auto" w:fill="auto"/>
            <w:vAlign w:val="center"/>
          </w:tcPr>
          <w:p w14:paraId="5D7340DB">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外观</w:t>
            </w:r>
          </w:p>
        </w:tc>
        <w:tc>
          <w:tcPr>
            <w:tcW w:w="2055" w:type="pct"/>
          </w:tcPr>
          <w:p w14:paraId="298BE6D4">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表面平整、均匀，无离析，无划痕</w:t>
            </w:r>
          </w:p>
        </w:tc>
        <w:tc>
          <w:tcPr>
            <w:tcW w:w="851" w:type="pct"/>
            <w:vAlign w:val="center"/>
          </w:tcPr>
          <w:p w14:paraId="7723219D">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全线连续</w:t>
            </w:r>
          </w:p>
        </w:tc>
        <w:tc>
          <w:tcPr>
            <w:tcW w:w="1332" w:type="pct"/>
            <w:vAlign w:val="center"/>
          </w:tcPr>
          <w:p w14:paraId="19CD72A2">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目测</w:t>
            </w:r>
          </w:p>
        </w:tc>
      </w:tr>
      <w:tr w14:paraId="74DA2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shd w:val="clear" w:color="auto" w:fill="auto"/>
            <w:vAlign w:val="center"/>
          </w:tcPr>
          <w:p w14:paraId="72B23576">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摊铺厚度</w:t>
            </w:r>
          </w:p>
        </w:tc>
        <w:tc>
          <w:tcPr>
            <w:tcW w:w="2055" w:type="pct"/>
            <w:vAlign w:val="center"/>
          </w:tcPr>
          <w:p w14:paraId="39B9D94B">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设计厚度-10%</w:t>
            </w:r>
          </w:p>
        </w:tc>
        <w:tc>
          <w:tcPr>
            <w:tcW w:w="851" w:type="pct"/>
            <w:vAlign w:val="center"/>
          </w:tcPr>
          <w:p w14:paraId="29D1DB9A">
            <w:pPr>
              <w:widowControl/>
              <w:jc w:val="center"/>
              <w:rPr>
                <w:rStyle w:val="46"/>
                <w:rFonts w:hint="default" w:ascii="Times New Roman" w:hAnsi="Times New Roman" w:cs="Times New Roman"/>
                <w:sz w:val="21"/>
                <w:szCs w:val="32"/>
              </w:rPr>
            </w:pPr>
            <w:r>
              <w:rPr>
                <w:rStyle w:val="46"/>
                <w:rFonts w:hint="default" w:ascii="Times New Roman" w:hAnsi="Times New Roman" w:cs="Times New Roman"/>
                <w:sz w:val="21"/>
                <w:szCs w:val="32"/>
              </w:rPr>
              <w:t>5个断面/km</w:t>
            </w:r>
          </w:p>
        </w:tc>
        <w:tc>
          <w:tcPr>
            <w:tcW w:w="1332" w:type="pct"/>
            <w:vAlign w:val="center"/>
          </w:tcPr>
          <w:p w14:paraId="72E2761D">
            <w:pPr>
              <w:widowControl/>
              <w:rPr>
                <w:rStyle w:val="46"/>
                <w:rFonts w:hint="default" w:ascii="Times New Roman" w:hAnsi="Times New Roman" w:cs="Times New Roman"/>
                <w:sz w:val="21"/>
                <w:szCs w:val="32"/>
              </w:rPr>
            </w:pPr>
            <w:r>
              <w:rPr>
                <w:rStyle w:val="46"/>
                <w:rFonts w:hint="default" w:ascii="Times New Roman" w:hAnsi="Times New Roman" w:cs="Times New Roman"/>
                <w:sz w:val="21"/>
                <w:szCs w:val="32"/>
              </w:rPr>
              <w:t>钢尺测量或其他有效手段，每幅中间及两侧各1点，取平均值作为检测结果。</w:t>
            </w:r>
          </w:p>
        </w:tc>
      </w:tr>
    </w:tbl>
    <w:p w14:paraId="70451B7E">
      <w:pPr>
        <w:pStyle w:val="51"/>
        <w:numPr>
          <w:ilvl w:val="1"/>
          <w:numId w:val="0"/>
        </w:numPr>
        <w:spacing w:beforeLines="0" w:afterLines="0" w:line="360" w:lineRule="auto"/>
        <w:ind w:left="0" w:leftChars="0" w:firstLine="0" w:firstLineChars="0"/>
        <w:outlineLvl w:val="1"/>
        <w:rPr>
          <w:rFonts w:hint="default" w:ascii="Times New Roman" w:hAnsi="Times New Roman" w:eastAsia="宋体" w:cs="Times New Roman"/>
          <w:b/>
          <w:bCs/>
          <w:sz w:val="24"/>
        </w:rPr>
      </w:pPr>
      <w:bookmarkStart w:id="62" w:name="_Toc171517490"/>
      <w:bookmarkStart w:id="63" w:name="_Toc179636674"/>
      <w:bookmarkStart w:id="64" w:name="_Toc2251"/>
      <w:r>
        <w:rPr>
          <w:rFonts w:hint="eastAsia" w:ascii="Times New Roman" w:eastAsia="宋体" w:cs="Times New Roman"/>
          <w:b/>
          <w:bCs/>
          <w:sz w:val="24"/>
          <w:szCs w:val="21"/>
          <w:lang w:val="en-US" w:eastAsia="zh-CN" w:bidi="ar-SA"/>
        </w:rPr>
        <w:t>8</w:t>
      </w:r>
      <w:r>
        <w:rPr>
          <w:rFonts w:hint="default" w:ascii="Times New Roman" w:hAnsi="Times New Roman" w:eastAsia="宋体" w:cs="Times New Roman"/>
          <w:b/>
          <w:bCs/>
          <w:sz w:val="24"/>
          <w:szCs w:val="21"/>
          <w:lang w:val="en-US" w:eastAsia="zh-CN" w:bidi="ar-SA"/>
        </w:rPr>
        <w:t>.3</w:t>
      </w:r>
      <w:r>
        <w:rPr>
          <w:rFonts w:hint="default" w:ascii="Times New Roman" w:hAnsi="Times New Roman" w:eastAsia="宋体" w:cs="Times New Roman"/>
          <w:b/>
          <w:bCs/>
          <w:sz w:val="24"/>
        </w:rPr>
        <w:t>工程验收</w:t>
      </w:r>
      <w:bookmarkEnd w:id="62"/>
      <w:bookmarkEnd w:id="63"/>
      <w:bookmarkEnd w:id="64"/>
    </w:p>
    <w:p w14:paraId="263CB16D">
      <w:pPr>
        <w:numPr>
          <w:ilvl w:val="2"/>
          <w:numId w:val="0"/>
        </w:numPr>
        <w:spacing w:line="360" w:lineRule="auto"/>
        <w:ind w:left="0" w:leftChars="0" w:firstLine="241" w:firstLineChars="100"/>
        <w:rPr>
          <w:rFonts w:hint="default" w:ascii="Times New Roman" w:hAnsi="Times New Roman" w:cs="Times New Roman"/>
          <w:sz w:val="24"/>
          <w:szCs w:val="32"/>
        </w:rPr>
      </w:pPr>
      <w:r>
        <w:rPr>
          <w:rFonts w:hint="eastAsia" w:cs="Times New Roman"/>
          <w:b/>
          <w:bCs/>
          <w:kern w:val="2"/>
          <w:sz w:val="24"/>
          <w:szCs w:val="32"/>
          <w:lang w:val="en-US" w:eastAsia="zh-CN" w:bidi="ar-SA"/>
        </w:rPr>
        <w:t>8</w:t>
      </w:r>
      <w:r>
        <w:rPr>
          <w:rFonts w:hint="default" w:ascii="Times New Roman" w:hAnsi="Times New Roman" w:eastAsia="宋体" w:cs="Times New Roman"/>
          <w:b/>
          <w:bCs/>
          <w:kern w:val="2"/>
          <w:sz w:val="24"/>
          <w:szCs w:val="32"/>
          <w:lang w:val="en-US" w:eastAsia="zh-CN" w:bidi="ar-SA"/>
        </w:rPr>
        <w:t>.3.1</w:t>
      </w:r>
      <w:r>
        <w:rPr>
          <w:rFonts w:hint="default" w:ascii="Times New Roman" w:hAnsi="Times New Roman" w:cs="Times New Roman"/>
          <w:sz w:val="24"/>
          <w:szCs w:val="32"/>
        </w:rPr>
        <w:t>冷拌超表处的工程验收应符合表</w:t>
      </w:r>
      <w:r>
        <w:rPr>
          <w:rFonts w:hint="eastAsia" w:cs="Times New Roman"/>
          <w:sz w:val="24"/>
          <w:szCs w:val="32"/>
          <w:lang w:val="en-US" w:eastAsia="zh-CN"/>
        </w:rPr>
        <w:t>8</w:t>
      </w:r>
      <w:r>
        <w:rPr>
          <w:rFonts w:hint="default" w:ascii="Times New Roman" w:hAnsi="Times New Roman" w:cs="Times New Roman"/>
          <w:sz w:val="24"/>
          <w:szCs w:val="32"/>
        </w:rPr>
        <w:t>.3.1的规定。</w:t>
      </w:r>
    </w:p>
    <w:p w14:paraId="016F77CC">
      <w:pPr>
        <w:pStyle w:val="192"/>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w:t>
      </w:r>
      <w:r>
        <w:rPr>
          <w:rFonts w:hint="eastAsia" w:eastAsia="黑体" w:cs="Times New Roman"/>
          <w:sz w:val="21"/>
          <w:szCs w:val="20"/>
          <w:lang w:val="en-US" w:eastAsia="zh-CN"/>
        </w:rPr>
        <w:t>8</w:t>
      </w:r>
      <w:r>
        <w:rPr>
          <w:rFonts w:hint="default" w:ascii="Times New Roman" w:hAnsi="Times New Roman" w:eastAsia="黑体" w:cs="Times New Roman"/>
          <w:sz w:val="21"/>
          <w:szCs w:val="20"/>
        </w:rPr>
        <w:t>.3.1 冷拌超表处的工程验收</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291"/>
        <w:gridCol w:w="1384"/>
        <w:gridCol w:w="2766"/>
        <w:gridCol w:w="1512"/>
      </w:tblGrid>
      <w:tr w14:paraId="2B88B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78" w:type="pct"/>
            <w:gridSpan w:val="2"/>
            <w:tcBorders>
              <w:top w:val="single" w:color="auto" w:sz="12" w:space="0"/>
              <w:bottom w:val="single" w:color="auto" w:sz="12" w:space="0"/>
            </w:tcBorders>
            <w:vAlign w:val="center"/>
          </w:tcPr>
          <w:p w14:paraId="2C536E61">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项目</w:t>
            </w:r>
          </w:p>
        </w:tc>
        <w:tc>
          <w:tcPr>
            <w:tcW w:w="812" w:type="pct"/>
            <w:tcBorders>
              <w:top w:val="single" w:color="auto" w:sz="12" w:space="0"/>
              <w:bottom w:val="single" w:color="auto" w:sz="12" w:space="0"/>
            </w:tcBorders>
            <w:vAlign w:val="center"/>
          </w:tcPr>
          <w:p w14:paraId="17BE4B98">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检查频率</w:t>
            </w:r>
          </w:p>
        </w:tc>
        <w:tc>
          <w:tcPr>
            <w:tcW w:w="1623" w:type="pct"/>
            <w:tcBorders>
              <w:top w:val="single" w:color="auto" w:sz="12" w:space="0"/>
              <w:bottom w:val="single" w:color="auto" w:sz="12" w:space="0"/>
            </w:tcBorders>
            <w:vAlign w:val="center"/>
          </w:tcPr>
          <w:p w14:paraId="7A66C8B7">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质量要求</w:t>
            </w:r>
          </w:p>
        </w:tc>
        <w:tc>
          <w:tcPr>
            <w:tcW w:w="887" w:type="pct"/>
            <w:tcBorders>
              <w:top w:val="single" w:color="auto" w:sz="12" w:space="0"/>
              <w:bottom w:val="single" w:color="auto" w:sz="12" w:space="0"/>
            </w:tcBorders>
            <w:vAlign w:val="center"/>
          </w:tcPr>
          <w:p w14:paraId="542F0968">
            <w:pPr>
              <w:tabs>
                <w:tab w:val="left" w:pos="7125"/>
              </w:tabs>
              <w:ind w:firstLine="360"/>
              <w:rPr>
                <w:rFonts w:hint="default" w:ascii="Times New Roman" w:hAnsi="Times New Roman" w:cs="Times New Roman"/>
                <w:bCs/>
                <w:szCs w:val="21"/>
              </w:rPr>
            </w:pPr>
            <w:r>
              <w:rPr>
                <w:rFonts w:hint="default" w:ascii="Times New Roman" w:hAnsi="Times New Roman" w:cs="Times New Roman"/>
                <w:bCs/>
                <w:szCs w:val="21"/>
              </w:rPr>
              <w:t>方法</w:t>
            </w:r>
          </w:p>
        </w:tc>
      </w:tr>
      <w:tr w14:paraId="7F96E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 w:type="pct"/>
            <w:vMerge w:val="restart"/>
            <w:tcBorders>
              <w:top w:val="single" w:color="auto" w:sz="12" w:space="0"/>
            </w:tcBorders>
            <w:vAlign w:val="center"/>
          </w:tcPr>
          <w:p w14:paraId="36410C8A">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表观质量</w:t>
            </w:r>
          </w:p>
        </w:tc>
        <w:tc>
          <w:tcPr>
            <w:tcW w:w="1344" w:type="pct"/>
            <w:tcBorders>
              <w:top w:val="single" w:color="auto" w:sz="12" w:space="0"/>
            </w:tcBorders>
            <w:vAlign w:val="center"/>
          </w:tcPr>
          <w:p w14:paraId="788AD356">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外观</w:t>
            </w:r>
          </w:p>
        </w:tc>
        <w:tc>
          <w:tcPr>
            <w:tcW w:w="812" w:type="pct"/>
            <w:tcBorders>
              <w:top w:val="single" w:color="auto" w:sz="12" w:space="0"/>
            </w:tcBorders>
            <w:vAlign w:val="center"/>
          </w:tcPr>
          <w:p w14:paraId="00DA75D8">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全线连续</w:t>
            </w:r>
          </w:p>
        </w:tc>
        <w:tc>
          <w:tcPr>
            <w:tcW w:w="1623" w:type="pct"/>
            <w:tcBorders>
              <w:top w:val="single" w:color="auto" w:sz="12" w:space="0"/>
            </w:tcBorders>
            <w:vAlign w:val="center"/>
          </w:tcPr>
          <w:p w14:paraId="57E78CA6">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表面平整、密实、均匀、无松散、无花白料、无轮迹、无划痕</w:t>
            </w:r>
          </w:p>
        </w:tc>
        <w:tc>
          <w:tcPr>
            <w:tcW w:w="887" w:type="pct"/>
            <w:tcBorders>
              <w:top w:val="single" w:color="auto" w:sz="12" w:space="0"/>
            </w:tcBorders>
            <w:vAlign w:val="center"/>
          </w:tcPr>
          <w:p w14:paraId="690BAA73">
            <w:pPr>
              <w:tabs>
                <w:tab w:val="left" w:pos="7125"/>
              </w:tabs>
              <w:jc w:val="center"/>
              <w:rPr>
                <w:rFonts w:hint="default" w:ascii="Times New Roman" w:hAnsi="Times New Roman" w:cs="Times New Roman"/>
                <w:szCs w:val="21"/>
              </w:rPr>
            </w:pPr>
            <w:r>
              <w:rPr>
                <w:rFonts w:hint="default" w:ascii="Times New Roman" w:hAnsi="Times New Roman" w:cs="Times New Roman"/>
                <w:szCs w:val="21"/>
              </w:rPr>
              <w:t>目测</w:t>
            </w:r>
          </w:p>
        </w:tc>
      </w:tr>
      <w:tr w14:paraId="1658A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 w:type="pct"/>
            <w:vMerge w:val="continue"/>
            <w:vAlign w:val="center"/>
          </w:tcPr>
          <w:p w14:paraId="5AA3A582">
            <w:pPr>
              <w:widowControl/>
              <w:jc w:val="center"/>
              <w:rPr>
                <w:rStyle w:val="46"/>
                <w:rFonts w:hint="default" w:ascii="Times New Roman" w:hAnsi="Times New Roman" w:cs="Times New Roman"/>
                <w:sz w:val="21"/>
                <w:szCs w:val="21"/>
              </w:rPr>
            </w:pPr>
          </w:p>
        </w:tc>
        <w:tc>
          <w:tcPr>
            <w:tcW w:w="1344" w:type="pct"/>
            <w:vAlign w:val="center"/>
          </w:tcPr>
          <w:p w14:paraId="5311429E">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横向接缝</w:t>
            </w:r>
          </w:p>
        </w:tc>
        <w:tc>
          <w:tcPr>
            <w:tcW w:w="812" w:type="pct"/>
            <w:vAlign w:val="center"/>
          </w:tcPr>
          <w:p w14:paraId="583591CC">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每条</w:t>
            </w:r>
          </w:p>
        </w:tc>
        <w:tc>
          <w:tcPr>
            <w:tcW w:w="1623" w:type="pct"/>
            <w:vAlign w:val="center"/>
          </w:tcPr>
          <w:p w14:paraId="1A271641">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对接，平顺</w:t>
            </w:r>
          </w:p>
        </w:tc>
        <w:tc>
          <w:tcPr>
            <w:tcW w:w="887" w:type="pct"/>
            <w:vAlign w:val="center"/>
          </w:tcPr>
          <w:p w14:paraId="688D789A">
            <w:pPr>
              <w:tabs>
                <w:tab w:val="left" w:pos="7125"/>
              </w:tabs>
              <w:ind w:firstLine="360"/>
              <w:rPr>
                <w:rFonts w:hint="default" w:ascii="Times New Roman" w:hAnsi="Times New Roman" w:cs="Times New Roman"/>
                <w:szCs w:val="21"/>
              </w:rPr>
            </w:pPr>
            <w:r>
              <w:rPr>
                <w:rFonts w:hint="default" w:ascii="Times New Roman" w:hAnsi="Times New Roman" w:cs="Times New Roman"/>
                <w:szCs w:val="21"/>
              </w:rPr>
              <w:t>目测</w:t>
            </w:r>
          </w:p>
        </w:tc>
      </w:tr>
      <w:tr w14:paraId="02CE0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 w:type="pct"/>
            <w:vMerge w:val="continue"/>
            <w:vAlign w:val="center"/>
          </w:tcPr>
          <w:p w14:paraId="61FC490B">
            <w:pPr>
              <w:widowControl/>
              <w:jc w:val="center"/>
              <w:rPr>
                <w:rStyle w:val="46"/>
                <w:rFonts w:hint="default" w:ascii="Times New Roman" w:hAnsi="Times New Roman" w:cs="Times New Roman"/>
                <w:sz w:val="21"/>
                <w:szCs w:val="21"/>
              </w:rPr>
            </w:pPr>
          </w:p>
        </w:tc>
        <w:tc>
          <w:tcPr>
            <w:tcW w:w="1344" w:type="pct"/>
            <w:vAlign w:val="center"/>
          </w:tcPr>
          <w:p w14:paraId="268B28CD">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纵向接缝</w:t>
            </w:r>
          </w:p>
        </w:tc>
        <w:tc>
          <w:tcPr>
            <w:tcW w:w="812" w:type="pct"/>
            <w:vAlign w:val="center"/>
          </w:tcPr>
          <w:p w14:paraId="43A91956">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全线连续</w:t>
            </w:r>
          </w:p>
        </w:tc>
        <w:tc>
          <w:tcPr>
            <w:tcW w:w="1623" w:type="pct"/>
            <w:vAlign w:val="center"/>
          </w:tcPr>
          <w:p w14:paraId="493DE26A">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宽度＜80mm</w:t>
            </w:r>
          </w:p>
          <w:p w14:paraId="6623E51B">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不平整＜6mm</w:t>
            </w:r>
          </w:p>
        </w:tc>
        <w:tc>
          <w:tcPr>
            <w:tcW w:w="887" w:type="pct"/>
            <w:vAlign w:val="center"/>
          </w:tcPr>
          <w:p w14:paraId="0A192C88">
            <w:pPr>
              <w:tabs>
                <w:tab w:val="left" w:pos="7125"/>
              </w:tabs>
              <w:rPr>
                <w:rFonts w:hint="default" w:ascii="Times New Roman" w:hAnsi="Times New Roman" w:cs="Times New Roman"/>
                <w:szCs w:val="21"/>
              </w:rPr>
            </w:pPr>
            <w:r>
              <w:rPr>
                <w:rFonts w:hint="default" w:ascii="Times New Roman" w:hAnsi="Times New Roman" w:cs="Times New Roman"/>
                <w:szCs w:val="21"/>
              </w:rPr>
              <w:t>目测或用尺量（3m直尺）</w:t>
            </w:r>
          </w:p>
        </w:tc>
      </w:tr>
      <w:tr w14:paraId="6761A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 w:type="pct"/>
            <w:vMerge w:val="continue"/>
            <w:vAlign w:val="center"/>
          </w:tcPr>
          <w:p w14:paraId="356AAB49">
            <w:pPr>
              <w:widowControl/>
              <w:jc w:val="center"/>
              <w:rPr>
                <w:rStyle w:val="46"/>
                <w:rFonts w:hint="default" w:ascii="Times New Roman" w:hAnsi="Times New Roman" w:cs="Times New Roman"/>
                <w:sz w:val="21"/>
                <w:szCs w:val="21"/>
              </w:rPr>
            </w:pPr>
          </w:p>
        </w:tc>
        <w:tc>
          <w:tcPr>
            <w:tcW w:w="1344" w:type="pct"/>
            <w:vAlign w:val="center"/>
          </w:tcPr>
          <w:p w14:paraId="5839D80D">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边线</w:t>
            </w:r>
          </w:p>
        </w:tc>
        <w:tc>
          <w:tcPr>
            <w:tcW w:w="812" w:type="pct"/>
            <w:vAlign w:val="center"/>
          </w:tcPr>
          <w:p w14:paraId="3E2254F9">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全线连续</w:t>
            </w:r>
          </w:p>
        </w:tc>
        <w:tc>
          <w:tcPr>
            <w:tcW w:w="1623" w:type="pct"/>
            <w:vAlign w:val="center"/>
          </w:tcPr>
          <w:p w14:paraId="46229DA9">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任一30m长度范围内的水平波动不得超过±50mm</w:t>
            </w:r>
          </w:p>
        </w:tc>
        <w:tc>
          <w:tcPr>
            <w:tcW w:w="887" w:type="pct"/>
            <w:vAlign w:val="center"/>
          </w:tcPr>
          <w:p w14:paraId="390747FE">
            <w:pPr>
              <w:tabs>
                <w:tab w:val="left" w:pos="7125"/>
              </w:tabs>
              <w:jc w:val="center"/>
              <w:rPr>
                <w:rFonts w:hint="default" w:ascii="Times New Roman" w:hAnsi="Times New Roman" w:cs="Times New Roman"/>
                <w:szCs w:val="21"/>
              </w:rPr>
            </w:pPr>
            <w:r>
              <w:rPr>
                <w:rFonts w:hint="default" w:ascii="Times New Roman" w:hAnsi="Times New Roman" w:cs="Times New Roman"/>
                <w:szCs w:val="21"/>
              </w:rPr>
              <w:t>目测或用尺量</w:t>
            </w:r>
          </w:p>
        </w:tc>
      </w:tr>
      <w:tr w14:paraId="78C73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 w:type="pct"/>
            <w:vMerge w:val="restart"/>
            <w:shd w:val="clear" w:color="auto" w:fill="auto"/>
            <w:vAlign w:val="center"/>
          </w:tcPr>
          <w:p w14:paraId="297C7612">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抗滑性能</w:t>
            </w:r>
          </w:p>
        </w:tc>
        <w:tc>
          <w:tcPr>
            <w:tcW w:w="1344" w:type="pct"/>
            <w:vAlign w:val="center"/>
          </w:tcPr>
          <w:p w14:paraId="26CA6AD4">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摆值F</w:t>
            </w:r>
            <w:r>
              <w:rPr>
                <w:rStyle w:val="46"/>
                <w:rFonts w:hint="default" w:ascii="Times New Roman" w:hAnsi="Times New Roman" w:cs="Times New Roman"/>
                <w:sz w:val="21"/>
                <w:szCs w:val="21"/>
                <w:vertAlign w:val="subscript"/>
              </w:rPr>
              <w:t>b</w:t>
            </w:r>
            <w:r>
              <w:rPr>
                <w:rStyle w:val="46"/>
                <w:rFonts w:hint="default" w:ascii="Times New Roman" w:hAnsi="Times New Roman" w:cs="Times New Roman"/>
                <w:sz w:val="21"/>
                <w:szCs w:val="21"/>
              </w:rPr>
              <w:t>（BPN）</w:t>
            </w:r>
          </w:p>
        </w:tc>
        <w:tc>
          <w:tcPr>
            <w:tcW w:w="812" w:type="pct"/>
            <w:vAlign w:val="center"/>
          </w:tcPr>
          <w:p w14:paraId="3E711C22">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5个点/km</w:t>
            </w:r>
          </w:p>
        </w:tc>
        <w:tc>
          <w:tcPr>
            <w:tcW w:w="1623" w:type="pct"/>
            <w:vAlign w:val="center"/>
          </w:tcPr>
          <w:p w14:paraId="14512B62">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≥45或符合设计要求</w:t>
            </w:r>
          </w:p>
        </w:tc>
        <w:tc>
          <w:tcPr>
            <w:tcW w:w="887" w:type="pct"/>
            <w:vAlign w:val="center"/>
          </w:tcPr>
          <w:p w14:paraId="08F9F8B7">
            <w:pPr>
              <w:tabs>
                <w:tab w:val="left" w:pos="7125"/>
              </w:tabs>
              <w:ind w:firstLine="360"/>
              <w:rPr>
                <w:rFonts w:hint="default" w:ascii="Times New Roman" w:hAnsi="Times New Roman" w:cs="Times New Roman"/>
                <w:szCs w:val="21"/>
              </w:rPr>
            </w:pPr>
            <w:r>
              <w:rPr>
                <w:rFonts w:hint="default" w:ascii="Times New Roman" w:hAnsi="Times New Roman" w:cs="Times New Roman"/>
                <w:szCs w:val="21"/>
              </w:rPr>
              <w:t>T0964</w:t>
            </w:r>
          </w:p>
        </w:tc>
      </w:tr>
      <w:tr w14:paraId="5471F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 w:type="pct"/>
            <w:vMerge w:val="continue"/>
            <w:shd w:val="clear" w:color="auto" w:fill="auto"/>
            <w:vAlign w:val="center"/>
          </w:tcPr>
          <w:p w14:paraId="0E333E3F">
            <w:pPr>
              <w:widowControl/>
              <w:jc w:val="center"/>
              <w:rPr>
                <w:rStyle w:val="46"/>
                <w:rFonts w:hint="default" w:ascii="Times New Roman" w:hAnsi="Times New Roman" w:cs="Times New Roman"/>
                <w:sz w:val="21"/>
                <w:szCs w:val="21"/>
              </w:rPr>
            </w:pPr>
          </w:p>
        </w:tc>
        <w:tc>
          <w:tcPr>
            <w:tcW w:w="1344" w:type="pct"/>
            <w:vAlign w:val="center"/>
          </w:tcPr>
          <w:p w14:paraId="5EE7BCA5">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构造深度TD（mm）</w:t>
            </w:r>
          </w:p>
        </w:tc>
        <w:tc>
          <w:tcPr>
            <w:tcW w:w="812" w:type="pct"/>
            <w:vAlign w:val="center"/>
          </w:tcPr>
          <w:p w14:paraId="7B3CE3E6">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5个点/km</w:t>
            </w:r>
          </w:p>
        </w:tc>
        <w:tc>
          <w:tcPr>
            <w:tcW w:w="1623" w:type="pct"/>
            <w:vAlign w:val="center"/>
          </w:tcPr>
          <w:p w14:paraId="69FFE637">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≥0.60或符合设计要求</w:t>
            </w:r>
          </w:p>
        </w:tc>
        <w:tc>
          <w:tcPr>
            <w:tcW w:w="887" w:type="pct"/>
            <w:vAlign w:val="center"/>
          </w:tcPr>
          <w:p w14:paraId="192FA8F8">
            <w:pPr>
              <w:tabs>
                <w:tab w:val="left" w:pos="7125"/>
              </w:tabs>
              <w:ind w:firstLine="360"/>
              <w:rPr>
                <w:rFonts w:hint="default" w:ascii="Times New Roman" w:hAnsi="Times New Roman" w:cs="Times New Roman"/>
                <w:szCs w:val="21"/>
              </w:rPr>
            </w:pPr>
            <w:r>
              <w:rPr>
                <w:rFonts w:hint="default" w:ascii="Times New Roman" w:hAnsi="Times New Roman" w:cs="Times New Roman"/>
                <w:szCs w:val="21"/>
              </w:rPr>
              <w:t>T0961</w:t>
            </w:r>
          </w:p>
        </w:tc>
      </w:tr>
      <w:tr w14:paraId="07B66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78" w:type="pct"/>
            <w:gridSpan w:val="2"/>
            <w:vAlign w:val="center"/>
          </w:tcPr>
          <w:p w14:paraId="32E5282A">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厚度</w:t>
            </w:r>
          </w:p>
        </w:tc>
        <w:tc>
          <w:tcPr>
            <w:tcW w:w="812" w:type="pct"/>
            <w:vAlign w:val="center"/>
          </w:tcPr>
          <w:p w14:paraId="1C42B138">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3个点/km</w:t>
            </w:r>
          </w:p>
        </w:tc>
        <w:tc>
          <w:tcPr>
            <w:tcW w:w="1623" w:type="pct"/>
            <w:vAlign w:val="center"/>
          </w:tcPr>
          <w:p w14:paraId="459582A4">
            <w:pPr>
              <w:widowControl/>
              <w:jc w:val="center"/>
              <w:rPr>
                <w:rStyle w:val="46"/>
                <w:rFonts w:hint="default" w:ascii="Times New Roman" w:hAnsi="Times New Roman" w:cs="Times New Roman"/>
                <w:sz w:val="21"/>
                <w:szCs w:val="21"/>
              </w:rPr>
            </w:pPr>
            <w:r>
              <w:rPr>
                <w:rStyle w:val="46"/>
                <w:rFonts w:hint="default" w:ascii="Times New Roman" w:hAnsi="Times New Roman" w:cs="Times New Roman"/>
                <w:sz w:val="21"/>
                <w:szCs w:val="21"/>
              </w:rPr>
              <w:t>设计厚度-10﹪</w:t>
            </w:r>
          </w:p>
        </w:tc>
        <w:tc>
          <w:tcPr>
            <w:tcW w:w="887" w:type="pct"/>
            <w:vAlign w:val="center"/>
          </w:tcPr>
          <w:p w14:paraId="13C1AA7E">
            <w:pPr>
              <w:widowControl/>
              <w:jc w:val="center"/>
              <w:rPr>
                <w:rFonts w:hint="default" w:ascii="Times New Roman" w:hAnsi="Times New Roman" w:cs="Times New Roman"/>
                <w:szCs w:val="21"/>
              </w:rPr>
            </w:pPr>
            <w:r>
              <w:rPr>
                <w:rStyle w:val="46"/>
                <w:rFonts w:hint="default" w:ascii="Times New Roman" w:hAnsi="Times New Roman" w:cs="Times New Roman"/>
                <w:sz w:val="21"/>
                <w:szCs w:val="21"/>
              </w:rPr>
              <w:t>钻孔或其他有效方法</w:t>
            </w:r>
          </w:p>
        </w:tc>
      </w:tr>
    </w:tbl>
    <w:p w14:paraId="7A96F466">
      <w:pPr>
        <w:pStyle w:val="192"/>
        <w:ind w:left="360"/>
        <w:rPr>
          <w:rFonts w:hint="default" w:ascii="Times New Roman" w:hAnsi="Times New Roman" w:eastAsia="黑体" w:cs="Times New Roman"/>
          <w:sz w:val="21"/>
          <w:szCs w:val="20"/>
        </w:rPr>
      </w:pPr>
    </w:p>
    <w:p w14:paraId="0C2AF102">
      <w:pPr>
        <w:spacing w:line="360" w:lineRule="auto"/>
        <w:ind w:left="426"/>
        <w:rPr>
          <w:rFonts w:hint="default" w:ascii="Times New Roman" w:hAnsi="Times New Roman" w:eastAsia="华文楷体" w:cs="Times New Roman"/>
          <w:szCs w:val="21"/>
        </w:rPr>
        <w:sectPr>
          <w:headerReference r:id="rId19" w:type="default"/>
          <w:headerReference r:id="rId20" w:type="even"/>
          <w:pgSz w:w="11906" w:h="16838"/>
          <w:pgMar w:top="1440" w:right="1800" w:bottom="1440" w:left="1800" w:header="850" w:footer="992" w:gutter="0"/>
          <w:cols w:space="425" w:num="1"/>
          <w:formProt w:val="0"/>
          <w:docGrid w:type="lines" w:linePitch="312" w:charSpace="0"/>
        </w:sectPr>
      </w:pPr>
    </w:p>
    <w:p w14:paraId="666C8841">
      <w:pPr>
        <w:spacing w:line="360" w:lineRule="auto"/>
        <w:ind w:left="426"/>
        <w:rPr>
          <w:rFonts w:hint="default" w:ascii="Times New Roman" w:hAnsi="Times New Roman" w:eastAsia="华文楷体" w:cs="Times New Roman"/>
          <w:szCs w:val="21"/>
        </w:rPr>
      </w:pPr>
    </w:p>
    <w:p w14:paraId="6CB41E18">
      <w:pPr>
        <w:widowControl/>
        <w:jc w:val="left"/>
        <w:rPr>
          <w:rFonts w:hint="default" w:ascii="Times New Roman" w:hAnsi="Times New Roman" w:eastAsia="华文楷体" w:cs="Times New Roman"/>
          <w:szCs w:val="21"/>
        </w:rPr>
      </w:pPr>
      <w:r>
        <w:rPr>
          <w:rFonts w:hint="default" w:ascii="Times New Roman" w:hAnsi="Times New Roman" w:eastAsia="华文楷体" w:cs="Times New Roman"/>
          <w:szCs w:val="21"/>
        </w:rPr>
        <w:br w:type="page"/>
      </w:r>
    </w:p>
    <w:p w14:paraId="54F381EB">
      <w:pPr>
        <w:pStyle w:val="54"/>
        <w:spacing w:beforeLines="0" w:afterLines="0" w:line="360" w:lineRule="auto"/>
        <w:ind w:left="425"/>
        <w:outlineLvl w:val="0"/>
        <w:rPr>
          <w:rFonts w:hint="default" w:ascii="Times New Roman" w:hAnsi="Times New Roman" w:cs="Times New Roman" w:eastAsiaTheme="minorEastAsia"/>
          <w:b/>
          <w:bCs/>
          <w:sz w:val="32"/>
          <w:szCs w:val="22"/>
        </w:rPr>
      </w:pPr>
      <w:bookmarkStart w:id="65" w:name="_Toc181605201"/>
      <w:bookmarkStart w:id="66" w:name="_Toc10066"/>
      <w:r>
        <w:rPr>
          <w:rFonts w:hint="default" w:ascii="Times New Roman" w:hAnsi="Times New Roman" w:cs="Times New Roman" w:eastAsiaTheme="minorEastAsia"/>
          <w:b/>
          <w:bCs/>
          <w:sz w:val="32"/>
          <w:szCs w:val="22"/>
        </w:rPr>
        <w:t>附录A 粘结强度测定方法</w:t>
      </w:r>
      <w:bookmarkEnd w:id="65"/>
      <w:bookmarkEnd w:id="66"/>
    </w:p>
    <w:p w14:paraId="1CCBF050">
      <w:pPr>
        <w:spacing w:line="360" w:lineRule="auto"/>
        <w:rPr>
          <w:rFonts w:hint="default" w:ascii="Times New Roman" w:hAnsi="Times New Roman" w:cs="Times New Roman"/>
          <w:b/>
          <w:bCs/>
        </w:rPr>
      </w:pPr>
      <w:r>
        <w:rPr>
          <w:rFonts w:hint="default" w:ascii="Times New Roman" w:hAnsi="Times New Roman" w:cs="Times New Roman"/>
          <w:b/>
          <w:bCs/>
        </w:rPr>
        <w:t>A.1 适用范围</w:t>
      </w:r>
    </w:p>
    <w:p w14:paraId="56CEDBAB">
      <w:pPr>
        <w:spacing w:line="360" w:lineRule="auto"/>
        <w:ind w:firstLine="211" w:firstLineChars="100"/>
        <w:rPr>
          <w:rFonts w:hint="default" w:ascii="Times New Roman" w:hAnsi="Times New Roman" w:cs="Times New Roman"/>
        </w:rPr>
      </w:pPr>
      <w:r>
        <w:rPr>
          <w:rFonts w:hint="default" w:ascii="Times New Roman" w:hAnsi="Times New Roman" w:cs="Times New Roman"/>
          <w:b/>
        </w:rPr>
        <w:t>A.1.1</w:t>
      </w:r>
      <w:r>
        <w:rPr>
          <w:rFonts w:hint="default" w:ascii="Times New Roman" w:hAnsi="Times New Roman" w:cs="Times New Roman"/>
        </w:rPr>
        <w:t>该试验用于室内测量黏层材料的粘结强度。</w:t>
      </w:r>
    </w:p>
    <w:p w14:paraId="58CE0836">
      <w:pPr>
        <w:spacing w:line="360" w:lineRule="auto"/>
        <w:rPr>
          <w:rFonts w:hint="default" w:ascii="Times New Roman" w:hAnsi="Times New Roman" w:cs="Times New Roman"/>
        </w:rPr>
      </w:pPr>
      <w:r>
        <w:rPr>
          <w:rFonts w:hint="default" w:ascii="Times New Roman" w:hAnsi="Times New Roman" w:cs="Times New Roman"/>
          <w:b/>
          <w:bCs/>
        </w:rPr>
        <w:t>A.2 试验仪器</w:t>
      </w:r>
    </w:p>
    <w:p w14:paraId="731DD854">
      <w:pPr>
        <w:spacing w:line="360" w:lineRule="auto"/>
        <w:ind w:firstLine="211" w:firstLineChars="100"/>
        <w:rPr>
          <w:rFonts w:hint="default" w:ascii="Times New Roman" w:hAnsi="Times New Roman" w:cs="Times New Roman"/>
        </w:rPr>
      </w:pPr>
      <w:r>
        <w:rPr>
          <w:rFonts w:hint="default" w:ascii="Times New Roman" w:hAnsi="Times New Roman" w:cs="Times New Roman"/>
          <w:b/>
        </w:rPr>
        <w:t>A2.1</w:t>
      </w:r>
      <w:r>
        <w:rPr>
          <w:rFonts w:hint="default" w:ascii="Times New Roman" w:hAnsi="Times New Roman" w:cs="Times New Roman"/>
        </w:rPr>
        <w:t>液压拉拔仪：实验仪器采用便携式液压拉拔仪，宜选用可自动加压的拉拔仪，量程范围0~20Mpa，精度应能够达到±1%，加载速率为0.7MPa/s。</w:t>
      </w:r>
    </w:p>
    <w:p w14:paraId="5B01111D">
      <w:pPr>
        <w:spacing w:line="360" w:lineRule="auto"/>
        <w:ind w:firstLine="211" w:firstLineChars="100"/>
        <w:rPr>
          <w:rFonts w:hint="default" w:ascii="Times New Roman" w:hAnsi="Times New Roman" w:cs="Times New Roman"/>
        </w:rPr>
      </w:pPr>
      <w:r>
        <w:rPr>
          <w:rFonts w:hint="default" w:ascii="Times New Roman" w:hAnsi="Times New Roman" w:cs="Times New Roman"/>
          <w:b/>
        </w:rPr>
        <w:t>A2.2</w:t>
      </w:r>
      <w:r>
        <w:rPr>
          <w:rFonts w:hint="default" w:ascii="Times New Roman" w:hAnsi="Times New Roman" w:cs="Times New Roman"/>
        </w:rPr>
        <w:t xml:space="preserve"> 拉拔头：采用直径尺寸为20mm的圆形拉拔头，拉拔头采用2000抛光值的磨光工艺，粗糙度Ra≤0.1µm。</w:t>
      </w:r>
    </w:p>
    <w:p w14:paraId="52FA7674">
      <w:pPr>
        <w:spacing w:line="360" w:lineRule="auto"/>
        <w:ind w:firstLine="211" w:firstLineChars="100"/>
        <w:rPr>
          <w:rFonts w:hint="default" w:ascii="Times New Roman" w:hAnsi="Times New Roman" w:cs="Times New Roman"/>
        </w:rPr>
      </w:pPr>
      <w:r>
        <w:rPr>
          <w:rFonts w:hint="default" w:ascii="Times New Roman" w:hAnsi="Times New Roman" w:cs="Times New Roman"/>
          <w:b/>
        </w:rPr>
        <w:t>A2.3</w:t>
      </w:r>
      <w:r>
        <w:rPr>
          <w:rFonts w:hint="default" w:ascii="Times New Roman" w:hAnsi="Times New Roman" w:cs="Times New Roman"/>
        </w:rPr>
        <w:t xml:space="preserve"> 硅胶圈：采用与拉拔头对应尺寸形状的硅胶圈，硅胶圈厚度大于4mm。</w:t>
      </w:r>
    </w:p>
    <w:p w14:paraId="6D9F0FB6">
      <w:pPr>
        <w:spacing w:line="360" w:lineRule="auto"/>
        <w:ind w:firstLine="211" w:firstLineChars="100"/>
        <w:rPr>
          <w:rFonts w:hint="default" w:ascii="Times New Roman" w:hAnsi="Times New Roman" w:cs="Times New Roman"/>
        </w:rPr>
      </w:pPr>
      <w:r>
        <w:rPr>
          <w:rFonts w:hint="default" w:ascii="Times New Roman" w:hAnsi="Times New Roman" w:cs="Times New Roman"/>
          <w:b/>
        </w:rPr>
        <w:t>A2.4</w:t>
      </w:r>
      <w:r>
        <w:rPr>
          <w:rFonts w:hint="default" w:ascii="Times New Roman" w:hAnsi="Times New Roman" w:cs="Times New Roman"/>
        </w:rPr>
        <w:t xml:space="preserve"> 底座：选择玄武岩石板作为底座，尺寸为100mm（长）×100mm（宽）×10mm（厚），表面采用1000抛光值的磨光工序，表面粗糙度Ra≤0.2µm。</w:t>
      </w:r>
    </w:p>
    <w:p w14:paraId="0A2AB594">
      <w:pPr>
        <w:spacing w:line="360" w:lineRule="auto"/>
        <w:ind w:firstLine="211" w:firstLineChars="100"/>
        <w:rPr>
          <w:rFonts w:hint="default" w:ascii="Times New Roman" w:hAnsi="Times New Roman" w:cs="Times New Roman"/>
          <w:b/>
        </w:rPr>
      </w:pPr>
      <w:r>
        <w:rPr>
          <w:rFonts w:hint="default" w:ascii="Times New Roman" w:hAnsi="Times New Roman" w:cs="Times New Roman"/>
          <w:b/>
        </w:rPr>
        <w:t xml:space="preserve">A2.5 </w:t>
      </w:r>
      <w:r>
        <w:rPr>
          <w:rFonts w:hint="default" w:ascii="Times New Roman" w:hAnsi="Times New Roman" w:cs="Times New Roman"/>
        </w:rPr>
        <w:t>烘箱：恒温烘箱，控温精度±1℃。</w:t>
      </w:r>
    </w:p>
    <w:p w14:paraId="23849701">
      <w:pPr>
        <w:spacing w:line="360" w:lineRule="auto"/>
        <w:rPr>
          <w:rFonts w:hint="default" w:ascii="Times New Roman" w:hAnsi="Times New Roman" w:cs="Times New Roman"/>
          <w:b/>
          <w:bCs/>
        </w:rPr>
      </w:pPr>
      <w:r>
        <w:rPr>
          <w:rFonts w:hint="default" w:ascii="Times New Roman" w:hAnsi="Times New Roman" w:cs="Times New Roman"/>
          <w:b/>
          <w:bCs/>
        </w:rPr>
        <w:t>A.3 试验步骤</w:t>
      </w:r>
    </w:p>
    <w:p w14:paraId="30A1C998">
      <w:pPr>
        <w:spacing w:line="360" w:lineRule="auto"/>
        <w:ind w:firstLine="211" w:firstLineChars="100"/>
        <w:rPr>
          <w:rFonts w:hint="default" w:ascii="Times New Roman" w:hAnsi="Times New Roman" w:cs="Times New Roman"/>
          <w:b/>
        </w:rPr>
      </w:pPr>
      <w:r>
        <w:rPr>
          <w:rFonts w:hint="default" w:ascii="Times New Roman" w:hAnsi="Times New Roman" w:cs="Times New Roman"/>
          <w:b/>
        </w:rPr>
        <w:t>A.3.1将</w:t>
      </w:r>
      <w:r>
        <w:rPr>
          <w:rFonts w:hint="default" w:ascii="Times New Roman" w:hAnsi="Times New Roman" w:cs="Times New Roman"/>
          <w:bCs/>
        </w:rPr>
        <w:t>底座</w:t>
      </w:r>
      <w:r>
        <w:rPr>
          <w:rFonts w:hint="default" w:ascii="Times New Roman" w:hAnsi="Times New Roman" w:cs="Times New Roman"/>
        </w:rPr>
        <w:t>表面清洗干净后置于20℃恒温箱中进行烘干备用。</w:t>
      </w:r>
    </w:p>
    <w:p w14:paraId="49BFA9F4">
      <w:pPr>
        <w:spacing w:line="360" w:lineRule="auto"/>
        <w:ind w:firstLine="211" w:firstLineChars="100"/>
        <w:rPr>
          <w:rFonts w:hint="default" w:ascii="Times New Roman" w:hAnsi="Times New Roman" w:cs="Times New Roman"/>
        </w:rPr>
      </w:pPr>
      <w:r>
        <w:rPr>
          <w:rFonts w:hint="default" w:ascii="Times New Roman" w:hAnsi="Times New Roman" w:cs="Times New Roman"/>
          <w:b/>
          <w:bCs/>
        </w:rPr>
        <w:t>A3.2</w:t>
      </w:r>
      <w:r>
        <w:rPr>
          <w:rFonts w:hint="default" w:ascii="Times New Roman" w:hAnsi="Times New Roman" w:cs="Times New Roman"/>
        </w:rPr>
        <w:t xml:space="preserve"> 取出干净底座，放置于平坦桌面上，在底座表面放置3个硅胶圈，并向硅胶圈中滴加2g~3g用于测试的黏层材料（如图A.1-a所示）。</w:t>
      </w:r>
    </w:p>
    <w:p w14:paraId="58E7D865">
      <w:pPr>
        <w:spacing w:line="360" w:lineRule="auto"/>
        <w:ind w:firstLine="211" w:firstLineChars="100"/>
        <w:rPr>
          <w:rFonts w:hint="default" w:ascii="Times New Roman" w:hAnsi="Times New Roman" w:cs="Times New Roman"/>
        </w:rPr>
      </w:pPr>
      <w:r>
        <w:rPr>
          <w:rFonts w:hint="default" w:ascii="Times New Roman" w:hAnsi="Times New Roman" w:cs="Times New Roman"/>
          <w:b/>
        </w:rPr>
        <w:t>A.3.3</w:t>
      </w:r>
      <w:r>
        <w:rPr>
          <w:rFonts w:hint="default" w:ascii="Times New Roman" w:hAnsi="Times New Roman" w:cs="Times New Roman"/>
        </w:rPr>
        <w:t>将上述放有硅胶圈及黏层材料的底座置于80℃烘箱中进行加热养生，使黏层材料产生粘结强度，养生时间96h。</w:t>
      </w:r>
    </w:p>
    <w:p w14:paraId="516583F7">
      <w:pPr>
        <w:spacing w:line="360" w:lineRule="auto"/>
        <w:ind w:firstLine="211" w:firstLineChars="100"/>
        <w:rPr>
          <w:rFonts w:hint="default" w:ascii="Times New Roman" w:hAnsi="Times New Roman" w:cs="Times New Roman"/>
        </w:rPr>
      </w:pPr>
      <w:r>
        <w:rPr>
          <w:rFonts w:hint="default" w:ascii="Times New Roman" w:hAnsi="Times New Roman" w:cs="Times New Roman"/>
          <w:b/>
        </w:rPr>
        <w:t>A.3.4</w:t>
      </w:r>
      <w:r>
        <w:rPr>
          <w:rFonts w:hint="default" w:ascii="Times New Roman" w:hAnsi="Times New Roman" w:cs="Times New Roman"/>
        </w:rPr>
        <w:t>将拉拔头置于160℃烘箱中加热2h。将底座与拔头同时取出，并将拉拔头压进硅胶圈中，待多余黏层材料从拉拔头溢流孔中流出后，将其置于20℃温度下静置冷却（如图A.1-b所示）。</w:t>
      </w:r>
    </w:p>
    <w:p w14:paraId="3E847C70">
      <w:pPr>
        <w:spacing w:line="360" w:lineRule="auto"/>
        <w:ind w:firstLine="211" w:firstLineChars="100"/>
        <w:rPr>
          <w:rFonts w:hint="default" w:ascii="Times New Roman" w:hAnsi="Times New Roman" w:cs="Times New Roman"/>
        </w:rPr>
      </w:pPr>
      <w:r>
        <w:rPr>
          <w:rFonts w:hint="default" w:ascii="Times New Roman" w:hAnsi="Times New Roman" w:cs="Times New Roman"/>
          <w:b/>
        </w:rPr>
        <w:t>A.3.5</w:t>
      </w:r>
      <w:r>
        <w:rPr>
          <w:rFonts w:hint="default" w:ascii="Times New Roman" w:hAnsi="Times New Roman" w:cs="Times New Roman"/>
        </w:rPr>
        <w:t>静置冷却1小时后，取下硅胶圈（如图A.1-c所示），并在20℃温度下利用拉拔仪进行拉拔试验，得到粘结强度（MPa）。</w:t>
      </w:r>
    </w:p>
    <w:p w14:paraId="7BA6A921">
      <w:pPr>
        <w:spacing w:line="360" w:lineRule="auto"/>
        <w:ind w:firstLine="211" w:firstLineChars="100"/>
        <w:rPr>
          <w:rFonts w:hint="default" w:ascii="Times New Roman" w:hAnsi="Times New Roman" w:cs="Times New Roman"/>
        </w:rPr>
      </w:pPr>
      <w:r>
        <w:rPr>
          <w:rFonts w:hint="default" w:ascii="Times New Roman" w:hAnsi="Times New Roman" w:cs="Times New Roman"/>
          <w:b/>
        </w:rPr>
        <w:t>A.3.6</w:t>
      </w:r>
      <w:r>
        <w:rPr>
          <w:rFonts w:hint="default" w:ascii="Times New Roman" w:hAnsi="Times New Roman" w:cs="Times New Roman"/>
        </w:rPr>
        <w:t>拉拔过程中，若出现拉拔头与黏层材料的脱离面积占整体破坏面的50%以上，则该次试验结果无效。</w:t>
      </w:r>
    </w:p>
    <w:p w14:paraId="43B34C07">
      <w:pPr>
        <w:spacing w:line="360" w:lineRule="auto"/>
        <w:jc w:val="center"/>
        <w:rPr>
          <w:rFonts w:hint="default" w:ascii="Times New Roman" w:hAnsi="Times New Roman" w:cs="Times New Roman"/>
        </w:rPr>
      </w:pPr>
    </w:p>
    <w:p w14:paraId="507877E4">
      <w:pPr>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0" distR="0">
            <wp:extent cx="1694180" cy="1690370"/>
            <wp:effectExtent l="0" t="0" r="1270" b="5080"/>
            <wp:docPr id="3" name="图片 2"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包含 机械&#10;&#10;描述已自动生成"/>
                    <pic:cNvPicPr>
                      <a:picLocks noChangeAspect="1"/>
                    </pic:cNvPicPr>
                  </pic:nvPicPr>
                  <pic:blipFill>
                    <a:blip r:embed="rId25"/>
                    <a:srcRect r="75606"/>
                    <a:stretch>
                      <a:fillRect/>
                    </a:stretch>
                  </pic:blipFill>
                  <pic:spPr>
                    <a:xfrm>
                      <a:off x="0" y="0"/>
                      <a:ext cx="1707733" cy="1703833"/>
                    </a:xfrm>
                    <a:prstGeom prst="rect">
                      <a:avLst/>
                    </a:prstGeom>
                    <a:ln>
                      <a:noFill/>
                    </a:ln>
                  </pic:spPr>
                </pic:pic>
              </a:graphicData>
            </a:graphic>
          </wp:inline>
        </w:drawing>
      </w:r>
      <w:r>
        <w:rPr>
          <w:rFonts w:hint="default" w:ascii="Times New Roman" w:hAnsi="Times New Roman" w:cs="Times New Roman"/>
        </w:rPr>
        <w:drawing>
          <wp:inline distT="0" distB="0" distL="0" distR="0">
            <wp:extent cx="1694180" cy="1690370"/>
            <wp:effectExtent l="0" t="0" r="1270" b="5080"/>
            <wp:docPr id="4" name="图片 3"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包含 机械&#10;&#10;描述已自动生成"/>
                    <pic:cNvPicPr>
                      <a:picLocks noChangeAspect="1"/>
                    </pic:cNvPicPr>
                  </pic:nvPicPr>
                  <pic:blipFill>
                    <a:blip r:embed="rId25"/>
                    <a:srcRect l="24394" r="51211"/>
                    <a:stretch>
                      <a:fillRect/>
                    </a:stretch>
                  </pic:blipFill>
                  <pic:spPr>
                    <a:xfrm>
                      <a:off x="0" y="0"/>
                      <a:ext cx="1704910" cy="1701017"/>
                    </a:xfrm>
                    <a:prstGeom prst="rect">
                      <a:avLst/>
                    </a:prstGeom>
                    <a:ln>
                      <a:noFill/>
                    </a:ln>
                  </pic:spPr>
                </pic:pic>
              </a:graphicData>
            </a:graphic>
          </wp:inline>
        </w:drawing>
      </w:r>
      <w:r>
        <w:rPr>
          <w:rFonts w:hint="default" w:ascii="Times New Roman" w:hAnsi="Times New Roman" w:cs="Times New Roman"/>
        </w:rPr>
        <w:drawing>
          <wp:inline distT="0" distB="0" distL="0" distR="0">
            <wp:extent cx="1803400" cy="1661160"/>
            <wp:effectExtent l="0" t="0" r="6350" b="0"/>
            <wp:docPr id="5" name="图片 4"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包含 机械&#10;&#10;描述已自动生成"/>
                    <pic:cNvPicPr>
                      <a:picLocks noChangeAspect="1"/>
                    </pic:cNvPicPr>
                  </pic:nvPicPr>
                  <pic:blipFill>
                    <a:blip r:embed="rId25"/>
                    <a:srcRect l="48706" r="24873"/>
                    <a:stretch>
                      <a:fillRect/>
                    </a:stretch>
                  </pic:blipFill>
                  <pic:spPr>
                    <a:xfrm>
                      <a:off x="0" y="0"/>
                      <a:ext cx="1817296" cy="1674073"/>
                    </a:xfrm>
                    <a:prstGeom prst="rect">
                      <a:avLst/>
                    </a:prstGeom>
                    <a:ln>
                      <a:noFill/>
                    </a:ln>
                  </pic:spPr>
                </pic:pic>
              </a:graphicData>
            </a:graphic>
          </wp:inline>
        </w:drawing>
      </w:r>
    </w:p>
    <w:p w14:paraId="389C4D61">
      <w:pPr>
        <w:spacing w:line="360" w:lineRule="auto"/>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 xml:space="preserve">    a．浇模</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b.放置拉拔头             c.脱模</w:t>
      </w:r>
    </w:p>
    <w:p w14:paraId="5F515D20">
      <w:pPr>
        <w:pStyle w:val="192"/>
        <w:rPr>
          <w:rFonts w:hint="default" w:ascii="Times New Roman" w:hAnsi="Times New Roman" w:cs="Times New Roman"/>
        </w:rPr>
      </w:pPr>
      <w:r>
        <w:rPr>
          <w:rFonts w:hint="default" w:ascii="Times New Roman" w:hAnsi="Times New Roman" w:cs="Times New Roman"/>
        </w:rPr>
        <w:t>图A.1 拉拔试验步骤</w:t>
      </w:r>
    </w:p>
    <w:p w14:paraId="4F6E7B20">
      <w:pPr>
        <w:spacing w:line="360" w:lineRule="auto"/>
        <w:rPr>
          <w:rFonts w:hint="default" w:ascii="Times New Roman" w:hAnsi="Times New Roman" w:cs="Times New Roman"/>
          <w:b/>
        </w:rPr>
      </w:pPr>
      <w:r>
        <w:rPr>
          <w:rFonts w:hint="default" w:ascii="Times New Roman" w:hAnsi="Times New Roman" w:cs="Times New Roman"/>
          <w:b/>
        </w:rPr>
        <w:t>A.4数据</w:t>
      </w:r>
    </w:p>
    <w:p w14:paraId="5C76670B">
      <w:pPr>
        <w:spacing w:line="360" w:lineRule="auto"/>
        <w:ind w:firstLine="210" w:firstLineChars="10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bCs/>
        </w:rPr>
        <w:t>A4.1</w:t>
      </w:r>
      <w:r>
        <w:rPr>
          <w:rFonts w:hint="default" w:ascii="Times New Roman" w:hAnsi="Times New Roman" w:cs="Times New Roman"/>
        </w:rPr>
        <w:t>同一种黏层材料试样，在同一块玄武岩底座下应至少进行3次平行试验，记录粘结强度值，计算平均值等指标。</w:t>
      </w:r>
    </w:p>
    <w:p w14:paraId="455C0AD4">
      <w:pPr>
        <w:widowControl/>
        <w:spacing w:line="360" w:lineRule="auto"/>
        <w:jc w:val="left"/>
        <w:rPr>
          <w:rFonts w:hint="default" w:ascii="Times New Roman" w:hAnsi="Times New Roman" w:cs="Times New Roman"/>
        </w:rPr>
        <w:sectPr>
          <w:headerReference r:id="rId21" w:type="default"/>
          <w:headerReference r:id="rId22" w:type="even"/>
          <w:type w:val="continuous"/>
          <w:pgSz w:w="11906" w:h="16838"/>
          <w:pgMar w:top="1440" w:right="1800" w:bottom="1440" w:left="1800" w:header="850" w:footer="992" w:gutter="0"/>
          <w:cols w:space="425" w:num="1"/>
          <w:formProt w:val="0"/>
          <w:docGrid w:type="lines" w:linePitch="312" w:charSpace="0"/>
        </w:sectPr>
      </w:pPr>
    </w:p>
    <w:p w14:paraId="77184E30">
      <w:pPr>
        <w:spacing w:line="360" w:lineRule="auto"/>
        <w:rPr>
          <w:rFonts w:hint="default" w:ascii="Times New Roman" w:hAnsi="Times New Roman" w:cs="Times New Roman"/>
        </w:rPr>
      </w:pPr>
    </w:p>
    <w:p w14:paraId="7A7C8C35">
      <w:pPr>
        <w:pStyle w:val="29"/>
        <w:tabs>
          <w:tab w:val="clear" w:pos="4201"/>
          <w:tab w:val="clear" w:pos="9298"/>
        </w:tabs>
        <w:rPr>
          <w:rFonts w:hint="default" w:ascii="Times New Roman" w:hAnsi="Times New Roman" w:cs="Times New Roman"/>
        </w:rPr>
      </w:pPr>
    </w:p>
    <w:p w14:paraId="171BC85D">
      <w:pPr>
        <w:widowControl/>
        <w:jc w:val="left"/>
        <w:rPr>
          <w:rFonts w:hint="default" w:ascii="Times New Roman" w:hAnsi="Times New Roman" w:cs="Times New Roman"/>
          <w:kern w:val="0"/>
          <w:szCs w:val="20"/>
        </w:rPr>
      </w:pPr>
      <w:r>
        <w:rPr>
          <w:rFonts w:hint="default" w:ascii="Times New Roman" w:hAnsi="Times New Roman" w:cs="Times New Roman"/>
        </w:rPr>
        <w:br w:type="page"/>
      </w:r>
    </w:p>
    <w:p w14:paraId="1FE25C0C">
      <w:pPr>
        <w:pStyle w:val="54"/>
        <w:spacing w:beforeLines="0" w:afterLines="0" w:line="360" w:lineRule="auto"/>
        <w:outlineLvl w:val="0"/>
        <w:rPr>
          <w:rFonts w:hint="default" w:ascii="Times New Roman" w:hAnsi="Times New Roman" w:cs="Times New Roman" w:eastAsiaTheme="minorEastAsia"/>
          <w:b/>
          <w:bCs/>
          <w:sz w:val="32"/>
          <w:szCs w:val="22"/>
        </w:rPr>
      </w:pPr>
      <w:bookmarkStart w:id="67" w:name="_Toc11191"/>
      <w:r>
        <w:rPr>
          <w:rFonts w:hint="default" w:ascii="Times New Roman" w:hAnsi="Times New Roman" w:cs="Times New Roman" w:eastAsiaTheme="minorEastAsia"/>
          <w:b/>
          <w:bCs/>
          <w:sz w:val="32"/>
          <w:szCs w:val="22"/>
        </w:rPr>
        <w:t>附录B 配合比设计方法与步骤</w:t>
      </w:r>
      <w:bookmarkEnd w:id="67"/>
    </w:p>
    <w:p w14:paraId="49F1FE0B">
      <w:pPr>
        <w:pStyle w:val="29"/>
        <w:spacing w:line="360" w:lineRule="auto"/>
        <w:ind w:firstLineChars="175"/>
        <w:rPr>
          <w:rFonts w:hint="default" w:ascii="Times New Roman" w:hAnsi="Times New Roman" w:cs="Times New Roman"/>
          <w:sz w:val="24"/>
          <w:szCs w:val="24"/>
        </w:rPr>
      </w:pPr>
      <w:r>
        <w:rPr>
          <w:rFonts w:hint="default" w:ascii="Times New Roman" w:hAnsi="Times New Roman" w:cs="Times New Roman"/>
          <w:sz w:val="24"/>
          <w:szCs w:val="24"/>
        </w:rPr>
        <w:t>应采用实际工程中所用的材料，按照下列步骤进行配合比设计:</w:t>
      </w:r>
    </w:p>
    <w:p w14:paraId="63ABC2FC">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B.1.初步拟定若干条级配曲线与不同水平的油石比，制备乳化沥青混合料。</w:t>
      </w:r>
    </w:p>
    <w:p w14:paraId="4F643954">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B.2.乳化沥青混合料拌和完成后，置于105℃烘箱中养生48小时，在养生结束前2小时将温度升高至163℃，后双面击实75次，成型乳化沥青混合料试件。</w:t>
      </w:r>
    </w:p>
    <w:p w14:paraId="52F8280D">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B.3.通过飞散试验确定最小沥青用量a，若各油石比水平下的飞散损失率均不满足要求，则需调整级配曲线，可通过增大2.36mm、1.18mm筛孔通过率以增加抗松散性能。</w:t>
      </w:r>
    </w:p>
    <w:p w14:paraId="15256114">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 xml:space="preserve">B.4.通过马歇尔试验稳定度和空隙率指标确定油石比上限b； </w:t>
      </w:r>
    </w:p>
    <w:p w14:paraId="5609F463">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B.5.形成许用油石比范围[a, b]。</w:t>
      </w:r>
    </w:p>
    <w:p w14:paraId="56F155AD">
      <w:pPr>
        <w:pStyle w:val="29"/>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B.6在油石比的可选范围内选择适宜的油石比，通过试验确定最佳油石比。</w:t>
      </w:r>
    </w:p>
    <w:p w14:paraId="0370B447">
      <w:pPr>
        <w:pStyle w:val="29"/>
        <w:spacing w:line="360" w:lineRule="auto"/>
        <w:ind w:firstLine="482"/>
        <w:rPr>
          <w:rFonts w:hint="default" w:ascii="Times New Roman" w:hAnsi="Times New Roman" w:cs="Times New Roman"/>
          <w:sz w:val="24"/>
          <w:szCs w:val="24"/>
        </w:rPr>
      </w:pPr>
      <w:r>
        <w:rPr>
          <w:rFonts w:hint="default" w:ascii="Times New Roman" w:hAnsi="Times New Roman" w:cs="Times New Roman"/>
          <w:b/>
          <w:bCs/>
          <w:sz w:val="24"/>
          <w:szCs w:val="24"/>
        </w:rPr>
        <w:t>B.6.</w:t>
      </w:r>
      <w:r>
        <w:rPr>
          <w:rFonts w:hint="default" w:ascii="Times New Roman" w:hAnsi="Times New Roman" w:cs="Times New Roman"/>
          <w:sz w:val="24"/>
          <w:szCs w:val="24"/>
        </w:rPr>
        <w:t>确定最佳油石比后，开展冻融劈裂试验、抗滑性能试验验证配合比设计结果，各项指标满足要求后，即可确定为最终设计方案，若不满组要求，则应调整级配曲线、更换沥青或集料。</w:t>
      </w:r>
    </w:p>
    <w:p w14:paraId="15C0C6E3">
      <w:pPr>
        <w:pStyle w:val="29"/>
        <w:spacing w:line="36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drawing>
          <wp:inline distT="0" distB="0" distL="0" distR="0">
            <wp:extent cx="3296920" cy="7847330"/>
            <wp:effectExtent l="0" t="0" r="0" b="1270"/>
            <wp:docPr id="775243470"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43470" name="图片 6" descr="图示&#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301031" cy="7856061"/>
                    </a:xfrm>
                    <a:prstGeom prst="rect">
                      <a:avLst/>
                    </a:prstGeom>
                    <a:noFill/>
                    <a:ln>
                      <a:noFill/>
                    </a:ln>
                  </pic:spPr>
                </pic:pic>
              </a:graphicData>
            </a:graphic>
          </wp:inline>
        </w:drawing>
      </w:r>
    </w:p>
    <w:p w14:paraId="1F9AA3B2">
      <w:pPr>
        <w:pStyle w:val="29"/>
        <w:tabs>
          <w:tab w:val="clear" w:pos="4201"/>
          <w:tab w:val="clear" w:pos="9298"/>
        </w:tabs>
        <w:ind w:firstLine="0" w:firstLineChars="0"/>
        <w:jc w:val="center"/>
        <w:rPr>
          <w:rFonts w:hint="default" w:ascii="Times New Roman" w:hAnsi="Times New Roman" w:eastAsia="黑体" w:cs="Times New Roman"/>
        </w:rPr>
      </w:pPr>
      <w:r>
        <w:rPr>
          <w:rFonts w:hint="default" w:ascii="Times New Roman" w:hAnsi="Times New Roman" w:eastAsia="黑体" w:cs="Times New Roman"/>
        </w:rPr>
        <w:t>图B.2 冷拌超表处混合料设计流程图</w:t>
      </w:r>
    </w:p>
    <w:sectPr>
      <w:headerReference r:id="rId23" w:type="even"/>
      <w:type w:val="continuous"/>
      <w:pgSz w:w="11906" w:h="16838"/>
      <w:pgMar w:top="1440" w:right="1800" w:bottom="1440" w:left="1800" w:header="850" w:footer="992"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43">
    <w:pPr>
      <w:pStyle w:val="23"/>
      <w:jc w:val="center"/>
    </w:pPr>
  </w:p>
  <w:p w14:paraId="251C9E63">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858A">
    <w:pPr>
      <w:pStyle w:val="23"/>
      <w:jc w:val="center"/>
    </w:pPr>
  </w:p>
  <w:p w14:paraId="7EFA0626">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8875520"/>
      <w:docPartObj>
        <w:docPartGallery w:val="autotext"/>
      </w:docPartObj>
    </w:sdtPr>
    <w:sdtContent>
      <w:p w14:paraId="4EF88515">
        <w:pPr>
          <w:pStyle w:val="23"/>
          <w:jc w:val="center"/>
        </w:pPr>
        <w:r>
          <w:fldChar w:fldCharType="begin"/>
        </w:r>
        <w:r>
          <w:instrText xml:space="preserve">PAGE   \* MERGEFORMAT</w:instrText>
        </w:r>
        <w:r>
          <w:fldChar w:fldCharType="separate"/>
        </w:r>
        <w:r>
          <w:rPr>
            <w:lang w:val="zh-CN"/>
          </w:rPr>
          <w:t>2</w:t>
        </w:r>
        <w:r>
          <w:fldChar w:fldCharType="end"/>
        </w:r>
      </w:p>
    </w:sdtContent>
  </w:sdt>
  <w:p w14:paraId="2F1661DA">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193682"/>
      <w:docPartObj>
        <w:docPartGallery w:val="autotext"/>
      </w:docPartObj>
    </w:sdtPr>
    <w:sdtContent>
      <w:p w14:paraId="5F8887CC">
        <w:pPr>
          <w:pStyle w:val="23"/>
          <w:jc w:val="center"/>
        </w:pPr>
        <w:r>
          <w:fldChar w:fldCharType="begin"/>
        </w:r>
        <w:r>
          <w:instrText xml:space="preserve">PAGE   \* MERGEFORMAT</w:instrText>
        </w:r>
        <w:r>
          <w:fldChar w:fldCharType="separate"/>
        </w:r>
        <w:r>
          <w:rPr>
            <w:lang w:val="zh-CN"/>
          </w:rPr>
          <w:t>2</w:t>
        </w:r>
        <w:r>
          <w:fldChar w:fldCharType="end"/>
        </w:r>
      </w:p>
    </w:sdtContent>
  </w:sdt>
  <w:p w14:paraId="13CE856A">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299997"/>
      <w:docPartObj>
        <w:docPartGallery w:val="autotext"/>
      </w:docPartObj>
    </w:sdtPr>
    <w:sdtContent>
      <w:p w14:paraId="0B67DE08">
        <w:pPr>
          <w:pStyle w:val="23"/>
          <w:jc w:val="center"/>
        </w:pPr>
        <w:r>
          <w:fldChar w:fldCharType="begin"/>
        </w:r>
        <w:r>
          <w:instrText xml:space="preserve">PAGE   \* MERGEFORMAT</w:instrText>
        </w:r>
        <w:r>
          <w:fldChar w:fldCharType="separate"/>
        </w:r>
        <w:r>
          <w:rPr>
            <w:lang w:val="zh-CN"/>
          </w:rPr>
          <w:t>2</w:t>
        </w:r>
        <w:r>
          <w:fldChar w:fldCharType="end"/>
        </w:r>
      </w:p>
    </w:sdtContent>
  </w:sdt>
  <w:p w14:paraId="2ABD9334">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206CB">
    <w:pPr>
      <w:pStyle w:val="24"/>
      <w:pBdr>
        <w:bottom w:val="single" w:color="auto" w:sz="4" w:space="1"/>
      </w:pBdr>
    </w:pPr>
    <w:r>
      <w:rPr>
        <w:rFonts w:hint="eastAsia"/>
      </w:rPr>
      <w:t>冷拌超表处施工技术指南</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697C">
    <w:pPr>
      <w:pStyle w:val="24"/>
      <w:pBdr>
        <w:bottom w:val="single" w:color="auto" w:sz="4" w:space="1"/>
      </w:pBdr>
      <w:wordWrap w:val="0"/>
      <w:jc w:val="right"/>
      <w:rPr>
        <w:rFonts w:hint="eastAsia" w:ascii="MS Gothic" w:hAnsi="MS Gothic" w:cs="MS Gothic" w:eastAsiaTheme="minorEastAsia"/>
      </w:rPr>
    </w:pPr>
    <w:r>
      <w:rPr>
        <w:rFonts w:hint="eastAsia"/>
      </w:rPr>
      <w:t>8 施工</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4855">
    <w:pPr>
      <w:pStyle w:val="24"/>
      <w:pBdr>
        <w:bottom w:val="single" w:color="auto" w:sz="4" w:space="1"/>
      </w:pBdr>
      <w:rPr>
        <w:rFonts w:hint="eastAsia" w:ascii="MS Gothic" w:hAnsi="MS Gothic" w:cs="MS Gothic" w:eastAsiaTheme="minorEastAsia"/>
      </w:rPr>
    </w:pPr>
    <w:r>
      <w:rPr>
        <w:rFonts w:hint="eastAsia"/>
      </w:rPr>
      <w:t>冷拌超表处施工技术指南</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E5D02">
    <w:pPr>
      <w:pStyle w:val="24"/>
      <w:pBdr>
        <w:bottom w:val="single" w:color="auto" w:sz="4" w:space="1"/>
      </w:pBdr>
      <w:wordWrap w:val="0"/>
      <w:jc w:val="right"/>
      <w:rPr>
        <w:rFonts w:hint="eastAsia" w:ascii="MS Gothic" w:hAnsi="MS Gothic" w:cs="MS Gothic" w:eastAsiaTheme="minorEastAsia"/>
      </w:rPr>
    </w:pPr>
    <w:r>
      <w:rPr>
        <w:rFonts w:hint="eastAsia"/>
      </w:rPr>
      <w:t>9 施工质量控制与检查验收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F68F">
    <w:pPr>
      <w:pStyle w:val="24"/>
      <w:pBdr>
        <w:bottom w:val="single" w:color="auto" w:sz="4" w:space="1"/>
      </w:pBdr>
      <w:rPr>
        <w:rFonts w:hint="eastAsia" w:ascii="MS Gothic" w:hAnsi="MS Gothic" w:cs="MS Gothic" w:eastAsiaTheme="minorEastAsia"/>
      </w:rPr>
    </w:pPr>
    <w:r>
      <w:rPr>
        <w:rFonts w:hint="eastAsia"/>
      </w:rPr>
      <w:t>冷拌超表处施工技术指南</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722A">
    <w:pPr>
      <w:pStyle w:val="24"/>
      <w:pBdr>
        <w:bottom w:val="single" w:color="auto" w:sz="4" w:space="1"/>
      </w:pBdr>
      <w:wordWrap w:val="0"/>
      <w:jc w:val="right"/>
      <w:rPr>
        <w:rFonts w:hint="eastAsia" w:ascii="MS Gothic" w:hAnsi="MS Gothic" w:cs="MS Gothic" w:eastAsiaTheme="minorEastAsia"/>
      </w:rPr>
    </w:pPr>
    <w:r>
      <w:rPr>
        <w:rFonts w:hint="eastAsia"/>
      </w:rPr>
      <w:t>附录B</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87B2">
    <w:pPr>
      <w:pStyle w:val="24"/>
      <w:pBdr>
        <w:bottom w:val="single" w:color="auto" w:sz="4" w:space="1"/>
      </w:pBdr>
      <w:ind w:right="180"/>
      <w:rPr>
        <w:rFonts w:hint="eastAsia" w:ascii="MS Gothic" w:hAnsi="MS Gothic" w:cs="MS Gothic" w:eastAsiaTheme="minorEastAsia"/>
      </w:rPr>
    </w:pPr>
    <w:r>
      <w:rPr>
        <w:rFonts w:hint="eastAsia"/>
      </w:rPr>
      <w:t>冷拌超表处施工技术指南</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AF82">
    <w:pPr>
      <w:pStyle w:val="24"/>
      <w:pBdr>
        <w:bottom w:val="single" w:color="auto" w:sz="4" w:space="1"/>
      </w:pBdr>
      <w:wordWrap w:val="0"/>
      <w:jc w:val="right"/>
    </w:pPr>
    <w:r>
      <w:rPr>
        <w:rFonts w:hint="eastAsia"/>
      </w:rPr>
      <w:t>附录B 冷拌超表处混合料配合比设计方法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2F81">
    <w:pPr>
      <w:pStyle w:val="24"/>
      <w:pBdr>
        <w:bottom w:val="single" w:color="auto" w:sz="4" w:space="1"/>
      </w:pBdr>
      <w:wordWrap w:val="0"/>
      <w:ind w:right="360"/>
      <w:jc w:val="right"/>
      <w:rPr>
        <w:rFonts w:hint="default" w:ascii="MS Gothic" w:hAnsi="MS Gothic" w:eastAsia="宋体" w:cs="MS Gothic"/>
        <w:lang w:val="en-US" w:eastAsia="zh-CN"/>
      </w:rPr>
    </w:pPr>
    <w:r>
      <w:rPr>
        <w:rFonts w:hint="eastAsia"/>
        <w:lang w:val="en-US" w:eastAsia="zh-CN"/>
      </w:rPr>
      <w:t>3</w:t>
    </w:r>
    <w:r>
      <w:rPr>
        <w:rFonts w:hint="eastAsia"/>
      </w:rPr>
      <w:t xml:space="preserve"> </w:t>
    </w:r>
    <w:r>
      <w:rPr>
        <w:rFonts w:hint="eastAsia"/>
        <w:lang w:val="en-US" w:eastAsia="zh-CN"/>
      </w:rPr>
      <w:t>规范性引用文件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7647">
    <w:pPr>
      <w:pStyle w:val="24"/>
      <w:pBdr>
        <w:bottom w:val="single" w:color="auto" w:sz="4" w:space="1"/>
      </w:pBdr>
      <w:rPr>
        <w:rFonts w:hint="eastAsia" w:ascii="MS Gothic" w:hAnsi="MS Gothic" w:cs="MS Gothic" w:eastAsiaTheme="minorEastAsia"/>
      </w:rPr>
    </w:pPr>
    <w:r>
      <w:rPr>
        <w:rFonts w:hint="eastAsia"/>
      </w:rPr>
      <w:t>冷拌超表处施工技术指南</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74E1D">
    <w:pPr>
      <w:pStyle w:val="24"/>
      <w:pBdr>
        <w:bottom w:val="single" w:color="auto" w:sz="4" w:space="1"/>
      </w:pBdr>
      <w:wordWrap w:val="0"/>
      <w:ind w:right="360"/>
      <w:jc w:val="right"/>
      <w:rPr>
        <w:rFonts w:hint="eastAsia" w:ascii="MS Gothic" w:hAnsi="MS Gothic" w:cs="MS Gothic" w:eastAsiaTheme="minorEastAsia"/>
      </w:rPr>
    </w:pPr>
    <w:r>
      <w:rPr>
        <w:rFonts w:hint="eastAsia"/>
      </w:rPr>
      <w:t>4术语与符号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2D90">
    <w:pPr>
      <w:pStyle w:val="24"/>
      <w:pBdr>
        <w:bottom w:val="single" w:color="auto" w:sz="4" w:space="1"/>
      </w:pBdr>
      <w:wordWrap w:val="0"/>
      <w:jc w:val="right"/>
    </w:pPr>
    <w:r>
      <w:rPr>
        <w:rFonts w:hint="eastAsia"/>
      </w:rPr>
      <w:t>2 规范性引用文件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C3DF">
    <w:pPr>
      <w:pStyle w:val="24"/>
      <w:pBdr>
        <w:bottom w:val="single" w:color="auto" w:sz="4" w:space="1"/>
      </w:pBdr>
      <w:rPr>
        <w:rFonts w:hint="eastAsia" w:ascii="MS Gothic" w:hAnsi="MS Gothic" w:cs="MS Gothic" w:eastAsiaTheme="minorEastAsia"/>
      </w:rPr>
    </w:pPr>
    <w:r>
      <w:rPr>
        <w:rFonts w:hint="eastAsia"/>
      </w:rPr>
      <w:t>冷拌超表处施工技术指南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ABE0">
    <w:pPr>
      <w:pStyle w:val="24"/>
      <w:pBdr>
        <w:bottom w:val="single" w:color="auto" w:sz="4" w:space="1"/>
      </w:pBdr>
      <w:wordWrap w:val="0"/>
      <w:ind w:right="540"/>
      <w:jc w:val="right"/>
      <w:rPr>
        <w:rFonts w:hint="eastAsia" w:ascii="MS Gothic" w:hAnsi="MS Gothic" w:cs="MS Gothic" w:eastAsiaTheme="minorEastAsia"/>
      </w:rPr>
    </w:pPr>
    <w:r>
      <w:rPr>
        <w:rFonts w:hint="eastAsia"/>
      </w:rPr>
      <w:t>6 材料</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E74A">
    <w:pPr>
      <w:pStyle w:val="24"/>
      <w:pBdr>
        <w:bottom w:val="single" w:color="auto" w:sz="4" w:space="1"/>
      </w:pBdr>
      <w:rPr>
        <w:rFonts w:hint="eastAsia" w:ascii="MS Gothic" w:hAnsi="MS Gothic" w:cs="MS Gothic" w:eastAsiaTheme="minorEastAsia"/>
      </w:rPr>
    </w:pPr>
    <w:r>
      <w:rPr>
        <w:rFonts w:hint="eastAsia"/>
      </w:rPr>
      <w:t>冷拌超表处施工技术指南</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A6DAA">
    <w:pPr>
      <w:pStyle w:val="24"/>
      <w:pBdr>
        <w:bottom w:val="single" w:color="auto" w:sz="4" w:space="1"/>
      </w:pBdr>
      <w:wordWrap w:val="0"/>
      <w:jc w:val="right"/>
      <w:rPr>
        <w:rFonts w:hint="eastAsia" w:ascii="MS Gothic" w:hAnsi="MS Gothic" w:cs="MS Gothic" w:eastAsiaTheme="minorEastAsia"/>
      </w:rPr>
    </w:pPr>
    <w:r>
      <w:rPr>
        <w:rFonts w:hint="eastAsia"/>
      </w:rPr>
      <w:t>7 冷拌超表处混合料设计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6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3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7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lvlText w:val="%1"/>
      <w:lvlJc w:val="left"/>
      <w:pPr>
        <w:ind w:left="425" w:hanging="425"/>
      </w:pPr>
      <w:rPr>
        <w:rFonts w:hint="eastAsia"/>
        <w:b/>
        <w:bCs w:val="0"/>
        <w:i w:val="0"/>
        <w:sz w:val="32"/>
        <w:szCs w:val="32"/>
      </w:rPr>
    </w:lvl>
    <w:lvl w:ilvl="1" w:tentative="0">
      <w:start w:val="1"/>
      <w:numFmt w:val="decimal"/>
      <w:lvlText w:val="%1.%2"/>
      <w:lvlJc w:val="left"/>
      <w:pPr>
        <w:ind w:left="992" w:hanging="567"/>
      </w:pPr>
      <w:rPr>
        <w:rFonts w:hint="eastAsia"/>
        <w:b/>
        <w:bCs/>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2" w:tentative="0">
      <w:start w:val="1"/>
      <w:numFmt w:val="decimal"/>
      <w:lvlText w:val="%1.%2.%3"/>
      <w:lvlJc w:val="left"/>
      <w:pPr>
        <w:ind w:left="1418" w:hanging="567"/>
      </w:pPr>
      <w:rPr>
        <w:rFonts w:hint="eastAsia"/>
        <w:b/>
        <w:bCs/>
        <w:i w:val="0"/>
        <w:sz w:val="24"/>
        <w:szCs w:val="22"/>
      </w:rPr>
    </w:lvl>
    <w:lvl w:ilvl="3" w:tentative="0">
      <w:start w:val="1"/>
      <w:numFmt w:val="decimal"/>
      <w:lvlText w:val="%1.%2.%3.%4"/>
      <w:lvlJc w:val="left"/>
      <w:pPr>
        <w:ind w:left="1984" w:hanging="708"/>
      </w:pPr>
      <w:rPr>
        <w:b w:val="0"/>
        <w:i w:val="0"/>
        <w:sz w:val="21"/>
      </w:rPr>
    </w:lvl>
    <w:lvl w:ilvl="4" w:tentative="0">
      <w:start w:val="1"/>
      <w:numFmt w:val="decimal"/>
      <w:lvlText w:val="%1.%2.%3.%4.%5"/>
      <w:lvlJc w:val="left"/>
      <w:pPr>
        <w:ind w:left="2551" w:hanging="850"/>
      </w:pPr>
      <w:rPr>
        <w:rFonts w:hint="eastAsia"/>
        <w:b w:val="0"/>
        <w:i w:val="0"/>
        <w:sz w:val="21"/>
      </w:rPr>
    </w:lvl>
    <w:lvl w:ilvl="5" w:tentative="0">
      <w:start w:val="1"/>
      <w:numFmt w:val="decimal"/>
      <w:lvlText w:val="%1.%2.%3.%4.%5.%6"/>
      <w:lvlJc w:val="left"/>
      <w:pPr>
        <w:ind w:left="3260" w:hanging="1134"/>
      </w:pPr>
      <w:rPr>
        <w:rFonts w:hint="eastAsia"/>
        <w:b w:val="0"/>
        <w:i w:val="0"/>
        <w:sz w:val="21"/>
      </w:rPr>
    </w:lvl>
    <w:lvl w:ilvl="6" w:tentative="0">
      <w:start w:val="1"/>
      <w:numFmt w:val="decimal"/>
      <w:lvlText w:val="%1.%2.%3.%4.%5.%6.%7"/>
      <w:lvlJc w:val="left"/>
      <w:pPr>
        <w:ind w:left="3827" w:hanging="1276"/>
      </w:pPr>
      <w:rPr>
        <w:rFonts w:hint="eastAsia"/>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A8F7113"/>
    <w:multiLevelType w:val="multilevel"/>
    <w:tmpl w:val="2A8F7113"/>
    <w:lvl w:ilvl="0" w:tentative="0">
      <w:start w:val="1"/>
      <w:numFmt w:val="upperLetter"/>
      <w:pStyle w:val="107"/>
      <w:suff w:val="space"/>
      <w:lvlText w:val="%1"/>
      <w:lvlJc w:val="left"/>
      <w:pPr>
        <w:ind w:left="623" w:hanging="425"/>
      </w:pPr>
      <w:rPr>
        <w:rFonts w:hint="eastAsia"/>
      </w:rPr>
    </w:lvl>
    <w:lvl w:ilvl="1" w:tentative="0">
      <w:start w:val="1"/>
      <w:numFmt w:val="decimal"/>
      <w:pStyle w:val="10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57"/>
      <w:suff w:val="nothing"/>
      <w:lvlText w:val="%1——"/>
      <w:lvlJc w:val="left"/>
      <w:pPr>
        <w:ind w:left="833" w:hanging="408"/>
      </w:pPr>
      <w:rPr>
        <w:rFonts w:hint="eastAsia"/>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3713A0C"/>
    <w:multiLevelType w:val="multilevel"/>
    <w:tmpl w:val="33713A0C"/>
    <w:lvl w:ilvl="0" w:tentative="0">
      <w:start w:val="2"/>
      <w:numFmt w:val="decimal"/>
      <w:lvlText w:val="%1"/>
      <w:lvlJc w:val="left"/>
      <w:pPr>
        <w:ind w:left="480" w:hanging="480"/>
      </w:pPr>
      <w:rPr>
        <w:rFonts w:hint="default"/>
      </w:rPr>
    </w:lvl>
    <w:lvl w:ilvl="1" w:tentative="0">
      <w:start w:val="0"/>
      <w:numFmt w:val="decimal"/>
      <w:lvlText w:val="%1.%2"/>
      <w:lvlJc w:val="left"/>
      <w:pPr>
        <w:ind w:left="1118" w:hanging="480"/>
      </w:pPr>
      <w:rPr>
        <w:rFonts w:hint="default"/>
      </w:rPr>
    </w:lvl>
    <w:lvl w:ilvl="2" w:tentative="0">
      <w:start w:val="1"/>
      <w:numFmt w:val="decimal"/>
      <w:lvlText w:val="%1.%2.%3"/>
      <w:lvlJc w:val="left"/>
      <w:pPr>
        <w:ind w:left="1996" w:hanging="720"/>
      </w:pPr>
      <w:rPr>
        <w:rFonts w:hint="default"/>
        <w:b/>
        <w:bCs/>
        <w:sz w:val="24"/>
        <w:szCs w:val="21"/>
      </w:rPr>
    </w:lvl>
    <w:lvl w:ilvl="3" w:tentative="0">
      <w:start w:val="1"/>
      <w:numFmt w:val="decimal"/>
      <w:lvlText w:val="%1.%2.%3.%4"/>
      <w:lvlJc w:val="left"/>
      <w:pPr>
        <w:ind w:left="2634" w:hanging="720"/>
      </w:pPr>
      <w:rPr>
        <w:rFonts w:hint="default"/>
      </w:rPr>
    </w:lvl>
    <w:lvl w:ilvl="4" w:tentative="0">
      <w:start w:val="1"/>
      <w:numFmt w:val="decimal"/>
      <w:lvlText w:val="%1.%2.%3.%4.%5"/>
      <w:lvlJc w:val="left"/>
      <w:pPr>
        <w:ind w:left="3632" w:hanging="1080"/>
      </w:pPr>
      <w:rPr>
        <w:rFonts w:hint="default"/>
      </w:rPr>
    </w:lvl>
    <w:lvl w:ilvl="5" w:tentative="0">
      <w:start w:val="1"/>
      <w:numFmt w:val="decimal"/>
      <w:lvlText w:val="%1.%2.%3.%4.%5.%6"/>
      <w:lvlJc w:val="left"/>
      <w:pPr>
        <w:ind w:left="4270" w:hanging="1080"/>
      </w:pPr>
      <w:rPr>
        <w:rFonts w:hint="default"/>
      </w:rPr>
    </w:lvl>
    <w:lvl w:ilvl="6" w:tentative="0">
      <w:start w:val="1"/>
      <w:numFmt w:val="decimal"/>
      <w:lvlText w:val="%1.%2.%3.%4.%5.%6.%7"/>
      <w:lvlJc w:val="left"/>
      <w:pPr>
        <w:ind w:left="5268" w:hanging="1440"/>
      </w:pPr>
      <w:rPr>
        <w:rFonts w:hint="default"/>
      </w:rPr>
    </w:lvl>
    <w:lvl w:ilvl="7" w:tentative="0">
      <w:start w:val="1"/>
      <w:numFmt w:val="decimal"/>
      <w:lvlText w:val="%1.%2.%3.%4.%5.%6.%7.%8"/>
      <w:lvlJc w:val="left"/>
      <w:pPr>
        <w:ind w:left="5906" w:hanging="1440"/>
      </w:pPr>
      <w:rPr>
        <w:rFonts w:hint="default"/>
      </w:rPr>
    </w:lvl>
    <w:lvl w:ilvl="8" w:tentative="0">
      <w:start w:val="1"/>
      <w:numFmt w:val="decimal"/>
      <w:lvlText w:val="%1.%2.%3.%4.%5.%6.%7.%8.%9"/>
      <w:lvlJc w:val="left"/>
      <w:pPr>
        <w:ind w:left="6904" w:hanging="1800"/>
      </w:pPr>
      <w:rPr>
        <w:rFonts w:hint="default"/>
      </w:rPr>
    </w:lvl>
  </w:abstractNum>
  <w:abstractNum w:abstractNumId="9">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16F0281"/>
    <w:multiLevelType w:val="multilevel"/>
    <w:tmpl w:val="416F0281"/>
    <w:lvl w:ilvl="0" w:tentative="0">
      <w:start w:val="1"/>
      <w:numFmt w:val="decimal"/>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11">
    <w:nsid w:val="44C50F90"/>
    <w:multiLevelType w:val="multilevel"/>
    <w:tmpl w:val="44C50F90"/>
    <w:lvl w:ilvl="0" w:tentative="0">
      <w:start w:val="1"/>
      <w:numFmt w:val="decimal"/>
      <w:pStyle w:val="68"/>
      <w:lvlText w:val="%1)"/>
      <w:lvlJc w:val="left"/>
      <w:pPr>
        <w:tabs>
          <w:tab w:val="left" w:pos="839"/>
        </w:tabs>
        <w:ind w:left="839" w:hanging="419"/>
      </w:pPr>
      <w:rPr>
        <w:rFonts w:ascii="宋体" w:hAnsi="Times New Roman" w:eastAsia="宋体" w:cs="Times New Roman"/>
        <w:b w:val="0"/>
        <w:i w:val="0"/>
        <w:sz w:val="20"/>
        <w:szCs w:val="21"/>
      </w:rPr>
    </w:lvl>
    <w:lvl w:ilvl="1" w:tentative="0">
      <w:start w:val="1"/>
      <w:numFmt w:val="decimal"/>
      <w:pStyle w:val="6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7461132"/>
    <w:multiLevelType w:val="multilevel"/>
    <w:tmpl w:val="47461132"/>
    <w:lvl w:ilvl="0" w:tentative="0">
      <w:start w:val="1"/>
      <w:numFmt w:val="decimal"/>
      <w:lvlText w:val="%1"/>
      <w:lvlJc w:val="left"/>
      <w:pPr>
        <w:ind w:left="525" w:hanging="525"/>
      </w:pPr>
      <w:rPr>
        <w:rFonts w:hint="default" w:asciiTheme="minorEastAsia" w:hAnsiTheme="minorEastAsia" w:eastAsiaTheme="minorEastAsia"/>
      </w:rPr>
    </w:lvl>
    <w:lvl w:ilvl="1" w:tentative="0">
      <w:start w:val="0"/>
      <w:numFmt w:val="decimal"/>
      <w:lvlText w:val="%1.%2"/>
      <w:lvlJc w:val="left"/>
      <w:pPr>
        <w:ind w:left="1163" w:hanging="525"/>
      </w:pPr>
      <w:rPr>
        <w:rFonts w:hint="default" w:asciiTheme="minorEastAsia" w:hAnsiTheme="minorEastAsia" w:eastAsiaTheme="minorEastAsia"/>
      </w:rPr>
    </w:lvl>
    <w:lvl w:ilvl="2" w:tentative="0">
      <w:start w:val="1"/>
      <w:numFmt w:val="decimal"/>
      <w:lvlText w:val="%1.%2.%3"/>
      <w:lvlJc w:val="left"/>
      <w:pPr>
        <w:ind w:left="1996" w:hanging="720"/>
      </w:pPr>
      <w:rPr>
        <w:rFonts w:hint="default" w:ascii="Times New Roman" w:hAnsi="Times New Roman" w:eastAsiaTheme="minorEastAsia"/>
        <w:b/>
        <w:sz w:val="24"/>
      </w:rPr>
    </w:lvl>
    <w:lvl w:ilvl="3" w:tentative="0">
      <w:start w:val="1"/>
      <w:numFmt w:val="decimal"/>
      <w:lvlText w:val="%1.%2.%3.%4"/>
      <w:lvlJc w:val="left"/>
      <w:pPr>
        <w:ind w:left="2994" w:hanging="1080"/>
      </w:pPr>
      <w:rPr>
        <w:rFonts w:hint="default" w:asciiTheme="minorEastAsia" w:hAnsiTheme="minorEastAsia" w:eastAsiaTheme="minorEastAsia"/>
      </w:rPr>
    </w:lvl>
    <w:lvl w:ilvl="4" w:tentative="0">
      <w:start w:val="1"/>
      <w:numFmt w:val="decimal"/>
      <w:lvlText w:val="%1.%2.%3.%4.%5"/>
      <w:lvlJc w:val="left"/>
      <w:pPr>
        <w:ind w:left="3632" w:hanging="1080"/>
      </w:pPr>
      <w:rPr>
        <w:rFonts w:hint="default" w:asciiTheme="minorEastAsia" w:hAnsiTheme="minorEastAsia" w:eastAsiaTheme="minorEastAsia"/>
      </w:rPr>
    </w:lvl>
    <w:lvl w:ilvl="5" w:tentative="0">
      <w:start w:val="1"/>
      <w:numFmt w:val="decimal"/>
      <w:lvlText w:val="%1.%2.%3.%4.%5.%6"/>
      <w:lvlJc w:val="left"/>
      <w:pPr>
        <w:ind w:left="4630" w:hanging="1440"/>
      </w:pPr>
      <w:rPr>
        <w:rFonts w:hint="default" w:asciiTheme="minorEastAsia" w:hAnsiTheme="minorEastAsia" w:eastAsiaTheme="minorEastAsia"/>
      </w:rPr>
    </w:lvl>
    <w:lvl w:ilvl="6" w:tentative="0">
      <w:start w:val="1"/>
      <w:numFmt w:val="decimal"/>
      <w:lvlText w:val="%1.%2.%3.%4.%5.%6.%7"/>
      <w:lvlJc w:val="left"/>
      <w:pPr>
        <w:ind w:left="5268" w:hanging="1440"/>
      </w:pPr>
      <w:rPr>
        <w:rFonts w:hint="default" w:asciiTheme="minorEastAsia" w:hAnsiTheme="minorEastAsia" w:eastAsiaTheme="minorEastAsia"/>
      </w:rPr>
    </w:lvl>
    <w:lvl w:ilvl="7" w:tentative="0">
      <w:start w:val="1"/>
      <w:numFmt w:val="decimal"/>
      <w:lvlText w:val="%1.%2.%3.%4.%5.%6.%7.%8"/>
      <w:lvlJc w:val="left"/>
      <w:pPr>
        <w:ind w:left="6266" w:hanging="1800"/>
      </w:pPr>
      <w:rPr>
        <w:rFonts w:hint="default" w:asciiTheme="minorEastAsia" w:hAnsiTheme="minorEastAsia" w:eastAsiaTheme="minorEastAsia"/>
      </w:rPr>
    </w:lvl>
    <w:lvl w:ilvl="8" w:tentative="0">
      <w:start w:val="1"/>
      <w:numFmt w:val="decimal"/>
      <w:lvlText w:val="%1.%2.%3.%4.%5.%6.%7.%8.%9"/>
      <w:lvlJc w:val="left"/>
      <w:pPr>
        <w:ind w:left="6904" w:hanging="1800"/>
      </w:pPr>
      <w:rPr>
        <w:rFonts w:hint="default" w:asciiTheme="minorEastAsia" w:hAnsiTheme="minorEastAsia" w:eastAsiaTheme="minorEastAsia"/>
      </w:rPr>
    </w:lvl>
  </w:abstractNum>
  <w:abstractNum w:abstractNumId="13">
    <w:nsid w:val="480662EC"/>
    <w:multiLevelType w:val="multilevel"/>
    <w:tmpl w:val="480662E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4">
    <w:nsid w:val="4B733A5F"/>
    <w:multiLevelType w:val="multilevel"/>
    <w:tmpl w:val="4B733A5F"/>
    <w:lvl w:ilvl="0" w:tentative="0">
      <w:start w:val="1"/>
      <w:numFmt w:val="decimal"/>
      <w:pStyle w:val="7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tentative="0">
      <w:start w:val="1"/>
      <w:numFmt w:val="decimal"/>
      <w:pStyle w:val="1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tentative="0">
      <w:start w:val="1"/>
      <w:numFmt w:val="upperLetter"/>
      <w:pStyle w:val="95"/>
      <w:lvlText w:val="%1"/>
      <w:lvlJc w:val="left"/>
      <w:pPr>
        <w:tabs>
          <w:tab w:val="left" w:pos="0"/>
        </w:tabs>
        <w:ind w:left="0" w:hanging="425"/>
      </w:pPr>
      <w:rPr>
        <w:rFonts w:hint="eastAsia"/>
      </w:rPr>
    </w:lvl>
    <w:lvl w:ilvl="1" w:tentative="0">
      <w:start w:val="1"/>
      <w:numFmt w:val="decimal"/>
      <w:pStyle w:val="9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35"/>
      <w:suff w:val="nothing"/>
      <w:lvlText w:val="表%1　"/>
      <w:lvlJc w:val="left"/>
      <w:pPr>
        <w:ind w:left="2410" w:firstLine="0"/>
      </w:pPr>
      <w:rPr>
        <w:rFonts w:hint="eastAsia" w:ascii="黑体" w:hAnsi="Times New Roman" w:eastAsia="黑体"/>
        <w:b w:val="0"/>
        <w:i w:val="0"/>
        <w:sz w:val="20"/>
      </w:rPr>
    </w:lvl>
    <w:lvl w:ilvl="1" w:tentative="0">
      <w:start w:val="1"/>
      <w:numFmt w:val="decimal"/>
      <w:lvlText w:val="%1.%2"/>
      <w:lvlJc w:val="left"/>
      <w:pPr>
        <w:tabs>
          <w:tab w:val="left" w:pos="283"/>
        </w:tabs>
        <w:ind w:left="283" w:hanging="567"/>
      </w:pPr>
      <w:rPr>
        <w:rFonts w:hint="eastAsia"/>
      </w:rPr>
    </w:lvl>
    <w:lvl w:ilvl="2" w:tentative="0">
      <w:start w:val="1"/>
      <w:numFmt w:val="decimal"/>
      <w:lvlText w:val="%1.%2.%3"/>
      <w:lvlJc w:val="left"/>
      <w:pPr>
        <w:tabs>
          <w:tab w:val="left" w:pos="709"/>
        </w:tabs>
        <w:ind w:left="709" w:hanging="567"/>
      </w:pPr>
      <w:rPr>
        <w:rFonts w:hint="eastAsia"/>
      </w:rPr>
    </w:lvl>
    <w:lvl w:ilvl="3" w:tentative="0">
      <w:start w:val="1"/>
      <w:numFmt w:val="decimal"/>
      <w:lvlText w:val="%1.%2.%3.%4"/>
      <w:lvlJc w:val="left"/>
      <w:pPr>
        <w:tabs>
          <w:tab w:val="left" w:pos="1275"/>
        </w:tabs>
        <w:ind w:left="1275" w:hanging="708"/>
      </w:pPr>
      <w:rPr>
        <w:rFonts w:hint="eastAsia"/>
      </w:rPr>
    </w:lvl>
    <w:lvl w:ilvl="4" w:tentative="0">
      <w:start w:val="1"/>
      <w:numFmt w:val="decimal"/>
      <w:lvlText w:val="%1.%2.%3.%4.%5"/>
      <w:lvlJc w:val="left"/>
      <w:pPr>
        <w:tabs>
          <w:tab w:val="left" w:pos="1842"/>
        </w:tabs>
        <w:ind w:left="1842" w:hanging="850"/>
      </w:pPr>
      <w:rPr>
        <w:rFonts w:hint="eastAsia"/>
      </w:rPr>
    </w:lvl>
    <w:lvl w:ilvl="5" w:tentative="0">
      <w:start w:val="1"/>
      <w:numFmt w:val="decimal"/>
      <w:lvlText w:val="%1.%2.%3.%4.%5.%6"/>
      <w:lvlJc w:val="left"/>
      <w:pPr>
        <w:tabs>
          <w:tab w:val="left" w:pos="2551"/>
        </w:tabs>
        <w:ind w:left="2551" w:hanging="1134"/>
      </w:pPr>
      <w:rPr>
        <w:rFonts w:hint="eastAsia"/>
      </w:rPr>
    </w:lvl>
    <w:lvl w:ilvl="6" w:tentative="0">
      <w:start w:val="1"/>
      <w:numFmt w:val="decimal"/>
      <w:lvlText w:val="%1.%2.%3.%4.%5.%6.%7"/>
      <w:lvlJc w:val="left"/>
      <w:pPr>
        <w:tabs>
          <w:tab w:val="left" w:pos="3118"/>
        </w:tabs>
        <w:ind w:left="3118" w:hanging="1276"/>
      </w:pPr>
      <w:rPr>
        <w:rFonts w:hint="eastAsia"/>
      </w:rPr>
    </w:lvl>
    <w:lvl w:ilvl="7" w:tentative="0">
      <w:start w:val="1"/>
      <w:numFmt w:val="decimal"/>
      <w:lvlText w:val="%1.%2.%3.%4.%5.%6.%7.%8"/>
      <w:lvlJc w:val="left"/>
      <w:pPr>
        <w:tabs>
          <w:tab w:val="left" w:pos="3685"/>
        </w:tabs>
        <w:ind w:left="3685" w:hanging="1418"/>
      </w:pPr>
      <w:rPr>
        <w:rFonts w:hint="eastAsia"/>
      </w:rPr>
    </w:lvl>
    <w:lvl w:ilvl="8" w:tentative="0">
      <w:start w:val="1"/>
      <w:numFmt w:val="decimal"/>
      <w:lvlText w:val="%1.%2.%3.%4.%5.%6.%7.%8.%9"/>
      <w:lvlJc w:val="left"/>
      <w:pPr>
        <w:tabs>
          <w:tab w:val="left" w:pos="4393"/>
        </w:tabs>
        <w:ind w:left="4393" w:hanging="1700"/>
      </w:pPr>
      <w:rPr>
        <w:rFonts w:hint="eastAsia"/>
      </w:rPr>
    </w:lvl>
  </w:abstractNum>
  <w:abstractNum w:abstractNumId="18">
    <w:nsid w:val="657D3FBC"/>
    <w:multiLevelType w:val="multilevel"/>
    <w:tmpl w:val="657D3FBC"/>
    <w:lvl w:ilvl="0" w:tentative="0">
      <w:start w:val="1"/>
      <w:numFmt w:val="upperLetter"/>
      <w:pStyle w:val="9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2"/>
      <w:suff w:val="nothing"/>
      <w:lvlText w:val="%1.%2.%3　"/>
      <w:lvlJc w:val="left"/>
      <w:pPr>
        <w:ind w:left="0" w:firstLine="0"/>
      </w:pPr>
      <w:rPr>
        <w:rFonts w:hint="eastAsia" w:ascii="黑体" w:hAnsi="Times New Roman" w:eastAsia="黑体"/>
        <w:b w:val="0"/>
        <w:i w:val="0"/>
        <w:sz w:val="21"/>
      </w:rPr>
    </w:lvl>
    <w:lvl w:ilvl="3" w:tentative="0">
      <w:start w:val="1"/>
      <w:numFmt w:val="decimal"/>
      <w:pStyle w:val="97"/>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D6C07CD"/>
    <w:multiLevelType w:val="multilevel"/>
    <w:tmpl w:val="6D6C07CD"/>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10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66"/>
      <w:suff w:val="nothing"/>
      <w:lvlText w:val="%1注："/>
      <w:lvlJc w:val="left"/>
      <w:pPr>
        <w:ind w:left="1308"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1">
    <w:nsid w:val="6EBF7692"/>
    <w:multiLevelType w:val="multilevel"/>
    <w:tmpl w:val="6EBF7692"/>
    <w:lvl w:ilvl="0" w:tentative="0">
      <w:start w:val="5"/>
      <w:numFmt w:val="decimal"/>
      <w:lvlText w:val="%1"/>
      <w:lvlJc w:val="left"/>
      <w:pPr>
        <w:ind w:left="360" w:hanging="360"/>
      </w:pPr>
      <w:rPr>
        <w:rFonts w:hint="default"/>
      </w:rPr>
    </w:lvl>
    <w:lvl w:ilvl="1" w:tentative="0">
      <w:start w:val="1"/>
      <w:numFmt w:val="decimal"/>
      <w:lvlText w:val="%1.%2"/>
      <w:lvlJc w:val="left"/>
      <w:pPr>
        <w:ind w:left="780" w:hanging="360"/>
      </w:pPr>
      <w:rPr>
        <w:rFonts w:hint="default"/>
      </w:rPr>
    </w:lvl>
    <w:lvl w:ilvl="2" w:tentative="0">
      <w:start w:val="1"/>
      <w:numFmt w:val="decimal"/>
      <w:lvlText w:val="%1.%2.%3"/>
      <w:lvlJc w:val="left"/>
      <w:pPr>
        <w:ind w:left="1560" w:hanging="720"/>
      </w:pPr>
      <w:rPr>
        <w:rFonts w:hint="default"/>
        <w:b/>
        <w:bCs/>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960" w:hanging="144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5160" w:hanging="1800"/>
      </w:pPr>
      <w:rPr>
        <w:rFonts w:hint="default"/>
      </w:rPr>
    </w:lvl>
  </w:abstractNum>
  <w:num w:numId="1">
    <w:abstractNumId w:val="9"/>
  </w:num>
  <w:num w:numId="2">
    <w:abstractNumId w:val="7"/>
  </w:num>
  <w:num w:numId="3">
    <w:abstractNumId w:val="2"/>
  </w:num>
  <w:num w:numId="4">
    <w:abstractNumId w:val="11"/>
  </w:num>
  <w:num w:numId="5">
    <w:abstractNumId w:val="20"/>
  </w:num>
  <w:num w:numId="6">
    <w:abstractNumId w:val="0"/>
  </w:num>
  <w:num w:numId="7">
    <w:abstractNumId w:val="14"/>
  </w:num>
  <w:num w:numId="8">
    <w:abstractNumId w:val="4"/>
  </w:num>
  <w:num w:numId="9">
    <w:abstractNumId w:val="18"/>
  </w:num>
  <w:num w:numId="10">
    <w:abstractNumId w:val="16"/>
  </w:num>
  <w:num w:numId="11">
    <w:abstractNumId w:val="19"/>
  </w:num>
  <w:num w:numId="12">
    <w:abstractNumId w:val="6"/>
  </w:num>
  <w:num w:numId="13">
    <w:abstractNumId w:val="1"/>
  </w:num>
  <w:num w:numId="14">
    <w:abstractNumId w:val="3"/>
  </w:num>
  <w:num w:numId="15">
    <w:abstractNumId w:val="17"/>
  </w:num>
  <w:num w:numId="16">
    <w:abstractNumId w:val="15"/>
  </w:num>
  <w:num w:numId="17">
    <w:abstractNumId w:val="5"/>
  </w:num>
  <w:num w:numId="18">
    <w:abstractNumId w:val="12"/>
  </w:num>
  <w:num w:numId="19">
    <w:abstractNumId w:val="8"/>
  </w:num>
  <w:num w:numId="20">
    <w:abstractNumId w:val="13"/>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ytzQ3M7CwNDI1MjJQ0lEKTi0uzszPAykwtKwFAGwkXLotAAAA"/>
    <w:docVar w:name="commondata" w:val="eyJoZGlkIjoiOGQwOTdhYjcyNjc4ZDBmMTYwNzMxMzg3MDFmMDY2ZGQifQ=="/>
  </w:docVars>
  <w:rsids>
    <w:rsidRoot w:val="00035925"/>
    <w:rsid w:val="00000244"/>
    <w:rsid w:val="0000185F"/>
    <w:rsid w:val="00004597"/>
    <w:rsid w:val="00005358"/>
    <w:rsid w:val="000053DF"/>
    <w:rsid w:val="0000586F"/>
    <w:rsid w:val="00012E86"/>
    <w:rsid w:val="0001379C"/>
    <w:rsid w:val="00013D86"/>
    <w:rsid w:val="00013E02"/>
    <w:rsid w:val="00014032"/>
    <w:rsid w:val="00014063"/>
    <w:rsid w:val="000149F0"/>
    <w:rsid w:val="000150D0"/>
    <w:rsid w:val="00016666"/>
    <w:rsid w:val="0001758D"/>
    <w:rsid w:val="00021096"/>
    <w:rsid w:val="0002143C"/>
    <w:rsid w:val="00022D63"/>
    <w:rsid w:val="000253E4"/>
    <w:rsid w:val="000255F5"/>
    <w:rsid w:val="00025A65"/>
    <w:rsid w:val="00026C31"/>
    <w:rsid w:val="00026C81"/>
    <w:rsid w:val="00027280"/>
    <w:rsid w:val="00027FC1"/>
    <w:rsid w:val="000317DB"/>
    <w:rsid w:val="00031A00"/>
    <w:rsid w:val="00031A10"/>
    <w:rsid w:val="00031B33"/>
    <w:rsid w:val="000320A7"/>
    <w:rsid w:val="000336D4"/>
    <w:rsid w:val="000343A9"/>
    <w:rsid w:val="00035097"/>
    <w:rsid w:val="00035925"/>
    <w:rsid w:val="000374A5"/>
    <w:rsid w:val="00041727"/>
    <w:rsid w:val="00042012"/>
    <w:rsid w:val="00042CBC"/>
    <w:rsid w:val="00043178"/>
    <w:rsid w:val="0004369C"/>
    <w:rsid w:val="00044FE9"/>
    <w:rsid w:val="00045D9B"/>
    <w:rsid w:val="00045F1C"/>
    <w:rsid w:val="0004759B"/>
    <w:rsid w:val="000478BD"/>
    <w:rsid w:val="00047EFF"/>
    <w:rsid w:val="00050019"/>
    <w:rsid w:val="00050550"/>
    <w:rsid w:val="00051536"/>
    <w:rsid w:val="000515DE"/>
    <w:rsid w:val="00052447"/>
    <w:rsid w:val="00053725"/>
    <w:rsid w:val="00054A79"/>
    <w:rsid w:val="00055BBB"/>
    <w:rsid w:val="00056BB1"/>
    <w:rsid w:val="0006291B"/>
    <w:rsid w:val="00062B5B"/>
    <w:rsid w:val="00063BF0"/>
    <w:rsid w:val="00067CDF"/>
    <w:rsid w:val="00070097"/>
    <w:rsid w:val="000703B1"/>
    <w:rsid w:val="00070C89"/>
    <w:rsid w:val="00072A6C"/>
    <w:rsid w:val="00072BA1"/>
    <w:rsid w:val="00072CBE"/>
    <w:rsid w:val="00074911"/>
    <w:rsid w:val="00074FBE"/>
    <w:rsid w:val="0007650B"/>
    <w:rsid w:val="0007681E"/>
    <w:rsid w:val="00076B8D"/>
    <w:rsid w:val="000773AE"/>
    <w:rsid w:val="00077F16"/>
    <w:rsid w:val="00080D3D"/>
    <w:rsid w:val="00080EB7"/>
    <w:rsid w:val="0008181E"/>
    <w:rsid w:val="00081BEB"/>
    <w:rsid w:val="00082462"/>
    <w:rsid w:val="000833BC"/>
    <w:rsid w:val="00083A09"/>
    <w:rsid w:val="00083A84"/>
    <w:rsid w:val="0008532B"/>
    <w:rsid w:val="000856A0"/>
    <w:rsid w:val="000856B0"/>
    <w:rsid w:val="000859B3"/>
    <w:rsid w:val="0008675A"/>
    <w:rsid w:val="00086B6D"/>
    <w:rsid w:val="000875A1"/>
    <w:rsid w:val="0009005E"/>
    <w:rsid w:val="000921AE"/>
    <w:rsid w:val="00092471"/>
    <w:rsid w:val="000924D2"/>
    <w:rsid w:val="00092857"/>
    <w:rsid w:val="00092901"/>
    <w:rsid w:val="00093F9C"/>
    <w:rsid w:val="00094AAB"/>
    <w:rsid w:val="00095A5C"/>
    <w:rsid w:val="000A03A5"/>
    <w:rsid w:val="000A10E5"/>
    <w:rsid w:val="000A20A9"/>
    <w:rsid w:val="000A2FAB"/>
    <w:rsid w:val="000A3136"/>
    <w:rsid w:val="000A34D6"/>
    <w:rsid w:val="000A48B1"/>
    <w:rsid w:val="000A4EAC"/>
    <w:rsid w:val="000B084E"/>
    <w:rsid w:val="000B0908"/>
    <w:rsid w:val="000B1AF1"/>
    <w:rsid w:val="000B3143"/>
    <w:rsid w:val="000B5D7F"/>
    <w:rsid w:val="000C06FC"/>
    <w:rsid w:val="000C152E"/>
    <w:rsid w:val="000C197B"/>
    <w:rsid w:val="000C292B"/>
    <w:rsid w:val="000C2D88"/>
    <w:rsid w:val="000C31B1"/>
    <w:rsid w:val="000C33D5"/>
    <w:rsid w:val="000C6B05"/>
    <w:rsid w:val="000C6D57"/>
    <w:rsid w:val="000C6DD6"/>
    <w:rsid w:val="000C73D4"/>
    <w:rsid w:val="000D2BB9"/>
    <w:rsid w:val="000D301E"/>
    <w:rsid w:val="000D3D4C"/>
    <w:rsid w:val="000D4A2F"/>
    <w:rsid w:val="000D4F51"/>
    <w:rsid w:val="000D6251"/>
    <w:rsid w:val="000D64A4"/>
    <w:rsid w:val="000D718B"/>
    <w:rsid w:val="000D728C"/>
    <w:rsid w:val="000E0C46"/>
    <w:rsid w:val="000E11B9"/>
    <w:rsid w:val="000E212E"/>
    <w:rsid w:val="000E2BB6"/>
    <w:rsid w:val="000E359F"/>
    <w:rsid w:val="000E3DD7"/>
    <w:rsid w:val="000E54CD"/>
    <w:rsid w:val="000E5954"/>
    <w:rsid w:val="000E690F"/>
    <w:rsid w:val="000E6D1F"/>
    <w:rsid w:val="000E73E1"/>
    <w:rsid w:val="000E7C45"/>
    <w:rsid w:val="000F030C"/>
    <w:rsid w:val="000F098A"/>
    <w:rsid w:val="000F0EA9"/>
    <w:rsid w:val="000F108B"/>
    <w:rsid w:val="000F129C"/>
    <w:rsid w:val="000F189A"/>
    <w:rsid w:val="000F26C8"/>
    <w:rsid w:val="000F3476"/>
    <w:rsid w:val="000F34A6"/>
    <w:rsid w:val="000F3674"/>
    <w:rsid w:val="000F3743"/>
    <w:rsid w:val="000F3857"/>
    <w:rsid w:val="000F50D7"/>
    <w:rsid w:val="000F5667"/>
    <w:rsid w:val="000F7726"/>
    <w:rsid w:val="0010019E"/>
    <w:rsid w:val="00100606"/>
    <w:rsid w:val="0010305E"/>
    <w:rsid w:val="001030ED"/>
    <w:rsid w:val="0010361F"/>
    <w:rsid w:val="0010463F"/>
    <w:rsid w:val="001056DE"/>
    <w:rsid w:val="0010606C"/>
    <w:rsid w:val="00107C08"/>
    <w:rsid w:val="001101E0"/>
    <w:rsid w:val="00111208"/>
    <w:rsid w:val="00111848"/>
    <w:rsid w:val="001124C0"/>
    <w:rsid w:val="00114627"/>
    <w:rsid w:val="00114A31"/>
    <w:rsid w:val="001203FA"/>
    <w:rsid w:val="001216FE"/>
    <w:rsid w:val="00122D95"/>
    <w:rsid w:val="00123065"/>
    <w:rsid w:val="00125E99"/>
    <w:rsid w:val="0013137A"/>
    <w:rsid w:val="0013175F"/>
    <w:rsid w:val="00131A75"/>
    <w:rsid w:val="0013584E"/>
    <w:rsid w:val="00140DC2"/>
    <w:rsid w:val="00141605"/>
    <w:rsid w:val="001425F7"/>
    <w:rsid w:val="0014472A"/>
    <w:rsid w:val="00144B4C"/>
    <w:rsid w:val="00145124"/>
    <w:rsid w:val="00145A27"/>
    <w:rsid w:val="00145A9A"/>
    <w:rsid w:val="0014621A"/>
    <w:rsid w:val="001471D0"/>
    <w:rsid w:val="0015037B"/>
    <w:rsid w:val="001512B4"/>
    <w:rsid w:val="0015383C"/>
    <w:rsid w:val="00155343"/>
    <w:rsid w:val="00160A60"/>
    <w:rsid w:val="001620A5"/>
    <w:rsid w:val="0016487B"/>
    <w:rsid w:val="00164DA5"/>
    <w:rsid w:val="00164E53"/>
    <w:rsid w:val="001656EB"/>
    <w:rsid w:val="0016699D"/>
    <w:rsid w:val="001669FE"/>
    <w:rsid w:val="00166D14"/>
    <w:rsid w:val="00167C4D"/>
    <w:rsid w:val="00170F0D"/>
    <w:rsid w:val="00171498"/>
    <w:rsid w:val="00174BCC"/>
    <w:rsid w:val="00174D96"/>
    <w:rsid w:val="00175159"/>
    <w:rsid w:val="00176208"/>
    <w:rsid w:val="00176719"/>
    <w:rsid w:val="00181AA3"/>
    <w:rsid w:val="0018211B"/>
    <w:rsid w:val="001840D3"/>
    <w:rsid w:val="00185A1F"/>
    <w:rsid w:val="00185D4E"/>
    <w:rsid w:val="001900F8"/>
    <w:rsid w:val="001901CD"/>
    <w:rsid w:val="001910B4"/>
    <w:rsid w:val="001910D2"/>
    <w:rsid w:val="00191258"/>
    <w:rsid w:val="00191583"/>
    <w:rsid w:val="001923C9"/>
    <w:rsid w:val="0019251C"/>
    <w:rsid w:val="00192680"/>
    <w:rsid w:val="00193037"/>
    <w:rsid w:val="00193A2C"/>
    <w:rsid w:val="00193E97"/>
    <w:rsid w:val="00194967"/>
    <w:rsid w:val="001950B1"/>
    <w:rsid w:val="00196601"/>
    <w:rsid w:val="00196F11"/>
    <w:rsid w:val="001979AA"/>
    <w:rsid w:val="001A07F4"/>
    <w:rsid w:val="001A101A"/>
    <w:rsid w:val="001A172C"/>
    <w:rsid w:val="001A288E"/>
    <w:rsid w:val="001A2CA7"/>
    <w:rsid w:val="001A3140"/>
    <w:rsid w:val="001A3A9B"/>
    <w:rsid w:val="001B05EF"/>
    <w:rsid w:val="001B0791"/>
    <w:rsid w:val="001B2FBC"/>
    <w:rsid w:val="001B34B3"/>
    <w:rsid w:val="001B6DC2"/>
    <w:rsid w:val="001C0EE6"/>
    <w:rsid w:val="001C105D"/>
    <w:rsid w:val="001C1464"/>
    <w:rsid w:val="001C149C"/>
    <w:rsid w:val="001C21AC"/>
    <w:rsid w:val="001C29B5"/>
    <w:rsid w:val="001C2AFB"/>
    <w:rsid w:val="001C471A"/>
    <w:rsid w:val="001C47BA"/>
    <w:rsid w:val="001C59EA"/>
    <w:rsid w:val="001C5C32"/>
    <w:rsid w:val="001C6294"/>
    <w:rsid w:val="001D021C"/>
    <w:rsid w:val="001D0321"/>
    <w:rsid w:val="001D2043"/>
    <w:rsid w:val="001D27D4"/>
    <w:rsid w:val="001D2C61"/>
    <w:rsid w:val="001D406C"/>
    <w:rsid w:val="001D41EE"/>
    <w:rsid w:val="001D5239"/>
    <w:rsid w:val="001D59EA"/>
    <w:rsid w:val="001D5C8F"/>
    <w:rsid w:val="001E0092"/>
    <w:rsid w:val="001E0219"/>
    <w:rsid w:val="001E0380"/>
    <w:rsid w:val="001E13B1"/>
    <w:rsid w:val="001E1EF2"/>
    <w:rsid w:val="001E3970"/>
    <w:rsid w:val="001E39A7"/>
    <w:rsid w:val="001E636A"/>
    <w:rsid w:val="001F0A5B"/>
    <w:rsid w:val="001F366C"/>
    <w:rsid w:val="001F3723"/>
    <w:rsid w:val="001F3A19"/>
    <w:rsid w:val="001F44AD"/>
    <w:rsid w:val="001F512B"/>
    <w:rsid w:val="00200D08"/>
    <w:rsid w:val="00200F57"/>
    <w:rsid w:val="002017CD"/>
    <w:rsid w:val="00202368"/>
    <w:rsid w:val="0020288E"/>
    <w:rsid w:val="00204E45"/>
    <w:rsid w:val="00205466"/>
    <w:rsid w:val="0020727C"/>
    <w:rsid w:val="002077B0"/>
    <w:rsid w:val="00210CA0"/>
    <w:rsid w:val="00211C69"/>
    <w:rsid w:val="00215F5F"/>
    <w:rsid w:val="0021630F"/>
    <w:rsid w:val="00216B61"/>
    <w:rsid w:val="00216C9A"/>
    <w:rsid w:val="00216D32"/>
    <w:rsid w:val="00217FB3"/>
    <w:rsid w:val="002216B6"/>
    <w:rsid w:val="00221C04"/>
    <w:rsid w:val="00222BBB"/>
    <w:rsid w:val="0022366F"/>
    <w:rsid w:val="00224173"/>
    <w:rsid w:val="00224EB9"/>
    <w:rsid w:val="00225B54"/>
    <w:rsid w:val="00225C6E"/>
    <w:rsid w:val="0022612C"/>
    <w:rsid w:val="00226B3F"/>
    <w:rsid w:val="00232AEC"/>
    <w:rsid w:val="00232CCB"/>
    <w:rsid w:val="0023404A"/>
    <w:rsid w:val="00234467"/>
    <w:rsid w:val="002346C2"/>
    <w:rsid w:val="002358ED"/>
    <w:rsid w:val="00237D8D"/>
    <w:rsid w:val="0024109F"/>
    <w:rsid w:val="00241DA2"/>
    <w:rsid w:val="002433E0"/>
    <w:rsid w:val="002464CC"/>
    <w:rsid w:val="002470D9"/>
    <w:rsid w:val="0024736A"/>
    <w:rsid w:val="00247FEE"/>
    <w:rsid w:val="002506A9"/>
    <w:rsid w:val="00250E7D"/>
    <w:rsid w:val="002519E6"/>
    <w:rsid w:val="00252BEF"/>
    <w:rsid w:val="00254609"/>
    <w:rsid w:val="002548A8"/>
    <w:rsid w:val="00255209"/>
    <w:rsid w:val="00255CAA"/>
    <w:rsid w:val="002565D5"/>
    <w:rsid w:val="002570C3"/>
    <w:rsid w:val="00257CD5"/>
    <w:rsid w:val="00261049"/>
    <w:rsid w:val="00261D7D"/>
    <w:rsid w:val="002622C0"/>
    <w:rsid w:val="00262934"/>
    <w:rsid w:val="002650F6"/>
    <w:rsid w:val="00265FE8"/>
    <w:rsid w:val="002663BE"/>
    <w:rsid w:val="00272532"/>
    <w:rsid w:val="002725F9"/>
    <w:rsid w:val="00272A90"/>
    <w:rsid w:val="00276424"/>
    <w:rsid w:val="00276F45"/>
    <w:rsid w:val="002778AE"/>
    <w:rsid w:val="0028004B"/>
    <w:rsid w:val="00280589"/>
    <w:rsid w:val="00282182"/>
    <w:rsid w:val="0028269A"/>
    <w:rsid w:val="00282A8D"/>
    <w:rsid w:val="00282B84"/>
    <w:rsid w:val="00283590"/>
    <w:rsid w:val="00285804"/>
    <w:rsid w:val="00285D55"/>
    <w:rsid w:val="00286973"/>
    <w:rsid w:val="00286F3B"/>
    <w:rsid w:val="00290005"/>
    <w:rsid w:val="00290D2D"/>
    <w:rsid w:val="00293A58"/>
    <w:rsid w:val="00293D42"/>
    <w:rsid w:val="00294E70"/>
    <w:rsid w:val="00296066"/>
    <w:rsid w:val="002965B3"/>
    <w:rsid w:val="002970FC"/>
    <w:rsid w:val="002971B2"/>
    <w:rsid w:val="0029726F"/>
    <w:rsid w:val="002A0326"/>
    <w:rsid w:val="002A1924"/>
    <w:rsid w:val="002A19CB"/>
    <w:rsid w:val="002A3225"/>
    <w:rsid w:val="002A3589"/>
    <w:rsid w:val="002A3F6E"/>
    <w:rsid w:val="002A47AB"/>
    <w:rsid w:val="002A5468"/>
    <w:rsid w:val="002A5F90"/>
    <w:rsid w:val="002A70B7"/>
    <w:rsid w:val="002A7420"/>
    <w:rsid w:val="002B00BF"/>
    <w:rsid w:val="002B02EF"/>
    <w:rsid w:val="002B0408"/>
    <w:rsid w:val="002B066B"/>
    <w:rsid w:val="002B0B08"/>
    <w:rsid w:val="002B0F12"/>
    <w:rsid w:val="002B1308"/>
    <w:rsid w:val="002B1BC2"/>
    <w:rsid w:val="002B2576"/>
    <w:rsid w:val="002B4554"/>
    <w:rsid w:val="002B5497"/>
    <w:rsid w:val="002C1DEC"/>
    <w:rsid w:val="002C30A6"/>
    <w:rsid w:val="002C30CC"/>
    <w:rsid w:val="002C439B"/>
    <w:rsid w:val="002C5300"/>
    <w:rsid w:val="002C6588"/>
    <w:rsid w:val="002C72D8"/>
    <w:rsid w:val="002D085D"/>
    <w:rsid w:val="002D09A8"/>
    <w:rsid w:val="002D0D10"/>
    <w:rsid w:val="002D11FA"/>
    <w:rsid w:val="002D1203"/>
    <w:rsid w:val="002D13EB"/>
    <w:rsid w:val="002D3493"/>
    <w:rsid w:val="002D3EEA"/>
    <w:rsid w:val="002D4814"/>
    <w:rsid w:val="002D4D3E"/>
    <w:rsid w:val="002D637D"/>
    <w:rsid w:val="002D7355"/>
    <w:rsid w:val="002D785D"/>
    <w:rsid w:val="002D78D6"/>
    <w:rsid w:val="002D7A5F"/>
    <w:rsid w:val="002E0728"/>
    <w:rsid w:val="002E0DDF"/>
    <w:rsid w:val="002E12DC"/>
    <w:rsid w:val="002E1451"/>
    <w:rsid w:val="002E1985"/>
    <w:rsid w:val="002E1B3B"/>
    <w:rsid w:val="002E2906"/>
    <w:rsid w:val="002E3814"/>
    <w:rsid w:val="002E43F1"/>
    <w:rsid w:val="002E4FEA"/>
    <w:rsid w:val="002E5635"/>
    <w:rsid w:val="002E64C3"/>
    <w:rsid w:val="002E6A0D"/>
    <w:rsid w:val="002E6A2C"/>
    <w:rsid w:val="002E6C19"/>
    <w:rsid w:val="002E6D9A"/>
    <w:rsid w:val="002F04D3"/>
    <w:rsid w:val="002F1D8C"/>
    <w:rsid w:val="002F21DA"/>
    <w:rsid w:val="002F2D2E"/>
    <w:rsid w:val="002F3AE0"/>
    <w:rsid w:val="002F3C65"/>
    <w:rsid w:val="00300E5B"/>
    <w:rsid w:val="00301F39"/>
    <w:rsid w:val="0030217B"/>
    <w:rsid w:val="003047FB"/>
    <w:rsid w:val="0030482F"/>
    <w:rsid w:val="0030589A"/>
    <w:rsid w:val="003065F6"/>
    <w:rsid w:val="00306625"/>
    <w:rsid w:val="00307A91"/>
    <w:rsid w:val="00310DE9"/>
    <w:rsid w:val="00313849"/>
    <w:rsid w:val="00314648"/>
    <w:rsid w:val="00314BBA"/>
    <w:rsid w:val="003152C5"/>
    <w:rsid w:val="00315EAC"/>
    <w:rsid w:val="00316CD3"/>
    <w:rsid w:val="00317693"/>
    <w:rsid w:val="0032075F"/>
    <w:rsid w:val="0032142F"/>
    <w:rsid w:val="00321658"/>
    <w:rsid w:val="00323881"/>
    <w:rsid w:val="00325148"/>
    <w:rsid w:val="00325926"/>
    <w:rsid w:val="00326F06"/>
    <w:rsid w:val="00327A8A"/>
    <w:rsid w:val="00331164"/>
    <w:rsid w:val="003317F5"/>
    <w:rsid w:val="003319BA"/>
    <w:rsid w:val="003356D8"/>
    <w:rsid w:val="00336610"/>
    <w:rsid w:val="003421F1"/>
    <w:rsid w:val="003427E0"/>
    <w:rsid w:val="00343F73"/>
    <w:rsid w:val="00345060"/>
    <w:rsid w:val="003452A4"/>
    <w:rsid w:val="0034685C"/>
    <w:rsid w:val="00346E46"/>
    <w:rsid w:val="0035323B"/>
    <w:rsid w:val="00353B6F"/>
    <w:rsid w:val="00354521"/>
    <w:rsid w:val="00356937"/>
    <w:rsid w:val="003609D2"/>
    <w:rsid w:val="00360D1A"/>
    <w:rsid w:val="003613C3"/>
    <w:rsid w:val="00363F22"/>
    <w:rsid w:val="003647A6"/>
    <w:rsid w:val="0036591F"/>
    <w:rsid w:val="0036609D"/>
    <w:rsid w:val="00366AB3"/>
    <w:rsid w:val="003675BA"/>
    <w:rsid w:val="00372EEA"/>
    <w:rsid w:val="003744AD"/>
    <w:rsid w:val="00375564"/>
    <w:rsid w:val="00376BCE"/>
    <w:rsid w:val="00383191"/>
    <w:rsid w:val="003834C7"/>
    <w:rsid w:val="00383C3F"/>
    <w:rsid w:val="00384129"/>
    <w:rsid w:val="00385F38"/>
    <w:rsid w:val="00385FC9"/>
    <w:rsid w:val="00386DED"/>
    <w:rsid w:val="00386EE4"/>
    <w:rsid w:val="00387F24"/>
    <w:rsid w:val="0039027B"/>
    <w:rsid w:val="00390A65"/>
    <w:rsid w:val="003910B2"/>
    <w:rsid w:val="003912C2"/>
    <w:rsid w:val="003912E7"/>
    <w:rsid w:val="003923E2"/>
    <w:rsid w:val="00392DCB"/>
    <w:rsid w:val="0039389D"/>
    <w:rsid w:val="00393947"/>
    <w:rsid w:val="00394784"/>
    <w:rsid w:val="0039654E"/>
    <w:rsid w:val="003970FB"/>
    <w:rsid w:val="00397F52"/>
    <w:rsid w:val="003A0483"/>
    <w:rsid w:val="003A2275"/>
    <w:rsid w:val="003A402E"/>
    <w:rsid w:val="003A416D"/>
    <w:rsid w:val="003A5081"/>
    <w:rsid w:val="003A5B2D"/>
    <w:rsid w:val="003A6A4F"/>
    <w:rsid w:val="003A7088"/>
    <w:rsid w:val="003B00DF"/>
    <w:rsid w:val="003B0420"/>
    <w:rsid w:val="003B1275"/>
    <w:rsid w:val="003B1778"/>
    <w:rsid w:val="003B47FF"/>
    <w:rsid w:val="003B7861"/>
    <w:rsid w:val="003B7B4C"/>
    <w:rsid w:val="003C0346"/>
    <w:rsid w:val="003C046C"/>
    <w:rsid w:val="003C11CB"/>
    <w:rsid w:val="003C1C59"/>
    <w:rsid w:val="003C6425"/>
    <w:rsid w:val="003C75F3"/>
    <w:rsid w:val="003C78A3"/>
    <w:rsid w:val="003D122E"/>
    <w:rsid w:val="003D19FF"/>
    <w:rsid w:val="003D2D1C"/>
    <w:rsid w:val="003D33FF"/>
    <w:rsid w:val="003D4F1D"/>
    <w:rsid w:val="003D5105"/>
    <w:rsid w:val="003D5902"/>
    <w:rsid w:val="003D5B1D"/>
    <w:rsid w:val="003D7021"/>
    <w:rsid w:val="003D7E01"/>
    <w:rsid w:val="003E08C0"/>
    <w:rsid w:val="003E183E"/>
    <w:rsid w:val="003E1867"/>
    <w:rsid w:val="003E1B6F"/>
    <w:rsid w:val="003E330D"/>
    <w:rsid w:val="003E5729"/>
    <w:rsid w:val="003E7E39"/>
    <w:rsid w:val="003F12ED"/>
    <w:rsid w:val="003F1354"/>
    <w:rsid w:val="003F4BB9"/>
    <w:rsid w:val="003F4EE0"/>
    <w:rsid w:val="003F607B"/>
    <w:rsid w:val="003F707A"/>
    <w:rsid w:val="003F752D"/>
    <w:rsid w:val="003F75B4"/>
    <w:rsid w:val="00400B74"/>
    <w:rsid w:val="004011C1"/>
    <w:rsid w:val="00401214"/>
    <w:rsid w:val="00402153"/>
    <w:rsid w:val="00402FC1"/>
    <w:rsid w:val="0040414F"/>
    <w:rsid w:val="004068E6"/>
    <w:rsid w:val="00410944"/>
    <w:rsid w:val="00410BAF"/>
    <w:rsid w:val="00411C73"/>
    <w:rsid w:val="00413B25"/>
    <w:rsid w:val="00415F1B"/>
    <w:rsid w:val="00417619"/>
    <w:rsid w:val="00417D81"/>
    <w:rsid w:val="00422896"/>
    <w:rsid w:val="00425082"/>
    <w:rsid w:val="004274CE"/>
    <w:rsid w:val="004309A5"/>
    <w:rsid w:val="00430BF6"/>
    <w:rsid w:val="00431DEB"/>
    <w:rsid w:val="00434A4C"/>
    <w:rsid w:val="004353CF"/>
    <w:rsid w:val="00437037"/>
    <w:rsid w:val="00441C6E"/>
    <w:rsid w:val="00442978"/>
    <w:rsid w:val="00442FDB"/>
    <w:rsid w:val="004430E8"/>
    <w:rsid w:val="00444962"/>
    <w:rsid w:val="00444A0C"/>
    <w:rsid w:val="00446B29"/>
    <w:rsid w:val="00447279"/>
    <w:rsid w:val="004479F4"/>
    <w:rsid w:val="004500C9"/>
    <w:rsid w:val="004508FE"/>
    <w:rsid w:val="00450F5F"/>
    <w:rsid w:val="0045269A"/>
    <w:rsid w:val="00452836"/>
    <w:rsid w:val="00452BEC"/>
    <w:rsid w:val="00453F9A"/>
    <w:rsid w:val="00454949"/>
    <w:rsid w:val="0045636D"/>
    <w:rsid w:val="004565C3"/>
    <w:rsid w:val="00456744"/>
    <w:rsid w:val="00460A9C"/>
    <w:rsid w:val="004629C2"/>
    <w:rsid w:val="0046320F"/>
    <w:rsid w:val="00466C92"/>
    <w:rsid w:val="00471E91"/>
    <w:rsid w:val="00471EBF"/>
    <w:rsid w:val="00474675"/>
    <w:rsid w:val="0047470C"/>
    <w:rsid w:val="00485B2D"/>
    <w:rsid w:val="0048700E"/>
    <w:rsid w:val="00490664"/>
    <w:rsid w:val="00490CC1"/>
    <w:rsid w:val="00491DCE"/>
    <w:rsid w:val="004A0435"/>
    <w:rsid w:val="004A3397"/>
    <w:rsid w:val="004A35F9"/>
    <w:rsid w:val="004A3712"/>
    <w:rsid w:val="004A38A8"/>
    <w:rsid w:val="004A4461"/>
    <w:rsid w:val="004A5554"/>
    <w:rsid w:val="004A5730"/>
    <w:rsid w:val="004A5AB7"/>
    <w:rsid w:val="004A611D"/>
    <w:rsid w:val="004A61AF"/>
    <w:rsid w:val="004B0BA4"/>
    <w:rsid w:val="004B217E"/>
    <w:rsid w:val="004B24C1"/>
    <w:rsid w:val="004B4399"/>
    <w:rsid w:val="004B54D7"/>
    <w:rsid w:val="004B5D3B"/>
    <w:rsid w:val="004B6088"/>
    <w:rsid w:val="004B6B23"/>
    <w:rsid w:val="004B7AFF"/>
    <w:rsid w:val="004B7E59"/>
    <w:rsid w:val="004C0030"/>
    <w:rsid w:val="004C069D"/>
    <w:rsid w:val="004C1237"/>
    <w:rsid w:val="004C292F"/>
    <w:rsid w:val="004C2EA5"/>
    <w:rsid w:val="004C581B"/>
    <w:rsid w:val="004C597D"/>
    <w:rsid w:val="004C5DF5"/>
    <w:rsid w:val="004D102B"/>
    <w:rsid w:val="004D3673"/>
    <w:rsid w:val="004D4918"/>
    <w:rsid w:val="004D4CE4"/>
    <w:rsid w:val="004E15F8"/>
    <w:rsid w:val="004E217F"/>
    <w:rsid w:val="004E3765"/>
    <w:rsid w:val="004E487C"/>
    <w:rsid w:val="004F05F2"/>
    <w:rsid w:val="004F4D75"/>
    <w:rsid w:val="004F53A0"/>
    <w:rsid w:val="004F5435"/>
    <w:rsid w:val="004F66A6"/>
    <w:rsid w:val="00501436"/>
    <w:rsid w:val="00503A04"/>
    <w:rsid w:val="005053DC"/>
    <w:rsid w:val="00505B27"/>
    <w:rsid w:val="005065D8"/>
    <w:rsid w:val="005065F5"/>
    <w:rsid w:val="005071B3"/>
    <w:rsid w:val="00507772"/>
    <w:rsid w:val="00510280"/>
    <w:rsid w:val="00512224"/>
    <w:rsid w:val="005123AB"/>
    <w:rsid w:val="00513B3B"/>
    <w:rsid w:val="00513D73"/>
    <w:rsid w:val="00514A43"/>
    <w:rsid w:val="00515558"/>
    <w:rsid w:val="005166C6"/>
    <w:rsid w:val="005174E5"/>
    <w:rsid w:val="00520741"/>
    <w:rsid w:val="00521485"/>
    <w:rsid w:val="00522393"/>
    <w:rsid w:val="00522620"/>
    <w:rsid w:val="005228C6"/>
    <w:rsid w:val="00525224"/>
    <w:rsid w:val="00525656"/>
    <w:rsid w:val="00526D95"/>
    <w:rsid w:val="00530A97"/>
    <w:rsid w:val="00530A9B"/>
    <w:rsid w:val="005316C7"/>
    <w:rsid w:val="005338F3"/>
    <w:rsid w:val="00534C02"/>
    <w:rsid w:val="005424E9"/>
    <w:rsid w:val="0054264B"/>
    <w:rsid w:val="00543786"/>
    <w:rsid w:val="005437DD"/>
    <w:rsid w:val="0054520D"/>
    <w:rsid w:val="00546A2A"/>
    <w:rsid w:val="00547B70"/>
    <w:rsid w:val="00550B14"/>
    <w:rsid w:val="005523AA"/>
    <w:rsid w:val="005530D3"/>
    <w:rsid w:val="005533D7"/>
    <w:rsid w:val="00553490"/>
    <w:rsid w:val="00554058"/>
    <w:rsid w:val="005555C8"/>
    <w:rsid w:val="0055584B"/>
    <w:rsid w:val="00556819"/>
    <w:rsid w:val="00557055"/>
    <w:rsid w:val="00561600"/>
    <w:rsid w:val="00561A5A"/>
    <w:rsid w:val="0056308A"/>
    <w:rsid w:val="005632D6"/>
    <w:rsid w:val="0056397F"/>
    <w:rsid w:val="00563E13"/>
    <w:rsid w:val="00565275"/>
    <w:rsid w:val="005703DE"/>
    <w:rsid w:val="00571468"/>
    <w:rsid w:val="005715E0"/>
    <w:rsid w:val="0057191D"/>
    <w:rsid w:val="00571B03"/>
    <w:rsid w:val="00572CC5"/>
    <w:rsid w:val="005733A3"/>
    <w:rsid w:val="00574E2B"/>
    <w:rsid w:val="00576092"/>
    <w:rsid w:val="005764F1"/>
    <w:rsid w:val="00580529"/>
    <w:rsid w:val="00583260"/>
    <w:rsid w:val="0058377F"/>
    <w:rsid w:val="005842FC"/>
    <w:rsid w:val="0058464E"/>
    <w:rsid w:val="005861A8"/>
    <w:rsid w:val="00586B16"/>
    <w:rsid w:val="005914DF"/>
    <w:rsid w:val="005915F2"/>
    <w:rsid w:val="00591DF2"/>
    <w:rsid w:val="00592776"/>
    <w:rsid w:val="005968C2"/>
    <w:rsid w:val="00596F5B"/>
    <w:rsid w:val="005A01CB"/>
    <w:rsid w:val="005A0954"/>
    <w:rsid w:val="005A1FEE"/>
    <w:rsid w:val="005A240A"/>
    <w:rsid w:val="005A4754"/>
    <w:rsid w:val="005A47F7"/>
    <w:rsid w:val="005A58FF"/>
    <w:rsid w:val="005A5D94"/>
    <w:rsid w:val="005A5EAF"/>
    <w:rsid w:val="005A64C0"/>
    <w:rsid w:val="005A7535"/>
    <w:rsid w:val="005B2087"/>
    <w:rsid w:val="005B2AEC"/>
    <w:rsid w:val="005B2B52"/>
    <w:rsid w:val="005B36A6"/>
    <w:rsid w:val="005B3C11"/>
    <w:rsid w:val="005B3F4D"/>
    <w:rsid w:val="005B6D30"/>
    <w:rsid w:val="005B75AD"/>
    <w:rsid w:val="005C0797"/>
    <w:rsid w:val="005C0884"/>
    <w:rsid w:val="005C0B32"/>
    <w:rsid w:val="005C0B5A"/>
    <w:rsid w:val="005C1189"/>
    <w:rsid w:val="005C1C28"/>
    <w:rsid w:val="005C1EEA"/>
    <w:rsid w:val="005C234D"/>
    <w:rsid w:val="005C3488"/>
    <w:rsid w:val="005C36E1"/>
    <w:rsid w:val="005C4351"/>
    <w:rsid w:val="005C476D"/>
    <w:rsid w:val="005C4BB6"/>
    <w:rsid w:val="005C4CCB"/>
    <w:rsid w:val="005C6DB5"/>
    <w:rsid w:val="005C78F9"/>
    <w:rsid w:val="005D17D7"/>
    <w:rsid w:val="005D1830"/>
    <w:rsid w:val="005D251A"/>
    <w:rsid w:val="005D2986"/>
    <w:rsid w:val="005D2F82"/>
    <w:rsid w:val="005D42E2"/>
    <w:rsid w:val="005D7976"/>
    <w:rsid w:val="005D7A76"/>
    <w:rsid w:val="005E06A8"/>
    <w:rsid w:val="005E19E7"/>
    <w:rsid w:val="005E2418"/>
    <w:rsid w:val="005E30D5"/>
    <w:rsid w:val="005E408A"/>
    <w:rsid w:val="005E73E0"/>
    <w:rsid w:val="005F163E"/>
    <w:rsid w:val="005F31C7"/>
    <w:rsid w:val="005F3CD4"/>
    <w:rsid w:val="005F6282"/>
    <w:rsid w:val="006003E4"/>
    <w:rsid w:val="00601DBD"/>
    <w:rsid w:val="00602533"/>
    <w:rsid w:val="00605BC9"/>
    <w:rsid w:val="00607057"/>
    <w:rsid w:val="00610CBB"/>
    <w:rsid w:val="006137BA"/>
    <w:rsid w:val="00613B81"/>
    <w:rsid w:val="00614151"/>
    <w:rsid w:val="00615FA0"/>
    <w:rsid w:val="00616CF2"/>
    <w:rsid w:val="0061716C"/>
    <w:rsid w:val="00623339"/>
    <w:rsid w:val="006236E8"/>
    <w:rsid w:val="00623E91"/>
    <w:rsid w:val="006243A1"/>
    <w:rsid w:val="00624779"/>
    <w:rsid w:val="006248BC"/>
    <w:rsid w:val="00624E09"/>
    <w:rsid w:val="00624FB3"/>
    <w:rsid w:val="00626EF9"/>
    <w:rsid w:val="006304C8"/>
    <w:rsid w:val="00632E56"/>
    <w:rsid w:val="0063346A"/>
    <w:rsid w:val="00633EF5"/>
    <w:rsid w:val="00635983"/>
    <w:rsid w:val="00635CBA"/>
    <w:rsid w:val="00635F92"/>
    <w:rsid w:val="00637969"/>
    <w:rsid w:val="00637DCC"/>
    <w:rsid w:val="00641094"/>
    <w:rsid w:val="006414F0"/>
    <w:rsid w:val="0064302D"/>
    <w:rsid w:val="0064338B"/>
    <w:rsid w:val="00646542"/>
    <w:rsid w:val="0064769F"/>
    <w:rsid w:val="00647A71"/>
    <w:rsid w:val="006504F4"/>
    <w:rsid w:val="00651033"/>
    <w:rsid w:val="00652066"/>
    <w:rsid w:val="00652264"/>
    <w:rsid w:val="00654010"/>
    <w:rsid w:val="00654BC9"/>
    <w:rsid w:val="006552FD"/>
    <w:rsid w:val="00656B2C"/>
    <w:rsid w:val="006606BB"/>
    <w:rsid w:val="00660B0C"/>
    <w:rsid w:val="00661BEA"/>
    <w:rsid w:val="006629D2"/>
    <w:rsid w:val="00663AF3"/>
    <w:rsid w:val="0066408E"/>
    <w:rsid w:val="006664F5"/>
    <w:rsid w:val="00666B6C"/>
    <w:rsid w:val="0067002D"/>
    <w:rsid w:val="006723AA"/>
    <w:rsid w:val="00672DA9"/>
    <w:rsid w:val="00673C47"/>
    <w:rsid w:val="00673E89"/>
    <w:rsid w:val="00675B2B"/>
    <w:rsid w:val="006767A1"/>
    <w:rsid w:val="00676EF7"/>
    <w:rsid w:val="00676F65"/>
    <w:rsid w:val="00676FD1"/>
    <w:rsid w:val="00680DAD"/>
    <w:rsid w:val="00681368"/>
    <w:rsid w:val="006816F5"/>
    <w:rsid w:val="00681E51"/>
    <w:rsid w:val="00682682"/>
    <w:rsid w:val="00682702"/>
    <w:rsid w:val="00683661"/>
    <w:rsid w:val="0068482A"/>
    <w:rsid w:val="00692368"/>
    <w:rsid w:val="00697439"/>
    <w:rsid w:val="006A0141"/>
    <w:rsid w:val="006A060A"/>
    <w:rsid w:val="006A1E75"/>
    <w:rsid w:val="006A2EBC"/>
    <w:rsid w:val="006A43D1"/>
    <w:rsid w:val="006A499F"/>
    <w:rsid w:val="006A534C"/>
    <w:rsid w:val="006A5EA0"/>
    <w:rsid w:val="006A7137"/>
    <w:rsid w:val="006A783B"/>
    <w:rsid w:val="006A7B33"/>
    <w:rsid w:val="006B0AFF"/>
    <w:rsid w:val="006B1453"/>
    <w:rsid w:val="006B1B6A"/>
    <w:rsid w:val="006B1EE3"/>
    <w:rsid w:val="006B283A"/>
    <w:rsid w:val="006B2DEB"/>
    <w:rsid w:val="006B45EB"/>
    <w:rsid w:val="006B4E13"/>
    <w:rsid w:val="006B63A8"/>
    <w:rsid w:val="006B6ACF"/>
    <w:rsid w:val="006B75DD"/>
    <w:rsid w:val="006C0C22"/>
    <w:rsid w:val="006C0E6E"/>
    <w:rsid w:val="006C1319"/>
    <w:rsid w:val="006C135F"/>
    <w:rsid w:val="006C265C"/>
    <w:rsid w:val="006C541D"/>
    <w:rsid w:val="006C67E0"/>
    <w:rsid w:val="006C7ABA"/>
    <w:rsid w:val="006D0D60"/>
    <w:rsid w:val="006D1122"/>
    <w:rsid w:val="006D16BF"/>
    <w:rsid w:val="006D2329"/>
    <w:rsid w:val="006D3A6B"/>
    <w:rsid w:val="006D3C00"/>
    <w:rsid w:val="006D5BE6"/>
    <w:rsid w:val="006D725B"/>
    <w:rsid w:val="006E0E7F"/>
    <w:rsid w:val="006E1114"/>
    <w:rsid w:val="006E1744"/>
    <w:rsid w:val="006E3655"/>
    <w:rsid w:val="006E3675"/>
    <w:rsid w:val="006E4A7F"/>
    <w:rsid w:val="006E56E0"/>
    <w:rsid w:val="006F068A"/>
    <w:rsid w:val="006F1E2E"/>
    <w:rsid w:val="006F1FD1"/>
    <w:rsid w:val="006F337B"/>
    <w:rsid w:val="006F3D23"/>
    <w:rsid w:val="006F3EC2"/>
    <w:rsid w:val="006F470E"/>
    <w:rsid w:val="006F4AB8"/>
    <w:rsid w:val="006F4BFE"/>
    <w:rsid w:val="006F4E1F"/>
    <w:rsid w:val="006F535E"/>
    <w:rsid w:val="006F5E0D"/>
    <w:rsid w:val="006F6A7F"/>
    <w:rsid w:val="006F6FEC"/>
    <w:rsid w:val="006F7574"/>
    <w:rsid w:val="006F7FC4"/>
    <w:rsid w:val="007001A8"/>
    <w:rsid w:val="00700C80"/>
    <w:rsid w:val="00701A6B"/>
    <w:rsid w:val="00704B94"/>
    <w:rsid w:val="00704DF6"/>
    <w:rsid w:val="0070651C"/>
    <w:rsid w:val="00706CBD"/>
    <w:rsid w:val="007116BB"/>
    <w:rsid w:val="0071240B"/>
    <w:rsid w:val="007132A3"/>
    <w:rsid w:val="0071369B"/>
    <w:rsid w:val="0071564E"/>
    <w:rsid w:val="00716421"/>
    <w:rsid w:val="007217E0"/>
    <w:rsid w:val="00722A00"/>
    <w:rsid w:val="007232F8"/>
    <w:rsid w:val="007238B9"/>
    <w:rsid w:val="007243CD"/>
    <w:rsid w:val="00724EFB"/>
    <w:rsid w:val="007252D0"/>
    <w:rsid w:val="00726A1E"/>
    <w:rsid w:val="007278FE"/>
    <w:rsid w:val="00730DF8"/>
    <w:rsid w:val="00731F69"/>
    <w:rsid w:val="00732753"/>
    <w:rsid w:val="007333F7"/>
    <w:rsid w:val="007343A3"/>
    <w:rsid w:val="0073442C"/>
    <w:rsid w:val="007358CD"/>
    <w:rsid w:val="0073619D"/>
    <w:rsid w:val="0073657A"/>
    <w:rsid w:val="00740533"/>
    <w:rsid w:val="00740996"/>
    <w:rsid w:val="00741272"/>
    <w:rsid w:val="007419C3"/>
    <w:rsid w:val="0074226B"/>
    <w:rsid w:val="00743BBE"/>
    <w:rsid w:val="00744B69"/>
    <w:rsid w:val="00746202"/>
    <w:rsid w:val="007467A7"/>
    <w:rsid w:val="007469DD"/>
    <w:rsid w:val="0074741B"/>
    <w:rsid w:val="0074759E"/>
    <w:rsid w:val="007478EA"/>
    <w:rsid w:val="00747F71"/>
    <w:rsid w:val="00750061"/>
    <w:rsid w:val="007504FF"/>
    <w:rsid w:val="0075155C"/>
    <w:rsid w:val="00751DF3"/>
    <w:rsid w:val="007534AB"/>
    <w:rsid w:val="0075415C"/>
    <w:rsid w:val="007553B3"/>
    <w:rsid w:val="00756D0A"/>
    <w:rsid w:val="0075706C"/>
    <w:rsid w:val="007579FA"/>
    <w:rsid w:val="00760B1B"/>
    <w:rsid w:val="0076196D"/>
    <w:rsid w:val="00761B47"/>
    <w:rsid w:val="00761C35"/>
    <w:rsid w:val="00762D48"/>
    <w:rsid w:val="007630CB"/>
    <w:rsid w:val="0076345C"/>
    <w:rsid w:val="00763502"/>
    <w:rsid w:val="00764211"/>
    <w:rsid w:val="00770E43"/>
    <w:rsid w:val="00770E6E"/>
    <w:rsid w:val="0077197B"/>
    <w:rsid w:val="00772739"/>
    <w:rsid w:val="0077280A"/>
    <w:rsid w:val="00773777"/>
    <w:rsid w:val="0077536A"/>
    <w:rsid w:val="0078056B"/>
    <w:rsid w:val="00780AC3"/>
    <w:rsid w:val="00782DF7"/>
    <w:rsid w:val="007834B4"/>
    <w:rsid w:val="00784465"/>
    <w:rsid w:val="00785696"/>
    <w:rsid w:val="0078648C"/>
    <w:rsid w:val="00790ACA"/>
    <w:rsid w:val="007913AB"/>
    <w:rsid w:val="007914F7"/>
    <w:rsid w:val="00791905"/>
    <w:rsid w:val="00792FB3"/>
    <w:rsid w:val="00793324"/>
    <w:rsid w:val="007934BB"/>
    <w:rsid w:val="007A01F2"/>
    <w:rsid w:val="007A1804"/>
    <w:rsid w:val="007A1CAC"/>
    <w:rsid w:val="007A5743"/>
    <w:rsid w:val="007A643B"/>
    <w:rsid w:val="007A698C"/>
    <w:rsid w:val="007A7DB1"/>
    <w:rsid w:val="007B1625"/>
    <w:rsid w:val="007B2114"/>
    <w:rsid w:val="007B2654"/>
    <w:rsid w:val="007B2829"/>
    <w:rsid w:val="007B336E"/>
    <w:rsid w:val="007B3D3D"/>
    <w:rsid w:val="007B3DFE"/>
    <w:rsid w:val="007B3F20"/>
    <w:rsid w:val="007B53FB"/>
    <w:rsid w:val="007B706E"/>
    <w:rsid w:val="007B71EB"/>
    <w:rsid w:val="007B74ED"/>
    <w:rsid w:val="007B7D6C"/>
    <w:rsid w:val="007C1B76"/>
    <w:rsid w:val="007C1E5D"/>
    <w:rsid w:val="007C483E"/>
    <w:rsid w:val="007C6205"/>
    <w:rsid w:val="007C686A"/>
    <w:rsid w:val="007C728E"/>
    <w:rsid w:val="007D2C53"/>
    <w:rsid w:val="007D3828"/>
    <w:rsid w:val="007D3ABE"/>
    <w:rsid w:val="007D3D60"/>
    <w:rsid w:val="007D4A95"/>
    <w:rsid w:val="007D597E"/>
    <w:rsid w:val="007D656D"/>
    <w:rsid w:val="007D6AFB"/>
    <w:rsid w:val="007E1482"/>
    <w:rsid w:val="007E1980"/>
    <w:rsid w:val="007E1E19"/>
    <w:rsid w:val="007E2D2B"/>
    <w:rsid w:val="007E4B76"/>
    <w:rsid w:val="007E5528"/>
    <w:rsid w:val="007E5D48"/>
    <w:rsid w:val="007E5EA8"/>
    <w:rsid w:val="007E68B2"/>
    <w:rsid w:val="007F04B4"/>
    <w:rsid w:val="007F0CF1"/>
    <w:rsid w:val="007F0D14"/>
    <w:rsid w:val="007F12A5"/>
    <w:rsid w:val="007F18AC"/>
    <w:rsid w:val="007F24E4"/>
    <w:rsid w:val="007F3073"/>
    <w:rsid w:val="007F355F"/>
    <w:rsid w:val="007F46CD"/>
    <w:rsid w:val="007F4B3C"/>
    <w:rsid w:val="007F4CF1"/>
    <w:rsid w:val="007F619C"/>
    <w:rsid w:val="007F758D"/>
    <w:rsid w:val="007F7D52"/>
    <w:rsid w:val="0080220F"/>
    <w:rsid w:val="00802239"/>
    <w:rsid w:val="00804DB9"/>
    <w:rsid w:val="008057A5"/>
    <w:rsid w:val="0080654C"/>
    <w:rsid w:val="00806E69"/>
    <w:rsid w:val="008071A7"/>
    <w:rsid w:val="008071C6"/>
    <w:rsid w:val="00807F5A"/>
    <w:rsid w:val="00810492"/>
    <w:rsid w:val="00810B99"/>
    <w:rsid w:val="00811544"/>
    <w:rsid w:val="00811C6F"/>
    <w:rsid w:val="00811F8E"/>
    <w:rsid w:val="008142E8"/>
    <w:rsid w:val="008157BE"/>
    <w:rsid w:val="00815B21"/>
    <w:rsid w:val="00815E18"/>
    <w:rsid w:val="00816FF9"/>
    <w:rsid w:val="00817092"/>
    <w:rsid w:val="00817934"/>
    <w:rsid w:val="00817A00"/>
    <w:rsid w:val="00821595"/>
    <w:rsid w:val="00822DE5"/>
    <w:rsid w:val="00823ED5"/>
    <w:rsid w:val="008270B4"/>
    <w:rsid w:val="00831047"/>
    <w:rsid w:val="00831172"/>
    <w:rsid w:val="00831B47"/>
    <w:rsid w:val="00831B71"/>
    <w:rsid w:val="0083313B"/>
    <w:rsid w:val="00833366"/>
    <w:rsid w:val="00834A6A"/>
    <w:rsid w:val="00835DB3"/>
    <w:rsid w:val="00836107"/>
    <w:rsid w:val="0083617B"/>
    <w:rsid w:val="008364AF"/>
    <w:rsid w:val="00836837"/>
    <w:rsid w:val="008371BD"/>
    <w:rsid w:val="008373BD"/>
    <w:rsid w:val="00841607"/>
    <w:rsid w:val="008429CB"/>
    <w:rsid w:val="00843BFA"/>
    <w:rsid w:val="0084446D"/>
    <w:rsid w:val="008467A8"/>
    <w:rsid w:val="008476DF"/>
    <w:rsid w:val="008504A8"/>
    <w:rsid w:val="0085282E"/>
    <w:rsid w:val="008530F1"/>
    <w:rsid w:val="008542A2"/>
    <w:rsid w:val="00854F2F"/>
    <w:rsid w:val="00860DD9"/>
    <w:rsid w:val="00860E99"/>
    <w:rsid w:val="0086118A"/>
    <w:rsid w:val="00861534"/>
    <w:rsid w:val="00862D13"/>
    <w:rsid w:val="00866B24"/>
    <w:rsid w:val="00866EE7"/>
    <w:rsid w:val="0087198C"/>
    <w:rsid w:val="00872308"/>
    <w:rsid w:val="00872AF7"/>
    <w:rsid w:val="00872C1F"/>
    <w:rsid w:val="00873B42"/>
    <w:rsid w:val="00873CFE"/>
    <w:rsid w:val="00874181"/>
    <w:rsid w:val="00876F03"/>
    <w:rsid w:val="0088231B"/>
    <w:rsid w:val="00882496"/>
    <w:rsid w:val="008856D8"/>
    <w:rsid w:val="008857DE"/>
    <w:rsid w:val="00890C67"/>
    <w:rsid w:val="00890FBA"/>
    <w:rsid w:val="0089165A"/>
    <w:rsid w:val="00891BAE"/>
    <w:rsid w:val="00892E82"/>
    <w:rsid w:val="00893697"/>
    <w:rsid w:val="00894F44"/>
    <w:rsid w:val="00895F03"/>
    <w:rsid w:val="0089715B"/>
    <w:rsid w:val="008A08C8"/>
    <w:rsid w:val="008A156A"/>
    <w:rsid w:val="008A262E"/>
    <w:rsid w:val="008A287C"/>
    <w:rsid w:val="008A2A54"/>
    <w:rsid w:val="008A645E"/>
    <w:rsid w:val="008A745C"/>
    <w:rsid w:val="008A7543"/>
    <w:rsid w:val="008A7F66"/>
    <w:rsid w:val="008B57EC"/>
    <w:rsid w:val="008B641E"/>
    <w:rsid w:val="008C01F8"/>
    <w:rsid w:val="008C1B58"/>
    <w:rsid w:val="008C1FA9"/>
    <w:rsid w:val="008C214C"/>
    <w:rsid w:val="008C330E"/>
    <w:rsid w:val="008C39AE"/>
    <w:rsid w:val="008C50D1"/>
    <w:rsid w:val="008C590D"/>
    <w:rsid w:val="008C7403"/>
    <w:rsid w:val="008D150A"/>
    <w:rsid w:val="008D1F35"/>
    <w:rsid w:val="008D26DD"/>
    <w:rsid w:val="008D392F"/>
    <w:rsid w:val="008D775A"/>
    <w:rsid w:val="008D7D89"/>
    <w:rsid w:val="008E0254"/>
    <w:rsid w:val="008E031B"/>
    <w:rsid w:val="008E3C3D"/>
    <w:rsid w:val="008E3D4D"/>
    <w:rsid w:val="008E48F1"/>
    <w:rsid w:val="008E6D69"/>
    <w:rsid w:val="008E7029"/>
    <w:rsid w:val="008E77AD"/>
    <w:rsid w:val="008E7DFD"/>
    <w:rsid w:val="008E7EF6"/>
    <w:rsid w:val="008F1F98"/>
    <w:rsid w:val="008F37A8"/>
    <w:rsid w:val="008F66EA"/>
    <w:rsid w:val="008F6758"/>
    <w:rsid w:val="008F6B84"/>
    <w:rsid w:val="00900789"/>
    <w:rsid w:val="00901E03"/>
    <w:rsid w:val="0090372F"/>
    <w:rsid w:val="009040DD"/>
    <w:rsid w:val="0090466A"/>
    <w:rsid w:val="00904798"/>
    <w:rsid w:val="00905B47"/>
    <w:rsid w:val="00907CE3"/>
    <w:rsid w:val="009102F7"/>
    <w:rsid w:val="0091043F"/>
    <w:rsid w:val="00910A18"/>
    <w:rsid w:val="0091331C"/>
    <w:rsid w:val="00914617"/>
    <w:rsid w:val="00916180"/>
    <w:rsid w:val="00917376"/>
    <w:rsid w:val="009205E5"/>
    <w:rsid w:val="00922365"/>
    <w:rsid w:val="00922A11"/>
    <w:rsid w:val="0092483E"/>
    <w:rsid w:val="00924A12"/>
    <w:rsid w:val="00924E4A"/>
    <w:rsid w:val="00924F54"/>
    <w:rsid w:val="00926E66"/>
    <w:rsid w:val="00927136"/>
    <w:rsid w:val="0092734F"/>
    <w:rsid w:val="009279DE"/>
    <w:rsid w:val="00927E33"/>
    <w:rsid w:val="00930116"/>
    <w:rsid w:val="009314F7"/>
    <w:rsid w:val="00931A4B"/>
    <w:rsid w:val="0093214D"/>
    <w:rsid w:val="0093253A"/>
    <w:rsid w:val="00932E1F"/>
    <w:rsid w:val="00933BF1"/>
    <w:rsid w:val="00934B3B"/>
    <w:rsid w:val="00935616"/>
    <w:rsid w:val="009358FF"/>
    <w:rsid w:val="00937B23"/>
    <w:rsid w:val="00937D95"/>
    <w:rsid w:val="0094202F"/>
    <w:rsid w:val="0094212C"/>
    <w:rsid w:val="00942518"/>
    <w:rsid w:val="00946195"/>
    <w:rsid w:val="009476F0"/>
    <w:rsid w:val="00950CDC"/>
    <w:rsid w:val="00952A9F"/>
    <w:rsid w:val="00953EF9"/>
    <w:rsid w:val="00953FF9"/>
    <w:rsid w:val="00954689"/>
    <w:rsid w:val="00954710"/>
    <w:rsid w:val="00954B88"/>
    <w:rsid w:val="00956BC2"/>
    <w:rsid w:val="00957294"/>
    <w:rsid w:val="00957649"/>
    <w:rsid w:val="00960F05"/>
    <w:rsid w:val="009617C9"/>
    <w:rsid w:val="00961C93"/>
    <w:rsid w:val="00964EAC"/>
    <w:rsid w:val="00965324"/>
    <w:rsid w:val="00965AEC"/>
    <w:rsid w:val="00966B9B"/>
    <w:rsid w:val="00966E9A"/>
    <w:rsid w:val="00967A86"/>
    <w:rsid w:val="0097091E"/>
    <w:rsid w:val="009713FE"/>
    <w:rsid w:val="009733D5"/>
    <w:rsid w:val="00973547"/>
    <w:rsid w:val="00973CCB"/>
    <w:rsid w:val="009744D3"/>
    <w:rsid w:val="00974508"/>
    <w:rsid w:val="00974FBD"/>
    <w:rsid w:val="009760D3"/>
    <w:rsid w:val="00976113"/>
    <w:rsid w:val="00976A71"/>
    <w:rsid w:val="00976C94"/>
    <w:rsid w:val="00977132"/>
    <w:rsid w:val="009776B4"/>
    <w:rsid w:val="00980003"/>
    <w:rsid w:val="0098067E"/>
    <w:rsid w:val="00981A4B"/>
    <w:rsid w:val="00981D57"/>
    <w:rsid w:val="00982501"/>
    <w:rsid w:val="0098279A"/>
    <w:rsid w:val="00982D2A"/>
    <w:rsid w:val="009831D0"/>
    <w:rsid w:val="00984A17"/>
    <w:rsid w:val="009854DA"/>
    <w:rsid w:val="00987324"/>
    <w:rsid w:val="009877D3"/>
    <w:rsid w:val="00987899"/>
    <w:rsid w:val="00987DE2"/>
    <w:rsid w:val="00990C3A"/>
    <w:rsid w:val="00991D1E"/>
    <w:rsid w:val="009931E2"/>
    <w:rsid w:val="00993907"/>
    <w:rsid w:val="00994235"/>
    <w:rsid w:val="00994E8F"/>
    <w:rsid w:val="009951AA"/>
    <w:rsid w:val="009951DC"/>
    <w:rsid w:val="00995362"/>
    <w:rsid w:val="009959BB"/>
    <w:rsid w:val="009962F4"/>
    <w:rsid w:val="00997158"/>
    <w:rsid w:val="0099781B"/>
    <w:rsid w:val="009A1351"/>
    <w:rsid w:val="009A3A7C"/>
    <w:rsid w:val="009A4292"/>
    <w:rsid w:val="009A6296"/>
    <w:rsid w:val="009B1FD3"/>
    <w:rsid w:val="009B2ADB"/>
    <w:rsid w:val="009B392D"/>
    <w:rsid w:val="009B4667"/>
    <w:rsid w:val="009B5C1C"/>
    <w:rsid w:val="009B603A"/>
    <w:rsid w:val="009C2D0E"/>
    <w:rsid w:val="009C32C4"/>
    <w:rsid w:val="009C3DAC"/>
    <w:rsid w:val="009C42E0"/>
    <w:rsid w:val="009C481E"/>
    <w:rsid w:val="009C4B24"/>
    <w:rsid w:val="009C55FC"/>
    <w:rsid w:val="009C6173"/>
    <w:rsid w:val="009C7ACF"/>
    <w:rsid w:val="009D05DC"/>
    <w:rsid w:val="009D0F5C"/>
    <w:rsid w:val="009D12D9"/>
    <w:rsid w:val="009D13F9"/>
    <w:rsid w:val="009D170B"/>
    <w:rsid w:val="009D2FEF"/>
    <w:rsid w:val="009D3458"/>
    <w:rsid w:val="009D3824"/>
    <w:rsid w:val="009D39E1"/>
    <w:rsid w:val="009D5362"/>
    <w:rsid w:val="009D5F06"/>
    <w:rsid w:val="009D61D6"/>
    <w:rsid w:val="009E057C"/>
    <w:rsid w:val="009E1415"/>
    <w:rsid w:val="009E26E8"/>
    <w:rsid w:val="009E30D0"/>
    <w:rsid w:val="009E56B4"/>
    <w:rsid w:val="009E6116"/>
    <w:rsid w:val="009E6251"/>
    <w:rsid w:val="009E66D2"/>
    <w:rsid w:val="009E7563"/>
    <w:rsid w:val="009E7BBC"/>
    <w:rsid w:val="009F0EF0"/>
    <w:rsid w:val="009F13CD"/>
    <w:rsid w:val="009F1BE5"/>
    <w:rsid w:val="009F2B2F"/>
    <w:rsid w:val="009F37C6"/>
    <w:rsid w:val="009F4EBA"/>
    <w:rsid w:val="009F5234"/>
    <w:rsid w:val="009F7703"/>
    <w:rsid w:val="00A00617"/>
    <w:rsid w:val="00A00E0E"/>
    <w:rsid w:val="00A01290"/>
    <w:rsid w:val="00A018E7"/>
    <w:rsid w:val="00A01D58"/>
    <w:rsid w:val="00A02A96"/>
    <w:rsid w:val="00A02E43"/>
    <w:rsid w:val="00A036D8"/>
    <w:rsid w:val="00A065F9"/>
    <w:rsid w:val="00A06D0B"/>
    <w:rsid w:val="00A07F34"/>
    <w:rsid w:val="00A11DAC"/>
    <w:rsid w:val="00A1715B"/>
    <w:rsid w:val="00A17446"/>
    <w:rsid w:val="00A17B21"/>
    <w:rsid w:val="00A2128D"/>
    <w:rsid w:val="00A22154"/>
    <w:rsid w:val="00A22F8A"/>
    <w:rsid w:val="00A245A8"/>
    <w:rsid w:val="00A246F6"/>
    <w:rsid w:val="00A257D7"/>
    <w:rsid w:val="00A25C38"/>
    <w:rsid w:val="00A263E1"/>
    <w:rsid w:val="00A27631"/>
    <w:rsid w:val="00A3079E"/>
    <w:rsid w:val="00A31034"/>
    <w:rsid w:val="00A31B5F"/>
    <w:rsid w:val="00A32629"/>
    <w:rsid w:val="00A330F4"/>
    <w:rsid w:val="00A331CD"/>
    <w:rsid w:val="00A338EB"/>
    <w:rsid w:val="00A36745"/>
    <w:rsid w:val="00A36BBE"/>
    <w:rsid w:val="00A402D7"/>
    <w:rsid w:val="00A4307A"/>
    <w:rsid w:val="00A443B0"/>
    <w:rsid w:val="00A4489A"/>
    <w:rsid w:val="00A47EBB"/>
    <w:rsid w:val="00A519CF"/>
    <w:rsid w:val="00A51AE1"/>
    <w:rsid w:val="00A51CDD"/>
    <w:rsid w:val="00A52733"/>
    <w:rsid w:val="00A52DD6"/>
    <w:rsid w:val="00A53375"/>
    <w:rsid w:val="00A533F7"/>
    <w:rsid w:val="00A55942"/>
    <w:rsid w:val="00A56670"/>
    <w:rsid w:val="00A5682F"/>
    <w:rsid w:val="00A56BE1"/>
    <w:rsid w:val="00A57318"/>
    <w:rsid w:val="00A6228D"/>
    <w:rsid w:val="00A6293F"/>
    <w:rsid w:val="00A642FF"/>
    <w:rsid w:val="00A65549"/>
    <w:rsid w:val="00A66940"/>
    <w:rsid w:val="00A6730D"/>
    <w:rsid w:val="00A71625"/>
    <w:rsid w:val="00A71B9B"/>
    <w:rsid w:val="00A71E0E"/>
    <w:rsid w:val="00A724DF"/>
    <w:rsid w:val="00A72B9A"/>
    <w:rsid w:val="00A7388F"/>
    <w:rsid w:val="00A7474C"/>
    <w:rsid w:val="00A751C7"/>
    <w:rsid w:val="00A75A49"/>
    <w:rsid w:val="00A81478"/>
    <w:rsid w:val="00A81EAE"/>
    <w:rsid w:val="00A833C7"/>
    <w:rsid w:val="00A83838"/>
    <w:rsid w:val="00A8500B"/>
    <w:rsid w:val="00A87844"/>
    <w:rsid w:val="00A94CAD"/>
    <w:rsid w:val="00A966E3"/>
    <w:rsid w:val="00A97D9C"/>
    <w:rsid w:val="00AA01B8"/>
    <w:rsid w:val="00AA038C"/>
    <w:rsid w:val="00AA27A4"/>
    <w:rsid w:val="00AA39C2"/>
    <w:rsid w:val="00AA44DD"/>
    <w:rsid w:val="00AA4F6D"/>
    <w:rsid w:val="00AA5CC1"/>
    <w:rsid w:val="00AA77E0"/>
    <w:rsid w:val="00AA79B8"/>
    <w:rsid w:val="00AA7A09"/>
    <w:rsid w:val="00AB0549"/>
    <w:rsid w:val="00AB08D4"/>
    <w:rsid w:val="00AB225D"/>
    <w:rsid w:val="00AB3B50"/>
    <w:rsid w:val="00AB57C8"/>
    <w:rsid w:val="00AB5CAC"/>
    <w:rsid w:val="00AB7FB2"/>
    <w:rsid w:val="00AC05B1"/>
    <w:rsid w:val="00AC143D"/>
    <w:rsid w:val="00AC1F0D"/>
    <w:rsid w:val="00AC35A7"/>
    <w:rsid w:val="00AC37A8"/>
    <w:rsid w:val="00AC4B41"/>
    <w:rsid w:val="00AC58C8"/>
    <w:rsid w:val="00AC6126"/>
    <w:rsid w:val="00AC6567"/>
    <w:rsid w:val="00AC7421"/>
    <w:rsid w:val="00AD1FEB"/>
    <w:rsid w:val="00AD249B"/>
    <w:rsid w:val="00AD356C"/>
    <w:rsid w:val="00AD60B5"/>
    <w:rsid w:val="00AD6883"/>
    <w:rsid w:val="00AD6954"/>
    <w:rsid w:val="00AD6DBF"/>
    <w:rsid w:val="00AD7244"/>
    <w:rsid w:val="00AE0CDC"/>
    <w:rsid w:val="00AE0DBA"/>
    <w:rsid w:val="00AE17D9"/>
    <w:rsid w:val="00AE2914"/>
    <w:rsid w:val="00AE45DB"/>
    <w:rsid w:val="00AE6D15"/>
    <w:rsid w:val="00AF3B2E"/>
    <w:rsid w:val="00AF3C75"/>
    <w:rsid w:val="00AF54F9"/>
    <w:rsid w:val="00AF6BEA"/>
    <w:rsid w:val="00AF7563"/>
    <w:rsid w:val="00B020EA"/>
    <w:rsid w:val="00B04182"/>
    <w:rsid w:val="00B0438C"/>
    <w:rsid w:val="00B04D44"/>
    <w:rsid w:val="00B05E80"/>
    <w:rsid w:val="00B06B5F"/>
    <w:rsid w:val="00B06CA5"/>
    <w:rsid w:val="00B06ED8"/>
    <w:rsid w:val="00B07189"/>
    <w:rsid w:val="00B07AE3"/>
    <w:rsid w:val="00B10515"/>
    <w:rsid w:val="00B11430"/>
    <w:rsid w:val="00B126F3"/>
    <w:rsid w:val="00B12E8F"/>
    <w:rsid w:val="00B12E9E"/>
    <w:rsid w:val="00B131AB"/>
    <w:rsid w:val="00B13CA0"/>
    <w:rsid w:val="00B1411F"/>
    <w:rsid w:val="00B150C5"/>
    <w:rsid w:val="00B15654"/>
    <w:rsid w:val="00B15862"/>
    <w:rsid w:val="00B22235"/>
    <w:rsid w:val="00B2339B"/>
    <w:rsid w:val="00B30C54"/>
    <w:rsid w:val="00B313CE"/>
    <w:rsid w:val="00B31D70"/>
    <w:rsid w:val="00B32FCC"/>
    <w:rsid w:val="00B33228"/>
    <w:rsid w:val="00B333F2"/>
    <w:rsid w:val="00B3350F"/>
    <w:rsid w:val="00B353EB"/>
    <w:rsid w:val="00B35842"/>
    <w:rsid w:val="00B35897"/>
    <w:rsid w:val="00B41177"/>
    <w:rsid w:val="00B433EF"/>
    <w:rsid w:val="00B439C4"/>
    <w:rsid w:val="00B44DEF"/>
    <w:rsid w:val="00B44F51"/>
    <w:rsid w:val="00B4535E"/>
    <w:rsid w:val="00B45FA0"/>
    <w:rsid w:val="00B50680"/>
    <w:rsid w:val="00B50A49"/>
    <w:rsid w:val="00B50A86"/>
    <w:rsid w:val="00B512A1"/>
    <w:rsid w:val="00B515A4"/>
    <w:rsid w:val="00B51C50"/>
    <w:rsid w:val="00B51D98"/>
    <w:rsid w:val="00B52A8C"/>
    <w:rsid w:val="00B53662"/>
    <w:rsid w:val="00B54F8E"/>
    <w:rsid w:val="00B61422"/>
    <w:rsid w:val="00B636A8"/>
    <w:rsid w:val="00B63EBD"/>
    <w:rsid w:val="00B65D2B"/>
    <w:rsid w:val="00B660CA"/>
    <w:rsid w:val="00B66389"/>
    <w:rsid w:val="00B664C0"/>
    <w:rsid w:val="00B665C6"/>
    <w:rsid w:val="00B67271"/>
    <w:rsid w:val="00B67996"/>
    <w:rsid w:val="00B70D39"/>
    <w:rsid w:val="00B71C6F"/>
    <w:rsid w:val="00B71DA7"/>
    <w:rsid w:val="00B73DF2"/>
    <w:rsid w:val="00B745F4"/>
    <w:rsid w:val="00B755BD"/>
    <w:rsid w:val="00B75DC1"/>
    <w:rsid w:val="00B75E59"/>
    <w:rsid w:val="00B76C6D"/>
    <w:rsid w:val="00B77563"/>
    <w:rsid w:val="00B77CC7"/>
    <w:rsid w:val="00B805AF"/>
    <w:rsid w:val="00B8301A"/>
    <w:rsid w:val="00B8442D"/>
    <w:rsid w:val="00B84730"/>
    <w:rsid w:val="00B8698C"/>
    <w:rsid w:val="00B869EC"/>
    <w:rsid w:val="00B87992"/>
    <w:rsid w:val="00B9188A"/>
    <w:rsid w:val="00B9397A"/>
    <w:rsid w:val="00B93F61"/>
    <w:rsid w:val="00B9485F"/>
    <w:rsid w:val="00B956E2"/>
    <w:rsid w:val="00B95BD8"/>
    <w:rsid w:val="00B9633D"/>
    <w:rsid w:val="00BA120F"/>
    <w:rsid w:val="00BA1460"/>
    <w:rsid w:val="00BA2EBE"/>
    <w:rsid w:val="00BA4D75"/>
    <w:rsid w:val="00BA57EA"/>
    <w:rsid w:val="00BA5A5E"/>
    <w:rsid w:val="00BA630C"/>
    <w:rsid w:val="00BA692B"/>
    <w:rsid w:val="00BB0F28"/>
    <w:rsid w:val="00BB10C1"/>
    <w:rsid w:val="00BB1613"/>
    <w:rsid w:val="00BB1D00"/>
    <w:rsid w:val="00BB21ED"/>
    <w:rsid w:val="00BB4303"/>
    <w:rsid w:val="00BB458A"/>
    <w:rsid w:val="00BB4DCD"/>
    <w:rsid w:val="00BB5A5C"/>
    <w:rsid w:val="00BB7DA8"/>
    <w:rsid w:val="00BC08C8"/>
    <w:rsid w:val="00BC2B57"/>
    <w:rsid w:val="00BC2DB0"/>
    <w:rsid w:val="00BC328E"/>
    <w:rsid w:val="00BC3CA4"/>
    <w:rsid w:val="00BC431E"/>
    <w:rsid w:val="00BC43B7"/>
    <w:rsid w:val="00BC4D86"/>
    <w:rsid w:val="00BC5053"/>
    <w:rsid w:val="00BC5333"/>
    <w:rsid w:val="00BC59F4"/>
    <w:rsid w:val="00BC5A38"/>
    <w:rsid w:val="00BD00D3"/>
    <w:rsid w:val="00BD02E7"/>
    <w:rsid w:val="00BD0D41"/>
    <w:rsid w:val="00BD1659"/>
    <w:rsid w:val="00BD18CC"/>
    <w:rsid w:val="00BD2308"/>
    <w:rsid w:val="00BD2A88"/>
    <w:rsid w:val="00BD2A96"/>
    <w:rsid w:val="00BD3AA9"/>
    <w:rsid w:val="00BD4A18"/>
    <w:rsid w:val="00BD4F2B"/>
    <w:rsid w:val="00BD6B86"/>
    <w:rsid w:val="00BD6DB2"/>
    <w:rsid w:val="00BD7186"/>
    <w:rsid w:val="00BD7210"/>
    <w:rsid w:val="00BE103D"/>
    <w:rsid w:val="00BE11CF"/>
    <w:rsid w:val="00BE1295"/>
    <w:rsid w:val="00BE19C8"/>
    <w:rsid w:val="00BE21AB"/>
    <w:rsid w:val="00BE3668"/>
    <w:rsid w:val="00BE3744"/>
    <w:rsid w:val="00BE4CE4"/>
    <w:rsid w:val="00BE55CB"/>
    <w:rsid w:val="00BE55D3"/>
    <w:rsid w:val="00BE754B"/>
    <w:rsid w:val="00BE7B48"/>
    <w:rsid w:val="00BF14F3"/>
    <w:rsid w:val="00BF2A8D"/>
    <w:rsid w:val="00BF38EC"/>
    <w:rsid w:val="00BF617A"/>
    <w:rsid w:val="00BF6DB5"/>
    <w:rsid w:val="00BF7D8C"/>
    <w:rsid w:val="00C00FA2"/>
    <w:rsid w:val="00C032DE"/>
    <w:rsid w:val="00C0379D"/>
    <w:rsid w:val="00C03931"/>
    <w:rsid w:val="00C03D91"/>
    <w:rsid w:val="00C05FE3"/>
    <w:rsid w:val="00C0628D"/>
    <w:rsid w:val="00C1010B"/>
    <w:rsid w:val="00C10454"/>
    <w:rsid w:val="00C106A3"/>
    <w:rsid w:val="00C10AC7"/>
    <w:rsid w:val="00C129C6"/>
    <w:rsid w:val="00C14573"/>
    <w:rsid w:val="00C14DBF"/>
    <w:rsid w:val="00C153B1"/>
    <w:rsid w:val="00C15E54"/>
    <w:rsid w:val="00C16B29"/>
    <w:rsid w:val="00C17BDB"/>
    <w:rsid w:val="00C203AE"/>
    <w:rsid w:val="00C206F1"/>
    <w:rsid w:val="00C20C65"/>
    <w:rsid w:val="00C20DB0"/>
    <w:rsid w:val="00C2136D"/>
    <w:rsid w:val="00C214EE"/>
    <w:rsid w:val="00C22C16"/>
    <w:rsid w:val="00C2314B"/>
    <w:rsid w:val="00C24602"/>
    <w:rsid w:val="00C24971"/>
    <w:rsid w:val="00C24E1D"/>
    <w:rsid w:val="00C256E3"/>
    <w:rsid w:val="00C25A00"/>
    <w:rsid w:val="00C26BE5"/>
    <w:rsid w:val="00C26E4D"/>
    <w:rsid w:val="00C26F8D"/>
    <w:rsid w:val="00C27705"/>
    <w:rsid w:val="00C27909"/>
    <w:rsid w:val="00C27B03"/>
    <w:rsid w:val="00C3005C"/>
    <w:rsid w:val="00C3033D"/>
    <w:rsid w:val="00C30985"/>
    <w:rsid w:val="00C314E1"/>
    <w:rsid w:val="00C32639"/>
    <w:rsid w:val="00C33F1D"/>
    <w:rsid w:val="00C34397"/>
    <w:rsid w:val="00C34830"/>
    <w:rsid w:val="00C4095D"/>
    <w:rsid w:val="00C413D4"/>
    <w:rsid w:val="00C42685"/>
    <w:rsid w:val="00C437B0"/>
    <w:rsid w:val="00C44971"/>
    <w:rsid w:val="00C44CD5"/>
    <w:rsid w:val="00C45FBE"/>
    <w:rsid w:val="00C46CB4"/>
    <w:rsid w:val="00C5008A"/>
    <w:rsid w:val="00C50C81"/>
    <w:rsid w:val="00C52127"/>
    <w:rsid w:val="00C54672"/>
    <w:rsid w:val="00C5533B"/>
    <w:rsid w:val="00C56071"/>
    <w:rsid w:val="00C56872"/>
    <w:rsid w:val="00C57121"/>
    <w:rsid w:val="00C601D2"/>
    <w:rsid w:val="00C609F3"/>
    <w:rsid w:val="00C61AC6"/>
    <w:rsid w:val="00C61E3B"/>
    <w:rsid w:val="00C62DE5"/>
    <w:rsid w:val="00C65B30"/>
    <w:rsid w:val="00C65BCC"/>
    <w:rsid w:val="00C66970"/>
    <w:rsid w:val="00C67C3B"/>
    <w:rsid w:val="00C67DAE"/>
    <w:rsid w:val="00C7202D"/>
    <w:rsid w:val="00C72EC1"/>
    <w:rsid w:val="00C76184"/>
    <w:rsid w:val="00C76D28"/>
    <w:rsid w:val="00C77811"/>
    <w:rsid w:val="00C81C94"/>
    <w:rsid w:val="00C823DE"/>
    <w:rsid w:val="00C829B3"/>
    <w:rsid w:val="00C830ED"/>
    <w:rsid w:val="00C839C8"/>
    <w:rsid w:val="00C83C96"/>
    <w:rsid w:val="00C8691C"/>
    <w:rsid w:val="00C86967"/>
    <w:rsid w:val="00C878CC"/>
    <w:rsid w:val="00C901BB"/>
    <w:rsid w:val="00C9111D"/>
    <w:rsid w:val="00C91A2A"/>
    <w:rsid w:val="00C948D8"/>
    <w:rsid w:val="00C958DA"/>
    <w:rsid w:val="00C97454"/>
    <w:rsid w:val="00C97709"/>
    <w:rsid w:val="00CA0A07"/>
    <w:rsid w:val="00CA168A"/>
    <w:rsid w:val="00CA23D7"/>
    <w:rsid w:val="00CA357E"/>
    <w:rsid w:val="00CA44F9"/>
    <w:rsid w:val="00CA4A69"/>
    <w:rsid w:val="00CA6E70"/>
    <w:rsid w:val="00CA74CB"/>
    <w:rsid w:val="00CB44D3"/>
    <w:rsid w:val="00CB44D6"/>
    <w:rsid w:val="00CB5057"/>
    <w:rsid w:val="00CB51D3"/>
    <w:rsid w:val="00CB5AC1"/>
    <w:rsid w:val="00CB5CF3"/>
    <w:rsid w:val="00CB731B"/>
    <w:rsid w:val="00CC2631"/>
    <w:rsid w:val="00CC2C6C"/>
    <w:rsid w:val="00CC3DC3"/>
    <w:rsid w:val="00CC3E0C"/>
    <w:rsid w:val="00CC4BA0"/>
    <w:rsid w:val="00CC55AB"/>
    <w:rsid w:val="00CC58D3"/>
    <w:rsid w:val="00CC5B04"/>
    <w:rsid w:val="00CC5F9B"/>
    <w:rsid w:val="00CC784D"/>
    <w:rsid w:val="00CD0980"/>
    <w:rsid w:val="00CD1CCB"/>
    <w:rsid w:val="00CD3373"/>
    <w:rsid w:val="00CD41B9"/>
    <w:rsid w:val="00CD5936"/>
    <w:rsid w:val="00CE1330"/>
    <w:rsid w:val="00CE20B1"/>
    <w:rsid w:val="00CE2735"/>
    <w:rsid w:val="00CE2CD5"/>
    <w:rsid w:val="00CE2D99"/>
    <w:rsid w:val="00CE3109"/>
    <w:rsid w:val="00CE3E69"/>
    <w:rsid w:val="00CE490E"/>
    <w:rsid w:val="00CE5922"/>
    <w:rsid w:val="00CE5DD7"/>
    <w:rsid w:val="00CE5E0C"/>
    <w:rsid w:val="00CE69B4"/>
    <w:rsid w:val="00CE7266"/>
    <w:rsid w:val="00CF0DF1"/>
    <w:rsid w:val="00CF1246"/>
    <w:rsid w:val="00CF177B"/>
    <w:rsid w:val="00CF4FA5"/>
    <w:rsid w:val="00CF50D0"/>
    <w:rsid w:val="00D00D41"/>
    <w:rsid w:val="00D00E30"/>
    <w:rsid w:val="00D01248"/>
    <w:rsid w:val="00D01C26"/>
    <w:rsid w:val="00D0337B"/>
    <w:rsid w:val="00D03545"/>
    <w:rsid w:val="00D079B2"/>
    <w:rsid w:val="00D10392"/>
    <w:rsid w:val="00D114E9"/>
    <w:rsid w:val="00D145EA"/>
    <w:rsid w:val="00D15501"/>
    <w:rsid w:val="00D15532"/>
    <w:rsid w:val="00D16069"/>
    <w:rsid w:val="00D2031F"/>
    <w:rsid w:val="00D20760"/>
    <w:rsid w:val="00D24C89"/>
    <w:rsid w:val="00D25F54"/>
    <w:rsid w:val="00D26CC9"/>
    <w:rsid w:val="00D2743A"/>
    <w:rsid w:val="00D301C1"/>
    <w:rsid w:val="00D306B9"/>
    <w:rsid w:val="00D31C7C"/>
    <w:rsid w:val="00D32143"/>
    <w:rsid w:val="00D327E5"/>
    <w:rsid w:val="00D36545"/>
    <w:rsid w:val="00D36F0A"/>
    <w:rsid w:val="00D41C23"/>
    <w:rsid w:val="00D429C6"/>
    <w:rsid w:val="00D46859"/>
    <w:rsid w:val="00D46A65"/>
    <w:rsid w:val="00D46DD5"/>
    <w:rsid w:val="00D47748"/>
    <w:rsid w:val="00D51A64"/>
    <w:rsid w:val="00D51F15"/>
    <w:rsid w:val="00D52344"/>
    <w:rsid w:val="00D537F8"/>
    <w:rsid w:val="00D549C3"/>
    <w:rsid w:val="00D54CC3"/>
    <w:rsid w:val="00D56E03"/>
    <w:rsid w:val="00D574F9"/>
    <w:rsid w:val="00D57977"/>
    <w:rsid w:val="00D6041A"/>
    <w:rsid w:val="00D62606"/>
    <w:rsid w:val="00D6300F"/>
    <w:rsid w:val="00D633EB"/>
    <w:rsid w:val="00D642E9"/>
    <w:rsid w:val="00D64834"/>
    <w:rsid w:val="00D655DD"/>
    <w:rsid w:val="00D67FC2"/>
    <w:rsid w:val="00D7134F"/>
    <w:rsid w:val="00D74D15"/>
    <w:rsid w:val="00D751DF"/>
    <w:rsid w:val="00D77DED"/>
    <w:rsid w:val="00D80AC5"/>
    <w:rsid w:val="00D81224"/>
    <w:rsid w:val="00D82FF7"/>
    <w:rsid w:val="00D83722"/>
    <w:rsid w:val="00D847FE"/>
    <w:rsid w:val="00D84902"/>
    <w:rsid w:val="00D857E8"/>
    <w:rsid w:val="00D860C9"/>
    <w:rsid w:val="00D8792F"/>
    <w:rsid w:val="00D87A3B"/>
    <w:rsid w:val="00D9001B"/>
    <w:rsid w:val="00D923C8"/>
    <w:rsid w:val="00D92F8C"/>
    <w:rsid w:val="00D93662"/>
    <w:rsid w:val="00D95DB4"/>
    <w:rsid w:val="00D964EA"/>
    <w:rsid w:val="00D966D0"/>
    <w:rsid w:val="00D97C12"/>
    <w:rsid w:val="00DA0C59"/>
    <w:rsid w:val="00DA1CC6"/>
    <w:rsid w:val="00DA363F"/>
    <w:rsid w:val="00DA3991"/>
    <w:rsid w:val="00DA3F0A"/>
    <w:rsid w:val="00DA487B"/>
    <w:rsid w:val="00DA6856"/>
    <w:rsid w:val="00DA74C7"/>
    <w:rsid w:val="00DA7BB6"/>
    <w:rsid w:val="00DB054B"/>
    <w:rsid w:val="00DB0E09"/>
    <w:rsid w:val="00DB3C02"/>
    <w:rsid w:val="00DB466E"/>
    <w:rsid w:val="00DB4D93"/>
    <w:rsid w:val="00DB6C6F"/>
    <w:rsid w:val="00DB6C90"/>
    <w:rsid w:val="00DB6F28"/>
    <w:rsid w:val="00DB7E6C"/>
    <w:rsid w:val="00DC03A8"/>
    <w:rsid w:val="00DC0588"/>
    <w:rsid w:val="00DC1EDB"/>
    <w:rsid w:val="00DC2DF5"/>
    <w:rsid w:val="00DC51A8"/>
    <w:rsid w:val="00DC5FE4"/>
    <w:rsid w:val="00DC7E21"/>
    <w:rsid w:val="00DD0D9C"/>
    <w:rsid w:val="00DD271F"/>
    <w:rsid w:val="00DD3145"/>
    <w:rsid w:val="00DD34DB"/>
    <w:rsid w:val="00DD3753"/>
    <w:rsid w:val="00DD3AC5"/>
    <w:rsid w:val="00DD4191"/>
    <w:rsid w:val="00DD4299"/>
    <w:rsid w:val="00DD42F1"/>
    <w:rsid w:val="00DD4E1D"/>
    <w:rsid w:val="00DD5515"/>
    <w:rsid w:val="00DD5A29"/>
    <w:rsid w:val="00DD5D9D"/>
    <w:rsid w:val="00DD634D"/>
    <w:rsid w:val="00DE0411"/>
    <w:rsid w:val="00DE35CB"/>
    <w:rsid w:val="00DE3D0F"/>
    <w:rsid w:val="00DE40EF"/>
    <w:rsid w:val="00DE5079"/>
    <w:rsid w:val="00DE5EA9"/>
    <w:rsid w:val="00DE6CFA"/>
    <w:rsid w:val="00DE7454"/>
    <w:rsid w:val="00DE7577"/>
    <w:rsid w:val="00DE7EFF"/>
    <w:rsid w:val="00DF21E9"/>
    <w:rsid w:val="00DF259F"/>
    <w:rsid w:val="00DF561F"/>
    <w:rsid w:val="00DF68F5"/>
    <w:rsid w:val="00DF764D"/>
    <w:rsid w:val="00E0032F"/>
    <w:rsid w:val="00E00F14"/>
    <w:rsid w:val="00E01434"/>
    <w:rsid w:val="00E01BAF"/>
    <w:rsid w:val="00E01FB2"/>
    <w:rsid w:val="00E03261"/>
    <w:rsid w:val="00E04522"/>
    <w:rsid w:val="00E06386"/>
    <w:rsid w:val="00E06679"/>
    <w:rsid w:val="00E07077"/>
    <w:rsid w:val="00E075D6"/>
    <w:rsid w:val="00E136F4"/>
    <w:rsid w:val="00E138D6"/>
    <w:rsid w:val="00E13A29"/>
    <w:rsid w:val="00E14224"/>
    <w:rsid w:val="00E14610"/>
    <w:rsid w:val="00E14DD9"/>
    <w:rsid w:val="00E1548A"/>
    <w:rsid w:val="00E17B78"/>
    <w:rsid w:val="00E20C71"/>
    <w:rsid w:val="00E21115"/>
    <w:rsid w:val="00E230D2"/>
    <w:rsid w:val="00E2416C"/>
    <w:rsid w:val="00E24EB4"/>
    <w:rsid w:val="00E253EE"/>
    <w:rsid w:val="00E26476"/>
    <w:rsid w:val="00E27E44"/>
    <w:rsid w:val="00E310FB"/>
    <w:rsid w:val="00E31D9F"/>
    <w:rsid w:val="00E320ED"/>
    <w:rsid w:val="00E32B62"/>
    <w:rsid w:val="00E334AD"/>
    <w:rsid w:val="00E337BB"/>
    <w:rsid w:val="00E33AFB"/>
    <w:rsid w:val="00E34218"/>
    <w:rsid w:val="00E34868"/>
    <w:rsid w:val="00E34CD6"/>
    <w:rsid w:val="00E371EE"/>
    <w:rsid w:val="00E407C1"/>
    <w:rsid w:val="00E40B07"/>
    <w:rsid w:val="00E46282"/>
    <w:rsid w:val="00E462D7"/>
    <w:rsid w:val="00E47BE3"/>
    <w:rsid w:val="00E50316"/>
    <w:rsid w:val="00E510C2"/>
    <w:rsid w:val="00E51DEA"/>
    <w:rsid w:val="00E5216E"/>
    <w:rsid w:val="00E52625"/>
    <w:rsid w:val="00E52944"/>
    <w:rsid w:val="00E53730"/>
    <w:rsid w:val="00E53EAE"/>
    <w:rsid w:val="00E550F2"/>
    <w:rsid w:val="00E56CF0"/>
    <w:rsid w:val="00E575F0"/>
    <w:rsid w:val="00E57CEC"/>
    <w:rsid w:val="00E64027"/>
    <w:rsid w:val="00E6403B"/>
    <w:rsid w:val="00E64CBC"/>
    <w:rsid w:val="00E659A3"/>
    <w:rsid w:val="00E66EC6"/>
    <w:rsid w:val="00E74145"/>
    <w:rsid w:val="00E754D6"/>
    <w:rsid w:val="00E77741"/>
    <w:rsid w:val="00E77E6A"/>
    <w:rsid w:val="00E800E3"/>
    <w:rsid w:val="00E803C9"/>
    <w:rsid w:val="00E82344"/>
    <w:rsid w:val="00E831A1"/>
    <w:rsid w:val="00E8342F"/>
    <w:rsid w:val="00E83F64"/>
    <w:rsid w:val="00E8441D"/>
    <w:rsid w:val="00E84C82"/>
    <w:rsid w:val="00E84D64"/>
    <w:rsid w:val="00E85AD0"/>
    <w:rsid w:val="00E87408"/>
    <w:rsid w:val="00E87606"/>
    <w:rsid w:val="00E878D0"/>
    <w:rsid w:val="00E914C4"/>
    <w:rsid w:val="00E92017"/>
    <w:rsid w:val="00E92AA6"/>
    <w:rsid w:val="00E92E19"/>
    <w:rsid w:val="00E934F5"/>
    <w:rsid w:val="00E96961"/>
    <w:rsid w:val="00EA217B"/>
    <w:rsid w:val="00EA2291"/>
    <w:rsid w:val="00EA2587"/>
    <w:rsid w:val="00EA5BA3"/>
    <w:rsid w:val="00EA632A"/>
    <w:rsid w:val="00EA72EC"/>
    <w:rsid w:val="00EA7A0B"/>
    <w:rsid w:val="00EB11CB"/>
    <w:rsid w:val="00EB1B7C"/>
    <w:rsid w:val="00EB275A"/>
    <w:rsid w:val="00EB2EA8"/>
    <w:rsid w:val="00EB472A"/>
    <w:rsid w:val="00EB5DEA"/>
    <w:rsid w:val="00EB61A2"/>
    <w:rsid w:val="00EB659B"/>
    <w:rsid w:val="00EB786A"/>
    <w:rsid w:val="00EC011F"/>
    <w:rsid w:val="00EC0455"/>
    <w:rsid w:val="00EC1578"/>
    <w:rsid w:val="00EC1C72"/>
    <w:rsid w:val="00EC2871"/>
    <w:rsid w:val="00EC3CC9"/>
    <w:rsid w:val="00EC4592"/>
    <w:rsid w:val="00EC4A47"/>
    <w:rsid w:val="00EC4C8F"/>
    <w:rsid w:val="00EC6616"/>
    <w:rsid w:val="00EC680A"/>
    <w:rsid w:val="00EC6F0A"/>
    <w:rsid w:val="00EC74D0"/>
    <w:rsid w:val="00ED0272"/>
    <w:rsid w:val="00ED080D"/>
    <w:rsid w:val="00ED0B15"/>
    <w:rsid w:val="00ED0CAA"/>
    <w:rsid w:val="00ED16B3"/>
    <w:rsid w:val="00ED41FF"/>
    <w:rsid w:val="00ED4E86"/>
    <w:rsid w:val="00ED5A9C"/>
    <w:rsid w:val="00ED7B7D"/>
    <w:rsid w:val="00EE2BED"/>
    <w:rsid w:val="00EE3017"/>
    <w:rsid w:val="00EE3237"/>
    <w:rsid w:val="00EE374B"/>
    <w:rsid w:val="00EF0E8D"/>
    <w:rsid w:val="00EF3C01"/>
    <w:rsid w:val="00EF4893"/>
    <w:rsid w:val="00EF53DF"/>
    <w:rsid w:val="00EF58D7"/>
    <w:rsid w:val="00EF7432"/>
    <w:rsid w:val="00EF773B"/>
    <w:rsid w:val="00EF7AA8"/>
    <w:rsid w:val="00F004EA"/>
    <w:rsid w:val="00F0055A"/>
    <w:rsid w:val="00F00669"/>
    <w:rsid w:val="00F01356"/>
    <w:rsid w:val="00F029E4"/>
    <w:rsid w:val="00F05268"/>
    <w:rsid w:val="00F06E2A"/>
    <w:rsid w:val="00F070CB"/>
    <w:rsid w:val="00F0775C"/>
    <w:rsid w:val="00F108C7"/>
    <w:rsid w:val="00F11439"/>
    <w:rsid w:val="00F11BB5"/>
    <w:rsid w:val="00F11DEF"/>
    <w:rsid w:val="00F13408"/>
    <w:rsid w:val="00F1417B"/>
    <w:rsid w:val="00F158C6"/>
    <w:rsid w:val="00F20742"/>
    <w:rsid w:val="00F20F96"/>
    <w:rsid w:val="00F21A9B"/>
    <w:rsid w:val="00F22A83"/>
    <w:rsid w:val="00F23EDE"/>
    <w:rsid w:val="00F24720"/>
    <w:rsid w:val="00F2513D"/>
    <w:rsid w:val="00F259CA"/>
    <w:rsid w:val="00F27758"/>
    <w:rsid w:val="00F305F4"/>
    <w:rsid w:val="00F329F4"/>
    <w:rsid w:val="00F32B7D"/>
    <w:rsid w:val="00F33AB7"/>
    <w:rsid w:val="00F34B99"/>
    <w:rsid w:val="00F34D1D"/>
    <w:rsid w:val="00F35F96"/>
    <w:rsid w:val="00F40BCE"/>
    <w:rsid w:val="00F4111B"/>
    <w:rsid w:val="00F41D6A"/>
    <w:rsid w:val="00F4290D"/>
    <w:rsid w:val="00F44673"/>
    <w:rsid w:val="00F44790"/>
    <w:rsid w:val="00F455E0"/>
    <w:rsid w:val="00F466A6"/>
    <w:rsid w:val="00F46C23"/>
    <w:rsid w:val="00F5022E"/>
    <w:rsid w:val="00F5134A"/>
    <w:rsid w:val="00F51B0D"/>
    <w:rsid w:val="00F52DAB"/>
    <w:rsid w:val="00F5333D"/>
    <w:rsid w:val="00F538B5"/>
    <w:rsid w:val="00F543F0"/>
    <w:rsid w:val="00F5524C"/>
    <w:rsid w:val="00F55E5C"/>
    <w:rsid w:val="00F55ED3"/>
    <w:rsid w:val="00F56322"/>
    <w:rsid w:val="00F611BA"/>
    <w:rsid w:val="00F6204D"/>
    <w:rsid w:val="00F635A2"/>
    <w:rsid w:val="00F63C4D"/>
    <w:rsid w:val="00F63D32"/>
    <w:rsid w:val="00F641B7"/>
    <w:rsid w:val="00F64BE0"/>
    <w:rsid w:val="00F66156"/>
    <w:rsid w:val="00F67A45"/>
    <w:rsid w:val="00F70A5D"/>
    <w:rsid w:val="00F70FF8"/>
    <w:rsid w:val="00F726D6"/>
    <w:rsid w:val="00F733F5"/>
    <w:rsid w:val="00F80266"/>
    <w:rsid w:val="00F80CC8"/>
    <w:rsid w:val="00F81D29"/>
    <w:rsid w:val="00F8240A"/>
    <w:rsid w:val="00F842D8"/>
    <w:rsid w:val="00F90A90"/>
    <w:rsid w:val="00F91B25"/>
    <w:rsid w:val="00F91C4D"/>
    <w:rsid w:val="00F91D53"/>
    <w:rsid w:val="00F92743"/>
    <w:rsid w:val="00F92FD9"/>
    <w:rsid w:val="00F938B5"/>
    <w:rsid w:val="00F9448D"/>
    <w:rsid w:val="00F95114"/>
    <w:rsid w:val="00F960A3"/>
    <w:rsid w:val="00F97002"/>
    <w:rsid w:val="00F973ED"/>
    <w:rsid w:val="00FA272A"/>
    <w:rsid w:val="00FA4841"/>
    <w:rsid w:val="00FA5530"/>
    <w:rsid w:val="00FA60F7"/>
    <w:rsid w:val="00FA6684"/>
    <w:rsid w:val="00FA6E65"/>
    <w:rsid w:val="00FA6E7C"/>
    <w:rsid w:val="00FA731E"/>
    <w:rsid w:val="00FA77E5"/>
    <w:rsid w:val="00FB0C55"/>
    <w:rsid w:val="00FB2B38"/>
    <w:rsid w:val="00FB4A71"/>
    <w:rsid w:val="00FB4E45"/>
    <w:rsid w:val="00FB7817"/>
    <w:rsid w:val="00FC09D1"/>
    <w:rsid w:val="00FC2294"/>
    <w:rsid w:val="00FC2878"/>
    <w:rsid w:val="00FC2C72"/>
    <w:rsid w:val="00FC2E87"/>
    <w:rsid w:val="00FC443F"/>
    <w:rsid w:val="00FC5A20"/>
    <w:rsid w:val="00FC5CFD"/>
    <w:rsid w:val="00FC6358"/>
    <w:rsid w:val="00FC7734"/>
    <w:rsid w:val="00FD0F85"/>
    <w:rsid w:val="00FD1BC9"/>
    <w:rsid w:val="00FD28BC"/>
    <w:rsid w:val="00FD320D"/>
    <w:rsid w:val="00FD42E0"/>
    <w:rsid w:val="00FD47C3"/>
    <w:rsid w:val="00FD5466"/>
    <w:rsid w:val="00FD57F7"/>
    <w:rsid w:val="00FD58A8"/>
    <w:rsid w:val="00FE0397"/>
    <w:rsid w:val="00FE1EE5"/>
    <w:rsid w:val="00FE23DE"/>
    <w:rsid w:val="00FE3CD3"/>
    <w:rsid w:val="00FE5013"/>
    <w:rsid w:val="00FE559E"/>
    <w:rsid w:val="00FE5DA8"/>
    <w:rsid w:val="00FE71A3"/>
    <w:rsid w:val="00FE72B5"/>
    <w:rsid w:val="00FE75A0"/>
    <w:rsid w:val="00FE77E1"/>
    <w:rsid w:val="00FF1993"/>
    <w:rsid w:val="00FF1BAA"/>
    <w:rsid w:val="00FF2E93"/>
    <w:rsid w:val="00FF3169"/>
    <w:rsid w:val="00FF510F"/>
    <w:rsid w:val="00FF6B7E"/>
    <w:rsid w:val="04992A21"/>
    <w:rsid w:val="071413A9"/>
    <w:rsid w:val="07797F7E"/>
    <w:rsid w:val="0AC4735A"/>
    <w:rsid w:val="0B0D7A29"/>
    <w:rsid w:val="0BBE4DF8"/>
    <w:rsid w:val="0BD71366"/>
    <w:rsid w:val="0C191D25"/>
    <w:rsid w:val="10710382"/>
    <w:rsid w:val="147B1FD7"/>
    <w:rsid w:val="17C65A3C"/>
    <w:rsid w:val="1AB70874"/>
    <w:rsid w:val="1D927B91"/>
    <w:rsid w:val="1E9D270D"/>
    <w:rsid w:val="235B27CC"/>
    <w:rsid w:val="26D217D2"/>
    <w:rsid w:val="26F15921"/>
    <w:rsid w:val="27B53AA4"/>
    <w:rsid w:val="27F2328E"/>
    <w:rsid w:val="289D471E"/>
    <w:rsid w:val="2AC0700B"/>
    <w:rsid w:val="2BEA293F"/>
    <w:rsid w:val="2C6632A4"/>
    <w:rsid w:val="2CB47116"/>
    <w:rsid w:val="2CB573F1"/>
    <w:rsid w:val="2D285E15"/>
    <w:rsid w:val="2E165C6D"/>
    <w:rsid w:val="2FBA728B"/>
    <w:rsid w:val="32765FCC"/>
    <w:rsid w:val="32E738ED"/>
    <w:rsid w:val="33571701"/>
    <w:rsid w:val="343C0754"/>
    <w:rsid w:val="34545741"/>
    <w:rsid w:val="34C06933"/>
    <w:rsid w:val="35702107"/>
    <w:rsid w:val="3611646E"/>
    <w:rsid w:val="37FC2378"/>
    <w:rsid w:val="39B27192"/>
    <w:rsid w:val="3B245E6D"/>
    <w:rsid w:val="3CEB575B"/>
    <w:rsid w:val="3D6C7658"/>
    <w:rsid w:val="3F6B4F37"/>
    <w:rsid w:val="410302D3"/>
    <w:rsid w:val="42AE0712"/>
    <w:rsid w:val="489E0713"/>
    <w:rsid w:val="4AC720D6"/>
    <w:rsid w:val="4C51283A"/>
    <w:rsid w:val="503B3F22"/>
    <w:rsid w:val="517C792F"/>
    <w:rsid w:val="568B1C8B"/>
    <w:rsid w:val="58782EFD"/>
    <w:rsid w:val="5955093D"/>
    <w:rsid w:val="5CAE417E"/>
    <w:rsid w:val="5E287173"/>
    <w:rsid w:val="5E2D6537"/>
    <w:rsid w:val="5FDC1FC3"/>
    <w:rsid w:val="6148401B"/>
    <w:rsid w:val="65341142"/>
    <w:rsid w:val="66537B84"/>
    <w:rsid w:val="6920600C"/>
    <w:rsid w:val="69EA7444"/>
    <w:rsid w:val="6AC41FD2"/>
    <w:rsid w:val="6CBA368C"/>
    <w:rsid w:val="6FA0251F"/>
    <w:rsid w:val="703B7A51"/>
    <w:rsid w:val="706E67DF"/>
    <w:rsid w:val="70890169"/>
    <w:rsid w:val="72421D4A"/>
    <w:rsid w:val="7327134F"/>
    <w:rsid w:val="735C1DCC"/>
    <w:rsid w:val="73F2002C"/>
    <w:rsid w:val="74361A1C"/>
    <w:rsid w:val="75892998"/>
    <w:rsid w:val="75C537CD"/>
    <w:rsid w:val="776E72DB"/>
    <w:rsid w:val="79554E68"/>
    <w:rsid w:val="799501CE"/>
    <w:rsid w:val="7C484810"/>
    <w:rsid w:val="7CBC2429"/>
    <w:rsid w:val="7CEB7842"/>
    <w:rsid w:val="7E6E1F88"/>
    <w:rsid w:val="7F0C5642"/>
    <w:rsid w:val="7F4E7027"/>
    <w:rsid w:val="7F97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146"/>
    <w:qFormat/>
    <w:uiPriority w:val="0"/>
    <w:pPr>
      <w:keepNext/>
      <w:keepLines/>
      <w:spacing w:before="340" w:after="330" w:line="578" w:lineRule="auto"/>
      <w:outlineLvl w:val="0"/>
    </w:pPr>
    <w:rPr>
      <w:rFonts w:ascii="Calibri" w:hAnsi="Calibri"/>
      <w:b/>
      <w:bCs/>
      <w:kern w:val="44"/>
      <w:sz w:val="44"/>
      <w:szCs w:val="44"/>
    </w:rPr>
  </w:style>
  <w:style w:type="paragraph" w:styleId="5">
    <w:name w:val="heading 2"/>
    <w:basedOn w:val="1"/>
    <w:next w:val="3"/>
    <w:link w:val="147"/>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77"/>
    <w:semiHidden/>
    <w:unhideWhenUsed/>
    <w:qFormat/>
    <w:uiPriority w:val="0"/>
    <w:pPr>
      <w:keepNext/>
      <w:keepLines/>
      <w:spacing w:before="260" w:after="260" w:line="416" w:lineRule="auto"/>
      <w:outlineLvl w:val="2"/>
    </w:pPr>
    <w:rPr>
      <w:b/>
      <w:bCs/>
      <w:sz w:val="32"/>
      <w:szCs w:val="32"/>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7">
    <w:name w:val="toc 7"/>
    <w:basedOn w:val="1"/>
    <w:next w:val="1"/>
    <w:semiHidden/>
    <w:qFormat/>
    <w:uiPriority w:val="0"/>
    <w:pPr>
      <w:tabs>
        <w:tab w:val="right" w:leader="dot" w:pos="9241"/>
      </w:tabs>
      <w:ind w:firstLine="500"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annotation text"/>
    <w:basedOn w:val="1"/>
    <w:link w:val="178"/>
    <w:qFormat/>
    <w:uiPriority w:val="0"/>
    <w:pPr>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0" w:firstLineChars="100"/>
      <w:jc w:val="left"/>
    </w:pPr>
    <w:rPr>
      <w:rFonts w:ascii="宋体"/>
      <w:szCs w:val="21"/>
    </w:rPr>
  </w:style>
  <w:style w:type="paragraph" w:styleId="17">
    <w:name w:val="Plain Text"/>
    <w:basedOn w:val="1"/>
    <w:link w:val="150"/>
    <w:qFormat/>
    <w:uiPriority w:val="0"/>
    <w:rPr>
      <w:rFonts w:ascii="宋体" w:hAnsi="Courier New"/>
      <w:szCs w:val="20"/>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153"/>
    <w:qFormat/>
    <w:uiPriority w:val="0"/>
    <w:pPr>
      <w:ind w:left="100" w:leftChars="2500"/>
    </w:pPr>
  </w:style>
  <w:style w:type="paragraph" w:styleId="21">
    <w:name w:val="endnote text"/>
    <w:basedOn w:val="1"/>
    <w:semiHidden/>
    <w:qFormat/>
    <w:uiPriority w:val="0"/>
    <w:pPr>
      <w:snapToGrid w:val="0"/>
      <w:jc w:val="left"/>
    </w:pPr>
  </w:style>
  <w:style w:type="paragraph" w:styleId="22">
    <w:name w:val="Balloon Text"/>
    <w:basedOn w:val="1"/>
    <w:link w:val="149"/>
    <w:qFormat/>
    <w:uiPriority w:val="0"/>
    <w:rPr>
      <w:sz w:val="18"/>
      <w:szCs w:val="18"/>
    </w:rPr>
  </w:style>
  <w:style w:type="paragraph" w:styleId="23">
    <w:name w:val="footer"/>
    <w:basedOn w:val="1"/>
    <w:link w:val="171"/>
    <w:qFormat/>
    <w:uiPriority w:val="99"/>
    <w:pPr>
      <w:snapToGrid w:val="0"/>
      <w:ind w:right="210" w:rightChars="100"/>
      <w:jc w:val="right"/>
    </w:pPr>
    <w:rPr>
      <w:sz w:val="18"/>
      <w:szCs w:val="18"/>
    </w:rPr>
  </w:style>
  <w:style w:type="paragraph" w:styleId="24">
    <w:name w:val="header"/>
    <w:basedOn w:val="1"/>
    <w:link w:val="180"/>
    <w:qFormat/>
    <w:uiPriority w:val="99"/>
    <w:pPr>
      <w:snapToGrid w:val="0"/>
      <w:jc w:val="left"/>
    </w:pPr>
    <w:rPr>
      <w:sz w:val="18"/>
      <w:szCs w:val="18"/>
    </w:rPr>
  </w:style>
  <w:style w:type="paragraph" w:styleId="25">
    <w:name w:val="toc 1"/>
    <w:basedOn w:val="1"/>
    <w:next w:val="1"/>
    <w:qFormat/>
    <w:uiPriority w:val="39"/>
    <w:pPr>
      <w:tabs>
        <w:tab w:val="right" w:leader="dot" w:pos="9242"/>
      </w:tabs>
      <w:spacing w:line="360" w:lineRule="auto"/>
      <w:jc w:val="left"/>
    </w:pPr>
    <w:rPr>
      <w:rFonts w:ascii="宋体"/>
      <w:szCs w:val="21"/>
    </w:rPr>
  </w:style>
  <w:style w:type="paragraph" w:styleId="26">
    <w:name w:val="toc 4"/>
    <w:basedOn w:val="1"/>
    <w:next w:val="1"/>
    <w:semiHidden/>
    <w:qFormat/>
    <w:uiPriority w:val="0"/>
    <w:pPr>
      <w:tabs>
        <w:tab w:val="right" w:leader="dot" w:pos="9241"/>
      </w:tabs>
      <w:ind w:firstLine="200"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semiHidden/>
    <w:qFormat/>
    <w:uiPriority w:val="0"/>
    <w:pPr>
      <w:tabs>
        <w:tab w:val="right" w:leader="dot" w:pos="9241"/>
      </w:tabs>
      <w:ind w:firstLine="400" w:firstLineChars="400"/>
      <w:jc w:val="left"/>
    </w:pPr>
    <w:rPr>
      <w:rFonts w:ascii="宋体"/>
      <w:szCs w:val="21"/>
    </w:rPr>
  </w:style>
  <w:style w:type="paragraph" w:styleId="32">
    <w:name w:val="Body Text Indent 3"/>
    <w:basedOn w:val="1"/>
    <w:link w:val="176"/>
    <w:qFormat/>
    <w:uiPriority w:val="0"/>
    <w:pPr>
      <w:spacing w:after="120"/>
      <w:ind w:left="420" w:leftChars="200"/>
    </w:pPr>
    <w:rPr>
      <w:sz w:val="16"/>
      <w:szCs w:val="16"/>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2"/>
      </w:tabs>
    </w:pPr>
    <w:rPr>
      <w:rFonts w:ascii="宋体"/>
      <w:szCs w:val="21"/>
    </w:rPr>
  </w:style>
  <w:style w:type="paragraph" w:styleId="36">
    <w:name w:val="toc 9"/>
    <w:basedOn w:val="1"/>
    <w:next w:val="1"/>
    <w:semiHidden/>
    <w:qFormat/>
    <w:uiPriority w:val="0"/>
    <w:pPr>
      <w:ind w:left="1470"/>
      <w:jc w:val="left"/>
    </w:pPr>
    <w:rPr>
      <w:sz w:val="20"/>
      <w:szCs w:val="20"/>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Title"/>
    <w:basedOn w:val="1"/>
    <w:next w:val="1"/>
    <w:link w:val="202"/>
    <w:qFormat/>
    <w:uiPriority w:val="0"/>
    <w:pPr>
      <w:spacing w:afterLines="50" w:line="360" w:lineRule="auto"/>
      <w:jc w:val="center"/>
    </w:pPr>
    <w:rPr>
      <w:rFonts w:ascii="黑体" w:eastAsia="黑体"/>
      <w:bCs/>
      <w:color w:val="000000"/>
      <w:kern w:val="0"/>
      <w:szCs w:val="32"/>
    </w:rPr>
  </w:style>
  <w:style w:type="paragraph" w:styleId="39">
    <w:name w:val="annotation subject"/>
    <w:basedOn w:val="12"/>
    <w:next w:val="12"/>
    <w:link w:val="179"/>
    <w:qFormat/>
    <w:uiPriority w:val="0"/>
    <w:rPr>
      <w:b/>
      <w:bCs/>
    </w:rPr>
  </w:style>
  <w:style w:type="table" w:styleId="41">
    <w:name w:val="Table Grid"/>
    <w:basedOn w:val="40"/>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endnote reference"/>
    <w:basedOn w:val="42"/>
    <w:semiHidden/>
    <w:qFormat/>
    <w:uiPriority w:val="0"/>
    <w:rPr>
      <w:vertAlign w:val="superscript"/>
    </w:rPr>
  </w:style>
  <w:style w:type="character" w:styleId="44">
    <w:name w:val="page number"/>
    <w:basedOn w:val="42"/>
    <w:qFormat/>
    <w:uiPriority w:val="0"/>
    <w:rPr>
      <w:rFonts w:ascii="Times New Roman" w:hAnsi="Times New Roman" w:eastAsia="宋体"/>
      <w:sz w:val="18"/>
    </w:rPr>
  </w:style>
  <w:style w:type="character" w:styleId="45">
    <w:name w:val="FollowedHyperlink"/>
    <w:basedOn w:val="42"/>
    <w:qFormat/>
    <w:uiPriority w:val="0"/>
    <w:rPr>
      <w:color w:val="800080"/>
      <w:u w:val="single"/>
    </w:rPr>
  </w:style>
  <w:style w:type="character" w:styleId="46">
    <w:name w:val="Emphasis"/>
    <w:qFormat/>
    <w:uiPriority w:val="0"/>
    <w:rPr>
      <w:rFonts w:ascii="宋体" w:eastAsia="宋体" w:cs="Times New Roman"/>
      <w:iCs/>
      <w:color w:val="000000"/>
      <w:sz w:val="18"/>
      <w:vertAlign w:val="baseline"/>
    </w:rPr>
  </w:style>
  <w:style w:type="character" w:styleId="47">
    <w:name w:val="Hyperlink"/>
    <w:basedOn w:val="42"/>
    <w:qFormat/>
    <w:uiPriority w:val="99"/>
    <w:rPr>
      <w:color w:val="0000FF"/>
      <w:spacing w:val="0"/>
      <w:w w:val="100"/>
      <w:szCs w:val="21"/>
      <w:u w:val="single"/>
    </w:rPr>
  </w:style>
  <w:style w:type="character" w:styleId="48">
    <w:name w:val="annotation reference"/>
    <w:basedOn w:val="42"/>
    <w:qFormat/>
    <w:uiPriority w:val="99"/>
    <w:rPr>
      <w:sz w:val="21"/>
      <w:szCs w:val="21"/>
    </w:rPr>
  </w:style>
  <w:style w:type="character" w:styleId="49">
    <w:name w:val="footnote reference"/>
    <w:basedOn w:val="42"/>
    <w:semiHidden/>
    <w:qFormat/>
    <w:uiPriority w:val="0"/>
    <w:rPr>
      <w:vertAlign w:val="superscript"/>
    </w:rPr>
  </w:style>
  <w:style w:type="character" w:customStyle="1" w:styleId="50">
    <w:name w:val="段 Char"/>
    <w:basedOn w:val="42"/>
    <w:link w:val="29"/>
    <w:qFormat/>
    <w:uiPriority w:val="0"/>
    <w:rPr>
      <w:rFonts w:ascii="宋体"/>
      <w:sz w:val="21"/>
      <w:lang w:val="en-US" w:eastAsia="zh-CN" w:bidi="ar-SA"/>
    </w:rPr>
  </w:style>
  <w:style w:type="paragraph" w:customStyle="1" w:styleId="51">
    <w:name w:val="一级条标题"/>
    <w:next w:val="2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4">
    <w:name w:val="章标题"/>
    <w:next w:val="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5">
    <w:name w:val="二级条标题"/>
    <w:basedOn w:val="51"/>
    <w:next w:val="29"/>
    <w:qFormat/>
    <w:uiPriority w:val="0"/>
    <w:pPr>
      <w:spacing w:before="50" w:after="50"/>
      <w:outlineLvl w:val="3"/>
    </w:pPr>
  </w:style>
  <w:style w:type="paragraph" w:customStyle="1" w:styleId="5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8">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9">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三级条标题"/>
    <w:basedOn w:val="55"/>
    <w:next w:val="29"/>
    <w:qFormat/>
    <w:uiPriority w:val="0"/>
    <w:pPr>
      <w:outlineLvl w:val="4"/>
    </w:pPr>
  </w:style>
  <w:style w:type="paragraph" w:customStyle="1" w:styleId="61">
    <w:name w:val="示例"/>
    <w:next w:val="62"/>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6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3">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4">
    <w:name w:val="四级条标题"/>
    <w:basedOn w:val="60"/>
    <w:next w:val="29"/>
    <w:qFormat/>
    <w:uiPriority w:val="0"/>
    <w:pPr>
      <w:outlineLvl w:val="5"/>
    </w:pPr>
  </w:style>
  <w:style w:type="paragraph" w:customStyle="1" w:styleId="65">
    <w:name w:val="五级条标题"/>
    <w:basedOn w:val="64"/>
    <w:next w:val="29"/>
    <w:qFormat/>
    <w:uiPriority w:val="0"/>
    <w:pPr>
      <w:outlineLvl w:val="6"/>
    </w:pPr>
  </w:style>
  <w:style w:type="paragraph" w:customStyle="1" w:styleId="66">
    <w:name w:val="注："/>
    <w:next w:val="29"/>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7">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8">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9">
    <w:name w:val="列项◆（三级）"/>
    <w:basedOn w:val="1"/>
    <w:qFormat/>
    <w:uiPriority w:val="0"/>
    <w:pPr>
      <w:numPr>
        <w:ilvl w:val="2"/>
        <w:numId w:val="2"/>
      </w:numPr>
    </w:pPr>
    <w:rPr>
      <w:rFonts w:ascii="宋体"/>
      <w:szCs w:val="21"/>
    </w:rPr>
  </w:style>
  <w:style w:type="paragraph" w:customStyle="1" w:styleId="70">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71">
    <w:name w:val="示例×："/>
    <w:basedOn w:val="54"/>
    <w:qFormat/>
    <w:uiPriority w:val="0"/>
    <w:pPr>
      <w:numPr>
        <w:ilvl w:val="0"/>
        <w:numId w:val="7"/>
      </w:numPr>
      <w:spacing w:beforeLines="0" w:afterLines="0"/>
      <w:outlineLvl w:val="9"/>
    </w:pPr>
    <w:rPr>
      <w:rFonts w:ascii="宋体" w:eastAsia="宋体"/>
      <w:sz w:val="18"/>
      <w:szCs w:val="18"/>
    </w:rPr>
  </w:style>
  <w:style w:type="paragraph" w:customStyle="1" w:styleId="72">
    <w:name w:val="二级无"/>
    <w:basedOn w:val="55"/>
    <w:qFormat/>
    <w:uiPriority w:val="0"/>
    <w:pPr>
      <w:spacing w:beforeLines="0" w:afterLines="0"/>
    </w:pPr>
    <w:rPr>
      <w:rFonts w:ascii="宋体" w:eastAsia="宋体"/>
    </w:rPr>
  </w:style>
  <w:style w:type="paragraph" w:customStyle="1" w:styleId="73">
    <w:name w:val="注：（正文）"/>
    <w:basedOn w:val="66"/>
    <w:next w:val="29"/>
    <w:qFormat/>
    <w:uiPriority w:val="0"/>
  </w:style>
  <w:style w:type="paragraph" w:customStyle="1" w:styleId="74">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8">
    <w:name w:val="标准书眉_偶数页"/>
    <w:basedOn w:val="53"/>
    <w:next w:val="1"/>
    <w:qFormat/>
    <w:uiPriority w:val="0"/>
    <w:pPr>
      <w:jc w:val="left"/>
    </w:pPr>
  </w:style>
  <w:style w:type="paragraph" w:customStyle="1" w:styleId="79">
    <w:name w:val="标准书眉一"/>
    <w:qFormat/>
    <w:uiPriority w:val="0"/>
    <w:pPr>
      <w:jc w:val="both"/>
    </w:pPr>
    <w:rPr>
      <w:rFonts w:ascii="Times New Roman" w:hAnsi="Times New Roman" w:eastAsia="宋体" w:cs="Times New Roman"/>
      <w:lang w:val="en-US" w:eastAsia="zh-CN" w:bidi="ar-SA"/>
    </w:rPr>
  </w:style>
  <w:style w:type="paragraph" w:customStyle="1" w:styleId="80">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2">
    <w:name w:val="发布"/>
    <w:basedOn w:val="42"/>
    <w:qFormat/>
    <w:uiPriority w:val="0"/>
    <w:rPr>
      <w:rFonts w:ascii="黑体" w:eastAsia="黑体"/>
      <w:spacing w:val="85"/>
      <w:w w:val="100"/>
      <w:position w:val="3"/>
      <w:sz w:val="28"/>
      <w:szCs w:val="28"/>
    </w:rPr>
  </w:style>
  <w:style w:type="paragraph" w:customStyle="1" w:styleId="83">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8">
    <w:name w:val="封面标准英文名称"/>
    <w:basedOn w:val="87"/>
    <w:qFormat/>
    <w:uiPriority w:val="0"/>
    <w:pPr>
      <w:framePr w:wrap="around"/>
      <w:spacing w:before="370" w:line="400" w:lineRule="exact"/>
    </w:pPr>
    <w:rPr>
      <w:rFonts w:ascii="Times New Roman"/>
      <w:sz w:val="28"/>
      <w:szCs w:val="28"/>
    </w:rPr>
  </w:style>
  <w:style w:type="paragraph" w:customStyle="1" w:styleId="89">
    <w:name w:val="封面一致性程度标识"/>
    <w:basedOn w:val="88"/>
    <w:qFormat/>
    <w:uiPriority w:val="0"/>
    <w:pPr>
      <w:framePr w:wrap="around"/>
      <w:spacing w:before="440"/>
    </w:pPr>
    <w:rPr>
      <w:rFonts w:ascii="宋体" w:eastAsia="宋体"/>
    </w:rPr>
  </w:style>
  <w:style w:type="paragraph" w:customStyle="1" w:styleId="90">
    <w:name w:val="封面标准文稿类别"/>
    <w:basedOn w:val="89"/>
    <w:qFormat/>
    <w:uiPriority w:val="0"/>
    <w:pPr>
      <w:framePr w:wrap="around"/>
      <w:spacing w:after="160" w:line="240" w:lineRule="auto"/>
    </w:pPr>
    <w:rPr>
      <w:sz w:val="24"/>
    </w:rPr>
  </w:style>
  <w:style w:type="paragraph" w:customStyle="1" w:styleId="91">
    <w:name w:val="封面标准文稿编辑信息"/>
    <w:basedOn w:val="90"/>
    <w:qFormat/>
    <w:uiPriority w:val="0"/>
    <w:pPr>
      <w:framePr w:wrap="around"/>
      <w:spacing w:before="180" w:line="180" w:lineRule="exact"/>
    </w:pPr>
    <w:rPr>
      <w:sz w:val="21"/>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附录标识"/>
    <w:basedOn w:val="1"/>
    <w:next w:val="29"/>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4">
    <w:name w:val="附录标题"/>
    <w:basedOn w:val="29"/>
    <w:next w:val="29"/>
    <w:qFormat/>
    <w:uiPriority w:val="0"/>
    <w:pPr>
      <w:ind w:firstLine="0" w:firstLineChars="0"/>
      <w:jc w:val="center"/>
    </w:pPr>
    <w:rPr>
      <w:rFonts w:ascii="黑体" w:eastAsia="黑体"/>
    </w:rPr>
  </w:style>
  <w:style w:type="paragraph" w:customStyle="1" w:styleId="95">
    <w:name w:val="附录表标号"/>
    <w:basedOn w:val="1"/>
    <w:next w:val="29"/>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6">
    <w:name w:val="附录表标题"/>
    <w:basedOn w:val="1"/>
    <w:next w:val="29"/>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7">
    <w:name w:val="附录二级条标题"/>
    <w:basedOn w:val="1"/>
    <w:next w:val="29"/>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8">
    <w:name w:val="附录二级无"/>
    <w:basedOn w:val="97"/>
    <w:qFormat/>
    <w:uiPriority w:val="0"/>
    <w:pPr>
      <w:tabs>
        <w:tab w:val="clear" w:pos="360"/>
      </w:tabs>
      <w:spacing w:beforeLines="0" w:afterLines="0"/>
    </w:pPr>
    <w:rPr>
      <w:rFonts w:ascii="宋体" w:eastAsia="宋体"/>
      <w:szCs w:val="21"/>
    </w:rPr>
  </w:style>
  <w:style w:type="paragraph" w:customStyle="1" w:styleId="99">
    <w:name w:val="附录公式"/>
    <w:basedOn w:val="29"/>
    <w:next w:val="29"/>
    <w:link w:val="100"/>
    <w:qFormat/>
    <w:uiPriority w:val="0"/>
  </w:style>
  <w:style w:type="character" w:customStyle="1" w:styleId="100">
    <w:name w:val="附录公式 Char"/>
    <w:basedOn w:val="50"/>
    <w:link w:val="99"/>
    <w:qFormat/>
    <w:uiPriority w:val="0"/>
    <w:rPr>
      <w:rFonts w:ascii="宋体"/>
      <w:sz w:val="21"/>
      <w:lang w:val="en-US" w:eastAsia="zh-CN" w:bidi="ar-SA"/>
    </w:rPr>
  </w:style>
  <w:style w:type="paragraph" w:customStyle="1" w:styleId="101">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02">
    <w:name w:val="附录三级条标题"/>
    <w:basedOn w:val="97"/>
    <w:next w:val="29"/>
    <w:qFormat/>
    <w:uiPriority w:val="0"/>
    <w:pPr>
      <w:numPr>
        <w:ilvl w:val="4"/>
      </w:numPr>
      <w:outlineLvl w:val="4"/>
    </w:pPr>
  </w:style>
  <w:style w:type="paragraph" w:customStyle="1" w:styleId="103">
    <w:name w:val="附录三级无"/>
    <w:basedOn w:val="102"/>
    <w:qFormat/>
    <w:uiPriority w:val="0"/>
    <w:pPr>
      <w:tabs>
        <w:tab w:val="clear" w:pos="360"/>
      </w:tabs>
      <w:spacing w:beforeLines="0" w:afterLines="0"/>
    </w:pPr>
    <w:rPr>
      <w:rFonts w:ascii="宋体" w:eastAsia="宋体"/>
      <w:szCs w:val="21"/>
    </w:rPr>
  </w:style>
  <w:style w:type="paragraph" w:customStyle="1" w:styleId="104">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5">
    <w:name w:val="附录四级条标题"/>
    <w:basedOn w:val="102"/>
    <w:next w:val="29"/>
    <w:qFormat/>
    <w:uiPriority w:val="0"/>
    <w:pPr>
      <w:numPr>
        <w:ilvl w:val="5"/>
      </w:numPr>
      <w:outlineLvl w:val="5"/>
    </w:pPr>
  </w:style>
  <w:style w:type="paragraph" w:customStyle="1" w:styleId="106">
    <w:name w:val="附录四级无"/>
    <w:basedOn w:val="105"/>
    <w:qFormat/>
    <w:uiPriority w:val="0"/>
    <w:pPr>
      <w:tabs>
        <w:tab w:val="clear" w:pos="360"/>
      </w:tabs>
      <w:spacing w:beforeLines="0" w:afterLines="0"/>
    </w:pPr>
    <w:rPr>
      <w:rFonts w:ascii="宋体" w:eastAsia="宋体"/>
      <w:szCs w:val="21"/>
    </w:rPr>
  </w:style>
  <w:style w:type="paragraph" w:customStyle="1" w:styleId="107">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8">
    <w:name w:val="附录图标题"/>
    <w:basedOn w:val="1"/>
    <w:next w:val="29"/>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09">
    <w:name w:val="附录五级条标题"/>
    <w:basedOn w:val="105"/>
    <w:next w:val="29"/>
    <w:qFormat/>
    <w:uiPriority w:val="0"/>
    <w:pPr>
      <w:numPr>
        <w:ilvl w:val="6"/>
      </w:numPr>
      <w:outlineLvl w:val="6"/>
    </w:pPr>
  </w:style>
  <w:style w:type="paragraph" w:customStyle="1" w:styleId="110">
    <w:name w:val="附录五级无"/>
    <w:basedOn w:val="109"/>
    <w:qFormat/>
    <w:uiPriority w:val="0"/>
    <w:pPr>
      <w:tabs>
        <w:tab w:val="clear" w:pos="360"/>
      </w:tabs>
      <w:spacing w:beforeLines="0" w:afterLines="0"/>
    </w:pPr>
    <w:rPr>
      <w:rFonts w:ascii="宋体" w:eastAsia="宋体"/>
      <w:szCs w:val="21"/>
    </w:rPr>
  </w:style>
  <w:style w:type="paragraph" w:customStyle="1" w:styleId="111">
    <w:name w:val="附录章标题"/>
    <w:next w:val="29"/>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附录一级条标题"/>
    <w:basedOn w:val="111"/>
    <w:next w:val="29"/>
    <w:qFormat/>
    <w:uiPriority w:val="0"/>
    <w:pPr>
      <w:numPr>
        <w:ilvl w:val="2"/>
      </w:numPr>
      <w:autoSpaceDN w:val="0"/>
      <w:spacing w:beforeLines="50" w:afterLines="50"/>
      <w:outlineLvl w:val="2"/>
    </w:pPr>
  </w:style>
  <w:style w:type="paragraph" w:customStyle="1" w:styleId="113">
    <w:name w:val="附录一级无"/>
    <w:basedOn w:val="112"/>
    <w:qFormat/>
    <w:uiPriority w:val="0"/>
    <w:pPr>
      <w:tabs>
        <w:tab w:val="clear" w:pos="360"/>
      </w:tabs>
      <w:spacing w:beforeLines="0" w:afterLines="0"/>
    </w:pPr>
    <w:rPr>
      <w:rFonts w:ascii="宋体" w:eastAsia="宋体"/>
      <w:szCs w:val="21"/>
    </w:rPr>
  </w:style>
  <w:style w:type="paragraph" w:customStyle="1" w:styleId="114">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5"/>
    <w:qFormat/>
    <w:uiPriority w:val="0"/>
    <w:pPr>
      <w:framePr w:w="6101" w:wrap="around" w:vAnchor="page" w:hAnchor="page" w:x="4673" w:y="942"/>
    </w:pPr>
    <w:rPr>
      <w:w w:val="130"/>
    </w:rPr>
  </w:style>
  <w:style w:type="paragraph" w:customStyle="1" w:styleId="1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3"/>
    <w:qFormat/>
    <w:uiPriority w:val="0"/>
    <w:pPr>
      <w:framePr w:wrap="around" w:y="15310"/>
      <w:spacing w:line="0" w:lineRule="atLeast"/>
    </w:pPr>
    <w:rPr>
      <w:rFonts w:ascii="黑体" w:eastAsia="黑体"/>
      <w:b w:val="0"/>
    </w:rPr>
  </w:style>
  <w:style w:type="paragraph" w:customStyle="1" w:styleId="121">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60"/>
    <w:qFormat/>
    <w:uiPriority w:val="0"/>
    <w:pPr>
      <w:spacing w:beforeLines="0" w:afterLines="0"/>
    </w:pPr>
    <w:rPr>
      <w:rFonts w:ascii="宋体" w:eastAsia="宋体"/>
    </w:rPr>
  </w:style>
  <w:style w:type="paragraph" w:customStyle="1" w:styleId="123">
    <w:name w:val="实施日期"/>
    <w:basedOn w:val="84"/>
    <w:qFormat/>
    <w:uiPriority w:val="0"/>
    <w:pPr>
      <w:framePr w:wrap="around" w:vAnchor="page" w:hAnchor="text"/>
      <w:jc w:val="right"/>
    </w:pPr>
  </w:style>
  <w:style w:type="paragraph" w:customStyle="1" w:styleId="124">
    <w:name w:val="示例后文字"/>
    <w:basedOn w:val="29"/>
    <w:next w:val="29"/>
    <w:qFormat/>
    <w:uiPriority w:val="0"/>
    <w:pPr>
      <w:ind w:firstLine="360"/>
    </w:pPr>
    <w:rPr>
      <w:sz w:val="18"/>
    </w:rPr>
  </w:style>
  <w:style w:type="paragraph" w:customStyle="1" w:styleId="125">
    <w:name w:val="首示例"/>
    <w:next w:val="29"/>
    <w:link w:val="126"/>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6">
    <w:name w:val="首示例 Char"/>
    <w:basedOn w:val="42"/>
    <w:link w:val="125"/>
    <w:qFormat/>
    <w:uiPriority w:val="0"/>
    <w:rPr>
      <w:rFonts w:ascii="宋体" w:hAnsi="宋体"/>
      <w:kern w:val="2"/>
      <w:sz w:val="18"/>
      <w:szCs w:val="18"/>
    </w:rPr>
  </w:style>
  <w:style w:type="paragraph" w:customStyle="1" w:styleId="127">
    <w:name w:val="四级无"/>
    <w:basedOn w:val="64"/>
    <w:qFormat/>
    <w:uiPriority w:val="0"/>
    <w:pPr>
      <w:spacing w:beforeLines="0" w:afterLines="0"/>
    </w:pPr>
    <w:rPr>
      <w:rFonts w:ascii="宋体" w:eastAsia="宋体"/>
    </w:rPr>
  </w:style>
  <w:style w:type="paragraph" w:customStyle="1" w:styleId="128">
    <w:name w:val="条文脚注"/>
    <w:basedOn w:val="30"/>
    <w:qFormat/>
    <w:uiPriority w:val="0"/>
    <w:pPr>
      <w:numPr>
        <w:numId w:val="0"/>
      </w:numPr>
      <w:jc w:val="both"/>
    </w:pPr>
  </w:style>
  <w:style w:type="paragraph" w:customStyle="1" w:styleId="129">
    <w:name w:val="图标脚注说明"/>
    <w:basedOn w:val="29"/>
    <w:qFormat/>
    <w:uiPriority w:val="0"/>
    <w:pPr>
      <w:ind w:left="840" w:hanging="420" w:firstLineChars="0"/>
    </w:pPr>
    <w:rPr>
      <w:sz w:val="18"/>
      <w:szCs w:val="18"/>
    </w:rPr>
  </w:style>
  <w:style w:type="paragraph" w:customStyle="1" w:styleId="130">
    <w:name w:val="图表脚注说明"/>
    <w:basedOn w:val="1"/>
    <w:qFormat/>
    <w:uiPriority w:val="0"/>
    <w:pPr>
      <w:numPr>
        <w:ilvl w:val="0"/>
        <w:numId w:val="14"/>
      </w:numPr>
    </w:pPr>
    <w:rPr>
      <w:rFonts w:ascii="宋体"/>
      <w:sz w:val="18"/>
      <w:szCs w:val="18"/>
    </w:rPr>
  </w:style>
  <w:style w:type="paragraph" w:customStyle="1" w:styleId="131">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3">
    <w:name w:val="五级无"/>
    <w:basedOn w:val="65"/>
    <w:qFormat/>
    <w:uiPriority w:val="0"/>
    <w:pPr>
      <w:spacing w:beforeLines="0" w:afterLines="0"/>
    </w:pPr>
    <w:rPr>
      <w:rFonts w:ascii="宋体" w:eastAsia="宋体"/>
    </w:rPr>
  </w:style>
  <w:style w:type="paragraph" w:customStyle="1" w:styleId="134">
    <w:name w:val="一级无"/>
    <w:basedOn w:val="51"/>
    <w:qFormat/>
    <w:uiPriority w:val="0"/>
    <w:pPr>
      <w:spacing w:beforeLines="0" w:afterLines="0"/>
    </w:pPr>
    <w:rPr>
      <w:rFonts w:ascii="宋体" w:eastAsia="宋体"/>
    </w:rPr>
  </w:style>
  <w:style w:type="paragraph" w:customStyle="1" w:styleId="135">
    <w:name w:val="正文表标题"/>
    <w:next w:val="29"/>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36">
    <w:name w:val="正文公式编号制表符"/>
    <w:basedOn w:val="29"/>
    <w:next w:val="29"/>
    <w:qFormat/>
    <w:uiPriority w:val="0"/>
    <w:pPr>
      <w:ind w:firstLine="0" w:firstLineChars="0"/>
    </w:pPr>
  </w:style>
  <w:style w:type="paragraph" w:customStyle="1" w:styleId="137">
    <w:name w:val="正文图标题"/>
    <w:next w:val="29"/>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8">
    <w:name w:val="终结线"/>
    <w:basedOn w:val="1"/>
    <w:qFormat/>
    <w:uiPriority w:val="0"/>
    <w:pPr>
      <w:framePr w:hSpace="181" w:vSpace="181" w:wrap="around" w:vAnchor="text" w:hAnchor="margin" w:xAlign="center" w:y="285"/>
    </w:pPr>
  </w:style>
  <w:style w:type="paragraph" w:customStyle="1" w:styleId="139">
    <w:name w:val="其他发布日期"/>
    <w:basedOn w:val="84"/>
    <w:qFormat/>
    <w:uiPriority w:val="0"/>
    <w:pPr>
      <w:framePr w:wrap="around" w:vAnchor="page" w:hAnchor="text" w:x="1419"/>
    </w:pPr>
  </w:style>
  <w:style w:type="paragraph" w:customStyle="1" w:styleId="140">
    <w:name w:val="其他实施日期"/>
    <w:basedOn w:val="123"/>
    <w:qFormat/>
    <w:uiPriority w:val="0"/>
    <w:pPr>
      <w:framePr w:wrap="around"/>
    </w:pPr>
  </w:style>
  <w:style w:type="paragraph" w:customStyle="1" w:styleId="141">
    <w:name w:val="封面标准名称2"/>
    <w:basedOn w:val="87"/>
    <w:qFormat/>
    <w:uiPriority w:val="0"/>
    <w:pPr>
      <w:framePr w:wrap="around" w:y="4469"/>
      <w:spacing w:beforeLines="630"/>
    </w:pPr>
  </w:style>
  <w:style w:type="paragraph" w:customStyle="1" w:styleId="142">
    <w:name w:val="封面标准英文名称2"/>
    <w:basedOn w:val="88"/>
    <w:qFormat/>
    <w:uiPriority w:val="0"/>
    <w:pPr>
      <w:framePr w:wrap="around" w:y="4469"/>
    </w:pPr>
  </w:style>
  <w:style w:type="paragraph" w:customStyle="1" w:styleId="143">
    <w:name w:val="封面一致性程度标识2"/>
    <w:basedOn w:val="89"/>
    <w:qFormat/>
    <w:uiPriority w:val="0"/>
    <w:pPr>
      <w:framePr w:wrap="around" w:y="4469"/>
    </w:pPr>
  </w:style>
  <w:style w:type="paragraph" w:customStyle="1" w:styleId="144">
    <w:name w:val="封面标准文稿类别2"/>
    <w:basedOn w:val="90"/>
    <w:qFormat/>
    <w:uiPriority w:val="0"/>
    <w:pPr>
      <w:framePr w:wrap="around" w:y="4469"/>
    </w:pPr>
  </w:style>
  <w:style w:type="paragraph" w:customStyle="1" w:styleId="145">
    <w:name w:val="封面标准文稿编辑信息2"/>
    <w:basedOn w:val="91"/>
    <w:qFormat/>
    <w:uiPriority w:val="0"/>
    <w:pPr>
      <w:framePr w:wrap="around" w:y="4469"/>
    </w:pPr>
  </w:style>
  <w:style w:type="character" w:customStyle="1" w:styleId="146">
    <w:name w:val="标题 1 字符"/>
    <w:basedOn w:val="42"/>
    <w:link w:val="2"/>
    <w:qFormat/>
    <w:locked/>
    <w:uiPriority w:val="0"/>
    <w:rPr>
      <w:rFonts w:ascii="Calibri" w:hAnsi="Calibri" w:eastAsia="宋体"/>
      <w:b/>
      <w:bCs/>
      <w:kern w:val="44"/>
      <w:sz w:val="44"/>
      <w:szCs w:val="44"/>
      <w:lang w:val="en-US" w:eastAsia="zh-CN" w:bidi="ar-SA"/>
    </w:rPr>
  </w:style>
  <w:style w:type="character" w:customStyle="1" w:styleId="147">
    <w:name w:val="标题 2 字符"/>
    <w:basedOn w:val="42"/>
    <w:link w:val="5"/>
    <w:semiHidden/>
    <w:qFormat/>
    <w:locked/>
    <w:uiPriority w:val="0"/>
    <w:rPr>
      <w:rFonts w:ascii="Cambria" w:hAnsi="Cambria" w:eastAsia="宋体"/>
      <w:b/>
      <w:bCs/>
      <w:kern w:val="2"/>
      <w:sz w:val="32"/>
      <w:szCs w:val="32"/>
      <w:lang w:val="en-US" w:eastAsia="zh-CN" w:bidi="ar-SA"/>
    </w:rPr>
  </w:style>
  <w:style w:type="paragraph" w:customStyle="1" w:styleId="148">
    <w:name w:val="正文表格"/>
    <w:basedOn w:val="1"/>
    <w:qFormat/>
    <w:uiPriority w:val="0"/>
    <w:pPr>
      <w:jc w:val="center"/>
    </w:pPr>
    <w:rPr>
      <w:rFonts w:ascii="宋体" w:hAnsi="宋体"/>
      <w:szCs w:val="22"/>
    </w:rPr>
  </w:style>
  <w:style w:type="character" w:customStyle="1" w:styleId="149">
    <w:name w:val="批注框文本 字符"/>
    <w:basedOn w:val="42"/>
    <w:link w:val="22"/>
    <w:qFormat/>
    <w:uiPriority w:val="0"/>
    <w:rPr>
      <w:kern w:val="2"/>
      <w:sz w:val="18"/>
      <w:szCs w:val="18"/>
    </w:rPr>
  </w:style>
  <w:style w:type="character" w:customStyle="1" w:styleId="150">
    <w:name w:val="纯文本 字符"/>
    <w:basedOn w:val="42"/>
    <w:link w:val="17"/>
    <w:qFormat/>
    <w:uiPriority w:val="0"/>
    <w:rPr>
      <w:rFonts w:ascii="宋体" w:hAnsi="Courier New"/>
      <w:kern w:val="2"/>
      <w:sz w:val="21"/>
    </w:rPr>
  </w:style>
  <w:style w:type="paragraph" w:customStyle="1" w:styleId="151">
    <w:name w:val="正文文本 21"/>
    <w:basedOn w:val="1"/>
    <w:qFormat/>
    <w:uiPriority w:val="0"/>
    <w:pPr>
      <w:adjustRightInd w:val="0"/>
      <w:ind w:firstLine="510"/>
      <w:jc w:val="left"/>
      <w:textAlignment w:val="baseline"/>
    </w:pPr>
    <w:rPr>
      <w:rFonts w:eastAsia="@幼圆"/>
      <w:sz w:val="32"/>
      <w:szCs w:val="20"/>
    </w:rPr>
  </w:style>
  <w:style w:type="paragraph" w:customStyle="1" w:styleId="15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3">
    <w:name w:val="日期 字符"/>
    <w:basedOn w:val="42"/>
    <w:link w:val="20"/>
    <w:qFormat/>
    <w:uiPriority w:val="0"/>
    <w:rPr>
      <w:kern w:val="2"/>
      <w:sz w:val="21"/>
      <w:szCs w:val="24"/>
    </w:rPr>
  </w:style>
  <w:style w:type="paragraph" w:customStyle="1" w:styleId="154">
    <w:name w:val="表格"/>
    <w:next w:val="1"/>
    <w:link w:val="155"/>
    <w:qFormat/>
    <w:uiPriority w:val="0"/>
    <w:pPr>
      <w:widowControl w:val="0"/>
      <w:adjustRightInd w:val="0"/>
      <w:jc w:val="center"/>
    </w:pPr>
    <w:rPr>
      <w:rFonts w:ascii="宋体" w:hAnsi="宋体" w:eastAsia="宋体" w:cs="Times New Roman"/>
      <w:kern w:val="2"/>
      <w:sz w:val="21"/>
      <w:szCs w:val="21"/>
      <w:lang w:val="en-US" w:eastAsia="zh-CN" w:bidi="ar-SA"/>
    </w:rPr>
  </w:style>
  <w:style w:type="character" w:customStyle="1" w:styleId="155">
    <w:name w:val="表格 Char"/>
    <w:basedOn w:val="42"/>
    <w:link w:val="154"/>
    <w:qFormat/>
    <w:locked/>
    <w:uiPriority w:val="0"/>
    <w:rPr>
      <w:rFonts w:ascii="宋体" w:hAnsi="宋体"/>
      <w:kern w:val="2"/>
      <w:sz w:val="21"/>
      <w:szCs w:val="21"/>
      <w:lang w:val="en-US" w:eastAsia="zh-CN" w:bidi="ar-SA"/>
    </w:rPr>
  </w:style>
  <w:style w:type="paragraph" w:customStyle="1" w:styleId="156">
    <w:name w:val="样式 首行缩进:  2 字符"/>
    <w:basedOn w:val="1"/>
    <w:link w:val="166"/>
    <w:qFormat/>
    <w:uiPriority w:val="0"/>
    <w:pPr>
      <w:widowControl/>
      <w:spacing w:line="520" w:lineRule="exact"/>
      <w:ind w:firstLine="240" w:firstLineChars="100"/>
    </w:pPr>
    <w:rPr>
      <w:rFonts w:ascii="宋体" w:hAnsi="宋体" w:cs="宋体"/>
      <w:sz w:val="24"/>
    </w:rPr>
  </w:style>
  <w:style w:type="paragraph" w:customStyle="1" w:styleId="157">
    <w:name w:val="正文11"/>
    <w:basedOn w:val="1"/>
    <w:link w:val="158"/>
    <w:qFormat/>
    <w:uiPriority w:val="0"/>
    <w:pPr>
      <w:widowControl/>
    </w:pPr>
    <w:rPr>
      <w:rFonts w:ascii="宋体" w:hAnsi="宋体"/>
      <w:szCs w:val="21"/>
    </w:rPr>
  </w:style>
  <w:style w:type="character" w:customStyle="1" w:styleId="158">
    <w:name w:val="正文1 Char"/>
    <w:basedOn w:val="42"/>
    <w:link w:val="157"/>
    <w:qFormat/>
    <w:locked/>
    <w:uiPriority w:val="0"/>
    <w:rPr>
      <w:rFonts w:ascii="宋体" w:hAnsi="宋体"/>
      <w:kern w:val="2"/>
      <w:sz w:val="21"/>
      <w:szCs w:val="21"/>
    </w:rPr>
  </w:style>
  <w:style w:type="paragraph" w:customStyle="1" w:styleId="159">
    <w:name w:val="公式"/>
    <w:basedOn w:val="1"/>
    <w:link w:val="160"/>
    <w:qFormat/>
    <w:uiPriority w:val="0"/>
    <w:pPr>
      <w:widowControl/>
      <w:spacing w:line="360" w:lineRule="auto"/>
      <w:ind w:right="480"/>
      <w:jc w:val="right"/>
    </w:pPr>
    <w:rPr>
      <w:b/>
      <w:sz w:val="24"/>
    </w:rPr>
  </w:style>
  <w:style w:type="character" w:customStyle="1" w:styleId="160">
    <w:name w:val="公式 Char"/>
    <w:basedOn w:val="42"/>
    <w:link w:val="159"/>
    <w:qFormat/>
    <w:uiPriority w:val="0"/>
    <w:rPr>
      <w:b/>
      <w:kern w:val="2"/>
      <w:sz w:val="24"/>
      <w:szCs w:val="24"/>
    </w:rPr>
  </w:style>
  <w:style w:type="paragraph" w:customStyle="1" w:styleId="161">
    <w:name w:val="样式 表格 + 宋体"/>
    <w:basedOn w:val="154"/>
    <w:link w:val="162"/>
    <w:qFormat/>
    <w:uiPriority w:val="0"/>
    <w:pPr>
      <w:framePr w:hSpace="180" w:wrap="around" w:vAnchor="text" w:hAnchor="margin" w:xAlign="center" w:y="98"/>
      <w:spacing w:line="360" w:lineRule="auto"/>
    </w:pPr>
    <w:rPr>
      <w:szCs w:val="24"/>
    </w:rPr>
  </w:style>
  <w:style w:type="character" w:customStyle="1" w:styleId="162">
    <w:name w:val="样式 表格 + 宋体 Char"/>
    <w:basedOn w:val="155"/>
    <w:link w:val="161"/>
    <w:qFormat/>
    <w:uiPriority w:val="0"/>
    <w:rPr>
      <w:rFonts w:ascii="宋体" w:hAnsi="宋体"/>
      <w:kern w:val="2"/>
      <w:sz w:val="21"/>
      <w:szCs w:val="24"/>
      <w:lang w:val="en-US" w:eastAsia="zh-CN" w:bidi="ar-SA"/>
    </w:rPr>
  </w:style>
  <w:style w:type="paragraph" w:customStyle="1" w:styleId="163">
    <w:name w:val="样式 样式 表名 + (西文) 宋体 (中文) 宋体 + (中文) 宋体"/>
    <w:basedOn w:val="1"/>
    <w:link w:val="164"/>
    <w:qFormat/>
    <w:uiPriority w:val="0"/>
    <w:pPr>
      <w:spacing w:line="240" w:lineRule="atLeast"/>
      <w:jc w:val="center"/>
    </w:pPr>
    <w:rPr>
      <w:rFonts w:ascii="Calibri" w:hAnsi="Calibri" w:eastAsia="Times New Roman" w:cs="宋体"/>
      <w:b/>
      <w:bCs/>
      <w:sz w:val="24"/>
      <w:szCs w:val="21"/>
    </w:rPr>
  </w:style>
  <w:style w:type="character" w:customStyle="1" w:styleId="164">
    <w:name w:val="样式 样式 表名 + (西文) 宋体 (中文) 宋体 + (中文) 宋体 Char"/>
    <w:basedOn w:val="42"/>
    <w:link w:val="163"/>
    <w:qFormat/>
    <w:uiPriority w:val="0"/>
    <w:rPr>
      <w:rFonts w:ascii="Calibri" w:hAnsi="Calibri" w:eastAsia="Times New Roman" w:cs="宋体"/>
      <w:b/>
      <w:bCs/>
      <w:kern w:val="2"/>
      <w:sz w:val="24"/>
      <w:szCs w:val="21"/>
    </w:rPr>
  </w:style>
  <w:style w:type="paragraph" w:customStyle="1" w:styleId="165">
    <w:name w:val="样式 样式 样式 表名 + (西文) 宋体 (中文) 宋体 + (中文) 宋体 + (西文) Times New Roman ..."/>
    <w:basedOn w:val="163"/>
    <w:qFormat/>
    <w:uiPriority w:val="0"/>
    <w:pPr>
      <w:adjustRightInd w:val="0"/>
      <w:snapToGrid w:val="0"/>
      <w:spacing w:line="360" w:lineRule="auto"/>
    </w:pPr>
    <w:rPr>
      <w:rFonts w:ascii="宋体" w:hAnsi="宋体" w:eastAsia="宋体" w:cs="Times New Roman"/>
      <w:szCs w:val="24"/>
    </w:rPr>
  </w:style>
  <w:style w:type="character" w:customStyle="1" w:styleId="166">
    <w:name w:val="样式 首行缩进:  2 字符 Char"/>
    <w:basedOn w:val="42"/>
    <w:link w:val="156"/>
    <w:qFormat/>
    <w:uiPriority w:val="0"/>
    <w:rPr>
      <w:rFonts w:ascii="宋体" w:hAnsi="宋体" w:cs="宋体"/>
      <w:kern w:val="2"/>
      <w:sz w:val="24"/>
      <w:szCs w:val="24"/>
    </w:rPr>
  </w:style>
  <w:style w:type="paragraph" w:customStyle="1" w:styleId="167">
    <w:name w:val="表格22"/>
    <w:basedOn w:val="1"/>
    <w:link w:val="168"/>
    <w:qFormat/>
    <w:uiPriority w:val="0"/>
    <w:pPr>
      <w:spacing w:line="360" w:lineRule="auto"/>
      <w:jc w:val="center"/>
    </w:pPr>
    <w:rPr>
      <w:b/>
      <w:szCs w:val="21"/>
    </w:rPr>
  </w:style>
  <w:style w:type="character" w:customStyle="1" w:styleId="168">
    <w:name w:val="表格22 Char"/>
    <w:basedOn w:val="42"/>
    <w:link w:val="167"/>
    <w:qFormat/>
    <w:uiPriority w:val="0"/>
    <w:rPr>
      <w:b/>
      <w:kern w:val="2"/>
      <w:sz w:val="21"/>
      <w:szCs w:val="21"/>
    </w:rPr>
  </w:style>
  <w:style w:type="paragraph" w:customStyle="1" w:styleId="169">
    <w:name w:val="样式 表名 + 宋体1"/>
    <w:basedOn w:val="1"/>
    <w:link w:val="170"/>
    <w:qFormat/>
    <w:uiPriority w:val="0"/>
    <w:pPr>
      <w:widowControl/>
      <w:spacing w:line="240" w:lineRule="atLeast"/>
      <w:jc w:val="center"/>
    </w:pPr>
    <w:rPr>
      <w:rFonts w:cs="宋体"/>
      <w:bCs/>
      <w:szCs w:val="21"/>
    </w:rPr>
  </w:style>
  <w:style w:type="character" w:customStyle="1" w:styleId="170">
    <w:name w:val="样式 表名 + 宋体1 Char"/>
    <w:basedOn w:val="42"/>
    <w:link w:val="169"/>
    <w:qFormat/>
    <w:locked/>
    <w:uiPriority w:val="0"/>
    <w:rPr>
      <w:rFonts w:cs="宋体"/>
      <w:bCs/>
      <w:kern w:val="2"/>
      <w:sz w:val="21"/>
      <w:szCs w:val="21"/>
    </w:rPr>
  </w:style>
  <w:style w:type="character" w:customStyle="1" w:styleId="171">
    <w:name w:val="页脚 字符"/>
    <w:basedOn w:val="42"/>
    <w:link w:val="23"/>
    <w:qFormat/>
    <w:uiPriority w:val="99"/>
    <w:rPr>
      <w:kern w:val="2"/>
      <w:sz w:val="18"/>
      <w:szCs w:val="18"/>
    </w:rPr>
  </w:style>
  <w:style w:type="paragraph" w:customStyle="1" w:styleId="172">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173">
    <w:name w:val="font61"/>
    <w:basedOn w:val="42"/>
    <w:qFormat/>
    <w:uiPriority w:val="0"/>
    <w:rPr>
      <w:rFonts w:hint="eastAsia" w:ascii="宋体" w:hAnsi="宋体" w:eastAsia="宋体" w:cs="宋体"/>
      <w:color w:val="auto"/>
      <w:sz w:val="24"/>
      <w:szCs w:val="24"/>
      <w:u w:val="none"/>
    </w:rPr>
  </w:style>
  <w:style w:type="character" w:customStyle="1" w:styleId="174">
    <w:name w:val="font71"/>
    <w:basedOn w:val="42"/>
    <w:qFormat/>
    <w:uiPriority w:val="0"/>
    <w:rPr>
      <w:rFonts w:hint="default" w:ascii="Times New Roman" w:hAnsi="Times New Roman" w:cs="Times New Roman"/>
      <w:color w:val="auto"/>
      <w:sz w:val="21"/>
      <w:szCs w:val="21"/>
      <w:u w:val="none"/>
    </w:rPr>
  </w:style>
  <w:style w:type="paragraph" w:customStyle="1" w:styleId="175">
    <w:name w:val="简单回函地址"/>
    <w:basedOn w:val="1"/>
    <w:qFormat/>
    <w:uiPriority w:val="0"/>
  </w:style>
  <w:style w:type="character" w:customStyle="1" w:styleId="176">
    <w:name w:val="正文文本缩进 3 字符"/>
    <w:basedOn w:val="42"/>
    <w:link w:val="32"/>
    <w:qFormat/>
    <w:uiPriority w:val="0"/>
    <w:rPr>
      <w:kern w:val="2"/>
      <w:sz w:val="16"/>
      <w:szCs w:val="16"/>
    </w:rPr>
  </w:style>
  <w:style w:type="character" w:customStyle="1" w:styleId="177">
    <w:name w:val="标题 3 字符"/>
    <w:basedOn w:val="42"/>
    <w:link w:val="6"/>
    <w:semiHidden/>
    <w:qFormat/>
    <w:uiPriority w:val="0"/>
    <w:rPr>
      <w:b/>
      <w:bCs/>
      <w:kern w:val="2"/>
      <w:sz w:val="32"/>
      <w:szCs w:val="32"/>
    </w:rPr>
  </w:style>
  <w:style w:type="character" w:customStyle="1" w:styleId="178">
    <w:name w:val="批注文字 字符"/>
    <w:basedOn w:val="42"/>
    <w:link w:val="12"/>
    <w:qFormat/>
    <w:uiPriority w:val="0"/>
    <w:rPr>
      <w:kern w:val="2"/>
      <w:sz w:val="21"/>
      <w:szCs w:val="24"/>
    </w:rPr>
  </w:style>
  <w:style w:type="character" w:customStyle="1" w:styleId="179">
    <w:name w:val="批注主题 字符"/>
    <w:basedOn w:val="178"/>
    <w:link w:val="39"/>
    <w:qFormat/>
    <w:uiPriority w:val="0"/>
    <w:rPr>
      <w:b/>
      <w:bCs/>
      <w:kern w:val="2"/>
      <w:sz w:val="21"/>
      <w:szCs w:val="24"/>
    </w:rPr>
  </w:style>
  <w:style w:type="character" w:customStyle="1" w:styleId="180">
    <w:name w:val="页眉 字符"/>
    <w:basedOn w:val="42"/>
    <w:link w:val="24"/>
    <w:qFormat/>
    <w:uiPriority w:val="99"/>
    <w:rPr>
      <w:kern w:val="2"/>
      <w:sz w:val="18"/>
      <w:szCs w:val="18"/>
    </w:rPr>
  </w:style>
  <w:style w:type="character" w:customStyle="1" w:styleId="181">
    <w:name w:val="fontstyle01"/>
    <w:basedOn w:val="42"/>
    <w:qFormat/>
    <w:uiPriority w:val="0"/>
    <w:rPr>
      <w:rFonts w:hint="eastAsia" w:ascii="宋体" w:hAnsi="宋体" w:eastAsia="宋体"/>
      <w:color w:val="000000"/>
      <w:sz w:val="22"/>
      <w:szCs w:val="22"/>
    </w:rPr>
  </w:style>
  <w:style w:type="character" w:customStyle="1" w:styleId="182">
    <w:name w:val="fontstyle21"/>
    <w:basedOn w:val="42"/>
    <w:qFormat/>
    <w:uiPriority w:val="0"/>
    <w:rPr>
      <w:rFonts w:hint="default" w:ascii="Times New Roman" w:hAnsi="Times New Roman" w:cs="Times New Roman"/>
      <w:color w:val="000000"/>
      <w:sz w:val="22"/>
      <w:szCs w:val="22"/>
    </w:rPr>
  </w:style>
  <w:style w:type="character" w:customStyle="1" w:styleId="183">
    <w:name w:val="fontstyle31"/>
    <w:basedOn w:val="42"/>
    <w:qFormat/>
    <w:uiPriority w:val="0"/>
    <w:rPr>
      <w:rFonts w:hint="default" w:ascii="Symbol" w:hAnsi="Symbol"/>
      <w:color w:val="000000"/>
      <w:sz w:val="144"/>
      <w:szCs w:val="144"/>
    </w:rPr>
  </w:style>
  <w:style w:type="character" w:customStyle="1" w:styleId="184">
    <w:name w:val="表格5号字 Char"/>
    <w:link w:val="185"/>
    <w:qFormat/>
    <w:uiPriority w:val="0"/>
    <w:rPr>
      <w:rFonts w:cs="宋体"/>
      <w:szCs w:val="24"/>
      <w:lang w:val="en-GB"/>
    </w:rPr>
  </w:style>
  <w:style w:type="paragraph" w:customStyle="1" w:styleId="185">
    <w:name w:val="表格5号字"/>
    <w:basedOn w:val="1"/>
    <w:link w:val="184"/>
    <w:qFormat/>
    <w:uiPriority w:val="0"/>
    <w:pPr>
      <w:adjustRightInd w:val="0"/>
      <w:snapToGrid w:val="0"/>
      <w:jc w:val="center"/>
    </w:pPr>
    <w:rPr>
      <w:rFonts w:cs="宋体"/>
      <w:kern w:val="0"/>
      <w:sz w:val="20"/>
      <w:lang w:val="en-GB"/>
    </w:rPr>
  </w:style>
  <w:style w:type="character" w:customStyle="1" w:styleId="186">
    <w:name w:val="表格标题行 字符"/>
    <w:link w:val="187"/>
    <w:qFormat/>
    <w:uiPriority w:val="0"/>
    <w:rPr>
      <w:rFonts w:cs="宋体"/>
      <w:b/>
      <w:szCs w:val="24"/>
      <w:lang w:val="en-GB"/>
    </w:rPr>
  </w:style>
  <w:style w:type="paragraph" w:customStyle="1" w:styleId="187">
    <w:name w:val="表格标题行"/>
    <w:basedOn w:val="185"/>
    <w:link w:val="186"/>
    <w:qFormat/>
    <w:uiPriority w:val="0"/>
    <w:rPr>
      <w:b/>
    </w:rPr>
  </w:style>
  <w:style w:type="paragraph" w:styleId="18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89">
    <w:name w:val="正文段落"/>
    <w:basedOn w:val="1"/>
    <w:link w:val="190"/>
    <w:qFormat/>
    <w:uiPriority w:val="0"/>
    <w:pPr>
      <w:widowControl/>
      <w:spacing w:line="312" w:lineRule="auto"/>
      <w:ind w:firstLine="480" w:firstLineChars="200"/>
    </w:pPr>
    <w:rPr>
      <w:rFonts w:cstheme="minorBidi"/>
      <w:szCs w:val="21"/>
    </w:rPr>
  </w:style>
  <w:style w:type="character" w:customStyle="1" w:styleId="190">
    <w:name w:val="正文段落 Char"/>
    <w:basedOn w:val="42"/>
    <w:link w:val="189"/>
    <w:qFormat/>
    <w:uiPriority w:val="0"/>
    <w:rPr>
      <w:rFonts w:cstheme="minorBidi"/>
      <w:kern w:val="2"/>
      <w:sz w:val="21"/>
      <w:szCs w:val="21"/>
    </w:rPr>
  </w:style>
  <w:style w:type="table" w:customStyle="1" w:styleId="191">
    <w:name w:val="网格型2"/>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图表标题"/>
    <w:link w:val="193"/>
    <w:qFormat/>
    <w:uiPriority w:val="0"/>
    <w:pPr>
      <w:spacing w:line="360" w:lineRule="auto"/>
      <w:jc w:val="center"/>
    </w:pPr>
    <w:rPr>
      <w:rFonts w:ascii="Times New Roman" w:hAnsi="Times New Roman" w:eastAsia="宋体" w:cs="Times New Roman"/>
      <w:kern w:val="2"/>
      <w:sz w:val="24"/>
      <w:szCs w:val="22"/>
      <w:lang w:val="en-US" w:eastAsia="zh-CN" w:bidi="ar-SA"/>
    </w:rPr>
  </w:style>
  <w:style w:type="character" w:customStyle="1" w:styleId="193">
    <w:name w:val="图表标题 字符"/>
    <w:basedOn w:val="42"/>
    <w:link w:val="192"/>
    <w:qFormat/>
    <w:uiPriority w:val="0"/>
    <w:rPr>
      <w:kern w:val="2"/>
      <w:sz w:val="24"/>
      <w:szCs w:val="22"/>
    </w:rPr>
  </w:style>
  <w:style w:type="paragraph" w:customStyle="1" w:styleId="194">
    <w:name w:val="临时表内文字"/>
    <w:next w:val="1"/>
    <w:link w:val="195"/>
    <w:qFormat/>
    <w:uiPriority w:val="0"/>
    <w:pPr>
      <w:jc w:val="center"/>
    </w:pPr>
    <w:rPr>
      <w:rFonts w:ascii="Times New Roman" w:hAnsi="Times New Roman" w:eastAsia="宋体" w:cs="Times New Roman"/>
      <w:kern w:val="2"/>
      <w:sz w:val="21"/>
      <w:szCs w:val="21"/>
      <w:lang w:val="en-US" w:eastAsia="zh-CN" w:bidi="ar-SA"/>
    </w:rPr>
  </w:style>
  <w:style w:type="character" w:customStyle="1" w:styleId="195">
    <w:name w:val="临时表内文字 字符"/>
    <w:basedOn w:val="42"/>
    <w:link w:val="194"/>
    <w:qFormat/>
    <w:uiPriority w:val="0"/>
    <w:rPr>
      <w:kern w:val="2"/>
      <w:sz w:val="21"/>
      <w:szCs w:val="21"/>
    </w:rPr>
  </w:style>
  <w:style w:type="paragraph" w:customStyle="1" w:styleId="196">
    <w:name w:val="二级条标题-新"/>
    <w:basedOn w:val="5"/>
    <w:next w:val="1"/>
    <w:qFormat/>
    <w:uiPriority w:val="0"/>
    <w:pPr>
      <w:spacing w:before="50" w:beforeLines="50" w:after="0" w:line="360" w:lineRule="auto"/>
      <w:ind w:left="1135"/>
      <w:jc w:val="left"/>
    </w:pPr>
    <w:rPr>
      <w:rFonts w:ascii="Times New Roman" w:hAnsi="Times New Roman" w:eastAsiaTheme="majorEastAsia" w:cstheme="majorBidi"/>
      <w:kern w:val="0"/>
      <w:sz w:val="24"/>
      <w:szCs w:val="21"/>
    </w:rPr>
  </w:style>
  <w:style w:type="paragraph" w:customStyle="1" w:styleId="19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198">
    <w:name w:val="三线表"/>
    <w:basedOn w:val="40"/>
    <w:qFormat/>
    <w:uiPriority w:val="99"/>
    <w:pPr>
      <w:spacing w:line="360" w:lineRule="exact"/>
      <w:jc w:val="center"/>
    </w:pPr>
    <w:rPr>
      <w:rFonts w:ascii="宋体" w:hAnsi="宋体" w:cstheme="minorBidi"/>
      <w:kern w:val="2"/>
      <w:szCs w:val="21"/>
      <w14:ligatures w14:val="standardContextual"/>
    </w:rPr>
    <w:tblPr>
      <w:tblBorders>
        <w:top w:val="single" w:color="auto" w:sz="12" w:space="0"/>
        <w:bottom w:val="single" w:color="auto" w:sz="12" w:space="0"/>
      </w:tblBorders>
    </w:tblPr>
    <w:tcPr>
      <w:vAlign w:val="center"/>
    </w:tcPr>
    <w:tblStylePr w:type="firstRow">
      <w:tcPr>
        <w:tcBorders>
          <w:bottom w:val="single" w:color="auto" w:sz="4" w:space="0"/>
        </w:tcBorders>
      </w:tcPr>
    </w:tblStylePr>
  </w:style>
  <w:style w:type="character" w:customStyle="1" w:styleId="199">
    <w:name w:val="表格 字符"/>
    <w:basedOn w:val="42"/>
    <w:qFormat/>
    <w:uiPriority w:val="0"/>
    <w:rPr>
      <w:rFonts w:ascii="Times New Roman" w:hAnsi="Times New Roman" w:eastAsia="宋体"/>
      <w:sz w:val="20"/>
      <w:szCs w:val="21"/>
    </w:rPr>
  </w:style>
  <w:style w:type="paragraph" w:customStyle="1" w:styleId="200">
    <w:name w:val="表题"/>
    <w:basedOn w:val="9"/>
    <w:link w:val="201"/>
    <w:qFormat/>
    <w:uiPriority w:val="0"/>
    <w:pPr>
      <w:spacing w:before="120" w:after="120"/>
      <w:jc w:val="center"/>
    </w:pPr>
    <w:rPr>
      <w:rFonts w:ascii="Times New Roman" w:hAnsi="Times New Roman" w:eastAsia="宋体" w:cstheme="majorBidi"/>
      <w:sz w:val="21"/>
    </w:rPr>
  </w:style>
  <w:style w:type="character" w:customStyle="1" w:styleId="201">
    <w:name w:val="表题 字符"/>
    <w:basedOn w:val="42"/>
    <w:link w:val="200"/>
    <w:qFormat/>
    <w:uiPriority w:val="0"/>
    <w:rPr>
      <w:rFonts w:cstheme="majorBidi"/>
      <w:kern w:val="2"/>
      <w:sz w:val="21"/>
    </w:rPr>
  </w:style>
  <w:style w:type="character" w:customStyle="1" w:styleId="202">
    <w:name w:val="标题 字符"/>
    <w:basedOn w:val="42"/>
    <w:link w:val="38"/>
    <w:qFormat/>
    <w:uiPriority w:val="0"/>
    <w:rPr>
      <w:rFonts w:ascii="黑体" w:eastAsia="黑体"/>
      <w:bCs/>
      <w:color w:val="000000"/>
      <w:sz w:val="21"/>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microsoft.com/office/2006/relationships/keyMapCustomizations" Target="customizations.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D07EA2-BE26-4509-9348-0360D732E767}">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20</Pages>
  <Words>4637</Words>
  <Characters>5681</Characters>
  <Lines>69</Lines>
  <Paragraphs>19</Paragraphs>
  <TotalTime>0</TotalTime>
  <ScaleCrop>false</ScaleCrop>
  <LinksUpToDate>false</LinksUpToDate>
  <CharactersWithSpaces>6061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2025-04-14T12:04:00Z</dcterms:created>
  <dc:creator>CNIS</dc:creator>
  <cp:lastModifiedBy>杨鑫</cp:lastModifiedBy>
  <cp:lastPrinted>2024-10-22T06:49:00Z</cp:lastPrinted>
  <dcterms:modified xsi:type="dcterms:W3CDTF">2025-06-18T06:59:41Z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0ECB5AEE78764521BBD7D6A6702F168D_12</vt:lpwstr>
  </property>
  <property fmtid="{D5CDD505-2E9C-101B-9397-08002B2CF9AE}" pid="4" name="KSOTemplateDocerSaveRecord">
    <vt:lpwstr>eyJoZGlkIjoiMzEwNTM5NzYwMDRjMzkwZTVkZjY2ODkwMGIxNGU0OTUiLCJ1c2VySWQiOiIzNTgxOTEwODgifQ==</vt:lpwstr>
  </property>
</Properties>
</file>