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E92D3">
      <w:pPr>
        <w:spacing w:line="360" w:lineRule="auto"/>
        <w:jc w:val="center"/>
        <w:rPr>
          <w:rFonts w:hint="default" w:ascii="Times New Roman" w:hAnsi="Times New Roman" w:eastAsia="仿宋_GB2312" w:cs="Times New Roman"/>
          <w:b/>
          <w:snapToGrid w:val="0"/>
          <w:kern w:val="0"/>
          <w:position w:val="6"/>
          <w:sz w:val="52"/>
          <w:szCs w:val="52"/>
        </w:rPr>
      </w:pPr>
    </w:p>
    <w:p w14:paraId="5111C6B3">
      <w:pPr>
        <w:spacing w:line="360" w:lineRule="auto"/>
        <w:jc w:val="center"/>
        <w:rPr>
          <w:rFonts w:hint="default" w:ascii="Times New Roman" w:hAnsi="Times New Roman" w:eastAsia="仿宋_GB2312" w:cs="Times New Roman"/>
          <w:b/>
          <w:snapToGrid w:val="0"/>
          <w:kern w:val="0"/>
          <w:position w:val="6"/>
          <w:sz w:val="52"/>
          <w:szCs w:val="52"/>
        </w:rPr>
      </w:pPr>
    </w:p>
    <w:p w14:paraId="00E4569E">
      <w:pPr>
        <w:spacing w:line="360" w:lineRule="auto"/>
        <w:jc w:val="center"/>
        <w:rPr>
          <w:rFonts w:hint="eastAsia" w:eastAsia="仿宋_GB2312" w:cs="Times New Roman"/>
          <w:b/>
          <w:snapToGrid w:val="0"/>
          <w:kern w:val="0"/>
          <w:position w:val="6"/>
          <w:sz w:val="44"/>
          <w:szCs w:val="44"/>
          <w:u w:val="none"/>
          <w:lang w:val="en-US" w:eastAsia="zh-CN"/>
        </w:rPr>
      </w:pPr>
      <w:r>
        <w:rPr>
          <w:rFonts w:hint="eastAsia" w:eastAsia="仿宋_GB2312" w:cs="Times New Roman"/>
          <w:b/>
          <w:snapToGrid w:val="0"/>
          <w:kern w:val="0"/>
          <w:position w:val="6"/>
          <w:sz w:val="44"/>
          <w:szCs w:val="44"/>
          <w:u w:val="none"/>
          <w:lang w:val="en-US" w:eastAsia="zh-CN"/>
        </w:rPr>
        <w:t>贵州省交通运输厅技术指南</w:t>
      </w:r>
    </w:p>
    <w:p w14:paraId="023A84B6">
      <w:pPr>
        <w:spacing w:line="360" w:lineRule="auto"/>
        <w:jc w:val="center"/>
        <w:rPr>
          <w:rFonts w:hint="eastAsia" w:eastAsia="仿宋_GB2312" w:cs="Times New Roman"/>
          <w:b/>
          <w:snapToGrid w:val="0"/>
          <w:kern w:val="0"/>
          <w:position w:val="6"/>
          <w:sz w:val="44"/>
          <w:szCs w:val="44"/>
          <w:u w:val="single"/>
          <w:lang w:val="en-US" w:eastAsia="zh-CN"/>
        </w:rPr>
      </w:pPr>
      <w:r>
        <w:rPr>
          <w:rFonts w:hint="eastAsia" w:eastAsia="仿宋_GB2312" w:cs="Times New Roman"/>
          <w:b/>
          <w:snapToGrid w:val="0"/>
          <w:kern w:val="0"/>
          <w:position w:val="6"/>
          <w:sz w:val="44"/>
          <w:szCs w:val="44"/>
          <w:u w:val="single"/>
          <w:lang w:val="en-US" w:eastAsia="zh-CN"/>
        </w:rPr>
        <w:t xml:space="preserve">                       </w:t>
      </w:r>
    </w:p>
    <w:p w14:paraId="64C4195F">
      <w:pPr>
        <w:spacing w:line="360" w:lineRule="auto"/>
        <w:jc w:val="center"/>
        <w:rPr>
          <w:rFonts w:hint="default" w:eastAsia="仿宋_GB2312" w:cs="Times New Roman"/>
          <w:b/>
          <w:snapToGrid w:val="0"/>
          <w:kern w:val="0"/>
          <w:position w:val="6"/>
          <w:sz w:val="44"/>
          <w:szCs w:val="44"/>
          <w:u w:val="single"/>
          <w:lang w:val="en-US" w:eastAsia="zh-CN"/>
        </w:rPr>
      </w:pPr>
      <w:r>
        <w:rPr>
          <w:rFonts w:hint="eastAsia" w:eastAsia="仿宋_GB2312" w:cs="Times New Roman"/>
          <w:b/>
          <w:snapToGrid w:val="0"/>
          <w:kern w:val="0"/>
          <w:position w:val="6"/>
          <w:sz w:val="36"/>
          <w:szCs w:val="36"/>
          <w:u w:val="single"/>
          <w:lang w:val="en-US" w:eastAsia="zh-CN"/>
        </w:rPr>
        <w:t xml:space="preserve">                            JTZN****—2025</w:t>
      </w:r>
      <w:r>
        <w:rPr>
          <w:rFonts w:hint="eastAsia" w:eastAsia="仿宋_GB2312" w:cs="Times New Roman"/>
          <w:b/>
          <w:snapToGrid w:val="0"/>
          <w:kern w:val="0"/>
          <w:position w:val="6"/>
          <w:sz w:val="44"/>
          <w:szCs w:val="44"/>
          <w:u w:val="single"/>
          <w:lang w:val="en-US" w:eastAsia="zh-CN"/>
        </w:rPr>
        <w:t xml:space="preserve">  </w:t>
      </w:r>
    </w:p>
    <w:p w14:paraId="59DE3673">
      <w:pPr>
        <w:spacing w:line="360" w:lineRule="auto"/>
        <w:jc w:val="center"/>
        <w:rPr>
          <w:rFonts w:hint="default" w:eastAsia="仿宋_GB2312" w:cs="Times New Roman"/>
          <w:b/>
          <w:snapToGrid w:val="0"/>
          <w:kern w:val="0"/>
          <w:position w:val="6"/>
          <w:sz w:val="44"/>
          <w:szCs w:val="44"/>
          <w:u w:val="single"/>
          <w:lang w:val="en-US" w:eastAsia="zh-CN"/>
        </w:rPr>
      </w:pPr>
    </w:p>
    <w:p w14:paraId="3F412247">
      <w:pPr>
        <w:spacing w:line="360" w:lineRule="auto"/>
        <w:jc w:val="center"/>
        <w:rPr>
          <w:rFonts w:hint="default" w:ascii="Times New Roman" w:hAnsi="Times New Roman" w:eastAsia="仿宋_GB2312" w:cs="Times New Roman"/>
          <w:b/>
          <w:snapToGrid w:val="0"/>
          <w:kern w:val="0"/>
          <w:position w:val="6"/>
          <w:sz w:val="52"/>
          <w:szCs w:val="52"/>
        </w:rPr>
      </w:pPr>
    </w:p>
    <w:p w14:paraId="1656E369">
      <w:pPr>
        <w:tabs>
          <w:tab w:val="left" w:pos="7065"/>
        </w:tabs>
        <w:spacing w:line="360" w:lineRule="auto"/>
        <w:jc w:val="center"/>
        <w:rPr>
          <w:rFonts w:hint="default" w:ascii="Times New Roman" w:hAnsi="Times New Roman" w:eastAsia="仿宋_GB2312" w:cs="Times New Roman"/>
          <w:b/>
          <w:snapToGrid w:val="0"/>
          <w:kern w:val="0"/>
          <w:position w:val="6"/>
          <w:sz w:val="52"/>
          <w:szCs w:val="52"/>
        </w:rPr>
      </w:pPr>
    </w:p>
    <w:p w14:paraId="12652159">
      <w:pPr>
        <w:tabs>
          <w:tab w:val="left" w:pos="7065"/>
        </w:tabs>
        <w:spacing w:line="360" w:lineRule="auto"/>
        <w:jc w:val="center"/>
        <w:rPr>
          <w:rFonts w:hint="default" w:ascii="Times New Roman" w:hAnsi="Times New Roman" w:eastAsia="仿宋_GB2312" w:cs="Times New Roman"/>
          <w:b/>
          <w:snapToGrid w:val="0"/>
          <w:kern w:val="0"/>
          <w:position w:val="6"/>
          <w:sz w:val="52"/>
          <w:szCs w:val="52"/>
        </w:rPr>
      </w:pPr>
    </w:p>
    <w:p w14:paraId="3BF36500">
      <w:pPr>
        <w:tabs>
          <w:tab w:val="left" w:pos="7065"/>
        </w:tabs>
        <w:spacing w:line="360" w:lineRule="auto"/>
        <w:jc w:val="center"/>
        <w:rPr>
          <w:rFonts w:hint="default" w:ascii="Times New Roman" w:hAnsi="Times New Roman" w:eastAsia="仿宋_GB2312" w:cs="Times New Roman"/>
          <w:sz w:val="72"/>
          <w:szCs w:val="72"/>
        </w:rPr>
      </w:pPr>
      <w:r>
        <w:rPr>
          <w:rFonts w:hint="default" w:ascii="Times New Roman" w:hAnsi="Times New Roman" w:eastAsia="仿宋_GB2312" w:cs="Times New Roman"/>
          <w:b/>
          <w:snapToGrid w:val="0"/>
          <w:kern w:val="0"/>
          <w:position w:val="6"/>
          <w:sz w:val="52"/>
          <w:szCs w:val="52"/>
        </w:rPr>
        <w:t>全再生薄层罩面施工技术指南</w:t>
      </w:r>
    </w:p>
    <w:p w14:paraId="03768A65">
      <w:pPr>
        <w:spacing w:line="360" w:lineRule="auto"/>
        <w:jc w:val="center"/>
        <w:rPr>
          <w:rFonts w:hint="default" w:ascii="Times New Roman" w:hAnsi="Times New Roman" w:eastAsia="仿宋_GB2312" w:cs="Times New Roman"/>
          <w:sz w:val="48"/>
          <w:szCs w:val="48"/>
        </w:rPr>
      </w:pPr>
    </w:p>
    <w:p w14:paraId="75A7EC8D">
      <w:pPr>
        <w:spacing w:line="360" w:lineRule="auto"/>
        <w:jc w:val="center"/>
        <w:rPr>
          <w:rFonts w:hint="default" w:ascii="Times New Roman" w:hAnsi="Times New Roman" w:eastAsia="仿宋_GB2312" w:cs="Times New Roman"/>
          <w:sz w:val="48"/>
          <w:szCs w:val="48"/>
        </w:rPr>
      </w:pPr>
      <w:r>
        <w:rPr>
          <w:rFonts w:hint="default" w:ascii="Times New Roman" w:hAnsi="Times New Roman" w:eastAsia="仿宋_GB2312" w:cs="Times New Roman"/>
          <w:sz w:val="48"/>
          <w:szCs w:val="48"/>
        </w:rPr>
        <w:t>（</w:t>
      </w:r>
      <w:r>
        <w:rPr>
          <w:rFonts w:hint="default" w:ascii="Times New Roman" w:hAnsi="Times New Roman" w:eastAsia="仿宋_GB2312" w:cs="Times New Roman"/>
          <w:sz w:val="48"/>
          <w:szCs w:val="48"/>
          <w:lang w:val="en-US" w:eastAsia="zh-CN"/>
        </w:rPr>
        <w:t>试行</w:t>
      </w:r>
      <w:r>
        <w:rPr>
          <w:rFonts w:hint="default" w:ascii="Times New Roman" w:hAnsi="Times New Roman" w:eastAsia="仿宋_GB2312" w:cs="Times New Roman"/>
          <w:sz w:val="48"/>
          <w:szCs w:val="48"/>
        </w:rPr>
        <w:t>）</w:t>
      </w:r>
    </w:p>
    <w:p w14:paraId="462ACF57">
      <w:pPr>
        <w:rPr>
          <w:rFonts w:hint="default" w:ascii="Times New Roman" w:hAnsi="Times New Roman" w:eastAsia="仿宋_GB2312" w:cs="Times New Roman"/>
          <w:sz w:val="28"/>
        </w:rPr>
      </w:pPr>
    </w:p>
    <w:p w14:paraId="156750EE">
      <w:pPr>
        <w:rPr>
          <w:rFonts w:hint="default" w:ascii="Times New Roman" w:hAnsi="Times New Roman" w:eastAsia="仿宋_GB2312" w:cs="Times New Roman"/>
          <w:sz w:val="28"/>
        </w:rPr>
      </w:pPr>
    </w:p>
    <w:p w14:paraId="64BBD2B1">
      <w:pPr>
        <w:rPr>
          <w:rFonts w:hint="default" w:ascii="Times New Roman" w:hAnsi="Times New Roman" w:eastAsia="仿宋_GB2312" w:cs="Times New Roman"/>
          <w:sz w:val="28"/>
        </w:rPr>
      </w:pPr>
    </w:p>
    <w:p w14:paraId="2822936E">
      <w:pPr>
        <w:rPr>
          <w:rFonts w:hint="default" w:ascii="Times New Roman" w:hAnsi="Times New Roman" w:eastAsia="仿宋_GB2312" w:cs="Times New Roman"/>
          <w:sz w:val="28"/>
        </w:rPr>
      </w:pPr>
    </w:p>
    <w:p w14:paraId="4394710C">
      <w:pPr>
        <w:rPr>
          <w:rFonts w:hint="default" w:ascii="Times New Roman" w:hAnsi="Times New Roman" w:eastAsia="仿宋_GB2312" w:cs="Times New Roman"/>
          <w:sz w:val="28"/>
        </w:rPr>
      </w:pPr>
    </w:p>
    <w:p w14:paraId="651C7D69">
      <w:pPr>
        <w:rPr>
          <w:rFonts w:hint="default" w:ascii="Times New Roman" w:hAnsi="Times New Roman" w:eastAsia="仿宋_GB2312" w:cs="Times New Roman"/>
          <w:sz w:val="28"/>
        </w:rPr>
      </w:pPr>
    </w:p>
    <w:p w14:paraId="595E011E">
      <w:pPr>
        <w:jc w:val="center"/>
        <w:rPr>
          <w:rFonts w:hint="eastAsia" w:ascii="宋体" w:hAnsi="宋体" w:eastAsia="宋体" w:cs="宋体"/>
          <w:sz w:val="28"/>
          <w:szCs w:val="36"/>
          <w:u w:val="thick"/>
          <w:lang w:val="en-US" w:eastAsia="zh-CN"/>
        </w:rPr>
      </w:pP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highlight w:val="none"/>
          <w:u w:val="thick"/>
          <w:lang w:val="en-US" w:eastAsia="zh-CN"/>
        </w:rPr>
        <w:t>**</w:t>
      </w:r>
      <w:r>
        <w:rPr>
          <w:rFonts w:hint="eastAsia" w:ascii="宋体" w:hAnsi="宋体" w:eastAsia="宋体" w:cs="宋体"/>
          <w:sz w:val="28"/>
          <w:szCs w:val="36"/>
          <w:u w:val="thick"/>
          <w:lang w:val="en-US" w:eastAsia="zh-CN"/>
        </w:rPr>
        <w:t xml:space="preserve">发布                            </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highlight w:val="none"/>
          <w:u w:val="thick"/>
          <w:lang w:val="en-US" w:eastAsia="zh-CN"/>
        </w:rPr>
        <w:t>**</w:t>
      </w:r>
      <w:r>
        <w:rPr>
          <w:rFonts w:hint="eastAsia" w:ascii="宋体" w:hAnsi="宋体" w:eastAsia="宋体" w:cs="宋体"/>
          <w:sz w:val="28"/>
          <w:szCs w:val="36"/>
          <w:u w:val="thick"/>
          <w:lang w:val="en-US" w:eastAsia="zh-CN"/>
        </w:rPr>
        <w:t>实施</w:t>
      </w:r>
    </w:p>
    <w:p w14:paraId="040A67D7">
      <w:pPr>
        <w:jc w:val="both"/>
        <w:rPr>
          <w:rFonts w:hint="default" w:ascii="Times New Roman" w:hAnsi="Times New Roman" w:eastAsia="仿宋_GB2312" w:cs="Times New Roman"/>
          <w:u w:val="single"/>
          <w:lang w:val="en-US" w:eastAsia="zh-CN"/>
        </w:rPr>
      </w:pPr>
      <w:r>
        <w:rPr>
          <w:rFonts w:hint="eastAsia" w:ascii="Times New Roman" w:hAnsi="Times New Roman" w:eastAsia="仿宋_GB2312" w:cs="Times New Roman"/>
          <w:u w:val="thick"/>
          <w:lang w:val="en-US" w:eastAsia="zh-CN"/>
        </w:rPr>
        <w:t xml:space="preserve">                                                                                          </w:t>
      </w:r>
      <w:r>
        <w:rPr>
          <w:rFonts w:hint="eastAsia" w:ascii="Times New Roman" w:hAnsi="Times New Roman" w:eastAsia="仿宋_GB2312" w:cs="Times New Roman"/>
          <w:u w:val="single"/>
          <w:lang w:val="en-US" w:eastAsia="zh-CN"/>
        </w:rPr>
        <w:t xml:space="preserve"> </w:t>
      </w:r>
    </w:p>
    <w:p w14:paraId="186D0859">
      <w:pPr>
        <w:jc w:val="center"/>
        <w:rPr>
          <w:rFonts w:hint="default" w:ascii="Times New Roman" w:hAnsi="Times New Roman" w:eastAsia="仿宋_GB2312" w:cs="Times New Roman"/>
        </w:rPr>
      </w:pPr>
    </w:p>
    <w:p w14:paraId="2C19E17C">
      <w:pPr>
        <w:jc w:val="center"/>
        <w:rPr>
          <w:rFonts w:hint="default" w:ascii="Times New Roman" w:hAnsi="Times New Roman" w:eastAsia="仿宋_GB2312" w:cs="Times New Roman"/>
        </w:rPr>
      </w:pPr>
    </w:p>
    <w:p w14:paraId="5ACFDD2E">
      <w:pPr>
        <w:jc w:val="cente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贵州省交通运输厅        发布</w:t>
      </w:r>
    </w:p>
    <w:p w14:paraId="4661DAD6">
      <w:pPr>
        <w:rPr>
          <w:rFonts w:hint="default" w:ascii="Times New Roman" w:hAnsi="Times New Roman" w:eastAsia="仿宋_GB2312" w:cs="Times New Roman"/>
          <w:sz w:val="28"/>
        </w:rPr>
      </w:pPr>
    </w:p>
    <w:p w14:paraId="5C837452">
      <w:pPr>
        <w:rPr>
          <w:rFonts w:hint="default" w:ascii="Times New Roman" w:hAnsi="Times New Roman" w:eastAsia="仿宋_GB2312" w:cs="Times New Roman"/>
          <w:sz w:val="28"/>
        </w:rPr>
      </w:pPr>
    </w:p>
    <w:p w14:paraId="5B3747BF">
      <w:pPr>
        <w:rPr>
          <w:rFonts w:hint="default" w:ascii="Times New Roman" w:hAnsi="Times New Roman" w:eastAsia="仿宋_GB2312" w:cs="Times New Roman"/>
          <w:sz w:val="28"/>
        </w:rPr>
      </w:pPr>
    </w:p>
    <w:p w14:paraId="184FF165">
      <w:pPr>
        <w:rPr>
          <w:rFonts w:hint="default" w:ascii="Times New Roman" w:hAnsi="Times New Roman" w:cs="Times New Roman"/>
        </w:rPr>
      </w:pPr>
    </w:p>
    <w:p w14:paraId="646D78B5">
      <w:pPr>
        <w:widowControl/>
        <w:jc w:val="center"/>
        <w:rPr>
          <w:rFonts w:hint="default" w:ascii="Times New Roman" w:hAnsi="Times New Roman" w:cs="Times New Roman"/>
          <w:bCs/>
          <w:sz w:val="32"/>
          <w:szCs w:val="32"/>
        </w:rPr>
      </w:pPr>
      <w:r>
        <w:rPr>
          <w:rFonts w:hint="default" w:ascii="Times New Roman" w:hAnsi="Times New Roman" w:cs="Times New Roman"/>
          <w:bCs/>
          <w:sz w:val="32"/>
          <w:szCs w:val="28"/>
        </w:rPr>
        <w:t>前  言</w:t>
      </w:r>
    </w:p>
    <w:p w14:paraId="56BC92DE">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color w:val="000000" w:themeColor="text1"/>
          <w:sz w:val="24"/>
          <w:szCs w:val="40"/>
          <w14:textFill>
            <w14:solidFill>
              <w14:schemeClr w14:val="tx1"/>
            </w14:solidFill>
          </w14:textFill>
        </w:rPr>
        <w:t>为推动再生沥青混合料循环利用，指导全再生薄层罩面应用推广，</w:t>
      </w:r>
      <w:r>
        <w:rPr>
          <w:rFonts w:hint="default" w:ascii="Times New Roman" w:hAnsi="Times New Roman" w:eastAsia="宋体" w:cs="Times New Roman"/>
          <w:color w:val="000000" w:themeColor="text1"/>
          <w:sz w:val="24"/>
          <w:szCs w:val="40"/>
          <w14:textFill>
            <w14:solidFill>
              <w14:schemeClr w14:val="tx1"/>
            </w14:solidFill>
          </w14:textFill>
        </w:rPr>
        <w:t>贵州高速公路集团有限公司、贵州高速公路实业有限公司</w:t>
      </w:r>
      <w:r>
        <w:rPr>
          <w:rFonts w:hint="default" w:ascii="Times New Roman" w:hAnsi="Times New Roman" w:eastAsia="宋体" w:cs="Times New Roman"/>
          <w:color w:val="000000" w:themeColor="text1"/>
          <w:sz w:val="24"/>
          <w:szCs w:val="40"/>
          <w:lang w:eastAsia="zh-CN"/>
          <w14:textFill>
            <w14:solidFill>
              <w14:schemeClr w14:val="tx1"/>
            </w14:solidFill>
          </w14:textFill>
        </w:rPr>
        <w:t>、</w:t>
      </w:r>
      <w:r>
        <w:rPr>
          <w:rFonts w:hint="default" w:ascii="Times New Roman" w:hAnsi="Times New Roman" w:eastAsia="宋体" w:cs="Times New Roman"/>
          <w:color w:val="000000" w:themeColor="text1"/>
          <w:sz w:val="24"/>
          <w:szCs w:val="40"/>
          <w14:textFill>
            <w14:solidFill>
              <w14:schemeClr w14:val="tx1"/>
            </w14:solidFill>
          </w14:textFill>
        </w:rPr>
        <w:t>同济大学</w:t>
      </w:r>
      <w:r>
        <w:rPr>
          <w:rFonts w:hint="default" w:ascii="Times New Roman" w:hAnsi="Times New Roman" w:eastAsia="宋体" w:cs="Times New Roman"/>
          <w:color w:val="000000" w:themeColor="text1"/>
          <w:sz w:val="24"/>
          <w:szCs w:val="40"/>
          <w:lang w:eastAsia="zh-CN"/>
          <w14:textFill>
            <w14:solidFill>
              <w14:schemeClr w14:val="tx1"/>
            </w14:solidFill>
          </w14:textFill>
        </w:rPr>
        <w:t>、</w:t>
      </w:r>
      <w:r>
        <w:rPr>
          <w:rFonts w:hint="default" w:ascii="Times New Roman" w:hAnsi="Times New Roman" w:eastAsia="宋体" w:cs="Times New Roman"/>
          <w:color w:val="000000" w:themeColor="text1"/>
          <w:sz w:val="24"/>
          <w:szCs w:val="40"/>
          <w:lang w:val="en-US" w:eastAsia="zh-CN"/>
          <w14:textFill>
            <w14:solidFill>
              <w14:schemeClr w14:val="tx1"/>
            </w14:solidFill>
          </w14:textFill>
        </w:rPr>
        <w:t>贵州黔和物流有限公司</w:t>
      </w:r>
      <w:r>
        <w:rPr>
          <w:rFonts w:hint="default" w:ascii="Times New Roman" w:hAnsi="Times New Roman" w:eastAsia="宋体" w:cs="Times New Roman"/>
          <w:color w:val="000000" w:themeColor="text1"/>
          <w:sz w:val="24"/>
          <w:szCs w:val="40"/>
          <w14:textFill>
            <w14:solidFill>
              <w14:schemeClr w14:val="tx1"/>
            </w14:solidFill>
          </w14:textFill>
        </w:rPr>
        <w:t>承担《全再生薄层罩面施工设计指南》</w:t>
      </w:r>
      <w:r>
        <w:rPr>
          <w:rFonts w:hint="default" w:ascii="Times New Roman" w:hAnsi="Times New Roman" w:cs="Times New Roman"/>
          <w:color w:val="000000" w:themeColor="text1"/>
          <w:sz w:val="24"/>
          <w:szCs w:val="40"/>
          <w14:textFill>
            <w14:solidFill>
              <w14:schemeClr w14:val="tx1"/>
            </w14:solidFill>
          </w14:textFill>
        </w:rPr>
        <w:t>（以下简称“本指南”）的制定工作。</w:t>
      </w:r>
      <w:r>
        <w:rPr>
          <w:rFonts w:hint="default" w:ascii="Times New Roman" w:hAnsi="Times New Roman" w:cs="Times New Roman"/>
          <w:sz w:val="24"/>
          <w:szCs w:val="32"/>
        </w:rPr>
        <w:t>。</w:t>
      </w:r>
    </w:p>
    <w:p w14:paraId="1B5B23B2">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编写组在对全再生薄层罩面的相关科研成果和工程应用调研基础上，充分吸收借鉴国内外相关标准的先进经验，开展了重要参数验证试验，经广泛调研和征求意见后，制定本指南。</w:t>
      </w:r>
    </w:p>
    <w:p w14:paraId="12751D5D">
      <w:pPr>
        <w:spacing w:line="360" w:lineRule="auto"/>
        <w:ind w:firstLine="480" w:firstLineChars="200"/>
        <w:rPr>
          <w:rFonts w:hint="default" w:ascii="Times New Roman" w:hAnsi="Times New Roman" w:cs="Times New Roman"/>
          <w:bCs/>
          <w:kern w:val="44"/>
          <w:sz w:val="24"/>
          <w:szCs w:val="32"/>
        </w:rPr>
      </w:pPr>
      <w:r>
        <w:rPr>
          <w:rFonts w:hint="default" w:ascii="Times New Roman" w:hAnsi="Times New Roman" w:cs="Times New Roman"/>
          <w:sz w:val="24"/>
          <w:szCs w:val="32"/>
        </w:rPr>
        <w:t>本指南分为8章，主要包括：总则；术语与符号；规范性引用文件；基本规定；材料；</w:t>
      </w:r>
      <w:r>
        <w:rPr>
          <w:rFonts w:hint="default" w:ascii="Times New Roman" w:hAnsi="Times New Roman" w:cs="Times New Roman"/>
          <w:bCs/>
          <w:kern w:val="44"/>
          <w:sz w:val="24"/>
          <w:szCs w:val="32"/>
        </w:rPr>
        <w:t>全再生薄层罩面设计；施工；施工质量控制与检查验收。</w:t>
      </w:r>
    </w:p>
    <w:p w14:paraId="31F42704">
      <w:pPr>
        <w:spacing w:line="360" w:lineRule="auto"/>
        <w:ind w:firstLine="480" w:firstLineChars="200"/>
        <w:rPr>
          <w:rFonts w:hint="default" w:ascii="Times New Roman" w:hAnsi="Times New Roman" w:cs="Times New Roman"/>
          <w:bCs/>
          <w:kern w:val="44"/>
          <w:sz w:val="24"/>
          <w:szCs w:val="32"/>
        </w:rPr>
      </w:pPr>
      <w:r>
        <w:rPr>
          <w:rFonts w:hint="default" w:ascii="Times New Roman" w:hAnsi="Times New Roman" w:cs="Times New Roman"/>
          <w:bCs/>
          <w:kern w:val="44"/>
          <w:sz w:val="24"/>
          <w:szCs w:val="32"/>
        </w:rPr>
        <w:t>本</w:t>
      </w:r>
      <w:r>
        <w:rPr>
          <w:rFonts w:hint="default" w:ascii="Times New Roman" w:hAnsi="Times New Roman" w:cs="Times New Roman"/>
          <w:sz w:val="24"/>
          <w:szCs w:val="32"/>
        </w:rPr>
        <w:t>指南</w:t>
      </w:r>
      <w:r>
        <w:rPr>
          <w:rFonts w:hint="default" w:ascii="Times New Roman" w:hAnsi="Times New Roman" w:cs="Times New Roman"/>
          <w:bCs/>
          <w:kern w:val="44"/>
          <w:sz w:val="24"/>
          <w:szCs w:val="32"/>
        </w:rPr>
        <w:t>基于通用的工程建设理论及原则编制，适用于本</w:t>
      </w:r>
      <w:r>
        <w:rPr>
          <w:rFonts w:hint="default" w:ascii="Times New Roman" w:hAnsi="Times New Roman" w:cs="Times New Roman"/>
          <w:sz w:val="24"/>
          <w:szCs w:val="32"/>
        </w:rPr>
        <w:t>指南</w:t>
      </w:r>
      <w:r>
        <w:rPr>
          <w:rFonts w:hint="default" w:ascii="Times New Roman" w:hAnsi="Times New Roman" w:cs="Times New Roman"/>
          <w:bCs/>
          <w:kern w:val="44"/>
          <w:sz w:val="24"/>
          <w:szCs w:val="32"/>
        </w:rPr>
        <w:t>提出的应用条件。对于某些特定专项应用条件，使用本</w:t>
      </w:r>
      <w:r>
        <w:rPr>
          <w:rFonts w:hint="default" w:ascii="Times New Roman" w:hAnsi="Times New Roman" w:cs="Times New Roman"/>
          <w:sz w:val="24"/>
          <w:szCs w:val="32"/>
        </w:rPr>
        <w:t>指南</w:t>
      </w:r>
      <w:r>
        <w:rPr>
          <w:rFonts w:hint="default" w:ascii="Times New Roman" w:hAnsi="Times New Roman" w:cs="Times New Roman"/>
          <w:bCs/>
          <w:kern w:val="44"/>
          <w:sz w:val="24"/>
          <w:szCs w:val="32"/>
        </w:rPr>
        <w:t>相关条文时，应对适用性及有效性进行验证。</w:t>
      </w:r>
    </w:p>
    <w:p w14:paraId="7E89A110">
      <w:pPr>
        <w:spacing w:line="360" w:lineRule="auto"/>
        <w:ind w:firstLine="200"/>
        <w:rPr>
          <w:rFonts w:hint="default" w:ascii="Times New Roman" w:hAnsi="Times New Roman" w:cs="Times New Roman"/>
          <w:sz w:val="24"/>
          <w:szCs w:val="32"/>
        </w:rPr>
      </w:pPr>
      <w:r>
        <w:rPr>
          <w:rFonts w:hint="default" w:ascii="Times New Roman" w:hAnsi="Times New Roman" w:cs="Times New Roman"/>
          <w:sz w:val="24"/>
          <w:szCs w:val="32"/>
        </w:rPr>
        <w:t>请各有关单位在使用本标准过程中，将发现的问题和意见，函告本标准日常管理组，联系人：吕泉（地址：上海市嘉定区曹安公路4800号，同济大学嘉定校区，邮编：200092，电话：18317152095，电子邮箱：100026787@qq.com），以便下次修订时参考。。</w:t>
      </w:r>
    </w:p>
    <w:p w14:paraId="14BD2E03">
      <w:pPr>
        <w:spacing w:line="348" w:lineRule="auto"/>
        <w:ind w:firstLine="480" w:firstLineChars="200"/>
        <w:rPr>
          <w:rFonts w:hint="eastAsia" w:cs="Times New Roman"/>
          <w:color w:val="000000" w:themeColor="text1"/>
          <w:sz w:val="24"/>
          <w:szCs w:val="40"/>
          <w:lang w:val="en-US" w:eastAsia="zh-CN"/>
          <w14:textFill>
            <w14:solidFill>
              <w14:schemeClr w14:val="tx1"/>
            </w14:solidFill>
          </w14:textFill>
        </w:rPr>
      </w:pPr>
      <w:r>
        <w:rPr>
          <w:rFonts w:hint="eastAsia" w:cs="Times New Roman"/>
          <w:color w:val="000000" w:themeColor="text1"/>
          <w:sz w:val="24"/>
          <w:szCs w:val="40"/>
          <w:lang w:val="en-US" w:eastAsia="zh-CN"/>
          <w14:textFill>
            <w14:solidFill>
              <w14:schemeClr w14:val="tx1"/>
            </w14:solidFill>
          </w14:textFill>
        </w:rPr>
        <w:t>批准单位：贵州省交通运输厅</w:t>
      </w:r>
    </w:p>
    <w:p w14:paraId="7E99ADE2">
      <w:pPr>
        <w:spacing w:line="348" w:lineRule="auto"/>
        <w:ind w:firstLine="480" w:firstLineChars="2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主编单位：贵州高速公路实业有限公司</w:t>
      </w:r>
    </w:p>
    <w:p w14:paraId="6CE1C78A">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贵州高速公路集团有限公司</w:t>
      </w:r>
    </w:p>
    <w:p w14:paraId="2456C64C">
      <w:pPr>
        <w:spacing w:line="348" w:lineRule="auto"/>
        <w:ind w:firstLine="480" w:firstLineChars="2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参编单位：同济大学</w:t>
      </w:r>
    </w:p>
    <w:p w14:paraId="5C2DECC0">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贵州黔和物流有限公司</w:t>
      </w:r>
    </w:p>
    <w:p w14:paraId="284CC8AA">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eastAsia" w:cs="Times New Roman"/>
          <w:color w:val="000000" w:themeColor="text1"/>
          <w:sz w:val="24"/>
          <w:szCs w:val="40"/>
          <w:lang w:val="en-US" w:eastAsia="zh-CN"/>
          <w14:textFill>
            <w14:solidFill>
              <w14:schemeClr w14:val="tx1"/>
            </w14:solidFill>
          </w14:textFill>
        </w:rPr>
        <w:t>贵州高速公路集团有限公司兴义营运管理中心</w:t>
      </w:r>
    </w:p>
    <w:p w14:paraId="60F6D616">
      <w:pPr>
        <w:spacing w:line="348" w:lineRule="auto"/>
        <w:ind w:firstLine="480" w:firstLineChars="200"/>
        <w:rPr>
          <w:rFonts w:hint="default" w:ascii="Times New Roman" w:hAnsi="Times New Roman" w:eastAsia="宋体"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14:textFill>
            <w14:solidFill>
              <w14:schemeClr w14:val="tx1"/>
            </w14:solidFill>
          </w14:textFill>
        </w:rPr>
        <w:t>主要审查人员：</w:t>
      </w:r>
    </w:p>
    <w:p w14:paraId="0A265F78">
      <w:pPr>
        <w:spacing w:line="348" w:lineRule="auto"/>
        <w:ind w:left="2159" w:leftChars="228" w:hanging="1680" w:hangingChars="700"/>
        <w:rPr>
          <w:rFonts w:hint="default" w:ascii="Times New Roman" w:hAnsi="Times New Roman" w:eastAsia="宋体"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14:textFill>
            <w14:solidFill>
              <w14:schemeClr w14:val="tx1"/>
            </w14:solidFill>
          </w14:textFill>
        </w:rPr>
        <w:t>主要参编人员：</w:t>
      </w:r>
      <w:bookmarkStart w:id="95" w:name="_GoBack"/>
      <w:bookmarkEnd w:id="95"/>
    </w:p>
    <w:p w14:paraId="1C52B289">
      <w:pPr>
        <w:widowControl/>
        <w:jc w:val="left"/>
        <w:rPr>
          <w:rFonts w:hint="default" w:ascii="Times New Roman" w:hAnsi="Times New Roman" w:cs="Times New Roman"/>
          <w:sz w:val="24"/>
        </w:rPr>
        <w:sectPr>
          <w:headerReference r:id="rId3" w:type="even"/>
          <w:footerReference r:id="rId4" w:type="even"/>
          <w:pgSz w:w="11906" w:h="16838"/>
          <w:pgMar w:top="1440" w:right="1800" w:bottom="1440" w:left="1800" w:header="850" w:footer="992" w:gutter="0"/>
          <w:pgNumType w:start="1"/>
          <w:cols w:space="425" w:num="1"/>
          <w:docGrid w:type="lines" w:linePitch="312" w:charSpace="0"/>
        </w:sectPr>
      </w:pPr>
    </w:p>
    <w:sdt>
      <w:sdtPr>
        <w:rPr>
          <w:rFonts w:hint="default" w:ascii="Times New Roman" w:hAnsi="Times New Roman" w:eastAsia="宋体" w:cs="Times New Roman"/>
          <w:color w:val="auto"/>
          <w:kern w:val="2"/>
          <w:sz w:val="21"/>
          <w:szCs w:val="24"/>
          <w:lang w:val="zh-CN"/>
        </w:rPr>
        <w:id w:val="721032219"/>
        <w:docPartObj>
          <w:docPartGallery w:val="Table of Contents"/>
          <w:docPartUnique/>
        </w:docPartObj>
      </w:sdtPr>
      <w:sdtEndPr>
        <w:rPr>
          <w:rFonts w:hint="default" w:ascii="Times New Roman" w:hAnsi="Times New Roman" w:eastAsia="宋体" w:cs="Times New Roman"/>
          <w:b/>
          <w:bCs/>
          <w:color w:val="auto"/>
          <w:kern w:val="2"/>
          <w:sz w:val="21"/>
          <w:szCs w:val="24"/>
          <w:lang w:val="zh-CN"/>
        </w:rPr>
      </w:sdtEndPr>
      <w:sdtContent>
        <w:p w14:paraId="0C6BB26D">
          <w:pPr>
            <w:pStyle w:val="195"/>
            <w:spacing w:before="0" w:line="240" w:lineRule="auto"/>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lang w:val="zh-CN"/>
            </w:rPr>
            <w:t>目 录</w:t>
          </w:r>
        </w:p>
        <w:p w14:paraId="0D6D67E8">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TOC \o "1-3" \h \z \u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Cs w:val="24"/>
            </w:rPr>
            <w:fldChar w:fldCharType="begin"/>
          </w:r>
          <w:r>
            <w:rPr>
              <w:rFonts w:hint="default" w:ascii="Times New Roman" w:hAnsi="Times New Roman" w:cs="Times New Roman" w:eastAsiaTheme="minorEastAsia"/>
              <w:szCs w:val="24"/>
            </w:rPr>
            <w:instrText xml:space="preserve"> HYPERLINK \l _Toc5739 </w:instrText>
          </w:r>
          <w:r>
            <w:rPr>
              <w:rFonts w:hint="default" w:ascii="Times New Roman" w:hAnsi="Times New Roman" w:cs="Times New Roman" w:eastAsiaTheme="minorEastAsia"/>
              <w:szCs w:val="24"/>
            </w:rPr>
            <w:fldChar w:fldCharType="separate"/>
          </w:r>
          <w:r>
            <w:rPr>
              <w:rFonts w:hint="default" w:ascii="Times New Roman" w:hAnsi="Times New Roman" w:cs="Times New Roman" w:eastAsiaTheme="minorEastAsia"/>
              <w:bCs w:val="0"/>
              <w:i w:val="0"/>
              <w:szCs w:val="32"/>
            </w:rPr>
            <w:t xml:space="preserve">1 </w:t>
          </w:r>
          <w:r>
            <w:rPr>
              <w:rFonts w:hint="default" w:ascii="Times New Roman" w:hAnsi="Times New Roman" w:cs="Times New Roman" w:eastAsiaTheme="minorEastAsia"/>
              <w:bCs/>
              <w:szCs w:val="22"/>
            </w:rPr>
            <w:t>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_Toc5739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eastAsiaTheme="minorEastAsia"/>
              <w:szCs w:val="24"/>
            </w:rPr>
            <w:fldChar w:fldCharType="end"/>
          </w:r>
        </w:p>
        <w:p w14:paraId="182ED31A">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_Toc4417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2 </w:t>
          </w:r>
          <w:r>
            <w:rPr>
              <w:rFonts w:hint="default" w:ascii="Times New Roman" w:hAnsi="Times New Roman" w:cs="Times New Roman" w:eastAsiaTheme="minorEastAsia"/>
              <w:bCs/>
              <w:szCs w:val="22"/>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_Toc4417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2C781CCF">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_Toc14024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3 </w:t>
          </w:r>
          <w:r>
            <w:rPr>
              <w:rFonts w:hint="default" w:ascii="Times New Roman" w:hAnsi="Times New Roman" w:cs="Times New Roman" w:eastAsiaTheme="minorEastAsia"/>
              <w:bCs/>
              <w:szCs w:val="22"/>
            </w:rPr>
            <w:t>术语与符号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_Toc14024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1C59CC9A">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_Toc2570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3.1 </w:t>
          </w:r>
          <w:r>
            <w:rPr>
              <w:rFonts w:hint="default" w:ascii="Times New Roman" w:hAnsi="Times New Roman" w:eastAsia="宋体" w:cs="Times New Roman"/>
              <w:bCs/>
            </w:rPr>
            <w:t>术语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_Toc2570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5E31F7EE">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_Toc29426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3.2 </w:t>
          </w:r>
          <w:r>
            <w:rPr>
              <w:rFonts w:hint="default" w:ascii="Times New Roman" w:hAnsi="Times New Roman" w:eastAsia="宋体" w:cs="Times New Roman"/>
              <w:bCs/>
            </w:rPr>
            <w:t>符号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_Toc29426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2F560CDE">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_Toc17823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4 </w:t>
          </w:r>
          <w:r>
            <w:rPr>
              <w:rFonts w:hint="default" w:ascii="Times New Roman" w:hAnsi="Times New Roman" w:cs="Times New Roman" w:eastAsiaTheme="minorEastAsia"/>
              <w:bCs/>
              <w:szCs w:val="22"/>
            </w:rPr>
            <w:t>基本规定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_Toc17823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14593B6C">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_Toc17692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4.1 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_Toc17692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2CCFAF1B">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_Toc16650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4.2 原路面技术状况要求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_Toc16650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69245397">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_Toc31553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4.3 厚度设计与材料选择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_Toc31553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13B1A95D">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_Toc11021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5 </w:t>
          </w:r>
          <w:r>
            <w:rPr>
              <w:rFonts w:hint="default" w:ascii="Times New Roman" w:hAnsi="Times New Roman" w:cs="Times New Roman" w:eastAsiaTheme="minorEastAsia"/>
              <w:bCs/>
              <w:szCs w:val="22"/>
            </w:rPr>
            <w:t>材料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_Toc11021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32DC98EB">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_Toc1795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5.1 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_Toc1795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7DFF3D9C">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_Toc23811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5.2 再生沥青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_Toc23811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7E44F2E9">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_Toc22925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5.3 黏层材料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_Toc22925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1D0B2480">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_Toc29626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5.4 沥青混合料回收料（RAP）</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_Toc29626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040CDC5A">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_Toc4993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5.5 灌缝胶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_Toc4993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7CBC3A7F">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_Toc20534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6 </w:t>
          </w:r>
          <w:r>
            <w:rPr>
              <w:rFonts w:hint="default" w:ascii="Times New Roman" w:hAnsi="Times New Roman" w:cs="Times New Roman" w:eastAsiaTheme="minorEastAsia"/>
              <w:bCs/>
              <w:szCs w:val="22"/>
            </w:rPr>
            <w:t>全再生薄层沥青混合料配合比设计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_Toc20534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3554E7BA">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_Toc20778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6.1 </w:t>
          </w:r>
          <w:r>
            <w:rPr>
              <w:rFonts w:hint="default" w:ascii="Times New Roman" w:hAnsi="Times New Roman" w:eastAsia="宋体" w:cs="Times New Roman"/>
              <w:bCs/>
            </w:rPr>
            <w:t>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_Toc20778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594318A5">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_Toc18304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6.2 </w:t>
          </w:r>
          <w:r>
            <w:rPr>
              <w:rFonts w:hint="default" w:ascii="Times New Roman" w:hAnsi="Times New Roman" w:eastAsia="宋体" w:cs="Times New Roman"/>
              <w:bCs/>
            </w:rPr>
            <w:t>混合料技术指标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_Toc18304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75B5605F">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_Toc23963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7 </w:t>
          </w:r>
          <w:r>
            <w:rPr>
              <w:rFonts w:hint="default" w:ascii="Times New Roman" w:hAnsi="Times New Roman" w:cs="Times New Roman" w:eastAsiaTheme="minorEastAsia"/>
              <w:bCs/>
              <w:szCs w:val="22"/>
            </w:rPr>
            <w:t>施工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_Toc23963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36F71428">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_Toc16872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7.1 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_Toc16872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17E71CC1">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_Toc11098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7.2 沥青混合料回收料（RAP）的预处理和堆放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_Toc11098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13374C19">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_Toc19815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7.3 混合料拌和与运输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_Toc19815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73888F9D">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_Toc10182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7.4 黏层材料喷洒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_Toc10182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0B6DA972">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_Toc1029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7.5 摊铺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_Toc1029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64E6163A">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_Toc26211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7.6 碾压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_Toc26211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2B048E85">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_Toc28267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7.7 接缝</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_Toc28267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05BC815D">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_Toc19360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7.8 养护与开放交通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_Toc19360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4CB6ED67">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_Toc3081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szCs w:val="22"/>
            </w:rPr>
            <w:t>8 施工质量控制与检查验收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_Toc3081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6598BF15">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_Toc23268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8.1 原材料质量控制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_Toc23268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54A2E617">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_Toc13695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8.2 施工过程中质量控制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_Toc13695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1C102912">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_Toc10718 </w:instrText>
          </w:r>
          <w:r>
            <w:rPr>
              <w:rFonts w:hint="default" w:ascii="Times New Roman" w:hAnsi="Times New Roman" w:cs="Times New Roman" w:eastAsiaTheme="minorEastAsia"/>
              <w:lang w:val="zh-CN"/>
            </w:rPr>
            <w:fldChar w:fldCharType="separate"/>
          </w:r>
          <w:r>
            <w:rPr>
              <w:rFonts w:hint="default" w:ascii="Times New Roman" w:hAnsi="Times New Roman" w:eastAsia="宋体" w:cs="Times New Roman"/>
              <w:bCs/>
            </w:rPr>
            <w:t>8.3 工程验收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_Toc10718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719DEB04">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_Toc29472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szCs w:val="22"/>
            </w:rPr>
            <w:t>附录A 粘结强度测定方法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_Toc29472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1E07E8C9">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_Toc19304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szCs w:val="22"/>
            </w:rPr>
            <w:t>附录B 全再生薄层罩面混合料配合比设计方法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_Toc19304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1AA8B4A6">
          <w:pPr>
            <w:rPr>
              <w:rFonts w:hint="default" w:ascii="Times New Roman" w:hAnsi="Times New Roman" w:cs="Times New Roman"/>
            </w:rPr>
          </w:pPr>
          <w:r>
            <w:rPr>
              <w:rFonts w:hint="default" w:ascii="Times New Roman" w:hAnsi="Times New Roman" w:cs="Times New Roman" w:eastAsiaTheme="minorEastAsia"/>
              <w:lang w:val="zh-CN"/>
            </w:rPr>
            <w:fldChar w:fldCharType="end"/>
          </w:r>
        </w:p>
      </w:sdtContent>
    </w:sdt>
    <w:p w14:paraId="0661E6EA">
      <w:pPr>
        <w:pStyle w:val="29"/>
        <w:tabs>
          <w:tab w:val="clear" w:pos="4201"/>
          <w:tab w:val="clear" w:pos="9298"/>
        </w:tabs>
        <w:spacing w:line="360" w:lineRule="auto"/>
        <w:ind w:firstLine="0" w:firstLineChars="0"/>
        <w:rPr>
          <w:rFonts w:hint="default" w:ascii="Times New Roman" w:hAnsi="Times New Roman" w:cs="Times New Roman"/>
          <w:sz w:val="24"/>
          <w:szCs w:val="21"/>
        </w:rPr>
      </w:pPr>
    </w:p>
    <w:p w14:paraId="62BC2278">
      <w:pPr>
        <w:rPr>
          <w:rFonts w:hint="default" w:ascii="Times New Roman" w:hAnsi="Times New Roman" w:cs="Times New Roman"/>
        </w:rPr>
        <w:sectPr>
          <w:footerReference r:id="rId5" w:type="default"/>
          <w:pgSz w:w="11906" w:h="16838"/>
          <w:pgMar w:top="1440" w:right="1800" w:bottom="1440" w:left="1800" w:header="1418" w:footer="1134" w:gutter="0"/>
          <w:pgNumType w:start="0"/>
          <w:cols w:space="425" w:num="1"/>
          <w:formProt w:val="0"/>
          <w:titlePg/>
          <w:docGrid w:type="lines" w:linePitch="312" w:charSpace="0"/>
        </w:sectPr>
      </w:pPr>
      <w:r>
        <w:rPr>
          <w:rFonts w:hint="default" w:ascii="Times New Roman" w:hAnsi="Times New Roman" w:cs="Times New Roman"/>
        </w:rPr>
        <w:tab/>
      </w:r>
    </w:p>
    <w:p w14:paraId="520763C3">
      <w:pPr>
        <w:pStyle w:val="52"/>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0" w:name="_Toc5739"/>
      <w:bookmarkStart w:id="1" w:name="_Toc179636646"/>
      <w:r>
        <w:rPr>
          <w:rFonts w:hint="default" w:ascii="Times New Roman" w:hAnsi="Times New Roman" w:cs="Times New Roman" w:eastAsiaTheme="minorEastAsia"/>
          <w:b/>
          <w:bCs/>
          <w:sz w:val="32"/>
          <w:szCs w:val="22"/>
        </w:rPr>
        <w:t>总则</w:t>
      </w:r>
      <w:bookmarkEnd w:id="0"/>
      <w:bookmarkEnd w:id="1"/>
      <w:bookmarkStart w:id="2" w:name="_Toc447282095"/>
    </w:p>
    <w:p w14:paraId="22CB2890">
      <w:pPr>
        <w:pStyle w:val="49"/>
        <w:numPr>
          <w:ilvl w:val="2"/>
          <w:numId w:val="18"/>
        </w:numPr>
        <w:spacing w:beforeLines="0" w:afterLines="0" w:line="360" w:lineRule="auto"/>
        <w:ind w:left="0" w:firstLine="240" w:firstLineChars="100"/>
        <w:jc w:val="both"/>
        <w:outlineLvl w:val="9"/>
        <w:rPr>
          <w:rFonts w:hint="default" w:ascii="Times New Roman" w:hAnsi="Times New Roman" w:eastAsia="宋体" w:cs="Times New Roman"/>
          <w:sz w:val="24"/>
        </w:rPr>
      </w:pPr>
      <w:r>
        <w:rPr>
          <w:rFonts w:hint="default" w:ascii="Times New Roman" w:hAnsi="Times New Roman" w:eastAsia="宋体" w:cs="Times New Roman"/>
          <w:sz w:val="24"/>
        </w:rPr>
        <w:t>为指导贵州省全再生薄层罩面的设计、施工、验收，保证工程质量，制定本指南。</w:t>
      </w:r>
    </w:p>
    <w:p w14:paraId="0FD4D401">
      <w:pPr>
        <w:pStyle w:val="49"/>
        <w:numPr>
          <w:ilvl w:val="2"/>
          <w:numId w:val="18"/>
        </w:numPr>
        <w:spacing w:beforeLines="0" w:afterLines="0" w:line="360" w:lineRule="auto"/>
        <w:ind w:left="0" w:firstLine="240" w:firstLineChars="100"/>
        <w:jc w:val="both"/>
        <w:outlineLvl w:val="9"/>
        <w:rPr>
          <w:rFonts w:hint="default" w:ascii="Times New Roman" w:hAnsi="Times New Roman" w:eastAsia="宋体" w:cs="Times New Roman"/>
          <w:sz w:val="24"/>
        </w:rPr>
      </w:pPr>
      <w:r>
        <w:rPr>
          <w:rFonts w:hint="default" w:ascii="Times New Roman" w:hAnsi="Times New Roman" w:eastAsia="宋体" w:cs="Times New Roman"/>
          <w:sz w:val="24"/>
        </w:rPr>
        <w:t>本指南适用于各等级公路沥青路面养护工程。</w:t>
      </w:r>
    </w:p>
    <w:p w14:paraId="23981DDA">
      <w:pPr>
        <w:pStyle w:val="49"/>
        <w:numPr>
          <w:ilvl w:val="2"/>
          <w:numId w:val="18"/>
        </w:numPr>
        <w:spacing w:beforeLines="0" w:afterLines="0" w:line="360" w:lineRule="auto"/>
        <w:ind w:left="0" w:firstLine="240" w:firstLineChars="100"/>
        <w:jc w:val="both"/>
        <w:outlineLvl w:val="9"/>
        <w:rPr>
          <w:rFonts w:hint="default" w:ascii="Times New Roman" w:hAnsi="Times New Roman" w:eastAsia="宋体" w:cs="Times New Roman"/>
          <w:sz w:val="24"/>
        </w:rPr>
      </w:pPr>
      <w:r>
        <w:rPr>
          <w:rFonts w:hint="default" w:ascii="Times New Roman" w:hAnsi="Times New Roman" w:eastAsia="宋体" w:cs="Times New Roman"/>
          <w:sz w:val="24"/>
        </w:rPr>
        <w:t>等外公路及城镇道路沥青路面养护工程可参照执行。</w:t>
      </w:r>
      <w:r>
        <w:rPr>
          <w:rFonts w:hint="default" w:ascii="Times New Roman" w:hAnsi="Times New Roman" w:eastAsia="宋体" w:cs="Times New Roman"/>
          <w:sz w:val="24"/>
        </w:rPr>
        <w:tab/>
      </w:r>
    </w:p>
    <w:p w14:paraId="354B7465">
      <w:pPr>
        <w:pStyle w:val="29"/>
        <w:tabs>
          <w:tab w:val="clear" w:pos="4201"/>
          <w:tab w:val="clear" w:pos="9298"/>
        </w:tabs>
        <w:ind w:firstLine="210" w:firstLineChars="100"/>
        <w:rPr>
          <w:rFonts w:hint="default" w:ascii="Times New Roman" w:hAnsi="Times New Roman" w:cs="Times New Roman"/>
        </w:rPr>
        <w:sectPr>
          <w:headerReference r:id="rId6" w:type="default"/>
          <w:footerReference r:id="rId7" w:type="even"/>
          <w:pgSz w:w="11906" w:h="16838"/>
          <w:pgMar w:top="1440" w:right="1800" w:bottom="1440" w:left="1800" w:header="851" w:footer="992" w:gutter="0"/>
          <w:pgNumType w:start="1"/>
          <w:cols w:space="425" w:num="1"/>
          <w:docGrid w:type="lines" w:linePitch="312" w:charSpace="0"/>
        </w:sectPr>
      </w:pPr>
    </w:p>
    <w:bookmarkEnd w:id="2"/>
    <w:p w14:paraId="5BFE0E43">
      <w:pPr>
        <w:pStyle w:val="52"/>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3" w:name="_Toc179636650"/>
      <w:bookmarkStart w:id="4" w:name="_Toc4417"/>
      <w:bookmarkStart w:id="5" w:name="_Toc126742831"/>
      <w:bookmarkStart w:id="6" w:name="_Toc179636647"/>
      <w:bookmarkStart w:id="7" w:name="_Toc126742832"/>
      <w:r>
        <w:rPr>
          <w:rFonts w:hint="default" w:ascii="Times New Roman" w:hAnsi="Times New Roman" w:cs="Times New Roman" w:eastAsiaTheme="minorEastAsia"/>
          <w:b/>
          <w:bCs/>
          <w:sz w:val="32"/>
          <w:szCs w:val="22"/>
        </w:rPr>
        <w:t>规范性引用文件</w:t>
      </w:r>
      <w:bookmarkEnd w:id="3"/>
      <w:bookmarkEnd w:id="4"/>
      <w:bookmarkEnd w:id="5"/>
    </w:p>
    <w:p w14:paraId="3C760E09">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下列文件对于本指南的应用是必不可少的。凡是注日期的引用文件，仅注日期的版本适用于本指南。凡是不注日期的引用文件，其最新版本（包括所有的修改单）适用于本指南。</w:t>
      </w:r>
    </w:p>
    <w:p w14:paraId="7D8D0108">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D50公路沥青路面设计规范</w:t>
      </w:r>
    </w:p>
    <w:p w14:paraId="256D9BCD">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3432公路工程集料试验规程</w:t>
      </w:r>
    </w:p>
    <w:p w14:paraId="78FEBFBE">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E20公路工程沥青及沥青混合料试验规程</w:t>
      </w:r>
    </w:p>
    <w:p w14:paraId="600EC5AC">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F40公路沥青路面施工技术规范</w:t>
      </w:r>
    </w:p>
    <w:p w14:paraId="31C235D2">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 xml:space="preserve">JTG F80/1公路工程质量检验评定标准 </w:t>
      </w:r>
    </w:p>
    <w:p w14:paraId="0A03ED85">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5110公路养护技术标准</w:t>
      </w:r>
    </w:p>
    <w:p w14:paraId="733EE914">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5142公路沥青路面养护技术规范</w:t>
      </w:r>
    </w:p>
    <w:p w14:paraId="11962044">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5210公路技术状况评定标准</w:t>
      </w:r>
    </w:p>
    <w:p w14:paraId="11760228">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JTG 5521公路沥青路面再生技术规范</w:t>
      </w:r>
    </w:p>
    <w:p w14:paraId="764B3E40">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JTT 740路面加热型灌缝胶</w:t>
      </w:r>
    </w:p>
    <w:p w14:paraId="7DD13D72">
      <w:pPr>
        <w:pStyle w:val="29"/>
        <w:spacing w:line="360" w:lineRule="auto"/>
        <w:ind w:firstLine="480"/>
        <w:rPr>
          <w:rFonts w:hint="default" w:ascii="Times New Roman" w:hAnsi="Times New Roman" w:eastAsia="楷体" w:cs="Times New Roman"/>
          <w:b/>
          <w:bCs/>
          <w:sz w:val="24"/>
        </w:rPr>
      </w:pPr>
      <w:r>
        <w:rPr>
          <w:rFonts w:hint="default" w:ascii="Times New Roman" w:hAnsi="Times New Roman" w:cs="Times New Roman"/>
          <w:sz w:val="24"/>
        </w:rPr>
        <w:t>JT/T 1264沥青路面雾封层材料 还原剂类雾封层材料</w:t>
      </w:r>
    </w:p>
    <w:p w14:paraId="1D806DDE">
      <w:pPr>
        <w:pStyle w:val="29"/>
        <w:tabs>
          <w:tab w:val="clear" w:pos="4201"/>
          <w:tab w:val="clear" w:pos="9298"/>
        </w:tabs>
        <w:spacing w:line="360" w:lineRule="auto"/>
        <w:ind w:firstLine="480"/>
        <w:rPr>
          <w:rFonts w:hint="default" w:ascii="Times New Roman" w:hAnsi="Times New Roman" w:cs="Times New Roman"/>
          <w:sz w:val="24"/>
        </w:rPr>
        <w:sectPr>
          <w:headerReference r:id="rId8" w:type="default"/>
          <w:headerReference r:id="rId9" w:type="even"/>
          <w:type w:val="continuous"/>
          <w:pgSz w:w="11906" w:h="16838"/>
          <w:pgMar w:top="1440" w:right="1800" w:bottom="1440" w:left="1800" w:header="851" w:footer="992" w:gutter="0"/>
          <w:cols w:space="425" w:num="1"/>
          <w:docGrid w:type="lines" w:linePitch="312" w:charSpace="0"/>
        </w:sectPr>
      </w:pPr>
    </w:p>
    <w:p w14:paraId="787085F9">
      <w:pPr>
        <w:pStyle w:val="52"/>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8" w:name="_Toc14024"/>
      <w:r>
        <w:rPr>
          <w:rFonts w:hint="default" w:ascii="Times New Roman" w:hAnsi="Times New Roman" w:cs="Times New Roman" w:eastAsiaTheme="minorEastAsia"/>
          <w:b/>
          <w:bCs/>
          <w:sz w:val="32"/>
          <w:szCs w:val="22"/>
        </w:rPr>
        <w:t>术语与符号</w:t>
      </w:r>
      <w:bookmarkEnd w:id="6"/>
      <w:bookmarkEnd w:id="7"/>
      <w:bookmarkEnd w:id="8"/>
    </w:p>
    <w:p w14:paraId="0FD0A675">
      <w:pPr>
        <w:pStyle w:val="49"/>
        <w:numPr>
          <w:ilvl w:val="1"/>
          <w:numId w:val="17"/>
        </w:numPr>
        <w:spacing w:beforeLines="0" w:afterLines="0" w:line="360" w:lineRule="auto"/>
        <w:ind w:left="0" w:firstLine="0"/>
        <w:outlineLvl w:val="1"/>
        <w:rPr>
          <w:rFonts w:hint="default" w:ascii="Times New Roman" w:hAnsi="Times New Roman" w:eastAsia="宋体" w:cs="Times New Roman"/>
          <w:b/>
          <w:bCs/>
          <w:sz w:val="24"/>
        </w:rPr>
      </w:pPr>
      <w:bookmarkStart w:id="9" w:name="_Toc2570"/>
      <w:bookmarkStart w:id="10" w:name="_Toc179636648"/>
      <w:bookmarkStart w:id="11" w:name="_Toc126742833"/>
      <w:r>
        <w:rPr>
          <w:rFonts w:hint="default" w:ascii="Times New Roman" w:hAnsi="Times New Roman" w:eastAsia="宋体" w:cs="Times New Roman"/>
          <w:b/>
          <w:bCs/>
          <w:sz w:val="24"/>
        </w:rPr>
        <w:t>术语</w:t>
      </w:r>
      <w:bookmarkEnd w:id="9"/>
      <w:bookmarkEnd w:id="10"/>
      <w:bookmarkEnd w:id="11"/>
      <w:r>
        <w:rPr>
          <w:rFonts w:hint="default" w:ascii="Times New Roman" w:hAnsi="Times New Roman" w:eastAsia="宋体" w:cs="Times New Roman"/>
          <w:b/>
          <w:bCs/>
          <w:sz w:val="24"/>
        </w:rPr>
        <w:t xml:space="preserve"> </w:t>
      </w:r>
    </w:p>
    <w:p w14:paraId="7D9BDE72">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再生沥青  reclaimed asphalt</w:t>
      </w:r>
    </w:p>
    <w:p w14:paraId="248FF98C">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包含了新沥青、再生剂、温拌剂、改性剂等多种材料，添加到再生混合料中起到胶结、再生作用，能够显著改善老化沥青指标，恢复老化沥青使用性能的沥青材料。</w:t>
      </w:r>
    </w:p>
    <w:p w14:paraId="171C9F6A">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沥青混合料回收料 reclaimed asphalt pavement（RAP）</w:t>
      </w:r>
    </w:p>
    <w:p w14:paraId="461D2313">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采用铣刨、开挖等方式从沥青路面上获得的旧沥青混合料。</w:t>
      </w:r>
    </w:p>
    <w:p w14:paraId="42E622F8">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沥青混合料回收料（RAP）破碎筛分级配 RAP</w:t>
      </w:r>
      <w:r>
        <w:rPr>
          <w:rFonts w:hint="default" w:ascii="Times New Roman" w:hAnsi="Times New Roman" w:cs="Times New Roman"/>
        </w:rPr>
        <w:t xml:space="preserve"> </w:t>
      </w:r>
      <w:r>
        <w:rPr>
          <w:rFonts w:hint="default" w:ascii="Times New Roman" w:hAnsi="Times New Roman" w:cs="Times New Roman"/>
          <w:sz w:val="24"/>
        </w:rPr>
        <w:t>crushing and screening grading</w:t>
      </w:r>
    </w:p>
    <w:p w14:paraId="09B2A9B9">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沥青混合料回收料（RAP）经破碎、筛分预处理后的级配。</w:t>
      </w:r>
    </w:p>
    <w:p w14:paraId="31FA1089">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沥青混合料回收料（RAP）矿料级配 RAP aggregate grading</w:t>
      </w:r>
    </w:p>
    <w:p w14:paraId="3A755D2C">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沥青混合料回收料（RAP）经抽提或燃烧后得到的矿料级配。</w:t>
      </w:r>
    </w:p>
    <w:p w14:paraId="3D2AF1F5">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总沥青含量 total asphalt content</w:t>
      </w:r>
    </w:p>
    <w:p w14:paraId="32949B0C">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全再生沥青混合料中老化沥青与再生沥青含量之和。</w:t>
      </w:r>
    </w:p>
    <w:p w14:paraId="5F9934FE">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  100% reclaimed RAP thin overlay</w:t>
      </w:r>
    </w:p>
    <w:p w14:paraId="0DD14B61">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100%采用沥青混合料回收料（RAP）添加再生沥青，拌制并铺筑出厚度为1.5cm-2.5cm的薄层沥青罩面。</w:t>
      </w:r>
    </w:p>
    <w:p w14:paraId="61915EEF">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溶剂型黏层材料 solvent based adhesive material</w:t>
      </w:r>
    </w:p>
    <w:p w14:paraId="121D8343">
      <w:pPr>
        <w:pStyle w:val="29"/>
        <w:tabs>
          <w:tab w:val="clear" w:pos="4201"/>
          <w:tab w:val="clear" w:pos="9298"/>
        </w:tabs>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全再生薄层罩面与原路面之间起到防水黏结作用，且不黏轮的溶剂型改性沥青黏层材料。</w:t>
      </w:r>
    </w:p>
    <w:p w14:paraId="1C22B78D">
      <w:pPr>
        <w:pStyle w:val="49"/>
        <w:numPr>
          <w:ilvl w:val="1"/>
          <w:numId w:val="17"/>
        </w:numPr>
        <w:spacing w:beforeLines="0" w:afterLines="0" w:line="360" w:lineRule="auto"/>
        <w:ind w:left="0" w:firstLine="0"/>
        <w:outlineLvl w:val="1"/>
        <w:rPr>
          <w:rFonts w:hint="default" w:ascii="Times New Roman" w:hAnsi="Times New Roman" w:eastAsia="宋体" w:cs="Times New Roman"/>
          <w:b/>
          <w:bCs/>
          <w:sz w:val="24"/>
        </w:rPr>
      </w:pPr>
      <w:bookmarkStart w:id="12" w:name="_Toc29426"/>
      <w:bookmarkStart w:id="13" w:name="_Toc179636649"/>
      <w:bookmarkStart w:id="14" w:name="_Toc126742834"/>
      <w:r>
        <w:rPr>
          <w:rFonts w:hint="default" w:ascii="Times New Roman" w:hAnsi="Times New Roman" w:eastAsia="宋体" w:cs="Times New Roman"/>
          <w:b/>
          <w:bCs/>
          <w:sz w:val="24"/>
        </w:rPr>
        <w:t>符号</w:t>
      </w:r>
      <w:bookmarkEnd w:id="12"/>
      <w:bookmarkEnd w:id="13"/>
      <w:bookmarkEnd w:id="14"/>
      <w:r>
        <w:rPr>
          <w:rFonts w:hint="default" w:ascii="Times New Roman" w:hAnsi="Times New Roman" w:eastAsia="宋体" w:cs="Times New Roman"/>
          <w:b/>
          <w:bCs/>
          <w:sz w:val="24"/>
        </w:rPr>
        <w:t xml:space="preserve"> </w:t>
      </w:r>
    </w:p>
    <w:p w14:paraId="266F31C7">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PCI——路面损坏状况指数；</w:t>
      </w:r>
    </w:p>
    <w:p w14:paraId="0F2F1D5A">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RQI——路面行驶质量指数；</w:t>
      </w:r>
    </w:p>
    <w:p w14:paraId="0C805A13">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RDI——路面车辙深度指数；</w:t>
      </w:r>
    </w:p>
    <w:p w14:paraId="24605EB3">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RAP——沥青混合料回收料</w:t>
      </w:r>
    </w:p>
    <w:p w14:paraId="29F0E2C4">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RTO——再生薄层罩面；</w:t>
      </w:r>
    </w:p>
    <w:p w14:paraId="15326158">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RTO-10——公称最大粒径为10mm的再生薄层罩面沥青混合料；</w:t>
      </w:r>
    </w:p>
    <w:p w14:paraId="01BF06BC">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RTO-13——公称最大粒径为13mm的再生薄层罩面沥青混合料；</w:t>
      </w:r>
    </w:p>
    <w:p w14:paraId="62881F70">
      <w:pPr>
        <w:pStyle w:val="29"/>
        <w:tabs>
          <w:tab w:val="clear" w:pos="4201"/>
          <w:tab w:val="clear" w:pos="9298"/>
        </w:tabs>
        <w:spacing w:line="360" w:lineRule="auto"/>
        <w:ind w:firstLine="480"/>
        <w:rPr>
          <w:rFonts w:hint="default" w:ascii="Times New Roman" w:hAnsi="Times New Roman" w:cs="Times New Roman"/>
          <w:sz w:val="24"/>
        </w:rPr>
      </w:pPr>
      <w:r>
        <w:rPr>
          <w:rFonts w:hint="default" w:ascii="Times New Roman" w:hAnsi="Times New Roman" w:cs="Times New Roman"/>
          <w:sz w:val="24"/>
        </w:rPr>
        <w:t>RTFOT——旋转薄膜加热试验；</w:t>
      </w:r>
    </w:p>
    <w:p w14:paraId="4D02C52E">
      <w:pPr>
        <w:pStyle w:val="29"/>
        <w:tabs>
          <w:tab w:val="clear" w:pos="4201"/>
          <w:tab w:val="clear" w:pos="9298"/>
        </w:tabs>
        <w:spacing w:line="360" w:lineRule="auto"/>
        <w:ind w:firstLine="480"/>
        <w:rPr>
          <w:rFonts w:hint="default" w:ascii="Times New Roman" w:hAnsi="Times New Roman" w:cs="Times New Roman"/>
          <w:sz w:val="24"/>
        </w:rPr>
        <w:sectPr>
          <w:headerReference r:id="rId10" w:type="default"/>
          <w:pgSz w:w="11906" w:h="16838"/>
          <w:pgMar w:top="1440" w:right="1800" w:bottom="1440" w:left="1800" w:header="851" w:footer="992" w:gutter="0"/>
          <w:cols w:space="425" w:num="1"/>
          <w:docGrid w:type="lines" w:linePitch="312" w:charSpace="0"/>
        </w:sectPr>
      </w:pPr>
      <w:r>
        <w:rPr>
          <w:rFonts w:hint="default" w:ascii="Times New Roman" w:hAnsi="Times New Roman" w:cs="Times New Roman"/>
          <w:sz w:val="24"/>
        </w:rPr>
        <w:t>IRI——国际平整度指数；</w:t>
      </w:r>
    </w:p>
    <w:p w14:paraId="64F0F354">
      <w:pPr>
        <w:pStyle w:val="52"/>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15" w:name="_Toc17823"/>
      <w:bookmarkStart w:id="16" w:name="_Toc179636651"/>
      <w:r>
        <w:rPr>
          <w:rFonts w:hint="default" w:ascii="Times New Roman" w:hAnsi="Times New Roman" w:cs="Times New Roman" w:eastAsiaTheme="minorEastAsia"/>
          <w:b/>
          <w:bCs/>
          <w:sz w:val="32"/>
          <w:szCs w:val="22"/>
        </w:rPr>
        <w:t>基本规定</w:t>
      </w:r>
      <w:bookmarkEnd w:id="15"/>
      <w:bookmarkEnd w:id="16"/>
    </w:p>
    <w:p w14:paraId="73CBC4A1">
      <w:pPr>
        <w:pStyle w:val="49"/>
        <w:numPr>
          <w:ilvl w:val="1"/>
          <w:numId w:val="19"/>
        </w:numPr>
        <w:spacing w:beforeLines="0" w:afterLines="0" w:line="360" w:lineRule="auto"/>
        <w:ind w:left="0" w:firstLine="0"/>
        <w:outlineLvl w:val="1"/>
        <w:rPr>
          <w:rFonts w:hint="default" w:ascii="Times New Roman" w:hAnsi="Times New Roman" w:eastAsia="宋体" w:cs="Times New Roman"/>
          <w:b/>
          <w:bCs/>
          <w:sz w:val="24"/>
        </w:rPr>
      </w:pPr>
      <w:bookmarkStart w:id="17" w:name="OLE_LINK2"/>
      <w:r>
        <w:rPr>
          <w:rFonts w:hint="default" w:ascii="Times New Roman" w:hAnsi="Times New Roman" w:eastAsia="宋体" w:cs="Times New Roman"/>
          <w:b/>
          <w:bCs/>
          <w:sz w:val="24"/>
        </w:rPr>
        <w:t xml:space="preserve"> </w:t>
      </w:r>
      <w:bookmarkStart w:id="18" w:name="_Toc17692"/>
      <w:bookmarkStart w:id="19" w:name="_Toc179636652"/>
      <w:r>
        <w:rPr>
          <w:rFonts w:hint="default" w:ascii="Times New Roman" w:hAnsi="Times New Roman" w:eastAsia="宋体" w:cs="Times New Roman"/>
          <w:b/>
          <w:bCs/>
          <w:sz w:val="24"/>
        </w:rPr>
        <w:t>一般规定</w:t>
      </w:r>
      <w:bookmarkEnd w:id="18"/>
      <w:bookmarkEnd w:id="19"/>
    </w:p>
    <w:p w14:paraId="112543CB">
      <w:pPr>
        <w:pStyle w:val="29"/>
        <w:numPr>
          <w:ilvl w:val="2"/>
          <w:numId w:val="19"/>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全再生薄层罩面可用于沥青路面非结构性损坏的预防养护及路面功能修复，不能作为结构补强层。</w:t>
      </w:r>
    </w:p>
    <w:p w14:paraId="233A59E8">
      <w:pPr>
        <w:pStyle w:val="29"/>
        <w:numPr>
          <w:ilvl w:val="2"/>
          <w:numId w:val="19"/>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全再生薄层罩面类型、厚度应结合使用要求、原路面状况、交通量、气候条件等因素进行选择。</w:t>
      </w:r>
    </w:p>
    <w:p w14:paraId="349C4AF5">
      <w:pPr>
        <w:pStyle w:val="29"/>
        <w:numPr>
          <w:ilvl w:val="2"/>
          <w:numId w:val="19"/>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全再生薄层罩面宜采用异步摊铺的施工工艺，也可采用同步摊铺的施工工艺。采用异步摊铺工艺时，应采用不黏轮的溶剂型黏层材料。采用同步摊铺工艺时，应采用高黏度改性乳化沥青黏层材料。</w:t>
      </w:r>
    </w:p>
    <w:p w14:paraId="24DB90AD">
      <w:pPr>
        <w:pStyle w:val="49"/>
        <w:numPr>
          <w:ilvl w:val="1"/>
          <w:numId w:val="19"/>
        </w:numPr>
        <w:spacing w:beforeLines="0" w:afterLines="0" w:line="360" w:lineRule="auto"/>
        <w:ind w:left="426"/>
        <w:outlineLvl w:val="1"/>
        <w:rPr>
          <w:rFonts w:hint="default" w:ascii="Times New Roman" w:hAnsi="Times New Roman" w:eastAsia="宋体" w:cs="Times New Roman"/>
          <w:b/>
          <w:bCs/>
          <w:sz w:val="24"/>
        </w:rPr>
      </w:pPr>
      <w:bookmarkStart w:id="20" w:name="_Toc179636653"/>
      <w:bookmarkStart w:id="21" w:name="_Toc16650"/>
      <w:r>
        <w:rPr>
          <w:rFonts w:hint="default" w:ascii="Times New Roman" w:hAnsi="Times New Roman" w:eastAsia="宋体" w:cs="Times New Roman"/>
          <w:b/>
          <w:bCs/>
          <w:sz w:val="24"/>
        </w:rPr>
        <w:t>原路面技术状况要求</w:t>
      </w:r>
      <w:bookmarkEnd w:id="20"/>
      <w:bookmarkEnd w:id="21"/>
    </w:p>
    <w:p w14:paraId="06BC7A40">
      <w:pPr>
        <w:pStyle w:val="29"/>
        <w:numPr>
          <w:ilvl w:val="2"/>
          <w:numId w:val="19"/>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全再生薄层罩面在使用时应对原路面进行技术状况检查评定。</w:t>
      </w:r>
    </w:p>
    <w:p w14:paraId="5D665F00">
      <w:pPr>
        <w:pStyle w:val="29"/>
        <w:numPr>
          <w:ilvl w:val="2"/>
          <w:numId w:val="19"/>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全再生薄层罩面适用的各等级公路沥青路面技术状况或处置后的路面技术状况宜符合表4.2.2的规定。</w:t>
      </w:r>
    </w:p>
    <w:p w14:paraId="3B575C2A">
      <w:pPr>
        <w:pStyle w:val="190"/>
        <w:ind w:left="360"/>
        <w:rPr>
          <w:rStyle w:val="180"/>
          <w:rFonts w:hint="default" w:ascii="Times New Roman" w:hAnsi="Times New Roman" w:eastAsia="黑体" w:cs="Times New Roman"/>
          <w:sz w:val="21"/>
          <w:szCs w:val="21"/>
        </w:rPr>
      </w:pPr>
      <w:r>
        <w:rPr>
          <w:rStyle w:val="180"/>
          <w:rFonts w:hint="default" w:ascii="Times New Roman" w:hAnsi="Times New Roman" w:eastAsia="黑体" w:cs="Times New Roman"/>
          <w:sz w:val="21"/>
          <w:szCs w:val="21"/>
        </w:rPr>
        <w:t>表4.2.2 全再生薄层罩面适用的各等级公路沥青路面路况水平</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121"/>
        <w:gridCol w:w="2121"/>
        <w:gridCol w:w="1917"/>
        <w:gridCol w:w="2177"/>
      </w:tblGrid>
      <w:tr w14:paraId="2CC0C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272" w:type="pct"/>
          </w:tcPr>
          <w:p w14:paraId="306C5E77">
            <w:pPr>
              <w:pStyle w:val="192"/>
              <w:rPr>
                <w:rFonts w:hint="default" w:ascii="Times New Roman" w:hAnsi="Times New Roman" w:cs="Times New Roman"/>
                <w:spacing w:val="-2"/>
                <w:szCs w:val="18"/>
              </w:rPr>
            </w:pPr>
            <w:r>
              <w:rPr>
                <w:rFonts w:hint="default" w:ascii="Times New Roman" w:hAnsi="Times New Roman" w:cs="Times New Roman"/>
                <w:spacing w:val="-2"/>
                <w:szCs w:val="18"/>
              </w:rPr>
              <w:t>原路面类型</w:t>
            </w:r>
          </w:p>
        </w:tc>
        <w:tc>
          <w:tcPr>
            <w:tcW w:w="1272" w:type="pct"/>
          </w:tcPr>
          <w:p w14:paraId="4870D12C">
            <w:pPr>
              <w:pStyle w:val="192"/>
              <w:rPr>
                <w:rFonts w:hint="default" w:ascii="Times New Roman" w:hAnsi="Times New Roman" w:cs="Times New Roman"/>
                <w:spacing w:val="-2"/>
                <w:szCs w:val="18"/>
              </w:rPr>
            </w:pPr>
            <w:r>
              <w:rPr>
                <w:rFonts w:hint="default" w:ascii="Times New Roman" w:hAnsi="Times New Roman" w:cs="Times New Roman"/>
                <w:spacing w:val="-2"/>
                <w:szCs w:val="18"/>
              </w:rPr>
              <w:t>路况指数</w:t>
            </w:r>
          </w:p>
        </w:tc>
        <w:tc>
          <w:tcPr>
            <w:tcW w:w="1150" w:type="pct"/>
          </w:tcPr>
          <w:p w14:paraId="2B156BF0">
            <w:pPr>
              <w:pStyle w:val="192"/>
              <w:rPr>
                <w:rFonts w:hint="default" w:ascii="Times New Roman" w:hAnsi="Times New Roman" w:cs="Times New Roman"/>
                <w:spacing w:val="-2"/>
                <w:szCs w:val="18"/>
              </w:rPr>
            </w:pPr>
            <w:r>
              <w:rPr>
                <w:rFonts w:hint="default" w:ascii="Times New Roman" w:hAnsi="Times New Roman" w:cs="Times New Roman"/>
                <w:spacing w:val="-2"/>
                <w:szCs w:val="18"/>
              </w:rPr>
              <w:t>高速公路</w:t>
            </w:r>
          </w:p>
        </w:tc>
        <w:tc>
          <w:tcPr>
            <w:tcW w:w="1306" w:type="pct"/>
          </w:tcPr>
          <w:p w14:paraId="6FDA9FB1">
            <w:pPr>
              <w:pStyle w:val="192"/>
              <w:rPr>
                <w:rFonts w:hint="default" w:ascii="Times New Roman" w:hAnsi="Times New Roman" w:cs="Times New Roman"/>
                <w:spacing w:val="-2"/>
                <w:szCs w:val="18"/>
              </w:rPr>
            </w:pPr>
            <w:r>
              <w:rPr>
                <w:rFonts w:hint="default" w:ascii="Times New Roman" w:hAnsi="Times New Roman" w:cs="Times New Roman"/>
                <w:spacing w:val="-2"/>
                <w:szCs w:val="18"/>
              </w:rPr>
              <w:t>其他等级公路</w:t>
            </w:r>
          </w:p>
        </w:tc>
      </w:tr>
      <w:tr w14:paraId="08FF6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272" w:type="pct"/>
            <w:vMerge w:val="restart"/>
            <w:vAlign w:val="center"/>
          </w:tcPr>
          <w:p w14:paraId="79C0D788">
            <w:pPr>
              <w:pStyle w:val="192"/>
              <w:rPr>
                <w:rFonts w:hint="default" w:ascii="Times New Roman" w:hAnsi="Times New Roman" w:cs="Times New Roman"/>
                <w:spacing w:val="-2"/>
                <w:szCs w:val="18"/>
              </w:rPr>
            </w:pPr>
            <w:r>
              <w:rPr>
                <w:rFonts w:hint="default" w:ascii="Times New Roman" w:hAnsi="Times New Roman" w:cs="Times New Roman"/>
                <w:spacing w:val="-2"/>
                <w:szCs w:val="18"/>
              </w:rPr>
              <w:t>沥青路面</w:t>
            </w:r>
          </w:p>
        </w:tc>
        <w:tc>
          <w:tcPr>
            <w:tcW w:w="1272" w:type="pct"/>
          </w:tcPr>
          <w:p w14:paraId="76196EF8">
            <w:pPr>
              <w:pStyle w:val="192"/>
              <w:rPr>
                <w:rFonts w:hint="default" w:ascii="Times New Roman" w:hAnsi="Times New Roman" w:cs="Times New Roman"/>
                <w:spacing w:val="-2"/>
                <w:szCs w:val="18"/>
              </w:rPr>
            </w:pPr>
            <w:r>
              <w:rPr>
                <w:rFonts w:hint="default" w:ascii="Times New Roman" w:hAnsi="Times New Roman" w:cs="Times New Roman"/>
                <w:spacing w:val="-2"/>
                <w:szCs w:val="18"/>
              </w:rPr>
              <w:t>PCI、RQI</w:t>
            </w:r>
          </w:p>
        </w:tc>
        <w:tc>
          <w:tcPr>
            <w:tcW w:w="1150" w:type="pct"/>
          </w:tcPr>
          <w:p w14:paraId="48C315F5">
            <w:pPr>
              <w:pStyle w:val="192"/>
              <w:rPr>
                <w:rFonts w:hint="default" w:ascii="Times New Roman" w:hAnsi="Times New Roman" w:cs="Times New Roman"/>
                <w:spacing w:val="-2"/>
                <w:szCs w:val="18"/>
              </w:rPr>
            </w:pPr>
            <w:r>
              <w:rPr>
                <w:rFonts w:hint="default" w:ascii="Times New Roman" w:hAnsi="Times New Roman" w:cs="Times New Roman"/>
                <w:spacing w:val="-2"/>
                <w:szCs w:val="18"/>
              </w:rPr>
              <w:t>≥85</w:t>
            </w:r>
          </w:p>
        </w:tc>
        <w:tc>
          <w:tcPr>
            <w:tcW w:w="1306" w:type="pct"/>
          </w:tcPr>
          <w:p w14:paraId="7F2E2733">
            <w:pPr>
              <w:pStyle w:val="192"/>
              <w:rPr>
                <w:rFonts w:hint="default" w:ascii="Times New Roman" w:hAnsi="Times New Roman" w:cs="Times New Roman"/>
                <w:spacing w:val="-2"/>
                <w:szCs w:val="18"/>
              </w:rPr>
            </w:pPr>
            <w:r>
              <w:rPr>
                <w:rFonts w:hint="default" w:ascii="Times New Roman" w:hAnsi="Times New Roman" w:cs="Times New Roman"/>
                <w:spacing w:val="-2"/>
                <w:szCs w:val="18"/>
              </w:rPr>
              <w:t>≥80</w:t>
            </w:r>
          </w:p>
        </w:tc>
      </w:tr>
      <w:tr w14:paraId="5CB6E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272" w:type="pct"/>
            <w:vMerge w:val="continue"/>
          </w:tcPr>
          <w:p w14:paraId="49B87807">
            <w:pPr>
              <w:pStyle w:val="192"/>
              <w:rPr>
                <w:rFonts w:hint="default" w:ascii="Times New Roman" w:hAnsi="Times New Roman" w:cs="Times New Roman"/>
                <w:spacing w:val="-2"/>
                <w:szCs w:val="18"/>
              </w:rPr>
            </w:pPr>
          </w:p>
        </w:tc>
        <w:tc>
          <w:tcPr>
            <w:tcW w:w="1272" w:type="pct"/>
          </w:tcPr>
          <w:p w14:paraId="44E171A5">
            <w:pPr>
              <w:pStyle w:val="192"/>
              <w:rPr>
                <w:rFonts w:hint="default" w:ascii="Times New Roman" w:hAnsi="Times New Roman" w:cs="Times New Roman"/>
                <w:spacing w:val="-2"/>
                <w:szCs w:val="18"/>
              </w:rPr>
            </w:pPr>
            <w:r>
              <w:rPr>
                <w:rFonts w:hint="default" w:ascii="Times New Roman" w:hAnsi="Times New Roman" w:cs="Times New Roman"/>
                <w:spacing w:val="-2"/>
                <w:szCs w:val="18"/>
              </w:rPr>
              <w:t>RDI</w:t>
            </w:r>
          </w:p>
        </w:tc>
        <w:tc>
          <w:tcPr>
            <w:tcW w:w="1150" w:type="pct"/>
          </w:tcPr>
          <w:p w14:paraId="17D19D43">
            <w:pPr>
              <w:pStyle w:val="192"/>
              <w:rPr>
                <w:rFonts w:hint="default" w:ascii="Times New Roman" w:hAnsi="Times New Roman" w:cs="Times New Roman"/>
                <w:spacing w:val="-2"/>
                <w:szCs w:val="18"/>
              </w:rPr>
            </w:pPr>
            <w:r>
              <w:rPr>
                <w:rFonts w:hint="default" w:ascii="Times New Roman" w:hAnsi="Times New Roman" w:cs="Times New Roman"/>
                <w:spacing w:val="-2"/>
                <w:szCs w:val="18"/>
              </w:rPr>
              <w:t>≥80</w:t>
            </w:r>
          </w:p>
        </w:tc>
        <w:tc>
          <w:tcPr>
            <w:tcW w:w="1306" w:type="pct"/>
          </w:tcPr>
          <w:p w14:paraId="5F8AD068">
            <w:pPr>
              <w:pStyle w:val="192"/>
              <w:rPr>
                <w:rFonts w:hint="default" w:ascii="Times New Roman" w:hAnsi="Times New Roman" w:cs="Times New Roman"/>
                <w:spacing w:val="-2"/>
                <w:szCs w:val="18"/>
              </w:rPr>
            </w:pPr>
            <w:r>
              <w:rPr>
                <w:rFonts w:hint="default" w:ascii="Times New Roman" w:hAnsi="Times New Roman" w:cs="Times New Roman"/>
                <w:spacing w:val="-2"/>
                <w:szCs w:val="18"/>
              </w:rPr>
              <w:t>≥75</w:t>
            </w:r>
          </w:p>
        </w:tc>
      </w:tr>
    </w:tbl>
    <w:p w14:paraId="74A77B55">
      <w:pPr>
        <w:pStyle w:val="186"/>
        <w:numPr>
          <w:ilvl w:val="2"/>
          <w:numId w:val="19"/>
        </w:numPr>
        <w:spacing w:line="360" w:lineRule="auto"/>
        <w:ind w:left="0" w:firstLine="240" w:firstLineChars="100"/>
        <w:rPr>
          <w:rFonts w:hint="default" w:ascii="Times New Roman" w:hAnsi="Times New Roman" w:eastAsia="宋体" w:cs="Times New Roman"/>
          <w:kern w:val="0"/>
          <w:sz w:val="24"/>
          <w:szCs w:val="20"/>
        </w:rPr>
      </w:pPr>
      <w:r>
        <w:rPr>
          <w:rFonts w:hint="default" w:ascii="Times New Roman" w:hAnsi="Times New Roman" w:cs="Times New Roman"/>
          <w:sz w:val="24"/>
        </w:rPr>
        <w:t>全再生薄层罩面用于沥青路面养护工程时，在罩面前应完成翻浆、坑槽、沉陷、拥包、松散、车辙等病害的修复工作，并清除路面上的泥土杂物。</w:t>
      </w:r>
    </w:p>
    <w:p w14:paraId="0A488D98">
      <w:pPr>
        <w:pStyle w:val="186"/>
        <w:numPr>
          <w:ilvl w:val="2"/>
          <w:numId w:val="19"/>
        </w:numPr>
        <w:spacing w:line="360" w:lineRule="auto"/>
        <w:ind w:left="0" w:firstLine="240" w:firstLineChars="100"/>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原路面车辙在1.0cm以下的可直接摊铺全再生薄层罩面，深度1.0cm以上的车辙应进行处理后再摊铺全再生薄层罩面。原路面裂缝需进行灌缝处理。</w:t>
      </w:r>
    </w:p>
    <w:p w14:paraId="3F6F2CFD">
      <w:pPr>
        <w:pStyle w:val="49"/>
        <w:numPr>
          <w:ilvl w:val="1"/>
          <w:numId w:val="19"/>
        </w:numPr>
        <w:spacing w:beforeLines="0" w:afterLines="0" w:line="360" w:lineRule="auto"/>
        <w:ind w:left="0" w:firstLine="0"/>
        <w:outlineLvl w:val="1"/>
        <w:rPr>
          <w:rFonts w:hint="default" w:ascii="Times New Roman" w:hAnsi="Times New Roman" w:eastAsia="宋体" w:cs="Times New Roman"/>
          <w:b/>
          <w:bCs/>
          <w:sz w:val="24"/>
        </w:rPr>
      </w:pPr>
      <w:bookmarkStart w:id="22" w:name="_Toc179636654"/>
      <w:bookmarkStart w:id="23" w:name="_Toc31553"/>
      <w:r>
        <w:rPr>
          <w:rFonts w:hint="default" w:ascii="Times New Roman" w:hAnsi="Times New Roman" w:eastAsia="宋体" w:cs="Times New Roman"/>
          <w:b/>
          <w:bCs/>
          <w:sz w:val="24"/>
        </w:rPr>
        <w:t>厚度设计与材料选择</w:t>
      </w:r>
      <w:bookmarkEnd w:id="22"/>
      <w:bookmarkEnd w:id="23"/>
    </w:p>
    <w:p w14:paraId="26CC16F1">
      <w:pPr>
        <w:pStyle w:val="29"/>
        <w:numPr>
          <w:ilvl w:val="2"/>
          <w:numId w:val="19"/>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根据原路面的平整度情况，宜按照表4.3.1确定全再生薄层罩面的最小厚度。</w:t>
      </w:r>
    </w:p>
    <w:p w14:paraId="549BC982">
      <w:pPr>
        <w:pStyle w:val="29"/>
        <w:tabs>
          <w:tab w:val="clear" w:pos="4201"/>
          <w:tab w:val="clear" w:pos="9298"/>
        </w:tabs>
        <w:spacing w:line="360" w:lineRule="auto"/>
        <w:ind w:firstLine="0" w:firstLineChars="0"/>
        <w:jc w:val="center"/>
        <w:rPr>
          <w:rFonts w:hint="default" w:ascii="Times New Roman" w:hAnsi="Times New Roman" w:eastAsia="黑体" w:cs="Times New Roman"/>
          <w:szCs w:val="21"/>
        </w:rPr>
      </w:pPr>
      <w:r>
        <w:rPr>
          <w:rFonts w:hint="default" w:ascii="Times New Roman" w:hAnsi="Times New Roman" w:eastAsia="黑体" w:cs="Times New Roman"/>
          <w:szCs w:val="21"/>
        </w:rPr>
        <w:t>表4.3.1 全再生薄层罩面最小厚度</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984"/>
        <w:gridCol w:w="2576"/>
        <w:gridCol w:w="2776"/>
      </w:tblGrid>
      <w:tr w14:paraId="5A8B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790" w:type="pct"/>
            <w:shd w:val="clear" w:color="auto" w:fill="auto"/>
          </w:tcPr>
          <w:p w14:paraId="7F807FBB">
            <w:pPr>
              <w:pStyle w:val="192"/>
              <w:rPr>
                <w:rFonts w:hint="default" w:ascii="Times New Roman" w:hAnsi="Times New Roman" w:cs="Times New Roman"/>
                <w:spacing w:val="-2"/>
                <w:szCs w:val="18"/>
              </w:rPr>
            </w:pPr>
            <w:r>
              <w:rPr>
                <w:rFonts w:hint="default" w:ascii="Times New Roman" w:hAnsi="Times New Roman" w:cs="Times New Roman"/>
                <w:spacing w:val="-2"/>
                <w:szCs w:val="18"/>
              </w:rPr>
              <w:t>平整度</w:t>
            </w:r>
          </w:p>
          <w:p w14:paraId="7FB120D1">
            <w:pPr>
              <w:pStyle w:val="192"/>
              <w:rPr>
                <w:rFonts w:hint="default" w:ascii="Times New Roman" w:hAnsi="Times New Roman" w:cs="Times New Roman"/>
                <w:spacing w:val="-2"/>
                <w:szCs w:val="18"/>
              </w:rPr>
            </w:pPr>
            <w:r>
              <w:rPr>
                <w:rFonts w:hint="default" w:ascii="Times New Roman" w:hAnsi="Times New Roman" w:cs="Times New Roman"/>
                <w:spacing w:val="-2"/>
                <w:szCs w:val="18"/>
              </w:rPr>
              <w:t>（平均最大间隙δ</w:t>
            </w:r>
            <w:r>
              <w:rPr>
                <w:rFonts w:hint="default" w:ascii="Times New Roman" w:hAnsi="Times New Roman" w:cs="Times New Roman"/>
                <w:spacing w:val="-2"/>
                <w:szCs w:val="18"/>
                <w:vertAlign w:val="subscript"/>
              </w:rPr>
              <w:t>m</w:t>
            </w:r>
            <w:r>
              <w:rPr>
                <w:rFonts w:hint="default" w:ascii="Times New Roman" w:hAnsi="Times New Roman" w:cs="Times New Roman"/>
                <w:spacing w:val="-2"/>
                <w:szCs w:val="18"/>
              </w:rPr>
              <w:t>）</w:t>
            </w:r>
          </w:p>
        </w:tc>
        <w:tc>
          <w:tcPr>
            <w:tcW w:w="1545" w:type="pct"/>
            <w:vAlign w:val="center"/>
          </w:tcPr>
          <w:p w14:paraId="4944E3BE">
            <w:pPr>
              <w:pStyle w:val="192"/>
              <w:rPr>
                <w:rFonts w:hint="default" w:ascii="Times New Roman" w:hAnsi="Times New Roman" w:cs="Times New Roman"/>
                <w:spacing w:val="-2"/>
                <w:szCs w:val="18"/>
              </w:rPr>
            </w:pPr>
            <w:r>
              <w:rPr>
                <w:rFonts w:hint="default" w:ascii="Times New Roman" w:hAnsi="Times New Roman" w:cs="Times New Roman"/>
                <w:spacing w:val="-2"/>
                <w:szCs w:val="18"/>
              </w:rPr>
              <w:t>最小厚度</w:t>
            </w:r>
          </w:p>
        </w:tc>
        <w:tc>
          <w:tcPr>
            <w:tcW w:w="1665" w:type="pct"/>
            <w:shd w:val="clear" w:color="auto" w:fill="auto"/>
            <w:vAlign w:val="center"/>
          </w:tcPr>
          <w:p w14:paraId="72E1C690">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14:paraId="7816B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790" w:type="pct"/>
            <w:shd w:val="clear" w:color="auto" w:fill="auto"/>
          </w:tcPr>
          <w:p w14:paraId="3964F6C5">
            <w:pPr>
              <w:pStyle w:val="192"/>
              <w:rPr>
                <w:rFonts w:hint="default" w:ascii="Times New Roman" w:hAnsi="Times New Roman" w:cs="Times New Roman"/>
                <w:spacing w:val="-2"/>
                <w:szCs w:val="18"/>
              </w:rPr>
            </w:pPr>
            <w:r>
              <w:rPr>
                <w:rFonts w:hint="default" w:ascii="Times New Roman" w:hAnsi="Times New Roman" w:cs="Times New Roman"/>
                <w:spacing w:val="-2"/>
                <w:szCs w:val="18"/>
              </w:rPr>
              <w:t>＜7mm</w:t>
            </w:r>
          </w:p>
        </w:tc>
        <w:tc>
          <w:tcPr>
            <w:tcW w:w="1545" w:type="pct"/>
          </w:tcPr>
          <w:p w14:paraId="715BBCCE">
            <w:pPr>
              <w:pStyle w:val="192"/>
              <w:rPr>
                <w:rFonts w:hint="default" w:ascii="Times New Roman" w:hAnsi="Times New Roman" w:cs="Times New Roman"/>
                <w:spacing w:val="-2"/>
                <w:szCs w:val="18"/>
              </w:rPr>
            </w:pPr>
            <w:r>
              <w:rPr>
                <w:rFonts w:hint="default" w:ascii="Times New Roman" w:hAnsi="Times New Roman" w:cs="Times New Roman"/>
                <w:spacing w:val="-2"/>
                <w:szCs w:val="18"/>
              </w:rPr>
              <w:t>15mm</w:t>
            </w:r>
          </w:p>
        </w:tc>
        <w:tc>
          <w:tcPr>
            <w:tcW w:w="1665" w:type="pct"/>
            <w:vMerge w:val="restart"/>
            <w:shd w:val="clear" w:color="auto" w:fill="auto"/>
            <w:vAlign w:val="center"/>
          </w:tcPr>
          <w:p w14:paraId="6767117C">
            <w:pPr>
              <w:pStyle w:val="192"/>
              <w:rPr>
                <w:rFonts w:hint="default" w:ascii="Times New Roman" w:hAnsi="Times New Roman" w:cs="Times New Roman"/>
                <w:spacing w:val="-2"/>
                <w:szCs w:val="18"/>
              </w:rPr>
            </w:pPr>
            <w:r>
              <w:rPr>
                <w:rFonts w:hint="default" w:ascii="Times New Roman" w:hAnsi="Times New Roman" w:cs="Times New Roman"/>
                <w:spacing w:val="-2"/>
                <w:szCs w:val="18"/>
              </w:rPr>
              <w:t>T0931</w:t>
            </w:r>
          </w:p>
        </w:tc>
      </w:tr>
      <w:tr w14:paraId="1FDD8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790" w:type="pct"/>
            <w:shd w:val="clear" w:color="auto" w:fill="auto"/>
          </w:tcPr>
          <w:p w14:paraId="1B4C6CC1">
            <w:pPr>
              <w:pStyle w:val="192"/>
              <w:rPr>
                <w:rFonts w:hint="default" w:ascii="Times New Roman" w:hAnsi="Times New Roman" w:cs="Times New Roman"/>
                <w:spacing w:val="-2"/>
                <w:szCs w:val="18"/>
              </w:rPr>
            </w:pPr>
            <w:r>
              <w:rPr>
                <w:rFonts w:hint="default" w:ascii="Times New Roman" w:hAnsi="Times New Roman" w:cs="Times New Roman"/>
                <w:spacing w:val="-2"/>
                <w:szCs w:val="18"/>
              </w:rPr>
              <w:t>＜12mm</w:t>
            </w:r>
          </w:p>
        </w:tc>
        <w:tc>
          <w:tcPr>
            <w:tcW w:w="1545" w:type="pct"/>
          </w:tcPr>
          <w:p w14:paraId="5DF4E195">
            <w:pPr>
              <w:pStyle w:val="192"/>
              <w:rPr>
                <w:rFonts w:hint="default" w:ascii="Times New Roman" w:hAnsi="Times New Roman" w:cs="Times New Roman"/>
                <w:spacing w:val="-2"/>
                <w:szCs w:val="18"/>
              </w:rPr>
            </w:pPr>
            <w:r>
              <w:rPr>
                <w:rFonts w:hint="default" w:ascii="Times New Roman" w:hAnsi="Times New Roman" w:cs="Times New Roman"/>
                <w:spacing w:val="-2"/>
                <w:szCs w:val="18"/>
              </w:rPr>
              <w:t>20mm</w:t>
            </w:r>
          </w:p>
        </w:tc>
        <w:tc>
          <w:tcPr>
            <w:tcW w:w="1665" w:type="pct"/>
            <w:vMerge w:val="continue"/>
            <w:shd w:val="clear" w:color="auto" w:fill="auto"/>
          </w:tcPr>
          <w:p w14:paraId="167EF72F">
            <w:pPr>
              <w:pStyle w:val="192"/>
              <w:rPr>
                <w:rFonts w:hint="default" w:ascii="Times New Roman" w:hAnsi="Times New Roman" w:cs="Times New Roman"/>
                <w:spacing w:val="-2"/>
                <w:szCs w:val="18"/>
              </w:rPr>
            </w:pPr>
          </w:p>
        </w:tc>
      </w:tr>
    </w:tbl>
    <w:p w14:paraId="39B65B3E">
      <w:pPr>
        <w:pStyle w:val="29"/>
        <w:numPr>
          <w:ilvl w:val="2"/>
          <w:numId w:val="19"/>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不同厚度下混合料类型宜按照表4.3.2进行选择。</w:t>
      </w:r>
    </w:p>
    <w:p w14:paraId="42E1474C">
      <w:pPr>
        <w:pStyle w:val="29"/>
        <w:tabs>
          <w:tab w:val="clear" w:pos="4201"/>
          <w:tab w:val="clear" w:pos="9298"/>
        </w:tabs>
        <w:spacing w:line="360" w:lineRule="auto"/>
        <w:ind w:left="840" w:firstLine="0" w:firstLineChars="0"/>
        <w:jc w:val="center"/>
        <w:rPr>
          <w:rFonts w:hint="default" w:ascii="Times New Roman" w:hAnsi="Times New Roman" w:eastAsia="黑体" w:cs="Times New Roman"/>
          <w:szCs w:val="21"/>
        </w:rPr>
      </w:pPr>
      <w:r>
        <w:rPr>
          <w:rFonts w:hint="default" w:ascii="Times New Roman" w:hAnsi="Times New Roman" w:eastAsia="黑体" w:cs="Times New Roman"/>
          <w:szCs w:val="21"/>
        </w:rPr>
        <w:t>表4.3.2 不同厚度下混合料类型</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168"/>
        <w:gridCol w:w="4168"/>
      </w:tblGrid>
      <w:tr w14:paraId="08066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4" w:hRule="atLeast"/>
        </w:trPr>
        <w:tc>
          <w:tcPr>
            <w:tcW w:w="2500" w:type="pct"/>
            <w:vAlign w:val="center"/>
          </w:tcPr>
          <w:p w14:paraId="446F8328">
            <w:pPr>
              <w:pStyle w:val="192"/>
              <w:rPr>
                <w:rFonts w:hint="default" w:ascii="Times New Roman" w:hAnsi="Times New Roman" w:cs="Times New Roman"/>
                <w:spacing w:val="-2"/>
                <w:szCs w:val="18"/>
              </w:rPr>
            </w:pPr>
            <w:r>
              <w:rPr>
                <w:rFonts w:hint="default" w:ascii="Times New Roman" w:hAnsi="Times New Roman" w:cs="Times New Roman"/>
                <w:spacing w:val="-2"/>
                <w:szCs w:val="18"/>
              </w:rPr>
              <w:t>设计厚度（mm）</w:t>
            </w:r>
          </w:p>
        </w:tc>
        <w:tc>
          <w:tcPr>
            <w:tcW w:w="2500" w:type="pct"/>
            <w:vAlign w:val="center"/>
          </w:tcPr>
          <w:p w14:paraId="050766FB">
            <w:pPr>
              <w:pStyle w:val="192"/>
              <w:rPr>
                <w:rFonts w:hint="default" w:ascii="Times New Roman" w:hAnsi="Times New Roman" w:cs="Times New Roman"/>
                <w:spacing w:val="-2"/>
                <w:szCs w:val="18"/>
              </w:rPr>
            </w:pPr>
            <w:r>
              <w:rPr>
                <w:rFonts w:hint="default" w:ascii="Times New Roman" w:hAnsi="Times New Roman" w:cs="Times New Roman"/>
                <w:spacing w:val="-2"/>
                <w:szCs w:val="18"/>
              </w:rPr>
              <w:t>混合料类型选择</w:t>
            </w:r>
          </w:p>
        </w:tc>
      </w:tr>
      <w:tr w14:paraId="56373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2500" w:type="pct"/>
            <w:vAlign w:val="center"/>
          </w:tcPr>
          <w:p w14:paraId="79F6CDB5">
            <w:pPr>
              <w:pStyle w:val="192"/>
              <w:rPr>
                <w:rFonts w:hint="default" w:ascii="Times New Roman" w:hAnsi="Times New Roman" w:cs="Times New Roman"/>
                <w:spacing w:val="-2"/>
                <w:szCs w:val="18"/>
              </w:rPr>
            </w:pPr>
            <w:r>
              <w:rPr>
                <w:rFonts w:hint="default" w:ascii="Times New Roman" w:hAnsi="Times New Roman" w:cs="Times New Roman"/>
                <w:spacing w:val="-2"/>
                <w:szCs w:val="18"/>
              </w:rPr>
              <w:t>15~20</w:t>
            </w:r>
          </w:p>
        </w:tc>
        <w:tc>
          <w:tcPr>
            <w:tcW w:w="2500" w:type="pct"/>
            <w:vAlign w:val="center"/>
          </w:tcPr>
          <w:p w14:paraId="0C3E89C0">
            <w:pPr>
              <w:pStyle w:val="192"/>
              <w:rPr>
                <w:rFonts w:hint="default" w:ascii="Times New Roman" w:hAnsi="Times New Roman" w:cs="Times New Roman"/>
                <w:spacing w:val="-2"/>
                <w:szCs w:val="18"/>
              </w:rPr>
            </w:pPr>
            <w:r>
              <w:rPr>
                <w:rFonts w:hint="default" w:ascii="Times New Roman" w:hAnsi="Times New Roman" w:cs="Times New Roman"/>
                <w:spacing w:val="-2"/>
                <w:szCs w:val="18"/>
              </w:rPr>
              <w:t>RTO-10</w:t>
            </w:r>
          </w:p>
        </w:tc>
      </w:tr>
      <w:tr w14:paraId="1E8EF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2" w:hRule="atLeast"/>
        </w:trPr>
        <w:tc>
          <w:tcPr>
            <w:tcW w:w="2500" w:type="pct"/>
            <w:vAlign w:val="center"/>
          </w:tcPr>
          <w:p w14:paraId="1FDC8E6F">
            <w:pPr>
              <w:pStyle w:val="192"/>
              <w:rPr>
                <w:rFonts w:hint="default" w:ascii="Times New Roman" w:hAnsi="Times New Roman" w:cs="Times New Roman"/>
                <w:spacing w:val="-2"/>
                <w:szCs w:val="18"/>
              </w:rPr>
            </w:pPr>
            <w:r>
              <w:rPr>
                <w:rFonts w:hint="default" w:ascii="Times New Roman" w:hAnsi="Times New Roman" w:cs="Times New Roman"/>
                <w:spacing w:val="-2"/>
                <w:szCs w:val="18"/>
              </w:rPr>
              <w:t>20~25</w:t>
            </w:r>
          </w:p>
        </w:tc>
        <w:tc>
          <w:tcPr>
            <w:tcW w:w="2500" w:type="pct"/>
            <w:vAlign w:val="center"/>
          </w:tcPr>
          <w:p w14:paraId="6B510739">
            <w:pPr>
              <w:pStyle w:val="192"/>
              <w:rPr>
                <w:rFonts w:hint="default" w:ascii="Times New Roman" w:hAnsi="Times New Roman" w:cs="Times New Roman"/>
                <w:spacing w:val="-2"/>
                <w:szCs w:val="18"/>
              </w:rPr>
            </w:pPr>
            <w:r>
              <w:rPr>
                <w:rFonts w:hint="default" w:ascii="Times New Roman" w:hAnsi="Times New Roman" w:cs="Times New Roman"/>
                <w:spacing w:val="-2"/>
                <w:szCs w:val="18"/>
              </w:rPr>
              <w:t>RTO-13</w:t>
            </w:r>
          </w:p>
        </w:tc>
      </w:tr>
    </w:tbl>
    <w:p w14:paraId="6E104DDA">
      <w:pPr>
        <w:pStyle w:val="52"/>
        <w:spacing w:beforeLines="0" w:afterLines="0" w:line="360" w:lineRule="auto"/>
        <w:outlineLvl w:val="0"/>
        <w:rPr>
          <w:rFonts w:hint="default" w:ascii="Times New Roman" w:hAnsi="Times New Roman" w:cs="Times New Roman" w:eastAsiaTheme="minorEastAsia"/>
          <w:b/>
          <w:bCs/>
          <w:sz w:val="32"/>
          <w:szCs w:val="22"/>
        </w:rPr>
        <w:sectPr>
          <w:headerReference r:id="rId11" w:type="default"/>
          <w:headerReference r:id="rId12" w:type="even"/>
          <w:pgSz w:w="11906" w:h="16838"/>
          <w:pgMar w:top="1440" w:right="1800" w:bottom="1440" w:left="1800" w:header="851" w:footer="992" w:gutter="0"/>
          <w:cols w:space="425" w:num="1"/>
          <w:docGrid w:type="lines" w:linePitch="312" w:charSpace="0"/>
        </w:sectPr>
      </w:pPr>
      <w:bookmarkStart w:id="24" w:name="_Toc179636655"/>
      <w:bookmarkStart w:id="25" w:name="_Toc126742836"/>
    </w:p>
    <w:p w14:paraId="7211E05C">
      <w:pPr>
        <w:pStyle w:val="52"/>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26" w:name="_Toc11021"/>
      <w:r>
        <w:rPr>
          <w:rFonts w:hint="default" w:ascii="Times New Roman" w:hAnsi="Times New Roman" w:cs="Times New Roman" w:eastAsiaTheme="minorEastAsia"/>
          <w:b/>
          <w:bCs/>
          <w:sz w:val="32"/>
          <w:szCs w:val="22"/>
        </w:rPr>
        <w:t>材料</w:t>
      </w:r>
      <w:bookmarkEnd w:id="24"/>
      <w:bookmarkEnd w:id="26"/>
    </w:p>
    <w:p w14:paraId="3563CD0C">
      <w:pPr>
        <w:pStyle w:val="49"/>
        <w:numPr>
          <w:ilvl w:val="1"/>
          <w:numId w:val="20"/>
        </w:numPr>
        <w:spacing w:beforeLines="0" w:afterLines="0" w:line="360" w:lineRule="auto"/>
        <w:ind w:left="0" w:firstLine="0"/>
        <w:outlineLvl w:val="1"/>
        <w:rPr>
          <w:rFonts w:hint="default" w:ascii="Times New Roman" w:hAnsi="Times New Roman" w:eastAsia="宋体" w:cs="Times New Roman"/>
          <w:b/>
          <w:bCs/>
          <w:sz w:val="24"/>
        </w:rPr>
      </w:pPr>
      <w:bookmarkStart w:id="27" w:name="_Toc8728646"/>
      <w:bookmarkStart w:id="28" w:name="_Toc1795"/>
      <w:bookmarkStart w:id="29" w:name="_Toc179636656"/>
      <w:bookmarkStart w:id="30" w:name="_Toc171517472"/>
      <w:bookmarkStart w:id="31" w:name="_Toc101871664"/>
      <w:r>
        <w:rPr>
          <w:rFonts w:hint="default" w:ascii="Times New Roman" w:hAnsi="Times New Roman" w:eastAsia="宋体" w:cs="Times New Roman"/>
          <w:b/>
          <w:bCs/>
          <w:sz w:val="24"/>
        </w:rPr>
        <w:t>一般规定</w:t>
      </w:r>
      <w:bookmarkEnd w:id="27"/>
      <w:bookmarkEnd w:id="28"/>
      <w:bookmarkEnd w:id="29"/>
      <w:bookmarkEnd w:id="30"/>
      <w:bookmarkEnd w:id="31"/>
    </w:p>
    <w:p w14:paraId="0222F9D9">
      <w:pPr>
        <w:numPr>
          <w:ilvl w:val="2"/>
          <w:numId w:val="20"/>
        </w:numPr>
        <w:spacing w:line="360" w:lineRule="auto"/>
        <w:ind w:left="0" w:firstLine="240" w:firstLineChars="100"/>
        <w:rPr>
          <w:rFonts w:hint="default" w:ascii="Times New Roman" w:hAnsi="Times New Roman" w:cs="Times New Roman"/>
          <w:kern w:val="0"/>
          <w:sz w:val="24"/>
          <w:szCs w:val="20"/>
        </w:rPr>
      </w:pPr>
      <w:r>
        <w:rPr>
          <w:rFonts w:hint="default" w:ascii="Times New Roman" w:hAnsi="Times New Roman" w:cs="Times New Roman"/>
          <w:kern w:val="0"/>
          <w:sz w:val="24"/>
          <w:szCs w:val="20"/>
        </w:rPr>
        <w:t>全再生薄层罩面使用的各种材料应按规定取样进行质量检验，检验合格后方可使用。</w:t>
      </w:r>
    </w:p>
    <w:p w14:paraId="29F34B5D">
      <w:pPr>
        <w:numPr>
          <w:ilvl w:val="2"/>
          <w:numId w:val="20"/>
        </w:numPr>
        <w:spacing w:line="360" w:lineRule="auto"/>
        <w:ind w:left="0" w:firstLine="240" w:firstLineChars="100"/>
        <w:rPr>
          <w:rFonts w:hint="default" w:ascii="Times New Roman" w:hAnsi="Times New Roman" w:cs="Times New Roman"/>
          <w:kern w:val="0"/>
          <w:sz w:val="24"/>
          <w:szCs w:val="20"/>
        </w:rPr>
      </w:pPr>
      <w:r>
        <w:rPr>
          <w:rFonts w:hint="default" w:ascii="Times New Roman" w:hAnsi="Times New Roman" w:cs="Times New Roman"/>
          <w:kern w:val="0"/>
          <w:sz w:val="24"/>
          <w:szCs w:val="20"/>
        </w:rPr>
        <w:t>各类原材料应单独存放，并注意覆盖防雨，避免暴晒，不可与其它材料混杂存放。</w:t>
      </w:r>
    </w:p>
    <w:p w14:paraId="05D4557B">
      <w:pPr>
        <w:pStyle w:val="49"/>
        <w:numPr>
          <w:ilvl w:val="1"/>
          <w:numId w:val="20"/>
        </w:numPr>
        <w:spacing w:beforeLines="0" w:afterLines="0" w:line="360" w:lineRule="auto"/>
        <w:ind w:left="0" w:firstLine="0"/>
        <w:outlineLvl w:val="1"/>
        <w:rPr>
          <w:rFonts w:hint="default" w:ascii="Times New Roman" w:hAnsi="Times New Roman" w:eastAsia="宋体" w:cs="Times New Roman"/>
          <w:b/>
          <w:bCs/>
          <w:sz w:val="24"/>
        </w:rPr>
      </w:pPr>
      <w:bookmarkStart w:id="32" w:name="_Toc23811"/>
      <w:r>
        <w:rPr>
          <w:rFonts w:hint="default" w:ascii="Times New Roman" w:hAnsi="Times New Roman" w:eastAsia="宋体" w:cs="Times New Roman"/>
          <w:b/>
          <w:bCs/>
          <w:sz w:val="24"/>
        </w:rPr>
        <w:t>再生沥青</w:t>
      </w:r>
      <w:bookmarkEnd w:id="32"/>
    </w:p>
    <w:p w14:paraId="3DDFF081">
      <w:pPr>
        <w:numPr>
          <w:ilvl w:val="2"/>
          <w:numId w:val="20"/>
        </w:numPr>
        <w:spacing w:line="360" w:lineRule="auto"/>
        <w:ind w:left="0" w:firstLine="240" w:firstLineChars="100"/>
        <w:rPr>
          <w:rFonts w:hint="default" w:ascii="Times New Roman" w:hAnsi="Times New Roman" w:cs="Times New Roman"/>
          <w:kern w:val="0"/>
          <w:sz w:val="24"/>
          <w:szCs w:val="20"/>
        </w:rPr>
      </w:pPr>
      <w:r>
        <w:rPr>
          <w:rFonts w:hint="default" w:ascii="Times New Roman" w:hAnsi="Times New Roman" w:cs="Times New Roman"/>
          <w:kern w:val="0"/>
          <w:sz w:val="24"/>
          <w:szCs w:val="20"/>
        </w:rPr>
        <w:t>再生沥青应满足表5.2.1所示的规定。</w:t>
      </w:r>
    </w:p>
    <w:p w14:paraId="531A4DC5">
      <w:pPr>
        <w:pStyle w:val="19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表5.2.1 再生沥青技术指标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887"/>
        <w:gridCol w:w="4194"/>
        <w:gridCol w:w="1675"/>
      </w:tblGrid>
      <w:tr w14:paraId="5B510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036" w:type="pct"/>
            <w:shd w:val="clear" w:color="auto" w:fill="auto"/>
            <w:noWrap/>
            <w:vAlign w:val="center"/>
          </w:tcPr>
          <w:p w14:paraId="1EF37DE8">
            <w:pPr>
              <w:jc w:val="center"/>
              <w:rPr>
                <w:rFonts w:hint="default" w:ascii="Times New Roman" w:hAnsi="Times New Roman" w:cs="Times New Roman"/>
                <w:color w:val="000000"/>
                <w:szCs w:val="28"/>
              </w:rPr>
            </w:pPr>
            <w:bookmarkStart w:id="33" w:name="_Hlk187675767"/>
            <w:r>
              <w:rPr>
                <w:rFonts w:hint="default" w:ascii="Times New Roman" w:hAnsi="Times New Roman" w:cs="Times New Roman"/>
                <w:color w:val="000000"/>
                <w:szCs w:val="28"/>
              </w:rPr>
              <w:t>测试项目</w:t>
            </w:r>
          </w:p>
        </w:tc>
        <w:tc>
          <w:tcPr>
            <w:tcW w:w="520" w:type="pct"/>
            <w:vAlign w:val="center"/>
          </w:tcPr>
          <w:p w14:paraId="7E31E22D">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单位</w:t>
            </w:r>
          </w:p>
        </w:tc>
        <w:tc>
          <w:tcPr>
            <w:tcW w:w="2461" w:type="pct"/>
            <w:shd w:val="clear" w:color="auto" w:fill="auto"/>
            <w:noWrap/>
            <w:vAlign w:val="center"/>
          </w:tcPr>
          <w:p w14:paraId="5ABEE1B1">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技术要求</w:t>
            </w:r>
          </w:p>
        </w:tc>
        <w:tc>
          <w:tcPr>
            <w:tcW w:w="983" w:type="pct"/>
            <w:vAlign w:val="center"/>
          </w:tcPr>
          <w:p w14:paraId="67E51B31">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测试方法</w:t>
            </w:r>
          </w:p>
        </w:tc>
      </w:tr>
      <w:tr w14:paraId="4C789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6" w:type="pct"/>
            <w:shd w:val="clear" w:color="auto" w:fill="auto"/>
            <w:noWrap/>
            <w:vAlign w:val="center"/>
          </w:tcPr>
          <w:p w14:paraId="4DF140FB">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外观形态</w:t>
            </w:r>
          </w:p>
        </w:tc>
        <w:tc>
          <w:tcPr>
            <w:tcW w:w="520" w:type="pct"/>
            <w:vAlign w:val="center"/>
          </w:tcPr>
          <w:p w14:paraId="3B56C808">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w:t>
            </w:r>
          </w:p>
        </w:tc>
        <w:tc>
          <w:tcPr>
            <w:tcW w:w="2461" w:type="pct"/>
            <w:shd w:val="clear" w:color="auto" w:fill="auto"/>
            <w:noWrap/>
            <w:vAlign w:val="center"/>
          </w:tcPr>
          <w:p w14:paraId="0B44B580">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黝黑色的黏性、油性液体，无杂质</w:t>
            </w:r>
          </w:p>
        </w:tc>
        <w:tc>
          <w:tcPr>
            <w:tcW w:w="983" w:type="pct"/>
            <w:vAlign w:val="center"/>
          </w:tcPr>
          <w:p w14:paraId="65F393C3">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目测法</w:t>
            </w:r>
          </w:p>
        </w:tc>
      </w:tr>
      <w:tr w14:paraId="5F76B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1036" w:type="pct"/>
            <w:shd w:val="clear" w:color="auto" w:fill="auto"/>
            <w:noWrap/>
            <w:vAlign w:val="center"/>
          </w:tcPr>
          <w:p w14:paraId="4A221D5C">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气味</w:t>
            </w:r>
          </w:p>
        </w:tc>
        <w:tc>
          <w:tcPr>
            <w:tcW w:w="520" w:type="pct"/>
            <w:vAlign w:val="center"/>
          </w:tcPr>
          <w:p w14:paraId="19CD2153">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w:t>
            </w:r>
          </w:p>
        </w:tc>
        <w:tc>
          <w:tcPr>
            <w:tcW w:w="2461" w:type="pct"/>
            <w:shd w:val="clear" w:color="auto" w:fill="auto"/>
            <w:noWrap/>
            <w:vAlign w:val="center"/>
          </w:tcPr>
          <w:p w14:paraId="6D842AE4">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应呈油性化合物气味，无恶臭味或刺激性气味</w:t>
            </w:r>
          </w:p>
        </w:tc>
        <w:tc>
          <w:tcPr>
            <w:tcW w:w="983" w:type="pct"/>
            <w:vAlign w:val="center"/>
          </w:tcPr>
          <w:p w14:paraId="026E6072">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经验判断</w:t>
            </w:r>
          </w:p>
        </w:tc>
      </w:tr>
      <w:tr w14:paraId="1DA685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6" w:type="pct"/>
            <w:shd w:val="clear" w:color="auto" w:fill="auto"/>
            <w:noWrap/>
            <w:vAlign w:val="center"/>
          </w:tcPr>
          <w:p w14:paraId="67CC7265">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密度（25℃）</w:t>
            </w:r>
          </w:p>
        </w:tc>
        <w:tc>
          <w:tcPr>
            <w:tcW w:w="520" w:type="pct"/>
            <w:vAlign w:val="center"/>
          </w:tcPr>
          <w:p w14:paraId="294D7B96">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g/cm</w:t>
            </w:r>
            <w:r>
              <w:rPr>
                <w:rFonts w:hint="default" w:ascii="Times New Roman" w:hAnsi="Times New Roman" w:cs="Times New Roman"/>
                <w:color w:val="000000"/>
                <w:szCs w:val="28"/>
                <w:vertAlign w:val="superscript"/>
              </w:rPr>
              <w:t>3</w:t>
            </w:r>
          </w:p>
        </w:tc>
        <w:tc>
          <w:tcPr>
            <w:tcW w:w="2461" w:type="pct"/>
            <w:shd w:val="clear" w:color="auto" w:fill="auto"/>
            <w:noWrap/>
            <w:vAlign w:val="center"/>
          </w:tcPr>
          <w:p w14:paraId="1C8AFCBD">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1.0～1.2</w:t>
            </w:r>
          </w:p>
        </w:tc>
        <w:tc>
          <w:tcPr>
            <w:tcW w:w="983" w:type="pct"/>
            <w:vAlign w:val="center"/>
          </w:tcPr>
          <w:p w14:paraId="1B0EB0EF">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T0603</w:t>
            </w:r>
          </w:p>
        </w:tc>
      </w:tr>
      <w:tr w14:paraId="3A5AA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6" w:type="pct"/>
            <w:shd w:val="clear" w:color="auto" w:fill="auto"/>
            <w:noWrap/>
            <w:vAlign w:val="center"/>
          </w:tcPr>
          <w:p w14:paraId="3FE596AC">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135℃运动粘度</w:t>
            </w:r>
          </w:p>
        </w:tc>
        <w:tc>
          <w:tcPr>
            <w:tcW w:w="520" w:type="pct"/>
            <w:vAlign w:val="center"/>
          </w:tcPr>
          <w:p w14:paraId="65D22357">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Pa·s</w:t>
            </w:r>
          </w:p>
        </w:tc>
        <w:tc>
          <w:tcPr>
            <w:tcW w:w="2461" w:type="pct"/>
            <w:shd w:val="clear" w:color="auto" w:fill="auto"/>
            <w:noWrap/>
            <w:vAlign w:val="center"/>
          </w:tcPr>
          <w:p w14:paraId="49A2BF29">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＜1.0</w:t>
            </w:r>
          </w:p>
        </w:tc>
        <w:tc>
          <w:tcPr>
            <w:tcW w:w="983" w:type="pct"/>
            <w:vAlign w:val="center"/>
          </w:tcPr>
          <w:p w14:paraId="038C59B8">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T 0625</w:t>
            </w:r>
          </w:p>
        </w:tc>
      </w:tr>
      <w:tr w14:paraId="11547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000" w:type="pct"/>
            <w:gridSpan w:val="4"/>
            <w:shd w:val="clear" w:color="auto" w:fill="auto"/>
            <w:noWrap/>
            <w:vAlign w:val="center"/>
          </w:tcPr>
          <w:p w14:paraId="430AD32F">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老化沥青三项常规性能的改善效果*</w:t>
            </w:r>
          </w:p>
        </w:tc>
      </w:tr>
      <w:tr w14:paraId="19993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6" w:type="pct"/>
            <w:shd w:val="clear" w:color="auto" w:fill="auto"/>
            <w:noWrap/>
            <w:vAlign w:val="center"/>
          </w:tcPr>
          <w:p w14:paraId="7188B8B2">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针入度</w:t>
            </w:r>
          </w:p>
        </w:tc>
        <w:tc>
          <w:tcPr>
            <w:tcW w:w="520" w:type="pct"/>
            <w:vAlign w:val="center"/>
          </w:tcPr>
          <w:p w14:paraId="25228910">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0.1mm</w:t>
            </w:r>
          </w:p>
        </w:tc>
        <w:tc>
          <w:tcPr>
            <w:tcW w:w="2461" w:type="pct"/>
            <w:shd w:val="clear" w:color="auto" w:fill="auto"/>
            <w:noWrap/>
            <w:vAlign w:val="center"/>
          </w:tcPr>
          <w:p w14:paraId="38F10327">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提升率＞100%</w:t>
            </w:r>
          </w:p>
        </w:tc>
        <w:tc>
          <w:tcPr>
            <w:tcW w:w="983" w:type="pct"/>
            <w:vMerge w:val="restart"/>
            <w:vAlign w:val="center"/>
          </w:tcPr>
          <w:p w14:paraId="1112CEEE">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JT/T 1264</w:t>
            </w:r>
          </w:p>
        </w:tc>
      </w:tr>
      <w:tr w14:paraId="1B6B9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6" w:type="pct"/>
            <w:shd w:val="clear" w:color="auto" w:fill="auto"/>
            <w:noWrap/>
            <w:vAlign w:val="center"/>
          </w:tcPr>
          <w:p w14:paraId="263386CF">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软化点</w:t>
            </w:r>
          </w:p>
        </w:tc>
        <w:tc>
          <w:tcPr>
            <w:tcW w:w="520" w:type="pct"/>
            <w:vAlign w:val="center"/>
          </w:tcPr>
          <w:p w14:paraId="21C778A9">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w:t>
            </w:r>
          </w:p>
        </w:tc>
        <w:tc>
          <w:tcPr>
            <w:tcW w:w="2461" w:type="pct"/>
            <w:shd w:val="clear" w:color="auto" w:fill="auto"/>
            <w:noWrap/>
            <w:vAlign w:val="center"/>
          </w:tcPr>
          <w:p w14:paraId="7C6CAD7A">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软化点降低率＜20%</w:t>
            </w:r>
          </w:p>
        </w:tc>
        <w:tc>
          <w:tcPr>
            <w:tcW w:w="983" w:type="pct"/>
            <w:vMerge w:val="continue"/>
            <w:vAlign w:val="center"/>
          </w:tcPr>
          <w:p w14:paraId="70482976">
            <w:pPr>
              <w:jc w:val="center"/>
              <w:rPr>
                <w:rFonts w:hint="default" w:ascii="Times New Roman" w:hAnsi="Times New Roman" w:cs="Times New Roman"/>
                <w:color w:val="000000"/>
                <w:szCs w:val="28"/>
              </w:rPr>
            </w:pPr>
          </w:p>
        </w:tc>
      </w:tr>
      <w:tr w14:paraId="3657D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6" w:type="pct"/>
            <w:shd w:val="clear" w:color="auto" w:fill="auto"/>
            <w:noWrap/>
            <w:vAlign w:val="center"/>
          </w:tcPr>
          <w:p w14:paraId="095B8572">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15℃延度</w:t>
            </w:r>
          </w:p>
        </w:tc>
        <w:tc>
          <w:tcPr>
            <w:tcW w:w="520" w:type="pct"/>
            <w:vAlign w:val="center"/>
          </w:tcPr>
          <w:p w14:paraId="171B127A">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cm</w:t>
            </w:r>
          </w:p>
        </w:tc>
        <w:tc>
          <w:tcPr>
            <w:tcW w:w="2461" w:type="pct"/>
            <w:shd w:val="clear" w:color="auto" w:fill="auto"/>
            <w:noWrap/>
            <w:vAlign w:val="center"/>
          </w:tcPr>
          <w:p w14:paraId="04A07E4F">
            <w:pPr>
              <w:jc w:val="center"/>
              <w:rPr>
                <w:rFonts w:hint="default" w:ascii="Times New Roman" w:hAnsi="Times New Roman" w:cs="Times New Roman"/>
                <w:color w:val="000000"/>
                <w:szCs w:val="28"/>
              </w:rPr>
            </w:pPr>
            <w:r>
              <w:rPr>
                <w:rFonts w:hint="default" w:ascii="Times New Roman" w:hAnsi="Times New Roman" w:cs="Times New Roman"/>
                <w:color w:val="000000"/>
                <w:szCs w:val="28"/>
              </w:rPr>
              <w:t>提升率＞100%</w:t>
            </w:r>
          </w:p>
        </w:tc>
        <w:tc>
          <w:tcPr>
            <w:tcW w:w="983" w:type="pct"/>
            <w:vMerge w:val="continue"/>
            <w:vAlign w:val="center"/>
          </w:tcPr>
          <w:p w14:paraId="1C1A41B7">
            <w:pPr>
              <w:jc w:val="center"/>
              <w:rPr>
                <w:rFonts w:hint="default" w:ascii="Times New Roman" w:hAnsi="Times New Roman" w:cs="Times New Roman"/>
                <w:color w:val="000000"/>
                <w:szCs w:val="28"/>
              </w:rPr>
            </w:pPr>
          </w:p>
        </w:tc>
      </w:tr>
      <w:bookmarkEnd w:id="33"/>
    </w:tbl>
    <w:p w14:paraId="0E282472">
      <w:pPr>
        <w:spacing w:line="360" w:lineRule="auto"/>
        <w:rPr>
          <w:rFonts w:hint="default" w:ascii="Times New Roman" w:hAnsi="Times New Roman" w:eastAsia="楷体" w:cs="Times New Roman"/>
          <w:b/>
          <w:bCs/>
          <w:kern w:val="0"/>
          <w:sz w:val="24"/>
          <w:szCs w:val="20"/>
        </w:rPr>
      </w:pPr>
      <w:r>
        <w:rPr>
          <w:rFonts w:hint="default" w:ascii="Times New Roman" w:hAnsi="Times New Roman" w:eastAsia="楷体" w:cs="Times New Roman"/>
          <w:b/>
          <w:bCs/>
          <w:kern w:val="0"/>
          <w:sz w:val="24"/>
          <w:szCs w:val="20"/>
        </w:rPr>
        <w:t>条文说明：</w:t>
      </w:r>
    </w:p>
    <w:p w14:paraId="173E2703">
      <w:pPr>
        <w:spacing w:line="360" w:lineRule="auto"/>
        <w:ind w:firstLine="480" w:firstLineChars="200"/>
        <w:rPr>
          <w:rFonts w:hint="default" w:ascii="Times New Roman" w:hAnsi="Times New Roman" w:eastAsia="楷体" w:cs="Times New Roman"/>
          <w:kern w:val="0"/>
          <w:sz w:val="24"/>
          <w:szCs w:val="20"/>
        </w:rPr>
      </w:pPr>
      <w:r>
        <w:rPr>
          <w:rFonts w:hint="default" w:ascii="Times New Roman" w:hAnsi="Times New Roman" w:eastAsia="楷体" w:cs="Times New Roman"/>
          <w:kern w:val="0"/>
          <w:sz w:val="24"/>
          <w:szCs w:val="20"/>
        </w:rPr>
        <w:t>室内老化沥青的制备方法和老化沥青掺加再生沥青材料后试样制备方法参考JT/T 1264附录中相关规定。</w:t>
      </w:r>
    </w:p>
    <w:p w14:paraId="57B4A0F3">
      <w:pPr>
        <w:pStyle w:val="49"/>
        <w:numPr>
          <w:ilvl w:val="1"/>
          <w:numId w:val="20"/>
        </w:numPr>
        <w:spacing w:beforeLines="0" w:afterLines="0" w:line="360" w:lineRule="auto"/>
        <w:ind w:left="0" w:firstLine="0"/>
        <w:outlineLvl w:val="1"/>
        <w:rPr>
          <w:rFonts w:hint="default" w:ascii="Times New Roman" w:hAnsi="Times New Roman" w:eastAsia="宋体" w:cs="Times New Roman"/>
          <w:b/>
          <w:bCs/>
          <w:sz w:val="24"/>
        </w:rPr>
      </w:pPr>
      <w:bookmarkStart w:id="34" w:name="_Toc22925"/>
      <w:r>
        <w:rPr>
          <w:rFonts w:hint="default" w:ascii="Times New Roman" w:hAnsi="Times New Roman" w:eastAsia="宋体" w:cs="Times New Roman"/>
          <w:b/>
          <w:bCs/>
          <w:sz w:val="24"/>
        </w:rPr>
        <w:t>黏层材料</w:t>
      </w:r>
      <w:bookmarkEnd w:id="34"/>
    </w:p>
    <w:p w14:paraId="28C935CD">
      <w:pPr>
        <w:numPr>
          <w:ilvl w:val="2"/>
          <w:numId w:val="20"/>
        </w:numPr>
        <w:spacing w:line="360" w:lineRule="auto"/>
        <w:ind w:left="0" w:firstLine="240" w:firstLineChars="100"/>
        <w:rPr>
          <w:rFonts w:hint="default" w:ascii="Times New Roman" w:hAnsi="Times New Roman" w:cs="Times New Roman"/>
          <w:kern w:val="0"/>
          <w:sz w:val="24"/>
          <w:szCs w:val="20"/>
        </w:rPr>
      </w:pPr>
      <w:r>
        <w:rPr>
          <w:rFonts w:hint="default" w:ascii="Times New Roman" w:hAnsi="Times New Roman" w:cs="Times New Roman"/>
          <w:kern w:val="0"/>
          <w:sz w:val="24"/>
        </w:rPr>
        <w:t>溶剂型黏层材料应</w:t>
      </w:r>
      <w:r>
        <w:rPr>
          <w:rFonts w:hint="default" w:ascii="Times New Roman" w:hAnsi="Times New Roman" w:cs="Times New Roman"/>
          <w:kern w:val="0"/>
          <w:sz w:val="24"/>
          <w:szCs w:val="20"/>
        </w:rPr>
        <w:t xml:space="preserve">符合表5.3.1的规定。 </w:t>
      </w:r>
    </w:p>
    <w:p w14:paraId="4A21BD5B">
      <w:pPr>
        <w:pStyle w:val="19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表5.3.1</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t>溶剂型黏层材料技术指标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610"/>
        <w:gridCol w:w="1609"/>
        <w:gridCol w:w="1756"/>
        <w:gridCol w:w="2361"/>
      </w:tblGrid>
      <w:tr w14:paraId="0FE1D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6" w:type="pct"/>
            <w:shd w:val="clear" w:color="auto" w:fill="auto"/>
            <w:vAlign w:val="center"/>
          </w:tcPr>
          <w:p w14:paraId="79061DE0">
            <w:pPr>
              <w:pStyle w:val="192"/>
              <w:rPr>
                <w:rFonts w:hint="default" w:ascii="Times New Roman" w:hAnsi="Times New Roman" w:cs="Times New Roman"/>
                <w:spacing w:val="-2"/>
                <w:szCs w:val="18"/>
              </w:rPr>
            </w:pPr>
            <w:bookmarkStart w:id="35" w:name="_Hlk187675756"/>
            <w:r>
              <w:rPr>
                <w:rFonts w:hint="default" w:ascii="Times New Roman" w:hAnsi="Times New Roman" w:cs="Times New Roman"/>
                <w:spacing w:val="-2"/>
                <w:szCs w:val="18"/>
              </w:rPr>
              <w:t>指标</w:t>
            </w:r>
          </w:p>
        </w:tc>
        <w:tc>
          <w:tcPr>
            <w:tcW w:w="965" w:type="pct"/>
            <w:shd w:val="clear" w:color="auto" w:fill="auto"/>
            <w:vAlign w:val="center"/>
          </w:tcPr>
          <w:p w14:paraId="7AB52417">
            <w:pPr>
              <w:pStyle w:val="192"/>
              <w:rPr>
                <w:rFonts w:hint="default" w:ascii="Times New Roman" w:hAnsi="Times New Roman" w:cs="Times New Roman"/>
                <w:spacing w:val="-2"/>
                <w:szCs w:val="18"/>
              </w:rPr>
            </w:pPr>
            <w:r>
              <w:rPr>
                <w:rFonts w:hint="default" w:ascii="Times New Roman" w:hAnsi="Times New Roman" w:cs="Times New Roman"/>
                <w:spacing w:val="-2"/>
                <w:szCs w:val="18"/>
              </w:rPr>
              <w:t>单位</w:t>
            </w:r>
          </w:p>
        </w:tc>
        <w:tc>
          <w:tcPr>
            <w:tcW w:w="1053" w:type="pct"/>
            <w:shd w:val="clear" w:color="auto" w:fill="auto"/>
            <w:vAlign w:val="center"/>
          </w:tcPr>
          <w:p w14:paraId="1236812B">
            <w:pPr>
              <w:pStyle w:val="192"/>
              <w:rPr>
                <w:rFonts w:hint="default" w:ascii="Times New Roman" w:hAnsi="Times New Roman" w:cs="Times New Roman"/>
                <w:spacing w:val="-2"/>
                <w:szCs w:val="18"/>
              </w:rPr>
            </w:pPr>
            <w:r>
              <w:rPr>
                <w:rFonts w:hint="default" w:ascii="Times New Roman" w:hAnsi="Times New Roman" w:cs="Times New Roman"/>
                <w:spacing w:val="-2"/>
                <w:szCs w:val="18"/>
              </w:rPr>
              <w:t>技术指标</w:t>
            </w:r>
          </w:p>
        </w:tc>
        <w:tc>
          <w:tcPr>
            <w:tcW w:w="1416" w:type="pct"/>
            <w:shd w:val="clear" w:color="auto" w:fill="auto"/>
            <w:vAlign w:val="center"/>
          </w:tcPr>
          <w:p w14:paraId="5005F702">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14:paraId="391B7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6" w:type="pct"/>
            <w:shd w:val="clear" w:color="auto" w:fill="auto"/>
            <w:vAlign w:val="center"/>
          </w:tcPr>
          <w:p w14:paraId="670A6FAF">
            <w:pPr>
              <w:pStyle w:val="192"/>
              <w:rPr>
                <w:rFonts w:hint="default" w:ascii="Times New Roman" w:hAnsi="Times New Roman" w:cs="Times New Roman"/>
                <w:spacing w:val="-2"/>
                <w:szCs w:val="18"/>
              </w:rPr>
            </w:pPr>
            <w:r>
              <w:rPr>
                <w:rFonts w:hint="default" w:ascii="Times New Roman" w:hAnsi="Times New Roman" w:cs="Times New Roman"/>
                <w:spacing w:val="-2"/>
                <w:szCs w:val="18"/>
              </w:rPr>
              <w:t>粘度， 25℃</w:t>
            </w:r>
          </w:p>
        </w:tc>
        <w:tc>
          <w:tcPr>
            <w:tcW w:w="965" w:type="pct"/>
            <w:shd w:val="clear" w:color="auto" w:fill="auto"/>
            <w:vAlign w:val="center"/>
          </w:tcPr>
          <w:p w14:paraId="166B7015">
            <w:pPr>
              <w:pStyle w:val="192"/>
              <w:rPr>
                <w:rFonts w:hint="default" w:ascii="Times New Roman" w:hAnsi="Times New Roman" w:cs="Times New Roman"/>
                <w:spacing w:val="-2"/>
                <w:szCs w:val="18"/>
              </w:rPr>
            </w:pPr>
            <w:r>
              <w:rPr>
                <w:rFonts w:hint="default" w:ascii="Times New Roman" w:hAnsi="Times New Roman" w:cs="Times New Roman"/>
                <w:spacing w:val="-2"/>
                <w:szCs w:val="18"/>
              </w:rPr>
              <w:t>mPa·s</w:t>
            </w:r>
          </w:p>
        </w:tc>
        <w:tc>
          <w:tcPr>
            <w:tcW w:w="1053" w:type="pct"/>
            <w:shd w:val="clear" w:color="auto" w:fill="auto"/>
            <w:vAlign w:val="center"/>
          </w:tcPr>
          <w:p w14:paraId="32B7917F">
            <w:pPr>
              <w:pStyle w:val="192"/>
              <w:rPr>
                <w:rFonts w:hint="default" w:ascii="Times New Roman" w:hAnsi="Times New Roman" w:cs="Times New Roman"/>
                <w:spacing w:val="-2"/>
                <w:szCs w:val="18"/>
              </w:rPr>
            </w:pPr>
            <w:r>
              <w:rPr>
                <w:rFonts w:hint="default" w:ascii="Times New Roman" w:hAnsi="Times New Roman" w:cs="Times New Roman"/>
                <w:spacing w:val="-2"/>
                <w:szCs w:val="18"/>
              </w:rPr>
              <w:t>50~150</w:t>
            </w:r>
          </w:p>
        </w:tc>
        <w:tc>
          <w:tcPr>
            <w:tcW w:w="1416" w:type="pct"/>
            <w:shd w:val="clear" w:color="auto" w:fill="auto"/>
            <w:vAlign w:val="center"/>
          </w:tcPr>
          <w:p w14:paraId="475593FF">
            <w:pPr>
              <w:pStyle w:val="192"/>
              <w:rPr>
                <w:rFonts w:hint="default" w:ascii="Times New Roman" w:hAnsi="Times New Roman" w:cs="Times New Roman"/>
                <w:spacing w:val="-2"/>
                <w:szCs w:val="18"/>
              </w:rPr>
            </w:pPr>
            <w:r>
              <w:rPr>
                <w:rFonts w:hint="default" w:ascii="Times New Roman" w:hAnsi="Times New Roman" w:cs="Times New Roman"/>
                <w:spacing w:val="-2"/>
                <w:szCs w:val="18"/>
              </w:rPr>
              <w:t>T0625</w:t>
            </w:r>
          </w:p>
        </w:tc>
      </w:tr>
      <w:tr w14:paraId="4BF2B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6" w:type="pct"/>
            <w:shd w:val="clear" w:color="auto" w:fill="auto"/>
            <w:vAlign w:val="center"/>
          </w:tcPr>
          <w:p w14:paraId="6D8417D6">
            <w:pPr>
              <w:pStyle w:val="192"/>
              <w:rPr>
                <w:rFonts w:hint="default" w:ascii="Times New Roman" w:hAnsi="Times New Roman" w:cs="Times New Roman"/>
                <w:spacing w:val="-2"/>
                <w:szCs w:val="18"/>
              </w:rPr>
            </w:pPr>
            <w:r>
              <w:rPr>
                <w:rFonts w:hint="default" w:ascii="Times New Roman" w:hAnsi="Times New Roman" w:cs="Times New Roman"/>
                <w:spacing w:val="-2"/>
                <w:szCs w:val="18"/>
              </w:rPr>
              <w:t>储存稳定性， 24h</w:t>
            </w:r>
          </w:p>
        </w:tc>
        <w:tc>
          <w:tcPr>
            <w:tcW w:w="965" w:type="pct"/>
            <w:shd w:val="clear" w:color="auto" w:fill="auto"/>
            <w:vAlign w:val="center"/>
          </w:tcPr>
          <w:p w14:paraId="7F935411">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053" w:type="pct"/>
            <w:shd w:val="clear" w:color="auto" w:fill="auto"/>
            <w:vAlign w:val="center"/>
          </w:tcPr>
          <w:p w14:paraId="520CFC99">
            <w:pPr>
              <w:pStyle w:val="192"/>
              <w:rPr>
                <w:rFonts w:hint="default" w:ascii="Times New Roman" w:hAnsi="Times New Roman" w:cs="Times New Roman"/>
                <w:spacing w:val="-2"/>
                <w:szCs w:val="18"/>
              </w:rPr>
            </w:pPr>
            <w:r>
              <w:rPr>
                <w:rFonts w:hint="default" w:ascii="Times New Roman" w:hAnsi="Times New Roman" w:cs="Times New Roman"/>
                <w:spacing w:val="-2"/>
                <w:szCs w:val="18"/>
              </w:rPr>
              <w:t>≤0.5</w:t>
            </w:r>
          </w:p>
        </w:tc>
        <w:tc>
          <w:tcPr>
            <w:tcW w:w="1416" w:type="pct"/>
            <w:shd w:val="clear" w:color="auto" w:fill="auto"/>
            <w:vAlign w:val="center"/>
          </w:tcPr>
          <w:p w14:paraId="57434D20">
            <w:pPr>
              <w:pStyle w:val="192"/>
              <w:rPr>
                <w:rFonts w:hint="default" w:ascii="Times New Roman" w:hAnsi="Times New Roman" w:cs="Times New Roman"/>
                <w:spacing w:val="-2"/>
                <w:szCs w:val="18"/>
              </w:rPr>
            </w:pPr>
            <w:r>
              <w:rPr>
                <w:rFonts w:hint="default" w:ascii="Times New Roman" w:hAnsi="Times New Roman" w:cs="Times New Roman"/>
                <w:spacing w:val="-2"/>
                <w:szCs w:val="18"/>
              </w:rPr>
              <w:t>T0656</w:t>
            </w:r>
          </w:p>
        </w:tc>
      </w:tr>
      <w:tr w14:paraId="697AE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6" w:type="pct"/>
            <w:vMerge w:val="restart"/>
            <w:shd w:val="clear" w:color="auto" w:fill="auto"/>
            <w:vAlign w:val="center"/>
          </w:tcPr>
          <w:p w14:paraId="38C109DB">
            <w:pPr>
              <w:pStyle w:val="192"/>
              <w:rPr>
                <w:rFonts w:hint="default" w:ascii="Times New Roman" w:hAnsi="Times New Roman" w:cs="Times New Roman"/>
                <w:spacing w:val="-2"/>
                <w:szCs w:val="18"/>
              </w:rPr>
            </w:pPr>
            <w:r>
              <w:rPr>
                <w:rFonts w:hint="default" w:ascii="Times New Roman" w:hAnsi="Times New Roman" w:cs="Times New Roman"/>
                <w:spacing w:val="-2"/>
                <w:szCs w:val="18"/>
              </w:rPr>
              <w:t>干燥时间， 25℃</w:t>
            </w:r>
          </w:p>
        </w:tc>
        <w:tc>
          <w:tcPr>
            <w:tcW w:w="965" w:type="pct"/>
            <w:vMerge w:val="restart"/>
            <w:shd w:val="clear" w:color="auto" w:fill="auto"/>
            <w:vAlign w:val="center"/>
          </w:tcPr>
          <w:p w14:paraId="60A3EBAD">
            <w:pPr>
              <w:pStyle w:val="192"/>
              <w:rPr>
                <w:rFonts w:hint="default" w:ascii="Times New Roman" w:hAnsi="Times New Roman" w:cs="Times New Roman"/>
                <w:spacing w:val="-2"/>
                <w:szCs w:val="18"/>
              </w:rPr>
            </w:pPr>
            <w:r>
              <w:rPr>
                <w:rFonts w:hint="default" w:ascii="Times New Roman" w:hAnsi="Times New Roman" w:cs="Times New Roman"/>
                <w:spacing w:val="-2"/>
                <w:szCs w:val="18"/>
              </w:rPr>
              <w:t>h</w:t>
            </w:r>
          </w:p>
        </w:tc>
        <w:tc>
          <w:tcPr>
            <w:tcW w:w="1053" w:type="pct"/>
            <w:shd w:val="clear" w:color="auto" w:fill="auto"/>
            <w:vAlign w:val="center"/>
          </w:tcPr>
          <w:p w14:paraId="0B9532E1">
            <w:pPr>
              <w:pStyle w:val="192"/>
              <w:rPr>
                <w:rFonts w:hint="default" w:ascii="Times New Roman" w:hAnsi="Times New Roman" w:cs="Times New Roman"/>
                <w:spacing w:val="-2"/>
                <w:szCs w:val="18"/>
              </w:rPr>
            </w:pPr>
            <w:r>
              <w:rPr>
                <w:rFonts w:hint="default" w:ascii="Times New Roman" w:hAnsi="Times New Roman" w:cs="Times New Roman"/>
                <w:spacing w:val="-2"/>
                <w:szCs w:val="18"/>
              </w:rPr>
              <w:t>表干≤1.5</w:t>
            </w:r>
          </w:p>
        </w:tc>
        <w:tc>
          <w:tcPr>
            <w:tcW w:w="1416" w:type="pct"/>
            <w:vMerge w:val="restart"/>
            <w:shd w:val="clear" w:color="auto" w:fill="auto"/>
            <w:vAlign w:val="center"/>
          </w:tcPr>
          <w:p w14:paraId="75CD8BD8">
            <w:pPr>
              <w:pStyle w:val="192"/>
              <w:rPr>
                <w:rFonts w:hint="default" w:ascii="Times New Roman" w:hAnsi="Times New Roman" w:cs="Times New Roman"/>
                <w:spacing w:val="-2"/>
                <w:szCs w:val="18"/>
              </w:rPr>
            </w:pPr>
            <w:r>
              <w:rPr>
                <w:rFonts w:hint="default" w:ascii="Times New Roman" w:hAnsi="Times New Roman" w:cs="Times New Roman"/>
                <w:spacing w:val="-2"/>
                <w:szCs w:val="18"/>
              </w:rPr>
              <w:t>GB/T16777</w:t>
            </w:r>
          </w:p>
        </w:tc>
      </w:tr>
      <w:tr w14:paraId="7D354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6" w:type="pct"/>
            <w:vMerge w:val="continue"/>
            <w:shd w:val="clear" w:color="auto" w:fill="auto"/>
            <w:vAlign w:val="center"/>
          </w:tcPr>
          <w:p w14:paraId="2A0F9BCD">
            <w:pPr>
              <w:pStyle w:val="192"/>
              <w:rPr>
                <w:rFonts w:hint="default" w:ascii="Times New Roman" w:hAnsi="Times New Roman" w:cs="Times New Roman"/>
                <w:spacing w:val="-2"/>
                <w:szCs w:val="18"/>
              </w:rPr>
            </w:pPr>
          </w:p>
        </w:tc>
        <w:tc>
          <w:tcPr>
            <w:tcW w:w="965" w:type="pct"/>
            <w:vMerge w:val="continue"/>
            <w:shd w:val="clear" w:color="auto" w:fill="auto"/>
            <w:vAlign w:val="center"/>
          </w:tcPr>
          <w:p w14:paraId="33D8D433">
            <w:pPr>
              <w:pStyle w:val="192"/>
              <w:rPr>
                <w:rFonts w:hint="default" w:ascii="Times New Roman" w:hAnsi="Times New Roman" w:cs="Times New Roman"/>
                <w:spacing w:val="-2"/>
                <w:szCs w:val="18"/>
              </w:rPr>
            </w:pPr>
          </w:p>
        </w:tc>
        <w:tc>
          <w:tcPr>
            <w:tcW w:w="1053" w:type="pct"/>
            <w:shd w:val="clear" w:color="auto" w:fill="auto"/>
            <w:vAlign w:val="center"/>
          </w:tcPr>
          <w:p w14:paraId="2051825E">
            <w:pPr>
              <w:pStyle w:val="192"/>
              <w:rPr>
                <w:rFonts w:hint="default" w:ascii="Times New Roman" w:hAnsi="Times New Roman" w:cs="Times New Roman"/>
                <w:spacing w:val="-2"/>
                <w:szCs w:val="18"/>
              </w:rPr>
            </w:pPr>
            <w:r>
              <w:rPr>
                <w:rFonts w:hint="default" w:ascii="Times New Roman" w:hAnsi="Times New Roman" w:cs="Times New Roman"/>
                <w:spacing w:val="-2"/>
                <w:szCs w:val="18"/>
              </w:rPr>
              <w:t>实干≤7</w:t>
            </w:r>
          </w:p>
        </w:tc>
        <w:tc>
          <w:tcPr>
            <w:tcW w:w="1416" w:type="pct"/>
            <w:vMerge w:val="continue"/>
            <w:shd w:val="clear" w:color="auto" w:fill="auto"/>
            <w:vAlign w:val="center"/>
          </w:tcPr>
          <w:p w14:paraId="720321D1">
            <w:pPr>
              <w:pStyle w:val="192"/>
              <w:rPr>
                <w:rFonts w:hint="default" w:ascii="Times New Roman" w:hAnsi="Times New Roman" w:cs="Times New Roman"/>
                <w:spacing w:val="-2"/>
                <w:szCs w:val="18"/>
              </w:rPr>
            </w:pPr>
          </w:p>
        </w:tc>
      </w:tr>
      <w:tr w14:paraId="70814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6" w:type="pct"/>
            <w:shd w:val="clear" w:color="auto" w:fill="auto"/>
            <w:vAlign w:val="center"/>
          </w:tcPr>
          <w:p w14:paraId="01183784">
            <w:pPr>
              <w:pStyle w:val="192"/>
              <w:rPr>
                <w:rFonts w:hint="default" w:ascii="Times New Roman" w:hAnsi="Times New Roman" w:cs="Times New Roman"/>
                <w:spacing w:val="-2"/>
                <w:szCs w:val="18"/>
              </w:rPr>
            </w:pPr>
            <w:r>
              <w:rPr>
                <w:rFonts w:hint="default" w:ascii="Times New Roman" w:hAnsi="Times New Roman" w:cs="Times New Roman"/>
                <w:spacing w:val="-2"/>
                <w:szCs w:val="18"/>
              </w:rPr>
              <w:t>筛上剩余量，0.3mm， 25℃</w:t>
            </w:r>
          </w:p>
        </w:tc>
        <w:tc>
          <w:tcPr>
            <w:tcW w:w="965" w:type="pct"/>
            <w:shd w:val="clear" w:color="auto" w:fill="auto"/>
            <w:vAlign w:val="center"/>
          </w:tcPr>
          <w:p w14:paraId="19166F63">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053" w:type="pct"/>
            <w:shd w:val="clear" w:color="auto" w:fill="auto"/>
            <w:vAlign w:val="center"/>
          </w:tcPr>
          <w:p w14:paraId="0CBBF7CB">
            <w:pPr>
              <w:pStyle w:val="192"/>
              <w:rPr>
                <w:rFonts w:hint="default" w:ascii="Times New Roman" w:hAnsi="Times New Roman" w:cs="Times New Roman"/>
                <w:spacing w:val="-2"/>
                <w:szCs w:val="18"/>
              </w:rPr>
            </w:pPr>
            <w:r>
              <w:rPr>
                <w:rFonts w:hint="default" w:ascii="Times New Roman" w:hAnsi="Times New Roman" w:cs="Times New Roman"/>
                <w:spacing w:val="-2"/>
                <w:szCs w:val="18"/>
              </w:rPr>
              <w:t>≤0.1</w:t>
            </w:r>
          </w:p>
        </w:tc>
        <w:tc>
          <w:tcPr>
            <w:tcW w:w="1416" w:type="pct"/>
            <w:shd w:val="clear" w:color="auto" w:fill="auto"/>
            <w:vAlign w:val="center"/>
          </w:tcPr>
          <w:p w14:paraId="221DE906">
            <w:pPr>
              <w:pStyle w:val="192"/>
              <w:rPr>
                <w:rFonts w:hint="default" w:ascii="Times New Roman" w:hAnsi="Times New Roman" w:cs="Times New Roman"/>
                <w:spacing w:val="-2"/>
                <w:szCs w:val="18"/>
              </w:rPr>
            </w:pPr>
            <w:r>
              <w:rPr>
                <w:rFonts w:hint="default" w:ascii="Times New Roman" w:hAnsi="Times New Roman" w:cs="Times New Roman"/>
                <w:spacing w:val="-2"/>
                <w:szCs w:val="18"/>
              </w:rPr>
              <w:t>T0652</w:t>
            </w:r>
          </w:p>
        </w:tc>
      </w:tr>
      <w:tr w14:paraId="471D5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6" w:type="pct"/>
            <w:shd w:val="clear" w:color="auto" w:fill="auto"/>
            <w:vAlign w:val="center"/>
          </w:tcPr>
          <w:p w14:paraId="2A3AAA09">
            <w:pPr>
              <w:pStyle w:val="192"/>
              <w:rPr>
                <w:rFonts w:hint="default" w:ascii="Times New Roman" w:hAnsi="Times New Roman" w:cs="Times New Roman"/>
                <w:spacing w:val="-2"/>
                <w:szCs w:val="18"/>
              </w:rPr>
            </w:pPr>
            <w:r>
              <w:rPr>
                <w:rFonts w:hint="default" w:ascii="Times New Roman" w:hAnsi="Times New Roman" w:cs="Times New Roman"/>
                <w:spacing w:val="-2"/>
                <w:szCs w:val="18"/>
              </w:rPr>
              <w:t>粘结强度</w:t>
            </w:r>
          </w:p>
        </w:tc>
        <w:tc>
          <w:tcPr>
            <w:tcW w:w="965" w:type="pct"/>
            <w:shd w:val="clear" w:color="auto" w:fill="auto"/>
            <w:vAlign w:val="center"/>
          </w:tcPr>
          <w:p w14:paraId="2799E6E0">
            <w:pPr>
              <w:pStyle w:val="192"/>
              <w:rPr>
                <w:rFonts w:hint="default" w:ascii="Times New Roman" w:hAnsi="Times New Roman" w:cs="Times New Roman"/>
                <w:spacing w:val="-2"/>
                <w:szCs w:val="18"/>
              </w:rPr>
            </w:pPr>
            <w:r>
              <w:rPr>
                <w:rFonts w:hint="default" w:ascii="Times New Roman" w:hAnsi="Times New Roman" w:cs="Times New Roman"/>
                <w:spacing w:val="-2"/>
                <w:szCs w:val="18"/>
              </w:rPr>
              <w:t>MPa</w:t>
            </w:r>
          </w:p>
        </w:tc>
        <w:tc>
          <w:tcPr>
            <w:tcW w:w="1053" w:type="pct"/>
            <w:shd w:val="clear" w:color="auto" w:fill="auto"/>
            <w:vAlign w:val="center"/>
          </w:tcPr>
          <w:p w14:paraId="563ADD6A">
            <w:pPr>
              <w:pStyle w:val="192"/>
              <w:rPr>
                <w:rFonts w:hint="default" w:ascii="Times New Roman" w:hAnsi="Times New Roman" w:cs="Times New Roman"/>
                <w:spacing w:val="-2"/>
                <w:szCs w:val="18"/>
              </w:rPr>
            </w:pPr>
            <w:r>
              <w:rPr>
                <w:rFonts w:hint="default" w:ascii="Times New Roman" w:hAnsi="Times New Roman" w:cs="Times New Roman"/>
                <w:spacing w:val="-2"/>
                <w:szCs w:val="18"/>
              </w:rPr>
              <w:t>≥1.0</w:t>
            </w:r>
          </w:p>
        </w:tc>
        <w:tc>
          <w:tcPr>
            <w:tcW w:w="1416" w:type="pct"/>
            <w:shd w:val="clear" w:color="auto" w:fill="auto"/>
            <w:vAlign w:val="center"/>
          </w:tcPr>
          <w:p w14:paraId="2B4D14A2">
            <w:pPr>
              <w:pStyle w:val="192"/>
              <w:rPr>
                <w:rFonts w:hint="default" w:ascii="Times New Roman" w:hAnsi="Times New Roman" w:cs="Times New Roman"/>
                <w:spacing w:val="-2"/>
                <w:szCs w:val="18"/>
              </w:rPr>
            </w:pPr>
            <w:r>
              <w:rPr>
                <w:rFonts w:hint="default" w:ascii="Times New Roman" w:hAnsi="Times New Roman" w:cs="Times New Roman"/>
                <w:spacing w:val="-2"/>
                <w:szCs w:val="18"/>
              </w:rPr>
              <w:t>附录A</w:t>
            </w:r>
          </w:p>
        </w:tc>
      </w:tr>
      <w:bookmarkEnd w:id="35"/>
    </w:tbl>
    <w:p w14:paraId="0E5C1FF8">
      <w:pPr>
        <w:numPr>
          <w:ilvl w:val="2"/>
          <w:numId w:val="20"/>
        </w:numPr>
        <w:spacing w:line="360" w:lineRule="auto"/>
        <w:ind w:left="0" w:firstLine="240" w:firstLineChars="100"/>
        <w:rPr>
          <w:rFonts w:hint="default" w:ascii="Times New Roman" w:hAnsi="Times New Roman" w:cs="Times New Roman"/>
          <w:kern w:val="0"/>
          <w:sz w:val="24"/>
        </w:rPr>
      </w:pPr>
      <w:bookmarkStart w:id="36" w:name="_Hlk179554893"/>
      <w:r>
        <w:rPr>
          <w:rFonts w:hint="default" w:ascii="Times New Roman" w:hAnsi="Times New Roman" w:cs="Times New Roman"/>
          <w:kern w:val="0"/>
          <w:sz w:val="24"/>
        </w:rPr>
        <w:t xml:space="preserve">高黏度改性乳化沥青应符合表5.3.2的规定。 </w:t>
      </w:r>
    </w:p>
    <w:p w14:paraId="7F432789">
      <w:pPr>
        <w:pStyle w:val="19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表5.3.2 高黏度改性乳化沥青黏层材料技术指标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03"/>
        <w:gridCol w:w="2961"/>
        <w:gridCol w:w="2693"/>
        <w:gridCol w:w="1079"/>
      </w:tblGrid>
      <w:tr w14:paraId="52925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38" w:type="pct"/>
            <w:gridSpan w:val="2"/>
            <w:shd w:val="clear" w:color="auto" w:fill="auto"/>
            <w:vAlign w:val="center"/>
          </w:tcPr>
          <w:p w14:paraId="477577CD">
            <w:pPr>
              <w:pStyle w:val="192"/>
              <w:rPr>
                <w:rFonts w:hint="default" w:ascii="Times New Roman" w:hAnsi="Times New Roman" w:cs="Times New Roman"/>
                <w:spacing w:val="-2"/>
              </w:rPr>
            </w:pPr>
            <w:r>
              <w:rPr>
                <w:rFonts w:hint="default" w:ascii="Times New Roman" w:hAnsi="Times New Roman" w:cs="Times New Roman"/>
                <w:spacing w:val="-2"/>
              </w:rPr>
              <w:t>项目</w:t>
            </w:r>
          </w:p>
        </w:tc>
        <w:tc>
          <w:tcPr>
            <w:tcW w:w="1615" w:type="pct"/>
            <w:shd w:val="clear" w:color="auto" w:fill="auto"/>
            <w:vAlign w:val="center"/>
          </w:tcPr>
          <w:p w14:paraId="0081DC74">
            <w:pPr>
              <w:pStyle w:val="192"/>
              <w:rPr>
                <w:rFonts w:hint="default" w:ascii="Times New Roman" w:hAnsi="Times New Roman" w:cs="Times New Roman"/>
                <w:spacing w:val="-2"/>
              </w:rPr>
            </w:pPr>
            <w:r>
              <w:rPr>
                <w:rFonts w:hint="default" w:ascii="Times New Roman" w:hAnsi="Times New Roman" w:cs="Times New Roman"/>
                <w:spacing w:val="-2"/>
              </w:rPr>
              <w:t>技术指标</w:t>
            </w:r>
          </w:p>
        </w:tc>
        <w:tc>
          <w:tcPr>
            <w:tcW w:w="647" w:type="pct"/>
            <w:shd w:val="clear" w:color="auto" w:fill="auto"/>
            <w:vAlign w:val="center"/>
          </w:tcPr>
          <w:p w14:paraId="10F2ED9D">
            <w:pPr>
              <w:pStyle w:val="192"/>
              <w:rPr>
                <w:rFonts w:hint="default" w:ascii="Times New Roman" w:hAnsi="Times New Roman" w:cs="Times New Roman"/>
                <w:spacing w:val="-2"/>
              </w:rPr>
            </w:pPr>
            <w:r>
              <w:rPr>
                <w:rFonts w:hint="default" w:ascii="Times New Roman" w:hAnsi="Times New Roman" w:cs="Times New Roman"/>
                <w:spacing w:val="-2"/>
              </w:rPr>
              <w:t>试验方法</w:t>
            </w:r>
          </w:p>
        </w:tc>
      </w:tr>
      <w:tr w14:paraId="3B5F96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38" w:type="pct"/>
            <w:gridSpan w:val="2"/>
            <w:shd w:val="clear" w:color="auto" w:fill="auto"/>
            <w:vAlign w:val="center"/>
          </w:tcPr>
          <w:p w14:paraId="5444129F">
            <w:pPr>
              <w:pStyle w:val="192"/>
              <w:rPr>
                <w:rFonts w:hint="default" w:ascii="Times New Roman" w:hAnsi="Times New Roman" w:cs="Times New Roman"/>
                <w:spacing w:val="-2"/>
              </w:rPr>
            </w:pPr>
            <w:r>
              <w:rPr>
                <w:rFonts w:hint="default" w:ascii="Times New Roman" w:hAnsi="Times New Roman" w:cs="Times New Roman"/>
                <w:spacing w:val="-2"/>
              </w:rPr>
              <w:t>破乳速度</w:t>
            </w:r>
          </w:p>
        </w:tc>
        <w:tc>
          <w:tcPr>
            <w:tcW w:w="1615" w:type="pct"/>
            <w:shd w:val="clear" w:color="auto" w:fill="auto"/>
            <w:vAlign w:val="center"/>
          </w:tcPr>
          <w:p w14:paraId="528B49A8">
            <w:pPr>
              <w:pStyle w:val="192"/>
              <w:rPr>
                <w:rFonts w:hint="default" w:ascii="Times New Roman" w:hAnsi="Times New Roman" w:cs="Times New Roman"/>
                <w:spacing w:val="-2"/>
              </w:rPr>
            </w:pPr>
            <w:r>
              <w:rPr>
                <w:rFonts w:hint="default" w:ascii="Times New Roman" w:hAnsi="Times New Roman" w:cs="Times New Roman"/>
                <w:spacing w:val="-2"/>
              </w:rPr>
              <w:t>快裂</w:t>
            </w:r>
          </w:p>
        </w:tc>
        <w:tc>
          <w:tcPr>
            <w:tcW w:w="647" w:type="pct"/>
            <w:shd w:val="clear" w:color="auto" w:fill="auto"/>
            <w:vAlign w:val="center"/>
          </w:tcPr>
          <w:p w14:paraId="4495A173">
            <w:pPr>
              <w:pStyle w:val="192"/>
              <w:rPr>
                <w:rFonts w:hint="default" w:ascii="Times New Roman" w:hAnsi="Times New Roman" w:cs="Times New Roman"/>
                <w:spacing w:val="-2"/>
              </w:rPr>
            </w:pPr>
            <w:r>
              <w:rPr>
                <w:rFonts w:hint="default" w:ascii="Times New Roman" w:hAnsi="Times New Roman" w:cs="Times New Roman"/>
                <w:spacing w:val="-2"/>
              </w:rPr>
              <w:t>T0658</w:t>
            </w:r>
          </w:p>
        </w:tc>
      </w:tr>
      <w:tr w14:paraId="52237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38" w:type="pct"/>
            <w:gridSpan w:val="2"/>
            <w:shd w:val="clear" w:color="auto" w:fill="auto"/>
            <w:vAlign w:val="center"/>
          </w:tcPr>
          <w:p w14:paraId="5D1B2279">
            <w:pPr>
              <w:pStyle w:val="192"/>
              <w:rPr>
                <w:rFonts w:hint="default" w:ascii="Times New Roman" w:hAnsi="Times New Roman" w:cs="Times New Roman"/>
                <w:spacing w:val="-2"/>
              </w:rPr>
            </w:pPr>
            <w:r>
              <w:rPr>
                <w:rFonts w:hint="default" w:ascii="Times New Roman" w:hAnsi="Times New Roman" w:cs="Times New Roman"/>
                <w:spacing w:val="-2"/>
              </w:rPr>
              <w:t>粒子电荷</w:t>
            </w:r>
          </w:p>
        </w:tc>
        <w:tc>
          <w:tcPr>
            <w:tcW w:w="1615" w:type="pct"/>
            <w:shd w:val="clear" w:color="auto" w:fill="auto"/>
            <w:vAlign w:val="center"/>
          </w:tcPr>
          <w:p w14:paraId="75066959">
            <w:pPr>
              <w:pStyle w:val="192"/>
              <w:rPr>
                <w:rFonts w:hint="default" w:ascii="Times New Roman" w:hAnsi="Times New Roman" w:cs="Times New Roman"/>
                <w:spacing w:val="-2"/>
              </w:rPr>
            </w:pPr>
            <w:r>
              <w:rPr>
                <w:rFonts w:hint="default" w:ascii="Times New Roman" w:hAnsi="Times New Roman" w:cs="Times New Roman"/>
                <w:spacing w:val="-2"/>
              </w:rPr>
              <w:t>阳离子（＋）</w:t>
            </w:r>
          </w:p>
        </w:tc>
        <w:tc>
          <w:tcPr>
            <w:tcW w:w="647" w:type="pct"/>
            <w:shd w:val="clear" w:color="auto" w:fill="auto"/>
            <w:vAlign w:val="center"/>
          </w:tcPr>
          <w:p w14:paraId="12048308">
            <w:pPr>
              <w:pStyle w:val="192"/>
              <w:rPr>
                <w:rFonts w:hint="default" w:ascii="Times New Roman" w:hAnsi="Times New Roman" w:cs="Times New Roman"/>
                <w:spacing w:val="-2"/>
              </w:rPr>
            </w:pPr>
            <w:r>
              <w:rPr>
                <w:rFonts w:hint="default" w:ascii="Times New Roman" w:hAnsi="Times New Roman" w:cs="Times New Roman"/>
                <w:spacing w:val="-2"/>
              </w:rPr>
              <w:t>T0653</w:t>
            </w:r>
          </w:p>
        </w:tc>
      </w:tr>
      <w:tr w14:paraId="64EBE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38" w:type="pct"/>
            <w:gridSpan w:val="2"/>
            <w:shd w:val="clear" w:color="auto" w:fill="auto"/>
            <w:vAlign w:val="center"/>
          </w:tcPr>
          <w:p w14:paraId="3648ED61">
            <w:pPr>
              <w:pStyle w:val="192"/>
              <w:rPr>
                <w:rFonts w:hint="default" w:ascii="Times New Roman" w:hAnsi="Times New Roman" w:cs="Times New Roman"/>
                <w:spacing w:val="-2"/>
              </w:rPr>
            </w:pPr>
            <w:r>
              <w:rPr>
                <w:rFonts w:hint="default" w:ascii="Times New Roman" w:hAnsi="Times New Roman" w:cs="Times New Roman"/>
                <w:spacing w:val="-2"/>
              </w:rPr>
              <w:t>筛上剩余量 （1.18mm） （%）</w:t>
            </w:r>
          </w:p>
        </w:tc>
        <w:tc>
          <w:tcPr>
            <w:tcW w:w="1615" w:type="pct"/>
            <w:shd w:val="clear" w:color="auto" w:fill="auto"/>
            <w:vAlign w:val="center"/>
          </w:tcPr>
          <w:p w14:paraId="26C76B72">
            <w:pPr>
              <w:pStyle w:val="192"/>
              <w:rPr>
                <w:rFonts w:hint="default" w:ascii="Times New Roman" w:hAnsi="Times New Roman" w:cs="Times New Roman"/>
                <w:spacing w:val="-2"/>
              </w:rPr>
            </w:pPr>
            <w:r>
              <w:rPr>
                <w:rFonts w:hint="default" w:ascii="Times New Roman" w:hAnsi="Times New Roman" w:cs="Times New Roman"/>
                <w:spacing w:val="-2"/>
              </w:rPr>
              <w:t>≤0.1</w:t>
            </w:r>
          </w:p>
        </w:tc>
        <w:tc>
          <w:tcPr>
            <w:tcW w:w="647" w:type="pct"/>
            <w:shd w:val="clear" w:color="auto" w:fill="auto"/>
            <w:vAlign w:val="center"/>
          </w:tcPr>
          <w:p w14:paraId="4B71B9A6">
            <w:pPr>
              <w:pStyle w:val="192"/>
              <w:rPr>
                <w:rFonts w:hint="default" w:ascii="Times New Roman" w:hAnsi="Times New Roman" w:cs="Times New Roman"/>
                <w:spacing w:val="-2"/>
              </w:rPr>
            </w:pPr>
            <w:r>
              <w:rPr>
                <w:rFonts w:hint="default" w:ascii="Times New Roman" w:hAnsi="Times New Roman" w:cs="Times New Roman"/>
                <w:spacing w:val="-2"/>
              </w:rPr>
              <w:t>T0652</w:t>
            </w:r>
          </w:p>
        </w:tc>
      </w:tr>
      <w:tr w14:paraId="3DFF9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restart"/>
            <w:shd w:val="clear" w:color="auto" w:fill="auto"/>
            <w:vAlign w:val="center"/>
          </w:tcPr>
          <w:p w14:paraId="4950BAFA">
            <w:pPr>
              <w:pStyle w:val="192"/>
              <w:rPr>
                <w:rFonts w:hint="default" w:ascii="Times New Roman" w:hAnsi="Times New Roman" w:cs="Times New Roman"/>
                <w:spacing w:val="-2"/>
              </w:rPr>
            </w:pPr>
            <w:r>
              <w:rPr>
                <w:rFonts w:hint="default" w:ascii="Times New Roman" w:hAnsi="Times New Roman" w:cs="Times New Roman"/>
                <w:spacing w:val="-2"/>
              </w:rPr>
              <w:t>黏度</w:t>
            </w:r>
          </w:p>
        </w:tc>
        <w:tc>
          <w:tcPr>
            <w:tcW w:w="1776" w:type="pct"/>
            <w:shd w:val="clear" w:color="auto" w:fill="auto"/>
            <w:vAlign w:val="center"/>
          </w:tcPr>
          <w:p w14:paraId="3921E31C">
            <w:pPr>
              <w:pStyle w:val="192"/>
              <w:rPr>
                <w:rFonts w:hint="default" w:ascii="Times New Roman" w:hAnsi="Times New Roman" w:cs="Times New Roman"/>
                <w:spacing w:val="-2"/>
              </w:rPr>
            </w:pPr>
            <w:r>
              <w:rPr>
                <w:rFonts w:hint="default" w:ascii="Times New Roman" w:hAnsi="Times New Roman" w:cs="Times New Roman"/>
                <w:spacing w:val="-2"/>
              </w:rPr>
              <w:t>恩格拉黏度E</w:t>
            </w:r>
            <w:r>
              <w:rPr>
                <w:rFonts w:hint="default" w:ascii="Times New Roman" w:hAnsi="Times New Roman" w:cs="Times New Roman"/>
                <w:spacing w:val="-2"/>
                <w:vertAlign w:val="subscript"/>
              </w:rPr>
              <w:t>25</w:t>
            </w:r>
          </w:p>
        </w:tc>
        <w:tc>
          <w:tcPr>
            <w:tcW w:w="1615" w:type="pct"/>
            <w:shd w:val="clear" w:color="auto" w:fill="auto"/>
            <w:vAlign w:val="center"/>
          </w:tcPr>
          <w:p w14:paraId="64127E4A">
            <w:pPr>
              <w:pStyle w:val="192"/>
              <w:rPr>
                <w:rFonts w:hint="default" w:ascii="Times New Roman" w:hAnsi="Times New Roman" w:cs="Times New Roman"/>
                <w:spacing w:val="-2"/>
              </w:rPr>
            </w:pPr>
            <w:r>
              <w:rPr>
                <w:rFonts w:hint="default" w:ascii="Times New Roman" w:hAnsi="Times New Roman" w:cs="Times New Roman"/>
                <w:spacing w:val="-2"/>
              </w:rPr>
              <w:t>3~20</w:t>
            </w:r>
          </w:p>
        </w:tc>
        <w:tc>
          <w:tcPr>
            <w:tcW w:w="647" w:type="pct"/>
            <w:shd w:val="clear" w:color="auto" w:fill="auto"/>
            <w:vAlign w:val="center"/>
          </w:tcPr>
          <w:p w14:paraId="3483C3E9">
            <w:pPr>
              <w:pStyle w:val="192"/>
              <w:rPr>
                <w:rFonts w:hint="default" w:ascii="Times New Roman" w:hAnsi="Times New Roman" w:cs="Times New Roman"/>
                <w:spacing w:val="-2"/>
              </w:rPr>
            </w:pPr>
            <w:r>
              <w:rPr>
                <w:rFonts w:hint="default" w:ascii="Times New Roman" w:hAnsi="Times New Roman" w:cs="Times New Roman"/>
                <w:spacing w:val="-2"/>
              </w:rPr>
              <w:t>T0622</w:t>
            </w:r>
          </w:p>
        </w:tc>
      </w:tr>
      <w:tr w14:paraId="49874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continue"/>
            <w:shd w:val="clear" w:color="auto" w:fill="auto"/>
            <w:vAlign w:val="center"/>
          </w:tcPr>
          <w:p w14:paraId="109565E3">
            <w:pPr>
              <w:pStyle w:val="192"/>
              <w:rPr>
                <w:rFonts w:hint="default" w:ascii="Times New Roman" w:hAnsi="Times New Roman" w:cs="Times New Roman"/>
                <w:spacing w:val="-2"/>
              </w:rPr>
            </w:pPr>
          </w:p>
        </w:tc>
        <w:tc>
          <w:tcPr>
            <w:tcW w:w="1776" w:type="pct"/>
            <w:shd w:val="clear" w:color="auto" w:fill="auto"/>
            <w:vAlign w:val="center"/>
          </w:tcPr>
          <w:p w14:paraId="4E7278E6">
            <w:pPr>
              <w:pStyle w:val="192"/>
              <w:rPr>
                <w:rFonts w:hint="default" w:ascii="Times New Roman" w:hAnsi="Times New Roman" w:cs="Times New Roman"/>
                <w:spacing w:val="-2"/>
              </w:rPr>
            </w:pPr>
            <w:r>
              <w:rPr>
                <w:rFonts w:hint="default" w:ascii="Times New Roman" w:hAnsi="Times New Roman" w:cs="Times New Roman"/>
                <w:spacing w:val="-2"/>
              </w:rPr>
              <w:t>沥青标准黏度C</w:t>
            </w:r>
            <w:r>
              <w:rPr>
                <w:rFonts w:hint="default" w:ascii="Times New Roman" w:hAnsi="Times New Roman" w:cs="Times New Roman"/>
                <w:spacing w:val="-2"/>
                <w:vertAlign w:val="subscript"/>
              </w:rPr>
              <w:t>25，3</w:t>
            </w:r>
            <w:r>
              <w:rPr>
                <w:rFonts w:hint="default" w:ascii="Times New Roman" w:hAnsi="Times New Roman" w:cs="Times New Roman"/>
                <w:spacing w:val="-2"/>
              </w:rPr>
              <w:t>（s）</w:t>
            </w:r>
          </w:p>
        </w:tc>
        <w:tc>
          <w:tcPr>
            <w:tcW w:w="1615" w:type="pct"/>
            <w:shd w:val="clear" w:color="auto" w:fill="auto"/>
            <w:vAlign w:val="center"/>
          </w:tcPr>
          <w:p w14:paraId="1894FBAE">
            <w:pPr>
              <w:pStyle w:val="192"/>
              <w:rPr>
                <w:rFonts w:hint="default" w:ascii="Times New Roman" w:hAnsi="Times New Roman" w:cs="Times New Roman"/>
                <w:spacing w:val="-2"/>
              </w:rPr>
            </w:pPr>
            <w:r>
              <w:rPr>
                <w:rFonts w:hint="default" w:ascii="Times New Roman" w:hAnsi="Times New Roman" w:cs="Times New Roman"/>
                <w:spacing w:val="-2"/>
              </w:rPr>
              <w:t>12~60</w:t>
            </w:r>
          </w:p>
        </w:tc>
        <w:tc>
          <w:tcPr>
            <w:tcW w:w="647" w:type="pct"/>
            <w:shd w:val="clear" w:color="auto" w:fill="auto"/>
            <w:vAlign w:val="center"/>
          </w:tcPr>
          <w:p w14:paraId="2687F9CF">
            <w:pPr>
              <w:pStyle w:val="192"/>
              <w:rPr>
                <w:rFonts w:hint="default" w:ascii="Times New Roman" w:hAnsi="Times New Roman" w:cs="Times New Roman"/>
                <w:spacing w:val="-2"/>
              </w:rPr>
            </w:pPr>
            <w:r>
              <w:rPr>
                <w:rFonts w:hint="default" w:ascii="Times New Roman" w:hAnsi="Times New Roman" w:cs="Times New Roman"/>
                <w:spacing w:val="-2"/>
              </w:rPr>
              <w:t>T0621</w:t>
            </w:r>
          </w:p>
        </w:tc>
      </w:tr>
      <w:tr w14:paraId="3C9E4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restart"/>
            <w:shd w:val="clear" w:color="auto" w:fill="auto"/>
            <w:vAlign w:val="center"/>
          </w:tcPr>
          <w:p w14:paraId="6668240C">
            <w:pPr>
              <w:pStyle w:val="192"/>
              <w:rPr>
                <w:rFonts w:hint="default" w:ascii="Times New Roman" w:hAnsi="Times New Roman" w:cs="Times New Roman"/>
                <w:spacing w:val="-2"/>
              </w:rPr>
            </w:pPr>
            <w:r>
              <w:rPr>
                <w:rFonts w:hint="default" w:ascii="Times New Roman" w:hAnsi="Times New Roman" w:cs="Times New Roman"/>
                <w:spacing w:val="-2"/>
              </w:rPr>
              <w:t>蒸发残留物性能试验</w:t>
            </w:r>
          </w:p>
        </w:tc>
        <w:tc>
          <w:tcPr>
            <w:tcW w:w="1776" w:type="pct"/>
            <w:shd w:val="clear" w:color="auto" w:fill="auto"/>
            <w:vAlign w:val="center"/>
          </w:tcPr>
          <w:p w14:paraId="443BC331">
            <w:pPr>
              <w:pStyle w:val="192"/>
              <w:rPr>
                <w:rFonts w:hint="default" w:ascii="Times New Roman" w:hAnsi="Times New Roman" w:cs="Times New Roman"/>
                <w:spacing w:val="-2"/>
              </w:rPr>
            </w:pPr>
            <w:r>
              <w:rPr>
                <w:rFonts w:hint="default" w:ascii="Times New Roman" w:hAnsi="Times New Roman" w:cs="Times New Roman"/>
                <w:spacing w:val="-2"/>
              </w:rPr>
              <w:t>含量（%）</w:t>
            </w:r>
          </w:p>
        </w:tc>
        <w:tc>
          <w:tcPr>
            <w:tcW w:w="1615" w:type="pct"/>
            <w:shd w:val="clear" w:color="auto" w:fill="auto"/>
            <w:vAlign w:val="center"/>
          </w:tcPr>
          <w:p w14:paraId="43BBF8AE">
            <w:pPr>
              <w:pStyle w:val="192"/>
              <w:rPr>
                <w:rFonts w:hint="default" w:ascii="Times New Roman" w:hAnsi="Times New Roman" w:cs="Times New Roman"/>
                <w:spacing w:val="-2"/>
              </w:rPr>
            </w:pPr>
            <w:r>
              <w:rPr>
                <w:rFonts w:hint="default" w:ascii="Times New Roman" w:hAnsi="Times New Roman" w:cs="Times New Roman"/>
                <w:spacing w:val="-2"/>
              </w:rPr>
              <w:t>≥60</w:t>
            </w:r>
          </w:p>
        </w:tc>
        <w:tc>
          <w:tcPr>
            <w:tcW w:w="647" w:type="pct"/>
            <w:shd w:val="clear" w:color="auto" w:fill="auto"/>
            <w:vAlign w:val="center"/>
          </w:tcPr>
          <w:p w14:paraId="1D4008CC">
            <w:pPr>
              <w:pStyle w:val="192"/>
              <w:rPr>
                <w:rFonts w:hint="default" w:ascii="Times New Roman" w:hAnsi="Times New Roman" w:cs="Times New Roman"/>
                <w:spacing w:val="-2"/>
              </w:rPr>
            </w:pPr>
            <w:r>
              <w:rPr>
                <w:rFonts w:hint="default" w:ascii="Times New Roman" w:hAnsi="Times New Roman" w:cs="Times New Roman"/>
                <w:spacing w:val="-2"/>
              </w:rPr>
              <w:t>T0651</w:t>
            </w:r>
          </w:p>
        </w:tc>
      </w:tr>
      <w:tr w14:paraId="464F6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continue"/>
            <w:shd w:val="clear" w:color="auto" w:fill="auto"/>
            <w:vAlign w:val="center"/>
          </w:tcPr>
          <w:p w14:paraId="2046CB9E">
            <w:pPr>
              <w:pStyle w:val="192"/>
              <w:rPr>
                <w:rFonts w:hint="default" w:ascii="Times New Roman" w:hAnsi="Times New Roman" w:cs="Times New Roman"/>
                <w:spacing w:val="-2"/>
              </w:rPr>
            </w:pPr>
          </w:p>
        </w:tc>
        <w:tc>
          <w:tcPr>
            <w:tcW w:w="1776" w:type="pct"/>
            <w:shd w:val="clear" w:color="auto" w:fill="auto"/>
            <w:vAlign w:val="center"/>
          </w:tcPr>
          <w:p w14:paraId="56FE26FE">
            <w:pPr>
              <w:pStyle w:val="192"/>
              <w:rPr>
                <w:rFonts w:hint="default" w:ascii="Times New Roman" w:hAnsi="Times New Roman" w:cs="Times New Roman"/>
                <w:spacing w:val="-2"/>
              </w:rPr>
            </w:pPr>
            <w:r>
              <w:rPr>
                <w:rFonts w:hint="default" w:ascii="Times New Roman" w:hAnsi="Times New Roman" w:cs="Times New Roman"/>
                <w:spacing w:val="-2"/>
              </w:rPr>
              <w:t>针入度</w:t>
            </w:r>
          </w:p>
          <w:p w14:paraId="6F2AB9C2">
            <w:pPr>
              <w:pStyle w:val="192"/>
              <w:rPr>
                <w:rFonts w:hint="default" w:ascii="Times New Roman" w:hAnsi="Times New Roman" w:cs="Times New Roman"/>
                <w:spacing w:val="-2"/>
              </w:rPr>
            </w:pPr>
            <w:r>
              <w:rPr>
                <w:rFonts w:hint="default" w:ascii="Times New Roman" w:hAnsi="Times New Roman" w:cs="Times New Roman"/>
                <w:spacing w:val="-2"/>
              </w:rPr>
              <w:t>（100g，25℃，5s） （0.1mm）</w:t>
            </w:r>
          </w:p>
        </w:tc>
        <w:tc>
          <w:tcPr>
            <w:tcW w:w="1615" w:type="pct"/>
            <w:shd w:val="clear" w:color="auto" w:fill="auto"/>
            <w:vAlign w:val="center"/>
          </w:tcPr>
          <w:p w14:paraId="55253F5C">
            <w:pPr>
              <w:pStyle w:val="192"/>
              <w:rPr>
                <w:rFonts w:hint="default" w:ascii="Times New Roman" w:hAnsi="Times New Roman" w:cs="Times New Roman"/>
                <w:spacing w:val="-2"/>
              </w:rPr>
            </w:pPr>
            <w:r>
              <w:rPr>
                <w:rFonts w:hint="default" w:ascii="Times New Roman" w:hAnsi="Times New Roman" w:cs="Times New Roman"/>
                <w:spacing w:val="-2"/>
              </w:rPr>
              <w:t>60~100</w:t>
            </w:r>
          </w:p>
        </w:tc>
        <w:tc>
          <w:tcPr>
            <w:tcW w:w="647" w:type="pct"/>
            <w:shd w:val="clear" w:color="auto" w:fill="auto"/>
            <w:vAlign w:val="center"/>
          </w:tcPr>
          <w:p w14:paraId="10FC9E3E">
            <w:pPr>
              <w:pStyle w:val="192"/>
              <w:rPr>
                <w:rFonts w:hint="default" w:ascii="Times New Roman" w:hAnsi="Times New Roman" w:cs="Times New Roman"/>
                <w:spacing w:val="-2"/>
              </w:rPr>
            </w:pPr>
            <w:r>
              <w:rPr>
                <w:rFonts w:hint="default" w:ascii="Times New Roman" w:hAnsi="Times New Roman" w:cs="Times New Roman"/>
                <w:spacing w:val="-2"/>
              </w:rPr>
              <w:t>T0604</w:t>
            </w:r>
          </w:p>
        </w:tc>
      </w:tr>
      <w:tr w14:paraId="0051C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continue"/>
            <w:shd w:val="clear" w:color="auto" w:fill="auto"/>
            <w:vAlign w:val="center"/>
          </w:tcPr>
          <w:p w14:paraId="6E3ACB7D">
            <w:pPr>
              <w:pStyle w:val="192"/>
              <w:rPr>
                <w:rFonts w:hint="default" w:ascii="Times New Roman" w:hAnsi="Times New Roman" w:cs="Times New Roman"/>
                <w:spacing w:val="-2"/>
              </w:rPr>
            </w:pPr>
          </w:p>
        </w:tc>
        <w:tc>
          <w:tcPr>
            <w:tcW w:w="1776" w:type="pct"/>
            <w:shd w:val="clear" w:color="auto" w:fill="auto"/>
            <w:vAlign w:val="center"/>
          </w:tcPr>
          <w:p w14:paraId="609D73CB">
            <w:pPr>
              <w:pStyle w:val="192"/>
              <w:rPr>
                <w:rFonts w:hint="default" w:ascii="Times New Roman" w:hAnsi="Times New Roman" w:cs="Times New Roman"/>
                <w:spacing w:val="-2"/>
              </w:rPr>
            </w:pPr>
            <w:r>
              <w:rPr>
                <w:rFonts w:hint="default" w:ascii="Times New Roman" w:hAnsi="Times New Roman" w:cs="Times New Roman"/>
                <w:spacing w:val="-2"/>
              </w:rPr>
              <w:t>软化点（℃）</w:t>
            </w:r>
          </w:p>
        </w:tc>
        <w:tc>
          <w:tcPr>
            <w:tcW w:w="1615" w:type="pct"/>
            <w:shd w:val="clear" w:color="auto" w:fill="auto"/>
            <w:vAlign w:val="center"/>
          </w:tcPr>
          <w:p w14:paraId="1370167B">
            <w:pPr>
              <w:pStyle w:val="192"/>
              <w:rPr>
                <w:rFonts w:hint="default" w:ascii="Times New Roman" w:hAnsi="Times New Roman" w:cs="Times New Roman"/>
                <w:spacing w:val="-2"/>
              </w:rPr>
            </w:pPr>
            <w:r>
              <w:rPr>
                <w:rFonts w:hint="default" w:ascii="Times New Roman" w:hAnsi="Times New Roman" w:cs="Times New Roman"/>
                <w:spacing w:val="-2"/>
              </w:rPr>
              <w:t>≥85</w:t>
            </w:r>
          </w:p>
        </w:tc>
        <w:tc>
          <w:tcPr>
            <w:tcW w:w="647" w:type="pct"/>
            <w:shd w:val="clear" w:color="auto" w:fill="auto"/>
            <w:vAlign w:val="center"/>
          </w:tcPr>
          <w:p w14:paraId="4E1B1718">
            <w:pPr>
              <w:pStyle w:val="192"/>
              <w:rPr>
                <w:rFonts w:hint="default" w:ascii="Times New Roman" w:hAnsi="Times New Roman" w:cs="Times New Roman"/>
                <w:spacing w:val="-2"/>
              </w:rPr>
            </w:pPr>
            <w:r>
              <w:rPr>
                <w:rFonts w:hint="default" w:ascii="Times New Roman" w:hAnsi="Times New Roman" w:cs="Times New Roman"/>
                <w:spacing w:val="-2"/>
              </w:rPr>
              <w:t>T0606</w:t>
            </w:r>
          </w:p>
        </w:tc>
      </w:tr>
      <w:tr w14:paraId="3FEDD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continue"/>
            <w:shd w:val="clear" w:color="auto" w:fill="auto"/>
            <w:vAlign w:val="center"/>
          </w:tcPr>
          <w:p w14:paraId="5C2E054B">
            <w:pPr>
              <w:pStyle w:val="192"/>
              <w:rPr>
                <w:rFonts w:hint="default" w:ascii="Times New Roman" w:hAnsi="Times New Roman" w:cs="Times New Roman"/>
                <w:spacing w:val="-2"/>
              </w:rPr>
            </w:pPr>
          </w:p>
        </w:tc>
        <w:tc>
          <w:tcPr>
            <w:tcW w:w="1776" w:type="pct"/>
            <w:shd w:val="clear" w:color="auto" w:fill="auto"/>
            <w:vAlign w:val="center"/>
          </w:tcPr>
          <w:p w14:paraId="6C8DFBDE">
            <w:pPr>
              <w:pStyle w:val="192"/>
              <w:rPr>
                <w:rFonts w:hint="default" w:ascii="Times New Roman" w:hAnsi="Times New Roman" w:cs="Times New Roman"/>
                <w:spacing w:val="-2"/>
              </w:rPr>
            </w:pPr>
            <w:r>
              <w:rPr>
                <w:rFonts w:hint="default" w:ascii="Times New Roman" w:hAnsi="Times New Roman" w:cs="Times New Roman"/>
                <w:spacing w:val="-2"/>
              </w:rPr>
              <w:t>5℃延度（cm）</w:t>
            </w:r>
          </w:p>
        </w:tc>
        <w:tc>
          <w:tcPr>
            <w:tcW w:w="1615" w:type="pct"/>
            <w:shd w:val="clear" w:color="auto" w:fill="auto"/>
            <w:vAlign w:val="center"/>
          </w:tcPr>
          <w:p w14:paraId="1E0451E9">
            <w:pPr>
              <w:pStyle w:val="192"/>
              <w:rPr>
                <w:rFonts w:hint="default" w:ascii="Times New Roman" w:hAnsi="Times New Roman" w:cs="Times New Roman"/>
                <w:spacing w:val="-2"/>
              </w:rPr>
            </w:pPr>
            <w:r>
              <w:rPr>
                <w:rFonts w:hint="default" w:ascii="Times New Roman" w:hAnsi="Times New Roman" w:cs="Times New Roman"/>
                <w:spacing w:val="-2"/>
              </w:rPr>
              <w:t>≥45</w:t>
            </w:r>
          </w:p>
        </w:tc>
        <w:tc>
          <w:tcPr>
            <w:tcW w:w="647" w:type="pct"/>
            <w:shd w:val="clear" w:color="auto" w:fill="auto"/>
            <w:vAlign w:val="center"/>
          </w:tcPr>
          <w:p w14:paraId="26C71E9A">
            <w:pPr>
              <w:pStyle w:val="192"/>
              <w:rPr>
                <w:rFonts w:hint="default" w:ascii="Times New Roman" w:hAnsi="Times New Roman" w:cs="Times New Roman"/>
                <w:spacing w:val="-2"/>
              </w:rPr>
            </w:pPr>
            <w:r>
              <w:rPr>
                <w:rFonts w:hint="default" w:ascii="Times New Roman" w:hAnsi="Times New Roman" w:cs="Times New Roman"/>
                <w:spacing w:val="-2"/>
              </w:rPr>
              <w:t>T0605</w:t>
            </w:r>
          </w:p>
        </w:tc>
      </w:tr>
      <w:tr w14:paraId="2A7A7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continue"/>
            <w:shd w:val="clear" w:color="auto" w:fill="auto"/>
            <w:vAlign w:val="center"/>
          </w:tcPr>
          <w:p w14:paraId="21F6B6CA">
            <w:pPr>
              <w:pStyle w:val="192"/>
              <w:rPr>
                <w:rFonts w:hint="default" w:ascii="Times New Roman" w:hAnsi="Times New Roman" w:cs="Times New Roman"/>
                <w:spacing w:val="-2"/>
              </w:rPr>
            </w:pPr>
          </w:p>
        </w:tc>
        <w:tc>
          <w:tcPr>
            <w:tcW w:w="1776" w:type="pct"/>
            <w:shd w:val="clear" w:color="auto" w:fill="auto"/>
            <w:vAlign w:val="center"/>
          </w:tcPr>
          <w:p w14:paraId="10CF1FEE">
            <w:pPr>
              <w:pStyle w:val="192"/>
              <w:rPr>
                <w:rFonts w:hint="default" w:ascii="Times New Roman" w:hAnsi="Times New Roman" w:cs="Times New Roman"/>
                <w:spacing w:val="-2"/>
              </w:rPr>
            </w:pPr>
            <w:r>
              <w:rPr>
                <w:rFonts w:hint="default" w:ascii="Times New Roman" w:hAnsi="Times New Roman" w:cs="Times New Roman"/>
                <w:spacing w:val="-2"/>
              </w:rPr>
              <w:t>溶解度（三氯乙烯）（%）</w:t>
            </w:r>
          </w:p>
        </w:tc>
        <w:tc>
          <w:tcPr>
            <w:tcW w:w="1615" w:type="pct"/>
            <w:shd w:val="clear" w:color="auto" w:fill="auto"/>
            <w:vAlign w:val="center"/>
          </w:tcPr>
          <w:p w14:paraId="750897F1">
            <w:pPr>
              <w:pStyle w:val="192"/>
              <w:rPr>
                <w:rFonts w:hint="default" w:ascii="Times New Roman" w:hAnsi="Times New Roman" w:cs="Times New Roman"/>
                <w:spacing w:val="-2"/>
              </w:rPr>
            </w:pPr>
            <w:r>
              <w:rPr>
                <w:rFonts w:hint="default" w:ascii="Times New Roman" w:hAnsi="Times New Roman" w:cs="Times New Roman"/>
                <w:spacing w:val="-2"/>
              </w:rPr>
              <w:t>≥97.5</w:t>
            </w:r>
          </w:p>
        </w:tc>
        <w:tc>
          <w:tcPr>
            <w:tcW w:w="647" w:type="pct"/>
            <w:shd w:val="clear" w:color="auto" w:fill="auto"/>
            <w:vAlign w:val="center"/>
          </w:tcPr>
          <w:p w14:paraId="65B9F860">
            <w:pPr>
              <w:pStyle w:val="192"/>
              <w:rPr>
                <w:rFonts w:hint="default" w:ascii="Times New Roman" w:hAnsi="Times New Roman" w:cs="Times New Roman"/>
                <w:spacing w:val="-2"/>
              </w:rPr>
            </w:pPr>
            <w:r>
              <w:rPr>
                <w:rFonts w:hint="default" w:ascii="Times New Roman" w:hAnsi="Times New Roman" w:cs="Times New Roman"/>
                <w:spacing w:val="-2"/>
              </w:rPr>
              <w:t>T0607</w:t>
            </w:r>
          </w:p>
        </w:tc>
      </w:tr>
      <w:tr w14:paraId="66C2E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continue"/>
            <w:shd w:val="clear" w:color="auto" w:fill="auto"/>
            <w:vAlign w:val="center"/>
          </w:tcPr>
          <w:p w14:paraId="372407B3">
            <w:pPr>
              <w:pStyle w:val="192"/>
              <w:rPr>
                <w:rFonts w:hint="default" w:ascii="Times New Roman" w:hAnsi="Times New Roman" w:cs="Times New Roman"/>
                <w:spacing w:val="-2"/>
              </w:rPr>
            </w:pPr>
          </w:p>
        </w:tc>
        <w:tc>
          <w:tcPr>
            <w:tcW w:w="1776" w:type="pct"/>
            <w:shd w:val="clear" w:color="auto" w:fill="auto"/>
            <w:vAlign w:val="center"/>
          </w:tcPr>
          <w:p w14:paraId="7C482222">
            <w:pPr>
              <w:pStyle w:val="192"/>
              <w:rPr>
                <w:rFonts w:hint="default" w:ascii="Times New Roman" w:hAnsi="Times New Roman" w:cs="Times New Roman"/>
                <w:spacing w:val="-2"/>
              </w:rPr>
            </w:pPr>
            <w:r>
              <w:rPr>
                <w:rFonts w:hint="default" w:ascii="Times New Roman" w:hAnsi="Times New Roman" w:cs="Times New Roman"/>
                <w:spacing w:val="-2"/>
              </w:rPr>
              <w:t>25℃弹性恢复 （%）</w:t>
            </w:r>
          </w:p>
        </w:tc>
        <w:tc>
          <w:tcPr>
            <w:tcW w:w="1615" w:type="pct"/>
            <w:shd w:val="clear" w:color="auto" w:fill="auto"/>
            <w:vAlign w:val="center"/>
          </w:tcPr>
          <w:p w14:paraId="765276D2">
            <w:pPr>
              <w:pStyle w:val="192"/>
              <w:rPr>
                <w:rFonts w:hint="default" w:ascii="Times New Roman" w:hAnsi="Times New Roman" w:cs="Times New Roman"/>
                <w:spacing w:val="-2"/>
              </w:rPr>
            </w:pPr>
            <w:r>
              <w:rPr>
                <w:rFonts w:hint="default" w:ascii="Times New Roman" w:hAnsi="Times New Roman" w:cs="Times New Roman"/>
                <w:spacing w:val="-2"/>
              </w:rPr>
              <w:t>≥95</w:t>
            </w:r>
          </w:p>
        </w:tc>
        <w:tc>
          <w:tcPr>
            <w:tcW w:w="647" w:type="pct"/>
            <w:shd w:val="clear" w:color="auto" w:fill="auto"/>
            <w:vAlign w:val="center"/>
          </w:tcPr>
          <w:p w14:paraId="54A55BE3">
            <w:pPr>
              <w:pStyle w:val="192"/>
              <w:rPr>
                <w:rFonts w:hint="default" w:ascii="Times New Roman" w:hAnsi="Times New Roman" w:cs="Times New Roman"/>
                <w:spacing w:val="-2"/>
              </w:rPr>
            </w:pPr>
            <w:r>
              <w:rPr>
                <w:rFonts w:hint="default" w:ascii="Times New Roman" w:hAnsi="Times New Roman" w:cs="Times New Roman"/>
                <w:spacing w:val="-2"/>
              </w:rPr>
              <w:t>T0662</w:t>
            </w:r>
          </w:p>
        </w:tc>
      </w:tr>
      <w:tr w14:paraId="03F12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continue"/>
            <w:shd w:val="clear" w:color="auto" w:fill="auto"/>
            <w:vAlign w:val="center"/>
          </w:tcPr>
          <w:p w14:paraId="5E5323CD">
            <w:pPr>
              <w:pStyle w:val="192"/>
              <w:rPr>
                <w:rFonts w:hint="default" w:ascii="Times New Roman" w:hAnsi="Times New Roman" w:cs="Times New Roman"/>
                <w:spacing w:val="-2"/>
              </w:rPr>
            </w:pPr>
          </w:p>
        </w:tc>
        <w:tc>
          <w:tcPr>
            <w:tcW w:w="1776" w:type="pct"/>
            <w:shd w:val="clear" w:color="auto" w:fill="auto"/>
            <w:vAlign w:val="center"/>
          </w:tcPr>
          <w:p w14:paraId="3691548D">
            <w:pPr>
              <w:pStyle w:val="192"/>
              <w:rPr>
                <w:rFonts w:hint="default" w:ascii="Times New Roman" w:hAnsi="Times New Roman" w:cs="Times New Roman"/>
                <w:spacing w:val="-2"/>
              </w:rPr>
            </w:pPr>
            <w:r>
              <w:rPr>
                <w:rFonts w:hint="default" w:ascii="Times New Roman" w:hAnsi="Times New Roman" w:cs="Times New Roman"/>
                <w:spacing w:val="-2"/>
              </w:rPr>
              <w:t>60℃动力黏度（Pa·s）</w:t>
            </w:r>
          </w:p>
        </w:tc>
        <w:tc>
          <w:tcPr>
            <w:tcW w:w="1615" w:type="pct"/>
            <w:shd w:val="clear" w:color="auto" w:fill="auto"/>
            <w:vAlign w:val="center"/>
          </w:tcPr>
          <w:p w14:paraId="00658057">
            <w:pPr>
              <w:pStyle w:val="192"/>
              <w:rPr>
                <w:rFonts w:hint="default" w:ascii="Times New Roman" w:hAnsi="Times New Roman" w:cs="Times New Roman"/>
                <w:spacing w:val="-2"/>
              </w:rPr>
            </w:pPr>
            <w:r>
              <w:rPr>
                <w:rFonts w:hint="default" w:ascii="Times New Roman" w:hAnsi="Times New Roman" w:cs="Times New Roman"/>
                <w:spacing w:val="-2"/>
              </w:rPr>
              <w:t>≥70000</w:t>
            </w:r>
          </w:p>
        </w:tc>
        <w:tc>
          <w:tcPr>
            <w:tcW w:w="647" w:type="pct"/>
            <w:shd w:val="clear" w:color="auto" w:fill="auto"/>
            <w:vAlign w:val="center"/>
          </w:tcPr>
          <w:p w14:paraId="50F93849">
            <w:pPr>
              <w:pStyle w:val="192"/>
              <w:rPr>
                <w:rFonts w:hint="default" w:ascii="Times New Roman" w:hAnsi="Times New Roman" w:cs="Times New Roman"/>
                <w:spacing w:val="-2"/>
              </w:rPr>
            </w:pPr>
            <w:r>
              <w:rPr>
                <w:rFonts w:hint="default" w:ascii="Times New Roman" w:hAnsi="Times New Roman" w:cs="Times New Roman"/>
                <w:spacing w:val="-2"/>
              </w:rPr>
              <w:t>T0620</w:t>
            </w:r>
          </w:p>
        </w:tc>
      </w:tr>
      <w:tr w14:paraId="41258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restart"/>
            <w:shd w:val="clear" w:color="auto" w:fill="auto"/>
            <w:vAlign w:val="center"/>
          </w:tcPr>
          <w:p w14:paraId="55AE98BF">
            <w:pPr>
              <w:pStyle w:val="192"/>
              <w:rPr>
                <w:rFonts w:hint="default" w:ascii="Times New Roman" w:hAnsi="Times New Roman" w:cs="Times New Roman"/>
                <w:spacing w:val="-2"/>
              </w:rPr>
            </w:pPr>
            <w:r>
              <w:rPr>
                <w:rFonts w:hint="default" w:ascii="Times New Roman" w:hAnsi="Times New Roman" w:cs="Times New Roman"/>
                <w:spacing w:val="-2"/>
              </w:rPr>
              <w:t xml:space="preserve">储存稳定性 </w:t>
            </w:r>
          </w:p>
        </w:tc>
        <w:tc>
          <w:tcPr>
            <w:tcW w:w="1776" w:type="pct"/>
            <w:shd w:val="clear" w:color="auto" w:fill="auto"/>
            <w:vAlign w:val="center"/>
          </w:tcPr>
          <w:p w14:paraId="2626AF34">
            <w:pPr>
              <w:pStyle w:val="192"/>
              <w:rPr>
                <w:rFonts w:hint="default" w:ascii="Times New Roman" w:hAnsi="Times New Roman" w:cs="Times New Roman"/>
                <w:spacing w:val="-2"/>
              </w:rPr>
            </w:pPr>
            <w:r>
              <w:rPr>
                <w:rFonts w:hint="default" w:ascii="Times New Roman" w:hAnsi="Times New Roman" w:cs="Times New Roman"/>
                <w:spacing w:val="-2"/>
              </w:rPr>
              <w:t>24h（%）</w:t>
            </w:r>
          </w:p>
        </w:tc>
        <w:tc>
          <w:tcPr>
            <w:tcW w:w="1615" w:type="pct"/>
            <w:shd w:val="clear" w:color="auto" w:fill="auto"/>
            <w:vAlign w:val="center"/>
          </w:tcPr>
          <w:p w14:paraId="351C333C">
            <w:pPr>
              <w:pStyle w:val="192"/>
              <w:rPr>
                <w:rFonts w:hint="default" w:ascii="Times New Roman" w:hAnsi="Times New Roman" w:cs="Times New Roman"/>
                <w:spacing w:val="-2"/>
              </w:rPr>
            </w:pPr>
            <w:r>
              <w:rPr>
                <w:rFonts w:hint="default" w:ascii="Times New Roman" w:hAnsi="Times New Roman" w:cs="Times New Roman"/>
                <w:spacing w:val="-2"/>
              </w:rPr>
              <w:t>≤1</w:t>
            </w:r>
          </w:p>
        </w:tc>
        <w:tc>
          <w:tcPr>
            <w:tcW w:w="647" w:type="pct"/>
            <w:shd w:val="clear" w:color="auto" w:fill="auto"/>
            <w:vAlign w:val="center"/>
          </w:tcPr>
          <w:p w14:paraId="15E65A5E">
            <w:pPr>
              <w:pStyle w:val="192"/>
              <w:rPr>
                <w:rFonts w:hint="default" w:ascii="Times New Roman" w:hAnsi="Times New Roman" w:cs="Times New Roman"/>
                <w:spacing w:val="-2"/>
              </w:rPr>
            </w:pPr>
            <w:r>
              <w:rPr>
                <w:rFonts w:hint="default" w:ascii="Times New Roman" w:hAnsi="Times New Roman" w:cs="Times New Roman"/>
                <w:spacing w:val="-2"/>
              </w:rPr>
              <w:t>T0655</w:t>
            </w:r>
          </w:p>
        </w:tc>
      </w:tr>
      <w:tr w14:paraId="2346E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pct"/>
            <w:vMerge w:val="continue"/>
            <w:shd w:val="clear" w:color="auto" w:fill="auto"/>
            <w:vAlign w:val="center"/>
          </w:tcPr>
          <w:p w14:paraId="58829E16">
            <w:pPr>
              <w:pStyle w:val="192"/>
              <w:rPr>
                <w:rFonts w:hint="default" w:ascii="Times New Roman" w:hAnsi="Times New Roman" w:cs="Times New Roman"/>
                <w:spacing w:val="-2"/>
              </w:rPr>
            </w:pPr>
          </w:p>
        </w:tc>
        <w:tc>
          <w:tcPr>
            <w:tcW w:w="1776" w:type="pct"/>
            <w:shd w:val="clear" w:color="auto" w:fill="auto"/>
            <w:vAlign w:val="center"/>
          </w:tcPr>
          <w:p w14:paraId="25F7913A">
            <w:pPr>
              <w:pStyle w:val="192"/>
              <w:rPr>
                <w:rFonts w:hint="default" w:ascii="Times New Roman" w:hAnsi="Times New Roman" w:cs="Times New Roman"/>
                <w:spacing w:val="-2"/>
              </w:rPr>
            </w:pPr>
            <w:r>
              <w:rPr>
                <w:rFonts w:hint="default" w:ascii="Times New Roman" w:hAnsi="Times New Roman" w:cs="Times New Roman"/>
                <w:spacing w:val="-2"/>
              </w:rPr>
              <w:t>5d（%）</w:t>
            </w:r>
          </w:p>
        </w:tc>
        <w:tc>
          <w:tcPr>
            <w:tcW w:w="1615" w:type="pct"/>
            <w:shd w:val="clear" w:color="auto" w:fill="auto"/>
            <w:vAlign w:val="center"/>
          </w:tcPr>
          <w:p w14:paraId="258B32BE">
            <w:pPr>
              <w:pStyle w:val="192"/>
              <w:rPr>
                <w:rFonts w:hint="default" w:ascii="Times New Roman" w:hAnsi="Times New Roman" w:cs="Times New Roman"/>
                <w:spacing w:val="-2"/>
              </w:rPr>
            </w:pPr>
            <w:r>
              <w:rPr>
                <w:rFonts w:hint="default" w:ascii="Times New Roman" w:hAnsi="Times New Roman" w:cs="Times New Roman"/>
                <w:spacing w:val="-2"/>
              </w:rPr>
              <w:t>≤5</w:t>
            </w:r>
          </w:p>
        </w:tc>
        <w:tc>
          <w:tcPr>
            <w:tcW w:w="647" w:type="pct"/>
            <w:shd w:val="clear" w:color="auto" w:fill="auto"/>
            <w:vAlign w:val="center"/>
          </w:tcPr>
          <w:p w14:paraId="6826603D">
            <w:pPr>
              <w:pStyle w:val="192"/>
              <w:rPr>
                <w:rFonts w:hint="default" w:ascii="Times New Roman" w:hAnsi="Times New Roman" w:cs="Times New Roman"/>
                <w:spacing w:val="-2"/>
              </w:rPr>
            </w:pPr>
            <w:r>
              <w:rPr>
                <w:rFonts w:hint="default" w:ascii="Times New Roman" w:hAnsi="Times New Roman" w:cs="Times New Roman"/>
                <w:spacing w:val="-2"/>
              </w:rPr>
              <w:t>T0655</w:t>
            </w:r>
          </w:p>
        </w:tc>
      </w:tr>
      <w:bookmarkEnd w:id="36"/>
    </w:tbl>
    <w:p w14:paraId="001D93C8">
      <w:pPr>
        <w:pStyle w:val="49"/>
        <w:numPr>
          <w:ilvl w:val="1"/>
          <w:numId w:val="20"/>
        </w:numPr>
        <w:spacing w:beforeLines="0" w:afterLines="0" w:line="360" w:lineRule="auto"/>
        <w:ind w:left="0" w:firstLine="0"/>
        <w:outlineLvl w:val="1"/>
        <w:rPr>
          <w:rFonts w:hint="default" w:ascii="Times New Roman" w:hAnsi="Times New Roman" w:eastAsia="宋体" w:cs="Times New Roman"/>
          <w:b/>
          <w:bCs/>
          <w:sz w:val="24"/>
        </w:rPr>
      </w:pPr>
      <w:bookmarkStart w:id="37" w:name="_Toc29626"/>
      <w:r>
        <w:rPr>
          <w:rFonts w:hint="default" w:ascii="Times New Roman" w:hAnsi="Times New Roman" w:eastAsia="宋体" w:cs="Times New Roman"/>
          <w:b/>
          <w:bCs/>
          <w:sz w:val="24"/>
        </w:rPr>
        <w:t>沥青混合料回收料（RAP）</w:t>
      </w:r>
      <w:bookmarkEnd w:id="37"/>
    </w:p>
    <w:p w14:paraId="16D8CB3F">
      <w:pPr>
        <w:numPr>
          <w:ilvl w:val="2"/>
          <w:numId w:val="20"/>
        </w:numPr>
        <w:spacing w:line="360" w:lineRule="auto"/>
        <w:ind w:left="0" w:firstLine="240" w:firstLineChars="100"/>
        <w:rPr>
          <w:rFonts w:hint="default" w:ascii="Times New Roman" w:hAnsi="Times New Roman" w:cs="Times New Roman"/>
          <w:kern w:val="0"/>
          <w:sz w:val="24"/>
        </w:rPr>
      </w:pPr>
      <w:r>
        <w:rPr>
          <w:rFonts w:hint="default" w:ascii="Times New Roman" w:hAnsi="Times New Roman" w:cs="Times New Roman"/>
          <w:kern w:val="0"/>
          <w:sz w:val="24"/>
        </w:rPr>
        <w:t>全再生薄层罩面混合料应采用经预处理筛分后规格为5mm~10mm或5mm~15mm单档沥青混合料回收料（RAP）。应选用SMA-13或改性AC-13沥青混合料回收料。</w:t>
      </w:r>
    </w:p>
    <w:p w14:paraId="7DCDC9E7">
      <w:pPr>
        <w:numPr>
          <w:ilvl w:val="2"/>
          <w:numId w:val="20"/>
        </w:numPr>
        <w:spacing w:line="360" w:lineRule="auto"/>
        <w:ind w:left="0" w:firstLine="240" w:firstLineChars="100"/>
        <w:rPr>
          <w:rFonts w:hint="default" w:ascii="Times New Roman" w:hAnsi="Times New Roman" w:cs="Times New Roman"/>
          <w:kern w:val="0"/>
          <w:sz w:val="24"/>
        </w:rPr>
      </w:pPr>
      <w:r>
        <w:rPr>
          <w:rFonts w:hint="default" w:ascii="Times New Roman" w:hAnsi="Times New Roman" w:cs="Times New Roman"/>
          <w:kern w:val="0"/>
          <w:sz w:val="24"/>
        </w:rPr>
        <w:t>沥青混合料回收料（RAP）破碎筛分级配4.75mm筛孔通过率不应大于25%。对于不满足级配要求的，可重新过4.75mm筛后再次测级配，仍不满足的不应使用。</w:t>
      </w:r>
    </w:p>
    <w:p w14:paraId="09BB189B">
      <w:pPr>
        <w:numPr>
          <w:ilvl w:val="2"/>
          <w:numId w:val="20"/>
        </w:numPr>
        <w:spacing w:line="360" w:lineRule="auto"/>
        <w:ind w:left="0" w:firstLine="240" w:firstLineChars="100"/>
        <w:rPr>
          <w:rFonts w:hint="default" w:ascii="Times New Roman" w:hAnsi="Times New Roman" w:cs="Times New Roman"/>
          <w:kern w:val="0"/>
          <w:sz w:val="24"/>
        </w:rPr>
      </w:pPr>
      <w:r>
        <w:rPr>
          <w:rFonts w:hint="default" w:ascii="Times New Roman" w:hAnsi="Times New Roman" w:cs="Times New Roman"/>
          <w:kern w:val="0"/>
          <w:sz w:val="24"/>
        </w:rPr>
        <w:t>全再生薄层罩面混合料设计前应按表5.4.3测试沥青混合料回收料（RAP）技术指标。</w:t>
      </w:r>
    </w:p>
    <w:p w14:paraId="69ABA795">
      <w:pPr>
        <w:pStyle w:val="190"/>
        <w:rPr>
          <w:rFonts w:hint="default" w:ascii="Times New Roman" w:hAnsi="Times New Roman" w:eastAsia="黑体" w:cs="Times New Roman"/>
          <w:b/>
          <w:sz w:val="21"/>
          <w:szCs w:val="20"/>
        </w:rPr>
      </w:pPr>
      <w:r>
        <w:rPr>
          <w:rFonts w:hint="default" w:ascii="Times New Roman" w:hAnsi="Times New Roman" w:eastAsia="黑体" w:cs="Times New Roman"/>
          <w:sz w:val="21"/>
          <w:szCs w:val="20"/>
        </w:rPr>
        <w:t>表5.4.3 RAP技术指标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156"/>
        <w:gridCol w:w="1979"/>
        <w:gridCol w:w="2201"/>
      </w:tblGrid>
      <w:tr w14:paraId="55126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shd w:val="clear" w:color="auto" w:fill="auto"/>
            <w:vAlign w:val="center"/>
          </w:tcPr>
          <w:p w14:paraId="7948ECF6">
            <w:pPr>
              <w:pStyle w:val="192"/>
              <w:rPr>
                <w:rFonts w:hint="default" w:ascii="Times New Roman" w:hAnsi="Times New Roman" w:cs="Times New Roman"/>
                <w:spacing w:val="-2"/>
                <w:szCs w:val="18"/>
              </w:rPr>
            </w:pPr>
            <w:r>
              <w:rPr>
                <w:rFonts w:hint="default" w:ascii="Times New Roman" w:hAnsi="Times New Roman" w:cs="Times New Roman"/>
                <w:spacing w:val="-2"/>
                <w:szCs w:val="18"/>
              </w:rPr>
              <w:t>材料</w:t>
            </w:r>
          </w:p>
        </w:tc>
        <w:tc>
          <w:tcPr>
            <w:tcW w:w="1187" w:type="pct"/>
            <w:shd w:val="clear" w:color="auto" w:fill="auto"/>
            <w:vAlign w:val="center"/>
          </w:tcPr>
          <w:p w14:paraId="06E48F4A">
            <w:pPr>
              <w:pStyle w:val="192"/>
              <w:rPr>
                <w:rFonts w:hint="default" w:ascii="Times New Roman" w:hAnsi="Times New Roman" w:cs="Times New Roman"/>
                <w:spacing w:val="-2"/>
                <w:szCs w:val="18"/>
              </w:rPr>
            </w:pPr>
            <w:r>
              <w:rPr>
                <w:rFonts w:hint="default" w:ascii="Times New Roman" w:hAnsi="Times New Roman" w:cs="Times New Roman"/>
                <w:spacing w:val="-2"/>
                <w:szCs w:val="18"/>
              </w:rPr>
              <w:t>检测项目</w:t>
            </w:r>
          </w:p>
        </w:tc>
        <w:tc>
          <w:tcPr>
            <w:tcW w:w="1320" w:type="pct"/>
            <w:shd w:val="clear" w:color="auto" w:fill="auto"/>
            <w:vAlign w:val="center"/>
          </w:tcPr>
          <w:p w14:paraId="0959CCCC">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14:paraId="3AEFE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restart"/>
            <w:shd w:val="clear" w:color="auto" w:fill="auto"/>
            <w:vAlign w:val="center"/>
          </w:tcPr>
          <w:p w14:paraId="3E645B96">
            <w:pPr>
              <w:pStyle w:val="192"/>
              <w:rPr>
                <w:rFonts w:hint="default" w:ascii="Times New Roman" w:hAnsi="Times New Roman" w:cs="Times New Roman"/>
                <w:spacing w:val="-2"/>
                <w:szCs w:val="18"/>
              </w:rPr>
            </w:pPr>
            <w:r>
              <w:rPr>
                <w:rFonts w:hint="default" w:ascii="Times New Roman" w:hAnsi="Times New Roman" w:cs="Times New Roman"/>
                <w:spacing w:val="-2"/>
                <w:szCs w:val="18"/>
              </w:rPr>
              <w:t>预处理后的RAP</w:t>
            </w:r>
          </w:p>
        </w:tc>
        <w:tc>
          <w:tcPr>
            <w:tcW w:w="1187" w:type="pct"/>
            <w:shd w:val="clear" w:color="auto" w:fill="auto"/>
            <w:vAlign w:val="center"/>
          </w:tcPr>
          <w:p w14:paraId="2CB538D2">
            <w:pPr>
              <w:pStyle w:val="192"/>
              <w:rPr>
                <w:rFonts w:hint="default" w:ascii="Times New Roman" w:hAnsi="Times New Roman" w:cs="Times New Roman"/>
                <w:spacing w:val="-2"/>
                <w:szCs w:val="18"/>
              </w:rPr>
            </w:pPr>
            <w:r>
              <w:rPr>
                <w:rFonts w:hint="default" w:ascii="Times New Roman" w:hAnsi="Times New Roman" w:cs="Times New Roman"/>
                <w:spacing w:val="-2"/>
                <w:szCs w:val="18"/>
              </w:rPr>
              <w:t>含水率</w:t>
            </w:r>
          </w:p>
        </w:tc>
        <w:tc>
          <w:tcPr>
            <w:tcW w:w="1320" w:type="pct"/>
            <w:vMerge w:val="restart"/>
            <w:shd w:val="clear" w:color="auto" w:fill="auto"/>
            <w:vAlign w:val="center"/>
          </w:tcPr>
          <w:p w14:paraId="3F51A9E7">
            <w:pPr>
              <w:pStyle w:val="192"/>
              <w:rPr>
                <w:rFonts w:hint="default" w:ascii="Times New Roman" w:hAnsi="Times New Roman" w:cs="Times New Roman"/>
                <w:spacing w:val="-2"/>
                <w:szCs w:val="18"/>
              </w:rPr>
            </w:pPr>
            <w:r>
              <w:rPr>
                <w:rFonts w:hint="default" w:ascii="Times New Roman" w:hAnsi="Times New Roman" w:cs="Times New Roman"/>
                <w:spacing w:val="-2"/>
                <w:szCs w:val="18"/>
              </w:rPr>
              <w:t>JTG 5521</w:t>
            </w:r>
          </w:p>
        </w:tc>
      </w:tr>
      <w:tr w14:paraId="07028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continue"/>
            <w:shd w:val="clear" w:color="auto" w:fill="auto"/>
            <w:vAlign w:val="center"/>
          </w:tcPr>
          <w:p w14:paraId="29A4AE90">
            <w:pPr>
              <w:pStyle w:val="192"/>
              <w:rPr>
                <w:rFonts w:hint="default" w:ascii="Times New Roman" w:hAnsi="Times New Roman" w:cs="Times New Roman"/>
                <w:spacing w:val="-2"/>
                <w:szCs w:val="18"/>
              </w:rPr>
            </w:pPr>
          </w:p>
        </w:tc>
        <w:tc>
          <w:tcPr>
            <w:tcW w:w="1187" w:type="pct"/>
            <w:shd w:val="clear" w:color="auto" w:fill="auto"/>
            <w:vAlign w:val="center"/>
          </w:tcPr>
          <w:p w14:paraId="2DC99F22">
            <w:pPr>
              <w:pStyle w:val="192"/>
              <w:rPr>
                <w:rFonts w:hint="default" w:ascii="Times New Roman" w:hAnsi="Times New Roman" w:cs="Times New Roman"/>
                <w:spacing w:val="-2"/>
                <w:szCs w:val="18"/>
              </w:rPr>
            </w:pPr>
            <w:r>
              <w:rPr>
                <w:rFonts w:hint="default" w:ascii="Times New Roman" w:hAnsi="Times New Roman" w:cs="Times New Roman"/>
                <w:spacing w:val="-2"/>
                <w:szCs w:val="18"/>
              </w:rPr>
              <w:t>沥青含量</w:t>
            </w:r>
          </w:p>
        </w:tc>
        <w:tc>
          <w:tcPr>
            <w:tcW w:w="1320" w:type="pct"/>
            <w:vMerge w:val="continue"/>
            <w:shd w:val="clear" w:color="auto" w:fill="auto"/>
            <w:vAlign w:val="center"/>
          </w:tcPr>
          <w:p w14:paraId="2AEAA682">
            <w:pPr>
              <w:pStyle w:val="192"/>
              <w:rPr>
                <w:rFonts w:hint="default" w:ascii="Times New Roman" w:hAnsi="Times New Roman" w:cs="Times New Roman"/>
                <w:spacing w:val="-2"/>
                <w:szCs w:val="18"/>
              </w:rPr>
            </w:pPr>
          </w:p>
        </w:tc>
      </w:tr>
      <w:tr w14:paraId="72EE3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continue"/>
            <w:shd w:val="clear" w:color="auto" w:fill="auto"/>
            <w:vAlign w:val="center"/>
          </w:tcPr>
          <w:p w14:paraId="2059401D">
            <w:pPr>
              <w:pStyle w:val="192"/>
              <w:rPr>
                <w:rFonts w:hint="default" w:ascii="Times New Roman" w:hAnsi="Times New Roman" w:cs="Times New Roman"/>
                <w:spacing w:val="-2"/>
                <w:szCs w:val="18"/>
              </w:rPr>
            </w:pPr>
          </w:p>
        </w:tc>
        <w:tc>
          <w:tcPr>
            <w:tcW w:w="1187" w:type="pct"/>
            <w:shd w:val="clear" w:color="auto" w:fill="auto"/>
            <w:vAlign w:val="center"/>
          </w:tcPr>
          <w:p w14:paraId="0630F489">
            <w:pPr>
              <w:pStyle w:val="192"/>
              <w:rPr>
                <w:rFonts w:hint="default" w:ascii="Times New Roman" w:hAnsi="Times New Roman" w:cs="Times New Roman"/>
                <w:spacing w:val="-2"/>
                <w:szCs w:val="18"/>
              </w:rPr>
            </w:pPr>
            <w:r>
              <w:rPr>
                <w:rFonts w:hint="default" w:ascii="Times New Roman" w:hAnsi="Times New Roman" w:cs="Times New Roman"/>
                <w:spacing w:val="-2"/>
                <w:szCs w:val="18"/>
              </w:rPr>
              <w:t>RAP破碎筛分级配</w:t>
            </w:r>
          </w:p>
        </w:tc>
        <w:tc>
          <w:tcPr>
            <w:tcW w:w="1320" w:type="pct"/>
            <w:vMerge w:val="continue"/>
            <w:shd w:val="clear" w:color="auto" w:fill="auto"/>
            <w:vAlign w:val="center"/>
          </w:tcPr>
          <w:p w14:paraId="1F21E8D7">
            <w:pPr>
              <w:pStyle w:val="192"/>
              <w:rPr>
                <w:rFonts w:hint="default" w:ascii="Times New Roman" w:hAnsi="Times New Roman" w:cs="Times New Roman"/>
                <w:spacing w:val="-2"/>
                <w:szCs w:val="18"/>
              </w:rPr>
            </w:pPr>
          </w:p>
        </w:tc>
      </w:tr>
      <w:tr w14:paraId="78EC8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continue"/>
            <w:shd w:val="clear" w:color="auto" w:fill="auto"/>
            <w:vAlign w:val="center"/>
          </w:tcPr>
          <w:p w14:paraId="37744A58">
            <w:pPr>
              <w:pStyle w:val="192"/>
              <w:rPr>
                <w:rFonts w:hint="default" w:ascii="Times New Roman" w:hAnsi="Times New Roman" w:cs="Times New Roman"/>
                <w:spacing w:val="-2"/>
                <w:szCs w:val="18"/>
              </w:rPr>
            </w:pPr>
          </w:p>
        </w:tc>
        <w:tc>
          <w:tcPr>
            <w:tcW w:w="1187" w:type="pct"/>
            <w:shd w:val="clear" w:color="auto" w:fill="auto"/>
            <w:vAlign w:val="center"/>
          </w:tcPr>
          <w:p w14:paraId="6B9C793B">
            <w:pPr>
              <w:pStyle w:val="192"/>
              <w:rPr>
                <w:rFonts w:hint="default" w:ascii="Times New Roman" w:hAnsi="Times New Roman" w:cs="Times New Roman"/>
                <w:spacing w:val="-2"/>
                <w:szCs w:val="18"/>
              </w:rPr>
            </w:pPr>
            <w:r>
              <w:rPr>
                <w:rFonts w:hint="default" w:ascii="Times New Roman" w:hAnsi="Times New Roman" w:cs="Times New Roman"/>
                <w:spacing w:val="-2"/>
                <w:szCs w:val="18"/>
              </w:rPr>
              <w:t>RAP矿料级配</w:t>
            </w:r>
          </w:p>
        </w:tc>
        <w:tc>
          <w:tcPr>
            <w:tcW w:w="1320" w:type="pct"/>
            <w:vMerge w:val="continue"/>
            <w:shd w:val="clear" w:color="auto" w:fill="auto"/>
            <w:vAlign w:val="center"/>
          </w:tcPr>
          <w:p w14:paraId="6CE3C43E">
            <w:pPr>
              <w:pStyle w:val="192"/>
              <w:rPr>
                <w:rFonts w:hint="default" w:ascii="Times New Roman" w:hAnsi="Times New Roman" w:cs="Times New Roman"/>
                <w:spacing w:val="-2"/>
                <w:szCs w:val="18"/>
              </w:rPr>
            </w:pPr>
          </w:p>
        </w:tc>
      </w:tr>
      <w:tr w14:paraId="1C80C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restart"/>
            <w:shd w:val="clear" w:color="auto" w:fill="auto"/>
            <w:vAlign w:val="center"/>
          </w:tcPr>
          <w:p w14:paraId="2405B479">
            <w:pPr>
              <w:pStyle w:val="192"/>
              <w:rPr>
                <w:rFonts w:hint="default" w:ascii="Times New Roman" w:hAnsi="Times New Roman" w:cs="Times New Roman"/>
                <w:spacing w:val="-2"/>
                <w:szCs w:val="18"/>
              </w:rPr>
            </w:pPr>
            <w:r>
              <w:rPr>
                <w:rFonts w:hint="default" w:ascii="Times New Roman" w:hAnsi="Times New Roman" w:cs="Times New Roman"/>
                <w:spacing w:val="-2"/>
                <w:szCs w:val="18"/>
              </w:rPr>
              <w:t>RAP中的沥青</w:t>
            </w:r>
          </w:p>
        </w:tc>
        <w:tc>
          <w:tcPr>
            <w:tcW w:w="1187" w:type="pct"/>
            <w:shd w:val="clear" w:color="auto" w:fill="auto"/>
            <w:vAlign w:val="center"/>
          </w:tcPr>
          <w:p w14:paraId="57F33374">
            <w:pPr>
              <w:pStyle w:val="192"/>
              <w:rPr>
                <w:rFonts w:hint="default" w:ascii="Times New Roman" w:hAnsi="Times New Roman" w:cs="Times New Roman"/>
                <w:spacing w:val="-2"/>
                <w:szCs w:val="18"/>
              </w:rPr>
            </w:pPr>
            <w:r>
              <w:rPr>
                <w:rFonts w:hint="default" w:ascii="Times New Roman" w:hAnsi="Times New Roman" w:cs="Times New Roman"/>
                <w:spacing w:val="-2"/>
                <w:szCs w:val="18"/>
              </w:rPr>
              <w:t>25℃针入度</w:t>
            </w:r>
          </w:p>
        </w:tc>
        <w:tc>
          <w:tcPr>
            <w:tcW w:w="1320" w:type="pct"/>
            <w:vMerge w:val="restart"/>
            <w:shd w:val="clear" w:color="auto" w:fill="auto"/>
            <w:vAlign w:val="center"/>
          </w:tcPr>
          <w:p w14:paraId="2809D6C3">
            <w:pPr>
              <w:pStyle w:val="192"/>
              <w:rPr>
                <w:rFonts w:hint="default" w:ascii="Times New Roman" w:hAnsi="Times New Roman" w:cs="Times New Roman"/>
                <w:spacing w:val="-2"/>
                <w:szCs w:val="18"/>
              </w:rPr>
            </w:pPr>
            <w:r>
              <w:rPr>
                <w:rFonts w:hint="default" w:ascii="Times New Roman" w:hAnsi="Times New Roman" w:cs="Times New Roman"/>
                <w:spacing w:val="-2"/>
                <w:szCs w:val="18"/>
              </w:rPr>
              <w:t>抽提，《公路工程沥青及沥青混合料试验规程》（JTG E20）</w:t>
            </w:r>
          </w:p>
        </w:tc>
      </w:tr>
      <w:tr w14:paraId="41002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continue"/>
            <w:shd w:val="clear" w:color="auto" w:fill="auto"/>
            <w:vAlign w:val="center"/>
          </w:tcPr>
          <w:p w14:paraId="13542616">
            <w:pPr>
              <w:pStyle w:val="192"/>
              <w:rPr>
                <w:rFonts w:hint="default" w:ascii="Times New Roman" w:hAnsi="Times New Roman" w:cs="Times New Roman"/>
                <w:spacing w:val="-2"/>
                <w:szCs w:val="18"/>
              </w:rPr>
            </w:pPr>
          </w:p>
        </w:tc>
        <w:tc>
          <w:tcPr>
            <w:tcW w:w="1187" w:type="pct"/>
            <w:shd w:val="clear" w:color="auto" w:fill="auto"/>
            <w:vAlign w:val="center"/>
          </w:tcPr>
          <w:p w14:paraId="787D9407">
            <w:pPr>
              <w:pStyle w:val="192"/>
              <w:rPr>
                <w:rFonts w:hint="default" w:ascii="Times New Roman" w:hAnsi="Times New Roman" w:cs="Times New Roman"/>
                <w:spacing w:val="-2"/>
                <w:szCs w:val="18"/>
              </w:rPr>
            </w:pPr>
            <w:r>
              <w:rPr>
                <w:rFonts w:hint="default" w:ascii="Times New Roman" w:hAnsi="Times New Roman" w:cs="Times New Roman"/>
                <w:spacing w:val="-2"/>
                <w:szCs w:val="18"/>
              </w:rPr>
              <w:t>15℃延度</w:t>
            </w:r>
          </w:p>
        </w:tc>
        <w:tc>
          <w:tcPr>
            <w:tcW w:w="1320" w:type="pct"/>
            <w:vMerge w:val="continue"/>
            <w:shd w:val="clear" w:color="auto" w:fill="auto"/>
            <w:vAlign w:val="center"/>
          </w:tcPr>
          <w:p w14:paraId="04A4CAAE">
            <w:pPr>
              <w:pStyle w:val="192"/>
              <w:rPr>
                <w:rFonts w:hint="default" w:ascii="Times New Roman" w:hAnsi="Times New Roman" w:cs="Times New Roman"/>
                <w:spacing w:val="-2"/>
                <w:szCs w:val="18"/>
              </w:rPr>
            </w:pPr>
          </w:p>
        </w:tc>
      </w:tr>
      <w:tr w14:paraId="4FFD6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continue"/>
            <w:shd w:val="clear" w:color="auto" w:fill="auto"/>
            <w:vAlign w:val="center"/>
          </w:tcPr>
          <w:p w14:paraId="3E98B470">
            <w:pPr>
              <w:pStyle w:val="192"/>
              <w:rPr>
                <w:rFonts w:hint="default" w:ascii="Times New Roman" w:hAnsi="Times New Roman" w:cs="Times New Roman"/>
                <w:spacing w:val="-2"/>
                <w:szCs w:val="18"/>
              </w:rPr>
            </w:pPr>
          </w:p>
        </w:tc>
        <w:tc>
          <w:tcPr>
            <w:tcW w:w="1187" w:type="pct"/>
            <w:shd w:val="clear" w:color="auto" w:fill="auto"/>
            <w:vAlign w:val="center"/>
          </w:tcPr>
          <w:p w14:paraId="07F40F27">
            <w:pPr>
              <w:pStyle w:val="192"/>
              <w:rPr>
                <w:rFonts w:hint="default" w:ascii="Times New Roman" w:hAnsi="Times New Roman" w:cs="Times New Roman"/>
                <w:spacing w:val="-2"/>
                <w:szCs w:val="18"/>
              </w:rPr>
            </w:pPr>
            <w:r>
              <w:rPr>
                <w:rFonts w:hint="default" w:ascii="Times New Roman" w:hAnsi="Times New Roman" w:cs="Times New Roman"/>
                <w:szCs w:val="18"/>
              </w:rPr>
              <w:t>弹性恢复率</w:t>
            </w:r>
          </w:p>
        </w:tc>
        <w:tc>
          <w:tcPr>
            <w:tcW w:w="1320" w:type="pct"/>
            <w:vMerge w:val="continue"/>
            <w:shd w:val="clear" w:color="auto" w:fill="auto"/>
            <w:vAlign w:val="center"/>
          </w:tcPr>
          <w:p w14:paraId="38F5FD26">
            <w:pPr>
              <w:pStyle w:val="192"/>
              <w:rPr>
                <w:rFonts w:hint="default" w:ascii="Times New Roman" w:hAnsi="Times New Roman" w:cs="Times New Roman"/>
                <w:spacing w:val="-2"/>
                <w:szCs w:val="18"/>
              </w:rPr>
            </w:pPr>
          </w:p>
        </w:tc>
      </w:tr>
      <w:tr w14:paraId="28AA1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restart"/>
            <w:shd w:val="clear" w:color="auto" w:fill="auto"/>
            <w:vAlign w:val="center"/>
          </w:tcPr>
          <w:p w14:paraId="2152F7CA">
            <w:pPr>
              <w:pStyle w:val="192"/>
              <w:rPr>
                <w:rFonts w:hint="default" w:ascii="Times New Roman" w:hAnsi="Times New Roman" w:cs="Times New Roman"/>
                <w:spacing w:val="-2"/>
                <w:szCs w:val="18"/>
              </w:rPr>
            </w:pPr>
            <w:r>
              <w:rPr>
                <w:rFonts w:hint="default" w:ascii="Times New Roman" w:hAnsi="Times New Roman" w:cs="Times New Roman"/>
                <w:spacing w:val="-2"/>
                <w:szCs w:val="18"/>
              </w:rPr>
              <w:t>RAP中的粗集料</w:t>
            </w:r>
          </w:p>
        </w:tc>
        <w:tc>
          <w:tcPr>
            <w:tcW w:w="1187" w:type="pct"/>
            <w:shd w:val="clear" w:color="auto" w:fill="auto"/>
            <w:vAlign w:val="center"/>
          </w:tcPr>
          <w:p w14:paraId="124EC01A">
            <w:pPr>
              <w:pStyle w:val="192"/>
              <w:rPr>
                <w:rFonts w:hint="default" w:ascii="Times New Roman" w:hAnsi="Times New Roman" w:cs="Times New Roman"/>
                <w:spacing w:val="-2"/>
                <w:szCs w:val="18"/>
              </w:rPr>
            </w:pPr>
            <w:r>
              <w:rPr>
                <w:rFonts w:hint="default" w:ascii="Times New Roman" w:hAnsi="Times New Roman" w:cs="Times New Roman"/>
                <w:spacing w:val="-2"/>
                <w:szCs w:val="18"/>
              </w:rPr>
              <w:t>压碎值</w:t>
            </w:r>
          </w:p>
        </w:tc>
        <w:tc>
          <w:tcPr>
            <w:tcW w:w="1320" w:type="pct"/>
            <w:vMerge w:val="restart"/>
            <w:shd w:val="clear" w:color="auto" w:fill="auto"/>
            <w:vAlign w:val="center"/>
          </w:tcPr>
          <w:p w14:paraId="722C4D9B">
            <w:pPr>
              <w:pStyle w:val="192"/>
              <w:rPr>
                <w:rFonts w:hint="default" w:ascii="Times New Roman" w:hAnsi="Times New Roman" w:cs="Times New Roman"/>
                <w:spacing w:val="-2"/>
                <w:szCs w:val="18"/>
              </w:rPr>
            </w:pPr>
            <w:r>
              <w:rPr>
                <w:rFonts w:hint="default" w:ascii="Times New Roman" w:hAnsi="Times New Roman" w:cs="Times New Roman"/>
                <w:spacing w:val="-2"/>
                <w:szCs w:val="18"/>
              </w:rPr>
              <w:t>抽提*b，《公路工程集料试验规程》（JTG 3432）</w:t>
            </w:r>
          </w:p>
        </w:tc>
      </w:tr>
      <w:tr w14:paraId="0A66F7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93" w:type="pct"/>
            <w:vMerge w:val="continue"/>
            <w:shd w:val="clear" w:color="auto" w:fill="auto"/>
            <w:vAlign w:val="center"/>
          </w:tcPr>
          <w:p w14:paraId="20D824C2">
            <w:pPr>
              <w:pStyle w:val="192"/>
              <w:rPr>
                <w:rFonts w:hint="default" w:ascii="Times New Roman" w:hAnsi="Times New Roman" w:cs="Times New Roman"/>
                <w:spacing w:val="-2"/>
                <w:szCs w:val="18"/>
              </w:rPr>
            </w:pPr>
          </w:p>
        </w:tc>
        <w:tc>
          <w:tcPr>
            <w:tcW w:w="1187" w:type="pct"/>
            <w:shd w:val="clear" w:color="auto" w:fill="auto"/>
            <w:vAlign w:val="center"/>
          </w:tcPr>
          <w:p w14:paraId="67373C8A">
            <w:pPr>
              <w:pStyle w:val="192"/>
              <w:rPr>
                <w:rFonts w:hint="default" w:ascii="Times New Roman" w:hAnsi="Times New Roman" w:cs="Times New Roman"/>
                <w:spacing w:val="-2"/>
                <w:szCs w:val="18"/>
              </w:rPr>
            </w:pPr>
            <w:r>
              <w:rPr>
                <w:rFonts w:hint="default" w:ascii="Times New Roman" w:hAnsi="Times New Roman" w:cs="Times New Roman"/>
                <w:spacing w:val="-2"/>
                <w:szCs w:val="18"/>
              </w:rPr>
              <w:t>针片状颗粒含量</w:t>
            </w:r>
          </w:p>
        </w:tc>
        <w:tc>
          <w:tcPr>
            <w:tcW w:w="1320" w:type="pct"/>
            <w:vMerge w:val="continue"/>
            <w:shd w:val="clear" w:color="auto" w:fill="auto"/>
            <w:vAlign w:val="center"/>
          </w:tcPr>
          <w:p w14:paraId="4D1A70D2">
            <w:pPr>
              <w:pStyle w:val="192"/>
              <w:rPr>
                <w:rFonts w:hint="default" w:ascii="Times New Roman" w:hAnsi="Times New Roman" w:cs="Times New Roman"/>
                <w:spacing w:val="-2"/>
                <w:szCs w:val="18"/>
              </w:rPr>
            </w:pPr>
          </w:p>
        </w:tc>
      </w:tr>
    </w:tbl>
    <w:p w14:paraId="0D00AE15">
      <w:pPr>
        <w:spacing w:line="360" w:lineRule="auto"/>
        <w:ind w:firstLine="480" w:firstLineChars="200"/>
        <w:rPr>
          <w:rFonts w:hint="default" w:ascii="Times New Roman" w:hAnsi="Times New Roman" w:eastAsia="楷体" w:cs="Times New Roman"/>
          <w:sz w:val="24"/>
        </w:rPr>
      </w:pPr>
      <w:r>
        <w:rPr>
          <w:rFonts w:hint="default" w:ascii="Times New Roman" w:hAnsi="Times New Roman" w:eastAsia="楷体" w:cs="Times New Roman"/>
          <w:sz w:val="24"/>
        </w:rPr>
        <w:t>*注：对于燃烧法不会对石质产生破坏的材料，可用燃烧法代替抽提法获取粗集料用于检测。</w:t>
      </w:r>
    </w:p>
    <w:p w14:paraId="6E23007E">
      <w:pPr>
        <w:numPr>
          <w:ilvl w:val="2"/>
          <w:numId w:val="20"/>
        </w:numPr>
        <w:spacing w:line="360" w:lineRule="auto"/>
        <w:ind w:left="0" w:firstLine="240" w:firstLineChars="100"/>
        <w:rPr>
          <w:rFonts w:hint="default" w:ascii="Times New Roman" w:hAnsi="Times New Roman" w:cs="Times New Roman"/>
          <w:kern w:val="0"/>
          <w:sz w:val="24"/>
        </w:rPr>
      </w:pPr>
      <w:r>
        <w:rPr>
          <w:rFonts w:hint="default" w:ascii="Times New Roman" w:hAnsi="Times New Roman" w:cs="Times New Roman"/>
          <w:kern w:val="0"/>
          <w:sz w:val="24"/>
        </w:rPr>
        <w:t>沥青混合料回收料（RAP）应满足表5.4.4所示的技术要求。</w:t>
      </w:r>
    </w:p>
    <w:p w14:paraId="48D6F8E6">
      <w:pPr>
        <w:spacing w:line="360" w:lineRule="auto"/>
        <w:jc w:val="center"/>
        <w:rPr>
          <w:rFonts w:hint="default" w:ascii="Times New Roman" w:hAnsi="Times New Roman" w:eastAsia="黑体" w:cs="Times New Roman"/>
        </w:rPr>
      </w:pPr>
      <w:bookmarkStart w:id="38" w:name="_Hlk187675864"/>
      <w:r>
        <w:rPr>
          <w:rFonts w:hint="default" w:ascii="Times New Roman" w:hAnsi="Times New Roman" w:eastAsia="黑体" w:cs="Times New Roman"/>
        </w:rPr>
        <w:t>表5.4.4 RAP技术要求</w:t>
      </w:r>
    </w:p>
    <w:bookmarkEnd w:id="38"/>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270"/>
        <w:gridCol w:w="2713"/>
        <w:gridCol w:w="1856"/>
        <w:gridCol w:w="1497"/>
      </w:tblGrid>
      <w:tr w14:paraId="55E84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shd w:val="clear" w:color="auto" w:fill="auto"/>
            <w:vAlign w:val="center"/>
          </w:tcPr>
          <w:p w14:paraId="451D3418">
            <w:pPr>
              <w:pStyle w:val="192"/>
              <w:rPr>
                <w:rFonts w:hint="default" w:ascii="Times New Roman" w:hAnsi="Times New Roman" w:cs="Times New Roman"/>
                <w:spacing w:val="-2"/>
              </w:rPr>
            </w:pPr>
            <w:bookmarkStart w:id="39" w:name="_Hlk187675857"/>
            <w:r>
              <w:rPr>
                <w:rFonts w:hint="default" w:ascii="Times New Roman" w:hAnsi="Times New Roman" w:cs="Times New Roman"/>
                <w:spacing w:val="-2"/>
              </w:rPr>
              <w:t>材料</w:t>
            </w:r>
          </w:p>
        </w:tc>
        <w:tc>
          <w:tcPr>
            <w:tcW w:w="1627" w:type="pct"/>
            <w:shd w:val="clear" w:color="auto" w:fill="auto"/>
            <w:vAlign w:val="center"/>
          </w:tcPr>
          <w:p w14:paraId="0C6466F8">
            <w:pPr>
              <w:pStyle w:val="192"/>
              <w:rPr>
                <w:rFonts w:hint="default" w:ascii="Times New Roman" w:hAnsi="Times New Roman" w:cs="Times New Roman"/>
                <w:spacing w:val="-2"/>
              </w:rPr>
            </w:pPr>
            <w:r>
              <w:rPr>
                <w:rFonts w:hint="default" w:ascii="Times New Roman" w:hAnsi="Times New Roman" w:cs="Times New Roman"/>
                <w:spacing w:val="-2"/>
              </w:rPr>
              <w:t>检测项目</w:t>
            </w:r>
          </w:p>
        </w:tc>
        <w:tc>
          <w:tcPr>
            <w:tcW w:w="1113" w:type="pct"/>
            <w:shd w:val="clear" w:color="auto" w:fill="auto"/>
            <w:vAlign w:val="center"/>
          </w:tcPr>
          <w:p w14:paraId="02CF014E">
            <w:pPr>
              <w:pStyle w:val="192"/>
              <w:rPr>
                <w:rFonts w:hint="default" w:ascii="Times New Roman" w:hAnsi="Times New Roman" w:cs="Times New Roman"/>
                <w:spacing w:val="-2"/>
              </w:rPr>
            </w:pPr>
            <w:r>
              <w:rPr>
                <w:rFonts w:hint="default" w:ascii="Times New Roman" w:hAnsi="Times New Roman" w:cs="Times New Roman"/>
                <w:spacing w:val="-2"/>
              </w:rPr>
              <w:t>技术指标</w:t>
            </w:r>
          </w:p>
        </w:tc>
        <w:tc>
          <w:tcPr>
            <w:tcW w:w="898" w:type="pct"/>
            <w:shd w:val="clear" w:color="auto" w:fill="auto"/>
            <w:vAlign w:val="center"/>
          </w:tcPr>
          <w:p w14:paraId="5A71AC35">
            <w:pPr>
              <w:pStyle w:val="192"/>
              <w:rPr>
                <w:rFonts w:hint="default" w:ascii="Times New Roman" w:hAnsi="Times New Roman" w:cs="Times New Roman"/>
                <w:spacing w:val="-2"/>
              </w:rPr>
            </w:pPr>
            <w:r>
              <w:rPr>
                <w:rFonts w:hint="default" w:ascii="Times New Roman" w:hAnsi="Times New Roman" w:cs="Times New Roman"/>
                <w:spacing w:val="-2"/>
              </w:rPr>
              <w:t>试验方法</w:t>
            </w:r>
          </w:p>
        </w:tc>
      </w:tr>
      <w:tr w14:paraId="153FB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restart"/>
            <w:shd w:val="clear" w:color="auto" w:fill="auto"/>
            <w:vAlign w:val="center"/>
          </w:tcPr>
          <w:p w14:paraId="4A0AD742">
            <w:pPr>
              <w:pStyle w:val="192"/>
              <w:rPr>
                <w:rFonts w:hint="default" w:ascii="Times New Roman" w:hAnsi="Times New Roman" w:cs="Times New Roman"/>
                <w:spacing w:val="-2"/>
              </w:rPr>
            </w:pPr>
            <w:r>
              <w:rPr>
                <w:rFonts w:hint="default" w:ascii="Times New Roman" w:hAnsi="Times New Roman" w:cs="Times New Roman"/>
                <w:spacing w:val="-2"/>
              </w:rPr>
              <w:t>RAP</w:t>
            </w:r>
          </w:p>
        </w:tc>
        <w:tc>
          <w:tcPr>
            <w:tcW w:w="1627" w:type="pct"/>
            <w:shd w:val="clear" w:color="auto" w:fill="auto"/>
            <w:vAlign w:val="center"/>
          </w:tcPr>
          <w:p w14:paraId="1CF0D034">
            <w:pPr>
              <w:pStyle w:val="192"/>
              <w:rPr>
                <w:rFonts w:hint="default" w:ascii="Times New Roman" w:hAnsi="Times New Roman" w:cs="Times New Roman"/>
                <w:spacing w:val="-2"/>
              </w:rPr>
            </w:pPr>
            <w:r>
              <w:rPr>
                <w:rFonts w:hint="default" w:ascii="Times New Roman" w:hAnsi="Times New Roman" w:cs="Times New Roman"/>
                <w:spacing w:val="-2"/>
              </w:rPr>
              <w:t>含水率（%）</w:t>
            </w:r>
          </w:p>
        </w:tc>
        <w:tc>
          <w:tcPr>
            <w:tcW w:w="1113" w:type="pct"/>
            <w:shd w:val="clear" w:color="auto" w:fill="auto"/>
            <w:vAlign w:val="center"/>
          </w:tcPr>
          <w:p w14:paraId="5D700A78">
            <w:pPr>
              <w:pStyle w:val="192"/>
              <w:rPr>
                <w:rFonts w:hint="default" w:ascii="Times New Roman" w:hAnsi="Times New Roman" w:cs="Times New Roman"/>
                <w:spacing w:val="-2"/>
              </w:rPr>
            </w:pPr>
            <w:r>
              <w:rPr>
                <w:rFonts w:hint="default" w:ascii="Times New Roman" w:hAnsi="Times New Roman" w:cs="Times New Roman"/>
                <w:spacing w:val="-2"/>
              </w:rPr>
              <w:t>≤3</w:t>
            </w:r>
          </w:p>
        </w:tc>
        <w:tc>
          <w:tcPr>
            <w:tcW w:w="898" w:type="pct"/>
            <w:shd w:val="clear" w:color="auto" w:fill="auto"/>
            <w:vAlign w:val="center"/>
          </w:tcPr>
          <w:p w14:paraId="2E4E848C">
            <w:pPr>
              <w:pStyle w:val="192"/>
              <w:rPr>
                <w:rFonts w:hint="default" w:ascii="Times New Roman" w:hAnsi="Times New Roman" w:cs="Times New Roman"/>
                <w:spacing w:val="-2"/>
              </w:rPr>
            </w:pPr>
            <w:r>
              <w:rPr>
                <w:rFonts w:hint="default" w:ascii="Times New Roman" w:hAnsi="Times New Roman" w:cs="Times New Roman"/>
                <w:spacing w:val="-2"/>
              </w:rPr>
              <w:t>T0625</w:t>
            </w:r>
          </w:p>
        </w:tc>
      </w:tr>
      <w:tr w14:paraId="53063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continue"/>
            <w:shd w:val="clear" w:color="auto" w:fill="auto"/>
            <w:vAlign w:val="center"/>
          </w:tcPr>
          <w:p w14:paraId="07FF43D7">
            <w:pPr>
              <w:pStyle w:val="192"/>
              <w:rPr>
                <w:rFonts w:hint="default" w:ascii="Times New Roman" w:hAnsi="Times New Roman" w:cs="Times New Roman"/>
                <w:spacing w:val="-2"/>
              </w:rPr>
            </w:pPr>
          </w:p>
        </w:tc>
        <w:tc>
          <w:tcPr>
            <w:tcW w:w="1627" w:type="pct"/>
            <w:shd w:val="clear" w:color="auto" w:fill="auto"/>
            <w:vAlign w:val="center"/>
          </w:tcPr>
          <w:p w14:paraId="66DA4042">
            <w:pPr>
              <w:pStyle w:val="192"/>
              <w:rPr>
                <w:rFonts w:hint="default" w:ascii="Times New Roman" w:hAnsi="Times New Roman" w:cs="Times New Roman"/>
                <w:spacing w:val="-2"/>
              </w:rPr>
            </w:pPr>
            <w:r>
              <w:rPr>
                <w:rFonts w:hint="default" w:ascii="Times New Roman" w:hAnsi="Times New Roman" w:cs="Times New Roman"/>
                <w:spacing w:val="-2"/>
              </w:rPr>
              <w:t>沥青含量（油石比，%）</w:t>
            </w:r>
          </w:p>
        </w:tc>
        <w:tc>
          <w:tcPr>
            <w:tcW w:w="1113" w:type="pct"/>
            <w:shd w:val="clear" w:color="auto" w:fill="auto"/>
            <w:vAlign w:val="center"/>
          </w:tcPr>
          <w:p w14:paraId="5DE003CF">
            <w:pPr>
              <w:pStyle w:val="192"/>
              <w:rPr>
                <w:rFonts w:hint="default" w:ascii="Times New Roman" w:hAnsi="Times New Roman" w:cs="Times New Roman"/>
                <w:spacing w:val="-2"/>
              </w:rPr>
            </w:pPr>
            <w:r>
              <w:rPr>
                <w:rFonts w:hint="default" w:ascii="Times New Roman" w:hAnsi="Times New Roman" w:cs="Times New Roman"/>
                <w:spacing w:val="-2"/>
              </w:rPr>
              <w:t>≥4.0</w:t>
            </w:r>
          </w:p>
        </w:tc>
        <w:tc>
          <w:tcPr>
            <w:tcW w:w="898" w:type="pct"/>
            <w:shd w:val="clear" w:color="auto" w:fill="auto"/>
            <w:vAlign w:val="center"/>
          </w:tcPr>
          <w:p w14:paraId="75FF0240">
            <w:pPr>
              <w:pStyle w:val="192"/>
              <w:rPr>
                <w:rFonts w:hint="default" w:ascii="Times New Roman" w:hAnsi="Times New Roman" w:cs="Times New Roman"/>
                <w:spacing w:val="-2"/>
              </w:rPr>
            </w:pPr>
            <w:r>
              <w:rPr>
                <w:rFonts w:hint="default" w:ascii="Times New Roman" w:hAnsi="Times New Roman" w:cs="Times New Roman"/>
                <w:spacing w:val="-2"/>
              </w:rPr>
              <w:t>T0722或T0735</w:t>
            </w:r>
          </w:p>
        </w:tc>
      </w:tr>
      <w:tr w14:paraId="7BB70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continue"/>
            <w:shd w:val="clear" w:color="auto" w:fill="auto"/>
            <w:vAlign w:val="center"/>
          </w:tcPr>
          <w:p w14:paraId="716B501C">
            <w:pPr>
              <w:pStyle w:val="192"/>
              <w:rPr>
                <w:rFonts w:hint="default" w:ascii="Times New Roman" w:hAnsi="Times New Roman" w:cs="Times New Roman"/>
                <w:spacing w:val="-2"/>
              </w:rPr>
            </w:pPr>
            <w:bookmarkStart w:id="40" w:name="_Hlk187675826"/>
          </w:p>
        </w:tc>
        <w:tc>
          <w:tcPr>
            <w:tcW w:w="1627" w:type="pct"/>
            <w:shd w:val="clear" w:color="auto" w:fill="auto"/>
            <w:vAlign w:val="center"/>
          </w:tcPr>
          <w:p w14:paraId="3CED30B1">
            <w:pPr>
              <w:pStyle w:val="192"/>
              <w:jc w:val="both"/>
              <w:rPr>
                <w:rFonts w:hint="default" w:ascii="Times New Roman" w:hAnsi="Times New Roman" w:cs="Times New Roman"/>
                <w:spacing w:val="-2"/>
              </w:rPr>
            </w:pPr>
            <w:r>
              <w:rPr>
                <w:rFonts w:hint="default" w:ascii="Times New Roman" w:hAnsi="Times New Roman" w:cs="Times New Roman"/>
                <w:spacing w:val="-2"/>
              </w:rPr>
              <w:t>破碎筛分级配4.75mm通过率</w:t>
            </w:r>
          </w:p>
        </w:tc>
        <w:tc>
          <w:tcPr>
            <w:tcW w:w="1113" w:type="pct"/>
            <w:shd w:val="clear" w:color="auto" w:fill="auto"/>
            <w:vAlign w:val="center"/>
          </w:tcPr>
          <w:p w14:paraId="7271CD24">
            <w:pPr>
              <w:pStyle w:val="192"/>
              <w:rPr>
                <w:rFonts w:hint="default" w:ascii="Times New Roman" w:hAnsi="Times New Roman" w:cs="Times New Roman"/>
                <w:spacing w:val="-2"/>
              </w:rPr>
            </w:pPr>
            <w:r>
              <w:rPr>
                <w:rFonts w:hint="default" w:ascii="Times New Roman" w:hAnsi="Times New Roman" w:cs="Times New Roman"/>
                <w:spacing w:val="-2"/>
              </w:rPr>
              <w:t>≤25%</w:t>
            </w:r>
          </w:p>
        </w:tc>
        <w:tc>
          <w:tcPr>
            <w:tcW w:w="898" w:type="pct"/>
            <w:shd w:val="clear" w:color="auto" w:fill="auto"/>
            <w:vAlign w:val="center"/>
          </w:tcPr>
          <w:p w14:paraId="12D7CBED">
            <w:pPr>
              <w:pStyle w:val="192"/>
              <w:rPr>
                <w:rFonts w:hint="default" w:ascii="Times New Roman" w:hAnsi="Times New Roman" w:cs="Times New Roman"/>
                <w:spacing w:val="-2"/>
              </w:rPr>
            </w:pPr>
            <w:r>
              <w:rPr>
                <w:rFonts w:hint="default" w:ascii="Times New Roman" w:hAnsi="Times New Roman" w:cs="Times New Roman"/>
                <w:spacing w:val="-2"/>
              </w:rPr>
              <w:t>T0302</w:t>
            </w:r>
          </w:p>
        </w:tc>
      </w:tr>
      <w:bookmarkEnd w:id="40"/>
      <w:tr w14:paraId="5E19D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restart"/>
            <w:shd w:val="clear" w:color="auto" w:fill="auto"/>
            <w:vAlign w:val="center"/>
          </w:tcPr>
          <w:p w14:paraId="6828CF99">
            <w:pPr>
              <w:pStyle w:val="192"/>
              <w:rPr>
                <w:rFonts w:hint="default" w:ascii="Times New Roman" w:hAnsi="Times New Roman" w:cs="Times New Roman"/>
                <w:spacing w:val="-2"/>
              </w:rPr>
            </w:pPr>
            <w:r>
              <w:rPr>
                <w:rFonts w:hint="default" w:ascii="Times New Roman" w:hAnsi="Times New Roman" w:cs="Times New Roman"/>
                <w:spacing w:val="-2"/>
              </w:rPr>
              <w:t>RAP中的沥青</w:t>
            </w:r>
          </w:p>
        </w:tc>
        <w:tc>
          <w:tcPr>
            <w:tcW w:w="1627" w:type="pct"/>
            <w:shd w:val="clear" w:color="auto" w:fill="auto"/>
            <w:vAlign w:val="center"/>
          </w:tcPr>
          <w:p w14:paraId="00B101EB">
            <w:pPr>
              <w:pStyle w:val="192"/>
              <w:rPr>
                <w:rFonts w:hint="default" w:ascii="Times New Roman" w:hAnsi="Times New Roman" w:cs="Times New Roman"/>
                <w:spacing w:val="-2"/>
              </w:rPr>
            </w:pPr>
            <w:r>
              <w:rPr>
                <w:rFonts w:hint="default" w:ascii="Times New Roman" w:hAnsi="Times New Roman" w:cs="Times New Roman"/>
                <w:spacing w:val="-2"/>
              </w:rPr>
              <w:t>25℃针入度（mm）</w:t>
            </w:r>
          </w:p>
        </w:tc>
        <w:tc>
          <w:tcPr>
            <w:tcW w:w="1113" w:type="pct"/>
            <w:shd w:val="clear" w:color="auto" w:fill="auto"/>
            <w:vAlign w:val="center"/>
          </w:tcPr>
          <w:p w14:paraId="21A345FA">
            <w:pPr>
              <w:pStyle w:val="192"/>
              <w:rPr>
                <w:rFonts w:hint="default" w:ascii="Times New Roman" w:hAnsi="Times New Roman" w:cs="Times New Roman"/>
                <w:spacing w:val="-2"/>
              </w:rPr>
            </w:pPr>
            <w:r>
              <w:rPr>
                <w:rFonts w:hint="default" w:ascii="Times New Roman" w:hAnsi="Times New Roman" w:cs="Times New Roman"/>
                <w:spacing w:val="-2"/>
              </w:rPr>
              <w:t>≥10</w:t>
            </w:r>
          </w:p>
        </w:tc>
        <w:tc>
          <w:tcPr>
            <w:tcW w:w="898" w:type="pct"/>
            <w:shd w:val="clear" w:color="auto" w:fill="auto"/>
            <w:vAlign w:val="center"/>
          </w:tcPr>
          <w:p w14:paraId="0FC044BE">
            <w:pPr>
              <w:pStyle w:val="192"/>
              <w:rPr>
                <w:rFonts w:hint="default" w:ascii="Times New Roman" w:hAnsi="Times New Roman" w:cs="Times New Roman"/>
                <w:spacing w:val="-2"/>
              </w:rPr>
            </w:pPr>
            <w:r>
              <w:rPr>
                <w:rFonts w:hint="default" w:ascii="Times New Roman" w:hAnsi="Times New Roman" w:cs="Times New Roman"/>
                <w:spacing w:val="-2"/>
              </w:rPr>
              <w:t>T0604</w:t>
            </w:r>
          </w:p>
        </w:tc>
      </w:tr>
      <w:tr w14:paraId="053C9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continue"/>
            <w:shd w:val="clear" w:color="auto" w:fill="auto"/>
            <w:vAlign w:val="center"/>
          </w:tcPr>
          <w:p w14:paraId="2567D31E">
            <w:pPr>
              <w:pStyle w:val="192"/>
              <w:rPr>
                <w:rFonts w:hint="default" w:ascii="Times New Roman" w:hAnsi="Times New Roman" w:cs="Times New Roman"/>
                <w:spacing w:val="-2"/>
              </w:rPr>
            </w:pPr>
          </w:p>
        </w:tc>
        <w:tc>
          <w:tcPr>
            <w:tcW w:w="1627" w:type="pct"/>
            <w:shd w:val="clear" w:color="auto" w:fill="auto"/>
            <w:vAlign w:val="center"/>
          </w:tcPr>
          <w:p w14:paraId="1B1AF972">
            <w:pPr>
              <w:pStyle w:val="192"/>
              <w:rPr>
                <w:rFonts w:hint="default" w:ascii="Times New Roman" w:hAnsi="Times New Roman" w:cs="Times New Roman"/>
                <w:spacing w:val="-2"/>
              </w:rPr>
            </w:pPr>
            <w:r>
              <w:rPr>
                <w:rFonts w:hint="default" w:ascii="Times New Roman" w:hAnsi="Times New Roman" w:cs="Times New Roman"/>
                <w:spacing w:val="-2"/>
              </w:rPr>
              <w:t>15℃延度（cm）</w:t>
            </w:r>
          </w:p>
        </w:tc>
        <w:tc>
          <w:tcPr>
            <w:tcW w:w="1113" w:type="pct"/>
            <w:shd w:val="clear" w:color="auto" w:fill="auto"/>
            <w:vAlign w:val="center"/>
          </w:tcPr>
          <w:p w14:paraId="74E05231">
            <w:pPr>
              <w:pStyle w:val="192"/>
              <w:rPr>
                <w:rFonts w:hint="default" w:ascii="Times New Roman" w:hAnsi="Times New Roman" w:cs="Times New Roman"/>
                <w:spacing w:val="-2"/>
              </w:rPr>
            </w:pPr>
            <w:r>
              <w:rPr>
                <w:rFonts w:hint="default" w:ascii="Times New Roman" w:hAnsi="Times New Roman" w:cs="Times New Roman"/>
                <w:spacing w:val="-2"/>
              </w:rPr>
              <w:t>≥10</w:t>
            </w:r>
          </w:p>
        </w:tc>
        <w:tc>
          <w:tcPr>
            <w:tcW w:w="898" w:type="pct"/>
            <w:shd w:val="clear" w:color="auto" w:fill="auto"/>
            <w:vAlign w:val="center"/>
          </w:tcPr>
          <w:p w14:paraId="5CBE2274">
            <w:pPr>
              <w:pStyle w:val="192"/>
              <w:rPr>
                <w:rFonts w:hint="default" w:ascii="Times New Roman" w:hAnsi="Times New Roman" w:cs="Times New Roman"/>
                <w:spacing w:val="-2"/>
              </w:rPr>
            </w:pPr>
            <w:r>
              <w:rPr>
                <w:rFonts w:hint="default" w:ascii="Times New Roman" w:hAnsi="Times New Roman" w:cs="Times New Roman"/>
                <w:spacing w:val="-2"/>
              </w:rPr>
              <w:t>T0605</w:t>
            </w:r>
          </w:p>
        </w:tc>
      </w:tr>
      <w:tr w14:paraId="55EF2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continue"/>
            <w:shd w:val="clear" w:color="auto" w:fill="auto"/>
            <w:vAlign w:val="center"/>
          </w:tcPr>
          <w:p w14:paraId="45B35811">
            <w:pPr>
              <w:pStyle w:val="192"/>
              <w:rPr>
                <w:rFonts w:hint="default" w:ascii="Times New Roman" w:hAnsi="Times New Roman" w:cs="Times New Roman"/>
                <w:spacing w:val="-2"/>
              </w:rPr>
            </w:pPr>
          </w:p>
        </w:tc>
        <w:tc>
          <w:tcPr>
            <w:tcW w:w="1627" w:type="pct"/>
            <w:shd w:val="clear" w:color="auto" w:fill="auto"/>
            <w:vAlign w:val="center"/>
          </w:tcPr>
          <w:p w14:paraId="0C466476">
            <w:pPr>
              <w:pStyle w:val="192"/>
              <w:rPr>
                <w:rFonts w:hint="default" w:ascii="Times New Roman" w:hAnsi="Times New Roman" w:cs="Times New Roman"/>
                <w:spacing w:val="-2"/>
              </w:rPr>
            </w:pPr>
            <w:r>
              <w:rPr>
                <w:rFonts w:hint="default" w:ascii="Times New Roman" w:hAnsi="Times New Roman" w:cs="Times New Roman"/>
                <w:spacing w:val="-2"/>
              </w:rPr>
              <w:t>弹性恢复率（%）</w:t>
            </w:r>
          </w:p>
        </w:tc>
        <w:tc>
          <w:tcPr>
            <w:tcW w:w="1113" w:type="pct"/>
            <w:shd w:val="clear" w:color="auto" w:fill="auto"/>
            <w:vAlign w:val="center"/>
          </w:tcPr>
          <w:p w14:paraId="0388C602">
            <w:pPr>
              <w:pStyle w:val="192"/>
              <w:rPr>
                <w:rFonts w:hint="default" w:ascii="Times New Roman" w:hAnsi="Times New Roman" w:cs="Times New Roman"/>
                <w:spacing w:val="-2"/>
              </w:rPr>
            </w:pPr>
            <w:r>
              <w:rPr>
                <w:rFonts w:hint="default" w:ascii="Times New Roman" w:hAnsi="Times New Roman" w:cs="Times New Roman"/>
              </w:rPr>
              <w:t>≥50</w:t>
            </w:r>
          </w:p>
        </w:tc>
        <w:tc>
          <w:tcPr>
            <w:tcW w:w="898" w:type="pct"/>
            <w:shd w:val="clear" w:color="auto" w:fill="auto"/>
            <w:vAlign w:val="center"/>
          </w:tcPr>
          <w:p w14:paraId="3120E49D">
            <w:pPr>
              <w:pStyle w:val="192"/>
              <w:rPr>
                <w:rFonts w:hint="default" w:ascii="Times New Roman" w:hAnsi="Times New Roman" w:cs="Times New Roman"/>
                <w:spacing w:val="-2"/>
              </w:rPr>
            </w:pPr>
            <w:r>
              <w:rPr>
                <w:rFonts w:hint="default" w:ascii="Times New Roman" w:hAnsi="Times New Roman" w:cs="Times New Roman"/>
                <w:spacing w:val="-2"/>
              </w:rPr>
              <w:t>T0662</w:t>
            </w:r>
          </w:p>
        </w:tc>
      </w:tr>
      <w:tr w14:paraId="5C588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continue"/>
            <w:shd w:val="clear" w:color="auto" w:fill="auto"/>
            <w:vAlign w:val="center"/>
          </w:tcPr>
          <w:p w14:paraId="71F3AD96">
            <w:pPr>
              <w:pStyle w:val="192"/>
              <w:rPr>
                <w:rFonts w:hint="default" w:ascii="Times New Roman" w:hAnsi="Times New Roman" w:cs="Times New Roman"/>
                <w:spacing w:val="-2"/>
              </w:rPr>
            </w:pPr>
          </w:p>
        </w:tc>
        <w:tc>
          <w:tcPr>
            <w:tcW w:w="1627" w:type="pct"/>
            <w:shd w:val="clear" w:color="auto" w:fill="auto"/>
            <w:vAlign w:val="center"/>
          </w:tcPr>
          <w:p w14:paraId="2C57405D">
            <w:pPr>
              <w:pStyle w:val="192"/>
              <w:rPr>
                <w:rFonts w:hint="default" w:ascii="Times New Roman" w:hAnsi="Times New Roman" w:cs="Times New Roman"/>
                <w:spacing w:val="-2"/>
              </w:rPr>
            </w:pPr>
            <w:r>
              <w:rPr>
                <w:rFonts w:hint="default" w:ascii="Times New Roman" w:hAnsi="Times New Roman" w:cs="Times New Roman"/>
                <w:spacing w:val="-2"/>
              </w:rPr>
              <w:t>弹性恢复率断口状态</w:t>
            </w:r>
          </w:p>
        </w:tc>
        <w:tc>
          <w:tcPr>
            <w:tcW w:w="1113" w:type="pct"/>
            <w:shd w:val="clear" w:color="auto" w:fill="auto"/>
            <w:vAlign w:val="center"/>
          </w:tcPr>
          <w:p w14:paraId="2A4D06C7">
            <w:pPr>
              <w:pStyle w:val="192"/>
              <w:rPr>
                <w:rFonts w:hint="default" w:ascii="Times New Roman" w:hAnsi="Times New Roman" w:cs="Times New Roman"/>
                <w:spacing w:val="-2"/>
              </w:rPr>
            </w:pPr>
            <w:r>
              <w:rPr>
                <w:rFonts w:hint="default" w:ascii="Times New Roman" w:hAnsi="Times New Roman" w:cs="Times New Roman"/>
              </w:rPr>
              <w:t>平整干净、无发丝状沥青拉出</w:t>
            </w:r>
          </w:p>
        </w:tc>
        <w:tc>
          <w:tcPr>
            <w:tcW w:w="898" w:type="pct"/>
            <w:shd w:val="clear" w:color="auto" w:fill="auto"/>
            <w:vAlign w:val="center"/>
          </w:tcPr>
          <w:p w14:paraId="6809D5B6">
            <w:pPr>
              <w:pStyle w:val="192"/>
              <w:rPr>
                <w:rFonts w:hint="default" w:ascii="Times New Roman" w:hAnsi="Times New Roman" w:cs="Times New Roman"/>
                <w:spacing w:val="-2"/>
              </w:rPr>
            </w:pPr>
            <w:r>
              <w:rPr>
                <w:rFonts w:hint="default" w:ascii="Times New Roman" w:hAnsi="Times New Roman" w:cs="Times New Roman"/>
                <w:spacing w:val="-2"/>
              </w:rPr>
              <w:t>目测法</w:t>
            </w:r>
          </w:p>
        </w:tc>
      </w:tr>
      <w:tr w14:paraId="03708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restart"/>
            <w:shd w:val="clear" w:color="auto" w:fill="auto"/>
            <w:vAlign w:val="center"/>
          </w:tcPr>
          <w:p w14:paraId="219F91EC">
            <w:pPr>
              <w:pStyle w:val="192"/>
              <w:rPr>
                <w:rFonts w:hint="default" w:ascii="Times New Roman" w:hAnsi="Times New Roman" w:cs="Times New Roman"/>
                <w:spacing w:val="-2"/>
              </w:rPr>
            </w:pPr>
            <w:r>
              <w:rPr>
                <w:rFonts w:hint="default" w:ascii="Times New Roman" w:hAnsi="Times New Roman" w:cs="Times New Roman"/>
                <w:spacing w:val="-2"/>
              </w:rPr>
              <w:t>RAP中的粗集料</w:t>
            </w:r>
          </w:p>
        </w:tc>
        <w:tc>
          <w:tcPr>
            <w:tcW w:w="1627" w:type="pct"/>
            <w:shd w:val="clear" w:color="auto" w:fill="auto"/>
            <w:vAlign w:val="center"/>
          </w:tcPr>
          <w:p w14:paraId="01ADBBE4">
            <w:pPr>
              <w:pStyle w:val="192"/>
              <w:rPr>
                <w:rFonts w:hint="default" w:ascii="Times New Roman" w:hAnsi="Times New Roman" w:cs="Times New Roman"/>
                <w:spacing w:val="-2"/>
              </w:rPr>
            </w:pPr>
            <w:r>
              <w:rPr>
                <w:rFonts w:hint="default" w:ascii="Times New Roman" w:hAnsi="Times New Roman" w:cs="Times New Roman"/>
                <w:spacing w:val="-2"/>
              </w:rPr>
              <w:t>压碎值（%）</w:t>
            </w:r>
          </w:p>
        </w:tc>
        <w:tc>
          <w:tcPr>
            <w:tcW w:w="1113" w:type="pct"/>
            <w:shd w:val="clear" w:color="auto" w:fill="auto"/>
            <w:vAlign w:val="center"/>
          </w:tcPr>
          <w:p w14:paraId="010DD34D">
            <w:pPr>
              <w:pStyle w:val="192"/>
              <w:rPr>
                <w:rFonts w:hint="default" w:ascii="Times New Roman" w:hAnsi="Times New Roman" w:cs="Times New Roman"/>
                <w:spacing w:val="-2"/>
              </w:rPr>
            </w:pPr>
            <w:r>
              <w:rPr>
                <w:rFonts w:hint="default" w:ascii="Times New Roman" w:hAnsi="Times New Roman" w:cs="Times New Roman"/>
                <w:spacing w:val="-2"/>
              </w:rPr>
              <w:t>≤21</w:t>
            </w:r>
          </w:p>
        </w:tc>
        <w:tc>
          <w:tcPr>
            <w:tcW w:w="898" w:type="pct"/>
            <w:shd w:val="clear" w:color="auto" w:fill="auto"/>
            <w:vAlign w:val="center"/>
          </w:tcPr>
          <w:p w14:paraId="0A6FF0AB">
            <w:pPr>
              <w:pStyle w:val="192"/>
              <w:rPr>
                <w:rFonts w:hint="default" w:ascii="Times New Roman" w:hAnsi="Times New Roman" w:cs="Times New Roman"/>
                <w:spacing w:val="-2"/>
              </w:rPr>
            </w:pPr>
            <w:r>
              <w:rPr>
                <w:rFonts w:hint="default" w:ascii="Times New Roman" w:hAnsi="Times New Roman" w:cs="Times New Roman"/>
                <w:spacing w:val="-2"/>
              </w:rPr>
              <w:t>T0316</w:t>
            </w:r>
          </w:p>
        </w:tc>
      </w:tr>
      <w:tr w14:paraId="24AB1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continue"/>
            <w:shd w:val="clear" w:color="auto" w:fill="auto"/>
            <w:vAlign w:val="center"/>
          </w:tcPr>
          <w:p w14:paraId="036BE9C1">
            <w:pPr>
              <w:pStyle w:val="192"/>
              <w:rPr>
                <w:rFonts w:hint="default" w:ascii="Times New Roman" w:hAnsi="Times New Roman" w:cs="Times New Roman"/>
                <w:spacing w:val="-2"/>
              </w:rPr>
            </w:pPr>
          </w:p>
        </w:tc>
        <w:tc>
          <w:tcPr>
            <w:tcW w:w="1627" w:type="pct"/>
            <w:shd w:val="clear" w:color="auto" w:fill="auto"/>
            <w:vAlign w:val="center"/>
          </w:tcPr>
          <w:p w14:paraId="5DF334ED">
            <w:pPr>
              <w:pStyle w:val="192"/>
              <w:rPr>
                <w:rFonts w:hint="default" w:ascii="Times New Roman" w:hAnsi="Times New Roman" w:cs="Times New Roman"/>
                <w:spacing w:val="-2"/>
              </w:rPr>
            </w:pPr>
            <w:r>
              <w:rPr>
                <w:rFonts w:hint="default" w:ascii="Times New Roman" w:hAnsi="Times New Roman" w:cs="Times New Roman"/>
                <w:spacing w:val="-2"/>
              </w:rPr>
              <w:t>针片状颗粒含量（%）</w:t>
            </w:r>
          </w:p>
        </w:tc>
        <w:tc>
          <w:tcPr>
            <w:tcW w:w="1113" w:type="pct"/>
            <w:shd w:val="clear" w:color="auto" w:fill="auto"/>
            <w:vAlign w:val="center"/>
          </w:tcPr>
          <w:p w14:paraId="5642618E">
            <w:pPr>
              <w:pStyle w:val="192"/>
              <w:rPr>
                <w:rFonts w:hint="default" w:ascii="Times New Roman" w:hAnsi="Times New Roman" w:cs="Times New Roman"/>
                <w:spacing w:val="-2"/>
              </w:rPr>
            </w:pPr>
            <w:r>
              <w:rPr>
                <w:rFonts w:hint="default" w:ascii="Times New Roman" w:hAnsi="Times New Roman" w:cs="Times New Roman"/>
                <w:spacing w:val="-2"/>
              </w:rPr>
              <w:t>≤15</w:t>
            </w:r>
          </w:p>
        </w:tc>
        <w:tc>
          <w:tcPr>
            <w:tcW w:w="898" w:type="pct"/>
            <w:shd w:val="clear" w:color="auto" w:fill="auto"/>
            <w:vAlign w:val="center"/>
          </w:tcPr>
          <w:p w14:paraId="4BA56F49">
            <w:pPr>
              <w:pStyle w:val="192"/>
              <w:rPr>
                <w:rFonts w:hint="default" w:ascii="Times New Roman" w:hAnsi="Times New Roman" w:cs="Times New Roman"/>
                <w:spacing w:val="-2"/>
              </w:rPr>
            </w:pPr>
            <w:r>
              <w:rPr>
                <w:rFonts w:hint="default" w:ascii="Times New Roman" w:hAnsi="Times New Roman" w:cs="Times New Roman"/>
                <w:spacing w:val="-2"/>
              </w:rPr>
              <w:t>T0312</w:t>
            </w:r>
          </w:p>
        </w:tc>
      </w:tr>
      <w:tr w14:paraId="39F63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62" w:type="pct"/>
            <w:vMerge w:val="continue"/>
            <w:shd w:val="clear" w:color="auto" w:fill="auto"/>
            <w:vAlign w:val="center"/>
          </w:tcPr>
          <w:p w14:paraId="139C7F75">
            <w:pPr>
              <w:pStyle w:val="192"/>
              <w:rPr>
                <w:rFonts w:hint="default" w:ascii="Times New Roman" w:hAnsi="Times New Roman" w:cs="Times New Roman"/>
                <w:spacing w:val="-2"/>
              </w:rPr>
            </w:pPr>
          </w:p>
        </w:tc>
        <w:tc>
          <w:tcPr>
            <w:tcW w:w="1627" w:type="pct"/>
            <w:shd w:val="clear" w:color="auto" w:fill="auto"/>
            <w:vAlign w:val="center"/>
          </w:tcPr>
          <w:p w14:paraId="75D25756">
            <w:pPr>
              <w:pStyle w:val="192"/>
              <w:rPr>
                <w:rFonts w:hint="default" w:ascii="Times New Roman" w:hAnsi="Times New Roman" w:cs="Times New Roman"/>
                <w:spacing w:val="-2"/>
              </w:rPr>
            </w:pPr>
            <w:r>
              <w:rPr>
                <w:rFonts w:hint="default" w:ascii="Times New Roman" w:hAnsi="Times New Roman" w:cs="Times New Roman"/>
                <w:spacing w:val="-2"/>
              </w:rPr>
              <w:t>最大颗粒粒径（mm）</w:t>
            </w:r>
          </w:p>
        </w:tc>
        <w:tc>
          <w:tcPr>
            <w:tcW w:w="1113" w:type="pct"/>
            <w:shd w:val="clear" w:color="auto" w:fill="auto"/>
            <w:vAlign w:val="center"/>
          </w:tcPr>
          <w:p w14:paraId="216D620D">
            <w:pPr>
              <w:pStyle w:val="192"/>
              <w:rPr>
                <w:rFonts w:hint="default" w:ascii="Times New Roman" w:hAnsi="Times New Roman" w:cs="Times New Roman"/>
                <w:spacing w:val="-2"/>
              </w:rPr>
            </w:pPr>
            <w:r>
              <w:rPr>
                <w:rFonts w:hint="default" w:ascii="Times New Roman" w:hAnsi="Times New Roman" w:cs="Times New Roman"/>
                <w:spacing w:val="-2"/>
              </w:rPr>
              <w:t>≤设计级配允许最大值</w:t>
            </w:r>
          </w:p>
        </w:tc>
        <w:tc>
          <w:tcPr>
            <w:tcW w:w="898" w:type="pct"/>
            <w:shd w:val="clear" w:color="auto" w:fill="auto"/>
            <w:vAlign w:val="center"/>
          </w:tcPr>
          <w:p w14:paraId="7C573E19">
            <w:pPr>
              <w:pStyle w:val="192"/>
              <w:rPr>
                <w:rFonts w:hint="default" w:ascii="Times New Roman" w:hAnsi="Times New Roman" w:cs="Times New Roman"/>
                <w:spacing w:val="-2"/>
              </w:rPr>
            </w:pPr>
            <w:r>
              <w:rPr>
                <w:rFonts w:hint="default" w:ascii="Times New Roman" w:hAnsi="Times New Roman" w:cs="Times New Roman"/>
                <w:spacing w:val="-2"/>
              </w:rPr>
              <w:t>T0302</w:t>
            </w:r>
          </w:p>
        </w:tc>
      </w:tr>
      <w:bookmarkEnd w:id="39"/>
    </w:tbl>
    <w:p w14:paraId="0C371BD7">
      <w:pPr>
        <w:spacing w:line="360" w:lineRule="auto"/>
        <w:ind w:firstLine="482" w:firstLineChars="200"/>
        <w:rPr>
          <w:rFonts w:hint="default" w:ascii="Times New Roman" w:hAnsi="Times New Roman" w:eastAsia="楷体" w:cs="Times New Roman"/>
          <w:b/>
          <w:bCs/>
          <w:sz w:val="24"/>
        </w:rPr>
      </w:pPr>
      <w:bookmarkStart w:id="41" w:name="_Toc179636660"/>
      <w:bookmarkStart w:id="42" w:name="_Toc171517476"/>
      <w:bookmarkStart w:id="43" w:name="_Toc101871669"/>
      <w:r>
        <w:rPr>
          <w:rFonts w:hint="default" w:ascii="Times New Roman" w:hAnsi="Times New Roman" w:eastAsia="楷体" w:cs="Times New Roman"/>
          <w:b/>
          <w:bCs/>
          <w:sz w:val="24"/>
        </w:rPr>
        <w:t>条文说明：</w:t>
      </w:r>
    </w:p>
    <w:p w14:paraId="1B60358B">
      <w:pPr>
        <w:spacing w:line="360" w:lineRule="auto"/>
        <w:ind w:firstLine="480" w:firstLineChars="200"/>
        <w:rPr>
          <w:rFonts w:hint="default" w:ascii="Times New Roman" w:hAnsi="Times New Roman" w:eastAsia="楷体" w:cs="Times New Roman"/>
          <w:sz w:val="24"/>
        </w:rPr>
      </w:pPr>
      <w:r>
        <w:rPr>
          <w:rFonts w:hint="default" w:ascii="Times New Roman" w:hAnsi="Times New Roman" w:eastAsia="楷体" w:cs="Times New Roman"/>
          <w:sz w:val="24"/>
        </w:rPr>
        <w:t>在工程实际中RAP回收时，往往由于资料遗失、年限较长等原因，很难找到所用沥青种类的原始资料，但旧沥青的种类会对全再生混合料的设计带来较大影响。目前，国内路面工程中最常使用的是SBS改性沥青，行业内通常采用核磁共振氢谱或红外光谱法判断沥青是否为SBS改性沥青，然而由于核磁共振设备和红外光谱设备配置和使用并不广泛，应当提出更加简便和快速的方法作为判别依据。《公路工程沥青及沥青混合料试验规程》JTG E20中给出了对于SBS改性沥青弹性恢复率的试验方法，实际上，SBS改性沥青在弹性恢复性能上与普通基质沥青有着明显的差异。通过研究发现，可以将弹性恢复率D&gt;50%，断口较粗且没有发丝状沥青拉出作为判别沥青为SBS改性沥青的快速判断方法，精确判断需结合核磁共振氢谱、红外光谱等微观手段来验证。</w:t>
      </w:r>
    </w:p>
    <w:bookmarkEnd w:id="41"/>
    <w:bookmarkEnd w:id="42"/>
    <w:bookmarkEnd w:id="43"/>
    <w:p w14:paraId="0372265F">
      <w:pPr>
        <w:pStyle w:val="49"/>
        <w:numPr>
          <w:ilvl w:val="1"/>
          <w:numId w:val="20"/>
        </w:numPr>
        <w:spacing w:beforeLines="0" w:afterLines="0" w:line="360" w:lineRule="auto"/>
        <w:ind w:left="0" w:firstLine="0"/>
        <w:outlineLvl w:val="1"/>
        <w:rPr>
          <w:rFonts w:hint="default" w:ascii="Times New Roman" w:hAnsi="Times New Roman" w:eastAsia="宋体" w:cs="Times New Roman"/>
          <w:b/>
          <w:bCs/>
          <w:sz w:val="24"/>
        </w:rPr>
      </w:pPr>
      <w:bookmarkStart w:id="44" w:name="_Toc4993"/>
      <w:r>
        <w:rPr>
          <w:rFonts w:hint="default" w:ascii="Times New Roman" w:hAnsi="Times New Roman" w:eastAsia="宋体" w:cs="Times New Roman"/>
          <w:b/>
          <w:bCs/>
          <w:sz w:val="24"/>
        </w:rPr>
        <w:t>灌缝胶</w:t>
      </w:r>
      <w:bookmarkEnd w:id="44"/>
    </w:p>
    <w:p w14:paraId="45A82CA9">
      <w:pPr>
        <w:numPr>
          <w:ilvl w:val="2"/>
          <w:numId w:val="20"/>
        </w:numPr>
        <w:spacing w:line="360" w:lineRule="auto"/>
        <w:ind w:left="0" w:firstLine="240" w:firstLineChars="100"/>
        <w:rPr>
          <w:rFonts w:hint="default" w:ascii="Times New Roman" w:hAnsi="Times New Roman" w:cs="Times New Roman"/>
          <w:kern w:val="0"/>
          <w:sz w:val="24"/>
        </w:rPr>
      </w:pPr>
      <w:r>
        <w:rPr>
          <w:rFonts w:hint="default" w:ascii="Times New Roman" w:hAnsi="Times New Roman" w:cs="Times New Roman"/>
          <w:kern w:val="0"/>
          <w:sz w:val="24"/>
        </w:rPr>
        <w:t>原路面裂缝宜采用灌封胶进行处理，所采用的灌缝胶的质量应符合表5.5.1的规定。</w:t>
      </w:r>
    </w:p>
    <w:p w14:paraId="5FC625DC">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表5.5.1灌缝胶技术指标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697"/>
        <w:gridCol w:w="1571"/>
        <w:gridCol w:w="1429"/>
        <w:gridCol w:w="1639"/>
      </w:tblGrid>
      <w:tr w14:paraId="16E66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14:paraId="4FA75A4A">
            <w:pPr>
              <w:pStyle w:val="192"/>
              <w:rPr>
                <w:rFonts w:hint="default" w:ascii="Times New Roman" w:hAnsi="Times New Roman" w:cs="Times New Roman"/>
                <w:spacing w:val="-2"/>
                <w:szCs w:val="18"/>
              </w:rPr>
            </w:pPr>
            <w:r>
              <w:rPr>
                <w:rFonts w:hint="default" w:ascii="Times New Roman" w:hAnsi="Times New Roman" w:cs="Times New Roman"/>
                <w:spacing w:val="-2"/>
                <w:szCs w:val="18"/>
              </w:rPr>
              <w:t>项目</w:t>
            </w:r>
          </w:p>
        </w:tc>
        <w:tc>
          <w:tcPr>
            <w:tcW w:w="942" w:type="pct"/>
            <w:shd w:val="clear" w:color="auto" w:fill="auto"/>
          </w:tcPr>
          <w:p w14:paraId="623F9BE7">
            <w:pPr>
              <w:pStyle w:val="192"/>
              <w:rPr>
                <w:rFonts w:hint="default" w:ascii="Times New Roman" w:hAnsi="Times New Roman" w:cs="Times New Roman"/>
                <w:spacing w:val="-2"/>
                <w:szCs w:val="18"/>
              </w:rPr>
            </w:pPr>
            <w:r>
              <w:rPr>
                <w:rFonts w:hint="default" w:ascii="Times New Roman" w:hAnsi="Times New Roman" w:cs="Times New Roman"/>
                <w:spacing w:val="-2"/>
                <w:szCs w:val="18"/>
              </w:rPr>
              <w:t>单位</w:t>
            </w:r>
          </w:p>
        </w:tc>
        <w:tc>
          <w:tcPr>
            <w:tcW w:w="857" w:type="pct"/>
            <w:shd w:val="clear" w:color="auto" w:fill="auto"/>
            <w:vAlign w:val="center"/>
          </w:tcPr>
          <w:p w14:paraId="3D4CD0A6">
            <w:pPr>
              <w:pStyle w:val="192"/>
              <w:rPr>
                <w:rFonts w:hint="default" w:ascii="Times New Roman" w:hAnsi="Times New Roman" w:cs="Times New Roman"/>
                <w:spacing w:val="-2"/>
                <w:szCs w:val="18"/>
              </w:rPr>
            </w:pPr>
            <w:r>
              <w:rPr>
                <w:rFonts w:hint="default" w:ascii="Times New Roman" w:hAnsi="Times New Roman" w:cs="Times New Roman"/>
                <w:spacing w:val="-2"/>
                <w:szCs w:val="18"/>
              </w:rPr>
              <w:t>技术指标</w:t>
            </w:r>
          </w:p>
        </w:tc>
        <w:tc>
          <w:tcPr>
            <w:tcW w:w="983" w:type="pct"/>
            <w:shd w:val="clear" w:color="auto" w:fill="auto"/>
            <w:vAlign w:val="center"/>
          </w:tcPr>
          <w:p w14:paraId="46ED4114">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14:paraId="6EA82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14:paraId="6A5FF1BE">
            <w:pPr>
              <w:pStyle w:val="192"/>
              <w:rPr>
                <w:rFonts w:hint="default" w:ascii="Times New Roman" w:hAnsi="Times New Roman" w:cs="Times New Roman"/>
                <w:spacing w:val="-2"/>
                <w:szCs w:val="18"/>
              </w:rPr>
            </w:pPr>
            <w:r>
              <w:rPr>
                <w:rFonts w:hint="default" w:ascii="Times New Roman" w:hAnsi="Times New Roman" w:cs="Times New Roman"/>
                <w:spacing w:val="-2"/>
                <w:szCs w:val="18"/>
              </w:rPr>
              <w:t>软化点（T</w:t>
            </w:r>
            <w:r>
              <w:rPr>
                <w:rFonts w:hint="default" w:ascii="Times New Roman" w:hAnsi="Times New Roman" w:cs="Times New Roman"/>
                <w:spacing w:val="-2"/>
                <w:szCs w:val="18"/>
                <w:vertAlign w:val="subscript"/>
              </w:rPr>
              <w:t>R&amp;B</w:t>
            </w:r>
            <w:r>
              <w:rPr>
                <w:rFonts w:hint="default" w:ascii="Times New Roman" w:hAnsi="Times New Roman" w:cs="Times New Roman"/>
                <w:spacing w:val="-2"/>
                <w:szCs w:val="18"/>
              </w:rPr>
              <w:t>）</w:t>
            </w:r>
          </w:p>
        </w:tc>
        <w:tc>
          <w:tcPr>
            <w:tcW w:w="942" w:type="pct"/>
            <w:shd w:val="clear" w:color="auto" w:fill="auto"/>
          </w:tcPr>
          <w:p w14:paraId="7DCA0027">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857" w:type="pct"/>
            <w:shd w:val="clear" w:color="auto" w:fill="auto"/>
            <w:vAlign w:val="center"/>
          </w:tcPr>
          <w:p w14:paraId="4974DB38">
            <w:pPr>
              <w:pStyle w:val="192"/>
              <w:rPr>
                <w:rFonts w:hint="default" w:ascii="Times New Roman" w:hAnsi="Times New Roman" w:cs="Times New Roman"/>
                <w:spacing w:val="-2"/>
                <w:szCs w:val="18"/>
              </w:rPr>
            </w:pPr>
            <w:r>
              <w:rPr>
                <w:rFonts w:hint="default" w:ascii="Times New Roman" w:hAnsi="Times New Roman" w:cs="Times New Roman"/>
                <w:spacing w:val="-2"/>
                <w:szCs w:val="18"/>
              </w:rPr>
              <w:t>≥90</w:t>
            </w:r>
          </w:p>
        </w:tc>
        <w:tc>
          <w:tcPr>
            <w:tcW w:w="983" w:type="pct"/>
            <w:shd w:val="clear" w:color="auto" w:fill="auto"/>
            <w:vAlign w:val="center"/>
          </w:tcPr>
          <w:p w14:paraId="230AC159">
            <w:pPr>
              <w:pStyle w:val="192"/>
              <w:rPr>
                <w:rFonts w:hint="default" w:ascii="Times New Roman" w:hAnsi="Times New Roman" w:cs="Times New Roman"/>
                <w:spacing w:val="-2"/>
                <w:szCs w:val="18"/>
              </w:rPr>
            </w:pPr>
            <w:r>
              <w:rPr>
                <w:rFonts w:hint="default" w:ascii="Times New Roman" w:hAnsi="Times New Roman" w:cs="Times New Roman"/>
                <w:spacing w:val="-2"/>
                <w:szCs w:val="18"/>
              </w:rPr>
              <w:t>T 0606</w:t>
            </w:r>
          </w:p>
        </w:tc>
      </w:tr>
      <w:tr w14:paraId="787FF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14:paraId="4466FF0D">
            <w:pPr>
              <w:pStyle w:val="192"/>
              <w:rPr>
                <w:rFonts w:hint="default" w:ascii="Times New Roman" w:hAnsi="Times New Roman" w:cs="Times New Roman"/>
                <w:spacing w:val="-2"/>
                <w:szCs w:val="18"/>
              </w:rPr>
            </w:pPr>
            <w:r>
              <w:rPr>
                <w:rFonts w:hint="default" w:ascii="Times New Roman" w:hAnsi="Times New Roman" w:cs="Times New Roman"/>
                <w:spacing w:val="-2"/>
                <w:szCs w:val="18"/>
              </w:rPr>
              <w:t xml:space="preserve">锥入度（150g,25℃,5s） </w:t>
            </w:r>
          </w:p>
        </w:tc>
        <w:tc>
          <w:tcPr>
            <w:tcW w:w="942" w:type="pct"/>
            <w:shd w:val="clear" w:color="auto" w:fill="auto"/>
            <w:vAlign w:val="center"/>
          </w:tcPr>
          <w:p w14:paraId="3E53758E">
            <w:pPr>
              <w:pStyle w:val="192"/>
              <w:rPr>
                <w:rFonts w:hint="default" w:ascii="Times New Roman" w:hAnsi="Times New Roman" w:cs="Times New Roman"/>
                <w:spacing w:val="-2"/>
                <w:szCs w:val="18"/>
              </w:rPr>
            </w:pPr>
            <w:r>
              <w:rPr>
                <w:rFonts w:hint="default" w:ascii="Times New Roman" w:hAnsi="Times New Roman" w:cs="Times New Roman"/>
                <w:spacing w:val="-2"/>
                <w:szCs w:val="18"/>
              </w:rPr>
              <w:t>0.1mm</w:t>
            </w:r>
          </w:p>
        </w:tc>
        <w:tc>
          <w:tcPr>
            <w:tcW w:w="857" w:type="pct"/>
            <w:shd w:val="clear" w:color="auto" w:fill="auto"/>
            <w:vAlign w:val="center"/>
          </w:tcPr>
          <w:p w14:paraId="22D1AEA4">
            <w:pPr>
              <w:pStyle w:val="192"/>
              <w:rPr>
                <w:rFonts w:hint="default" w:ascii="Times New Roman" w:hAnsi="Times New Roman" w:cs="Times New Roman"/>
                <w:spacing w:val="-2"/>
                <w:szCs w:val="18"/>
              </w:rPr>
            </w:pPr>
            <w:r>
              <w:rPr>
                <w:rFonts w:hint="default" w:ascii="Times New Roman" w:hAnsi="Times New Roman" w:cs="Times New Roman"/>
                <w:spacing w:val="-2"/>
                <w:szCs w:val="18"/>
              </w:rPr>
              <w:t>50-90</w:t>
            </w:r>
          </w:p>
        </w:tc>
        <w:tc>
          <w:tcPr>
            <w:tcW w:w="983" w:type="pct"/>
            <w:shd w:val="clear" w:color="auto" w:fill="auto"/>
            <w:vAlign w:val="center"/>
          </w:tcPr>
          <w:p w14:paraId="61258C30">
            <w:pPr>
              <w:pStyle w:val="192"/>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r w14:paraId="614AA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14:paraId="699A0B63">
            <w:pPr>
              <w:pStyle w:val="192"/>
              <w:rPr>
                <w:rFonts w:hint="default" w:ascii="Times New Roman" w:hAnsi="Times New Roman" w:cs="Times New Roman"/>
                <w:spacing w:val="-2"/>
                <w:szCs w:val="18"/>
              </w:rPr>
            </w:pPr>
            <w:r>
              <w:rPr>
                <w:rFonts w:hint="default" w:ascii="Times New Roman" w:hAnsi="Times New Roman" w:cs="Times New Roman"/>
                <w:spacing w:val="-2"/>
                <w:szCs w:val="18"/>
              </w:rPr>
              <w:t>弹性恢复率 （75g，25℃）</w:t>
            </w:r>
          </w:p>
        </w:tc>
        <w:tc>
          <w:tcPr>
            <w:tcW w:w="942" w:type="pct"/>
            <w:shd w:val="clear" w:color="auto" w:fill="auto"/>
          </w:tcPr>
          <w:p w14:paraId="55B3D04C">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857" w:type="pct"/>
            <w:shd w:val="clear" w:color="auto" w:fill="auto"/>
            <w:vAlign w:val="center"/>
          </w:tcPr>
          <w:p w14:paraId="6E4ACCB2">
            <w:pPr>
              <w:pStyle w:val="192"/>
              <w:rPr>
                <w:rFonts w:hint="default" w:ascii="Times New Roman" w:hAnsi="Times New Roman" w:cs="Times New Roman"/>
                <w:spacing w:val="-2"/>
                <w:szCs w:val="18"/>
              </w:rPr>
            </w:pPr>
            <w:r>
              <w:rPr>
                <w:rFonts w:hint="default" w:ascii="Times New Roman" w:hAnsi="Times New Roman" w:cs="Times New Roman"/>
                <w:spacing w:val="-2"/>
                <w:szCs w:val="18"/>
              </w:rPr>
              <w:t>30~70</w:t>
            </w:r>
          </w:p>
        </w:tc>
        <w:tc>
          <w:tcPr>
            <w:tcW w:w="983" w:type="pct"/>
            <w:shd w:val="clear" w:color="auto" w:fill="auto"/>
            <w:vAlign w:val="center"/>
          </w:tcPr>
          <w:p w14:paraId="469BC7BE">
            <w:pPr>
              <w:pStyle w:val="192"/>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r w14:paraId="315CC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14:paraId="06F2F4D3">
            <w:pPr>
              <w:pStyle w:val="192"/>
              <w:rPr>
                <w:rFonts w:hint="default" w:ascii="Times New Roman" w:hAnsi="Times New Roman" w:cs="Times New Roman"/>
                <w:spacing w:val="-2"/>
                <w:szCs w:val="18"/>
              </w:rPr>
            </w:pPr>
            <w:r>
              <w:rPr>
                <w:rFonts w:hint="default" w:ascii="Times New Roman" w:hAnsi="Times New Roman" w:cs="Times New Roman"/>
                <w:spacing w:val="-2"/>
                <w:szCs w:val="18"/>
              </w:rPr>
              <w:t>流动值</w:t>
            </w:r>
          </w:p>
        </w:tc>
        <w:tc>
          <w:tcPr>
            <w:tcW w:w="942" w:type="pct"/>
            <w:shd w:val="clear" w:color="auto" w:fill="auto"/>
          </w:tcPr>
          <w:p w14:paraId="31A6E4E5">
            <w:pPr>
              <w:pStyle w:val="192"/>
              <w:rPr>
                <w:rFonts w:hint="default" w:ascii="Times New Roman" w:hAnsi="Times New Roman" w:cs="Times New Roman"/>
                <w:spacing w:val="-2"/>
                <w:szCs w:val="18"/>
              </w:rPr>
            </w:pPr>
            <w:r>
              <w:rPr>
                <w:rFonts w:hint="default" w:ascii="Times New Roman" w:hAnsi="Times New Roman" w:cs="Times New Roman"/>
                <w:spacing w:val="-2"/>
                <w:szCs w:val="18"/>
              </w:rPr>
              <w:t>mm</w:t>
            </w:r>
          </w:p>
        </w:tc>
        <w:tc>
          <w:tcPr>
            <w:tcW w:w="857" w:type="pct"/>
            <w:shd w:val="clear" w:color="auto" w:fill="auto"/>
            <w:vAlign w:val="center"/>
          </w:tcPr>
          <w:p w14:paraId="6AA7FF67">
            <w:pPr>
              <w:pStyle w:val="192"/>
              <w:rPr>
                <w:rFonts w:hint="default" w:ascii="Times New Roman" w:hAnsi="Times New Roman" w:cs="Times New Roman"/>
                <w:spacing w:val="-2"/>
                <w:szCs w:val="18"/>
              </w:rPr>
            </w:pPr>
            <w:r>
              <w:rPr>
                <w:rFonts w:hint="default" w:ascii="Times New Roman" w:hAnsi="Times New Roman" w:cs="Times New Roman"/>
                <w:spacing w:val="-2"/>
                <w:szCs w:val="18"/>
              </w:rPr>
              <w:t>≤3</w:t>
            </w:r>
          </w:p>
        </w:tc>
        <w:tc>
          <w:tcPr>
            <w:tcW w:w="983" w:type="pct"/>
            <w:shd w:val="clear" w:color="auto" w:fill="auto"/>
            <w:vAlign w:val="center"/>
          </w:tcPr>
          <w:p w14:paraId="49FE06EE">
            <w:pPr>
              <w:pStyle w:val="192"/>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r w14:paraId="34B9F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18" w:type="pct"/>
            <w:shd w:val="clear" w:color="auto" w:fill="auto"/>
            <w:vAlign w:val="center"/>
          </w:tcPr>
          <w:p w14:paraId="4EC907C5">
            <w:pPr>
              <w:pStyle w:val="192"/>
              <w:rPr>
                <w:rFonts w:hint="default" w:ascii="Times New Roman" w:hAnsi="Times New Roman" w:cs="Times New Roman"/>
                <w:spacing w:val="-2"/>
                <w:szCs w:val="18"/>
              </w:rPr>
            </w:pPr>
            <w:r>
              <w:rPr>
                <w:rFonts w:hint="default" w:ascii="Times New Roman" w:hAnsi="Times New Roman" w:cs="Times New Roman"/>
                <w:spacing w:val="-2"/>
                <w:szCs w:val="18"/>
              </w:rPr>
              <w:t>低温拉伸(-10℃，50%，3次循环，)</w:t>
            </w:r>
          </w:p>
        </w:tc>
        <w:tc>
          <w:tcPr>
            <w:tcW w:w="942" w:type="pct"/>
            <w:shd w:val="clear" w:color="auto" w:fill="auto"/>
            <w:vAlign w:val="center"/>
          </w:tcPr>
          <w:p w14:paraId="113BF114">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857" w:type="pct"/>
            <w:shd w:val="clear" w:color="auto" w:fill="auto"/>
            <w:vAlign w:val="center"/>
          </w:tcPr>
          <w:p w14:paraId="439C3DF1">
            <w:pPr>
              <w:pStyle w:val="192"/>
              <w:rPr>
                <w:rFonts w:hint="default" w:ascii="Times New Roman" w:hAnsi="Times New Roman" w:cs="Times New Roman"/>
                <w:spacing w:val="-2"/>
                <w:szCs w:val="18"/>
              </w:rPr>
            </w:pPr>
            <w:r>
              <w:rPr>
                <w:rFonts w:hint="default" w:ascii="Times New Roman" w:hAnsi="Times New Roman" w:cs="Times New Roman"/>
                <w:spacing w:val="-2"/>
                <w:szCs w:val="18"/>
              </w:rPr>
              <w:t>通过</w:t>
            </w:r>
          </w:p>
        </w:tc>
        <w:tc>
          <w:tcPr>
            <w:tcW w:w="983" w:type="pct"/>
            <w:shd w:val="clear" w:color="auto" w:fill="auto"/>
            <w:vAlign w:val="center"/>
          </w:tcPr>
          <w:p w14:paraId="5C0130CC">
            <w:pPr>
              <w:pStyle w:val="192"/>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bl>
    <w:p w14:paraId="7CB614CA">
      <w:pPr>
        <w:rPr>
          <w:rFonts w:hint="default" w:ascii="Times New Roman" w:hAnsi="Times New Roman" w:cs="Times New Roman"/>
        </w:rPr>
        <w:sectPr>
          <w:headerReference r:id="rId13" w:type="default"/>
          <w:headerReference r:id="rId14" w:type="even"/>
          <w:pgSz w:w="11906" w:h="16838"/>
          <w:pgMar w:top="1440" w:right="1800" w:bottom="1440" w:left="1800" w:header="851" w:footer="992" w:gutter="0"/>
          <w:cols w:space="425" w:num="1"/>
          <w:docGrid w:type="lines" w:linePitch="312" w:charSpace="0"/>
        </w:sectPr>
      </w:pPr>
      <w:r>
        <w:rPr>
          <w:rFonts w:hint="default" w:ascii="Times New Roman" w:hAnsi="Times New Roman" w:cs="Times New Roman"/>
        </w:rPr>
        <w:tab/>
      </w:r>
    </w:p>
    <w:p w14:paraId="61AC4264">
      <w:pPr>
        <w:rPr>
          <w:rFonts w:hint="default" w:ascii="Times New Roman" w:hAnsi="Times New Roman" w:cs="Times New Roman"/>
        </w:rPr>
      </w:pPr>
    </w:p>
    <w:p w14:paraId="5C796571">
      <w:pPr>
        <w:rPr>
          <w:rFonts w:hint="default" w:ascii="Times New Roman" w:hAnsi="Times New Roman" w:cs="Times New Roman"/>
        </w:rPr>
        <w:sectPr>
          <w:type w:val="continuous"/>
          <w:pgSz w:w="11906" w:h="16838"/>
          <w:pgMar w:top="1440" w:right="1800" w:bottom="1440" w:left="1800" w:header="851" w:footer="992" w:gutter="0"/>
          <w:cols w:space="425" w:num="1"/>
          <w:docGrid w:type="lines" w:linePitch="312" w:charSpace="0"/>
        </w:sectPr>
      </w:pPr>
      <w:r>
        <w:rPr>
          <w:rFonts w:hint="default" w:ascii="Times New Roman" w:hAnsi="Times New Roman" w:cs="Times New Roman"/>
        </w:rPr>
        <w:tab/>
      </w:r>
    </w:p>
    <w:p w14:paraId="620C4AF0">
      <w:pPr>
        <w:pStyle w:val="52"/>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45" w:name="_Toc20534"/>
      <w:bookmarkStart w:id="46" w:name="_Toc179636661"/>
      <w:r>
        <w:rPr>
          <w:rFonts w:hint="default" w:ascii="Times New Roman" w:hAnsi="Times New Roman" w:cs="Times New Roman" w:eastAsiaTheme="minorEastAsia"/>
          <w:b/>
          <w:bCs/>
          <w:sz w:val="32"/>
          <w:szCs w:val="22"/>
        </w:rPr>
        <w:t>全再生薄层沥青混合料配合比设计</w:t>
      </w:r>
      <w:bookmarkEnd w:id="25"/>
      <w:bookmarkEnd w:id="45"/>
      <w:bookmarkEnd w:id="46"/>
    </w:p>
    <w:bookmarkEnd w:id="17"/>
    <w:p w14:paraId="259693B6">
      <w:pPr>
        <w:pStyle w:val="49"/>
        <w:numPr>
          <w:ilvl w:val="1"/>
          <w:numId w:val="17"/>
        </w:numPr>
        <w:spacing w:beforeLines="0" w:afterLines="0" w:line="360" w:lineRule="auto"/>
        <w:ind w:left="0" w:firstLine="0"/>
        <w:outlineLvl w:val="1"/>
        <w:rPr>
          <w:rFonts w:hint="default" w:ascii="Times New Roman" w:hAnsi="Times New Roman" w:eastAsia="宋体" w:cs="Times New Roman"/>
          <w:b/>
          <w:bCs/>
          <w:sz w:val="24"/>
        </w:rPr>
      </w:pPr>
      <w:bookmarkStart w:id="47" w:name="_Toc126742837"/>
      <w:r>
        <w:rPr>
          <w:rFonts w:hint="default" w:ascii="Times New Roman" w:hAnsi="Times New Roman" w:eastAsia="宋体" w:cs="Times New Roman"/>
          <w:b/>
          <w:bCs/>
          <w:sz w:val="24"/>
        </w:rPr>
        <w:t xml:space="preserve"> </w:t>
      </w:r>
      <w:bookmarkStart w:id="48" w:name="_Toc179636662"/>
      <w:bookmarkStart w:id="49" w:name="_Toc20778"/>
      <w:r>
        <w:rPr>
          <w:rFonts w:hint="default" w:ascii="Times New Roman" w:hAnsi="Times New Roman" w:eastAsia="宋体" w:cs="Times New Roman"/>
          <w:b/>
          <w:bCs/>
          <w:sz w:val="24"/>
        </w:rPr>
        <w:t>一般规定</w:t>
      </w:r>
      <w:bookmarkEnd w:id="47"/>
      <w:bookmarkEnd w:id="48"/>
      <w:bookmarkEnd w:id="49"/>
    </w:p>
    <w:p w14:paraId="044C8111">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全再生薄层罩面的沥青混合料配合比设计应充分考虑使用需求、原路面状况、交通量、气候条件等因素，对混合料进行针对性的性能设计。</w:t>
      </w:r>
    </w:p>
    <w:p w14:paraId="1CC4D1F9">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全再生薄层罩面沥青混合料配合比设计应采用马歇尔设计方法，对沥青混合料回收料（RAP）矿料级配，参照附录B的有关规定进行配合比设计。</w:t>
      </w:r>
    </w:p>
    <w:p w14:paraId="4E40CE9B">
      <w:pPr>
        <w:pStyle w:val="29"/>
        <w:numPr>
          <w:ilvl w:val="2"/>
          <w:numId w:val="17"/>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sz w:val="24"/>
        </w:rPr>
        <w:t>全再生薄层罩面的沥青混合料配合比设计，应按现行规范关于热拌沥青混合料配合比设计中“目标配合比、生产配合比和试拌试铺验证”三个阶段进行，确定矿料级配及最佳沥青用量。</w:t>
      </w:r>
    </w:p>
    <w:p w14:paraId="1A34E067">
      <w:pPr>
        <w:pStyle w:val="49"/>
        <w:numPr>
          <w:ilvl w:val="1"/>
          <w:numId w:val="17"/>
        </w:numPr>
        <w:spacing w:beforeLines="0" w:afterLines="0" w:line="360" w:lineRule="auto"/>
        <w:ind w:left="0" w:firstLine="0"/>
        <w:outlineLvl w:val="1"/>
        <w:rPr>
          <w:rFonts w:hint="default" w:ascii="Times New Roman" w:hAnsi="Times New Roman" w:eastAsia="宋体" w:cs="Times New Roman"/>
          <w:b/>
          <w:bCs/>
          <w:sz w:val="24"/>
        </w:rPr>
      </w:pPr>
      <w:bookmarkStart w:id="50" w:name="_Toc179636663"/>
      <w:bookmarkStart w:id="51" w:name="_Toc18304"/>
      <w:r>
        <w:rPr>
          <w:rFonts w:hint="default" w:ascii="Times New Roman" w:hAnsi="Times New Roman" w:eastAsia="宋体" w:cs="Times New Roman"/>
          <w:b/>
          <w:bCs/>
          <w:sz w:val="24"/>
        </w:rPr>
        <w:t>混合料技术指标</w:t>
      </w:r>
      <w:bookmarkEnd w:id="50"/>
      <w:bookmarkEnd w:id="51"/>
    </w:p>
    <w:p w14:paraId="12F5474A">
      <w:pPr>
        <w:numPr>
          <w:ilvl w:val="2"/>
          <w:numId w:val="17"/>
        </w:numPr>
        <w:spacing w:line="360" w:lineRule="auto"/>
        <w:ind w:left="0" w:firstLine="240" w:firstLineChars="100"/>
        <w:jc w:val="left"/>
        <w:rPr>
          <w:rFonts w:hint="default" w:ascii="Times New Roman" w:hAnsi="Times New Roman" w:cs="Times New Roman"/>
          <w:kern w:val="0"/>
          <w:sz w:val="24"/>
          <w:szCs w:val="20"/>
        </w:rPr>
      </w:pPr>
      <w:bookmarkStart w:id="52" w:name="_Hlk89790592"/>
      <w:r>
        <w:rPr>
          <w:rFonts w:hint="default" w:ascii="Times New Roman" w:hAnsi="Times New Roman" w:cs="Times New Roman"/>
          <w:kern w:val="0"/>
          <w:sz w:val="24"/>
          <w:szCs w:val="20"/>
        </w:rPr>
        <w:t>混合料矿料级配范围应符合表6.2.1的规定。</w:t>
      </w:r>
    </w:p>
    <w:p w14:paraId="66BC8F5D">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表6.2.1混合料矿料级配范围</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124"/>
        <w:gridCol w:w="1029"/>
        <w:gridCol w:w="1029"/>
        <w:gridCol w:w="1029"/>
        <w:gridCol w:w="1029"/>
        <w:gridCol w:w="1029"/>
        <w:gridCol w:w="1029"/>
        <w:gridCol w:w="1028"/>
      </w:tblGrid>
      <w:tr w14:paraId="0F86F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5" w:type="pct"/>
            <w:vMerge w:val="restart"/>
            <w:shd w:val="clear" w:color="auto" w:fill="auto"/>
            <w:vAlign w:val="center"/>
          </w:tcPr>
          <w:p w14:paraId="6AD4C670">
            <w:pPr>
              <w:pStyle w:val="192"/>
              <w:rPr>
                <w:rFonts w:hint="default" w:ascii="Times New Roman" w:hAnsi="Times New Roman" w:cs="Times New Roman"/>
                <w:spacing w:val="-2"/>
              </w:rPr>
            </w:pPr>
            <w:bookmarkStart w:id="53" w:name="_Hlk102139498"/>
            <w:r>
              <w:rPr>
                <w:rFonts w:hint="default" w:ascii="Times New Roman" w:hAnsi="Times New Roman" w:cs="Times New Roman"/>
                <w:spacing w:val="-2"/>
              </w:rPr>
              <w:t>规格</w:t>
            </w:r>
          </w:p>
        </w:tc>
        <w:tc>
          <w:tcPr>
            <w:tcW w:w="4325" w:type="pct"/>
            <w:gridSpan w:val="7"/>
            <w:tcBorders>
              <w:right w:val="single" w:color="auto" w:sz="4" w:space="0"/>
            </w:tcBorders>
          </w:tcPr>
          <w:p w14:paraId="7FCDA6DA">
            <w:pPr>
              <w:pStyle w:val="192"/>
              <w:rPr>
                <w:rFonts w:hint="default" w:ascii="Times New Roman" w:hAnsi="Times New Roman" w:cs="Times New Roman"/>
                <w:spacing w:val="-2"/>
              </w:rPr>
            </w:pPr>
            <w:r>
              <w:rPr>
                <w:rFonts w:hint="default" w:ascii="Times New Roman" w:hAnsi="Times New Roman" w:cs="Times New Roman"/>
                <w:spacing w:val="-2"/>
              </w:rPr>
              <w:t>通过各个筛孔的质量百分率（％）</w:t>
            </w:r>
          </w:p>
        </w:tc>
      </w:tr>
      <w:tr w14:paraId="19B5A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5" w:type="pct"/>
            <w:vMerge w:val="continue"/>
            <w:shd w:val="clear" w:color="auto" w:fill="auto"/>
          </w:tcPr>
          <w:p w14:paraId="47A1D53C">
            <w:pPr>
              <w:pStyle w:val="192"/>
              <w:rPr>
                <w:rFonts w:hint="default" w:ascii="Times New Roman" w:hAnsi="Times New Roman" w:cs="Times New Roman"/>
                <w:spacing w:val="-2"/>
              </w:rPr>
            </w:pPr>
          </w:p>
        </w:tc>
        <w:tc>
          <w:tcPr>
            <w:tcW w:w="618" w:type="pct"/>
            <w:vAlign w:val="center"/>
          </w:tcPr>
          <w:p w14:paraId="267E2C6D">
            <w:pPr>
              <w:pStyle w:val="192"/>
              <w:rPr>
                <w:rFonts w:hint="default" w:ascii="Times New Roman" w:hAnsi="Times New Roman" w:cs="Times New Roman"/>
                <w:spacing w:val="-2"/>
              </w:rPr>
            </w:pPr>
            <w:r>
              <w:rPr>
                <w:rFonts w:hint="default" w:ascii="Times New Roman" w:hAnsi="Times New Roman" w:cs="Times New Roman"/>
                <w:color w:val="000000"/>
              </w:rPr>
              <w:t>16</w:t>
            </w:r>
          </w:p>
        </w:tc>
        <w:tc>
          <w:tcPr>
            <w:tcW w:w="618" w:type="pct"/>
            <w:shd w:val="clear" w:color="auto" w:fill="auto"/>
            <w:vAlign w:val="center"/>
          </w:tcPr>
          <w:p w14:paraId="517B0BF7">
            <w:pPr>
              <w:pStyle w:val="192"/>
              <w:rPr>
                <w:rFonts w:hint="default" w:ascii="Times New Roman" w:hAnsi="Times New Roman" w:cs="Times New Roman"/>
                <w:spacing w:val="-2"/>
              </w:rPr>
            </w:pPr>
            <w:r>
              <w:rPr>
                <w:rFonts w:hint="default" w:ascii="Times New Roman" w:hAnsi="Times New Roman" w:cs="Times New Roman"/>
                <w:color w:val="000000"/>
              </w:rPr>
              <w:t>13.2</w:t>
            </w:r>
          </w:p>
        </w:tc>
        <w:tc>
          <w:tcPr>
            <w:tcW w:w="618" w:type="pct"/>
            <w:shd w:val="clear" w:color="auto" w:fill="auto"/>
            <w:vAlign w:val="center"/>
          </w:tcPr>
          <w:p w14:paraId="7886EFAC">
            <w:pPr>
              <w:pStyle w:val="192"/>
              <w:rPr>
                <w:rFonts w:hint="default" w:ascii="Times New Roman" w:hAnsi="Times New Roman" w:cs="Times New Roman"/>
                <w:spacing w:val="-2"/>
              </w:rPr>
            </w:pPr>
            <w:r>
              <w:rPr>
                <w:rFonts w:hint="default" w:ascii="Times New Roman" w:hAnsi="Times New Roman" w:cs="Times New Roman"/>
                <w:color w:val="000000"/>
              </w:rPr>
              <w:t>9.5</w:t>
            </w:r>
          </w:p>
        </w:tc>
        <w:tc>
          <w:tcPr>
            <w:tcW w:w="618" w:type="pct"/>
            <w:shd w:val="clear" w:color="auto" w:fill="auto"/>
            <w:vAlign w:val="center"/>
          </w:tcPr>
          <w:p w14:paraId="6BA59DBB">
            <w:pPr>
              <w:pStyle w:val="192"/>
              <w:rPr>
                <w:rFonts w:hint="default" w:ascii="Times New Roman" w:hAnsi="Times New Roman" w:cs="Times New Roman"/>
                <w:spacing w:val="-2"/>
              </w:rPr>
            </w:pPr>
            <w:r>
              <w:rPr>
                <w:rFonts w:hint="default" w:ascii="Times New Roman" w:hAnsi="Times New Roman" w:cs="Times New Roman"/>
                <w:color w:val="000000"/>
              </w:rPr>
              <w:t>4.75</w:t>
            </w:r>
          </w:p>
        </w:tc>
        <w:tc>
          <w:tcPr>
            <w:tcW w:w="618" w:type="pct"/>
            <w:shd w:val="clear" w:color="auto" w:fill="auto"/>
            <w:vAlign w:val="center"/>
          </w:tcPr>
          <w:p w14:paraId="4BA0FFB3">
            <w:pPr>
              <w:pStyle w:val="192"/>
              <w:rPr>
                <w:rFonts w:hint="default" w:ascii="Times New Roman" w:hAnsi="Times New Roman" w:cs="Times New Roman"/>
                <w:spacing w:val="-2"/>
              </w:rPr>
            </w:pPr>
            <w:r>
              <w:rPr>
                <w:rFonts w:hint="default" w:ascii="Times New Roman" w:hAnsi="Times New Roman" w:cs="Times New Roman"/>
                <w:color w:val="000000"/>
              </w:rPr>
              <w:t>2.36</w:t>
            </w:r>
          </w:p>
        </w:tc>
        <w:tc>
          <w:tcPr>
            <w:tcW w:w="618" w:type="pct"/>
            <w:shd w:val="clear" w:color="auto" w:fill="auto"/>
            <w:vAlign w:val="center"/>
          </w:tcPr>
          <w:p w14:paraId="7A7E5E19">
            <w:pPr>
              <w:pStyle w:val="192"/>
              <w:rPr>
                <w:rFonts w:hint="default" w:ascii="Times New Roman" w:hAnsi="Times New Roman" w:cs="Times New Roman"/>
                <w:spacing w:val="-2"/>
              </w:rPr>
            </w:pPr>
            <w:r>
              <w:rPr>
                <w:rFonts w:hint="default" w:ascii="Times New Roman" w:hAnsi="Times New Roman" w:cs="Times New Roman"/>
                <w:color w:val="000000"/>
              </w:rPr>
              <w:t>1.18</w:t>
            </w:r>
          </w:p>
        </w:tc>
        <w:tc>
          <w:tcPr>
            <w:tcW w:w="618" w:type="pct"/>
            <w:shd w:val="clear" w:color="auto" w:fill="auto"/>
            <w:vAlign w:val="center"/>
          </w:tcPr>
          <w:p w14:paraId="5CECF0BF">
            <w:pPr>
              <w:pStyle w:val="192"/>
              <w:rPr>
                <w:rFonts w:hint="default" w:ascii="Times New Roman" w:hAnsi="Times New Roman" w:cs="Times New Roman"/>
                <w:spacing w:val="-2"/>
              </w:rPr>
            </w:pPr>
            <w:r>
              <w:rPr>
                <w:rFonts w:hint="default" w:ascii="Times New Roman" w:hAnsi="Times New Roman" w:cs="Times New Roman"/>
                <w:color w:val="000000"/>
              </w:rPr>
              <w:t>0.075</w:t>
            </w:r>
          </w:p>
        </w:tc>
      </w:tr>
      <w:tr w14:paraId="543AF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5" w:type="pct"/>
            <w:shd w:val="clear" w:color="auto" w:fill="auto"/>
          </w:tcPr>
          <w:p w14:paraId="69BC95C0">
            <w:pPr>
              <w:pStyle w:val="192"/>
              <w:rPr>
                <w:rFonts w:hint="default" w:ascii="Times New Roman" w:hAnsi="Times New Roman" w:cs="Times New Roman"/>
                <w:spacing w:val="-2"/>
              </w:rPr>
            </w:pPr>
            <w:r>
              <w:rPr>
                <w:rFonts w:hint="default" w:ascii="Times New Roman" w:hAnsi="Times New Roman" w:cs="Times New Roman"/>
                <w:spacing w:val="-2"/>
              </w:rPr>
              <w:t>RTO-10</w:t>
            </w:r>
          </w:p>
        </w:tc>
        <w:tc>
          <w:tcPr>
            <w:tcW w:w="618" w:type="pct"/>
            <w:vAlign w:val="center"/>
          </w:tcPr>
          <w:p w14:paraId="02C9D247">
            <w:pPr>
              <w:pStyle w:val="192"/>
              <w:rPr>
                <w:rFonts w:hint="default" w:ascii="Times New Roman" w:hAnsi="Times New Roman" w:cs="Times New Roman"/>
                <w:spacing w:val="-2"/>
              </w:rPr>
            </w:pPr>
            <w:r>
              <w:rPr>
                <w:rFonts w:hint="default" w:ascii="Times New Roman" w:hAnsi="Times New Roman" w:cs="Times New Roman"/>
                <w:color w:val="000000"/>
              </w:rPr>
              <w:t>—</w:t>
            </w:r>
          </w:p>
        </w:tc>
        <w:tc>
          <w:tcPr>
            <w:tcW w:w="618" w:type="pct"/>
            <w:shd w:val="clear" w:color="auto" w:fill="auto"/>
            <w:vAlign w:val="center"/>
          </w:tcPr>
          <w:p w14:paraId="13949402">
            <w:pPr>
              <w:pStyle w:val="192"/>
              <w:rPr>
                <w:rFonts w:hint="default" w:ascii="Times New Roman" w:hAnsi="Times New Roman" w:cs="Times New Roman"/>
                <w:spacing w:val="-2"/>
              </w:rPr>
            </w:pPr>
            <w:r>
              <w:rPr>
                <w:rFonts w:hint="default" w:ascii="Times New Roman" w:hAnsi="Times New Roman" w:cs="Times New Roman"/>
                <w:color w:val="000000"/>
              </w:rPr>
              <w:t>100</w:t>
            </w:r>
          </w:p>
        </w:tc>
        <w:tc>
          <w:tcPr>
            <w:tcW w:w="618" w:type="pct"/>
            <w:shd w:val="clear" w:color="auto" w:fill="auto"/>
            <w:vAlign w:val="center"/>
          </w:tcPr>
          <w:p w14:paraId="45FEDCA2">
            <w:pPr>
              <w:pStyle w:val="192"/>
              <w:rPr>
                <w:rFonts w:hint="default" w:ascii="Times New Roman" w:hAnsi="Times New Roman" w:cs="Times New Roman"/>
                <w:spacing w:val="-2"/>
              </w:rPr>
            </w:pPr>
            <w:r>
              <w:rPr>
                <w:rFonts w:hint="default" w:ascii="Times New Roman" w:hAnsi="Times New Roman" w:cs="Times New Roman"/>
                <w:color w:val="000000"/>
              </w:rPr>
              <w:t>85-100</w:t>
            </w:r>
          </w:p>
        </w:tc>
        <w:tc>
          <w:tcPr>
            <w:tcW w:w="618" w:type="pct"/>
            <w:shd w:val="clear" w:color="auto" w:fill="auto"/>
            <w:vAlign w:val="center"/>
          </w:tcPr>
          <w:p w14:paraId="5D62FD67">
            <w:pPr>
              <w:pStyle w:val="192"/>
              <w:rPr>
                <w:rFonts w:hint="default" w:ascii="Times New Roman" w:hAnsi="Times New Roman" w:cs="Times New Roman"/>
                <w:spacing w:val="-2"/>
              </w:rPr>
            </w:pPr>
            <w:r>
              <w:rPr>
                <w:rFonts w:hint="default" w:ascii="Times New Roman" w:hAnsi="Times New Roman" w:cs="Times New Roman"/>
                <w:color w:val="000000"/>
              </w:rPr>
              <w:t>24-65</w:t>
            </w:r>
          </w:p>
        </w:tc>
        <w:tc>
          <w:tcPr>
            <w:tcW w:w="618" w:type="pct"/>
            <w:shd w:val="clear" w:color="auto" w:fill="auto"/>
            <w:vAlign w:val="center"/>
          </w:tcPr>
          <w:p w14:paraId="39A04E5B">
            <w:pPr>
              <w:pStyle w:val="192"/>
              <w:rPr>
                <w:rFonts w:hint="default" w:ascii="Times New Roman" w:hAnsi="Times New Roman" w:cs="Times New Roman"/>
                <w:spacing w:val="-2"/>
              </w:rPr>
            </w:pPr>
            <w:r>
              <w:rPr>
                <w:rFonts w:hint="default" w:ascii="Times New Roman" w:hAnsi="Times New Roman" w:cs="Times New Roman"/>
                <w:color w:val="000000"/>
              </w:rPr>
              <w:t>15-35</w:t>
            </w:r>
          </w:p>
        </w:tc>
        <w:tc>
          <w:tcPr>
            <w:tcW w:w="618" w:type="pct"/>
            <w:shd w:val="clear" w:color="auto" w:fill="auto"/>
            <w:vAlign w:val="center"/>
          </w:tcPr>
          <w:p w14:paraId="55EACF26">
            <w:pPr>
              <w:pStyle w:val="192"/>
              <w:rPr>
                <w:rFonts w:hint="default" w:ascii="Times New Roman" w:hAnsi="Times New Roman" w:cs="Times New Roman"/>
                <w:spacing w:val="-2"/>
              </w:rPr>
            </w:pPr>
            <w:r>
              <w:rPr>
                <w:rFonts w:hint="default" w:ascii="Times New Roman" w:hAnsi="Times New Roman" w:cs="Times New Roman"/>
                <w:color w:val="000000"/>
              </w:rPr>
              <w:t>10-28</w:t>
            </w:r>
          </w:p>
        </w:tc>
        <w:tc>
          <w:tcPr>
            <w:tcW w:w="618" w:type="pct"/>
            <w:shd w:val="clear" w:color="auto" w:fill="auto"/>
            <w:vAlign w:val="center"/>
          </w:tcPr>
          <w:p w14:paraId="2C19D9B2">
            <w:pPr>
              <w:pStyle w:val="192"/>
              <w:rPr>
                <w:rFonts w:hint="default" w:ascii="Times New Roman" w:hAnsi="Times New Roman" w:cs="Times New Roman"/>
                <w:spacing w:val="-2"/>
              </w:rPr>
            </w:pPr>
            <w:r>
              <w:rPr>
                <w:rFonts w:hint="default" w:ascii="Times New Roman" w:hAnsi="Times New Roman" w:cs="Times New Roman"/>
                <w:color w:val="000000"/>
              </w:rPr>
              <w:t>2-12</w:t>
            </w:r>
          </w:p>
        </w:tc>
      </w:tr>
      <w:tr w14:paraId="6E0BC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5" w:type="pct"/>
            <w:shd w:val="clear" w:color="auto" w:fill="auto"/>
          </w:tcPr>
          <w:p w14:paraId="7502CA6D">
            <w:pPr>
              <w:pStyle w:val="192"/>
              <w:rPr>
                <w:rFonts w:hint="default" w:ascii="Times New Roman" w:hAnsi="Times New Roman" w:cs="Times New Roman"/>
                <w:spacing w:val="-2"/>
              </w:rPr>
            </w:pPr>
            <w:r>
              <w:rPr>
                <w:rFonts w:hint="default" w:ascii="Times New Roman" w:hAnsi="Times New Roman" w:cs="Times New Roman"/>
                <w:spacing w:val="-2"/>
              </w:rPr>
              <w:t>RTO-13</w:t>
            </w:r>
          </w:p>
        </w:tc>
        <w:tc>
          <w:tcPr>
            <w:tcW w:w="618" w:type="pct"/>
            <w:vAlign w:val="center"/>
          </w:tcPr>
          <w:p w14:paraId="071CACA4">
            <w:pPr>
              <w:pStyle w:val="192"/>
              <w:rPr>
                <w:rFonts w:hint="default" w:ascii="Times New Roman" w:hAnsi="Times New Roman" w:cs="Times New Roman"/>
                <w:spacing w:val="-2"/>
              </w:rPr>
            </w:pPr>
            <w:r>
              <w:rPr>
                <w:rFonts w:hint="default" w:ascii="Times New Roman" w:hAnsi="Times New Roman" w:cs="Times New Roman"/>
                <w:color w:val="000000"/>
              </w:rPr>
              <w:t>100</w:t>
            </w:r>
          </w:p>
        </w:tc>
        <w:tc>
          <w:tcPr>
            <w:tcW w:w="618" w:type="pct"/>
            <w:shd w:val="clear" w:color="auto" w:fill="auto"/>
            <w:vAlign w:val="center"/>
          </w:tcPr>
          <w:p w14:paraId="7217B890">
            <w:pPr>
              <w:pStyle w:val="192"/>
              <w:rPr>
                <w:rFonts w:hint="default" w:ascii="Times New Roman" w:hAnsi="Times New Roman" w:cs="Times New Roman"/>
                <w:spacing w:val="-2"/>
              </w:rPr>
            </w:pPr>
            <w:r>
              <w:rPr>
                <w:rFonts w:hint="default" w:ascii="Times New Roman" w:hAnsi="Times New Roman" w:cs="Times New Roman"/>
                <w:color w:val="000000"/>
              </w:rPr>
              <w:t>85-100</w:t>
            </w:r>
          </w:p>
        </w:tc>
        <w:tc>
          <w:tcPr>
            <w:tcW w:w="618" w:type="pct"/>
            <w:shd w:val="clear" w:color="auto" w:fill="auto"/>
            <w:vAlign w:val="center"/>
          </w:tcPr>
          <w:p w14:paraId="131053DE">
            <w:pPr>
              <w:pStyle w:val="192"/>
              <w:rPr>
                <w:rFonts w:hint="default" w:ascii="Times New Roman" w:hAnsi="Times New Roman" w:cs="Times New Roman"/>
                <w:spacing w:val="-2"/>
              </w:rPr>
            </w:pPr>
            <w:r>
              <w:rPr>
                <w:rFonts w:hint="default" w:ascii="Times New Roman" w:hAnsi="Times New Roman" w:cs="Times New Roman"/>
                <w:color w:val="000000"/>
              </w:rPr>
              <w:t>40-80</w:t>
            </w:r>
          </w:p>
        </w:tc>
        <w:tc>
          <w:tcPr>
            <w:tcW w:w="618" w:type="pct"/>
            <w:shd w:val="clear" w:color="auto" w:fill="auto"/>
            <w:vAlign w:val="center"/>
          </w:tcPr>
          <w:p w14:paraId="746E2052">
            <w:pPr>
              <w:pStyle w:val="192"/>
              <w:rPr>
                <w:rFonts w:hint="default" w:ascii="Times New Roman" w:hAnsi="Times New Roman" w:cs="Times New Roman"/>
                <w:spacing w:val="-2"/>
              </w:rPr>
            </w:pPr>
            <w:r>
              <w:rPr>
                <w:rFonts w:hint="default" w:ascii="Times New Roman" w:hAnsi="Times New Roman" w:cs="Times New Roman"/>
                <w:color w:val="000000"/>
              </w:rPr>
              <w:t>20-55</w:t>
            </w:r>
          </w:p>
        </w:tc>
        <w:tc>
          <w:tcPr>
            <w:tcW w:w="618" w:type="pct"/>
            <w:shd w:val="clear" w:color="auto" w:fill="auto"/>
            <w:vAlign w:val="center"/>
          </w:tcPr>
          <w:p w14:paraId="3FDADE3A">
            <w:pPr>
              <w:pStyle w:val="192"/>
              <w:rPr>
                <w:rFonts w:hint="default" w:ascii="Times New Roman" w:hAnsi="Times New Roman" w:cs="Times New Roman"/>
                <w:spacing w:val="-2"/>
              </w:rPr>
            </w:pPr>
            <w:r>
              <w:rPr>
                <w:rFonts w:hint="default" w:ascii="Times New Roman" w:hAnsi="Times New Roman" w:cs="Times New Roman"/>
                <w:color w:val="000000"/>
              </w:rPr>
              <w:t>10-36</w:t>
            </w:r>
          </w:p>
        </w:tc>
        <w:tc>
          <w:tcPr>
            <w:tcW w:w="618" w:type="pct"/>
            <w:shd w:val="clear" w:color="auto" w:fill="auto"/>
            <w:vAlign w:val="center"/>
          </w:tcPr>
          <w:p w14:paraId="4A8C3B66">
            <w:pPr>
              <w:pStyle w:val="192"/>
              <w:rPr>
                <w:rFonts w:hint="default" w:ascii="Times New Roman" w:hAnsi="Times New Roman" w:cs="Times New Roman"/>
                <w:spacing w:val="-2"/>
              </w:rPr>
            </w:pPr>
            <w:r>
              <w:rPr>
                <w:rFonts w:hint="default" w:ascii="Times New Roman" w:hAnsi="Times New Roman" w:cs="Times New Roman"/>
                <w:color w:val="000000"/>
              </w:rPr>
              <w:t>8-28</w:t>
            </w:r>
          </w:p>
        </w:tc>
        <w:tc>
          <w:tcPr>
            <w:tcW w:w="618" w:type="pct"/>
            <w:shd w:val="clear" w:color="auto" w:fill="auto"/>
            <w:vAlign w:val="center"/>
          </w:tcPr>
          <w:p w14:paraId="00CF9A37">
            <w:pPr>
              <w:pStyle w:val="192"/>
              <w:rPr>
                <w:rFonts w:hint="default" w:ascii="Times New Roman" w:hAnsi="Times New Roman" w:cs="Times New Roman"/>
                <w:spacing w:val="-2"/>
              </w:rPr>
            </w:pPr>
            <w:r>
              <w:rPr>
                <w:rFonts w:hint="default" w:ascii="Times New Roman" w:hAnsi="Times New Roman" w:cs="Times New Roman"/>
                <w:color w:val="000000"/>
              </w:rPr>
              <w:t>4-10</w:t>
            </w:r>
          </w:p>
        </w:tc>
      </w:tr>
      <w:bookmarkEnd w:id="53"/>
    </w:tbl>
    <w:p w14:paraId="492B5995">
      <w:pPr>
        <w:numPr>
          <w:ilvl w:val="2"/>
          <w:numId w:val="17"/>
        </w:numPr>
        <w:spacing w:line="360" w:lineRule="auto"/>
        <w:ind w:left="0" w:firstLine="240" w:firstLineChars="100"/>
        <w:rPr>
          <w:rFonts w:hint="default" w:ascii="Times New Roman" w:hAnsi="Times New Roman" w:cs="Times New Roman"/>
          <w:kern w:val="0"/>
          <w:sz w:val="24"/>
          <w:szCs w:val="20"/>
        </w:rPr>
      </w:pPr>
      <w:r>
        <w:rPr>
          <w:rFonts w:hint="default" w:ascii="Times New Roman" w:hAnsi="Times New Roman" w:cs="Times New Roman"/>
          <w:sz w:val="24"/>
          <w:szCs w:val="32"/>
        </w:rPr>
        <w:t>RTO矿料级配类型的沥青混合料应按表6.2.2规定进行性能试验验</w:t>
      </w:r>
      <w:r>
        <w:rPr>
          <w:rFonts w:hint="default" w:ascii="Times New Roman" w:hAnsi="Times New Roman" w:cs="Times New Roman"/>
          <w:kern w:val="0"/>
          <w:sz w:val="24"/>
          <w:szCs w:val="20"/>
        </w:rPr>
        <w:t xml:space="preserve">证。 </w:t>
      </w:r>
    </w:p>
    <w:p w14:paraId="1F1873E9">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表6.2.2 RTO混合料技术指标</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698"/>
        <w:gridCol w:w="1287"/>
        <w:gridCol w:w="1856"/>
        <w:gridCol w:w="1495"/>
      </w:tblGrid>
      <w:tr w14:paraId="4B80C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14:paraId="08236FC4">
            <w:pPr>
              <w:pStyle w:val="192"/>
              <w:rPr>
                <w:rFonts w:hint="default" w:ascii="Times New Roman" w:hAnsi="Times New Roman" w:cs="Times New Roman"/>
                <w:spacing w:val="-2"/>
                <w:szCs w:val="18"/>
              </w:rPr>
            </w:pPr>
            <w:bookmarkStart w:id="54" w:name="_Hlk187675607"/>
            <w:r>
              <w:rPr>
                <w:rFonts w:hint="default" w:ascii="Times New Roman" w:hAnsi="Times New Roman" w:cs="Times New Roman"/>
                <w:spacing w:val="-2"/>
                <w:szCs w:val="18"/>
              </w:rPr>
              <w:t>指标</w:t>
            </w:r>
          </w:p>
        </w:tc>
        <w:tc>
          <w:tcPr>
            <w:tcW w:w="772" w:type="pct"/>
            <w:shd w:val="clear" w:color="auto" w:fill="auto"/>
          </w:tcPr>
          <w:p w14:paraId="52835592">
            <w:pPr>
              <w:pStyle w:val="192"/>
              <w:rPr>
                <w:rFonts w:hint="default" w:ascii="Times New Roman" w:hAnsi="Times New Roman" w:cs="Times New Roman"/>
                <w:spacing w:val="-2"/>
                <w:szCs w:val="18"/>
              </w:rPr>
            </w:pPr>
            <w:r>
              <w:rPr>
                <w:rFonts w:hint="default" w:ascii="Times New Roman" w:hAnsi="Times New Roman" w:cs="Times New Roman"/>
                <w:spacing w:val="-2"/>
                <w:szCs w:val="18"/>
              </w:rPr>
              <w:t>单位</w:t>
            </w:r>
          </w:p>
        </w:tc>
        <w:tc>
          <w:tcPr>
            <w:tcW w:w="1113" w:type="pct"/>
            <w:shd w:val="clear" w:color="auto" w:fill="auto"/>
          </w:tcPr>
          <w:p w14:paraId="137691B1">
            <w:pPr>
              <w:pStyle w:val="192"/>
              <w:rPr>
                <w:rFonts w:hint="default" w:ascii="Times New Roman" w:hAnsi="Times New Roman" w:cs="Times New Roman"/>
                <w:spacing w:val="-2"/>
                <w:szCs w:val="18"/>
              </w:rPr>
            </w:pPr>
            <w:r>
              <w:rPr>
                <w:rFonts w:hint="default" w:ascii="Times New Roman" w:hAnsi="Times New Roman" w:cs="Times New Roman"/>
                <w:spacing w:val="-2"/>
                <w:szCs w:val="18"/>
              </w:rPr>
              <w:t>技术指标</w:t>
            </w:r>
          </w:p>
        </w:tc>
        <w:tc>
          <w:tcPr>
            <w:tcW w:w="897" w:type="pct"/>
            <w:shd w:val="clear" w:color="auto" w:fill="auto"/>
          </w:tcPr>
          <w:p w14:paraId="46BFEA00">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14:paraId="25F18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14:paraId="272E736C">
            <w:pPr>
              <w:pStyle w:val="192"/>
              <w:rPr>
                <w:rFonts w:hint="default" w:ascii="Times New Roman" w:hAnsi="Times New Roman" w:cs="Times New Roman"/>
                <w:spacing w:val="-2"/>
                <w:szCs w:val="18"/>
              </w:rPr>
            </w:pPr>
            <w:r>
              <w:rPr>
                <w:rFonts w:hint="default" w:ascii="Times New Roman" w:hAnsi="Times New Roman" w:cs="Times New Roman"/>
                <w:spacing w:val="-2"/>
                <w:szCs w:val="18"/>
              </w:rPr>
              <w:t>马歇尔试件击实次数</w:t>
            </w:r>
          </w:p>
        </w:tc>
        <w:tc>
          <w:tcPr>
            <w:tcW w:w="772" w:type="pct"/>
            <w:shd w:val="clear" w:color="auto" w:fill="auto"/>
          </w:tcPr>
          <w:p w14:paraId="3C0EAE35">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14:paraId="1A3DF508">
            <w:pPr>
              <w:pStyle w:val="192"/>
              <w:rPr>
                <w:rFonts w:hint="default" w:ascii="Times New Roman" w:hAnsi="Times New Roman" w:cs="Times New Roman"/>
                <w:spacing w:val="-2"/>
                <w:szCs w:val="18"/>
              </w:rPr>
            </w:pPr>
            <w:r>
              <w:rPr>
                <w:rFonts w:hint="default" w:ascii="Times New Roman" w:hAnsi="Times New Roman" w:cs="Times New Roman"/>
                <w:spacing w:val="-2"/>
                <w:szCs w:val="18"/>
              </w:rPr>
              <w:t>双面击实75次</w:t>
            </w:r>
          </w:p>
        </w:tc>
        <w:tc>
          <w:tcPr>
            <w:tcW w:w="897" w:type="pct"/>
            <w:shd w:val="clear" w:color="auto" w:fill="auto"/>
          </w:tcPr>
          <w:p w14:paraId="55EDFC36">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T0702</w:t>
            </w:r>
          </w:p>
        </w:tc>
      </w:tr>
      <w:tr w14:paraId="36E12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vAlign w:val="center"/>
          </w:tcPr>
          <w:p w14:paraId="433C68E2">
            <w:pPr>
              <w:pStyle w:val="192"/>
              <w:rPr>
                <w:rFonts w:hint="default" w:ascii="Times New Roman" w:hAnsi="Times New Roman" w:cs="Times New Roman"/>
                <w:spacing w:val="-2"/>
                <w:szCs w:val="18"/>
              </w:rPr>
            </w:pPr>
            <w:r>
              <w:rPr>
                <w:rFonts w:hint="default" w:ascii="Times New Roman" w:hAnsi="Times New Roman" w:cs="Times New Roman"/>
                <w:spacing w:val="-2"/>
                <w:szCs w:val="18"/>
              </w:rPr>
              <w:t>空隙率VV</w:t>
            </w:r>
          </w:p>
        </w:tc>
        <w:tc>
          <w:tcPr>
            <w:tcW w:w="772" w:type="pct"/>
            <w:shd w:val="clear" w:color="auto" w:fill="auto"/>
          </w:tcPr>
          <w:p w14:paraId="7F908448">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14:paraId="662FCAB8">
            <w:pPr>
              <w:pStyle w:val="192"/>
              <w:rPr>
                <w:rFonts w:hint="default" w:ascii="Times New Roman" w:hAnsi="Times New Roman" w:cs="Times New Roman"/>
                <w:spacing w:val="-2"/>
                <w:szCs w:val="18"/>
              </w:rPr>
            </w:pPr>
            <w:r>
              <w:rPr>
                <w:rFonts w:hint="default" w:ascii="Times New Roman" w:hAnsi="Times New Roman" w:cs="Times New Roman"/>
                <w:spacing w:val="-2"/>
                <w:szCs w:val="18"/>
              </w:rPr>
              <w:t>6~15</w:t>
            </w:r>
          </w:p>
        </w:tc>
        <w:tc>
          <w:tcPr>
            <w:tcW w:w="897" w:type="pct"/>
            <w:shd w:val="clear" w:color="auto" w:fill="auto"/>
            <w:vAlign w:val="center"/>
          </w:tcPr>
          <w:p w14:paraId="5280EBC1">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T0708</w:t>
            </w:r>
          </w:p>
        </w:tc>
      </w:tr>
      <w:tr w14:paraId="1A98B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14:paraId="54A365B1">
            <w:pPr>
              <w:pStyle w:val="192"/>
              <w:rPr>
                <w:rFonts w:hint="default" w:ascii="Times New Roman" w:hAnsi="Times New Roman" w:cs="Times New Roman"/>
                <w:spacing w:val="-2"/>
                <w:szCs w:val="18"/>
              </w:rPr>
            </w:pPr>
            <w:r>
              <w:rPr>
                <w:rFonts w:hint="default" w:ascii="Times New Roman" w:hAnsi="Times New Roman" w:cs="Times New Roman"/>
                <w:spacing w:val="-2"/>
                <w:szCs w:val="18"/>
              </w:rPr>
              <w:t>矿料间隙率VMA</w:t>
            </w:r>
          </w:p>
        </w:tc>
        <w:tc>
          <w:tcPr>
            <w:tcW w:w="772" w:type="pct"/>
            <w:shd w:val="clear" w:color="auto" w:fill="auto"/>
          </w:tcPr>
          <w:p w14:paraId="1B811AE2">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14:paraId="42F11E67">
            <w:pPr>
              <w:pStyle w:val="192"/>
              <w:rPr>
                <w:rFonts w:hint="default" w:ascii="Times New Roman" w:hAnsi="Times New Roman" w:cs="Times New Roman"/>
                <w:spacing w:val="-2"/>
                <w:szCs w:val="18"/>
              </w:rPr>
            </w:pPr>
            <w:r>
              <w:rPr>
                <w:rFonts w:hint="default" w:ascii="Times New Roman" w:hAnsi="Times New Roman" w:cs="Times New Roman"/>
                <w:spacing w:val="-2"/>
                <w:szCs w:val="18"/>
              </w:rPr>
              <w:t>≥15</w:t>
            </w:r>
          </w:p>
        </w:tc>
        <w:tc>
          <w:tcPr>
            <w:tcW w:w="897" w:type="pct"/>
            <w:shd w:val="clear" w:color="auto" w:fill="auto"/>
          </w:tcPr>
          <w:p w14:paraId="37282824">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T0705</w:t>
            </w:r>
          </w:p>
        </w:tc>
      </w:tr>
      <w:tr w14:paraId="6523A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14:paraId="0C4332DD">
            <w:pPr>
              <w:pStyle w:val="192"/>
              <w:rPr>
                <w:rFonts w:hint="default" w:ascii="Times New Roman" w:hAnsi="Times New Roman" w:cs="Times New Roman"/>
                <w:spacing w:val="-2"/>
                <w:szCs w:val="18"/>
              </w:rPr>
            </w:pPr>
            <w:r>
              <w:rPr>
                <w:rFonts w:hint="default" w:ascii="Times New Roman" w:hAnsi="Times New Roman" w:cs="Times New Roman"/>
                <w:spacing w:val="-2"/>
                <w:szCs w:val="18"/>
              </w:rPr>
              <w:t>沥青饱和度VFA</w:t>
            </w:r>
          </w:p>
        </w:tc>
        <w:tc>
          <w:tcPr>
            <w:tcW w:w="772" w:type="pct"/>
            <w:shd w:val="clear" w:color="auto" w:fill="auto"/>
          </w:tcPr>
          <w:p w14:paraId="090303EF">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14:paraId="53BA8B6A">
            <w:pPr>
              <w:pStyle w:val="192"/>
              <w:rPr>
                <w:rFonts w:hint="default" w:ascii="Times New Roman" w:hAnsi="Times New Roman" w:cs="Times New Roman"/>
                <w:spacing w:val="-2"/>
                <w:szCs w:val="18"/>
              </w:rPr>
            </w:pPr>
            <w:r>
              <w:rPr>
                <w:rFonts w:hint="default" w:ascii="Times New Roman" w:hAnsi="Times New Roman" w:cs="Times New Roman"/>
                <w:spacing w:val="-2"/>
                <w:szCs w:val="18"/>
              </w:rPr>
              <w:t>55~70</w:t>
            </w:r>
          </w:p>
        </w:tc>
        <w:tc>
          <w:tcPr>
            <w:tcW w:w="897" w:type="pct"/>
            <w:shd w:val="clear" w:color="auto" w:fill="auto"/>
          </w:tcPr>
          <w:p w14:paraId="36834610">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T0705</w:t>
            </w:r>
          </w:p>
        </w:tc>
      </w:tr>
      <w:tr w14:paraId="1C026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14:paraId="6F621614">
            <w:pPr>
              <w:pStyle w:val="192"/>
              <w:rPr>
                <w:rFonts w:hint="default" w:ascii="Times New Roman" w:hAnsi="Times New Roman" w:cs="Times New Roman"/>
                <w:spacing w:val="-2"/>
                <w:szCs w:val="18"/>
              </w:rPr>
            </w:pPr>
            <w:r>
              <w:rPr>
                <w:rFonts w:hint="default" w:ascii="Times New Roman" w:hAnsi="Times New Roman" w:cs="Times New Roman"/>
                <w:spacing w:val="-2"/>
                <w:szCs w:val="18"/>
              </w:rPr>
              <w:t>马歇尔稳定度</w:t>
            </w:r>
          </w:p>
        </w:tc>
        <w:tc>
          <w:tcPr>
            <w:tcW w:w="772" w:type="pct"/>
            <w:shd w:val="clear" w:color="auto" w:fill="auto"/>
          </w:tcPr>
          <w:p w14:paraId="20F5F4A1">
            <w:pPr>
              <w:pStyle w:val="192"/>
              <w:rPr>
                <w:rFonts w:hint="default" w:ascii="Times New Roman" w:hAnsi="Times New Roman" w:cs="Times New Roman"/>
                <w:spacing w:val="-2"/>
                <w:szCs w:val="18"/>
              </w:rPr>
            </w:pPr>
            <w:r>
              <w:rPr>
                <w:rFonts w:hint="default" w:ascii="Times New Roman" w:hAnsi="Times New Roman" w:cs="Times New Roman"/>
                <w:spacing w:val="-2"/>
                <w:szCs w:val="18"/>
              </w:rPr>
              <w:t>kN</w:t>
            </w:r>
          </w:p>
        </w:tc>
        <w:tc>
          <w:tcPr>
            <w:tcW w:w="1113" w:type="pct"/>
            <w:shd w:val="clear" w:color="auto" w:fill="auto"/>
          </w:tcPr>
          <w:p w14:paraId="16B6859B">
            <w:pPr>
              <w:pStyle w:val="192"/>
              <w:rPr>
                <w:rFonts w:hint="default" w:ascii="Times New Roman" w:hAnsi="Times New Roman" w:cs="Times New Roman"/>
                <w:spacing w:val="-2"/>
                <w:szCs w:val="18"/>
              </w:rPr>
            </w:pPr>
            <w:r>
              <w:rPr>
                <w:rFonts w:hint="default" w:ascii="Times New Roman" w:hAnsi="Times New Roman" w:cs="Times New Roman"/>
                <w:spacing w:val="-2"/>
                <w:szCs w:val="18"/>
              </w:rPr>
              <w:t>≥6</w:t>
            </w:r>
          </w:p>
        </w:tc>
        <w:tc>
          <w:tcPr>
            <w:tcW w:w="897" w:type="pct"/>
            <w:shd w:val="clear" w:color="auto" w:fill="auto"/>
          </w:tcPr>
          <w:p w14:paraId="733038DD">
            <w:pPr>
              <w:pStyle w:val="192"/>
              <w:rPr>
                <w:rFonts w:hint="default" w:ascii="Times New Roman" w:hAnsi="Times New Roman" w:cs="Times New Roman"/>
                <w:spacing w:val="-2"/>
                <w:szCs w:val="18"/>
              </w:rPr>
            </w:pPr>
            <w:r>
              <w:rPr>
                <w:rFonts w:hint="default" w:ascii="Times New Roman" w:hAnsi="Times New Roman" w:cs="Times New Roman"/>
                <w:spacing w:val="-2"/>
                <w:szCs w:val="18"/>
              </w:rPr>
              <w:t>T0719</w:t>
            </w:r>
          </w:p>
        </w:tc>
      </w:tr>
      <w:tr w14:paraId="00F62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14:paraId="62D58586">
            <w:pPr>
              <w:pStyle w:val="192"/>
              <w:rPr>
                <w:rFonts w:hint="default" w:ascii="Times New Roman" w:hAnsi="Times New Roman" w:cs="Times New Roman"/>
                <w:spacing w:val="-2"/>
                <w:szCs w:val="18"/>
              </w:rPr>
            </w:pPr>
            <w:r>
              <w:rPr>
                <w:rFonts w:hint="default" w:ascii="Times New Roman" w:hAnsi="Times New Roman" w:cs="Times New Roman"/>
                <w:spacing w:val="-2"/>
                <w:szCs w:val="18"/>
              </w:rPr>
              <w:t>流值</w:t>
            </w:r>
          </w:p>
        </w:tc>
        <w:tc>
          <w:tcPr>
            <w:tcW w:w="772" w:type="pct"/>
            <w:shd w:val="clear" w:color="auto" w:fill="auto"/>
          </w:tcPr>
          <w:p w14:paraId="3470419E">
            <w:pPr>
              <w:pStyle w:val="192"/>
              <w:rPr>
                <w:rFonts w:hint="default" w:ascii="Times New Roman" w:hAnsi="Times New Roman" w:cs="Times New Roman"/>
                <w:spacing w:val="-2"/>
                <w:szCs w:val="18"/>
              </w:rPr>
            </w:pPr>
            <w:r>
              <w:rPr>
                <w:rFonts w:hint="default" w:ascii="Times New Roman" w:hAnsi="Times New Roman" w:cs="Times New Roman"/>
                <w:spacing w:val="-2"/>
                <w:szCs w:val="18"/>
              </w:rPr>
              <w:t>mm</w:t>
            </w:r>
          </w:p>
        </w:tc>
        <w:tc>
          <w:tcPr>
            <w:tcW w:w="1113" w:type="pct"/>
            <w:shd w:val="clear" w:color="auto" w:fill="auto"/>
          </w:tcPr>
          <w:p w14:paraId="51921F5E">
            <w:pPr>
              <w:pStyle w:val="192"/>
              <w:rPr>
                <w:rFonts w:hint="default" w:ascii="Times New Roman" w:hAnsi="Times New Roman" w:cs="Times New Roman"/>
                <w:spacing w:val="-2"/>
                <w:szCs w:val="18"/>
              </w:rPr>
            </w:pPr>
            <w:r>
              <w:rPr>
                <w:rFonts w:hint="default" w:ascii="Times New Roman" w:hAnsi="Times New Roman" w:cs="Times New Roman"/>
                <w:spacing w:val="-2"/>
                <w:szCs w:val="18"/>
              </w:rPr>
              <w:t>2~4</w:t>
            </w:r>
          </w:p>
        </w:tc>
        <w:tc>
          <w:tcPr>
            <w:tcW w:w="897" w:type="pct"/>
            <w:shd w:val="clear" w:color="auto" w:fill="auto"/>
          </w:tcPr>
          <w:p w14:paraId="6DCA323C">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T0709</w:t>
            </w:r>
          </w:p>
        </w:tc>
      </w:tr>
      <w:tr w14:paraId="7435E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14:paraId="224C9068">
            <w:pPr>
              <w:pStyle w:val="192"/>
              <w:rPr>
                <w:rFonts w:hint="default" w:ascii="Times New Roman" w:hAnsi="Times New Roman" w:cs="Times New Roman"/>
                <w:spacing w:val="-2"/>
                <w:szCs w:val="18"/>
              </w:rPr>
            </w:pPr>
            <w:r>
              <w:rPr>
                <w:rFonts w:hint="default" w:ascii="Times New Roman" w:hAnsi="Times New Roman" w:cs="Times New Roman"/>
                <w:spacing w:val="-2"/>
                <w:szCs w:val="18"/>
              </w:rPr>
              <w:t>冻融劈裂试验残留强度比TSR</w:t>
            </w:r>
          </w:p>
        </w:tc>
        <w:tc>
          <w:tcPr>
            <w:tcW w:w="772" w:type="pct"/>
            <w:shd w:val="clear" w:color="auto" w:fill="auto"/>
          </w:tcPr>
          <w:p w14:paraId="6E4C9D60">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14:paraId="0C3E638A">
            <w:pPr>
              <w:pStyle w:val="192"/>
              <w:rPr>
                <w:rFonts w:hint="default" w:ascii="Times New Roman" w:hAnsi="Times New Roman" w:cs="Times New Roman"/>
                <w:spacing w:val="-2"/>
                <w:szCs w:val="18"/>
              </w:rPr>
            </w:pPr>
            <w:r>
              <w:rPr>
                <w:rFonts w:hint="default" w:ascii="Times New Roman" w:hAnsi="Times New Roman" w:cs="Times New Roman"/>
                <w:spacing w:val="-2"/>
                <w:szCs w:val="18"/>
              </w:rPr>
              <w:t>≥80</w:t>
            </w:r>
          </w:p>
        </w:tc>
        <w:tc>
          <w:tcPr>
            <w:tcW w:w="897" w:type="pct"/>
            <w:shd w:val="clear" w:color="auto" w:fill="auto"/>
          </w:tcPr>
          <w:p w14:paraId="507D5BC1">
            <w:pPr>
              <w:pStyle w:val="192"/>
              <w:rPr>
                <w:rFonts w:hint="default" w:ascii="Times New Roman" w:hAnsi="Times New Roman" w:cs="Times New Roman"/>
                <w:spacing w:val="-2"/>
                <w:szCs w:val="18"/>
              </w:rPr>
            </w:pPr>
            <w:r>
              <w:rPr>
                <w:rFonts w:hint="default" w:ascii="Times New Roman" w:hAnsi="Times New Roman" w:cs="Times New Roman"/>
                <w:spacing w:val="-2"/>
                <w:szCs w:val="18"/>
              </w:rPr>
              <w:t>T0729</w:t>
            </w:r>
          </w:p>
        </w:tc>
      </w:tr>
      <w:tr w14:paraId="6DCF4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14:paraId="529BAAC4">
            <w:pPr>
              <w:pStyle w:val="192"/>
              <w:rPr>
                <w:rFonts w:hint="default" w:ascii="Times New Roman" w:hAnsi="Times New Roman" w:cs="Times New Roman"/>
                <w:spacing w:val="-2"/>
                <w:szCs w:val="18"/>
              </w:rPr>
            </w:pPr>
            <w:r>
              <w:rPr>
                <w:rFonts w:hint="default" w:ascii="Times New Roman" w:hAnsi="Times New Roman" w:cs="Times New Roman"/>
                <w:spacing w:val="-2"/>
                <w:szCs w:val="18"/>
              </w:rPr>
              <w:t>车辙试验动稳定度(40℃)</w:t>
            </w:r>
          </w:p>
        </w:tc>
        <w:tc>
          <w:tcPr>
            <w:tcW w:w="772" w:type="pct"/>
            <w:shd w:val="clear" w:color="auto" w:fill="auto"/>
          </w:tcPr>
          <w:p w14:paraId="38F2FF3D">
            <w:pPr>
              <w:pStyle w:val="192"/>
              <w:rPr>
                <w:rFonts w:hint="default" w:ascii="Times New Roman" w:hAnsi="Times New Roman" w:cs="Times New Roman"/>
                <w:spacing w:val="-2"/>
                <w:szCs w:val="18"/>
              </w:rPr>
            </w:pPr>
            <w:r>
              <w:rPr>
                <w:rFonts w:hint="default" w:ascii="Times New Roman" w:hAnsi="Times New Roman" w:cs="Times New Roman"/>
                <w:spacing w:val="-2"/>
                <w:szCs w:val="18"/>
              </w:rPr>
              <w:t>次/mm</w:t>
            </w:r>
          </w:p>
        </w:tc>
        <w:tc>
          <w:tcPr>
            <w:tcW w:w="1113" w:type="pct"/>
            <w:shd w:val="clear" w:color="auto" w:fill="auto"/>
          </w:tcPr>
          <w:p w14:paraId="5D369F6D">
            <w:pPr>
              <w:pStyle w:val="192"/>
              <w:rPr>
                <w:rFonts w:hint="default" w:ascii="Times New Roman" w:hAnsi="Times New Roman" w:cs="Times New Roman"/>
                <w:spacing w:val="-2"/>
                <w:szCs w:val="18"/>
              </w:rPr>
            </w:pPr>
            <w:r>
              <w:rPr>
                <w:rFonts w:hint="default" w:ascii="Times New Roman" w:hAnsi="Times New Roman" w:cs="Times New Roman"/>
                <w:spacing w:val="-2"/>
                <w:szCs w:val="18"/>
              </w:rPr>
              <w:t>≥1000</w:t>
            </w:r>
          </w:p>
        </w:tc>
        <w:tc>
          <w:tcPr>
            <w:tcW w:w="897" w:type="pct"/>
            <w:shd w:val="clear" w:color="auto" w:fill="auto"/>
          </w:tcPr>
          <w:p w14:paraId="138EF164">
            <w:pPr>
              <w:pStyle w:val="192"/>
              <w:rPr>
                <w:rFonts w:hint="default" w:ascii="Times New Roman" w:hAnsi="Times New Roman" w:cs="Times New Roman"/>
                <w:spacing w:val="-2"/>
                <w:szCs w:val="18"/>
              </w:rPr>
            </w:pPr>
            <w:r>
              <w:rPr>
                <w:rFonts w:hint="default" w:ascii="Times New Roman" w:hAnsi="Times New Roman" w:cs="Times New Roman"/>
                <w:spacing w:val="-2"/>
                <w:szCs w:val="18"/>
              </w:rPr>
              <w:t>T0719</w:t>
            </w:r>
          </w:p>
        </w:tc>
      </w:tr>
      <w:tr w14:paraId="361D8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8" w:type="pct"/>
            <w:shd w:val="clear" w:color="auto" w:fill="auto"/>
          </w:tcPr>
          <w:p w14:paraId="43C3CC58">
            <w:pPr>
              <w:pStyle w:val="192"/>
              <w:rPr>
                <w:rFonts w:hint="default" w:ascii="Times New Roman" w:hAnsi="Times New Roman" w:cs="Times New Roman"/>
                <w:spacing w:val="-2"/>
                <w:szCs w:val="18"/>
              </w:rPr>
            </w:pPr>
            <w:r>
              <w:rPr>
                <w:rFonts w:hint="default" w:ascii="Times New Roman" w:hAnsi="Times New Roman" w:cs="Times New Roman"/>
                <w:spacing w:val="-2"/>
                <w:szCs w:val="18"/>
              </w:rPr>
              <w:t>肯塔堡飞散损失率</w:t>
            </w:r>
          </w:p>
        </w:tc>
        <w:tc>
          <w:tcPr>
            <w:tcW w:w="772" w:type="pct"/>
            <w:shd w:val="clear" w:color="auto" w:fill="auto"/>
          </w:tcPr>
          <w:p w14:paraId="49831506">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14:paraId="44CA64D7">
            <w:pPr>
              <w:pStyle w:val="192"/>
              <w:rPr>
                <w:rFonts w:hint="default" w:ascii="Times New Roman" w:hAnsi="Times New Roman" w:cs="Times New Roman"/>
                <w:spacing w:val="-2"/>
                <w:szCs w:val="18"/>
              </w:rPr>
            </w:pPr>
            <w:r>
              <w:rPr>
                <w:rFonts w:hint="default" w:ascii="Times New Roman" w:hAnsi="Times New Roman" w:cs="Times New Roman"/>
                <w:spacing w:val="-2"/>
                <w:szCs w:val="18"/>
              </w:rPr>
              <w:t>＜15</w:t>
            </w:r>
          </w:p>
        </w:tc>
        <w:tc>
          <w:tcPr>
            <w:tcW w:w="897" w:type="pct"/>
            <w:shd w:val="clear" w:color="auto" w:fill="auto"/>
          </w:tcPr>
          <w:p w14:paraId="238B67E5">
            <w:pPr>
              <w:pStyle w:val="192"/>
              <w:rPr>
                <w:rFonts w:hint="default" w:ascii="Times New Roman" w:hAnsi="Times New Roman" w:cs="Times New Roman"/>
                <w:spacing w:val="-2"/>
                <w:szCs w:val="18"/>
              </w:rPr>
            </w:pPr>
            <w:r>
              <w:rPr>
                <w:rFonts w:hint="default" w:ascii="Times New Roman" w:hAnsi="Times New Roman" w:cs="Times New Roman"/>
                <w:spacing w:val="-2"/>
                <w:szCs w:val="18"/>
              </w:rPr>
              <w:t>T0733</w:t>
            </w:r>
          </w:p>
        </w:tc>
      </w:tr>
      <w:bookmarkEnd w:id="52"/>
      <w:bookmarkEnd w:id="54"/>
    </w:tbl>
    <w:p w14:paraId="0A983C8F">
      <w:pPr>
        <w:pStyle w:val="52"/>
        <w:spacing w:beforeLines="0" w:afterLines="0" w:line="360" w:lineRule="auto"/>
        <w:outlineLvl w:val="9"/>
        <w:rPr>
          <w:rFonts w:hint="default" w:ascii="Times New Roman" w:hAnsi="Times New Roman" w:eastAsia="楷体" w:cs="Times New Roman"/>
          <w:sz w:val="24"/>
        </w:rPr>
        <w:sectPr>
          <w:footerReference r:id="rId18" w:type="first"/>
          <w:headerReference r:id="rId15" w:type="default"/>
          <w:footerReference r:id="rId17" w:type="default"/>
          <w:headerReference r:id="rId16" w:type="even"/>
          <w:pgSz w:w="11906" w:h="16838"/>
          <w:pgMar w:top="1440" w:right="1800" w:bottom="1440" w:left="1800" w:header="850" w:footer="992" w:gutter="0"/>
          <w:cols w:space="425" w:num="1"/>
          <w:formProt w:val="0"/>
          <w:docGrid w:type="lines" w:linePitch="312" w:charSpace="0"/>
        </w:sectPr>
      </w:pPr>
      <w:bookmarkStart w:id="55" w:name="_Hlk187675641"/>
      <w:bookmarkStart w:id="56" w:name="_Toc126742843"/>
      <w:bookmarkStart w:id="57" w:name="_Toc179636664"/>
      <w:r>
        <w:rPr>
          <w:rFonts w:hint="default" w:ascii="Times New Roman" w:hAnsi="Times New Roman" w:eastAsia="楷体" w:cs="Times New Roman"/>
          <w:sz w:val="24"/>
        </w:rPr>
        <w:t>注：</w:t>
      </w:r>
      <w:bookmarkStart w:id="58" w:name="_Hlk187675706"/>
      <w:r>
        <w:rPr>
          <w:rFonts w:hint="default" w:ascii="Times New Roman" w:hAnsi="Times New Roman" w:eastAsia="楷体" w:cs="Times New Roman"/>
          <w:sz w:val="24"/>
        </w:rPr>
        <w:t>为了充分还原现场施工真实状态，RTO混合料在进行车辙动稳定度试验时需在室温下进行7d的养生。</w:t>
      </w:r>
      <w:bookmarkEnd w:id="58"/>
    </w:p>
    <w:bookmarkEnd w:id="55"/>
    <w:p w14:paraId="42993522">
      <w:pPr>
        <w:pStyle w:val="29"/>
        <w:tabs>
          <w:tab w:val="clear" w:pos="4201"/>
          <w:tab w:val="clear" w:pos="9298"/>
        </w:tabs>
        <w:ind w:firstLine="0" w:firstLineChars="0"/>
        <w:rPr>
          <w:rFonts w:hint="default" w:ascii="Times New Roman" w:hAnsi="Times New Roman" w:cs="Times New Roman"/>
        </w:rPr>
      </w:pPr>
    </w:p>
    <w:p w14:paraId="04C6E5E3">
      <w:pPr>
        <w:pStyle w:val="52"/>
        <w:numPr>
          <w:ilvl w:val="0"/>
          <w:numId w:val="17"/>
        </w:numPr>
        <w:spacing w:beforeLines="0" w:afterLines="0" w:line="360" w:lineRule="auto"/>
        <w:outlineLvl w:val="0"/>
        <w:rPr>
          <w:rFonts w:hint="default" w:ascii="Times New Roman" w:hAnsi="Times New Roman" w:cs="Times New Roman" w:eastAsiaTheme="minorEastAsia"/>
          <w:b/>
          <w:bCs/>
          <w:sz w:val="32"/>
          <w:szCs w:val="22"/>
        </w:rPr>
      </w:pPr>
      <w:bookmarkStart w:id="59" w:name="_Toc23963"/>
      <w:r>
        <w:rPr>
          <w:rFonts w:hint="default" w:ascii="Times New Roman" w:hAnsi="Times New Roman" w:cs="Times New Roman" w:eastAsiaTheme="minorEastAsia"/>
          <w:b/>
          <w:bCs/>
          <w:sz w:val="32"/>
          <w:szCs w:val="22"/>
        </w:rPr>
        <w:t>施工</w:t>
      </w:r>
      <w:bookmarkEnd w:id="56"/>
      <w:bookmarkEnd w:id="57"/>
      <w:bookmarkEnd w:id="59"/>
      <w:bookmarkStart w:id="60" w:name="DW"/>
      <w:bookmarkEnd w:id="60"/>
    </w:p>
    <w:p w14:paraId="2D5F416A">
      <w:pPr>
        <w:pStyle w:val="49"/>
        <w:numPr>
          <w:ilvl w:val="1"/>
          <w:numId w:val="21"/>
        </w:numPr>
        <w:spacing w:beforeLines="0" w:afterLines="0" w:line="360" w:lineRule="auto"/>
        <w:ind w:left="0" w:firstLine="0"/>
        <w:outlineLvl w:val="1"/>
        <w:rPr>
          <w:rFonts w:hint="default" w:ascii="Times New Roman" w:hAnsi="Times New Roman" w:eastAsia="宋体" w:cs="Times New Roman"/>
          <w:b/>
          <w:bCs/>
          <w:sz w:val="24"/>
        </w:rPr>
      </w:pPr>
      <w:bookmarkStart w:id="61" w:name="_Toc16872"/>
      <w:bookmarkStart w:id="62" w:name="_Toc126742844"/>
      <w:bookmarkStart w:id="63" w:name="_Toc179636665"/>
      <w:r>
        <w:rPr>
          <w:rFonts w:hint="default" w:ascii="Times New Roman" w:hAnsi="Times New Roman" w:eastAsia="宋体" w:cs="Times New Roman"/>
          <w:b/>
          <w:bCs/>
          <w:sz w:val="24"/>
        </w:rPr>
        <w:t>一般规定</w:t>
      </w:r>
      <w:bookmarkEnd w:id="61"/>
      <w:bookmarkEnd w:id="62"/>
      <w:bookmarkEnd w:id="63"/>
    </w:p>
    <w:p w14:paraId="594716F9">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全再生薄层罩面施工前，应按设计要求完成对原路面病害、标线等的处理，并确定原路面清洁、干燥。</w:t>
      </w:r>
    </w:p>
    <w:p w14:paraId="12B4E590">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气温低于10</w:t>
      </w:r>
      <w:r>
        <w:rPr>
          <w:rFonts w:hint="default" w:ascii="Times New Roman" w:hAnsi="Times New Roman" w:eastAsia="宋体" w:cs="Times New Roman"/>
          <w:sz w:val="24"/>
          <w:szCs w:val="32"/>
        </w:rPr>
        <w:t>℃</w:t>
      </w:r>
      <w:r>
        <w:rPr>
          <w:rFonts w:hint="default" w:ascii="Times New Roman" w:hAnsi="Times New Roman" w:cs="Times New Roman"/>
          <w:sz w:val="24"/>
          <w:szCs w:val="32"/>
        </w:rPr>
        <w:t>及下雨、大风等恶劣天气条件下不得施工</w:t>
      </w:r>
    </w:p>
    <w:p w14:paraId="6A9BFAFA">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全再生薄层罩面施工前应准备满足施工要求的再生沥青混合料拌合设备、运料车、黏层材料喷洒设备、摊铺机、压路机等生产施工设备，并保证其处于良好的工作状态。</w:t>
      </w:r>
    </w:p>
    <w:p w14:paraId="3832582C">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全再生薄层罩面混合料应采用间歇式拌和设备进行拌制，并应满足下列要求：</w:t>
      </w:r>
    </w:p>
    <w:p w14:paraId="17C9B359">
      <w:pPr>
        <w:pStyle w:val="186"/>
        <w:numPr>
          <w:ilvl w:val="0"/>
          <w:numId w:val="22"/>
        </w:num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应配备独立的沥青混合料回收料（RAP）加热滚筒，加热筒内应设置避免RAP黏附滚筒内壁的专门装置，RAP加热滚筒出料口应安装测温装置，温度测量精度宜不低于±3℃。</w:t>
      </w:r>
    </w:p>
    <w:p w14:paraId="581EE970">
      <w:pPr>
        <w:pStyle w:val="186"/>
        <w:numPr>
          <w:ilvl w:val="0"/>
          <w:numId w:val="22"/>
        </w:num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 xml:space="preserve"> 必须具有防止粉尘飞扬散失的密封性能及除尘设备。</w:t>
      </w:r>
    </w:p>
    <w:p w14:paraId="1322741F">
      <w:pPr>
        <w:pStyle w:val="186"/>
        <w:numPr>
          <w:ilvl w:val="0"/>
          <w:numId w:val="22"/>
        </w:num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 xml:space="preserve"> 应配备独立的沥青混合料回收料（RAP）热料暂存仓，热料暂存仓应具有加热保温功能并宜具有料位检测装置。</w:t>
      </w:r>
    </w:p>
    <w:p w14:paraId="17EDAC38">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应按生产配合比进行试拌，铺筑试验段，试验段长度不宜小于200m。通过试验段确定的标准配合比和施工工艺，经监理或业主认可后作为正式施工依据，施工过程中不得随意更改。</w:t>
      </w:r>
    </w:p>
    <w:p w14:paraId="336AFCF4">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全再生薄层罩面的施工温度应符合表7.1.6的规定。</w:t>
      </w:r>
    </w:p>
    <w:p w14:paraId="2A76FD3A">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表7.1.6 全再生薄层罩面全过程的温度范围</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96"/>
        <w:gridCol w:w="4040"/>
      </w:tblGrid>
      <w:tr w14:paraId="2F455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tcPr>
          <w:p w14:paraId="31DD52B8">
            <w:pPr>
              <w:pStyle w:val="192"/>
              <w:rPr>
                <w:rFonts w:hint="default" w:ascii="Times New Roman" w:hAnsi="Times New Roman" w:cs="Times New Roman"/>
                <w:spacing w:val="-2"/>
                <w:szCs w:val="18"/>
              </w:rPr>
            </w:pPr>
            <w:bookmarkStart w:id="64" w:name="_Hlk187676196"/>
            <w:r>
              <w:rPr>
                <w:rFonts w:hint="default" w:ascii="Times New Roman" w:hAnsi="Times New Roman" w:cs="Times New Roman"/>
                <w:spacing w:val="-2"/>
                <w:szCs w:val="18"/>
              </w:rPr>
              <w:t>工序</w:t>
            </w:r>
          </w:p>
        </w:tc>
        <w:tc>
          <w:tcPr>
            <w:tcW w:w="2423" w:type="pct"/>
            <w:shd w:val="clear" w:color="auto" w:fill="auto"/>
          </w:tcPr>
          <w:p w14:paraId="12BB1C9C">
            <w:pPr>
              <w:pStyle w:val="192"/>
              <w:rPr>
                <w:rFonts w:hint="default" w:ascii="Times New Roman" w:hAnsi="Times New Roman" w:cs="Times New Roman"/>
                <w:spacing w:val="-2"/>
                <w:szCs w:val="18"/>
              </w:rPr>
            </w:pPr>
            <w:r>
              <w:rPr>
                <w:rFonts w:hint="default" w:ascii="Times New Roman" w:hAnsi="Times New Roman" w:cs="Times New Roman"/>
                <w:spacing w:val="-2"/>
                <w:szCs w:val="18"/>
              </w:rPr>
              <w:t>温度范围/℃</w:t>
            </w:r>
          </w:p>
        </w:tc>
      </w:tr>
      <w:tr w14:paraId="5FC52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vAlign w:val="center"/>
          </w:tcPr>
          <w:p w14:paraId="410DFE75">
            <w:pPr>
              <w:pStyle w:val="192"/>
              <w:rPr>
                <w:rFonts w:hint="default" w:ascii="Times New Roman" w:hAnsi="Times New Roman" w:cs="Times New Roman"/>
                <w:spacing w:val="-2"/>
                <w:szCs w:val="18"/>
              </w:rPr>
            </w:pPr>
            <w:r>
              <w:rPr>
                <w:rFonts w:hint="default" w:ascii="Times New Roman" w:hAnsi="Times New Roman" w:cs="Times New Roman"/>
                <w:spacing w:val="-2"/>
                <w:szCs w:val="18"/>
              </w:rPr>
              <w:t>再生沥青加热温度</w:t>
            </w:r>
          </w:p>
        </w:tc>
        <w:tc>
          <w:tcPr>
            <w:tcW w:w="2423" w:type="pct"/>
            <w:shd w:val="clear" w:color="auto" w:fill="auto"/>
          </w:tcPr>
          <w:p w14:paraId="50E79828">
            <w:pPr>
              <w:pStyle w:val="192"/>
              <w:rPr>
                <w:rFonts w:hint="default" w:ascii="Times New Roman" w:hAnsi="Times New Roman" w:cs="Times New Roman"/>
                <w:spacing w:val="-2"/>
                <w:szCs w:val="18"/>
              </w:rPr>
            </w:pPr>
            <w:r>
              <w:rPr>
                <w:rFonts w:hint="default" w:ascii="Times New Roman" w:hAnsi="Times New Roman" w:cs="Times New Roman"/>
                <w:spacing w:val="-2"/>
                <w:szCs w:val="18"/>
              </w:rPr>
              <w:t>80~100</w:t>
            </w:r>
          </w:p>
        </w:tc>
      </w:tr>
      <w:tr w14:paraId="69484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tcPr>
          <w:p w14:paraId="0772B75A">
            <w:pPr>
              <w:pStyle w:val="192"/>
              <w:rPr>
                <w:rFonts w:hint="default" w:ascii="Times New Roman" w:hAnsi="Times New Roman" w:cs="Times New Roman"/>
                <w:spacing w:val="-2"/>
                <w:szCs w:val="18"/>
              </w:rPr>
            </w:pPr>
            <w:r>
              <w:rPr>
                <w:rFonts w:hint="default" w:ascii="Times New Roman" w:hAnsi="Times New Roman" w:cs="Times New Roman"/>
                <w:spacing w:val="-2"/>
                <w:szCs w:val="18"/>
              </w:rPr>
              <w:t>RAP加热温度</w:t>
            </w:r>
          </w:p>
        </w:tc>
        <w:tc>
          <w:tcPr>
            <w:tcW w:w="2423" w:type="pct"/>
            <w:shd w:val="clear" w:color="auto" w:fill="auto"/>
          </w:tcPr>
          <w:p w14:paraId="56F0A720">
            <w:pPr>
              <w:pStyle w:val="192"/>
              <w:rPr>
                <w:rFonts w:hint="default" w:ascii="Times New Roman" w:hAnsi="Times New Roman" w:cs="Times New Roman"/>
                <w:spacing w:val="-2"/>
                <w:szCs w:val="18"/>
              </w:rPr>
            </w:pPr>
            <w:r>
              <w:rPr>
                <w:rFonts w:hint="default" w:ascii="Times New Roman" w:hAnsi="Times New Roman" w:cs="Times New Roman"/>
                <w:spacing w:val="-2"/>
                <w:szCs w:val="18"/>
              </w:rPr>
              <w:t>100~120</w:t>
            </w:r>
          </w:p>
        </w:tc>
      </w:tr>
      <w:tr w14:paraId="25415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tcPr>
          <w:p w14:paraId="16241854">
            <w:pPr>
              <w:pStyle w:val="192"/>
              <w:rPr>
                <w:rFonts w:hint="default" w:ascii="Times New Roman" w:hAnsi="Times New Roman" w:cs="Times New Roman"/>
                <w:spacing w:val="-2"/>
                <w:szCs w:val="18"/>
              </w:rPr>
            </w:pPr>
            <w:r>
              <w:rPr>
                <w:rFonts w:hint="default" w:ascii="Times New Roman" w:hAnsi="Times New Roman" w:cs="Times New Roman"/>
                <w:spacing w:val="-2"/>
                <w:szCs w:val="18"/>
              </w:rPr>
              <w:t>拌和温度</w:t>
            </w:r>
          </w:p>
        </w:tc>
        <w:tc>
          <w:tcPr>
            <w:tcW w:w="2423" w:type="pct"/>
            <w:shd w:val="clear" w:color="auto" w:fill="auto"/>
          </w:tcPr>
          <w:p w14:paraId="01C60884">
            <w:pPr>
              <w:pStyle w:val="192"/>
              <w:rPr>
                <w:rFonts w:hint="default" w:ascii="Times New Roman" w:hAnsi="Times New Roman" w:cs="Times New Roman"/>
                <w:spacing w:val="-2"/>
                <w:szCs w:val="18"/>
              </w:rPr>
            </w:pPr>
            <w:r>
              <w:rPr>
                <w:rFonts w:hint="default" w:ascii="Times New Roman" w:hAnsi="Times New Roman" w:cs="Times New Roman"/>
                <w:spacing w:val="-2"/>
                <w:szCs w:val="18"/>
              </w:rPr>
              <w:t>100~120</w:t>
            </w:r>
          </w:p>
        </w:tc>
      </w:tr>
      <w:tr w14:paraId="10A4C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tcPr>
          <w:p w14:paraId="56349FCB">
            <w:pPr>
              <w:pStyle w:val="192"/>
              <w:rPr>
                <w:rFonts w:hint="default" w:ascii="Times New Roman" w:hAnsi="Times New Roman" w:cs="Times New Roman"/>
                <w:spacing w:val="-2"/>
                <w:szCs w:val="18"/>
              </w:rPr>
            </w:pPr>
            <w:r>
              <w:rPr>
                <w:rFonts w:hint="default" w:ascii="Times New Roman" w:hAnsi="Times New Roman" w:cs="Times New Roman"/>
                <w:spacing w:val="-2"/>
                <w:szCs w:val="18"/>
              </w:rPr>
              <w:t>出厂温度</w:t>
            </w:r>
          </w:p>
        </w:tc>
        <w:tc>
          <w:tcPr>
            <w:tcW w:w="2423" w:type="pct"/>
            <w:shd w:val="clear" w:color="auto" w:fill="auto"/>
          </w:tcPr>
          <w:p w14:paraId="3BE30E35">
            <w:pPr>
              <w:pStyle w:val="192"/>
              <w:rPr>
                <w:rFonts w:hint="default" w:ascii="Times New Roman" w:hAnsi="Times New Roman" w:cs="Times New Roman"/>
                <w:spacing w:val="-2"/>
                <w:szCs w:val="18"/>
              </w:rPr>
            </w:pPr>
            <w:r>
              <w:rPr>
                <w:rFonts w:hint="default" w:ascii="Times New Roman" w:hAnsi="Times New Roman" w:cs="Times New Roman"/>
                <w:spacing w:val="-2"/>
                <w:szCs w:val="18"/>
              </w:rPr>
              <w:t>100~120</w:t>
            </w:r>
          </w:p>
        </w:tc>
      </w:tr>
      <w:tr w14:paraId="3C01C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tcPr>
          <w:p w14:paraId="1CF80E73">
            <w:pPr>
              <w:pStyle w:val="192"/>
              <w:rPr>
                <w:rFonts w:hint="default" w:ascii="Times New Roman" w:hAnsi="Times New Roman" w:cs="Times New Roman"/>
                <w:spacing w:val="-2"/>
                <w:szCs w:val="18"/>
              </w:rPr>
            </w:pPr>
            <w:r>
              <w:rPr>
                <w:rFonts w:hint="default" w:ascii="Times New Roman" w:hAnsi="Times New Roman" w:cs="Times New Roman"/>
                <w:spacing w:val="-2"/>
                <w:szCs w:val="18"/>
              </w:rPr>
              <w:t>混合料到场温度</w:t>
            </w:r>
          </w:p>
        </w:tc>
        <w:tc>
          <w:tcPr>
            <w:tcW w:w="2423" w:type="pct"/>
            <w:shd w:val="clear" w:color="auto" w:fill="auto"/>
          </w:tcPr>
          <w:p w14:paraId="734F15BC">
            <w:pPr>
              <w:pStyle w:val="192"/>
              <w:rPr>
                <w:rFonts w:hint="default" w:ascii="Times New Roman" w:hAnsi="Times New Roman" w:cs="Times New Roman"/>
                <w:spacing w:val="-2"/>
                <w:szCs w:val="18"/>
              </w:rPr>
            </w:pPr>
            <w:r>
              <w:rPr>
                <w:rFonts w:hint="default" w:ascii="Times New Roman" w:hAnsi="Times New Roman" w:cs="Times New Roman"/>
                <w:spacing w:val="-2"/>
                <w:szCs w:val="18"/>
              </w:rPr>
              <w:t>拌和出料后降低不超过10℃</w:t>
            </w:r>
          </w:p>
        </w:tc>
      </w:tr>
      <w:tr w14:paraId="7E5AA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tcPr>
          <w:p w14:paraId="2AC2AA02">
            <w:pPr>
              <w:pStyle w:val="192"/>
              <w:rPr>
                <w:rFonts w:hint="default" w:ascii="Times New Roman" w:hAnsi="Times New Roman" w:cs="Times New Roman"/>
                <w:spacing w:val="-2"/>
                <w:szCs w:val="18"/>
              </w:rPr>
            </w:pPr>
            <w:r>
              <w:rPr>
                <w:rFonts w:hint="default" w:ascii="Times New Roman" w:hAnsi="Times New Roman" w:cs="Times New Roman"/>
                <w:spacing w:val="-2"/>
                <w:szCs w:val="18"/>
              </w:rPr>
              <w:t>摊铺温度</w:t>
            </w:r>
          </w:p>
        </w:tc>
        <w:tc>
          <w:tcPr>
            <w:tcW w:w="2423" w:type="pct"/>
            <w:shd w:val="clear" w:color="auto" w:fill="auto"/>
          </w:tcPr>
          <w:p w14:paraId="0900CA39">
            <w:pPr>
              <w:pStyle w:val="192"/>
              <w:rPr>
                <w:rFonts w:hint="default" w:ascii="Times New Roman" w:hAnsi="Times New Roman" w:cs="Times New Roman"/>
                <w:spacing w:val="-2"/>
                <w:szCs w:val="18"/>
              </w:rPr>
            </w:pPr>
            <w:r>
              <w:rPr>
                <w:rFonts w:hint="default" w:ascii="Times New Roman" w:hAnsi="Times New Roman" w:cs="Times New Roman"/>
                <w:spacing w:val="-2"/>
                <w:szCs w:val="18"/>
              </w:rPr>
              <w:t>≥90</w:t>
            </w:r>
          </w:p>
        </w:tc>
      </w:tr>
      <w:tr w14:paraId="3878F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tcPr>
          <w:p w14:paraId="49FA02A6">
            <w:pPr>
              <w:pStyle w:val="192"/>
              <w:rPr>
                <w:rFonts w:hint="default" w:ascii="Times New Roman" w:hAnsi="Times New Roman" w:cs="Times New Roman"/>
                <w:spacing w:val="-2"/>
                <w:szCs w:val="18"/>
              </w:rPr>
            </w:pPr>
            <w:r>
              <w:rPr>
                <w:rFonts w:hint="default" w:ascii="Times New Roman" w:hAnsi="Times New Roman" w:cs="Times New Roman"/>
                <w:spacing w:val="-2"/>
                <w:szCs w:val="18"/>
              </w:rPr>
              <w:t>松铺系数</w:t>
            </w:r>
          </w:p>
        </w:tc>
        <w:tc>
          <w:tcPr>
            <w:tcW w:w="2423" w:type="pct"/>
            <w:shd w:val="clear" w:color="auto" w:fill="auto"/>
          </w:tcPr>
          <w:p w14:paraId="1744763F">
            <w:pPr>
              <w:pStyle w:val="192"/>
              <w:rPr>
                <w:rFonts w:hint="default" w:ascii="Times New Roman" w:hAnsi="Times New Roman" w:cs="Times New Roman"/>
                <w:spacing w:val="-2"/>
                <w:szCs w:val="18"/>
              </w:rPr>
            </w:pPr>
            <w:r>
              <w:rPr>
                <w:rFonts w:hint="default" w:ascii="Times New Roman" w:hAnsi="Times New Roman" w:cs="Times New Roman"/>
                <w:spacing w:val="-2"/>
                <w:szCs w:val="18"/>
              </w:rPr>
              <w:t>1.20~1.35</w:t>
            </w:r>
          </w:p>
        </w:tc>
      </w:tr>
      <w:tr w14:paraId="4DCFC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tcPr>
          <w:p w14:paraId="7707AE00">
            <w:pPr>
              <w:pStyle w:val="192"/>
              <w:rPr>
                <w:rFonts w:hint="default" w:ascii="Times New Roman" w:hAnsi="Times New Roman" w:cs="Times New Roman"/>
                <w:spacing w:val="-2"/>
                <w:szCs w:val="18"/>
              </w:rPr>
            </w:pPr>
            <w:r>
              <w:rPr>
                <w:rFonts w:hint="default" w:ascii="Times New Roman" w:hAnsi="Times New Roman" w:cs="Times New Roman"/>
                <w:spacing w:val="-2"/>
                <w:szCs w:val="18"/>
              </w:rPr>
              <w:t>初压开始温度</w:t>
            </w:r>
          </w:p>
        </w:tc>
        <w:tc>
          <w:tcPr>
            <w:tcW w:w="2423" w:type="pct"/>
            <w:shd w:val="clear" w:color="auto" w:fill="auto"/>
          </w:tcPr>
          <w:p w14:paraId="7CAB2C4F">
            <w:pPr>
              <w:pStyle w:val="192"/>
              <w:rPr>
                <w:rFonts w:hint="default" w:ascii="Times New Roman" w:hAnsi="Times New Roman" w:cs="Times New Roman"/>
                <w:spacing w:val="-2"/>
                <w:szCs w:val="18"/>
              </w:rPr>
            </w:pPr>
            <w:r>
              <w:rPr>
                <w:rFonts w:hint="default" w:ascii="Times New Roman" w:hAnsi="Times New Roman" w:cs="Times New Roman"/>
                <w:spacing w:val="-2"/>
                <w:szCs w:val="18"/>
              </w:rPr>
              <w:t>≥80</w:t>
            </w:r>
          </w:p>
        </w:tc>
      </w:tr>
      <w:tr w14:paraId="120E2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577" w:type="pct"/>
            <w:shd w:val="clear" w:color="auto" w:fill="auto"/>
          </w:tcPr>
          <w:p w14:paraId="37C6C615">
            <w:pPr>
              <w:pStyle w:val="192"/>
              <w:rPr>
                <w:rFonts w:hint="default" w:ascii="Times New Roman" w:hAnsi="Times New Roman" w:cs="Times New Roman"/>
                <w:spacing w:val="-2"/>
                <w:szCs w:val="18"/>
              </w:rPr>
            </w:pPr>
            <w:r>
              <w:rPr>
                <w:rFonts w:hint="default" w:ascii="Times New Roman" w:hAnsi="Times New Roman" w:cs="Times New Roman"/>
                <w:spacing w:val="-2"/>
                <w:szCs w:val="18"/>
              </w:rPr>
              <w:t>开放交通时的路表温度</w:t>
            </w:r>
          </w:p>
        </w:tc>
        <w:tc>
          <w:tcPr>
            <w:tcW w:w="2423" w:type="pct"/>
            <w:shd w:val="clear" w:color="auto" w:fill="auto"/>
          </w:tcPr>
          <w:p w14:paraId="5FA9D99C">
            <w:pPr>
              <w:pStyle w:val="192"/>
              <w:rPr>
                <w:rFonts w:hint="default" w:ascii="Times New Roman" w:hAnsi="Times New Roman" w:cs="Times New Roman"/>
                <w:spacing w:val="-2"/>
                <w:szCs w:val="18"/>
              </w:rPr>
            </w:pPr>
            <w:r>
              <w:rPr>
                <w:rFonts w:hint="default" w:ascii="Times New Roman" w:hAnsi="Times New Roman" w:cs="Times New Roman"/>
                <w:spacing w:val="-2"/>
                <w:szCs w:val="18"/>
              </w:rPr>
              <w:t>≤50</w:t>
            </w:r>
          </w:p>
        </w:tc>
      </w:tr>
      <w:bookmarkEnd w:id="64"/>
    </w:tbl>
    <w:p w14:paraId="1DD56009">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全再生薄层罩面的施工除满足本指南要求外，还应满足《公路沥青路面养护技术规范》JTG 5142的有关规定执行。</w:t>
      </w:r>
    </w:p>
    <w:p w14:paraId="28DF6F97">
      <w:pPr>
        <w:pStyle w:val="49"/>
        <w:numPr>
          <w:ilvl w:val="1"/>
          <w:numId w:val="21"/>
        </w:numPr>
        <w:spacing w:beforeLines="0" w:afterLines="0" w:line="360" w:lineRule="auto"/>
        <w:ind w:left="426"/>
        <w:outlineLvl w:val="1"/>
        <w:rPr>
          <w:rFonts w:hint="default" w:ascii="Times New Roman" w:hAnsi="Times New Roman" w:eastAsia="宋体" w:cs="Times New Roman"/>
          <w:b/>
          <w:bCs/>
          <w:sz w:val="24"/>
        </w:rPr>
      </w:pPr>
      <w:bookmarkStart w:id="65" w:name="_Toc11098"/>
      <w:r>
        <w:rPr>
          <w:rFonts w:hint="default" w:ascii="Times New Roman" w:hAnsi="Times New Roman" w:eastAsia="宋体" w:cs="Times New Roman"/>
          <w:b/>
          <w:bCs/>
          <w:sz w:val="24"/>
        </w:rPr>
        <w:t>沥青混合料回收料（RAP）的预处理和堆放</w:t>
      </w:r>
      <w:bookmarkEnd w:id="65"/>
    </w:p>
    <w:p w14:paraId="26BA5AB0">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不同来源和不同规格的沥青混合料回收料（RAP）应分开堆放，应对方在预先经过硬化处理且排水通畅的地面上，并应采取设置防雨棚等防水设施。</w:t>
      </w:r>
    </w:p>
    <w:p w14:paraId="5635DA9E">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沥青混合料回收料（RAP）在使用前应进行破碎、筛分等预处理，并应根据再生混合料的最大公称粒径合理选择筛网尺寸，筛分出规格为5mm~10mm或5mm~15mm的沥青混合料回收料（RAP）。</w:t>
      </w:r>
    </w:p>
    <w:p w14:paraId="31600694">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预处理后的沥青混合料回收料（RAP）应根据不同料源、品种、规格分开堆放，分别设立清晰的材料标识牌。</w:t>
      </w:r>
    </w:p>
    <w:p w14:paraId="176C43F9">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预处理后的沥青混合料回收料（RAP）不宜长期堆放，应避免离析、结团。</w:t>
      </w:r>
    </w:p>
    <w:p w14:paraId="21FC3767">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RAP使用时应从料堆的一端开始全断面铲料，对于料堆底部结团、结块的RAP应重新进行预处理后方可使用。</w:t>
      </w:r>
    </w:p>
    <w:p w14:paraId="2A72FA6B">
      <w:pPr>
        <w:pStyle w:val="49"/>
        <w:numPr>
          <w:ilvl w:val="1"/>
          <w:numId w:val="21"/>
        </w:numPr>
        <w:spacing w:beforeLines="0" w:afterLines="0" w:line="360" w:lineRule="auto"/>
        <w:ind w:left="0" w:firstLine="0"/>
        <w:outlineLvl w:val="1"/>
        <w:rPr>
          <w:rFonts w:hint="default" w:ascii="Times New Roman" w:hAnsi="Times New Roman" w:eastAsia="宋体" w:cs="Times New Roman"/>
          <w:b/>
          <w:bCs/>
          <w:sz w:val="24"/>
        </w:rPr>
      </w:pPr>
      <w:bookmarkStart w:id="66" w:name="_Toc179636666"/>
      <w:bookmarkStart w:id="67" w:name="_Toc19815"/>
      <w:r>
        <w:rPr>
          <w:rFonts w:hint="default" w:ascii="Times New Roman" w:hAnsi="Times New Roman" w:eastAsia="宋体" w:cs="Times New Roman"/>
          <w:b/>
          <w:bCs/>
          <w:sz w:val="24"/>
        </w:rPr>
        <w:t>混合料拌和与运输</w:t>
      </w:r>
      <w:bookmarkEnd w:id="66"/>
      <w:bookmarkEnd w:id="67"/>
    </w:p>
    <w:p w14:paraId="2DCD4112">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生产前检查拌和楼状态，保证处于正常工作状态，注意拌和楼的计量系统、温度传感器系统等的准确与有效显示。</w:t>
      </w:r>
    </w:p>
    <w:p w14:paraId="0BAD1660">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拌和前应采用拌和机副楼对预处理分级后的沥青混合料回收料（RAP）进行加热除水。</w:t>
      </w:r>
    </w:p>
    <w:p w14:paraId="1FB7556F">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全再生薄层罩面沥青混合料的拌和时间应根据具体情况经试拌决定，拌和的混合料应均匀、无花白料、无结团成块或严重的粗细料分离现象。不符合要求时不得使用，并应及时调整。总拌和时间不少于50s。</w:t>
      </w:r>
    </w:p>
    <w:p w14:paraId="53DBDC0A">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运料车的车厢底部和侧面板涂刷适当的隔离剂，其中所用的油应不溶解沥青。</w:t>
      </w:r>
    </w:p>
    <w:p w14:paraId="19D4A450">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装料时车辆须前后移动，以避免混合料发生离析。每辆运料车在运输过程中必须盖布防雨、防尘与保温。</w:t>
      </w:r>
    </w:p>
    <w:p w14:paraId="100400E3">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根据拌和机的生产能力、摊铺速度、运距的长短来计划车辆数，以保证摊铺连续。</w:t>
      </w:r>
    </w:p>
    <w:p w14:paraId="2876ADAB">
      <w:pPr>
        <w:pStyle w:val="49"/>
        <w:numPr>
          <w:ilvl w:val="1"/>
          <w:numId w:val="21"/>
        </w:numPr>
        <w:spacing w:beforeLines="0" w:afterLines="0" w:line="360" w:lineRule="auto"/>
        <w:ind w:left="0" w:firstLine="0"/>
        <w:outlineLvl w:val="1"/>
        <w:rPr>
          <w:rFonts w:hint="default" w:ascii="Times New Roman" w:hAnsi="Times New Roman" w:eastAsia="宋体" w:cs="Times New Roman"/>
          <w:b/>
          <w:bCs/>
          <w:sz w:val="24"/>
        </w:rPr>
      </w:pPr>
      <w:bookmarkStart w:id="68" w:name="_Toc179636667"/>
      <w:bookmarkStart w:id="69" w:name="_Toc10182"/>
      <w:r>
        <w:rPr>
          <w:rFonts w:hint="default" w:ascii="Times New Roman" w:hAnsi="Times New Roman" w:eastAsia="宋体" w:cs="Times New Roman"/>
          <w:b/>
          <w:bCs/>
          <w:sz w:val="24"/>
        </w:rPr>
        <w:t>黏层材料喷洒</w:t>
      </w:r>
      <w:bookmarkEnd w:id="68"/>
      <w:bookmarkEnd w:id="69"/>
    </w:p>
    <w:p w14:paraId="5F16CA4C">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摊铺前需喷洒黏层材料，应充分清扫路面，清除路面杂物，并保证路面施工时处于干燥状态。</w:t>
      </w:r>
    </w:p>
    <w:p w14:paraId="2BDEC6F1">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采用异步摊铺工艺时，应采用溶剂型黏层材料专用喷洒设备进行溶剂型黏层材料的喷洒。溶剂型黏层材料的喷洒量以0.15 L/m</w:t>
      </w:r>
      <w:r>
        <w:rPr>
          <w:rFonts w:hint="default" w:ascii="Times New Roman" w:hAnsi="Times New Roman" w:cs="Times New Roman"/>
          <w:sz w:val="24"/>
          <w:szCs w:val="32"/>
          <w:vertAlign w:val="superscript"/>
        </w:rPr>
        <w:t>2</w:t>
      </w:r>
      <w:r>
        <w:rPr>
          <w:rFonts w:hint="default" w:ascii="Times New Roman" w:hAnsi="Times New Roman" w:cs="Times New Roman"/>
          <w:sz w:val="24"/>
          <w:szCs w:val="32"/>
        </w:rPr>
        <w:t>~0.25L/m</w:t>
      </w:r>
      <w:r>
        <w:rPr>
          <w:rFonts w:hint="default" w:ascii="Times New Roman" w:hAnsi="Times New Roman" w:cs="Times New Roman"/>
          <w:sz w:val="24"/>
          <w:szCs w:val="32"/>
          <w:vertAlign w:val="superscript"/>
        </w:rPr>
        <w:t>2</w:t>
      </w:r>
      <w:r>
        <w:rPr>
          <w:rFonts w:hint="default" w:ascii="Times New Roman" w:hAnsi="Times New Roman" w:cs="Times New Roman"/>
          <w:sz w:val="24"/>
          <w:szCs w:val="32"/>
        </w:rPr>
        <w:t>为基准，并根据原路面状况、气候条件、交通量等进行调节。</w:t>
      </w:r>
    </w:p>
    <w:p w14:paraId="67ED3795">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采用同步摊铺工艺时，应采用同步摊铺机进行高黏度改性乳化沥青黏层材料的喷洒。高黏度改性乳化沥青的喷洒量以0.6L/m</w:t>
      </w:r>
      <w:r>
        <w:rPr>
          <w:rFonts w:hint="default" w:ascii="Times New Roman" w:hAnsi="Times New Roman" w:cs="Times New Roman"/>
          <w:sz w:val="24"/>
          <w:szCs w:val="32"/>
          <w:vertAlign w:val="superscript"/>
        </w:rPr>
        <w:t>2</w:t>
      </w:r>
      <w:r>
        <w:rPr>
          <w:rFonts w:hint="default" w:ascii="Times New Roman" w:hAnsi="Times New Roman" w:cs="Times New Roman"/>
          <w:sz w:val="24"/>
          <w:szCs w:val="32"/>
        </w:rPr>
        <w:t>~1.0L/m</w:t>
      </w:r>
      <w:r>
        <w:rPr>
          <w:rFonts w:hint="default" w:ascii="Times New Roman" w:hAnsi="Times New Roman" w:cs="Times New Roman"/>
          <w:sz w:val="24"/>
          <w:szCs w:val="32"/>
          <w:vertAlign w:val="superscript"/>
        </w:rPr>
        <w:t>2</w:t>
      </w:r>
      <w:r>
        <w:rPr>
          <w:rFonts w:hint="default" w:ascii="Times New Roman" w:hAnsi="Times New Roman" w:cs="Times New Roman"/>
          <w:sz w:val="24"/>
          <w:szCs w:val="32"/>
        </w:rPr>
        <w:t>为基准，并根据原路面状况、气候条件、交通量等进行调节。</w:t>
      </w:r>
    </w:p>
    <w:p w14:paraId="35611FA2">
      <w:pPr>
        <w:pStyle w:val="29"/>
        <w:numPr>
          <w:ilvl w:val="2"/>
          <w:numId w:val="21"/>
        </w:numPr>
        <w:tabs>
          <w:tab w:val="clear" w:pos="4201"/>
          <w:tab w:val="clear" w:pos="9298"/>
        </w:tabs>
        <w:spacing w:line="360" w:lineRule="auto"/>
        <w:ind w:left="0" w:firstLine="240" w:firstLineChars="100"/>
        <w:rPr>
          <w:rFonts w:hint="default" w:ascii="Times New Roman" w:hAnsi="Times New Roman" w:cs="Times New Roman"/>
          <w:sz w:val="24"/>
        </w:rPr>
      </w:pPr>
      <w:r>
        <w:rPr>
          <w:rFonts w:hint="default" w:ascii="Times New Roman" w:hAnsi="Times New Roman" w:cs="Times New Roman" w:eastAsiaTheme="minorEastAsia"/>
          <w:kern w:val="2"/>
          <w:sz w:val="24"/>
          <w:szCs w:val="32"/>
        </w:rPr>
        <w:t>标线及裂缝处应适当增加用量，摊铺接缝处需喷洒或人工涂刷黏层材</w:t>
      </w:r>
      <w:r>
        <w:rPr>
          <w:rFonts w:hint="default" w:ascii="Times New Roman" w:hAnsi="Times New Roman" w:cs="Times New Roman"/>
          <w:sz w:val="24"/>
          <w:szCs w:val="32"/>
        </w:rPr>
        <w:t>料。</w:t>
      </w:r>
    </w:p>
    <w:p w14:paraId="5FB643FD">
      <w:pPr>
        <w:pStyle w:val="49"/>
        <w:numPr>
          <w:ilvl w:val="1"/>
          <w:numId w:val="21"/>
        </w:numPr>
        <w:spacing w:beforeLines="0" w:afterLines="0" w:line="360" w:lineRule="auto"/>
        <w:ind w:left="0" w:firstLine="0"/>
        <w:outlineLvl w:val="1"/>
        <w:rPr>
          <w:rFonts w:hint="default" w:ascii="Times New Roman" w:hAnsi="Times New Roman" w:eastAsia="宋体" w:cs="Times New Roman"/>
          <w:b/>
          <w:bCs/>
          <w:sz w:val="24"/>
        </w:rPr>
      </w:pPr>
      <w:bookmarkStart w:id="70" w:name="_Toc1029"/>
      <w:r>
        <w:rPr>
          <w:rFonts w:hint="default" w:ascii="Times New Roman" w:hAnsi="Times New Roman" w:eastAsia="宋体" w:cs="Times New Roman"/>
          <w:b/>
          <w:bCs/>
          <w:sz w:val="24"/>
        </w:rPr>
        <w:t>摊铺</w:t>
      </w:r>
      <w:bookmarkEnd w:id="70"/>
    </w:p>
    <w:p w14:paraId="3FC8D5B6">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摊铺机开工前应提前0.5h~lh预热熨平板，温度不应低于100</w:t>
      </w:r>
      <w:r>
        <w:rPr>
          <w:rFonts w:hint="default" w:ascii="Times New Roman" w:hAnsi="Times New Roman" w:eastAsia="宋体" w:cs="Times New Roman"/>
          <w:sz w:val="24"/>
          <w:szCs w:val="32"/>
        </w:rPr>
        <w:t>℃</w:t>
      </w:r>
      <w:r>
        <w:rPr>
          <w:rFonts w:hint="default" w:ascii="Times New Roman" w:hAnsi="Times New Roman" w:cs="Times New Roman"/>
          <w:sz w:val="24"/>
          <w:szCs w:val="32"/>
        </w:rPr>
        <w:t>。</w:t>
      </w:r>
    </w:p>
    <w:p w14:paraId="5C756966">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全再生薄层罩面混合料的松铺系数应由试验段确定。</w:t>
      </w:r>
    </w:p>
    <w:p w14:paraId="4C935D94">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全再生薄层罩面混合料摊铺速度宜为7~12m/min。</w:t>
      </w:r>
    </w:p>
    <w:p w14:paraId="22170983">
      <w:pPr>
        <w:pStyle w:val="49"/>
        <w:numPr>
          <w:ilvl w:val="1"/>
          <w:numId w:val="21"/>
        </w:numPr>
        <w:spacing w:beforeLines="0" w:afterLines="0" w:line="360" w:lineRule="auto"/>
        <w:ind w:left="0" w:firstLine="0"/>
        <w:outlineLvl w:val="1"/>
        <w:rPr>
          <w:rFonts w:hint="default" w:ascii="Times New Roman" w:hAnsi="Times New Roman" w:eastAsia="宋体" w:cs="Times New Roman"/>
          <w:b/>
          <w:bCs/>
          <w:sz w:val="24"/>
        </w:rPr>
      </w:pPr>
      <w:bookmarkStart w:id="71" w:name="_Toc26211"/>
      <w:bookmarkStart w:id="72" w:name="_Toc179636668"/>
      <w:r>
        <w:rPr>
          <w:rFonts w:hint="default" w:ascii="Times New Roman" w:hAnsi="Times New Roman" w:eastAsia="宋体" w:cs="Times New Roman"/>
          <w:b/>
          <w:bCs/>
          <w:sz w:val="24"/>
        </w:rPr>
        <w:t>碾压</w:t>
      </w:r>
      <w:bookmarkEnd w:id="71"/>
      <w:bookmarkEnd w:id="72"/>
    </w:p>
    <w:p w14:paraId="2594630F">
      <w:pPr>
        <w:pStyle w:val="186"/>
        <w:numPr>
          <w:ilvl w:val="2"/>
          <w:numId w:val="21"/>
        </w:numPr>
        <w:spacing w:line="360" w:lineRule="auto"/>
        <w:ind w:left="0" w:firstLine="240" w:firstLineChars="100"/>
        <w:rPr>
          <w:rFonts w:hint="default" w:ascii="Times New Roman" w:hAnsi="Times New Roman" w:cs="Times New Roman"/>
          <w:sz w:val="24"/>
          <w:szCs w:val="32"/>
        </w:rPr>
      </w:pPr>
      <w:bookmarkStart w:id="73" w:name="_Hlk84335310"/>
      <w:r>
        <w:rPr>
          <w:rFonts w:hint="default" w:ascii="Times New Roman" w:hAnsi="Times New Roman" w:cs="Times New Roman"/>
          <w:sz w:val="24"/>
          <w:szCs w:val="32"/>
        </w:rPr>
        <w:t>初压应采用11t~13t双钢轮压路机静压2遍，紧跟摊铺机以不黏轮为准，碾压过程中严禁开启振动。复压可采用胶轮压路机碾压不少于2遍。终压采用双钢轮压路机碾压1~2遍收光。</w:t>
      </w:r>
    </w:p>
    <w:p w14:paraId="4A140164">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在工作面受限的情况下，需一台3T小钢轮压路机紧跟摊铺机碾压</w:t>
      </w:r>
      <w:bookmarkEnd w:id="73"/>
      <w:r>
        <w:rPr>
          <w:rFonts w:hint="default" w:ascii="Times New Roman" w:hAnsi="Times New Roman" w:cs="Times New Roman"/>
          <w:sz w:val="24"/>
          <w:szCs w:val="32"/>
        </w:rPr>
        <w:t>。</w:t>
      </w:r>
    </w:p>
    <w:p w14:paraId="30AF0D3C">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碾压速度控制在6km/h~8km/h，压实次数可根据现场情况调整，避免石料压碎，防止路表泛白。</w:t>
      </w:r>
    </w:p>
    <w:p w14:paraId="79E9EBDC">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碾压时，压路机的轮迹必须重叠1/2以上，且边部压实遍数要多于规定碾压遍数2遍以上，严禁压路机在施工作业面上急刹车、调头、停留等。</w:t>
      </w:r>
    </w:p>
    <w:p w14:paraId="4CA2A6E0">
      <w:pPr>
        <w:pStyle w:val="49"/>
        <w:numPr>
          <w:ilvl w:val="1"/>
          <w:numId w:val="21"/>
        </w:numPr>
        <w:spacing w:beforeLines="0" w:afterLines="0" w:line="360" w:lineRule="auto"/>
        <w:ind w:left="0" w:firstLine="0"/>
        <w:outlineLvl w:val="1"/>
        <w:rPr>
          <w:rFonts w:hint="default" w:ascii="Times New Roman" w:hAnsi="Times New Roman" w:eastAsia="宋体" w:cs="Times New Roman"/>
          <w:b/>
          <w:bCs/>
          <w:sz w:val="24"/>
        </w:rPr>
      </w:pPr>
      <w:bookmarkStart w:id="74" w:name="_Toc179636669"/>
      <w:bookmarkStart w:id="75" w:name="_Toc28267"/>
      <w:bookmarkStart w:id="76" w:name="_Toc126742851"/>
      <w:r>
        <w:rPr>
          <w:rFonts w:hint="default" w:ascii="Times New Roman" w:hAnsi="Times New Roman" w:eastAsia="宋体" w:cs="Times New Roman"/>
          <w:b/>
          <w:bCs/>
          <w:sz w:val="24"/>
        </w:rPr>
        <w:t>接缝</w:t>
      </w:r>
      <w:bookmarkEnd w:id="74"/>
      <w:bookmarkEnd w:id="75"/>
      <w:bookmarkEnd w:id="76"/>
      <w:r>
        <w:rPr>
          <w:rFonts w:hint="default" w:ascii="Times New Roman" w:hAnsi="Times New Roman" w:eastAsia="宋体" w:cs="Times New Roman"/>
          <w:b/>
          <w:bCs/>
          <w:sz w:val="24"/>
        </w:rPr>
        <w:t xml:space="preserve">  </w:t>
      </w:r>
    </w:p>
    <w:p w14:paraId="7D3301F0">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施工过程中新旧作业面引起的横向接缝，应采用垂直的平缝。</w:t>
      </w:r>
    </w:p>
    <w:p w14:paraId="1FC1E51C">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纵向接缝宜为冷接缝，摊铺宽度宜为一个车道。纵向接缝宜位于标线处。</w:t>
      </w:r>
    </w:p>
    <w:p w14:paraId="2B12D1E2">
      <w:pPr>
        <w:pStyle w:val="49"/>
        <w:numPr>
          <w:ilvl w:val="1"/>
          <w:numId w:val="21"/>
        </w:numPr>
        <w:spacing w:beforeLines="0" w:afterLines="0" w:line="360" w:lineRule="auto"/>
        <w:ind w:left="0" w:firstLine="0"/>
        <w:outlineLvl w:val="1"/>
        <w:rPr>
          <w:rFonts w:hint="default" w:ascii="Times New Roman" w:hAnsi="Times New Roman" w:eastAsia="宋体" w:cs="Times New Roman"/>
          <w:b/>
          <w:bCs/>
          <w:sz w:val="24"/>
        </w:rPr>
      </w:pPr>
      <w:bookmarkStart w:id="77" w:name="_Toc179636670"/>
      <w:bookmarkStart w:id="78" w:name="_Toc126742852"/>
      <w:bookmarkStart w:id="79" w:name="_Toc19360"/>
      <w:r>
        <w:rPr>
          <w:rFonts w:hint="default" w:ascii="Times New Roman" w:hAnsi="Times New Roman" w:eastAsia="宋体" w:cs="Times New Roman"/>
          <w:b/>
          <w:bCs/>
          <w:sz w:val="24"/>
        </w:rPr>
        <w:t>养护与开放交通</w:t>
      </w:r>
      <w:bookmarkEnd w:id="77"/>
      <w:bookmarkEnd w:id="78"/>
      <w:bookmarkEnd w:id="79"/>
    </w:p>
    <w:p w14:paraId="19771109">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应待摊铺层自然冷却、混合料表面温度低于50℃后再开放交通。</w:t>
      </w:r>
    </w:p>
    <w:p w14:paraId="42C7E806">
      <w:pPr>
        <w:pStyle w:val="186"/>
        <w:numPr>
          <w:ilvl w:val="2"/>
          <w:numId w:val="21"/>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全再生薄层罩面施工完成后，应施划标线，恢复交通。</w:t>
      </w:r>
    </w:p>
    <w:p w14:paraId="0CCAACE8">
      <w:pPr>
        <w:pStyle w:val="186"/>
        <w:numPr>
          <w:ilvl w:val="2"/>
          <w:numId w:val="21"/>
        </w:numPr>
        <w:spacing w:line="360" w:lineRule="auto"/>
        <w:ind w:left="0" w:firstLine="240" w:firstLineChars="100"/>
        <w:rPr>
          <w:rFonts w:hint="default" w:ascii="Times New Roman" w:hAnsi="Times New Roman" w:cs="Times New Roman"/>
          <w:sz w:val="24"/>
          <w:szCs w:val="32"/>
        </w:rPr>
        <w:sectPr>
          <w:headerReference r:id="rId19" w:type="default"/>
          <w:headerReference r:id="rId20" w:type="even"/>
          <w:type w:val="continuous"/>
          <w:pgSz w:w="11906" w:h="16838"/>
          <w:pgMar w:top="1440" w:right="1800" w:bottom="1440" w:left="1800" w:header="850" w:footer="992" w:gutter="0"/>
          <w:cols w:space="425" w:num="1"/>
          <w:formProt w:val="0"/>
          <w:docGrid w:type="lines" w:linePitch="312" w:charSpace="0"/>
        </w:sectPr>
      </w:pPr>
    </w:p>
    <w:p w14:paraId="0B55F20B">
      <w:pPr>
        <w:pStyle w:val="52"/>
        <w:numPr>
          <w:ilvl w:val="0"/>
          <w:numId w:val="21"/>
        </w:numPr>
        <w:spacing w:beforeLines="0" w:afterLines="0" w:line="360" w:lineRule="auto"/>
        <w:outlineLvl w:val="0"/>
        <w:rPr>
          <w:rFonts w:hint="default" w:ascii="Times New Roman" w:hAnsi="Times New Roman" w:cs="Times New Roman" w:eastAsiaTheme="minorEastAsia"/>
          <w:b/>
          <w:bCs/>
          <w:sz w:val="32"/>
          <w:szCs w:val="22"/>
        </w:rPr>
      </w:pPr>
      <w:bookmarkStart w:id="80" w:name="_Toc126742853"/>
      <w:bookmarkStart w:id="81" w:name="_Toc3081"/>
      <w:bookmarkStart w:id="82" w:name="_Toc179636671"/>
      <w:r>
        <w:rPr>
          <w:rFonts w:hint="default" w:ascii="Times New Roman" w:hAnsi="Times New Roman" w:cs="Times New Roman" w:eastAsiaTheme="minorEastAsia"/>
          <w:b/>
          <w:bCs/>
          <w:sz w:val="32"/>
          <w:szCs w:val="22"/>
        </w:rPr>
        <w:t>施工质量控制与检查验收</w:t>
      </w:r>
      <w:bookmarkEnd w:id="80"/>
      <w:bookmarkEnd w:id="81"/>
      <w:bookmarkEnd w:id="82"/>
    </w:p>
    <w:p w14:paraId="77F852E7">
      <w:pPr>
        <w:pStyle w:val="49"/>
        <w:numPr>
          <w:ilvl w:val="1"/>
          <w:numId w:val="23"/>
        </w:numPr>
        <w:spacing w:beforeLines="0" w:afterLines="0" w:line="360" w:lineRule="auto"/>
        <w:ind w:left="0" w:firstLine="0"/>
        <w:outlineLvl w:val="1"/>
        <w:rPr>
          <w:rFonts w:hint="default" w:ascii="Times New Roman" w:hAnsi="Times New Roman" w:eastAsia="宋体" w:cs="Times New Roman"/>
          <w:b/>
          <w:bCs/>
          <w:sz w:val="24"/>
        </w:rPr>
      </w:pPr>
      <w:bookmarkStart w:id="83" w:name="_Toc289597588"/>
      <w:bookmarkStart w:id="84" w:name="_Toc278541461"/>
      <w:bookmarkStart w:id="85" w:name="_Toc23268"/>
      <w:bookmarkStart w:id="86" w:name="_Toc126742854"/>
      <w:bookmarkStart w:id="87" w:name="_Toc179636672"/>
      <w:r>
        <w:rPr>
          <w:rFonts w:hint="default" w:ascii="Times New Roman" w:hAnsi="Times New Roman" w:eastAsia="宋体" w:cs="Times New Roman"/>
          <w:b/>
          <w:bCs/>
          <w:sz w:val="24"/>
        </w:rPr>
        <w:t>原材料质量控制</w:t>
      </w:r>
      <w:bookmarkEnd w:id="83"/>
      <w:bookmarkEnd w:id="84"/>
      <w:bookmarkEnd w:id="85"/>
      <w:bookmarkEnd w:id="86"/>
      <w:bookmarkEnd w:id="87"/>
    </w:p>
    <w:p w14:paraId="5EBC55C3">
      <w:pPr>
        <w:pStyle w:val="186"/>
        <w:numPr>
          <w:ilvl w:val="2"/>
          <w:numId w:val="23"/>
        </w:numPr>
        <w:spacing w:line="360" w:lineRule="auto"/>
        <w:ind w:left="0" w:firstLine="240" w:firstLineChars="1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施工前应对原材料进行质量检查，应符合表8.1.1的规定。</w:t>
      </w:r>
    </w:p>
    <w:p w14:paraId="26B48E38">
      <w:pPr>
        <w:pStyle w:val="190"/>
        <w:ind w:left="36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表8.1.1 施工前的原材料质量控制要求</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4186"/>
        <w:gridCol w:w="1314"/>
        <w:gridCol w:w="1239"/>
      </w:tblGrid>
      <w:tr w14:paraId="6A610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6" w:type="pct"/>
            <w:vAlign w:val="center"/>
          </w:tcPr>
          <w:p w14:paraId="77C0B370">
            <w:pPr>
              <w:pStyle w:val="192"/>
              <w:rPr>
                <w:rFonts w:hint="default" w:ascii="Times New Roman" w:hAnsi="Times New Roman" w:cs="Times New Roman"/>
                <w:spacing w:val="-2"/>
              </w:rPr>
            </w:pPr>
            <w:r>
              <w:rPr>
                <w:rFonts w:hint="default" w:ascii="Times New Roman" w:hAnsi="Times New Roman" w:cs="Times New Roman"/>
                <w:spacing w:val="-2"/>
              </w:rPr>
              <w:t>材料</w:t>
            </w:r>
          </w:p>
        </w:tc>
        <w:tc>
          <w:tcPr>
            <w:tcW w:w="2456" w:type="pct"/>
            <w:vAlign w:val="center"/>
          </w:tcPr>
          <w:p w14:paraId="36B0B943">
            <w:pPr>
              <w:pStyle w:val="192"/>
              <w:rPr>
                <w:rFonts w:hint="default" w:ascii="Times New Roman" w:hAnsi="Times New Roman" w:cs="Times New Roman"/>
                <w:spacing w:val="-2"/>
              </w:rPr>
            </w:pPr>
            <w:r>
              <w:rPr>
                <w:rFonts w:hint="default" w:ascii="Times New Roman" w:hAnsi="Times New Roman" w:cs="Times New Roman"/>
                <w:spacing w:val="-2"/>
              </w:rPr>
              <w:t>检查项目</w:t>
            </w:r>
          </w:p>
        </w:tc>
        <w:tc>
          <w:tcPr>
            <w:tcW w:w="771" w:type="pct"/>
            <w:vAlign w:val="center"/>
          </w:tcPr>
          <w:p w14:paraId="34C016A2">
            <w:pPr>
              <w:pStyle w:val="192"/>
              <w:rPr>
                <w:rFonts w:hint="default" w:ascii="Times New Roman" w:hAnsi="Times New Roman" w:cs="Times New Roman"/>
                <w:spacing w:val="-2"/>
              </w:rPr>
            </w:pPr>
            <w:r>
              <w:rPr>
                <w:rFonts w:hint="default" w:ascii="Times New Roman" w:hAnsi="Times New Roman" w:cs="Times New Roman"/>
                <w:spacing w:val="-2"/>
              </w:rPr>
              <w:t>质量要求</w:t>
            </w:r>
          </w:p>
        </w:tc>
        <w:tc>
          <w:tcPr>
            <w:tcW w:w="727" w:type="pct"/>
            <w:vAlign w:val="center"/>
          </w:tcPr>
          <w:p w14:paraId="48310FC8">
            <w:pPr>
              <w:pStyle w:val="192"/>
              <w:rPr>
                <w:rFonts w:hint="default" w:ascii="Times New Roman" w:hAnsi="Times New Roman" w:cs="Times New Roman"/>
                <w:spacing w:val="-2"/>
              </w:rPr>
            </w:pPr>
            <w:r>
              <w:rPr>
                <w:rFonts w:hint="default" w:ascii="Times New Roman" w:hAnsi="Times New Roman" w:cs="Times New Roman"/>
                <w:spacing w:val="-2"/>
              </w:rPr>
              <w:t>检查频率</w:t>
            </w:r>
          </w:p>
        </w:tc>
      </w:tr>
      <w:tr w14:paraId="5F6D3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6" w:type="pct"/>
            <w:vAlign w:val="center"/>
          </w:tcPr>
          <w:p w14:paraId="26ADC4B5">
            <w:pPr>
              <w:pStyle w:val="192"/>
              <w:rPr>
                <w:rFonts w:hint="default" w:ascii="Times New Roman" w:hAnsi="Times New Roman" w:cs="Times New Roman"/>
                <w:spacing w:val="-2"/>
              </w:rPr>
            </w:pPr>
            <w:r>
              <w:rPr>
                <w:rFonts w:hint="default" w:ascii="Times New Roman" w:hAnsi="Times New Roman" w:cs="Times New Roman"/>
                <w:spacing w:val="-2"/>
              </w:rPr>
              <w:t>再生沥青</w:t>
            </w:r>
          </w:p>
        </w:tc>
        <w:tc>
          <w:tcPr>
            <w:tcW w:w="2456" w:type="pct"/>
            <w:vAlign w:val="center"/>
          </w:tcPr>
          <w:p w14:paraId="736029C5">
            <w:pPr>
              <w:pStyle w:val="192"/>
              <w:rPr>
                <w:rFonts w:hint="default" w:ascii="Times New Roman" w:hAnsi="Times New Roman" w:cs="Times New Roman"/>
                <w:spacing w:val="-2"/>
              </w:rPr>
            </w:pPr>
            <w:r>
              <w:rPr>
                <w:rFonts w:hint="default" w:ascii="Times New Roman" w:hAnsi="Times New Roman" w:cs="Times New Roman"/>
                <w:spacing w:val="-2"/>
              </w:rPr>
              <w:t>表5.2.1中要求的检测项目</w:t>
            </w:r>
          </w:p>
        </w:tc>
        <w:tc>
          <w:tcPr>
            <w:tcW w:w="771" w:type="pct"/>
            <w:vMerge w:val="restart"/>
            <w:vAlign w:val="center"/>
          </w:tcPr>
          <w:p w14:paraId="4B2F587C">
            <w:pPr>
              <w:pStyle w:val="192"/>
              <w:rPr>
                <w:rFonts w:hint="default" w:ascii="Times New Roman" w:hAnsi="Times New Roman" w:cs="Times New Roman"/>
                <w:spacing w:val="-2"/>
              </w:rPr>
            </w:pPr>
            <w:r>
              <w:rPr>
                <w:rFonts w:hint="default" w:ascii="Times New Roman" w:hAnsi="Times New Roman" w:cs="Times New Roman"/>
                <w:spacing w:val="-2"/>
              </w:rPr>
              <w:t>符合设计要求</w:t>
            </w:r>
          </w:p>
        </w:tc>
        <w:tc>
          <w:tcPr>
            <w:tcW w:w="727" w:type="pct"/>
            <w:vMerge w:val="restart"/>
            <w:vAlign w:val="center"/>
          </w:tcPr>
          <w:p w14:paraId="726278DE">
            <w:pPr>
              <w:pStyle w:val="192"/>
              <w:rPr>
                <w:rFonts w:hint="default" w:ascii="Times New Roman" w:hAnsi="Times New Roman" w:cs="Times New Roman"/>
                <w:spacing w:val="-2"/>
              </w:rPr>
            </w:pPr>
            <w:r>
              <w:rPr>
                <w:rFonts w:hint="default" w:ascii="Times New Roman" w:hAnsi="Times New Roman" w:cs="Times New Roman"/>
                <w:spacing w:val="-2"/>
              </w:rPr>
              <w:t>每批来料1次</w:t>
            </w:r>
          </w:p>
        </w:tc>
      </w:tr>
      <w:tr w14:paraId="3F095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6" w:type="pct"/>
            <w:vAlign w:val="center"/>
          </w:tcPr>
          <w:p w14:paraId="33A88FED">
            <w:pPr>
              <w:pStyle w:val="192"/>
              <w:rPr>
                <w:rStyle w:val="180"/>
                <w:rFonts w:hint="default" w:ascii="Times New Roman" w:hAnsi="Times New Roman" w:cs="Times New Roman"/>
                <w:spacing w:val="-2"/>
                <w:sz w:val="21"/>
                <w:szCs w:val="21"/>
              </w:rPr>
            </w:pPr>
            <w:r>
              <w:rPr>
                <w:rStyle w:val="180"/>
                <w:rFonts w:hint="default" w:ascii="Times New Roman" w:hAnsi="Times New Roman" w:cs="Times New Roman"/>
                <w:spacing w:val="-2"/>
                <w:sz w:val="21"/>
                <w:szCs w:val="21"/>
              </w:rPr>
              <w:t>黏层材料</w:t>
            </w:r>
          </w:p>
        </w:tc>
        <w:tc>
          <w:tcPr>
            <w:tcW w:w="2456" w:type="pct"/>
            <w:vAlign w:val="center"/>
          </w:tcPr>
          <w:p w14:paraId="64A64E50">
            <w:pPr>
              <w:pStyle w:val="192"/>
              <w:rPr>
                <w:rFonts w:hint="default" w:ascii="Times New Roman" w:hAnsi="Times New Roman" w:cs="Times New Roman"/>
                <w:spacing w:val="-2"/>
              </w:rPr>
            </w:pPr>
            <w:r>
              <w:rPr>
                <w:rFonts w:hint="default" w:ascii="Times New Roman" w:hAnsi="Times New Roman" w:cs="Times New Roman"/>
                <w:spacing w:val="-2"/>
              </w:rPr>
              <w:t>表5.3.1和表5</w:t>
            </w:r>
            <w:r>
              <w:rPr>
                <w:rFonts w:hint="default" w:ascii="Times New Roman" w:hAnsi="Times New Roman" w:cs="Times New Roman"/>
              </w:rPr>
              <w:t>.3.2</w:t>
            </w:r>
            <w:r>
              <w:rPr>
                <w:rFonts w:hint="default" w:ascii="Times New Roman" w:hAnsi="Times New Roman" w:cs="Times New Roman"/>
                <w:spacing w:val="-2"/>
              </w:rPr>
              <w:t>中要求的检测项目</w:t>
            </w:r>
          </w:p>
        </w:tc>
        <w:tc>
          <w:tcPr>
            <w:tcW w:w="771" w:type="pct"/>
            <w:vMerge w:val="continue"/>
            <w:vAlign w:val="center"/>
          </w:tcPr>
          <w:p w14:paraId="5B173D62">
            <w:pPr>
              <w:pStyle w:val="192"/>
              <w:rPr>
                <w:rFonts w:hint="default" w:ascii="Times New Roman" w:hAnsi="Times New Roman" w:cs="Times New Roman"/>
                <w:spacing w:val="-2"/>
              </w:rPr>
            </w:pPr>
          </w:p>
        </w:tc>
        <w:tc>
          <w:tcPr>
            <w:tcW w:w="727" w:type="pct"/>
            <w:vMerge w:val="continue"/>
            <w:vAlign w:val="center"/>
          </w:tcPr>
          <w:p w14:paraId="259ACF24">
            <w:pPr>
              <w:pStyle w:val="192"/>
              <w:rPr>
                <w:rFonts w:hint="default" w:ascii="Times New Roman" w:hAnsi="Times New Roman" w:cs="Times New Roman"/>
                <w:spacing w:val="-2"/>
              </w:rPr>
            </w:pPr>
          </w:p>
        </w:tc>
      </w:tr>
      <w:tr w14:paraId="4AAFB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6" w:type="pct"/>
            <w:vAlign w:val="center"/>
          </w:tcPr>
          <w:p w14:paraId="2FDE3F02">
            <w:pPr>
              <w:pStyle w:val="192"/>
              <w:rPr>
                <w:rStyle w:val="180"/>
                <w:rFonts w:hint="default" w:ascii="Times New Roman" w:hAnsi="Times New Roman" w:cs="Times New Roman"/>
                <w:spacing w:val="-2"/>
                <w:sz w:val="21"/>
                <w:szCs w:val="21"/>
              </w:rPr>
            </w:pPr>
            <w:r>
              <w:rPr>
                <w:rStyle w:val="180"/>
                <w:rFonts w:hint="default" w:ascii="Times New Roman" w:hAnsi="Times New Roman" w:cs="Times New Roman"/>
                <w:spacing w:val="-2"/>
                <w:sz w:val="21"/>
                <w:szCs w:val="21"/>
              </w:rPr>
              <w:t>RAP</w:t>
            </w:r>
          </w:p>
        </w:tc>
        <w:tc>
          <w:tcPr>
            <w:tcW w:w="2456" w:type="pct"/>
            <w:vAlign w:val="center"/>
          </w:tcPr>
          <w:p w14:paraId="7C23ED9D">
            <w:pPr>
              <w:pStyle w:val="192"/>
              <w:rPr>
                <w:rFonts w:hint="default" w:ascii="Times New Roman" w:hAnsi="Times New Roman" w:cs="Times New Roman"/>
                <w:spacing w:val="-2"/>
              </w:rPr>
            </w:pPr>
            <w:r>
              <w:rPr>
                <w:rFonts w:hint="default" w:ascii="Times New Roman" w:hAnsi="Times New Roman" w:cs="Times New Roman"/>
              </w:rPr>
              <w:t>表5.4.3、表5.4.4中要求的检测项目</w:t>
            </w:r>
          </w:p>
        </w:tc>
        <w:tc>
          <w:tcPr>
            <w:tcW w:w="771" w:type="pct"/>
            <w:vMerge w:val="continue"/>
            <w:vAlign w:val="center"/>
          </w:tcPr>
          <w:p w14:paraId="095FA197">
            <w:pPr>
              <w:pStyle w:val="192"/>
              <w:rPr>
                <w:rFonts w:hint="default" w:ascii="Times New Roman" w:hAnsi="Times New Roman" w:cs="Times New Roman"/>
                <w:spacing w:val="-2"/>
              </w:rPr>
            </w:pPr>
          </w:p>
        </w:tc>
        <w:tc>
          <w:tcPr>
            <w:tcW w:w="727" w:type="pct"/>
            <w:vMerge w:val="continue"/>
            <w:vAlign w:val="center"/>
          </w:tcPr>
          <w:p w14:paraId="34C6D394">
            <w:pPr>
              <w:pStyle w:val="192"/>
              <w:rPr>
                <w:rFonts w:hint="default" w:ascii="Times New Roman" w:hAnsi="Times New Roman" w:cs="Times New Roman"/>
                <w:spacing w:val="-2"/>
              </w:rPr>
            </w:pPr>
          </w:p>
        </w:tc>
      </w:tr>
      <w:tr w14:paraId="5EE92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6" w:type="pct"/>
            <w:vAlign w:val="center"/>
          </w:tcPr>
          <w:p w14:paraId="0ACF701F">
            <w:pPr>
              <w:pStyle w:val="192"/>
              <w:rPr>
                <w:rStyle w:val="180"/>
                <w:rFonts w:hint="default" w:ascii="Times New Roman" w:hAnsi="Times New Roman" w:cs="Times New Roman"/>
                <w:spacing w:val="-2"/>
                <w:sz w:val="21"/>
                <w:szCs w:val="21"/>
              </w:rPr>
            </w:pPr>
            <w:r>
              <w:rPr>
                <w:rStyle w:val="180"/>
                <w:rFonts w:hint="default" w:ascii="Times New Roman" w:hAnsi="Times New Roman" w:cs="Times New Roman"/>
                <w:spacing w:val="-2"/>
                <w:sz w:val="21"/>
                <w:szCs w:val="21"/>
              </w:rPr>
              <w:t>灌缝胶</w:t>
            </w:r>
          </w:p>
        </w:tc>
        <w:tc>
          <w:tcPr>
            <w:tcW w:w="2456" w:type="pct"/>
            <w:vAlign w:val="center"/>
          </w:tcPr>
          <w:p w14:paraId="530D09B6">
            <w:pPr>
              <w:pStyle w:val="192"/>
              <w:rPr>
                <w:rFonts w:hint="default" w:ascii="Times New Roman" w:hAnsi="Times New Roman" w:cs="Times New Roman"/>
                <w:spacing w:val="-2"/>
              </w:rPr>
            </w:pPr>
            <w:r>
              <w:rPr>
                <w:rFonts w:hint="default" w:ascii="Times New Roman" w:hAnsi="Times New Roman" w:cs="Times New Roman"/>
                <w:spacing w:val="-2"/>
              </w:rPr>
              <w:t>表5</w:t>
            </w:r>
            <w:r>
              <w:rPr>
                <w:rFonts w:hint="default" w:ascii="Times New Roman" w:hAnsi="Times New Roman" w:cs="Times New Roman"/>
              </w:rPr>
              <w:t>.5.1中要求的检测项目</w:t>
            </w:r>
          </w:p>
        </w:tc>
        <w:tc>
          <w:tcPr>
            <w:tcW w:w="771" w:type="pct"/>
            <w:vMerge w:val="continue"/>
            <w:vAlign w:val="center"/>
          </w:tcPr>
          <w:p w14:paraId="363A6AA7">
            <w:pPr>
              <w:pStyle w:val="192"/>
              <w:rPr>
                <w:rFonts w:hint="default" w:ascii="Times New Roman" w:hAnsi="Times New Roman" w:cs="Times New Roman"/>
                <w:spacing w:val="-2"/>
              </w:rPr>
            </w:pPr>
          </w:p>
        </w:tc>
        <w:tc>
          <w:tcPr>
            <w:tcW w:w="727" w:type="pct"/>
            <w:vMerge w:val="continue"/>
            <w:vAlign w:val="center"/>
          </w:tcPr>
          <w:p w14:paraId="7A1A52D8">
            <w:pPr>
              <w:pStyle w:val="192"/>
              <w:rPr>
                <w:rFonts w:hint="default" w:ascii="Times New Roman" w:hAnsi="Times New Roman" w:cs="Times New Roman"/>
                <w:spacing w:val="-2"/>
              </w:rPr>
            </w:pPr>
          </w:p>
        </w:tc>
      </w:tr>
    </w:tbl>
    <w:p w14:paraId="6FA0FE00">
      <w:pPr>
        <w:pStyle w:val="49"/>
        <w:numPr>
          <w:ilvl w:val="1"/>
          <w:numId w:val="23"/>
        </w:numPr>
        <w:spacing w:beforeLines="0" w:afterLines="0" w:line="360" w:lineRule="auto"/>
        <w:ind w:left="0" w:firstLine="0"/>
        <w:outlineLvl w:val="1"/>
        <w:rPr>
          <w:rFonts w:hint="default" w:ascii="Times New Roman" w:hAnsi="Times New Roman" w:eastAsia="宋体" w:cs="Times New Roman"/>
          <w:b/>
          <w:bCs/>
          <w:sz w:val="24"/>
        </w:rPr>
      </w:pPr>
      <w:bookmarkStart w:id="88" w:name="_Toc13695"/>
      <w:bookmarkStart w:id="89" w:name="_Toc179636673"/>
      <w:r>
        <w:rPr>
          <w:rFonts w:hint="default" w:ascii="Times New Roman" w:hAnsi="Times New Roman" w:eastAsia="宋体" w:cs="Times New Roman"/>
          <w:b/>
          <w:bCs/>
          <w:sz w:val="24"/>
        </w:rPr>
        <w:t>施工过程中质量控制</w:t>
      </w:r>
      <w:bookmarkEnd w:id="88"/>
      <w:bookmarkEnd w:id="89"/>
    </w:p>
    <w:p w14:paraId="197832D5">
      <w:pPr>
        <w:pStyle w:val="186"/>
        <w:numPr>
          <w:ilvl w:val="2"/>
          <w:numId w:val="23"/>
        </w:numPr>
        <w:spacing w:line="360" w:lineRule="auto"/>
        <w:ind w:left="0" w:firstLine="240" w:firstLineChars="1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施工过程中，全再生薄层罩面用沥青混合料的检验频率和质量要求，应按现行《公路沥青路面施工技术规范》（JTG F40）的规定执行。</w:t>
      </w:r>
    </w:p>
    <w:p w14:paraId="4887EBAA">
      <w:pPr>
        <w:pStyle w:val="186"/>
        <w:numPr>
          <w:ilvl w:val="2"/>
          <w:numId w:val="23"/>
        </w:numPr>
        <w:spacing w:line="360" w:lineRule="auto"/>
        <w:ind w:left="0" w:firstLine="240" w:firstLineChars="1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全再生薄层罩面的施工过程质量控制要求应表8.2.2的规定执行。</w:t>
      </w:r>
    </w:p>
    <w:p w14:paraId="2168B958">
      <w:pPr>
        <w:pStyle w:val="190"/>
        <w:ind w:left="36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表8.2.2全再生薄层罩面的施工过程质量控制要求</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985"/>
        <w:gridCol w:w="1571"/>
        <w:gridCol w:w="1851"/>
        <w:gridCol w:w="1574"/>
        <w:gridCol w:w="1355"/>
      </w:tblGrid>
      <w:tr w14:paraId="4CE44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91" w:type="pct"/>
            <w:vMerge w:val="restart"/>
            <w:shd w:val="clear" w:color="auto" w:fill="auto"/>
            <w:vAlign w:val="center"/>
          </w:tcPr>
          <w:p w14:paraId="1FFB5E39">
            <w:pPr>
              <w:pStyle w:val="192"/>
              <w:rPr>
                <w:rFonts w:hint="default" w:ascii="Times New Roman" w:hAnsi="Times New Roman" w:cs="Times New Roman"/>
                <w:spacing w:val="-2"/>
              </w:rPr>
            </w:pPr>
            <w:r>
              <w:rPr>
                <w:rFonts w:hint="default" w:ascii="Times New Roman" w:hAnsi="Times New Roman" w:cs="Times New Roman"/>
                <w:spacing w:val="-2"/>
              </w:rPr>
              <w:t>项目</w:t>
            </w:r>
          </w:p>
        </w:tc>
        <w:tc>
          <w:tcPr>
            <w:tcW w:w="942" w:type="pct"/>
            <w:vMerge w:val="restart"/>
            <w:shd w:val="clear" w:color="auto" w:fill="auto"/>
            <w:vAlign w:val="center"/>
          </w:tcPr>
          <w:p w14:paraId="095A666F">
            <w:pPr>
              <w:pStyle w:val="192"/>
              <w:rPr>
                <w:rFonts w:hint="default" w:ascii="Times New Roman" w:hAnsi="Times New Roman" w:cs="Times New Roman"/>
                <w:spacing w:val="-2"/>
              </w:rPr>
            </w:pPr>
            <w:r>
              <w:rPr>
                <w:rFonts w:hint="default" w:ascii="Times New Roman" w:hAnsi="Times New Roman" w:cs="Times New Roman"/>
                <w:spacing w:val="-2"/>
              </w:rPr>
              <w:t>检查频率</w:t>
            </w:r>
          </w:p>
        </w:tc>
        <w:tc>
          <w:tcPr>
            <w:tcW w:w="2054" w:type="pct"/>
            <w:gridSpan w:val="2"/>
            <w:shd w:val="clear" w:color="auto" w:fill="auto"/>
            <w:vAlign w:val="center"/>
          </w:tcPr>
          <w:p w14:paraId="6C186CDD">
            <w:pPr>
              <w:pStyle w:val="192"/>
              <w:rPr>
                <w:rFonts w:hint="default" w:ascii="Times New Roman" w:hAnsi="Times New Roman" w:cs="Times New Roman"/>
                <w:spacing w:val="-2"/>
              </w:rPr>
            </w:pPr>
            <w:r>
              <w:rPr>
                <w:rFonts w:hint="default" w:ascii="Times New Roman" w:hAnsi="Times New Roman" w:cs="Times New Roman"/>
                <w:spacing w:val="-2"/>
              </w:rPr>
              <w:t>质量要求和容许偏差</w:t>
            </w:r>
          </w:p>
        </w:tc>
        <w:tc>
          <w:tcPr>
            <w:tcW w:w="813" w:type="pct"/>
            <w:vMerge w:val="restart"/>
            <w:shd w:val="clear" w:color="auto" w:fill="auto"/>
            <w:vAlign w:val="center"/>
          </w:tcPr>
          <w:p w14:paraId="00155180">
            <w:pPr>
              <w:pStyle w:val="192"/>
              <w:rPr>
                <w:rFonts w:hint="default" w:ascii="Times New Roman" w:hAnsi="Times New Roman" w:cs="Times New Roman"/>
                <w:spacing w:val="-2"/>
              </w:rPr>
            </w:pPr>
            <w:r>
              <w:rPr>
                <w:rFonts w:hint="default" w:ascii="Times New Roman" w:hAnsi="Times New Roman" w:cs="Times New Roman"/>
                <w:spacing w:val="-2"/>
              </w:rPr>
              <w:t>试验方法</w:t>
            </w:r>
          </w:p>
        </w:tc>
      </w:tr>
      <w:tr w14:paraId="3B840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91" w:type="pct"/>
            <w:vMerge w:val="continue"/>
            <w:shd w:val="clear" w:color="auto" w:fill="auto"/>
            <w:vAlign w:val="center"/>
          </w:tcPr>
          <w:p w14:paraId="6DAB1F02">
            <w:pPr>
              <w:pStyle w:val="192"/>
              <w:rPr>
                <w:rFonts w:hint="default" w:ascii="Times New Roman" w:hAnsi="Times New Roman" w:cs="Times New Roman"/>
                <w:spacing w:val="-2"/>
              </w:rPr>
            </w:pPr>
          </w:p>
        </w:tc>
        <w:tc>
          <w:tcPr>
            <w:tcW w:w="942" w:type="pct"/>
            <w:vMerge w:val="continue"/>
            <w:shd w:val="clear" w:color="auto" w:fill="auto"/>
            <w:vAlign w:val="center"/>
          </w:tcPr>
          <w:p w14:paraId="58D1873C">
            <w:pPr>
              <w:pStyle w:val="192"/>
              <w:rPr>
                <w:rFonts w:hint="default" w:ascii="Times New Roman" w:hAnsi="Times New Roman" w:cs="Times New Roman"/>
                <w:spacing w:val="-2"/>
              </w:rPr>
            </w:pPr>
          </w:p>
        </w:tc>
        <w:tc>
          <w:tcPr>
            <w:tcW w:w="1110" w:type="pct"/>
            <w:tcBorders>
              <w:right w:val="single" w:color="auto" w:sz="4" w:space="0"/>
            </w:tcBorders>
            <w:shd w:val="clear" w:color="auto" w:fill="auto"/>
            <w:vAlign w:val="center"/>
          </w:tcPr>
          <w:p w14:paraId="793DFE35">
            <w:pPr>
              <w:pStyle w:val="192"/>
              <w:rPr>
                <w:rFonts w:hint="default" w:ascii="Times New Roman" w:hAnsi="Times New Roman" w:cs="Times New Roman"/>
                <w:spacing w:val="-2"/>
              </w:rPr>
            </w:pPr>
            <w:r>
              <w:rPr>
                <w:rFonts w:hint="default" w:ascii="Times New Roman" w:hAnsi="Times New Roman" w:cs="Times New Roman"/>
                <w:spacing w:val="-2"/>
              </w:rPr>
              <w:t>高速及一级公路</w:t>
            </w:r>
          </w:p>
        </w:tc>
        <w:tc>
          <w:tcPr>
            <w:tcW w:w="944" w:type="pct"/>
            <w:tcBorders>
              <w:left w:val="single" w:color="auto" w:sz="4" w:space="0"/>
            </w:tcBorders>
            <w:shd w:val="clear" w:color="auto" w:fill="auto"/>
            <w:vAlign w:val="center"/>
          </w:tcPr>
          <w:p w14:paraId="5A4E294B">
            <w:pPr>
              <w:pStyle w:val="192"/>
              <w:rPr>
                <w:rFonts w:hint="default" w:ascii="Times New Roman" w:hAnsi="Times New Roman" w:cs="Times New Roman"/>
                <w:spacing w:val="-2"/>
              </w:rPr>
            </w:pPr>
            <w:r>
              <w:rPr>
                <w:rFonts w:hint="default" w:ascii="Times New Roman" w:hAnsi="Times New Roman" w:cs="Times New Roman"/>
                <w:spacing w:val="-2"/>
              </w:rPr>
              <w:t>其他等级公路</w:t>
            </w:r>
          </w:p>
        </w:tc>
        <w:tc>
          <w:tcPr>
            <w:tcW w:w="813" w:type="pct"/>
            <w:vMerge w:val="continue"/>
            <w:shd w:val="clear" w:color="auto" w:fill="auto"/>
            <w:vAlign w:val="center"/>
          </w:tcPr>
          <w:p w14:paraId="03930DC6">
            <w:pPr>
              <w:pStyle w:val="192"/>
              <w:rPr>
                <w:rFonts w:hint="default" w:ascii="Times New Roman" w:hAnsi="Times New Roman" w:cs="Times New Roman"/>
                <w:spacing w:val="-2"/>
              </w:rPr>
            </w:pPr>
          </w:p>
        </w:tc>
      </w:tr>
      <w:tr w14:paraId="688EA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91" w:type="pct"/>
            <w:shd w:val="clear" w:color="auto" w:fill="auto"/>
            <w:vAlign w:val="center"/>
          </w:tcPr>
          <w:p w14:paraId="53AC5658">
            <w:pPr>
              <w:pStyle w:val="192"/>
              <w:rPr>
                <w:rFonts w:hint="default" w:ascii="Times New Roman" w:hAnsi="Times New Roman" w:cs="Times New Roman"/>
                <w:spacing w:val="-2"/>
              </w:rPr>
            </w:pPr>
            <w:r>
              <w:rPr>
                <w:rFonts w:hint="default" w:ascii="Times New Roman" w:hAnsi="Times New Roman" w:cs="Times New Roman"/>
                <w:spacing w:val="-2"/>
              </w:rPr>
              <w:t>外观</w:t>
            </w:r>
          </w:p>
        </w:tc>
        <w:tc>
          <w:tcPr>
            <w:tcW w:w="942" w:type="pct"/>
            <w:shd w:val="clear" w:color="auto" w:fill="auto"/>
            <w:vAlign w:val="center"/>
          </w:tcPr>
          <w:p w14:paraId="157947E3">
            <w:pPr>
              <w:pStyle w:val="192"/>
              <w:rPr>
                <w:rFonts w:hint="default" w:ascii="Times New Roman" w:hAnsi="Times New Roman" w:cs="Times New Roman"/>
                <w:spacing w:val="-2"/>
              </w:rPr>
            </w:pPr>
            <w:r>
              <w:rPr>
                <w:rFonts w:hint="default" w:ascii="Times New Roman" w:hAnsi="Times New Roman" w:cs="Times New Roman"/>
                <w:spacing w:val="-2"/>
              </w:rPr>
              <w:t>随时</w:t>
            </w:r>
          </w:p>
        </w:tc>
        <w:tc>
          <w:tcPr>
            <w:tcW w:w="2054" w:type="pct"/>
            <w:gridSpan w:val="2"/>
            <w:shd w:val="clear" w:color="auto" w:fill="auto"/>
            <w:vAlign w:val="center"/>
          </w:tcPr>
          <w:p w14:paraId="68C781BD">
            <w:pPr>
              <w:pStyle w:val="192"/>
              <w:rPr>
                <w:rFonts w:hint="default" w:ascii="Times New Roman" w:hAnsi="Times New Roman" w:cs="Times New Roman"/>
                <w:spacing w:val="-2"/>
              </w:rPr>
            </w:pPr>
            <w:r>
              <w:rPr>
                <w:rFonts w:hint="default" w:ascii="Times New Roman" w:hAnsi="Times New Roman" w:cs="Times New Roman"/>
                <w:spacing w:val="-2"/>
              </w:rPr>
              <w:t>表面平整、没有明显轮迹、裂缝、推挤、油包、离析等</w:t>
            </w:r>
          </w:p>
        </w:tc>
        <w:tc>
          <w:tcPr>
            <w:tcW w:w="813" w:type="pct"/>
            <w:shd w:val="clear" w:color="auto" w:fill="auto"/>
            <w:vAlign w:val="center"/>
          </w:tcPr>
          <w:p w14:paraId="48C92B4B">
            <w:pPr>
              <w:pStyle w:val="192"/>
              <w:rPr>
                <w:rFonts w:hint="default" w:ascii="Times New Roman" w:hAnsi="Times New Roman" w:cs="Times New Roman"/>
                <w:spacing w:val="-2"/>
              </w:rPr>
            </w:pPr>
            <w:r>
              <w:rPr>
                <w:rFonts w:hint="default" w:ascii="Times New Roman" w:hAnsi="Times New Roman" w:cs="Times New Roman"/>
                <w:spacing w:val="-2"/>
              </w:rPr>
              <w:t>目测</w:t>
            </w:r>
          </w:p>
        </w:tc>
      </w:tr>
      <w:tr w14:paraId="64413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91" w:type="pct"/>
            <w:vMerge w:val="restart"/>
            <w:shd w:val="clear" w:color="auto" w:fill="auto"/>
            <w:vAlign w:val="center"/>
          </w:tcPr>
          <w:p w14:paraId="443D0F10">
            <w:pPr>
              <w:pStyle w:val="192"/>
              <w:rPr>
                <w:rFonts w:hint="default" w:ascii="Times New Roman" w:hAnsi="Times New Roman" w:cs="Times New Roman"/>
                <w:spacing w:val="-2"/>
              </w:rPr>
            </w:pPr>
            <w:r>
              <w:rPr>
                <w:rFonts w:hint="default" w:ascii="Times New Roman" w:hAnsi="Times New Roman" w:cs="Times New Roman"/>
                <w:spacing w:val="-2"/>
              </w:rPr>
              <w:t>接缝</w:t>
            </w:r>
          </w:p>
        </w:tc>
        <w:tc>
          <w:tcPr>
            <w:tcW w:w="942" w:type="pct"/>
            <w:shd w:val="clear" w:color="auto" w:fill="auto"/>
            <w:vAlign w:val="center"/>
          </w:tcPr>
          <w:p w14:paraId="7577B68B">
            <w:pPr>
              <w:pStyle w:val="192"/>
              <w:rPr>
                <w:rFonts w:hint="default" w:ascii="Times New Roman" w:hAnsi="Times New Roman" w:cs="Times New Roman"/>
                <w:spacing w:val="-2"/>
              </w:rPr>
            </w:pPr>
            <w:r>
              <w:rPr>
                <w:rFonts w:hint="default" w:ascii="Times New Roman" w:hAnsi="Times New Roman" w:cs="Times New Roman"/>
                <w:spacing w:val="-2"/>
              </w:rPr>
              <w:t>随时</w:t>
            </w:r>
          </w:p>
        </w:tc>
        <w:tc>
          <w:tcPr>
            <w:tcW w:w="2054" w:type="pct"/>
            <w:gridSpan w:val="2"/>
            <w:shd w:val="clear" w:color="auto" w:fill="auto"/>
            <w:vAlign w:val="center"/>
          </w:tcPr>
          <w:p w14:paraId="0CA2FB9E">
            <w:pPr>
              <w:pStyle w:val="192"/>
              <w:rPr>
                <w:rFonts w:hint="default" w:ascii="Times New Roman" w:hAnsi="Times New Roman" w:cs="Times New Roman"/>
                <w:spacing w:val="-2"/>
              </w:rPr>
            </w:pPr>
            <w:r>
              <w:rPr>
                <w:rFonts w:hint="default" w:ascii="Times New Roman" w:hAnsi="Times New Roman" w:cs="Times New Roman"/>
                <w:spacing w:val="-2"/>
              </w:rPr>
              <w:t>紧密、平整顺直、无跳车</w:t>
            </w:r>
          </w:p>
        </w:tc>
        <w:tc>
          <w:tcPr>
            <w:tcW w:w="813" w:type="pct"/>
            <w:shd w:val="clear" w:color="auto" w:fill="auto"/>
            <w:vAlign w:val="center"/>
          </w:tcPr>
          <w:p w14:paraId="639B9F75">
            <w:pPr>
              <w:pStyle w:val="192"/>
              <w:rPr>
                <w:rFonts w:hint="default" w:ascii="Times New Roman" w:hAnsi="Times New Roman" w:cs="Times New Roman"/>
                <w:spacing w:val="-2"/>
              </w:rPr>
            </w:pPr>
            <w:r>
              <w:rPr>
                <w:rFonts w:hint="default" w:ascii="Times New Roman" w:hAnsi="Times New Roman" w:cs="Times New Roman"/>
                <w:spacing w:val="-2"/>
              </w:rPr>
              <w:t>目测</w:t>
            </w:r>
          </w:p>
        </w:tc>
      </w:tr>
      <w:tr w14:paraId="53D59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91" w:type="pct"/>
            <w:vMerge w:val="continue"/>
            <w:shd w:val="clear" w:color="auto" w:fill="auto"/>
            <w:vAlign w:val="center"/>
          </w:tcPr>
          <w:p w14:paraId="3586ED02">
            <w:pPr>
              <w:pStyle w:val="192"/>
              <w:rPr>
                <w:rFonts w:hint="default" w:ascii="Times New Roman" w:hAnsi="Times New Roman" w:cs="Times New Roman"/>
                <w:spacing w:val="-2"/>
              </w:rPr>
            </w:pPr>
          </w:p>
        </w:tc>
        <w:tc>
          <w:tcPr>
            <w:tcW w:w="942" w:type="pct"/>
            <w:shd w:val="clear" w:color="auto" w:fill="auto"/>
            <w:vAlign w:val="center"/>
          </w:tcPr>
          <w:p w14:paraId="143F3527">
            <w:pPr>
              <w:pStyle w:val="192"/>
              <w:rPr>
                <w:rFonts w:hint="default" w:ascii="Times New Roman" w:hAnsi="Times New Roman" w:cs="Times New Roman"/>
                <w:spacing w:val="-2"/>
              </w:rPr>
            </w:pPr>
            <w:r>
              <w:rPr>
                <w:rFonts w:hint="default" w:ascii="Times New Roman" w:hAnsi="Times New Roman" w:cs="Times New Roman"/>
                <w:spacing w:val="-2"/>
              </w:rPr>
              <w:t>逐条缝检测评定</w:t>
            </w:r>
          </w:p>
        </w:tc>
        <w:tc>
          <w:tcPr>
            <w:tcW w:w="2054" w:type="pct"/>
            <w:gridSpan w:val="2"/>
            <w:shd w:val="clear" w:color="auto" w:fill="auto"/>
            <w:vAlign w:val="center"/>
          </w:tcPr>
          <w:p w14:paraId="4F5F03EB">
            <w:pPr>
              <w:pStyle w:val="192"/>
              <w:rPr>
                <w:rFonts w:hint="default" w:ascii="Times New Roman" w:hAnsi="Times New Roman" w:cs="Times New Roman"/>
                <w:spacing w:val="-2"/>
              </w:rPr>
            </w:pPr>
            <w:r>
              <w:rPr>
                <w:rFonts w:hint="default" w:ascii="Times New Roman" w:hAnsi="Times New Roman" w:cs="Times New Roman"/>
                <w:spacing w:val="-2"/>
              </w:rPr>
              <w:t>5mm</w:t>
            </w:r>
          </w:p>
        </w:tc>
        <w:tc>
          <w:tcPr>
            <w:tcW w:w="813" w:type="pct"/>
            <w:shd w:val="clear" w:color="auto" w:fill="auto"/>
            <w:vAlign w:val="center"/>
          </w:tcPr>
          <w:p w14:paraId="0B263540">
            <w:pPr>
              <w:pStyle w:val="192"/>
              <w:rPr>
                <w:rFonts w:hint="default" w:ascii="Times New Roman" w:hAnsi="Times New Roman" w:cs="Times New Roman"/>
                <w:spacing w:val="-2"/>
              </w:rPr>
            </w:pPr>
            <w:r>
              <w:rPr>
                <w:rFonts w:hint="default" w:ascii="Times New Roman" w:hAnsi="Times New Roman" w:cs="Times New Roman"/>
                <w:spacing w:val="-2"/>
              </w:rPr>
              <w:t>T0931</w:t>
            </w:r>
          </w:p>
        </w:tc>
      </w:tr>
      <w:tr w14:paraId="57617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91" w:type="pct"/>
            <w:shd w:val="clear" w:color="auto" w:fill="auto"/>
            <w:vAlign w:val="center"/>
          </w:tcPr>
          <w:p w14:paraId="449FF63F">
            <w:pPr>
              <w:pStyle w:val="192"/>
              <w:rPr>
                <w:rFonts w:hint="default" w:ascii="Times New Roman" w:hAnsi="Times New Roman" w:cs="Times New Roman"/>
                <w:spacing w:val="-2"/>
              </w:rPr>
            </w:pPr>
            <w:r>
              <w:rPr>
                <w:rFonts w:hint="default" w:ascii="Times New Roman" w:hAnsi="Times New Roman" w:cs="Times New Roman"/>
                <w:spacing w:val="-2"/>
              </w:rPr>
              <w:t>摊铺温度</w:t>
            </w:r>
          </w:p>
        </w:tc>
        <w:tc>
          <w:tcPr>
            <w:tcW w:w="942" w:type="pct"/>
            <w:shd w:val="clear" w:color="auto" w:fill="auto"/>
            <w:vAlign w:val="center"/>
          </w:tcPr>
          <w:p w14:paraId="47B6B7F0">
            <w:pPr>
              <w:pStyle w:val="192"/>
              <w:rPr>
                <w:rFonts w:hint="default" w:ascii="Times New Roman" w:hAnsi="Times New Roman" w:cs="Times New Roman"/>
                <w:spacing w:val="-2"/>
              </w:rPr>
            </w:pPr>
            <w:r>
              <w:rPr>
                <w:rFonts w:hint="default" w:ascii="Times New Roman" w:hAnsi="Times New Roman" w:cs="Times New Roman"/>
                <w:spacing w:val="-2"/>
              </w:rPr>
              <w:t>每车</w:t>
            </w:r>
          </w:p>
        </w:tc>
        <w:tc>
          <w:tcPr>
            <w:tcW w:w="2054" w:type="pct"/>
            <w:gridSpan w:val="2"/>
            <w:shd w:val="clear" w:color="auto" w:fill="auto"/>
            <w:vAlign w:val="center"/>
          </w:tcPr>
          <w:p w14:paraId="47BB3EFD">
            <w:pPr>
              <w:pStyle w:val="192"/>
              <w:rPr>
                <w:rFonts w:hint="default" w:ascii="Times New Roman" w:hAnsi="Times New Roman" w:cs="Times New Roman"/>
                <w:spacing w:val="-2"/>
              </w:rPr>
            </w:pPr>
            <w:r>
              <w:rPr>
                <w:rFonts w:hint="default" w:ascii="Times New Roman" w:hAnsi="Times New Roman" w:cs="Times New Roman"/>
                <w:spacing w:val="-2"/>
              </w:rPr>
              <w:t>符合本规程规定</w:t>
            </w:r>
          </w:p>
        </w:tc>
        <w:tc>
          <w:tcPr>
            <w:tcW w:w="813" w:type="pct"/>
            <w:shd w:val="clear" w:color="auto" w:fill="auto"/>
            <w:vAlign w:val="center"/>
          </w:tcPr>
          <w:p w14:paraId="756C50B7">
            <w:pPr>
              <w:pStyle w:val="192"/>
              <w:rPr>
                <w:rFonts w:hint="default" w:ascii="Times New Roman" w:hAnsi="Times New Roman" w:cs="Times New Roman"/>
                <w:spacing w:val="-2"/>
              </w:rPr>
            </w:pPr>
            <w:r>
              <w:rPr>
                <w:rFonts w:hint="default" w:ascii="Times New Roman" w:hAnsi="Times New Roman" w:cs="Times New Roman"/>
                <w:spacing w:val="-2"/>
              </w:rPr>
              <w:t>T0981</w:t>
            </w:r>
          </w:p>
        </w:tc>
      </w:tr>
      <w:tr w14:paraId="2D3CE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91" w:type="pct"/>
            <w:shd w:val="clear" w:color="auto" w:fill="auto"/>
            <w:vAlign w:val="center"/>
          </w:tcPr>
          <w:p w14:paraId="5021AC88">
            <w:pPr>
              <w:pStyle w:val="192"/>
              <w:rPr>
                <w:rFonts w:hint="default" w:ascii="Times New Roman" w:hAnsi="Times New Roman" w:cs="Times New Roman"/>
                <w:spacing w:val="-2"/>
              </w:rPr>
            </w:pPr>
            <w:r>
              <w:rPr>
                <w:rFonts w:hint="default" w:ascii="Times New Roman" w:hAnsi="Times New Roman" w:cs="Times New Roman"/>
                <w:spacing w:val="-2"/>
              </w:rPr>
              <w:t>压实温度</w:t>
            </w:r>
          </w:p>
        </w:tc>
        <w:tc>
          <w:tcPr>
            <w:tcW w:w="942" w:type="pct"/>
            <w:shd w:val="clear" w:color="auto" w:fill="auto"/>
            <w:vAlign w:val="center"/>
          </w:tcPr>
          <w:p w14:paraId="36E4AF14">
            <w:pPr>
              <w:pStyle w:val="192"/>
              <w:rPr>
                <w:rFonts w:hint="default" w:ascii="Times New Roman" w:hAnsi="Times New Roman" w:cs="Times New Roman"/>
                <w:spacing w:val="-2"/>
              </w:rPr>
            </w:pPr>
            <w:r>
              <w:rPr>
                <w:rFonts w:hint="default" w:ascii="Times New Roman" w:hAnsi="Times New Roman" w:cs="Times New Roman"/>
                <w:spacing w:val="-2"/>
              </w:rPr>
              <w:t>随时</w:t>
            </w:r>
          </w:p>
        </w:tc>
        <w:tc>
          <w:tcPr>
            <w:tcW w:w="2054" w:type="pct"/>
            <w:gridSpan w:val="2"/>
            <w:shd w:val="clear" w:color="auto" w:fill="auto"/>
            <w:vAlign w:val="center"/>
          </w:tcPr>
          <w:p w14:paraId="7E1D6BA7">
            <w:pPr>
              <w:pStyle w:val="192"/>
              <w:rPr>
                <w:rFonts w:hint="default" w:ascii="Times New Roman" w:hAnsi="Times New Roman" w:cs="Times New Roman"/>
                <w:spacing w:val="-2"/>
              </w:rPr>
            </w:pPr>
            <w:r>
              <w:rPr>
                <w:rFonts w:hint="default" w:ascii="Times New Roman" w:hAnsi="Times New Roman" w:cs="Times New Roman"/>
                <w:spacing w:val="-2"/>
              </w:rPr>
              <w:t>符合本规程规定</w:t>
            </w:r>
          </w:p>
        </w:tc>
        <w:tc>
          <w:tcPr>
            <w:tcW w:w="813" w:type="pct"/>
            <w:shd w:val="clear" w:color="auto" w:fill="auto"/>
            <w:vAlign w:val="center"/>
          </w:tcPr>
          <w:p w14:paraId="49B7DA42">
            <w:pPr>
              <w:pStyle w:val="192"/>
              <w:rPr>
                <w:rFonts w:hint="default" w:ascii="Times New Roman" w:hAnsi="Times New Roman" w:cs="Times New Roman"/>
                <w:spacing w:val="-2"/>
              </w:rPr>
            </w:pPr>
            <w:r>
              <w:rPr>
                <w:rFonts w:hint="default" w:ascii="Times New Roman" w:hAnsi="Times New Roman" w:cs="Times New Roman"/>
                <w:spacing w:val="-2"/>
              </w:rPr>
              <w:t>插入式温度计实测</w:t>
            </w:r>
          </w:p>
        </w:tc>
      </w:tr>
      <w:tr w14:paraId="64D85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91" w:type="pct"/>
            <w:shd w:val="clear" w:color="auto" w:fill="auto"/>
            <w:vAlign w:val="center"/>
          </w:tcPr>
          <w:p w14:paraId="13AC8EEA">
            <w:pPr>
              <w:pStyle w:val="192"/>
              <w:rPr>
                <w:rFonts w:hint="default" w:ascii="Times New Roman" w:hAnsi="Times New Roman" w:cs="Times New Roman"/>
                <w:spacing w:val="-2"/>
              </w:rPr>
            </w:pPr>
            <w:r>
              <w:rPr>
                <w:rFonts w:hint="default" w:ascii="Times New Roman" w:hAnsi="Times New Roman" w:cs="Times New Roman"/>
                <w:spacing w:val="-2"/>
              </w:rPr>
              <w:t>厚度</w:t>
            </w:r>
          </w:p>
        </w:tc>
        <w:tc>
          <w:tcPr>
            <w:tcW w:w="942" w:type="pct"/>
            <w:shd w:val="clear" w:color="auto" w:fill="auto"/>
            <w:vAlign w:val="center"/>
          </w:tcPr>
          <w:p w14:paraId="5DF36186">
            <w:pPr>
              <w:pStyle w:val="192"/>
              <w:rPr>
                <w:rFonts w:hint="default" w:ascii="Times New Roman" w:hAnsi="Times New Roman" w:cs="Times New Roman"/>
                <w:spacing w:val="-2"/>
              </w:rPr>
            </w:pPr>
            <w:r>
              <w:rPr>
                <w:rFonts w:hint="default" w:ascii="Times New Roman" w:hAnsi="Times New Roman" w:cs="Times New Roman"/>
                <w:spacing w:val="-2"/>
              </w:rPr>
              <w:t>随时，5个断面/km，每个断面测3点</w:t>
            </w:r>
          </w:p>
        </w:tc>
        <w:tc>
          <w:tcPr>
            <w:tcW w:w="2054" w:type="pct"/>
            <w:gridSpan w:val="2"/>
            <w:shd w:val="clear" w:color="auto" w:fill="auto"/>
            <w:vAlign w:val="center"/>
          </w:tcPr>
          <w:p w14:paraId="5CF14C90">
            <w:pPr>
              <w:pStyle w:val="192"/>
              <w:rPr>
                <w:rFonts w:hint="default" w:ascii="Times New Roman" w:hAnsi="Times New Roman" w:cs="Times New Roman"/>
                <w:spacing w:val="-2"/>
              </w:rPr>
            </w:pPr>
            <w:r>
              <w:rPr>
                <w:rFonts w:hint="default" w:ascii="Times New Roman" w:hAnsi="Times New Roman" w:cs="Times New Roman"/>
                <w:spacing w:val="-2"/>
              </w:rPr>
              <w:t>不小于设计值</w:t>
            </w:r>
          </w:p>
        </w:tc>
        <w:tc>
          <w:tcPr>
            <w:tcW w:w="813" w:type="pct"/>
            <w:shd w:val="clear" w:color="auto" w:fill="auto"/>
            <w:vAlign w:val="center"/>
          </w:tcPr>
          <w:p w14:paraId="301305F5">
            <w:pPr>
              <w:pStyle w:val="192"/>
              <w:rPr>
                <w:rFonts w:hint="default" w:ascii="Times New Roman" w:hAnsi="Times New Roman" w:cs="Times New Roman"/>
                <w:spacing w:val="-2"/>
              </w:rPr>
            </w:pPr>
            <w:r>
              <w:rPr>
                <w:rFonts w:hint="default" w:ascii="Times New Roman" w:hAnsi="Times New Roman" w:cs="Times New Roman"/>
                <w:spacing w:val="-2"/>
              </w:rPr>
              <w:t>T0912</w:t>
            </w:r>
          </w:p>
        </w:tc>
      </w:tr>
      <w:tr w14:paraId="31F6E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191" w:type="pct"/>
            <w:shd w:val="clear" w:color="auto" w:fill="auto"/>
            <w:vAlign w:val="center"/>
          </w:tcPr>
          <w:p w14:paraId="5949B718">
            <w:pPr>
              <w:pStyle w:val="192"/>
              <w:rPr>
                <w:rFonts w:hint="default" w:ascii="Times New Roman" w:hAnsi="Times New Roman" w:cs="Times New Roman"/>
                <w:spacing w:val="-2"/>
              </w:rPr>
            </w:pPr>
            <w:r>
              <w:rPr>
                <w:rFonts w:hint="default" w:ascii="Times New Roman" w:hAnsi="Times New Roman" w:cs="Times New Roman"/>
                <w:spacing w:val="-2"/>
              </w:rPr>
              <w:t>宽度</w:t>
            </w:r>
          </w:p>
        </w:tc>
        <w:tc>
          <w:tcPr>
            <w:tcW w:w="942" w:type="pct"/>
            <w:shd w:val="clear" w:color="auto" w:fill="auto"/>
            <w:vAlign w:val="center"/>
          </w:tcPr>
          <w:p w14:paraId="7C02017C">
            <w:pPr>
              <w:pStyle w:val="192"/>
              <w:rPr>
                <w:rFonts w:hint="default" w:ascii="Times New Roman" w:hAnsi="Times New Roman" w:cs="Times New Roman"/>
                <w:spacing w:val="-2"/>
              </w:rPr>
            </w:pPr>
            <w:r>
              <w:rPr>
                <w:rFonts w:hint="default" w:ascii="Times New Roman" w:hAnsi="Times New Roman" w:cs="Times New Roman"/>
                <w:spacing w:val="-2"/>
              </w:rPr>
              <w:t>随时</w:t>
            </w:r>
          </w:p>
        </w:tc>
        <w:tc>
          <w:tcPr>
            <w:tcW w:w="2054" w:type="pct"/>
            <w:gridSpan w:val="2"/>
            <w:shd w:val="clear" w:color="auto" w:fill="auto"/>
            <w:vAlign w:val="center"/>
          </w:tcPr>
          <w:p w14:paraId="73FFF638">
            <w:pPr>
              <w:pStyle w:val="192"/>
              <w:rPr>
                <w:rFonts w:hint="default" w:ascii="Times New Roman" w:hAnsi="Times New Roman" w:cs="Times New Roman"/>
                <w:spacing w:val="-2"/>
              </w:rPr>
            </w:pPr>
            <w:r>
              <w:rPr>
                <w:rFonts w:hint="default" w:ascii="Times New Roman" w:hAnsi="Times New Roman" w:cs="Times New Roman"/>
                <w:spacing w:val="-2"/>
              </w:rPr>
              <w:t>不小于设计宽度</w:t>
            </w:r>
          </w:p>
        </w:tc>
        <w:tc>
          <w:tcPr>
            <w:tcW w:w="813" w:type="pct"/>
            <w:shd w:val="clear" w:color="auto" w:fill="auto"/>
            <w:vAlign w:val="center"/>
          </w:tcPr>
          <w:p w14:paraId="3D95AC11">
            <w:pPr>
              <w:pStyle w:val="192"/>
              <w:rPr>
                <w:rFonts w:hint="default" w:ascii="Times New Roman" w:hAnsi="Times New Roman" w:cs="Times New Roman"/>
                <w:spacing w:val="-2"/>
              </w:rPr>
            </w:pPr>
            <w:r>
              <w:rPr>
                <w:rFonts w:hint="default" w:ascii="Times New Roman" w:hAnsi="Times New Roman" w:cs="Times New Roman"/>
                <w:spacing w:val="-2"/>
              </w:rPr>
              <w:t>T0911</w:t>
            </w:r>
          </w:p>
        </w:tc>
      </w:tr>
    </w:tbl>
    <w:p w14:paraId="2B19DD71">
      <w:pPr>
        <w:pStyle w:val="49"/>
        <w:numPr>
          <w:ilvl w:val="1"/>
          <w:numId w:val="23"/>
        </w:numPr>
        <w:spacing w:beforeLines="0" w:afterLines="0" w:line="360" w:lineRule="auto"/>
        <w:ind w:left="0" w:firstLine="0"/>
        <w:outlineLvl w:val="1"/>
        <w:rPr>
          <w:rFonts w:hint="default" w:ascii="Times New Roman" w:hAnsi="Times New Roman" w:eastAsia="宋体" w:cs="Times New Roman"/>
          <w:b/>
          <w:bCs/>
          <w:sz w:val="24"/>
        </w:rPr>
      </w:pPr>
      <w:bookmarkStart w:id="90" w:name="_Toc171517490"/>
      <w:bookmarkStart w:id="91" w:name="_Toc10718"/>
      <w:bookmarkStart w:id="92" w:name="_Toc179636674"/>
      <w:r>
        <w:rPr>
          <w:rFonts w:hint="default" w:ascii="Times New Roman" w:hAnsi="Times New Roman" w:eastAsia="宋体" w:cs="Times New Roman"/>
          <w:b/>
          <w:bCs/>
          <w:sz w:val="24"/>
        </w:rPr>
        <w:t>工程验收</w:t>
      </w:r>
      <w:bookmarkEnd w:id="90"/>
      <w:bookmarkEnd w:id="91"/>
      <w:bookmarkEnd w:id="92"/>
    </w:p>
    <w:p w14:paraId="1A50FEDC">
      <w:pPr>
        <w:numPr>
          <w:ilvl w:val="2"/>
          <w:numId w:val="23"/>
        </w:numPr>
        <w:spacing w:line="360" w:lineRule="auto"/>
        <w:ind w:left="0"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全再生薄层罩面的工程验收应符合表8.3.1的规定。</w:t>
      </w:r>
    </w:p>
    <w:p w14:paraId="304E0A5A">
      <w:pPr>
        <w:pStyle w:val="190"/>
        <w:ind w:left="36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表8.3.1全再生薄层罩面的工程验收</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215"/>
        <w:gridCol w:w="1249"/>
        <w:gridCol w:w="1109"/>
        <w:gridCol w:w="1664"/>
        <w:gridCol w:w="1525"/>
        <w:gridCol w:w="1574"/>
      </w:tblGrid>
      <w:tr w14:paraId="73A34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1477" w:type="pct"/>
            <w:gridSpan w:val="2"/>
            <w:vMerge w:val="restart"/>
            <w:shd w:val="clear" w:color="auto" w:fill="auto"/>
            <w:vAlign w:val="center"/>
          </w:tcPr>
          <w:p w14:paraId="34F16FFA">
            <w:pPr>
              <w:pStyle w:val="192"/>
              <w:rPr>
                <w:rFonts w:hint="default" w:ascii="Times New Roman" w:hAnsi="Times New Roman" w:cs="Times New Roman"/>
                <w:spacing w:val="-2"/>
              </w:rPr>
            </w:pPr>
            <w:r>
              <w:rPr>
                <w:rFonts w:hint="default" w:ascii="Times New Roman" w:hAnsi="Times New Roman" w:cs="Times New Roman"/>
                <w:spacing w:val="-2"/>
              </w:rPr>
              <w:t>检测项目</w:t>
            </w:r>
          </w:p>
        </w:tc>
        <w:tc>
          <w:tcPr>
            <w:tcW w:w="665" w:type="pct"/>
            <w:vMerge w:val="restart"/>
            <w:shd w:val="clear" w:color="auto" w:fill="auto"/>
            <w:vAlign w:val="center"/>
          </w:tcPr>
          <w:p w14:paraId="2D619BB8">
            <w:pPr>
              <w:pStyle w:val="192"/>
              <w:rPr>
                <w:rFonts w:hint="default" w:ascii="Times New Roman" w:hAnsi="Times New Roman" w:cs="Times New Roman"/>
                <w:spacing w:val="-2"/>
              </w:rPr>
            </w:pPr>
            <w:r>
              <w:rPr>
                <w:rFonts w:hint="default" w:ascii="Times New Roman" w:hAnsi="Times New Roman" w:cs="Times New Roman"/>
                <w:spacing w:val="-2"/>
              </w:rPr>
              <w:t>检测频率</w:t>
            </w:r>
          </w:p>
        </w:tc>
        <w:tc>
          <w:tcPr>
            <w:tcW w:w="1913" w:type="pct"/>
            <w:gridSpan w:val="2"/>
            <w:shd w:val="clear" w:color="auto" w:fill="auto"/>
            <w:vAlign w:val="center"/>
          </w:tcPr>
          <w:p w14:paraId="149FA9C7">
            <w:pPr>
              <w:pStyle w:val="192"/>
              <w:rPr>
                <w:rFonts w:hint="default" w:ascii="Times New Roman" w:hAnsi="Times New Roman" w:cs="Times New Roman"/>
                <w:spacing w:val="-2"/>
              </w:rPr>
            </w:pPr>
            <w:r>
              <w:rPr>
                <w:rFonts w:hint="default" w:ascii="Times New Roman" w:hAnsi="Times New Roman" w:cs="Times New Roman"/>
                <w:spacing w:val="-2"/>
              </w:rPr>
              <w:t>质量要求或允许偏差</w:t>
            </w:r>
          </w:p>
        </w:tc>
        <w:tc>
          <w:tcPr>
            <w:tcW w:w="944" w:type="pct"/>
            <w:vMerge w:val="restart"/>
            <w:shd w:val="clear" w:color="auto" w:fill="auto"/>
            <w:vAlign w:val="center"/>
          </w:tcPr>
          <w:p w14:paraId="4C40F928">
            <w:pPr>
              <w:pStyle w:val="192"/>
              <w:rPr>
                <w:rFonts w:hint="default" w:ascii="Times New Roman" w:hAnsi="Times New Roman" w:cs="Times New Roman"/>
                <w:spacing w:val="-2"/>
              </w:rPr>
            </w:pPr>
            <w:r>
              <w:rPr>
                <w:rFonts w:hint="default" w:ascii="Times New Roman" w:hAnsi="Times New Roman" w:cs="Times New Roman"/>
                <w:spacing w:val="-2"/>
              </w:rPr>
              <w:t>检测方法</w:t>
            </w:r>
          </w:p>
        </w:tc>
      </w:tr>
      <w:tr w14:paraId="6598C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1477" w:type="pct"/>
            <w:gridSpan w:val="2"/>
            <w:vMerge w:val="continue"/>
            <w:shd w:val="clear" w:color="auto" w:fill="auto"/>
            <w:vAlign w:val="center"/>
          </w:tcPr>
          <w:p w14:paraId="58EABD8E">
            <w:pPr>
              <w:pStyle w:val="192"/>
              <w:rPr>
                <w:rFonts w:hint="default" w:ascii="Times New Roman" w:hAnsi="Times New Roman" w:cs="Times New Roman"/>
                <w:spacing w:val="-2"/>
              </w:rPr>
            </w:pPr>
          </w:p>
        </w:tc>
        <w:tc>
          <w:tcPr>
            <w:tcW w:w="665" w:type="pct"/>
            <w:vMerge w:val="continue"/>
            <w:shd w:val="clear" w:color="auto" w:fill="auto"/>
            <w:vAlign w:val="center"/>
          </w:tcPr>
          <w:p w14:paraId="4076E074">
            <w:pPr>
              <w:pStyle w:val="192"/>
              <w:rPr>
                <w:rFonts w:hint="default" w:ascii="Times New Roman" w:hAnsi="Times New Roman" w:cs="Times New Roman"/>
                <w:spacing w:val="-2"/>
              </w:rPr>
            </w:pPr>
          </w:p>
        </w:tc>
        <w:tc>
          <w:tcPr>
            <w:tcW w:w="998" w:type="pct"/>
            <w:shd w:val="clear" w:color="auto" w:fill="auto"/>
            <w:vAlign w:val="center"/>
          </w:tcPr>
          <w:p w14:paraId="2B8DA340">
            <w:pPr>
              <w:pStyle w:val="192"/>
              <w:rPr>
                <w:rFonts w:hint="default" w:ascii="Times New Roman" w:hAnsi="Times New Roman" w:cs="Times New Roman"/>
                <w:spacing w:val="-2"/>
              </w:rPr>
            </w:pPr>
            <w:r>
              <w:rPr>
                <w:rFonts w:hint="default" w:ascii="Times New Roman" w:hAnsi="Times New Roman" w:cs="Times New Roman"/>
                <w:spacing w:val="-2"/>
              </w:rPr>
              <w:t>高速及一级公路</w:t>
            </w:r>
          </w:p>
        </w:tc>
        <w:tc>
          <w:tcPr>
            <w:tcW w:w="915" w:type="pct"/>
            <w:shd w:val="clear" w:color="auto" w:fill="auto"/>
            <w:vAlign w:val="center"/>
          </w:tcPr>
          <w:p w14:paraId="73BC914F">
            <w:pPr>
              <w:pStyle w:val="192"/>
              <w:rPr>
                <w:rFonts w:hint="default" w:ascii="Times New Roman" w:hAnsi="Times New Roman" w:cs="Times New Roman"/>
                <w:spacing w:val="-2"/>
              </w:rPr>
            </w:pPr>
            <w:r>
              <w:rPr>
                <w:rFonts w:hint="default" w:ascii="Times New Roman" w:hAnsi="Times New Roman" w:cs="Times New Roman"/>
                <w:spacing w:val="-2"/>
              </w:rPr>
              <w:t>其他等级公路</w:t>
            </w:r>
          </w:p>
        </w:tc>
        <w:tc>
          <w:tcPr>
            <w:tcW w:w="944" w:type="pct"/>
            <w:vMerge w:val="continue"/>
            <w:shd w:val="clear" w:color="auto" w:fill="auto"/>
            <w:vAlign w:val="center"/>
          </w:tcPr>
          <w:p w14:paraId="241F7358">
            <w:pPr>
              <w:pStyle w:val="192"/>
              <w:rPr>
                <w:rFonts w:hint="default" w:ascii="Times New Roman" w:hAnsi="Times New Roman" w:cs="Times New Roman"/>
                <w:spacing w:val="-2"/>
              </w:rPr>
            </w:pPr>
          </w:p>
        </w:tc>
      </w:tr>
      <w:tr w14:paraId="1F639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729" w:type="pct"/>
            <w:vMerge w:val="restart"/>
            <w:shd w:val="clear" w:color="auto" w:fill="auto"/>
            <w:vAlign w:val="center"/>
          </w:tcPr>
          <w:p w14:paraId="3089FE27">
            <w:pPr>
              <w:pStyle w:val="192"/>
              <w:rPr>
                <w:rFonts w:hint="default" w:ascii="Times New Roman" w:hAnsi="Times New Roman" w:cs="Times New Roman"/>
                <w:spacing w:val="-2"/>
              </w:rPr>
            </w:pPr>
            <w:r>
              <w:rPr>
                <w:rFonts w:hint="default" w:ascii="Times New Roman" w:hAnsi="Times New Roman" w:cs="Times New Roman"/>
                <w:spacing w:val="-2"/>
              </w:rPr>
              <w:t>平整度*</w:t>
            </w:r>
          </w:p>
        </w:tc>
        <w:tc>
          <w:tcPr>
            <w:tcW w:w="749" w:type="pct"/>
            <w:shd w:val="clear" w:color="auto" w:fill="auto"/>
            <w:vAlign w:val="center"/>
          </w:tcPr>
          <w:p w14:paraId="38E7DE15">
            <w:pPr>
              <w:pStyle w:val="192"/>
              <w:rPr>
                <w:rFonts w:hint="default" w:ascii="Times New Roman" w:hAnsi="Times New Roman" w:cs="Times New Roman"/>
                <w:spacing w:val="-2"/>
              </w:rPr>
            </w:pPr>
            <w:r>
              <w:rPr>
                <w:rFonts w:hint="default" w:ascii="Times New Roman" w:hAnsi="Times New Roman" w:cs="Times New Roman"/>
                <w:spacing w:val="-2"/>
              </w:rPr>
              <w:t>σ（mm）</w:t>
            </w:r>
          </w:p>
        </w:tc>
        <w:tc>
          <w:tcPr>
            <w:tcW w:w="665" w:type="pct"/>
            <w:vMerge w:val="restart"/>
            <w:shd w:val="clear" w:color="auto" w:fill="auto"/>
            <w:vAlign w:val="center"/>
          </w:tcPr>
          <w:p w14:paraId="323FA325">
            <w:pPr>
              <w:pStyle w:val="192"/>
              <w:rPr>
                <w:rFonts w:hint="default" w:ascii="Times New Roman" w:hAnsi="Times New Roman" w:cs="Times New Roman"/>
                <w:spacing w:val="-2"/>
              </w:rPr>
            </w:pPr>
            <w:r>
              <w:rPr>
                <w:rFonts w:hint="default" w:ascii="Times New Roman" w:hAnsi="Times New Roman" w:cs="Times New Roman"/>
                <w:spacing w:val="-2"/>
              </w:rPr>
              <w:t>连续检测</w:t>
            </w:r>
          </w:p>
        </w:tc>
        <w:tc>
          <w:tcPr>
            <w:tcW w:w="1913" w:type="pct"/>
            <w:gridSpan w:val="2"/>
            <w:shd w:val="clear" w:color="auto" w:fill="auto"/>
            <w:vAlign w:val="center"/>
          </w:tcPr>
          <w:p w14:paraId="38F83D7C">
            <w:pPr>
              <w:pStyle w:val="192"/>
              <w:rPr>
                <w:rFonts w:hint="default" w:ascii="Times New Roman" w:hAnsi="Times New Roman" w:cs="Times New Roman"/>
                <w:spacing w:val="-2"/>
              </w:rPr>
            </w:pPr>
            <w:r>
              <w:rPr>
                <w:rFonts w:hint="default" w:ascii="Times New Roman" w:hAnsi="Times New Roman" w:cs="Times New Roman"/>
                <w:spacing w:val="-2"/>
              </w:rPr>
              <w:t>≤2.5</w:t>
            </w:r>
          </w:p>
        </w:tc>
        <w:tc>
          <w:tcPr>
            <w:tcW w:w="944" w:type="pct"/>
            <w:vMerge w:val="restart"/>
            <w:shd w:val="clear" w:color="auto" w:fill="auto"/>
            <w:vAlign w:val="center"/>
          </w:tcPr>
          <w:p w14:paraId="265B80A9">
            <w:pPr>
              <w:pStyle w:val="192"/>
              <w:rPr>
                <w:rFonts w:hint="default" w:ascii="Times New Roman" w:hAnsi="Times New Roman" w:cs="Times New Roman"/>
                <w:spacing w:val="-2"/>
              </w:rPr>
            </w:pPr>
            <w:r>
              <w:rPr>
                <w:rFonts w:hint="default" w:ascii="Times New Roman" w:hAnsi="Times New Roman" w:cs="Times New Roman"/>
                <w:spacing w:val="-2"/>
              </w:rPr>
              <w:t>T0932或T0934</w:t>
            </w:r>
          </w:p>
        </w:tc>
      </w:tr>
      <w:tr w14:paraId="11CC4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729" w:type="pct"/>
            <w:vMerge w:val="continue"/>
            <w:shd w:val="clear" w:color="auto" w:fill="auto"/>
            <w:vAlign w:val="center"/>
          </w:tcPr>
          <w:p w14:paraId="4AFA2B00">
            <w:pPr>
              <w:pStyle w:val="192"/>
              <w:rPr>
                <w:rFonts w:hint="default" w:ascii="Times New Roman" w:hAnsi="Times New Roman" w:cs="Times New Roman"/>
                <w:spacing w:val="-2"/>
              </w:rPr>
            </w:pPr>
          </w:p>
        </w:tc>
        <w:tc>
          <w:tcPr>
            <w:tcW w:w="749" w:type="pct"/>
            <w:shd w:val="clear" w:color="auto" w:fill="auto"/>
            <w:vAlign w:val="center"/>
          </w:tcPr>
          <w:p w14:paraId="7A506C2C">
            <w:pPr>
              <w:pStyle w:val="192"/>
              <w:rPr>
                <w:rFonts w:hint="default" w:ascii="Times New Roman" w:hAnsi="Times New Roman" w:cs="Times New Roman"/>
                <w:spacing w:val="-2"/>
              </w:rPr>
            </w:pPr>
            <w:r>
              <w:rPr>
                <w:rFonts w:hint="default" w:ascii="Times New Roman" w:hAnsi="Times New Roman" w:cs="Times New Roman"/>
                <w:spacing w:val="-2"/>
              </w:rPr>
              <w:t>IRI（m/km）</w:t>
            </w:r>
          </w:p>
        </w:tc>
        <w:tc>
          <w:tcPr>
            <w:tcW w:w="665" w:type="pct"/>
            <w:vMerge w:val="continue"/>
            <w:shd w:val="clear" w:color="auto" w:fill="auto"/>
            <w:vAlign w:val="center"/>
          </w:tcPr>
          <w:p w14:paraId="7A52D7A1">
            <w:pPr>
              <w:pStyle w:val="192"/>
              <w:rPr>
                <w:rFonts w:hint="default" w:ascii="Times New Roman" w:hAnsi="Times New Roman" w:cs="Times New Roman"/>
                <w:spacing w:val="-2"/>
              </w:rPr>
            </w:pPr>
          </w:p>
        </w:tc>
        <w:tc>
          <w:tcPr>
            <w:tcW w:w="1913" w:type="pct"/>
            <w:gridSpan w:val="2"/>
            <w:shd w:val="clear" w:color="auto" w:fill="auto"/>
            <w:vAlign w:val="center"/>
          </w:tcPr>
          <w:p w14:paraId="17FE7D7B">
            <w:pPr>
              <w:pStyle w:val="192"/>
              <w:rPr>
                <w:rFonts w:hint="default" w:ascii="Times New Roman" w:hAnsi="Times New Roman" w:cs="Times New Roman"/>
                <w:spacing w:val="-2"/>
              </w:rPr>
            </w:pPr>
            <w:r>
              <w:rPr>
                <w:rFonts w:hint="default" w:ascii="Times New Roman" w:hAnsi="Times New Roman" w:cs="Times New Roman"/>
                <w:spacing w:val="-2"/>
              </w:rPr>
              <w:t>≤4.2</w:t>
            </w:r>
          </w:p>
        </w:tc>
        <w:tc>
          <w:tcPr>
            <w:tcW w:w="944" w:type="pct"/>
            <w:vMerge w:val="continue"/>
            <w:shd w:val="clear" w:color="auto" w:fill="auto"/>
            <w:vAlign w:val="center"/>
          </w:tcPr>
          <w:p w14:paraId="192093A1">
            <w:pPr>
              <w:pStyle w:val="192"/>
              <w:rPr>
                <w:rFonts w:hint="default" w:ascii="Times New Roman" w:hAnsi="Times New Roman" w:cs="Times New Roman"/>
                <w:spacing w:val="-2"/>
              </w:rPr>
            </w:pPr>
          </w:p>
        </w:tc>
      </w:tr>
      <w:tr w14:paraId="3BFB7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729" w:type="pct"/>
            <w:vMerge w:val="restart"/>
            <w:shd w:val="clear" w:color="auto" w:fill="auto"/>
            <w:vAlign w:val="center"/>
          </w:tcPr>
          <w:p w14:paraId="64CAD2B5">
            <w:pPr>
              <w:pStyle w:val="192"/>
              <w:rPr>
                <w:rFonts w:hint="default" w:ascii="Times New Roman" w:hAnsi="Times New Roman" w:cs="Times New Roman"/>
                <w:spacing w:val="-2"/>
              </w:rPr>
            </w:pPr>
            <w:r>
              <w:rPr>
                <w:rFonts w:hint="default" w:ascii="Times New Roman" w:hAnsi="Times New Roman" w:cs="Times New Roman"/>
                <w:spacing w:val="-2"/>
              </w:rPr>
              <w:t>厚度（mm）</w:t>
            </w:r>
          </w:p>
        </w:tc>
        <w:tc>
          <w:tcPr>
            <w:tcW w:w="749" w:type="pct"/>
            <w:shd w:val="clear" w:color="auto" w:fill="auto"/>
            <w:vAlign w:val="center"/>
          </w:tcPr>
          <w:p w14:paraId="54026250">
            <w:pPr>
              <w:pStyle w:val="192"/>
              <w:rPr>
                <w:rFonts w:hint="default" w:ascii="Times New Roman" w:hAnsi="Times New Roman" w:cs="Times New Roman"/>
                <w:spacing w:val="-2"/>
              </w:rPr>
            </w:pPr>
            <w:r>
              <w:rPr>
                <w:rFonts w:hint="default" w:ascii="Times New Roman" w:hAnsi="Times New Roman" w:cs="Times New Roman"/>
                <w:spacing w:val="-2"/>
              </w:rPr>
              <w:t>均值</w:t>
            </w:r>
          </w:p>
        </w:tc>
        <w:tc>
          <w:tcPr>
            <w:tcW w:w="665" w:type="pct"/>
            <w:vMerge w:val="restart"/>
            <w:shd w:val="clear" w:color="auto" w:fill="auto"/>
            <w:vAlign w:val="center"/>
          </w:tcPr>
          <w:p w14:paraId="7A827ADD">
            <w:pPr>
              <w:pStyle w:val="192"/>
              <w:rPr>
                <w:rFonts w:hint="default" w:ascii="Times New Roman" w:hAnsi="Times New Roman" w:cs="Times New Roman"/>
                <w:spacing w:val="-2"/>
              </w:rPr>
            </w:pPr>
            <w:r>
              <w:rPr>
                <w:rFonts w:hint="default" w:ascii="Times New Roman" w:hAnsi="Times New Roman" w:cs="Times New Roman"/>
                <w:spacing w:val="-2"/>
              </w:rPr>
              <w:t>5个点/km</w:t>
            </w:r>
          </w:p>
        </w:tc>
        <w:tc>
          <w:tcPr>
            <w:tcW w:w="1913" w:type="pct"/>
            <w:gridSpan w:val="2"/>
            <w:shd w:val="clear" w:color="auto" w:fill="auto"/>
            <w:vAlign w:val="center"/>
          </w:tcPr>
          <w:p w14:paraId="7AB06E63">
            <w:pPr>
              <w:pStyle w:val="192"/>
              <w:rPr>
                <w:rFonts w:hint="default" w:ascii="Times New Roman" w:hAnsi="Times New Roman" w:cs="Times New Roman"/>
                <w:spacing w:val="-2"/>
              </w:rPr>
            </w:pPr>
            <w:r>
              <w:rPr>
                <w:rFonts w:hint="default" w:ascii="Times New Roman" w:hAnsi="Times New Roman" w:cs="Times New Roman"/>
                <w:spacing w:val="-2"/>
              </w:rPr>
              <w:t>不小于设计值</w:t>
            </w:r>
          </w:p>
        </w:tc>
        <w:tc>
          <w:tcPr>
            <w:tcW w:w="944" w:type="pct"/>
            <w:vMerge w:val="restart"/>
            <w:shd w:val="clear" w:color="auto" w:fill="auto"/>
            <w:vAlign w:val="center"/>
          </w:tcPr>
          <w:p w14:paraId="5D87C0C7">
            <w:pPr>
              <w:pStyle w:val="192"/>
              <w:rPr>
                <w:rFonts w:hint="default" w:ascii="Times New Roman" w:hAnsi="Times New Roman" w:cs="Times New Roman"/>
                <w:spacing w:val="-2"/>
              </w:rPr>
            </w:pPr>
            <w:r>
              <w:rPr>
                <w:rFonts w:hint="default" w:ascii="Times New Roman" w:hAnsi="Times New Roman" w:cs="Times New Roman"/>
                <w:spacing w:val="-2"/>
              </w:rPr>
              <w:t xml:space="preserve">T0912 </w:t>
            </w:r>
          </w:p>
        </w:tc>
      </w:tr>
      <w:tr w14:paraId="505B4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729" w:type="pct"/>
            <w:vMerge w:val="continue"/>
            <w:shd w:val="clear" w:color="auto" w:fill="auto"/>
            <w:vAlign w:val="center"/>
          </w:tcPr>
          <w:p w14:paraId="38789A20">
            <w:pPr>
              <w:pStyle w:val="192"/>
              <w:rPr>
                <w:rFonts w:hint="default" w:ascii="Times New Roman" w:hAnsi="Times New Roman" w:cs="Times New Roman"/>
                <w:spacing w:val="-2"/>
              </w:rPr>
            </w:pPr>
          </w:p>
        </w:tc>
        <w:tc>
          <w:tcPr>
            <w:tcW w:w="749" w:type="pct"/>
            <w:shd w:val="clear" w:color="auto" w:fill="auto"/>
            <w:vAlign w:val="center"/>
          </w:tcPr>
          <w:p w14:paraId="05BD9B84">
            <w:pPr>
              <w:pStyle w:val="192"/>
              <w:rPr>
                <w:rFonts w:hint="default" w:ascii="Times New Roman" w:hAnsi="Times New Roman" w:cs="Times New Roman"/>
                <w:spacing w:val="-2"/>
              </w:rPr>
            </w:pPr>
            <w:r>
              <w:rPr>
                <w:rFonts w:hint="default" w:ascii="Times New Roman" w:hAnsi="Times New Roman" w:cs="Times New Roman"/>
                <w:spacing w:val="-2"/>
              </w:rPr>
              <w:t>代表值</w:t>
            </w:r>
          </w:p>
        </w:tc>
        <w:tc>
          <w:tcPr>
            <w:tcW w:w="665" w:type="pct"/>
            <w:vMerge w:val="continue"/>
            <w:shd w:val="clear" w:color="auto" w:fill="auto"/>
            <w:vAlign w:val="center"/>
          </w:tcPr>
          <w:p w14:paraId="5603BAEB">
            <w:pPr>
              <w:pStyle w:val="192"/>
              <w:rPr>
                <w:rFonts w:hint="default" w:ascii="Times New Roman" w:hAnsi="Times New Roman" w:cs="Times New Roman"/>
                <w:spacing w:val="-2"/>
              </w:rPr>
            </w:pPr>
          </w:p>
        </w:tc>
        <w:tc>
          <w:tcPr>
            <w:tcW w:w="1913" w:type="pct"/>
            <w:gridSpan w:val="2"/>
            <w:shd w:val="clear" w:color="auto" w:fill="auto"/>
            <w:vAlign w:val="center"/>
          </w:tcPr>
          <w:p w14:paraId="6826AA67">
            <w:pPr>
              <w:pStyle w:val="192"/>
              <w:rPr>
                <w:rFonts w:hint="default" w:ascii="Times New Roman" w:hAnsi="Times New Roman" w:cs="Times New Roman"/>
                <w:spacing w:val="-2"/>
              </w:rPr>
            </w:pPr>
            <w:r>
              <w:rPr>
                <w:rFonts w:hint="default" w:ascii="Times New Roman" w:hAnsi="Times New Roman" w:cs="Times New Roman"/>
                <w:spacing w:val="-2"/>
              </w:rPr>
              <w:t>设计厚度-10%</w:t>
            </w:r>
          </w:p>
        </w:tc>
        <w:tc>
          <w:tcPr>
            <w:tcW w:w="944" w:type="pct"/>
            <w:vMerge w:val="continue"/>
            <w:shd w:val="clear" w:color="auto" w:fill="auto"/>
            <w:vAlign w:val="center"/>
          </w:tcPr>
          <w:p w14:paraId="2E6413E0">
            <w:pPr>
              <w:pStyle w:val="192"/>
              <w:rPr>
                <w:rFonts w:hint="default" w:ascii="Times New Roman" w:hAnsi="Times New Roman" w:cs="Times New Roman"/>
                <w:spacing w:val="-2"/>
              </w:rPr>
            </w:pPr>
          </w:p>
        </w:tc>
      </w:tr>
      <w:tr w14:paraId="153D7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1477" w:type="pct"/>
            <w:gridSpan w:val="2"/>
            <w:shd w:val="clear" w:color="auto" w:fill="auto"/>
            <w:vAlign w:val="center"/>
          </w:tcPr>
          <w:p w14:paraId="38751BD6">
            <w:pPr>
              <w:pStyle w:val="192"/>
              <w:rPr>
                <w:rFonts w:hint="default" w:ascii="Times New Roman" w:hAnsi="Times New Roman" w:cs="Times New Roman"/>
                <w:spacing w:val="-2"/>
              </w:rPr>
            </w:pPr>
            <w:r>
              <w:rPr>
                <w:rFonts w:hint="default" w:ascii="Times New Roman" w:hAnsi="Times New Roman" w:cs="Times New Roman"/>
                <w:spacing w:val="-2"/>
              </w:rPr>
              <w:t>宽度（mm）</w:t>
            </w:r>
          </w:p>
        </w:tc>
        <w:tc>
          <w:tcPr>
            <w:tcW w:w="665" w:type="pct"/>
            <w:shd w:val="clear" w:color="auto" w:fill="auto"/>
            <w:vAlign w:val="center"/>
          </w:tcPr>
          <w:p w14:paraId="7FB9A872">
            <w:pPr>
              <w:pStyle w:val="192"/>
              <w:rPr>
                <w:rFonts w:hint="default" w:ascii="Times New Roman" w:hAnsi="Times New Roman" w:cs="Times New Roman"/>
                <w:spacing w:val="-2"/>
              </w:rPr>
            </w:pPr>
            <w:r>
              <w:rPr>
                <w:rFonts w:hint="default" w:ascii="Times New Roman" w:hAnsi="Times New Roman" w:cs="Times New Roman"/>
                <w:spacing w:val="-2"/>
              </w:rPr>
              <w:t>5个点/km</w:t>
            </w:r>
          </w:p>
        </w:tc>
        <w:tc>
          <w:tcPr>
            <w:tcW w:w="1913" w:type="pct"/>
            <w:gridSpan w:val="2"/>
            <w:shd w:val="clear" w:color="auto" w:fill="auto"/>
            <w:vAlign w:val="center"/>
          </w:tcPr>
          <w:p w14:paraId="1080171A">
            <w:pPr>
              <w:pStyle w:val="192"/>
              <w:rPr>
                <w:rFonts w:hint="default" w:ascii="Times New Roman" w:hAnsi="Times New Roman" w:cs="Times New Roman"/>
                <w:spacing w:val="-2"/>
              </w:rPr>
            </w:pPr>
            <w:r>
              <w:rPr>
                <w:rFonts w:hint="default" w:ascii="Times New Roman" w:hAnsi="Times New Roman" w:cs="Times New Roman"/>
                <w:spacing w:val="-2"/>
              </w:rPr>
              <w:t>不小于设计值</w:t>
            </w:r>
          </w:p>
        </w:tc>
        <w:tc>
          <w:tcPr>
            <w:tcW w:w="944" w:type="pct"/>
            <w:shd w:val="clear" w:color="auto" w:fill="auto"/>
            <w:vAlign w:val="center"/>
          </w:tcPr>
          <w:p w14:paraId="1D02F353">
            <w:pPr>
              <w:pStyle w:val="192"/>
              <w:rPr>
                <w:rFonts w:hint="default" w:ascii="Times New Roman" w:hAnsi="Times New Roman" w:cs="Times New Roman"/>
                <w:spacing w:val="-2"/>
              </w:rPr>
            </w:pPr>
            <w:r>
              <w:rPr>
                <w:rFonts w:hint="default" w:ascii="Times New Roman" w:hAnsi="Times New Roman" w:cs="Times New Roman"/>
                <w:spacing w:val="-2"/>
              </w:rPr>
              <w:t>T0911</w:t>
            </w:r>
          </w:p>
        </w:tc>
      </w:tr>
      <w:tr w14:paraId="4C692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729" w:type="pct"/>
            <w:vMerge w:val="restart"/>
            <w:shd w:val="clear" w:color="auto" w:fill="auto"/>
            <w:vAlign w:val="center"/>
          </w:tcPr>
          <w:p w14:paraId="5890AF1F">
            <w:pPr>
              <w:pStyle w:val="192"/>
              <w:rPr>
                <w:rFonts w:hint="default" w:ascii="Times New Roman" w:hAnsi="Times New Roman" w:cs="Times New Roman"/>
                <w:spacing w:val="-2"/>
              </w:rPr>
            </w:pPr>
            <w:r>
              <w:rPr>
                <w:rFonts w:hint="default" w:ascii="Times New Roman" w:hAnsi="Times New Roman" w:cs="Times New Roman"/>
                <w:spacing w:val="-2"/>
              </w:rPr>
              <w:t>抗滑性能</w:t>
            </w:r>
          </w:p>
        </w:tc>
        <w:tc>
          <w:tcPr>
            <w:tcW w:w="749" w:type="pct"/>
            <w:shd w:val="clear" w:color="auto" w:fill="auto"/>
            <w:vAlign w:val="center"/>
          </w:tcPr>
          <w:p w14:paraId="419B0B35">
            <w:pPr>
              <w:pStyle w:val="192"/>
              <w:rPr>
                <w:rFonts w:hint="default" w:ascii="Times New Roman" w:hAnsi="Times New Roman" w:cs="Times New Roman"/>
                <w:spacing w:val="-2"/>
              </w:rPr>
            </w:pPr>
            <w:r>
              <w:rPr>
                <w:rFonts w:hint="default" w:ascii="Times New Roman" w:hAnsi="Times New Roman" w:cs="Times New Roman"/>
                <w:spacing w:val="-2"/>
              </w:rPr>
              <w:t>摆值F</w:t>
            </w:r>
            <w:r>
              <w:rPr>
                <w:rFonts w:hint="default" w:ascii="Times New Roman" w:hAnsi="Times New Roman" w:cs="Times New Roman"/>
                <w:spacing w:val="-2"/>
                <w:vertAlign w:val="subscript"/>
              </w:rPr>
              <w:t>b</w:t>
            </w:r>
          </w:p>
        </w:tc>
        <w:tc>
          <w:tcPr>
            <w:tcW w:w="665" w:type="pct"/>
            <w:vMerge w:val="restart"/>
            <w:shd w:val="clear" w:color="auto" w:fill="auto"/>
            <w:vAlign w:val="center"/>
          </w:tcPr>
          <w:p w14:paraId="7409CD03">
            <w:pPr>
              <w:pStyle w:val="192"/>
              <w:rPr>
                <w:rFonts w:hint="default" w:ascii="Times New Roman" w:hAnsi="Times New Roman" w:cs="Times New Roman"/>
                <w:spacing w:val="-2"/>
              </w:rPr>
            </w:pPr>
            <w:r>
              <w:rPr>
                <w:rFonts w:hint="default" w:ascii="Times New Roman" w:hAnsi="Times New Roman" w:cs="Times New Roman"/>
                <w:spacing w:val="-2"/>
              </w:rPr>
              <w:t>5个点/km</w:t>
            </w:r>
          </w:p>
        </w:tc>
        <w:tc>
          <w:tcPr>
            <w:tcW w:w="998" w:type="pct"/>
            <w:tcBorders>
              <w:bottom w:val="single" w:color="auto" w:sz="4" w:space="0"/>
            </w:tcBorders>
            <w:shd w:val="clear" w:color="auto" w:fill="auto"/>
            <w:vAlign w:val="center"/>
          </w:tcPr>
          <w:p w14:paraId="370AE759">
            <w:pPr>
              <w:pStyle w:val="192"/>
              <w:rPr>
                <w:rFonts w:hint="default" w:ascii="Times New Roman" w:hAnsi="Times New Roman" w:cs="Times New Roman"/>
                <w:spacing w:val="-2"/>
              </w:rPr>
            </w:pPr>
            <w:r>
              <w:rPr>
                <w:rFonts w:hint="default" w:ascii="Times New Roman" w:hAnsi="Times New Roman" w:cs="Times New Roman"/>
                <w:spacing w:val="-2"/>
              </w:rPr>
              <w:t>5</w:t>
            </w:r>
            <w:r>
              <w:rPr>
                <w:rFonts w:hint="default" w:ascii="Times New Roman" w:hAnsi="Times New Roman" w:cs="Times New Roman"/>
              </w:rPr>
              <w:t>2</w:t>
            </w:r>
          </w:p>
        </w:tc>
        <w:tc>
          <w:tcPr>
            <w:tcW w:w="915" w:type="pct"/>
            <w:vMerge w:val="restart"/>
            <w:shd w:val="clear" w:color="auto" w:fill="auto"/>
            <w:vAlign w:val="center"/>
          </w:tcPr>
          <w:p w14:paraId="385A1387">
            <w:pPr>
              <w:pStyle w:val="192"/>
              <w:rPr>
                <w:rFonts w:hint="default" w:ascii="Times New Roman" w:hAnsi="Times New Roman" w:cs="Times New Roman"/>
                <w:spacing w:val="-2"/>
              </w:rPr>
            </w:pPr>
            <w:r>
              <w:rPr>
                <w:rFonts w:hint="default" w:ascii="Times New Roman" w:hAnsi="Times New Roman" w:cs="Times New Roman"/>
                <w:spacing w:val="-2"/>
              </w:rPr>
              <w:t>符合设计要求</w:t>
            </w:r>
          </w:p>
        </w:tc>
        <w:tc>
          <w:tcPr>
            <w:tcW w:w="944" w:type="pct"/>
            <w:shd w:val="clear" w:color="auto" w:fill="auto"/>
            <w:vAlign w:val="center"/>
          </w:tcPr>
          <w:p w14:paraId="72AC05D8">
            <w:pPr>
              <w:pStyle w:val="192"/>
              <w:rPr>
                <w:rFonts w:hint="default" w:ascii="Times New Roman" w:hAnsi="Times New Roman" w:cs="Times New Roman"/>
                <w:spacing w:val="-2"/>
              </w:rPr>
            </w:pPr>
            <w:r>
              <w:rPr>
                <w:rFonts w:hint="default" w:ascii="Times New Roman" w:hAnsi="Times New Roman" w:cs="Times New Roman"/>
                <w:spacing w:val="-2"/>
              </w:rPr>
              <w:t>摆式仪：T0964</w:t>
            </w:r>
          </w:p>
        </w:tc>
      </w:tr>
      <w:tr w14:paraId="25738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729" w:type="pct"/>
            <w:vMerge w:val="continue"/>
            <w:shd w:val="clear" w:color="auto" w:fill="auto"/>
            <w:vAlign w:val="center"/>
          </w:tcPr>
          <w:p w14:paraId="7A062ED9">
            <w:pPr>
              <w:pStyle w:val="192"/>
              <w:rPr>
                <w:rFonts w:hint="default" w:ascii="Times New Roman" w:hAnsi="Times New Roman" w:cs="Times New Roman"/>
                <w:spacing w:val="-2"/>
              </w:rPr>
            </w:pPr>
          </w:p>
        </w:tc>
        <w:tc>
          <w:tcPr>
            <w:tcW w:w="749" w:type="pct"/>
            <w:shd w:val="clear" w:color="auto" w:fill="auto"/>
            <w:vAlign w:val="center"/>
          </w:tcPr>
          <w:p w14:paraId="5A4041DA">
            <w:pPr>
              <w:pStyle w:val="192"/>
              <w:rPr>
                <w:rFonts w:hint="default" w:ascii="Times New Roman" w:hAnsi="Times New Roman" w:cs="Times New Roman"/>
                <w:spacing w:val="-2"/>
              </w:rPr>
            </w:pPr>
            <w:r>
              <w:rPr>
                <w:rFonts w:hint="default" w:ascii="Times New Roman" w:hAnsi="Times New Roman" w:cs="Times New Roman"/>
                <w:spacing w:val="-2"/>
              </w:rPr>
              <w:t>横向力系数</w:t>
            </w:r>
          </w:p>
        </w:tc>
        <w:tc>
          <w:tcPr>
            <w:tcW w:w="665" w:type="pct"/>
            <w:vMerge w:val="continue"/>
            <w:shd w:val="clear" w:color="auto" w:fill="auto"/>
            <w:vAlign w:val="center"/>
          </w:tcPr>
          <w:p w14:paraId="6E2B2E52">
            <w:pPr>
              <w:pStyle w:val="192"/>
              <w:rPr>
                <w:rFonts w:hint="default" w:ascii="Times New Roman" w:hAnsi="Times New Roman" w:cs="Times New Roman"/>
                <w:spacing w:val="-2"/>
              </w:rPr>
            </w:pPr>
          </w:p>
        </w:tc>
        <w:tc>
          <w:tcPr>
            <w:tcW w:w="998" w:type="pct"/>
            <w:tcBorders>
              <w:top w:val="single" w:color="auto" w:sz="4" w:space="0"/>
            </w:tcBorders>
            <w:shd w:val="clear" w:color="auto" w:fill="auto"/>
            <w:vAlign w:val="center"/>
          </w:tcPr>
          <w:p w14:paraId="099CEFBC">
            <w:pPr>
              <w:pStyle w:val="192"/>
              <w:rPr>
                <w:rFonts w:hint="default" w:ascii="Times New Roman" w:hAnsi="Times New Roman" w:cs="Times New Roman"/>
                <w:spacing w:val="-2"/>
              </w:rPr>
            </w:pPr>
            <w:r>
              <w:rPr>
                <w:rFonts w:hint="default" w:ascii="Times New Roman" w:hAnsi="Times New Roman" w:cs="Times New Roman"/>
                <w:spacing w:val="-2"/>
              </w:rPr>
              <w:t>≥54</w:t>
            </w:r>
          </w:p>
        </w:tc>
        <w:tc>
          <w:tcPr>
            <w:tcW w:w="915" w:type="pct"/>
            <w:vMerge w:val="continue"/>
            <w:shd w:val="clear" w:color="auto" w:fill="auto"/>
            <w:vAlign w:val="center"/>
          </w:tcPr>
          <w:p w14:paraId="64A5C128">
            <w:pPr>
              <w:pStyle w:val="192"/>
              <w:rPr>
                <w:rFonts w:hint="default" w:ascii="Times New Roman" w:hAnsi="Times New Roman" w:cs="Times New Roman"/>
                <w:spacing w:val="-2"/>
              </w:rPr>
            </w:pPr>
          </w:p>
        </w:tc>
        <w:tc>
          <w:tcPr>
            <w:tcW w:w="944" w:type="pct"/>
            <w:shd w:val="clear" w:color="auto" w:fill="auto"/>
            <w:vAlign w:val="center"/>
          </w:tcPr>
          <w:p w14:paraId="45F00EC5">
            <w:pPr>
              <w:pStyle w:val="192"/>
              <w:rPr>
                <w:rFonts w:hint="default" w:ascii="Times New Roman" w:hAnsi="Times New Roman" w:cs="Times New Roman"/>
                <w:spacing w:val="-2"/>
              </w:rPr>
            </w:pPr>
            <w:r>
              <w:rPr>
                <w:rFonts w:hint="default" w:ascii="Times New Roman" w:hAnsi="Times New Roman" w:cs="Times New Roman"/>
                <w:spacing w:val="-2"/>
              </w:rPr>
              <w:t>T0965或T0967</w:t>
            </w:r>
          </w:p>
        </w:tc>
      </w:tr>
      <w:tr w14:paraId="73078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729" w:type="pct"/>
            <w:vMerge w:val="continue"/>
            <w:shd w:val="clear" w:color="auto" w:fill="auto"/>
            <w:vAlign w:val="center"/>
          </w:tcPr>
          <w:p w14:paraId="5B829066">
            <w:pPr>
              <w:pStyle w:val="192"/>
              <w:rPr>
                <w:rFonts w:hint="default" w:ascii="Times New Roman" w:hAnsi="Times New Roman" w:cs="Times New Roman"/>
                <w:spacing w:val="-2"/>
              </w:rPr>
            </w:pPr>
          </w:p>
        </w:tc>
        <w:tc>
          <w:tcPr>
            <w:tcW w:w="749" w:type="pct"/>
            <w:shd w:val="clear" w:color="auto" w:fill="auto"/>
            <w:vAlign w:val="center"/>
          </w:tcPr>
          <w:p w14:paraId="3AEA7332">
            <w:pPr>
              <w:pStyle w:val="192"/>
              <w:rPr>
                <w:rFonts w:hint="default" w:ascii="Times New Roman" w:hAnsi="Times New Roman" w:cs="Times New Roman"/>
                <w:spacing w:val="-2"/>
              </w:rPr>
            </w:pPr>
            <w:r>
              <w:rPr>
                <w:rFonts w:hint="default" w:ascii="Times New Roman" w:hAnsi="Times New Roman" w:cs="Times New Roman"/>
                <w:spacing w:val="-2"/>
              </w:rPr>
              <w:t>构造深度</w:t>
            </w:r>
          </w:p>
        </w:tc>
        <w:tc>
          <w:tcPr>
            <w:tcW w:w="665" w:type="pct"/>
            <w:vMerge w:val="continue"/>
            <w:shd w:val="clear" w:color="auto" w:fill="auto"/>
            <w:vAlign w:val="center"/>
          </w:tcPr>
          <w:p w14:paraId="4F520C58">
            <w:pPr>
              <w:pStyle w:val="192"/>
              <w:rPr>
                <w:rFonts w:hint="default" w:ascii="Times New Roman" w:hAnsi="Times New Roman" w:cs="Times New Roman"/>
                <w:spacing w:val="-2"/>
              </w:rPr>
            </w:pPr>
          </w:p>
        </w:tc>
        <w:tc>
          <w:tcPr>
            <w:tcW w:w="998" w:type="pct"/>
            <w:shd w:val="clear" w:color="auto" w:fill="auto"/>
            <w:vAlign w:val="center"/>
          </w:tcPr>
          <w:p w14:paraId="19B07B3D">
            <w:pPr>
              <w:pStyle w:val="192"/>
              <w:rPr>
                <w:rFonts w:hint="default" w:ascii="Times New Roman" w:hAnsi="Times New Roman" w:cs="Times New Roman"/>
                <w:spacing w:val="-2"/>
              </w:rPr>
            </w:pPr>
            <w:r>
              <w:rPr>
                <w:rFonts w:hint="default" w:ascii="Times New Roman" w:hAnsi="Times New Roman" w:cs="Times New Roman"/>
                <w:spacing w:val="-2"/>
              </w:rPr>
              <w:t>≥0.6</w:t>
            </w:r>
          </w:p>
        </w:tc>
        <w:tc>
          <w:tcPr>
            <w:tcW w:w="915" w:type="pct"/>
            <w:vMerge w:val="continue"/>
            <w:shd w:val="clear" w:color="auto" w:fill="auto"/>
            <w:vAlign w:val="center"/>
          </w:tcPr>
          <w:p w14:paraId="2274A2E3">
            <w:pPr>
              <w:pStyle w:val="192"/>
              <w:rPr>
                <w:rFonts w:hint="default" w:ascii="Times New Roman" w:hAnsi="Times New Roman" w:cs="Times New Roman"/>
                <w:spacing w:val="-2"/>
              </w:rPr>
            </w:pPr>
          </w:p>
        </w:tc>
        <w:tc>
          <w:tcPr>
            <w:tcW w:w="944" w:type="pct"/>
            <w:shd w:val="clear" w:color="auto" w:fill="auto"/>
            <w:vAlign w:val="center"/>
          </w:tcPr>
          <w:p w14:paraId="6F999C21">
            <w:pPr>
              <w:pStyle w:val="192"/>
              <w:rPr>
                <w:rFonts w:hint="default" w:ascii="Times New Roman" w:hAnsi="Times New Roman" w:cs="Times New Roman"/>
                <w:spacing w:val="-2"/>
              </w:rPr>
            </w:pPr>
            <w:r>
              <w:rPr>
                <w:rFonts w:hint="default" w:ascii="Times New Roman" w:hAnsi="Times New Roman" w:cs="Times New Roman"/>
                <w:spacing w:val="-2"/>
              </w:rPr>
              <w:t>T0961</w:t>
            </w:r>
          </w:p>
        </w:tc>
      </w:tr>
    </w:tbl>
    <w:p w14:paraId="7C673D0E">
      <w:pPr>
        <w:spacing w:line="360" w:lineRule="auto"/>
        <w:ind w:left="426"/>
        <w:rPr>
          <w:rFonts w:hint="default" w:ascii="Times New Roman" w:hAnsi="Times New Roman" w:eastAsia="楷体" w:cs="Times New Roman"/>
          <w:sz w:val="24"/>
        </w:rPr>
      </w:pPr>
      <w:r>
        <w:rPr>
          <w:rFonts w:hint="default" w:ascii="Times New Roman" w:hAnsi="Times New Roman" w:eastAsia="楷体" w:cs="Times New Roman"/>
          <w:sz w:val="24"/>
        </w:rPr>
        <w:t>*注：任选一个平整度检测指标，且与横向力系数指标均由建设单位确定是否检测。</w:t>
      </w:r>
    </w:p>
    <w:p w14:paraId="6B1C187F">
      <w:pPr>
        <w:spacing w:line="360" w:lineRule="auto"/>
        <w:ind w:left="426"/>
        <w:rPr>
          <w:rFonts w:hint="default" w:ascii="Times New Roman" w:hAnsi="Times New Roman" w:eastAsia="华文楷体" w:cs="Times New Roman"/>
          <w:szCs w:val="21"/>
        </w:rPr>
        <w:sectPr>
          <w:headerReference r:id="rId21" w:type="even"/>
          <w:pgSz w:w="11906" w:h="16838"/>
          <w:pgMar w:top="1440" w:right="1800" w:bottom="1440" w:left="1800" w:header="850" w:footer="992" w:gutter="0"/>
          <w:cols w:space="425" w:num="1"/>
          <w:formProt w:val="0"/>
          <w:docGrid w:type="lines" w:linePitch="312" w:charSpace="0"/>
        </w:sectPr>
      </w:pPr>
    </w:p>
    <w:p w14:paraId="782BD54E">
      <w:pPr>
        <w:spacing w:line="360" w:lineRule="auto"/>
        <w:ind w:left="426"/>
        <w:rPr>
          <w:rFonts w:hint="default" w:ascii="Times New Roman" w:hAnsi="Times New Roman" w:eastAsia="华文楷体" w:cs="Times New Roman"/>
          <w:szCs w:val="21"/>
        </w:rPr>
      </w:pPr>
    </w:p>
    <w:p w14:paraId="400CBFA2">
      <w:pPr>
        <w:widowControl/>
        <w:jc w:val="left"/>
        <w:rPr>
          <w:rFonts w:hint="default" w:ascii="Times New Roman" w:hAnsi="Times New Roman" w:eastAsia="华文楷体" w:cs="Times New Roman"/>
          <w:szCs w:val="21"/>
        </w:rPr>
      </w:pPr>
      <w:r>
        <w:rPr>
          <w:rFonts w:hint="default" w:ascii="Times New Roman" w:hAnsi="Times New Roman" w:eastAsia="华文楷体" w:cs="Times New Roman"/>
          <w:szCs w:val="21"/>
        </w:rPr>
        <w:br w:type="page"/>
      </w:r>
    </w:p>
    <w:p w14:paraId="300F7BF7">
      <w:pPr>
        <w:pStyle w:val="52"/>
        <w:spacing w:beforeLines="0" w:afterLines="0" w:line="360" w:lineRule="auto"/>
        <w:outlineLvl w:val="0"/>
        <w:rPr>
          <w:rFonts w:hint="default" w:ascii="Times New Roman" w:hAnsi="Times New Roman" w:cs="Times New Roman" w:eastAsiaTheme="minorEastAsia"/>
          <w:b/>
          <w:bCs/>
          <w:sz w:val="32"/>
          <w:szCs w:val="22"/>
        </w:rPr>
      </w:pPr>
      <w:bookmarkStart w:id="93" w:name="_Toc29472"/>
      <w:r>
        <w:rPr>
          <w:rFonts w:hint="default" w:ascii="Times New Roman" w:hAnsi="Times New Roman" w:cs="Times New Roman" w:eastAsiaTheme="minorEastAsia"/>
          <w:b/>
          <w:bCs/>
          <w:sz w:val="32"/>
          <w:szCs w:val="22"/>
        </w:rPr>
        <w:t>附录A 粘结强度测定方法</w:t>
      </w:r>
      <w:bookmarkEnd w:id="93"/>
    </w:p>
    <w:p w14:paraId="401668CB">
      <w:pPr>
        <w:spacing w:line="360" w:lineRule="auto"/>
        <w:rPr>
          <w:rFonts w:hint="default" w:ascii="Times New Roman" w:hAnsi="Times New Roman" w:cs="Times New Roman"/>
          <w:b/>
          <w:bCs/>
        </w:rPr>
      </w:pPr>
      <w:r>
        <w:rPr>
          <w:rFonts w:hint="default" w:ascii="Times New Roman" w:hAnsi="Times New Roman" w:cs="Times New Roman"/>
          <w:b/>
          <w:bCs/>
        </w:rPr>
        <w:t>A.1 适用范围</w:t>
      </w:r>
    </w:p>
    <w:p w14:paraId="36BEFD2D">
      <w:pPr>
        <w:spacing w:line="360" w:lineRule="auto"/>
        <w:ind w:firstLine="211" w:firstLineChars="100"/>
        <w:rPr>
          <w:rFonts w:hint="default" w:ascii="Times New Roman" w:hAnsi="Times New Roman" w:cs="Times New Roman"/>
        </w:rPr>
      </w:pPr>
      <w:r>
        <w:rPr>
          <w:rFonts w:hint="default" w:ascii="Times New Roman" w:hAnsi="Times New Roman" w:cs="Times New Roman"/>
          <w:b/>
        </w:rPr>
        <w:t>A.1.1</w:t>
      </w:r>
      <w:r>
        <w:rPr>
          <w:rFonts w:hint="default" w:ascii="Times New Roman" w:hAnsi="Times New Roman" w:cs="Times New Roman"/>
        </w:rPr>
        <w:t>该试验用于室内测量黏层材料的粘结强度。</w:t>
      </w:r>
    </w:p>
    <w:p w14:paraId="5803817C">
      <w:pPr>
        <w:spacing w:line="360" w:lineRule="auto"/>
        <w:rPr>
          <w:rFonts w:hint="default" w:ascii="Times New Roman" w:hAnsi="Times New Roman" w:cs="Times New Roman"/>
        </w:rPr>
      </w:pPr>
      <w:r>
        <w:rPr>
          <w:rFonts w:hint="default" w:ascii="Times New Roman" w:hAnsi="Times New Roman" w:cs="Times New Roman"/>
          <w:b/>
          <w:bCs/>
        </w:rPr>
        <w:t>A.2 试验仪器</w:t>
      </w:r>
    </w:p>
    <w:p w14:paraId="198B5F98">
      <w:pPr>
        <w:spacing w:line="360" w:lineRule="auto"/>
        <w:ind w:firstLine="211" w:firstLineChars="100"/>
        <w:rPr>
          <w:rFonts w:hint="default" w:ascii="Times New Roman" w:hAnsi="Times New Roman" w:cs="Times New Roman"/>
        </w:rPr>
      </w:pPr>
      <w:r>
        <w:rPr>
          <w:rFonts w:hint="default" w:ascii="Times New Roman" w:hAnsi="Times New Roman" w:cs="Times New Roman"/>
          <w:b/>
        </w:rPr>
        <w:t>A2.1</w:t>
      </w:r>
      <w:r>
        <w:rPr>
          <w:rFonts w:hint="default" w:ascii="Times New Roman" w:hAnsi="Times New Roman" w:cs="Times New Roman"/>
        </w:rPr>
        <w:t>液压拉拔仪：实验仪器采用便携式液压拉拔仪，宜选用可自动加压的拉拔仪，量程范围0~20Mpa，精度应能够达到±1%，加载速率为0.7MPa/s。</w:t>
      </w:r>
    </w:p>
    <w:p w14:paraId="12DF1321">
      <w:pPr>
        <w:spacing w:line="360" w:lineRule="auto"/>
        <w:ind w:firstLine="211" w:firstLineChars="100"/>
        <w:rPr>
          <w:rFonts w:hint="default" w:ascii="Times New Roman" w:hAnsi="Times New Roman" w:cs="Times New Roman"/>
        </w:rPr>
      </w:pPr>
      <w:r>
        <w:rPr>
          <w:rFonts w:hint="default" w:ascii="Times New Roman" w:hAnsi="Times New Roman" w:cs="Times New Roman"/>
          <w:b/>
        </w:rPr>
        <w:t>A2.2</w:t>
      </w:r>
      <w:r>
        <w:rPr>
          <w:rFonts w:hint="default" w:ascii="Times New Roman" w:hAnsi="Times New Roman" w:cs="Times New Roman"/>
        </w:rPr>
        <w:t xml:space="preserve"> 拉拔头：采用直径尺寸为20mm的圆形拉拔头，拉拔头采用2000抛光值的磨光工艺，粗糙度Ra≤0.1µm。</w:t>
      </w:r>
    </w:p>
    <w:p w14:paraId="12ED825A">
      <w:pPr>
        <w:spacing w:line="360" w:lineRule="auto"/>
        <w:ind w:firstLine="211" w:firstLineChars="100"/>
        <w:rPr>
          <w:rFonts w:hint="default" w:ascii="Times New Roman" w:hAnsi="Times New Roman" w:cs="Times New Roman"/>
        </w:rPr>
      </w:pPr>
      <w:r>
        <w:rPr>
          <w:rFonts w:hint="default" w:ascii="Times New Roman" w:hAnsi="Times New Roman" w:cs="Times New Roman"/>
          <w:b/>
        </w:rPr>
        <w:t>A2.3</w:t>
      </w:r>
      <w:r>
        <w:rPr>
          <w:rFonts w:hint="default" w:ascii="Times New Roman" w:hAnsi="Times New Roman" w:cs="Times New Roman"/>
        </w:rPr>
        <w:t xml:space="preserve"> 硅胶圈：采用与拉拔头对应尺寸形状的硅胶圈，硅胶圈厚度大于4mm。</w:t>
      </w:r>
    </w:p>
    <w:p w14:paraId="3CAE745D">
      <w:pPr>
        <w:spacing w:line="360" w:lineRule="auto"/>
        <w:ind w:firstLine="211" w:firstLineChars="100"/>
        <w:rPr>
          <w:rFonts w:hint="default" w:ascii="Times New Roman" w:hAnsi="Times New Roman" w:cs="Times New Roman"/>
        </w:rPr>
      </w:pPr>
      <w:r>
        <w:rPr>
          <w:rFonts w:hint="default" w:ascii="Times New Roman" w:hAnsi="Times New Roman" w:cs="Times New Roman"/>
          <w:b/>
        </w:rPr>
        <w:t>A2.4</w:t>
      </w:r>
      <w:r>
        <w:rPr>
          <w:rFonts w:hint="default" w:ascii="Times New Roman" w:hAnsi="Times New Roman" w:cs="Times New Roman"/>
        </w:rPr>
        <w:t xml:space="preserve"> 底座：选择玄武岩石板作为底座，尺寸为100mm（长）×100mm（宽）×10mm（厚），表面采用1000抛光值的磨光工序，表面粗糙度Ra≤0.2µm。</w:t>
      </w:r>
    </w:p>
    <w:p w14:paraId="0BB2DA12">
      <w:pPr>
        <w:spacing w:line="360" w:lineRule="auto"/>
        <w:ind w:firstLine="211" w:firstLineChars="100"/>
        <w:rPr>
          <w:rFonts w:hint="default" w:ascii="Times New Roman" w:hAnsi="Times New Roman" w:cs="Times New Roman"/>
          <w:b/>
        </w:rPr>
      </w:pPr>
      <w:r>
        <w:rPr>
          <w:rFonts w:hint="default" w:ascii="Times New Roman" w:hAnsi="Times New Roman" w:cs="Times New Roman"/>
          <w:b/>
        </w:rPr>
        <w:t xml:space="preserve">A2.5 </w:t>
      </w:r>
      <w:r>
        <w:rPr>
          <w:rFonts w:hint="default" w:ascii="Times New Roman" w:hAnsi="Times New Roman" w:cs="Times New Roman"/>
        </w:rPr>
        <w:t>烘箱：恒温烘箱，控温精度±1℃。</w:t>
      </w:r>
    </w:p>
    <w:p w14:paraId="6764A68C">
      <w:pPr>
        <w:spacing w:line="360" w:lineRule="auto"/>
        <w:rPr>
          <w:rFonts w:hint="default" w:ascii="Times New Roman" w:hAnsi="Times New Roman" w:cs="Times New Roman"/>
          <w:b/>
          <w:bCs/>
        </w:rPr>
      </w:pPr>
      <w:r>
        <w:rPr>
          <w:rFonts w:hint="default" w:ascii="Times New Roman" w:hAnsi="Times New Roman" w:cs="Times New Roman"/>
          <w:b/>
          <w:bCs/>
        </w:rPr>
        <w:t>A.3 试验步骤</w:t>
      </w:r>
    </w:p>
    <w:p w14:paraId="1B564A0A">
      <w:pPr>
        <w:spacing w:line="360" w:lineRule="auto"/>
        <w:ind w:firstLine="211" w:firstLineChars="100"/>
        <w:rPr>
          <w:rFonts w:hint="default" w:ascii="Times New Roman" w:hAnsi="Times New Roman" w:cs="Times New Roman"/>
          <w:b/>
        </w:rPr>
      </w:pPr>
      <w:r>
        <w:rPr>
          <w:rFonts w:hint="default" w:ascii="Times New Roman" w:hAnsi="Times New Roman" w:cs="Times New Roman"/>
          <w:b/>
        </w:rPr>
        <w:t>A.3.1将</w:t>
      </w:r>
      <w:r>
        <w:rPr>
          <w:rFonts w:hint="default" w:ascii="Times New Roman" w:hAnsi="Times New Roman" w:cs="Times New Roman"/>
          <w:bCs/>
        </w:rPr>
        <w:t>底座</w:t>
      </w:r>
      <w:r>
        <w:rPr>
          <w:rFonts w:hint="default" w:ascii="Times New Roman" w:hAnsi="Times New Roman" w:cs="Times New Roman"/>
        </w:rPr>
        <w:t>表面清洗干净后置于20℃恒温箱中进行烘干备用。</w:t>
      </w:r>
    </w:p>
    <w:p w14:paraId="58631ACD">
      <w:pPr>
        <w:spacing w:line="360" w:lineRule="auto"/>
        <w:ind w:firstLine="211" w:firstLineChars="100"/>
        <w:rPr>
          <w:rFonts w:hint="default" w:ascii="Times New Roman" w:hAnsi="Times New Roman" w:cs="Times New Roman"/>
        </w:rPr>
      </w:pPr>
      <w:r>
        <w:rPr>
          <w:rFonts w:hint="default" w:ascii="Times New Roman" w:hAnsi="Times New Roman" w:cs="Times New Roman"/>
          <w:b/>
          <w:bCs/>
        </w:rPr>
        <w:t>A3.2</w:t>
      </w:r>
      <w:r>
        <w:rPr>
          <w:rFonts w:hint="default" w:ascii="Times New Roman" w:hAnsi="Times New Roman" w:cs="Times New Roman"/>
        </w:rPr>
        <w:t xml:space="preserve"> 取出干净底座，放置于平坦桌面上，在底座表面放置3个硅胶圈，并向硅胶圈中滴加2g~3g用于测试的黏层材料（如图A.1-a所示）。</w:t>
      </w:r>
    </w:p>
    <w:p w14:paraId="6D081B03">
      <w:pPr>
        <w:spacing w:line="360" w:lineRule="auto"/>
        <w:ind w:firstLine="211" w:firstLineChars="100"/>
        <w:rPr>
          <w:rFonts w:hint="default" w:ascii="Times New Roman" w:hAnsi="Times New Roman" w:cs="Times New Roman"/>
        </w:rPr>
      </w:pPr>
      <w:r>
        <w:rPr>
          <w:rFonts w:hint="default" w:ascii="Times New Roman" w:hAnsi="Times New Roman" w:cs="Times New Roman"/>
          <w:b/>
        </w:rPr>
        <w:t>A.3.3</w:t>
      </w:r>
      <w:r>
        <w:rPr>
          <w:rFonts w:hint="default" w:ascii="Times New Roman" w:hAnsi="Times New Roman" w:cs="Times New Roman"/>
        </w:rPr>
        <w:t>将上述放有硅胶圈及黏层材料的底座置于80℃烘箱中进行加热养生，使黏层材料产生粘结强度，养生时间96h。</w:t>
      </w:r>
    </w:p>
    <w:p w14:paraId="6B013B8C">
      <w:pPr>
        <w:spacing w:line="360" w:lineRule="auto"/>
        <w:ind w:firstLine="211" w:firstLineChars="100"/>
        <w:rPr>
          <w:rFonts w:hint="default" w:ascii="Times New Roman" w:hAnsi="Times New Roman" w:cs="Times New Roman"/>
        </w:rPr>
      </w:pPr>
      <w:r>
        <w:rPr>
          <w:rFonts w:hint="default" w:ascii="Times New Roman" w:hAnsi="Times New Roman" w:cs="Times New Roman"/>
          <w:b/>
        </w:rPr>
        <w:t>A.3.4</w:t>
      </w:r>
      <w:r>
        <w:rPr>
          <w:rFonts w:hint="default" w:ascii="Times New Roman" w:hAnsi="Times New Roman" w:cs="Times New Roman"/>
        </w:rPr>
        <w:t>将拉拔头置于160℃烘箱中加热2h。将底座与拔头同时取出，并将拉拔头压进硅胶圈中，待多余黏层材料从拉拔头溢流孔中流出后，将其置于20℃温度下静置冷却（如图A.1-b所示）。</w:t>
      </w:r>
    </w:p>
    <w:p w14:paraId="295654A2">
      <w:pPr>
        <w:spacing w:line="360" w:lineRule="auto"/>
        <w:ind w:firstLine="211" w:firstLineChars="100"/>
        <w:rPr>
          <w:rFonts w:hint="default" w:ascii="Times New Roman" w:hAnsi="Times New Roman" w:cs="Times New Roman"/>
        </w:rPr>
      </w:pPr>
      <w:r>
        <w:rPr>
          <w:rFonts w:hint="default" w:ascii="Times New Roman" w:hAnsi="Times New Roman" w:cs="Times New Roman"/>
          <w:b/>
        </w:rPr>
        <w:t>A.3.5</w:t>
      </w:r>
      <w:r>
        <w:rPr>
          <w:rFonts w:hint="default" w:ascii="Times New Roman" w:hAnsi="Times New Roman" w:cs="Times New Roman"/>
        </w:rPr>
        <w:t>静置冷却1小时后，取下硅胶圈（如图A.1-c所示），并在20℃温度下利用拉拔仪进行拉拔试验，得到粘结强度（MPa）。</w:t>
      </w:r>
    </w:p>
    <w:p w14:paraId="6FF99E8B">
      <w:pPr>
        <w:spacing w:line="360" w:lineRule="auto"/>
        <w:ind w:firstLine="211" w:firstLineChars="100"/>
        <w:rPr>
          <w:rFonts w:hint="default" w:ascii="Times New Roman" w:hAnsi="Times New Roman" w:cs="Times New Roman"/>
        </w:rPr>
      </w:pPr>
      <w:r>
        <w:rPr>
          <w:rFonts w:hint="default" w:ascii="Times New Roman" w:hAnsi="Times New Roman" w:cs="Times New Roman"/>
          <w:b/>
        </w:rPr>
        <w:t>A.3.6</w:t>
      </w:r>
      <w:r>
        <w:rPr>
          <w:rFonts w:hint="default" w:ascii="Times New Roman" w:hAnsi="Times New Roman" w:cs="Times New Roman"/>
        </w:rPr>
        <w:t>拉拔过程中，若出现拉拔头与黏层材料的脱离面积占整体破坏面的50%以上，则该次试验结果无效。</w:t>
      </w:r>
    </w:p>
    <w:p w14:paraId="56443694">
      <w:pPr>
        <w:spacing w:line="360" w:lineRule="auto"/>
        <w:jc w:val="center"/>
        <w:rPr>
          <w:rFonts w:hint="default" w:ascii="Times New Roman" w:hAnsi="Times New Roman" w:cs="Times New Roman"/>
        </w:rPr>
      </w:pPr>
    </w:p>
    <w:p w14:paraId="11EE9DD1">
      <w:pPr>
        <w:spacing w:line="360" w:lineRule="auto"/>
        <w:jc w:val="center"/>
        <w:rPr>
          <w:rFonts w:hint="default" w:ascii="Times New Roman" w:hAnsi="Times New Roman" w:cs="Times New Roman"/>
        </w:rPr>
      </w:pPr>
      <w:r>
        <w:rPr>
          <w:rFonts w:hint="default" w:ascii="Times New Roman" w:hAnsi="Times New Roman" w:cs="Times New Roman"/>
        </w:rPr>
        <w:drawing>
          <wp:inline distT="0" distB="0" distL="0" distR="0">
            <wp:extent cx="1694180" cy="1690370"/>
            <wp:effectExtent l="0" t="0" r="1270" b="5080"/>
            <wp:docPr id="3" name="图片 2" descr="图片包含 机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包含 机械&#10;&#10;描述已自动生成"/>
                    <pic:cNvPicPr>
                      <a:picLocks noChangeAspect="1"/>
                    </pic:cNvPicPr>
                  </pic:nvPicPr>
                  <pic:blipFill>
                    <a:blip r:embed="rId25"/>
                    <a:srcRect r="75606"/>
                    <a:stretch>
                      <a:fillRect/>
                    </a:stretch>
                  </pic:blipFill>
                  <pic:spPr>
                    <a:xfrm>
                      <a:off x="0" y="0"/>
                      <a:ext cx="1707733" cy="1703833"/>
                    </a:xfrm>
                    <a:prstGeom prst="rect">
                      <a:avLst/>
                    </a:prstGeom>
                    <a:ln>
                      <a:noFill/>
                    </a:ln>
                  </pic:spPr>
                </pic:pic>
              </a:graphicData>
            </a:graphic>
          </wp:inline>
        </w:drawing>
      </w:r>
      <w:r>
        <w:rPr>
          <w:rFonts w:hint="default" w:ascii="Times New Roman" w:hAnsi="Times New Roman" w:cs="Times New Roman"/>
        </w:rPr>
        <w:drawing>
          <wp:inline distT="0" distB="0" distL="0" distR="0">
            <wp:extent cx="1694180" cy="1690370"/>
            <wp:effectExtent l="0" t="0" r="1270" b="5080"/>
            <wp:docPr id="4" name="图片 3" descr="图片包含 机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包含 机械&#10;&#10;描述已自动生成"/>
                    <pic:cNvPicPr>
                      <a:picLocks noChangeAspect="1"/>
                    </pic:cNvPicPr>
                  </pic:nvPicPr>
                  <pic:blipFill>
                    <a:blip r:embed="rId25"/>
                    <a:srcRect l="24394" r="51211"/>
                    <a:stretch>
                      <a:fillRect/>
                    </a:stretch>
                  </pic:blipFill>
                  <pic:spPr>
                    <a:xfrm>
                      <a:off x="0" y="0"/>
                      <a:ext cx="1704910" cy="1701017"/>
                    </a:xfrm>
                    <a:prstGeom prst="rect">
                      <a:avLst/>
                    </a:prstGeom>
                    <a:ln>
                      <a:noFill/>
                    </a:ln>
                  </pic:spPr>
                </pic:pic>
              </a:graphicData>
            </a:graphic>
          </wp:inline>
        </w:drawing>
      </w:r>
      <w:r>
        <w:rPr>
          <w:rFonts w:hint="default" w:ascii="Times New Roman" w:hAnsi="Times New Roman" w:cs="Times New Roman"/>
        </w:rPr>
        <w:drawing>
          <wp:inline distT="0" distB="0" distL="0" distR="0">
            <wp:extent cx="1803400" cy="1661160"/>
            <wp:effectExtent l="0" t="0" r="6350" b="0"/>
            <wp:docPr id="5" name="图片 4" descr="图片包含 机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图片包含 机械&#10;&#10;描述已自动生成"/>
                    <pic:cNvPicPr>
                      <a:picLocks noChangeAspect="1"/>
                    </pic:cNvPicPr>
                  </pic:nvPicPr>
                  <pic:blipFill>
                    <a:blip r:embed="rId25"/>
                    <a:srcRect l="48706" r="24873"/>
                    <a:stretch>
                      <a:fillRect/>
                    </a:stretch>
                  </pic:blipFill>
                  <pic:spPr>
                    <a:xfrm>
                      <a:off x="0" y="0"/>
                      <a:ext cx="1817296" cy="1674073"/>
                    </a:xfrm>
                    <a:prstGeom prst="rect">
                      <a:avLst/>
                    </a:prstGeom>
                    <a:ln>
                      <a:noFill/>
                    </a:ln>
                  </pic:spPr>
                </pic:pic>
              </a:graphicData>
            </a:graphic>
          </wp:inline>
        </w:drawing>
      </w:r>
    </w:p>
    <w:p w14:paraId="0A290A6F">
      <w:pPr>
        <w:spacing w:line="360" w:lineRule="auto"/>
        <w:jc w:val="left"/>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 xml:space="preserve">    a．浇模</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        b.放置拉拔头             c.脱模</w:t>
      </w:r>
    </w:p>
    <w:p w14:paraId="6381FDF1">
      <w:pPr>
        <w:pStyle w:val="190"/>
        <w:rPr>
          <w:rFonts w:hint="default" w:ascii="Times New Roman" w:hAnsi="Times New Roman" w:cs="Times New Roman"/>
        </w:rPr>
      </w:pPr>
      <w:r>
        <w:rPr>
          <w:rFonts w:hint="default" w:ascii="Times New Roman" w:hAnsi="Times New Roman" w:cs="Times New Roman"/>
        </w:rPr>
        <w:t>图A.1 拉拔试验步骤</w:t>
      </w:r>
    </w:p>
    <w:p w14:paraId="0CF7FA8B">
      <w:pPr>
        <w:spacing w:line="360" w:lineRule="auto"/>
        <w:rPr>
          <w:rFonts w:hint="default" w:ascii="Times New Roman" w:hAnsi="Times New Roman" w:cs="Times New Roman"/>
          <w:b/>
        </w:rPr>
      </w:pPr>
      <w:r>
        <w:rPr>
          <w:rFonts w:hint="default" w:ascii="Times New Roman" w:hAnsi="Times New Roman" w:cs="Times New Roman"/>
          <w:b/>
        </w:rPr>
        <w:t>A.4数据</w:t>
      </w:r>
    </w:p>
    <w:p w14:paraId="16B15D78">
      <w:pPr>
        <w:spacing w:line="360" w:lineRule="auto"/>
        <w:ind w:firstLine="210" w:firstLineChars="10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b/>
          <w:bCs/>
        </w:rPr>
        <w:t>A4.1</w:t>
      </w:r>
      <w:r>
        <w:rPr>
          <w:rFonts w:hint="default" w:ascii="Times New Roman" w:hAnsi="Times New Roman" w:cs="Times New Roman"/>
        </w:rPr>
        <w:t>同一种黏层材料试样，在同一块玄武岩底座下应至少进行3次平行试验，记录粘结强度值，计算平均值等指标。</w:t>
      </w:r>
    </w:p>
    <w:p w14:paraId="7870E9F1">
      <w:pPr>
        <w:widowControl/>
        <w:spacing w:line="360" w:lineRule="auto"/>
        <w:jc w:val="left"/>
        <w:rPr>
          <w:rFonts w:hint="default" w:ascii="Times New Roman" w:hAnsi="Times New Roman" w:cs="Times New Roman"/>
        </w:rPr>
        <w:sectPr>
          <w:headerReference r:id="rId22" w:type="even"/>
          <w:type w:val="continuous"/>
          <w:pgSz w:w="11906" w:h="16838"/>
          <w:pgMar w:top="1440" w:right="1800" w:bottom="1440" w:left="1800" w:header="850" w:footer="992" w:gutter="0"/>
          <w:cols w:space="425" w:num="1"/>
          <w:formProt w:val="0"/>
          <w:docGrid w:type="lines" w:linePitch="312" w:charSpace="0"/>
        </w:sectPr>
      </w:pPr>
      <w:r>
        <w:rPr>
          <w:rFonts w:hint="default" w:ascii="Times New Roman" w:hAnsi="Times New Roman" w:cs="Times New Roman"/>
        </w:rPr>
        <w:br w:type="page"/>
      </w:r>
    </w:p>
    <w:p w14:paraId="5F69905F">
      <w:pPr>
        <w:pStyle w:val="52"/>
        <w:spacing w:beforeLines="0" w:afterLines="0" w:line="360" w:lineRule="auto"/>
        <w:outlineLvl w:val="0"/>
        <w:rPr>
          <w:rFonts w:hint="default" w:ascii="Times New Roman" w:hAnsi="Times New Roman" w:cs="Times New Roman" w:eastAsiaTheme="minorEastAsia"/>
          <w:b/>
          <w:bCs/>
          <w:sz w:val="32"/>
          <w:szCs w:val="22"/>
        </w:rPr>
      </w:pPr>
      <w:bookmarkStart w:id="94" w:name="_Toc19304"/>
      <w:r>
        <w:rPr>
          <w:rFonts w:hint="default" w:ascii="Times New Roman" w:hAnsi="Times New Roman" w:cs="Times New Roman" w:eastAsiaTheme="minorEastAsia"/>
          <w:b/>
          <w:bCs/>
          <w:sz w:val="32"/>
          <w:szCs w:val="22"/>
        </w:rPr>
        <w:t>附录B 全再生薄层罩面混合料配合比设计方法</w:t>
      </w:r>
      <w:bookmarkEnd w:id="94"/>
    </w:p>
    <w:p w14:paraId="00B425EE">
      <w:pPr>
        <w:spacing w:line="360" w:lineRule="auto"/>
        <w:rPr>
          <w:rFonts w:hint="default" w:ascii="Times New Roman" w:hAnsi="Times New Roman" w:cs="Times New Roman"/>
          <w:b/>
        </w:rPr>
      </w:pPr>
      <w:r>
        <w:rPr>
          <w:rFonts w:hint="default" w:ascii="Times New Roman" w:hAnsi="Times New Roman" w:cs="Times New Roman"/>
          <w:b/>
        </w:rPr>
        <w:t>B.1 目标配合比设计流程</w:t>
      </w:r>
    </w:p>
    <w:p w14:paraId="76EC550E">
      <w:pPr>
        <w:pStyle w:val="29"/>
        <w:tabs>
          <w:tab w:val="clear" w:pos="4201"/>
          <w:tab w:val="clear" w:pos="9298"/>
        </w:tabs>
        <w:spacing w:line="360" w:lineRule="auto"/>
        <w:ind w:firstLine="211" w:firstLineChars="100"/>
        <w:rPr>
          <w:rFonts w:hint="default" w:ascii="Times New Roman" w:hAnsi="Times New Roman" w:cs="Times New Roman"/>
          <w:kern w:val="2"/>
          <w:szCs w:val="24"/>
        </w:rPr>
      </w:pPr>
      <w:r>
        <w:rPr>
          <w:rFonts w:hint="default" w:ascii="Times New Roman" w:hAnsi="Times New Roman" w:cs="Times New Roman"/>
          <w:b/>
          <w:bCs/>
          <w:kern w:val="2"/>
          <w:szCs w:val="24"/>
        </w:rPr>
        <w:t>B1.1</w:t>
      </w:r>
      <w:r>
        <w:rPr>
          <w:rFonts w:hint="default" w:ascii="Times New Roman" w:hAnsi="Times New Roman" w:cs="Times New Roman"/>
          <w:kern w:val="2"/>
          <w:szCs w:val="24"/>
        </w:rPr>
        <w:t xml:space="preserve"> 全再生薄层罩面混合料目标配合比设计流程应符合图B-1的规定。</w:t>
      </w:r>
    </w:p>
    <w:p w14:paraId="38961E7D">
      <w:pPr>
        <w:pStyle w:val="29"/>
        <w:tabs>
          <w:tab w:val="clear" w:pos="4201"/>
          <w:tab w:val="clear" w:pos="9298"/>
        </w:tabs>
        <w:ind w:firstLine="0" w:firstLineChars="0"/>
        <w:jc w:val="center"/>
        <w:rPr>
          <w:rFonts w:hint="default" w:ascii="Times New Roman" w:hAnsi="Times New Roman" w:cs="Times New Roman"/>
        </w:rPr>
      </w:pPr>
      <w:r>
        <w:rPr>
          <w:rFonts w:hint="default" w:ascii="Times New Roman" w:hAnsi="Times New Roman" w:cs="Times New Roman"/>
        </w:rPr>
        <w:drawing>
          <wp:inline distT="0" distB="0" distL="0" distR="0">
            <wp:extent cx="5274310" cy="7272655"/>
            <wp:effectExtent l="0" t="0" r="2540" b="4445"/>
            <wp:docPr id="2048781683"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81683" name="图片 4" descr="图示&#10;&#10;描述已自动生成"/>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5274310" cy="7272655"/>
                    </a:xfrm>
                    <a:prstGeom prst="rect">
                      <a:avLst/>
                    </a:prstGeom>
                  </pic:spPr>
                </pic:pic>
              </a:graphicData>
            </a:graphic>
          </wp:inline>
        </w:drawing>
      </w:r>
    </w:p>
    <w:p w14:paraId="097D988A">
      <w:pPr>
        <w:pStyle w:val="29"/>
        <w:tabs>
          <w:tab w:val="clear" w:pos="4201"/>
          <w:tab w:val="clear" w:pos="9298"/>
        </w:tabs>
        <w:ind w:firstLine="0" w:firstLineChars="0"/>
        <w:jc w:val="center"/>
        <w:rPr>
          <w:rFonts w:hint="default" w:ascii="Times New Roman" w:hAnsi="Times New Roman" w:cs="Times New Roman"/>
        </w:rPr>
      </w:pPr>
      <w:r>
        <w:rPr>
          <w:rFonts w:hint="default" w:ascii="Times New Roman" w:hAnsi="Times New Roman" w:cs="Times New Roman"/>
        </w:rPr>
        <w:t>图 B-1 全再生薄层罩面混合料配合比设计流程</w:t>
      </w:r>
    </w:p>
    <w:sectPr>
      <w:headerReference r:id="rId23" w:type="even"/>
      <w:type w:val="continuous"/>
      <w:pgSz w:w="11906" w:h="16838"/>
      <w:pgMar w:top="1440" w:right="1800" w:bottom="1440" w:left="1800" w:header="850" w:footer="992"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3874449"/>
      <w:docPartObj>
        <w:docPartGallery w:val="autotext"/>
      </w:docPartObj>
    </w:sdtPr>
    <w:sdtContent>
      <w:p w14:paraId="1FC51A51">
        <w:pPr>
          <w:pStyle w:val="23"/>
          <w:jc w:val="center"/>
        </w:pPr>
        <w:r>
          <w:fldChar w:fldCharType="begin"/>
        </w:r>
        <w:r>
          <w:instrText xml:space="preserve">PAGE   \* MERGEFORMAT</w:instrText>
        </w:r>
        <w:r>
          <w:fldChar w:fldCharType="separate"/>
        </w:r>
        <w:r>
          <w:rPr>
            <w:lang w:val="zh-CN"/>
          </w:rPr>
          <w:t>2</w:t>
        </w:r>
        <w:r>
          <w:fldChar w:fldCharType="end"/>
        </w:r>
      </w:p>
    </w:sdtContent>
  </w:sdt>
  <w:p w14:paraId="7FFF830F">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527414"/>
      <w:docPartObj>
        <w:docPartGallery w:val="autotext"/>
      </w:docPartObj>
    </w:sdtPr>
    <w:sdtContent>
      <w:p w14:paraId="2BECB418">
        <w:pPr>
          <w:pStyle w:val="23"/>
          <w:jc w:val="center"/>
        </w:pPr>
        <w:r>
          <w:fldChar w:fldCharType="begin"/>
        </w:r>
        <w:r>
          <w:instrText xml:space="preserve">PAGE   \* MERGEFORMAT</w:instrText>
        </w:r>
        <w:r>
          <w:fldChar w:fldCharType="separate"/>
        </w:r>
        <w:r>
          <w:rPr>
            <w:lang w:val="zh-CN"/>
          </w:rPr>
          <w:t>2</w:t>
        </w:r>
        <w:r>
          <w:fldChar w:fldCharType="end"/>
        </w:r>
      </w:p>
    </w:sdtContent>
  </w:sdt>
  <w:p w14:paraId="31A28ADA">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9158889"/>
      <w:docPartObj>
        <w:docPartGallery w:val="autotext"/>
      </w:docPartObj>
    </w:sdtPr>
    <w:sdtContent>
      <w:p w14:paraId="55353365">
        <w:pPr>
          <w:pStyle w:val="23"/>
          <w:jc w:val="center"/>
        </w:pPr>
        <w:r>
          <w:fldChar w:fldCharType="begin"/>
        </w:r>
        <w:r>
          <w:instrText xml:space="preserve">PAGE   \* MERGEFORMAT</w:instrText>
        </w:r>
        <w:r>
          <w:fldChar w:fldCharType="separate"/>
        </w:r>
        <w:r>
          <w:rPr>
            <w:lang w:val="zh-CN"/>
          </w:rPr>
          <w:t>2</w:t>
        </w:r>
        <w:r>
          <w:fldChar w:fldCharType="end"/>
        </w:r>
      </w:p>
    </w:sdtContent>
  </w:sdt>
  <w:p w14:paraId="75018DA5">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0609967"/>
      <w:docPartObj>
        <w:docPartGallery w:val="autotext"/>
      </w:docPartObj>
    </w:sdtPr>
    <w:sdtContent>
      <w:p w14:paraId="6FEEB733">
        <w:pPr>
          <w:pStyle w:val="23"/>
          <w:jc w:val="center"/>
        </w:pPr>
        <w:r>
          <w:fldChar w:fldCharType="begin"/>
        </w:r>
        <w:r>
          <w:instrText xml:space="preserve">PAGE   \* MERGEFORMAT</w:instrText>
        </w:r>
        <w:r>
          <w:fldChar w:fldCharType="separate"/>
        </w:r>
        <w:r>
          <w:rPr>
            <w:lang w:val="zh-CN"/>
          </w:rPr>
          <w:t>2</w:t>
        </w:r>
        <w:r>
          <w:fldChar w:fldCharType="end"/>
        </w:r>
      </w:p>
    </w:sdtContent>
  </w:sdt>
  <w:p w14:paraId="2743BF12">
    <w:pPr>
      <w:pStyle w:val="23"/>
      <w:spacing w:before="240" w:after="24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7E64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1B11">
    <w:pPr>
      <w:pStyle w:val="2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A0B0E">
    <w:pPr>
      <w:pStyle w:val="24"/>
      <w:pBdr>
        <w:bottom w:val="single" w:color="auto" w:sz="4" w:space="1"/>
      </w:pBdr>
      <w:wordWrap w:val="0"/>
      <w:jc w:val="right"/>
    </w:pPr>
    <w:r>
      <w:rPr>
        <w:rFonts w:hint="eastAsia"/>
      </w:rPr>
      <w:t>6 全再生薄层罩面配合比设计</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116E">
    <w:pPr>
      <w:pStyle w:val="24"/>
      <w:pBdr>
        <w:bottom w:val="single" w:color="auto" w:sz="4" w:space="1"/>
      </w:pBdr>
      <w:jc w:val="right"/>
    </w:pPr>
    <w:r>
      <w:rPr>
        <w:rFonts w:hint="eastAsia"/>
      </w:rPr>
      <w:t>6 全再生薄层罩面配合比设计</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AA9D8">
    <w:pPr>
      <w:pStyle w:val="24"/>
      <w:pBdr>
        <w:bottom w:val="single" w:color="auto" w:sz="4" w:space="1"/>
      </w:pBdr>
    </w:pPr>
    <w:r>
      <w:rPr>
        <w:rFonts w:hint="eastAsia"/>
      </w:rPr>
      <w:t>全再生薄层罩面施工技术指南</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42686">
    <w:pPr>
      <w:pStyle w:val="24"/>
      <w:pBdr>
        <w:bottom w:val="single" w:color="auto" w:sz="4" w:space="1"/>
      </w:pBdr>
      <w:wordWrap w:val="0"/>
      <w:jc w:val="right"/>
    </w:pPr>
    <w:r>
      <w:rPr>
        <w:rFonts w:hint="eastAsia"/>
      </w:rPr>
      <w:t>7 施工</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9669F">
    <w:pPr>
      <w:pStyle w:val="24"/>
      <w:pBdr>
        <w:bottom w:val="single" w:color="auto" w:sz="4" w:space="1"/>
      </w:pBdr>
      <w:wordWrap w:val="0"/>
      <w:jc w:val="right"/>
    </w:pPr>
    <w:r>
      <w:rPr>
        <w:rFonts w:hint="eastAsia"/>
      </w:rPr>
      <w:t>8 施工质量控制与检查验收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4D0A5">
    <w:pPr>
      <w:pStyle w:val="24"/>
      <w:pBdr>
        <w:bottom w:val="single" w:color="auto" w:sz="4" w:space="1"/>
      </w:pBdr>
      <w:wordWrap w:val="0"/>
      <w:jc w:val="right"/>
    </w:pPr>
    <w:r>
      <w:rPr>
        <w:rFonts w:hint="eastAsia"/>
      </w:rPr>
      <w:t>附录A 粘结强度测定方法</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632FF">
    <w:pPr>
      <w:pStyle w:val="24"/>
      <w:pBdr>
        <w:bottom w:val="single" w:color="auto" w:sz="4" w:space="1"/>
      </w:pBdr>
      <w:wordWrap w:val="0"/>
      <w:jc w:val="right"/>
    </w:pPr>
    <w:r>
      <w:rPr>
        <w:rFonts w:hint="eastAsia"/>
      </w:rPr>
      <w:t>附录B 全再生薄层罩面混合料配合比设计方法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5E27">
    <w:pPr>
      <w:pStyle w:val="24"/>
      <w:pBdr>
        <w:bottom w:val="single" w:color="auto" w:sz="4" w:space="1"/>
      </w:pBdr>
    </w:pPr>
    <w:r>
      <w:rPr>
        <w:rFonts w:hint="eastAsia"/>
      </w:rPr>
      <w:t>全再生薄层罩面施工技术指南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7698">
    <w:pPr>
      <w:pStyle w:val="24"/>
      <w:pBdr>
        <w:bottom w:val="single" w:color="auto" w:sz="4" w:space="1"/>
      </w:pBdr>
      <w:rPr>
        <w:sz w:val="15"/>
        <w:szCs w:val="15"/>
      </w:rPr>
    </w:pPr>
    <w:r>
      <w:rPr>
        <w:rFonts w:hint="eastAsia"/>
      </w:rPr>
      <w:t>全再生薄层找面施工技术指南</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9EA80">
    <w:pPr>
      <w:pStyle w:val="24"/>
      <w:pBdr>
        <w:bottom w:val="single" w:color="auto" w:sz="4" w:space="1"/>
      </w:pBdr>
      <w:wordWrap w:val="0"/>
      <w:jc w:val="right"/>
    </w:pPr>
    <w:r>
      <w:rPr>
        <w:rFonts w:hint="eastAsia"/>
      </w:rPr>
      <w:t>2 规范性引用文件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C4D40">
    <w:pPr>
      <w:pStyle w:val="24"/>
      <w:pBdr>
        <w:bottom w:val="single" w:color="auto" w:sz="4" w:space="1"/>
      </w:pBdr>
      <w:rPr>
        <w:sz w:val="15"/>
        <w:szCs w:val="15"/>
      </w:rPr>
    </w:pPr>
    <w:r>
      <w:rPr>
        <w:rFonts w:hint="eastAsia"/>
      </w:rPr>
      <w:t>全再生薄层罩面施工技术指南</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F316">
    <w:pPr>
      <w:pStyle w:val="24"/>
      <w:pBdr>
        <w:bottom w:val="single" w:color="auto" w:sz="4" w:space="1"/>
      </w:pBdr>
    </w:pPr>
    <w:r>
      <w:rPr>
        <w:rFonts w:hint="eastAsia"/>
      </w:rPr>
      <w:t>全再生薄层罩面施工技术指南</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B3D2">
    <w:pPr>
      <w:pStyle w:val="24"/>
      <w:pBdr>
        <w:bottom w:val="single" w:color="auto" w:sz="4" w:space="1"/>
      </w:pBdr>
      <w:wordWrap w:val="0"/>
      <w:jc w:val="right"/>
    </w:pPr>
    <w:r>
      <w:rPr>
        <w:rFonts w:hint="eastAsia"/>
      </w:rPr>
      <w:t>4 基本规定</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E337E">
    <w:pPr>
      <w:pStyle w:val="24"/>
      <w:pBdr>
        <w:bottom w:val="single" w:color="auto" w:sz="4" w:space="1"/>
      </w:pBdr>
    </w:pPr>
    <w:r>
      <w:rPr>
        <w:rFonts w:hint="eastAsia"/>
      </w:rPr>
      <w:t>全再生薄层罩面施工技术指南</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AC85B">
    <w:pPr>
      <w:pStyle w:val="24"/>
      <w:pBdr>
        <w:bottom w:val="single" w:color="auto" w:sz="4" w:space="1"/>
      </w:pBdr>
      <w:jc w:val="right"/>
    </w:pPr>
    <w:r>
      <w:rPr>
        <w:rFonts w:hint="eastAsia"/>
      </w:rPr>
      <w:t>5 材料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7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lvlText w:val="%1"/>
      <w:lvlJc w:val="left"/>
      <w:pPr>
        <w:ind w:left="425" w:hanging="425"/>
      </w:pPr>
      <w:rPr>
        <w:rFonts w:hint="eastAsia"/>
        <w:b/>
        <w:bCs w:val="0"/>
        <w:i w:val="0"/>
        <w:sz w:val="32"/>
        <w:szCs w:val="32"/>
      </w:rPr>
    </w:lvl>
    <w:lvl w:ilvl="1" w:tentative="0">
      <w:start w:val="1"/>
      <w:numFmt w:val="decimal"/>
      <w:lvlText w:val="%1.%2"/>
      <w:lvlJc w:val="left"/>
      <w:pPr>
        <w:ind w:left="992" w:hanging="567"/>
      </w:pPr>
      <w:rPr>
        <w:rFonts w:hint="eastAsia"/>
        <w:b/>
        <w:bCs/>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rPr>
    </w:lvl>
    <w:lvl w:ilvl="2" w:tentative="0">
      <w:start w:val="1"/>
      <w:numFmt w:val="decimal"/>
      <w:lvlText w:val="%1.%2.%3"/>
      <w:lvlJc w:val="left"/>
      <w:pPr>
        <w:ind w:left="1418" w:hanging="567"/>
      </w:pPr>
      <w:rPr>
        <w:rFonts w:hint="eastAsia"/>
        <w:b/>
        <w:bCs/>
        <w:i w:val="0"/>
        <w:sz w:val="24"/>
        <w:szCs w:val="22"/>
      </w:rPr>
    </w:lvl>
    <w:lvl w:ilvl="3" w:tentative="0">
      <w:start w:val="1"/>
      <w:numFmt w:val="decimal"/>
      <w:lvlText w:val="%1.%2.%3.%4"/>
      <w:lvlJc w:val="left"/>
      <w:pPr>
        <w:ind w:left="1984" w:hanging="708"/>
      </w:pPr>
      <w:rPr>
        <w:b w:val="0"/>
        <w:i w:val="0"/>
        <w:sz w:val="21"/>
      </w:rPr>
    </w:lvl>
    <w:lvl w:ilvl="4" w:tentative="0">
      <w:start w:val="1"/>
      <w:numFmt w:val="decimal"/>
      <w:lvlText w:val="%1.%2.%3.%4.%5"/>
      <w:lvlJc w:val="left"/>
      <w:pPr>
        <w:ind w:left="2551" w:hanging="850"/>
      </w:pPr>
      <w:rPr>
        <w:rFonts w:hint="eastAsia"/>
        <w:b w:val="0"/>
        <w:i w:val="0"/>
        <w:sz w:val="21"/>
      </w:rPr>
    </w:lvl>
    <w:lvl w:ilvl="5" w:tentative="0">
      <w:start w:val="1"/>
      <w:numFmt w:val="decimal"/>
      <w:lvlText w:val="%1.%2.%3.%4.%5.%6"/>
      <w:lvlJc w:val="left"/>
      <w:pPr>
        <w:ind w:left="3260" w:hanging="1134"/>
      </w:pPr>
      <w:rPr>
        <w:rFonts w:hint="eastAsia"/>
        <w:b w:val="0"/>
        <w:i w:val="0"/>
        <w:sz w:val="21"/>
      </w:rPr>
    </w:lvl>
    <w:lvl w:ilvl="6" w:tentative="0">
      <w:start w:val="1"/>
      <w:numFmt w:val="decimal"/>
      <w:lvlText w:val="%1.%2.%3.%4.%5.%6.%7"/>
      <w:lvlJc w:val="left"/>
      <w:pPr>
        <w:ind w:left="3827" w:hanging="1276"/>
      </w:pPr>
      <w:rPr>
        <w:rFonts w:hint="eastAsia"/>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A8F7113"/>
    <w:multiLevelType w:val="multilevel"/>
    <w:tmpl w:val="2A8F7113"/>
    <w:lvl w:ilvl="0" w:tentative="0">
      <w:start w:val="1"/>
      <w:numFmt w:val="upperLetter"/>
      <w:pStyle w:val="105"/>
      <w:suff w:val="space"/>
      <w:lvlText w:val="%1"/>
      <w:lvlJc w:val="left"/>
      <w:pPr>
        <w:ind w:left="623" w:hanging="425"/>
      </w:pPr>
      <w:rPr>
        <w:rFonts w:hint="eastAsia"/>
      </w:rPr>
    </w:lvl>
    <w:lvl w:ilvl="1" w:tentative="0">
      <w:start w:val="1"/>
      <w:numFmt w:val="decimal"/>
      <w:pStyle w:val="10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55"/>
      <w:suff w:val="nothing"/>
      <w:lvlText w:val="%1——"/>
      <w:lvlJc w:val="left"/>
      <w:pPr>
        <w:ind w:left="833" w:hanging="408"/>
      </w:pPr>
      <w:rPr>
        <w:rFonts w:hint="eastAsia"/>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pStyle w:val="6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3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1797473"/>
    <w:multiLevelType w:val="multilevel"/>
    <w:tmpl w:val="41797473"/>
    <w:lvl w:ilvl="0" w:tentative="0">
      <w:start w:val="7"/>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ascii="Times New Roman" w:hAnsi="Times New Roman" w:cs="Times New Roman"/>
        <w:b/>
        <w:bCs/>
        <w:sz w:val="24"/>
        <w:szCs w:val="28"/>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10">
    <w:nsid w:val="44C50F90"/>
    <w:multiLevelType w:val="multilevel"/>
    <w:tmpl w:val="44C50F90"/>
    <w:lvl w:ilvl="0" w:tentative="0">
      <w:start w:val="1"/>
      <w:numFmt w:val="decimal"/>
      <w:pStyle w:val="66"/>
      <w:lvlText w:val="%1)"/>
      <w:lvlJc w:val="left"/>
      <w:pPr>
        <w:tabs>
          <w:tab w:val="left" w:pos="839"/>
        </w:tabs>
        <w:ind w:left="839" w:hanging="419"/>
      </w:pPr>
      <w:rPr>
        <w:rFonts w:ascii="宋体" w:hAnsi="Times New Roman" w:eastAsia="宋体" w:cs="Times New Roman"/>
        <w:b w:val="0"/>
        <w:i w:val="0"/>
        <w:sz w:val="20"/>
        <w:szCs w:val="21"/>
      </w:rPr>
    </w:lvl>
    <w:lvl w:ilvl="1" w:tentative="0">
      <w:start w:val="1"/>
      <w:numFmt w:val="decimal"/>
      <w:pStyle w:val="61"/>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1">
    <w:nsid w:val="47461132"/>
    <w:multiLevelType w:val="multilevel"/>
    <w:tmpl w:val="47461132"/>
    <w:lvl w:ilvl="0" w:tentative="0">
      <w:start w:val="1"/>
      <w:numFmt w:val="decimal"/>
      <w:lvlText w:val="%1"/>
      <w:lvlJc w:val="left"/>
      <w:pPr>
        <w:ind w:left="525" w:hanging="525"/>
      </w:pPr>
      <w:rPr>
        <w:rFonts w:hint="default" w:asciiTheme="minorEastAsia" w:hAnsiTheme="minorEastAsia" w:eastAsiaTheme="minorEastAsia"/>
      </w:rPr>
    </w:lvl>
    <w:lvl w:ilvl="1" w:tentative="0">
      <w:start w:val="0"/>
      <w:numFmt w:val="decimal"/>
      <w:lvlText w:val="%1.%2"/>
      <w:lvlJc w:val="left"/>
      <w:pPr>
        <w:ind w:left="1163" w:hanging="525"/>
      </w:pPr>
      <w:rPr>
        <w:rFonts w:hint="default" w:asciiTheme="minorEastAsia" w:hAnsiTheme="minorEastAsia" w:eastAsiaTheme="minorEastAsia"/>
      </w:rPr>
    </w:lvl>
    <w:lvl w:ilvl="2" w:tentative="0">
      <w:start w:val="1"/>
      <w:numFmt w:val="decimal"/>
      <w:lvlText w:val="%1.%2.%3"/>
      <w:lvlJc w:val="left"/>
      <w:pPr>
        <w:ind w:left="1996" w:hanging="720"/>
      </w:pPr>
      <w:rPr>
        <w:rFonts w:hint="default" w:ascii="Times New Roman" w:hAnsi="Times New Roman" w:eastAsiaTheme="minorEastAsia"/>
        <w:b/>
        <w:sz w:val="24"/>
      </w:rPr>
    </w:lvl>
    <w:lvl w:ilvl="3" w:tentative="0">
      <w:start w:val="1"/>
      <w:numFmt w:val="decimal"/>
      <w:lvlText w:val="%1.%2.%3.%4"/>
      <w:lvlJc w:val="left"/>
      <w:pPr>
        <w:ind w:left="2994" w:hanging="1080"/>
      </w:pPr>
      <w:rPr>
        <w:rFonts w:hint="default" w:asciiTheme="minorEastAsia" w:hAnsiTheme="minorEastAsia" w:eastAsiaTheme="minorEastAsia"/>
      </w:rPr>
    </w:lvl>
    <w:lvl w:ilvl="4" w:tentative="0">
      <w:start w:val="1"/>
      <w:numFmt w:val="decimal"/>
      <w:lvlText w:val="%1.%2.%3.%4.%5"/>
      <w:lvlJc w:val="left"/>
      <w:pPr>
        <w:ind w:left="3632" w:hanging="1080"/>
      </w:pPr>
      <w:rPr>
        <w:rFonts w:hint="default" w:asciiTheme="minorEastAsia" w:hAnsiTheme="minorEastAsia" w:eastAsiaTheme="minorEastAsia"/>
      </w:rPr>
    </w:lvl>
    <w:lvl w:ilvl="5" w:tentative="0">
      <w:start w:val="1"/>
      <w:numFmt w:val="decimal"/>
      <w:lvlText w:val="%1.%2.%3.%4.%5.%6"/>
      <w:lvlJc w:val="left"/>
      <w:pPr>
        <w:ind w:left="4630" w:hanging="1440"/>
      </w:pPr>
      <w:rPr>
        <w:rFonts w:hint="default" w:asciiTheme="minorEastAsia" w:hAnsiTheme="minorEastAsia" w:eastAsiaTheme="minorEastAsia"/>
      </w:rPr>
    </w:lvl>
    <w:lvl w:ilvl="6" w:tentative="0">
      <w:start w:val="1"/>
      <w:numFmt w:val="decimal"/>
      <w:lvlText w:val="%1.%2.%3.%4.%5.%6.%7"/>
      <w:lvlJc w:val="left"/>
      <w:pPr>
        <w:ind w:left="5268" w:hanging="1440"/>
      </w:pPr>
      <w:rPr>
        <w:rFonts w:hint="default" w:asciiTheme="minorEastAsia" w:hAnsiTheme="minorEastAsia" w:eastAsiaTheme="minorEastAsia"/>
      </w:rPr>
    </w:lvl>
    <w:lvl w:ilvl="7" w:tentative="0">
      <w:start w:val="1"/>
      <w:numFmt w:val="decimal"/>
      <w:lvlText w:val="%1.%2.%3.%4.%5.%6.%7.%8"/>
      <w:lvlJc w:val="left"/>
      <w:pPr>
        <w:ind w:left="6266" w:hanging="1800"/>
      </w:pPr>
      <w:rPr>
        <w:rFonts w:hint="default" w:asciiTheme="minorEastAsia" w:hAnsiTheme="minorEastAsia" w:eastAsiaTheme="minorEastAsia"/>
      </w:rPr>
    </w:lvl>
    <w:lvl w:ilvl="8" w:tentative="0">
      <w:start w:val="1"/>
      <w:numFmt w:val="decimal"/>
      <w:lvlText w:val="%1.%2.%3.%4.%5.%6.%7.%8.%9"/>
      <w:lvlJc w:val="left"/>
      <w:pPr>
        <w:ind w:left="6904" w:hanging="1800"/>
      </w:pPr>
      <w:rPr>
        <w:rFonts w:hint="default" w:asciiTheme="minorEastAsia" w:hAnsiTheme="minorEastAsia" w:eastAsiaTheme="minorEastAsia"/>
      </w:rPr>
    </w:lvl>
  </w:abstractNum>
  <w:abstractNum w:abstractNumId="12">
    <w:nsid w:val="4B733A5F"/>
    <w:multiLevelType w:val="multilevel"/>
    <w:tmpl w:val="4B733A5F"/>
    <w:lvl w:ilvl="0" w:tentative="0">
      <w:start w:val="1"/>
      <w:numFmt w:val="decimal"/>
      <w:pStyle w:val="6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09A6936"/>
    <w:multiLevelType w:val="multilevel"/>
    <w:tmpl w:val="509A6936"/>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557C2AF5"/>
    <w:multiLevelType w:val="multilevel"/>
    <w:tmpl w:val="557C2AF5"/>
    <w:lvl w:ilvl="0" w:tentative="0">
      <w:start w:val="1"/>
      <w:numFmt w:val="decimal"/>
      <w:pStyle w:val="13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18F7961"/>
    <w:multiLevelType w:val="multilevel"/>
    <w:tmpl w:val="618F7961"/>
    <w:lvl w:ilvl="0" w:tentative="0">
      <w:start w:val="4"/>
      <w:numFmt w:val="decimal"/>
      <w:lvlText w:val="%1"/>
      <w:lvlJc w:val="left"/>
      <w:pPr>
        <w:ind w:left="360" w:hanging="360"/>
      </w:pPr>
      <w:rPr>
        <w:rFonts w:hint="default"/>
      </w:rPr>
    </w:lvl>
    <w:lvl w:ilvl="1" w:tentative="0">
      <w:start w:val="1"/>
      <w:numFmt w:val="decimal"/>
      <w:lvlText w:val="%1.%2"/>
      <w:lvlJc w:val="left"/>
      <w:pPr>
        <w:ind w:left="780" w:hanging="360"/>
      </w:pPr>
      <w:rPr>
        <w:rFonts w:hint="default"/>
      </w:rPr>
    </w:lvl>
    <w:lvl w:ilvl="2" w:tentative="0">
      <w:start w:val="1"/>
      <w:numFmt w:val="decimal"/>
      <w:lvlText w:val="%1.%2.%3"/>
      <w:lvlJc w:val="left"/>
      <w:pPr>
        <w:ind w:left="1560" w:hanging="720"/>
      </w:pPr>
      <w:rPr>
        <w:rFonts w:hint="default"/>
        <w:b/>
        <w:bCs/>
      </w:rPr>
    </w:lvl>
    <w:lvl w:ilvl="3" w:tentative="0">
      <w:start w:val="1"/>
      <w:numFmt w:val="decimal"/>
      <w:lvlText w:val="%1.%2.%3.%4"/>
      <w:lvlJc w:val="left"/>
      <w:pPr>
        <w:ind w:left="1980" w:hanging="720"/>
      </w:pPr>
      <w:rPr>
        <w:rFonts w:hint="default"/>
      </w:rPr>
    </w:lvl>
    <w:lvl w:ilvl="4" w:tentative="0">
      <w:start w:val="1"/>
      <w:numFmt w:val="decimal"/>
      <w:lvlText w:val="%1.%2.%3.%4.%5"/>
      <w:lvlJc w:val="left"/>
      <w:pPr>
        <w:ind w:left="2760" w:hanging="1080"/>
      </w:pPr>
      <w:rPr>
        <w:rFonts w:hint="default"/>
      </w:rPr>
    </w:lvl>
    <w:lvl w:ilvl="5" w:tentative="0">
      <w:start w:val="1"/>
      <w:numFmt w:val="decimal"/>
      <w:lvlText w:val="%1.%2.%3.%4.%5.%6"/>
      <w:lvlJc w:val="left"/>
      <w:pPr>
        <w:ind w:left="3180" w:hanging="1080"/>
      </w:pPr>
      <w:rPr>
        <w:rFonts w:hint="default"/>
      </w:rPr>
    </w:lvl>
    <w:lvl w:ilvl="6" w:tentative="0">
      <w:start w:val="1"/>
      <w:numFmt w:val="decimal"/>
      <w:lvlText w:val="%1.%2.%3.%4.%5.%6.%7"/>
      <w:lvlJc w:val="left"/>
      <w:pPr>
        <w:ind w:left="3960" w:hanging="1440"/>
      </w:pPr>
      <w:rPr>
        <w:rFonts w:hint="default"/>
      </w:rPr>
    </w:lvl>
    <w:lvl w:ilvl="7" w:tentative="0">
      <w:start w:val="1"/>
      <w:numFmt w:val="decimal"/>
      <w:lvlText w:val="%1.%2.%3.%4.%5.%6.%7.%8"/>
      <w:lvlJc w:val="left"/>
      <w:pPr>
        <w:ind w:left="4380" w:hanging="1440"/>
      </w:pPr>
      <w:rPr>
        <w:rFonts w:hint="default"/>
      </w:rPr>
    </w:lvl>
    <w:lvl w:ilvl="8" w:tentative="0">
      <w:start w:val="1"/>
      <w:numFmt w:val="decimal"/>
      <w:lvlText w:val="%1.%2.%3.%4.%5.%6.%7.%8.%9"/>
      <w:lvlJc w:val="left"/>
      <w:pPr>
        <w:ind w:left="5160" w:hanging="1800"/>
      </w:pPr>
      <w:rPr>
        <w:rFonts w:hint="default"/>
      </w:rPr>
    </w:lvl>
  </w:abstractNum>
  <w:abstractNum w:abstractNumId="17">
    <w:nsid w:val="646260FA"/>
    <w:multiLevelType w:val="multilevel"/>
    <w:tmpl w:val="646260FA"/>
    <w:lvl w:ilvl="0" w:tentative="0">
      <w:start w:val="1"/>
      <w:numFmt w:val="decimal"/>
      <w:pStyle w:val="133"/>
      <w:suff w:val="nothing"/>
      <w:lvlText w:val="表%1　"/>
      <w:lvlJc w:val="left"/>
      <w:pPr>
        <w:ind w:left="2410" w:firstLine="0"/>
      </w:pPr>
      <w:rPr>
        <w:rFonts w:hint="eastAsia" w:ascii="黑体" w:hAnsi="Times New Roman" w:eastAsia="黑体"/>
        <w:b w:val="0"/>
        <w:i w:val="0"/>
        <w:sz w:val="20"/>
      </w:rPr>
    </w:lvl>
    <w:lvl w:ilvl="1" w:tentative="0">
      <w:start w:val="1"/>
      <w:numFmt w:val="decimal"/>
      <w:lvlText w:val="%1.%2"/>
      <w:lvlJc w:val="left"/>
      <w:pPr>
        <w:tabs>
          <w:tab w:val="left" w:pos="283"/>
        </w:tabs>
        <w:ind w:left="283" w:hanging="567"/>
      </w:pPr>
      <w:rPr>
        <w:rFonts w:hint="eastAsia"/>
      </w:rPr>
    </w:lvl>
    <w:lvl w:ilvl="2" w:tentative="0">
      <w:start w:val="1"/>
      <w:numFmt w:val="decimal"/>
      <w:lvlText w:val="%1.%2.%3"/>
      <w:lvlJc w:val="left"/>
      <w:pPr>
        <w:tabs>
          <w:tab w:val="left" w:pos="709"/>
        </w:tabs>
        <w:ind w:left="709" w:hanging="567"/>
      </w:pPr>
      <w:rPr>
        <w:rFonts w:hint="eastAsia"/>
      </w:rPr>
    </w:lvl>
    <w:lvl w:ilvl="3" w:tentative="0">
      <w:start w:val="1"/>
      <w:numFmt w:val="decimal"/>
      <w:lvlText w:val="%1.%2.%3.%4"/>
      <w:lvlJc w:val="left"/>
      <w:pPr>
        <w:tabs>
          <w:tab w:val="left" w:pos="1275"/>
        </w:tabs>
        <w:ind w:left="1275" w:hanging="708"/>
      </w:pPr>
      <w:rPr>
        <w:rFonts w:hint="eastAsia"/>
      </w:rPr>
    </w:lvl>
    <w:lvl w:ilvl="4" w:tentative="0">
      <w:start w:val="1"/>
      <w:numFmt w:val="decimal"/>
      <w:lvlText w:val="%1.%2.%3.%4.%5"/>
      <w:lvlJc w:val="left"/>
      <w:pPr>
        <w:tabs>
          <w:tab w:val="left" w:pos="1842"/>
        </w:tabs>
        <w:ind w:left="1842" w:hanging="850"/>
      </w:pPr>
      <w:rPr>
        <w:rFonts w:hint="eastAsia"/>
      </w:rPr>
    </w:lvl>
    <w:lvl w:ilvl="5" w:tentative="0">
      <w:start w:val="1"/>
      <w:numFmt w:val="decimal"/>
      <w:lvlText w:val="%1.%2.%3.%4.%5.%6"/>
      <w:lvlJc w:val="left"/>
      <w:pPr>
        <w:tabs>
          <w:tab w:val="left" w:pos="2551"/>
        </w:tabs>
        <w:ind w:left="2551" w:hanging="1134"/>
      </w:pPr>
      <w:rPr>
        <w:rFonts w:hint="eastAsia"/>
      </w:rPr>
    </w:lvl>
    <w:lvl w:ilvl="6" w:tentative="0">
      <w:start w:val="1"/>
      <w:numFmt w:val="decimal"/>
      <w:lvlText w:val="%1.%2.%3.%4.%5.%6.%7"/>
      <w:lvlJc w:val="left"/>
      <w:pPr>
        <w:tabs>
          <w:tab w:val="left" w:pos="3118"/>
        </w:tabs>
        <w:ind w:left="3118" w:hanging="1276"/>
      </w:pPr>
      <w:rPr>
        <w:rFonts w:hint="eastAsia"/>
      </w:rPr>
    </w:lvl>
    <w:lvl w:ilvl="7" w:tentative="0">
      <w:start w:val="1"/>
      <w:numFmt w:val="decimal"/>
      <w:lvlText w:val="%1.%2.%3.%4.%5.%6.%7.%8"/>
      <w:lvlJc w:val="left"/>
      <w:pPr>
        <w:tabs>
          <w:tab w:val="left" w:pos="3685"/>
        </w:tabs>
        <w:ind w:left="3685" w:hanging="1418"/>
      </w:pPr>
      <w:rPr>
        <w:rFonts w:hint="eastAsia"/>
      </w:rPr>
    </w:lvl>
    <w:lvl w:ilvl="8" w:tentative="0">
      <w:start w:val="1"/>
      <w:numFmt w:val="decimal"/>
      <w:lvlText w:val="%1.%2.%3.%4.%5.%6.%7.%8.%9"/>
      <w:lvlJc w:val="left"/>
      <w:pPr>
        <w:tabs>
          <w:tab w:val="left" w:pos="4393"/>
        </w:tabs>
        <w:ind w:left="4393" w:hanging="1700"/>
      </w:pPr>
      <w:rPr>
        <w:rFonts w:hint="eastAsia"/>
      </w:rPr>
    </w:lvl>
  </w:abstractNum>
  <w:abstractNum w:abstractNumId="18">
    <w:nsid w:val="647B0358"/>
    <w:multiLevelType w:val="multilevel"/>
    <w:tmpl w:val="647B0358"/>
    <w:lvl w:ilvl="0" w:tentative="0">
      <w:start w:val="5"/>
      <w:numFmt w:val="decimal"/>
      <w:lvlText w:val="%1"/>
      <w:lvlJc w:val="left"/>
      <w:pPr>
        <w:ind w:left="360" w:hanging="360"/>
      </w:pPr>
      <w:rPr>
        <w:rFonts w:hint="default"/>
      </w:rPr>
    </w:lvl>
    <w:lvl w:ilvl="1" w:tentative="0">
      <w:start w:val="1"/>
      <w:numFmt w:val="decimal"/>
      <w:lvlText w:val="%1.%2"/>
      <w:lvlJc w:val="left"/>
      <w:pPr>
        <w:ind w:left="785" w:hanging="360"/>
      </w:pPr>
      <w:rPr>
        <w:rFonts w:hint="default"/>
      </w:rPr>
    </w:lvl>
    <w:lvl w:ilvl="2" w:tentative="0">
      <w:start w:val="1"/>
      <w:numFmt w:val="decimal"/>
      <w:lvlText w:val="%1.%2.%3"/>
      <w:lvlJc w:val="left"/>
      <w:pPr>
        <w:ind w:left="1570" w:hanging="720"/>
      </w:pPr>
      <w:rPr>
        <w:rFonts w:hint="default" w:ascii="Times New Roman" w:hAnsi="Times New Roman" w:cs="Times New Roman"/>
        <w:b/>
        <w:bCs/>
      </w:rPr>
    </w:lvl>
    <w:lvl w:ilvl="3" w:tentative="0">
      <w:start w:val="1"/>
      <w:numFmt w:val="decimal"/>
      <w:lvlText w:val="%1.%2.%3.%4"/>
      <w:lvlJc w:val="left"/>
      <w:pPr>
        <w:ind w:left="1995" w:hanging="720"/>
      </w:pPr>
      <w:rPr>
        <w:rFonts w:hint="default"/>
      </w:rPr>
    </w:lvl>
    <w:lvl w:ilvl="4" w:tentative="0">
      <w:start w:val="1"/>
      <w:numFmt w:val="decimal"/>
      <w:lvlText w:val="%1.%2.%3.%4.%5"/>
      <w:lvlJc w:val="left"/>
      <w:pPr>
        <w:ind w:left="2780" w:hanging="1080"/>
      </w:pPr>
      <w:rPr>
        <w:rFonts w:hint="default"/>
      </w:rPr>
    </w:lvl>
    <w:lvl w:ilvl="5" w:tentative="0">
      <w:start w:val="1"/>
      <w:numFmt w:val="decimal"/>
      <w:lvlText w:val="%1.%2.%3.%4.%5.%6"/>
      <w:lvlJc w:val="left"/>
      <w:pPr>
        <w:ind w:left="3205" w:hanging="1080"/>
      </w:pPr>
      <w:rPr>
        <w:rFonts w:hint="default"/>
      </w:rPr>
    </w:lvl>
    <w:lvl w:ilvl="6" w:tentative="0">
      <w:start w:val="1"/>
      <w:numFmt w:val="decimal"/>
      <w:lvlText w:val="%1.%2.%3.%4.%5.%6.%7"/>
      <w:lvlJc w:val="left"/>
      <w:pPr>
        <w:ind w:left="3990" w:hanging="1440"/>
      </w:pPr>
      <w:rPr>
        <w:rFonts w:hint="default"/>
      </w:rPr>
    </w:lvl>
    <w:lvl w:ilvl="7" w:tentative="0">
      <w:start w:val="1"/>
      <w:numFmt w:val="decimal"/>
      <w:lvlText w:val="%1.%2.%3.%4.%5.%6.%7.%8"/>
      <w:lvlJc w:val="left"/>
      <w:pPr>
        <w:ind w:left="4415" w:hanging="1440"/>
      </w:pPr>
      <w:rPr>
        <w:rFonts w:hint="default"/>
      </w:rPr>
    </w:lvl>
    <w:lvl w:ilvl="8" w:tentative="0">
      <w:start w:val="1"/>
      <w:numFmt w:val="decimal"/>
      <w:lvlText w:val="%1.%2.%3.%4.%5.%6.%7.%8.%9"/>
      <w:lvlJc w:val="left"/>
      <w:pPr>
        <w:ind w:left="5200" w:hanging="1800"/>
      </w:pPr>
      <w:rPr>
        <w:rFonts w:hint="default"/>
      </w:rPr>
    </w:lvl>
  </w:abstractNum>
  <w:abstractNum w:abstractNumId="19">
    <w:nsid w:val="657D3FBC"/>
    <w:multiLevelType w:val="multilevel"/>
    <w:tmpl w:val="657D3FBC"/>
    <w:lvl w:ilvl="0" w:tentative="0">
      <w:start w:val="1"/>
      <w:numFmt w:val="upperLetter"/>
      <w:pStyle w:val="9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95"/>
      <w:suff w:val="nothing"/>
      <w:lvlText w:val="%1.%2.%3.%4　"/>
      <w:lvlJc w:val="left"/>
      <w:pPr>
        <w:ind w:left="0" w:firstLine="0"/>
      </w:pPr>
      <w:rPr>
        <w:rFonts w:hint="eastAsia" w:ascii="黑体" w:hAnsi="Times New Roman" w:eastAsia="黑体"/>
        <w:b w:val="0"/>
        <w:i w:val="0"/>
        <w:sz w:val="21"/>
      </w:rPr>
    </w:lvl>
    <w:lvl w:ilvl="4" w:tentative="0">
      <w:start w:val="1"/>
      <w:numFmt w:val="decimal"/>
      <w:pStyle w:val="100"/>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6966267"/>
    <w:multiLevelType w:val="multilevel"/>
    <w:tmpl w:val="66966267"/>
    <w:lvl w:ilvl="0" w:tentative="0">
      <w:start w:val="8"/>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ascii="Times New Roman" w:hAnsi="Times New Roman" w:cs="Times New Roman"/>
        <w:b/>
        <w:bCs/>
        <w:sz w:val="24"/>
        <w:szCs w:val="22"/>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21">
    <w:nsid w:val="6D6C07CD"/>
    <w:multiLevelType w:val="multilevel"/>
    <w:tmpl w:val="6D6C07CD"/>
    <w:lvl w:ilvl="0" w:tentative="0">
      <w:start w:val="1"/>
      <w:numFmt w:val="lowerLetter"/>
      <w:pStyle w:val="112"/>
      <w:lvlText w:val="%1)"/>
      <w:lvlJc w:val="left"/>
      <w:pPr>
        <w:tabs>
          <w:tab w:val="left" w:pos="839"/>
        </w:tabs>
        <w:ind w:left="839" w:hanging="419"/>
      </w:pPr>
      <w:rPr>
        <w:rFonts w:hint="eastAsia" w:ascii="宋体" w:eastAsia="宋体"/>
        <w:b w:val="0"/>
        <w:i w:val="0"/>
        <w:sz w:val="21"/>
      </w:rPr>
    </w:lvl>
    <w:lvl w:ilvl="1" w:tentative="0">
      <w:start w:val="1"/>
      <w:numFmt w:val="decimal"/>
      <w:pStyle w:val="10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2">
    <w:nsid w:val="6DBF04F4"/>
    <w:multiLevelType w:val="multilevel"/>
    <w:tmpl w:val="6DBF04F4"/>
    <w:lvl w:ilvl="0" w:tentative="0">
      <w:start w:val="1"/>
      <w:numFmt w:val="none"/>
      <w:pStyle w:val="64"/>
      <w:suff w:val="nothing"/>
      <w:lvlText w:val="%1注："/>
      <w:lvlJc w:val="left"/>
      <w:pPr>
        <w:ind w:left="1308"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7"/>
  </w:num>
  <w:num w:numId="3">
    <w:abstractNumId w:val="2"/>
  </w:num>
  <w:num w:numId="4">
    <w:abstractNumId w:val="10"/>
  </w:num>
  <w:num w:numId="5">
    <w:abstractNumId w:val="22"/>
  </w:num>
  <w:num w:numId="6">
    <w:abstractNumId w:val="0"/>
  </w:num>
  <w:num w:numId="7">
    <w:abstractNumId w:val="12"/>
  </w:num>
  <w:num w:numId="8">
    <w:abstractNumId w:val="4"/>
  </w:num>
  <w:num w:numId="9">
    <w:abstractNumId w:val="19"/>
  </w:num>
  <w:num w:numId="10">
    <w:abstractNumId w:val="15"/>
  </w:num>
  <w:num w:numId="11">
    <w:abstractNumId w:val="21"/>
  </w:num>
  <w:num w:numId="12">
    <w:abstractNumId w:val="6"/>
  </w:num>
  <w:num w:numId="13">
    <w:abstractNumId w:val="1"/>
  </w:num>
  <w:num w:numId="14">
    <w:abstractNumId w:val="3"/>
  </w:num>
  <w:num w:numId="15">
    <w:abstractNumId w:val="17"/>
  </w:num>
  <w:num w:numId="16">
    <w:abstractNumId w:val="14"/>
  </w:num>
  <w:num w:numId="17">
    <w:abstractNumId w:val="5"/>
  </w:num>
  <w:num w:numId="18">
    <w:abstractNumId w:val="11"/>
  </w:num>
  <w:num w:numId="19">
    <w:abstractNumId w:val="16"/>
  </w:num>
  <w:num w:numId="20">
    <w:abstractNumId w:val="18"/>
  </w:num>
  <w:num w:numId="21">
    <w:abstractNumId w:val="9"/>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ytzQ3M7CwNDI1MjJQ0lEKTi0uzszPAykwtKwFAGwkXLotAAAA"/>
  </w:docVars>
  <w:rsids>
    <w:rsidRoot w:val="00035925"/>
    <w:rsid w:val="00000244"/>
    <w:rsid w:val="0000185F"/>
    <w:rsid w:val="00004597"/>
    <w:rsid w:val="0000586F"/>
    <w:rsid w:val="00012E86"/>
    <w:rsid w:val="0001379C"/>
    <w:rsid w:val="00013D86"/>
    <w:rsid w:val="00013E02"/>
    <w:rsid w:val="00014032"/>
    <w:rsid w:val="00014063"/>
    <w:rsid w:val="000149F0"/>
    <w:rsid w:val="000150D0"/>
    <w:rsid w:val="00016666"/>
    <w:rsid w:val="0001758D"/>
    <w:rsid w:val="00021096"/>
    <w:rsid w:val="0002143C"/>
    <w:rsid w:val="00022D63"/>
    <w:rsid w:val="000253E4"/>
    <w:rsid w:val="000255F5"/>
    <w:rsid w:val="00025A65"/>
    <w:rsid w:val="00026C31"/>
    <w:rsid w:val="00026C81"/>
    <w:rsid w:val="00027280"/>
    <w:rsid w:val="00027FC1"/>
    <w:rsid w:val="000317DB"/>
    <w:rsid w:val="00031A00"/>
    <w:rsid w:val="00031A10"/>
    <w:rsid w:val="00031B33"/>
    <w:rsid w:val="000320A7"/>
    <w:rsid w:val="000336D4"/>
    <w:rsid w:val="000343A9"/>
    <w:rsid w:val="00035925"/>
    <w:rsid w:val="000374A5"/>
    <w:rsid w:val="00041727"/>
    <w:rsid w:val="00042012"/>
    <w:rsid w:val="00042CBC"/>
    <w:rsid w:val="00043178"/>
    <w:rsid w:val="0004369C"/>
    <w:rsid w:val="00044FE9"/>
    <w:rsid w:val="00045D9B"/>
    <w:rsid w:val="00045F1C"/>
    <w:rsid w:val="0004759B"/>
    <w:rsid w:val="000478BD"/>
    <w:rsid w:val="00047EFF"/>
    <w:rsid w:val="00050019"/>
    <w:rsid w:val="00050550"/>
    <w:rsid w:val="00051536"/>
    <w:rsid w:val="000515DE"/>
    <w:rsid w:val="00052447"/>
    <w:rsid w:val="00053725"/>
    <w:rsid w:val="00054A79"/>
    <w:rsid w:val="000557ED"/>
    <w:rsid w:val="00055BBB"/>
    <w:rsid w:val="00056BB1"/>
    <w:rsid w:val="00060F7F"/>
    <w:rsid w:val="0006291B"/>
    <w:rsid w:val="00062B5B"/>
    <w:rsid w:val="00063BF0"/>
    <w:rsid w:val="00067CDF"/>
    <w:rsid w:val="00070097"/>
    <w:rsid w:val="000703B1"/>
    <w:rsid w:val="00072A6C"/>
    <w:rsid w:val="00072BA1"/>
    <w:rsid w:val="00072CBE"/>
    <w:rsid w:val="00074911"/>
    <w:rsid w:val="00074FBE"/>
    <w:rsid w:val="0007650B"/>
    <w:rsid w:val="0007681E"/>
    <w:rsid w:val="00076B8D"/>
    <w:rsid w:val="000773AE"/>
    <w:rsid w:val="00077F16"/>
    <w:rsid w:val="00080EB7"/>
    <w:rsid w:val="0008181E"/>
    <w:rsid w:val="00082462"/>
    <w:rsid w:val="000833BC"/>
    <w:rsid w:val="00083A09"/>
    <w:rsid w:val="0008532B"/>
    <w:rsid w:val="000856A0"/>
    <w:rsid w:val="000856B0"/>
    <w:rsid w:val="000859B3"/>
    <w:rsid w:val="0008675A"/>
    <w:rsid w:val="00086B6D"/>
    <w:rsid w:val="000875A1"/>
    <w:rsid w:val="0009005E"/>
    <w:rsid w:val="000921AE"/>
    <w:rsid w:val="00092471"/>
    <w:rsid w:val="000924D2"/>
    <w:rsid w:val="00092857"/>
    <w:rsid w:val="00092901"/>
    <w:rsid w:val="00093F9C"/>
    <w:rsid w:val="00094AAB"/>
    <w:rsid w:val="00095A5C"/>
    <w:rsid w:val="000A03A5"/>
    <w:rsid w:val="000A10E5"/>
    <w:rsid w:val="000A20A9"/>
    <w:rsid w:val="000A2FAB"/>
    <w:rsid w:val="000A34D6"/>
    <w:rsid w:val="000A48B1"/>
    <w:rsid w:val="000A4EAC"/>
    <w:rsid w:val="000B084E"/>
    <w:rsid w:val="000B0908"/>
    <w:rsid w:val="000B1AF1"/>
    <w:rsid w:val="000B3143"/>
    <w:rsid w:val="000B5D7F"/>
    <w:rsid w:val="000C06FC"/>
    <w:rsid w:val="000C152E"/>
    <w:rsid w:val="000C197B"/>
    <w:rsid w:val="000C292B"/>
    <w:rsid w:val="000C2D88"/>
    <w:rsid w:val="000C31B1"/>
    <w:rsid w:val="000C33D5"/>
    <w:rsid w:val="000C6B05"/>
    <w:rsid w:val="000C6D57"/>
    <w:rsid w:val="000C6DD6"/>
    <w:rsid w:val="000C73D4"/>
    <w:rsid w:val="000D2BB9"/>
    <w:rsid w:val="000D301E"/>
    <w:rsid w:val="000D3D4C"/>
    <w:rsid w:val="000D4A2F"/>
    <w:rsid w:val="000D4F51"/>
    <w:rsid w:val="000D6251"/>
    <w:rsid w:val="000D64A4"/>
    <w:rsid w:val="000D718B"/>
    <w:rsid w:val="000D728C"/>
    <w:rsid w:val="000E0C46"/>
    <w:rsid w:val="000E11B9"/>
    <w:rsid w:val="000E212E"/>
    <w:rsid w:val="000E2BB6"/>
    <w:rsid w:val="000E359F"/>
    <w:rsid w:val="000E3DD7"/>
    <w:rsid w:val="000E54CD"/>
    <w:rsid w:val="000E690F"/>
    <w:rsid w:val="000E6D1F"/>
    <w:rsid w:val="000E7C45"/>
    <w:rsid w:val="000F030C"/>
    <w:rsid w:val="000F04BE"/>
    <w:rsid w:val="000F098A"/>
    <w:rsid w:val="000F0EA9"/>
    <w:rsid w:val="000F108B"/>
    <w:rsid w:val="000F129C"/>
    <w:rsid w:val="000F189A"/>
    <w:rsid w:val="000F3476"/>
    <w:rsid w:val="000F34A6"/>
    <w:rsid w:val="000F3674"/>
    <w:rsid w:val="000F3743"/>
    <w:rsid w:val="000F5667"/>
    <w:rsid w:val="000F7726"/>
    <w:rsid w:val="0010019E"/>
    <w:rsid w:val="00100606"/>
    <w:rsid w:val="0010305E"/>
    <w:rsid w:val="0010361F"/>
    <w:rsid w:val="0010463F"/>
    <w:rsid w:val="001056DE"/>
    <w:rsid w:val="0010606C"/>
    <w:rsid w:val="00107C08"/>
    <w:rsid w:val="001101E0"/>
    <w:rsid w:val="00111208"/>
    <w:rsid w:val="00111848"/>
    <w:rsid w:val="001124C0"/>
    <w:rsid w:val="00114627"/>
    <w:rsid w:val="001203FA"/>
    <w:rsid w:val="001216FE"/>
    <w:rsid w:val="00122D95"/>
    <w:rsid w:val="00123065"/>
    <w:rsid w:val="00125E99"/>
    <w:rsid w:val="0013137A"/>
    <w:rsid w:val="0013175F"/>
    <w:rsid w:val="00131A75"/>
    <w:rsid w:val="0013584E"/>
    <w:rsid w:val="00140DC2"/>
    <w:rsid w:val="00141605"/>
    <w:rsid w:val="001425F7"/>
    <w:rsid w:val="0014472A"/>
    <w:rsid w:val="00144B4C"/>
    <w:rsid w:val="00145124"/>
    <w:rsid w:val="00145A27"/>
    <w:rsid w:val="00145A9A"/>
    <w:rsid w:val="0014621A"/>
    <w:rsid w:val="001471D0"/>
    <w:rsid w:val="0015037B"/>
    <w:rsid w:val="001512B4"/>
    <w:rsid w:val="0015383C"/>
    <w:rsid w:val="00155343"/>
    <w:rsid w:val="00160A60"/>
    <w:rsid w:val="001620A5"/>
    <w:rsid w:val="0016487B"/>
    <w:rsid w:val="00164DA5"/>
    <w:rsid w:val="00164E53"/>
    <w:rsid w:val="001656EB"/>
    <w:rsid w:val="0016699D"/>
    <w:rsid w:val="001669FE"/>
    <w:rsid w:val="00166D14"/>
    <w:rsid w:val="00167C4D"/>
    <w:rsid w:val="00170F0D"/>
    <w:rsid w:val="00174BCC"/>
    <w:rsid w:val="00175159"/>
    <w:rsid w:val="00176208"/>
    <w:rsid w:val="00176719"/>
    <w:rsid w:val="00181AA3"/>
    <w:rsid w:val="0018211B"/>
    <w:rsid w:val="001840D3"/>
    <w:rsid w:val="00185A1F"/>
    <w:rsid w:val="00185D4E"/>
    <w:rsid w:val="001900F8"/>
    <w:rsid w:val="001901CD"/>
    <w:rsid w:val="001910B4"/>
    <w:rsid w:val="001910D2"/>
    <w:rsid w:val="00191258"/>
    <w:rsid w:val="00191583"/>
    <w:rsid w:val="001923C9"/>
    <w:rsid w:val="0019251C"/>
    <w:rsid w:val="00192680"/>
    <w:rsid w:val="00193037"/>
    <w:rsid w:val="00193A2C"/>
    <w:rsid w:val="00193E97"/>
    <w:rsid w:val="00194967"/>
    <w:rsid w:val="001950B1"/>
    <w:rsid w:val="00196601"/>
    <w:rsid w:val="00196F11"/>
    <w:rsid w:val="001979AA"/>
    <w:rsid w:val="001A07F4"/>
    <w:rsid w:val="001A101A"/>
    <w:rsid w:val="001A172C"/>
    <w:rsid w:val="001A288E"/>
    <w:rsid w:val="001A2CA7"/>
    <w:rsid w:val="001A3140"/>
    <w:rsid w:val="001A3A9B"/>
    <w:rsid w:val="001B05EF"/>
    <w:rsid w:val="001B0791"/>
    <w:rsid w:val="001B2FBC"/>
    <w:rsid w:val="001B34B3"/>
    <w:rsid w:val="001B6DC2"/>
    <w:rsid w:val="001C0EE6"/>
    <w:rsid w:val="001C105D"/>
    <w:rsid w:val="001C1464"/>
    <w:rsid w:val="001C149C"/>
    <w:rsid w:val="001C21AC"/>
    <w:rsid w:val="001C29B5"/>
    <w:rsid w:val="001C2AFB"/>
    <w:rsid w:val="001C471A"/>
    <w:rsid w:val="001C47BA"/>
    <w:rsid w:val="001C59EA"/>
    <w:rsid w:val="001C5C32"/>
    <w:rsid w:val="001C6294"/>
    <w:rsid w:val="001D021C"/>
    <w:rsid w:val="001D0321"/>
    <w:rsid w:val="001D03FA"/>
    <w:rsid w:val="001D2043"/>
    <w:rsid w:val="001D27D4"/>
    <w:rsid w:val="001D2C61"/>
    <w:rsid w:val="001D406C"/>
    <w:rsid w:val="001D41EE"/>
    <w:rsid w:val="001D5239"/>
    <w:rsid w:val="001D59EA"/>
    <w:rsid w:val="001D5C8F"/>
    <w:rsid w:val="001E0092"/>
    <w:rsid w:val="001E0219"/>
    <w:rsid w:val="001E0380"/>
    <w:rsid w:val="001E13B1"/>
    <w:rsid w:val="001E1EF2"/>
    <w:rsid w:val="001E3970"/>
    <w:rsid w:val="001E39A7"/>
    <w:rsid w:val="001E636A"/>
    <w:rsid w:val="001F0A5B"/>
    <w:rsid w:val="001F366C"/>
    <w:rsid w:val="001F3723"/>
    <w:rsid w:val="001F3A19"/>
    <w:rsid w:val="001F44AD"/>
    <w:rsid w:val="001F512B"/>
    <w:rsid w:val="00200D08"/>
    <w:rsid w:val="00200F57"/>
    <w:rsid w:val="002017CD"/>
    <w:rsid w:val="00202368"/>
    <w:rsid w:val="0020288E"/>
    <w:rsid w:val="00202CD5"/>
    <w:rsid w:val="00204E45"/>
    <w:rsid w:val="00205466"/>
    <w:rsid w:val="0020727C"/>
    <w:rsid w:val="002077B0"/>
    <w:rsid w:val="00210CA0"/>
    <w:rsid w:val="00211C69"/>
    <w:rsid w:val="00215F5F"/>
    <w:rsid w:val="0021630F"/>
    <w:rsid w:val="00216B61"/>
    <w:rsid w:val="00216C9A"/>
    <w:rsid w:val="00216D32"/>
    <w:rsid w:val="00217FB3"/>
    <w:rsid w:val="002216B6"/>
    <w:rsid w:val="00221C04"/>
    <w:rsid w:val="00222BBB"/>
    <w:rsid w:val="0022366F"/>
    <w:rsid w:val="00224173"/>
    <w:rsid w:val="00224EB9"/>
    <w:rsid w:val="00225B54"/>
    <w:rsid w:val="00225C6E"/>
    <w:rsid w:val="0022612C"/>
    <w:rsid w:val="00232AEC"/>
    <w:rsid w:val="0023404A"/>
    <w:rsid w:val="00234467"/>
    <w:rsid w:val="002346C2"/>
    <w:rsid w:val="00234BE0"/>
    <w:rsid w:val="002358ED"/>
    <w:rsid w:val="00237D8D"/>
    <w:rsid w:val="00241DA2"/>
    <w:rsid w:val="002433E0"/>
    <w:rsid w:val="002464CC"/>
    <w:rsid w:val="002470D9"/>
    <w:rsid w:val="0024736A"/>
    <w:rsid w:val="00247FEE"/>
    <w:rsid w:val="00250E7D"/>
    <w:rsid w:val="00252BEF"/>
    <w:rsid w:val="00254609"/>
    <w:rsid w:val="002548A8"/>
    <w:rsid w:val="00255209"/>
    <w:rsid w:val="00255CAA"/>
    <w:rsid w:val="002565D5"/>
    <w:rsid w:val="002570C3"/>
    <w:rsid w:val="00257CD5"/>
    <w:rsid w:val="002622C0"/>
    <w:rsid w:val="00262934"/>
    <w:rsid w:val="002650F6"/>
    <w:rsid w:val="00265FE8"/>
    <w:rsid w:val="002663BE"/>
    <w:rsid w:val="00272532"/>
    <w:rsid w:val="002725F9"/>
    <w:rsid w:val="00272A90"/>
    <w:rsid w:val="00276424"/>
    <w:rsid w:val="00276F45"/>
    <w:rsid w:val="002778AE"/>
    <w:rsid w:val="0028004B"/>
    <w:rsid w:val="00280589"/>
    <w:rsid w:val="00282182"/>
    <w:rsid w:val="0028269A"/>
    <w:rsid w:val="00282A8D"/>
    <w:rsid w:val="00282B84"/>
    <w:rsid w:val="00283590"/>
    <w:rsid w:val="00285804"/>
    <w:rsid w:val="00285D55"/>
    <w:rsid w:val="00286973"/>
    <w:rsid w:val="00286F3B"/>
    <w:rsid w:val="00290D2D"/>
    <w:rsid w:val="00293A58"/>
    <w:rsid w:val="00293D42"/>
    <w:rsid w:val="00294E70"/>
    <w:rsid w:val="00296066"/>
    <w:rsid w:val="002965B3"/>
    <w:rsid w:val="002970FC"/>
    <w:rsid w:val="002971B2"/>
    <w:rsid w:val="0029726F"/>
    <w:rsid w:val="002A0326"/>
    <w:rsid w:val="002A1924"/>
    <w:rsid w:val="002A19CB"/>
    <w:rsid w:val="002A3225"/>
    <w:rsid w:val="002A3F6E"/>
    <w:rsid w:val="002A47AB"/>
    <w:rsid w:val="002A5468"/>
    <w:rsid w:val="002A5F90"/>
    <w:rsid w:val="002A7420"/>
    <w:rsid w:val="002B00BF"/>
    <w:rsid w:val="002B02EF"/>
    <w:rsid w:val="002B0408"/>
    <w:rsid w:val="002B066B"/>
    <w:rsid w:val="002B0B08"/>
    <w:rsid w:val="002B0F12"/>
    <w:rsid w:val="002B1308"/>
    <w:rsid w:val="002B1BC2"/>
    <w:rsid w:val="002B2576"/>
    <w:rsid w:val="002B4554"/>
    <w:rsid w:val="002B537D"/>
    <w:rsid w:val="002B5497"/>
    <w:rsid w:val="002B630A"/>
    <w:rsid w:val="002C1DEC"/>
    <w:rsid w:val="002C30CC"/>
    <w:rsid w:val="002C439B"/>
    <w:rsid w:val="002C5300"/>
    <w:rsid w:val="002C6588"/>
    <w:rsid w:val="002C72D8"/>
    <w:rsid w:val="002D085D"/>
    <w:rsid w:val="002D09A8"/>
    <w:rsid w:val="002D0D10"/>
    <w:rsid w:val="002D11FA"/>
    <w:rsid w:val="002D1203"/>
    <w:rsid w:val="002D13EB"/>
    <w:rsid w:val="002D3493"/>
    <w:rsid w:val="002D3EEA"/>
    <w:rsid w:val="002D4814"/>
    <w:rsid w:val="002D4989"/>
    <w:rsid w:val="002D4D3E"/>
    <w:rsid w:val="002D637D"/>
    <w:rsid w:val="002D7355"/>
    <w:rsid w:val="002D785D"/>
    <w:rsid w:val="002D78D6"/>
    <w:rsid w:val="002D7A5F"/>
    <w:rsid w:val="002E0728"/>
    <w:rsid w:val="002E0DDF"/>
    <w:rsid w:val="002E12DC"/>
    <w:rsid w:val="002E1451"/>
    <w:rsid w:val="002E1985"/>
    <w:rsid w:val="002E1B3B"/>
    <w:rsid w:val="002E2906"/>
    <w:rsid w:val="002E3814"/>
    <w:rsid w:val="002E43F1"/>
    <w:rsid w:val="002E4FEA"/>
    <w:rsid w:val="002E5635"/>
    <w:rsid w:val="002E64C3"/>
    <w:rsid w:val="002E6A0D"/>
    <w:rsid w:val="002E6A2C"/>
    <w:rsid w:val="002E6C19"/>
    <w:rsid w:val="002E6D9A"/>
    <w:rsid w:val="002F04D3"/>
    <w:rsid w:val="002F1D8C"/>
    <w:rsid w:val="002F21DA"/>
    <w:rsid w:val="002F2D2E"/>
    <w:rsid w:val="002F3AE0"/>
    <w:rsid w:val="002F3C65"/>
    <w:rsid w:val="00300E5B"/>
    <w:rsid w:val="00301F39"/>
    <w:rsid w:val="0030217B"/>
    <w:rsid w:val="003047FB"/>
    <w:rsid w:val="0030482F"/>
    <w:rsid w:val="0030589A"/>
    <w:rsid w:val="00306625"/>
    <w:rsid w:val="00307A91"/>
    <w:rsid w:val="00310DE9"/>
    <w:rsid w:val="00313849"/>
    <w:rsid w:val="00314648"/>
    <w:rsid w:val="00314BBA"/>
    <w:rsid w:val="003152C5"/>
    <w:rsid w:val="00315EAC"/>
    <w:rsid w:val="00316CD3"/>
    <w:rsid w:val="00317693"/>
    <w:rsid w:val="0032075F"/>
    <w:rsid w:val="0032142F"/>
    <w:rsid w:val="00321658"/>
    <w:rsid w:val="00323881"/>
    <w:rsid w:val="00325926"/>
    <w:rsid w:val="00326F06"/>
    <w:rsid w:val="00327A8A"/>
    <w:rsid w:val="00331164"/>
    <w:rsid w:val="003317F5"/>
    <w:rsid w:val="003319BA"/>
    <w:rsid w:val="003356D8"/>
    <w:rsid w:val="00336610"/>
    <w:rsid w:val="003421F1"/>
    <w:rsid w:val="003427E0"/>
    <w:rsid w:val="00343F73"/>
    <w:rsid w:val="00345060"/>
    <w:rsid w:val="003452A4"/>
    <w:rsid w:val="0034685C"/>
    <w:rsid w:val="00346E46"/>
    <w:rsid w:val="0035323B"/>
    <w:rsid w:val="00353B6F"/>
    <w:rsid w:val="00354521"/>
    <w:rsid w:val="00356937"/>
    <w:rsid w:val="003609D2"/>
    <w:rsid w:val="00360D1A"/>
    <w:rsid w:val="003613C3"/>
    <w:rsid w:val="00363F22"/>
    <w:rsid w:val="003647A6"/>
    <w:rsid w:val="0036591F"/>
    <w:rsid w:val="0036609D"/>
    <w:rsid w:val="00366AB3"/>
    <w:rsid w:val="003675BA"/>
    <w:rsid w:val="00372EEA"/>
    <w:rsid w:val="003744AD"/>
    <w:rsid w:val="00375564"/>
    <w:rsid w:val="00376BCE"/>
    <w:rsid w:val="00383191"/>
    <w:rsid w:val="003834C7"/>
    <w:rsid w:val="00383C3F"/>
    <w:rsid w:val="00385F38"/>
    <w:rsid w:val="00385FC9"/>
    <w:rsid w:val="00386DED"/>
    <w:rsid w:val="00386EE4"/>
    <w:rsid w:val="00387F24"/>
    <w:rsid w:val="0039027B"/>
    <w:rsid w:val="00390A65"/>
    <w:rsid w:val="003912C2"/>
    <w:rsid w:val="003912E7"/>
    <w:rsid w:val="003923E2"/>
    <w:rsid w:val="00392DCB"/>
    <w:rsid w:val="0039389D"/>
    <w:rsid w:val="00393947"/>
    <w:rsid w:val="00394784"/>
    <w:rsid w:val="0039654E"/>
    <w:rsid w:val="003970FB"/>
    <w:rsid w:val="00397F52"/>
    <w:rsid w:val="003A0483"/>
    <w:rsid w:val="003A2275"/>
    <w:rsid w:val="003A402E"/>
    <w:rsid w:val="003A416D"/>
    <w:rsid w:val="003A5081"/>
    <w:rsid w:val="003A5B2D"/>
    <w:rsid w:val="003A6A4F"/>
    <w:rsid w:val="003A7088"/>
    <w:rsid w:val="003B00DF"/>
    <w:rsid w:val="003B0420"/>
    <w:rsid w:val="003B1275"/>
    <w:rsid w:val="003B1778"/>
    <w:rsid w:val="003B47FF"/>
    <w:rsid w:val="003B7861"/>
    <w:rsid w:val="003B7B4C"/>
    <w:rsid w:val="003C0346"/>
    <w:rsid w:val="003C046C"/>
    <w:rsid w:val="003C11CB"/>
    <w:rsid w:val="003C1C59"/>
    <w:rsid w:val="003C6425"/>
    <w:rsid w:val="003C75F3"/>
    <w:rsid w:val="003C78A3"/>
    <w:rsid w:val="003D19FF"/>
    <w:rsid w:val="003D2D1C"/>
    <w:rsid w:val="003D33FF"/>
    <w:rsid w:val="003D4F1D"/>
    <w:rsid w:val="003D5105"/>
    <w:rsid w:val="003D5902"/>
    <w:rsid w:val="003D5B1D"/>
    <w:rsid w:val="003D7021"/>
    <w:rsid w:val="003D7E01"/>
    <w:rsid w:val="003E183E"/>
    <w:rsid w:val="003E1867"/>
    <w:rsid w:val="003E1B6F"/>
    <w:rsid w:val="003E330D"/>
    <w:rsid w:val="003E5729"/>
    <w:rsid w:val="003E7E39"/>
    <w:rsid w:val="003F12ED"/>
    <w:rsid w:val="003F1354"/>
    <w:rsid w:val="003F4BB9"/>
    <w:rsid w:val="003F4EE0"/>
    <w:rsid w:val="003F607B"/>
    <w:rsid w:val="003F707A"/>
    <w:rsid w:val="003F752D"/>
    <w:rsid w:val="003F75B4"/>
    <w:rsid w:val="00400B74"/>
    <w:rsid w:val="004011C1"/>
    <w:rsid w:val="00401214"/>
    <w:rsid w:val="00402153"/>
    <w:rsid w:val="00402FC1"/>
    <w:rsid w:val="0040414F"/>
    <w:rsid w:val="004068E6"/>
    <w:rsid w:val="00410944"/>
    <w:rsid w:val="00410BAF"/>
    <w:rsid w:val="00413B25"/>
    <w:rsid w:val="00415F1B"/>
    <w:rsid w:val="00417619"/>
    <w:rsid w:val="00417D81"/>
    <w:rsid w:val="00422896"/>
    <w:rsid w:val="00425082"/>
    <w:rsid w:val="004274CE"/>
    <w:rsid w:val="004309A5"/>
    <w:rsid w:val="00430BF6"/>
    <w:rsid w:val="0043119A"/>
    <w:rsid w:val="00431DEB"/>
    <w:rsid w:val="00434A4C"/>
    <w:rsid w:val="004353CF"/>
    <w:rsid w:val="00437037"/>
    <w:rsid w:val="00437369"/>
    <w:rsid w:val="004405B7"/>
    <w:rsid w:val="00442978"/>
    <w:rsid w:val="00442FDB"/>
    <w:rsid w:val="004430E8"/>
    <w:rsid w:val="00444962"/>
    <w:rsid w:val="00444A0C"/>
    <w:rsid w:val="00446B29"/>
    <w:rsid w:val="00447279"/>
    <w:rsid w:val="004479F4"/>
    <w:rsid w:val="004500C9"/>
    <w:rsid w:val="004508FE"/>
    <w:rsid w:val="00450F5F"/>
    <w:rsid w:val="0045269A"/>
    <w:rsid w:val="00452836"/>
    <w:rsid w:val="00452BEC"/>
    <w:rsid w:val="00453F9A"/>
    <w:rsid w:val="004554A8"/>
    <w:rsid w:val="004562D8"/>
    <w:rsid w:val="0045636D"/>
    <w:rsid w:val="00456744"/>
    <w:rsid w:val="00460A9C"/>
    <w:rsid w:val="004629C2"/>
    <w:rsid w:val="0046320F"/>
    <w:rsid w:val="00466C92"/>
    <w:rsid w:val="00471E91"/>
    <w:rsid w:val="00471EBF"/>
    <w:rsid w:val="00474675"/>
    <w:rsid w:val="0047470C"/>
    <w:rsid w:val="00485B2D"/>
    <w:rsid w:val="0048700E"/>
    <w:rsid w:val="00490664"/>
    <w:rsid w:val="00490CC1"/>
    <w:rsid w:val="00491DCE"/>
    <w:rsid w:val="004A0435"/>
    <w:rsid w:val="004A3397"/>
    <w:rsid w:val="004A35F9"/>
    <w:rsid w:val="004A3712"/>
    <w:rsid w:val="004A38A8"/>
    <w:rsid w:val="004A4461"/>
    <w:rsid w:val="004A5554"/>
    <w:rsid w:val="004A5730"/>
    <w:rsid w:val="004A5AB7"/>
    <w:rsid w:val="004A611D"/>
    <w:rsid w:val="004A61AF"/>
    <w:rsid w:val="004B0BA4"/>
    <w:rsid w:val="004B217E"/>
    <w:rsid w:val="004B24C1"/>
    <w:rsid w:val="004B54D7"/>
    <w:rsid w:val="004B5D3B"/>
    <w:rsid w:val="004B6088"/>
    <w:rsid w:val="004B6B23"/>
    <w:rsid w:val="004B7AFF"/>
    <w:rsid w:val="004B7E59"/>
    <w:rsid w:val="004C0030"/>
    <w:rsid w:val="004C069D"/>
    <w:rsid w:val="004C1237"/>
    <w:rsid w:val="004C292F"/>
    <w:rsid w:val="004C2EA5"/>
    <w:rsid w:val="004C597D"/>
    <w:rsid w:val="004C5DF5"/>
    <w:rsid w:val="004D102B"/>
    <w:rsid w:val="004D3673"/>
    <w:rsid w:val="004D4918"/>
    <w:rsid w:val="004D4CE4"/>
    <w:rsid w:val="004E15F8"/>
    <w:rsid w:val="004E217F"/>
    <w:rsid w:val="004E3765"/>
    <w:rsid w:val="004E487C"/>
    <w:rsid w:val="004F05F2"/>
    <w:rsid w:val="004F4D75"/>
    <w:rsid w:val="004F53A0"/>
    <w:rsid w:val="004F5435"/>
    <w:rsid w:val="004F66A6"/>
    <w:rsid w:val="00501436"/>
    <w:rsid w:val="00503A04"/>
    <w:rsid w:val="005053DC"/>
    <w:rsid w:val="00505B27"/>
    <w:rsid w:val="005065D8"/>
    <w:rsid w:val="005071B3"/>
    <w:rsid w:val="00507772"/>
    <w:rsid w:val="00510280"/>
    <w:rsid w:val="005123AB"/>
    <w:rsid w:val="00513B3B"/>
    <w:rsid w:val="00513D73"/>
    <w:rsid w:val="00514A43"/>
    <w:rsid w:val="00515558"/>
    <w:rsid w:val="005166C6"/>
    <w:rsid w:val="005174E5"/>
    <w:rsid w:val="00520741"/>
    <w:rsid w:val="00521485"/>
    <w:rsid w:val="00522393"/>
    <w:rsid w:val="00522620"/>
    <w:rsid w:val="005228C6"/>
    <w:rsid w:val="00525224"/>
    <w:rsid w:val="00525656"/>
    <w:rsid w:val="00530A97"/>
    <w:rsid w:val="00530A9B"/>
    <w:rsid w:val="005316C7"/>
    <w:rsid w:val="005338F3"/>
    <w:rsid w:val="00534C02"/>
    <w:rsid w:val="005424E9"/>
    <w:rsid w:val="0054264B"/>
    <w:rsid w:val="00543786"/>
    <w:rsid w:val="005437DD"/>
    <w:rsid w:val="0054520D"/>
    <w:rsid w:val="00546A2A"/>
    <w:rsid w:val="00547B70"/>
    <w:rsid w:val="00550B14"/>
    <w:rsid w:val="005523AA"/>
    <w:rsid w:val="005530D3"/>
    <w:rsid w:val="005533D7"/>
    <w:rsid w:val="00553490"/>
    <w:rsid w:val="00554058"/>
    <w:rsid w:val="005555C8"/>
    <w:rsid w:val="0055584B"/>
    <w:rsid w:val="00556819"/>
    <w:rsid w:val="00557055"/>
    <w:rsid w:val="00561600"/>
    <w:rsid w:val="00561A5A"/>
    <w:rsid w:val="0056308A"/>
    <w:rsid w:val="005632D6"/>
    <w:rsid w:val="0056397F"/>
    <w:rsid w:val="00563E13"/>
    <w:rsid w:val="0056492A"/>
    <w:rsid w:val="00565275"/>
    <w:rsid w:val="005703DE"/>
    <w:rsid w:val="00571468"/>
    <w:rsid w:val="005715E0"/>
    <w:rsid w:val="0057191D"/>
    <w:rsid w:val="00571B03"/>
    <w:rsid w:val="00572CC5"/>
    <w:rsid w:val="005733A3"/>
    <w:rsid w:val="00574E2B"/>
    <w:rsid w:val="00576092"/>
    <w:rsid w:val="005764F1"/>
    <w:rsid w:val="00580529"/>
    <w:rsid w:val="00583260"/>
    <w:rsid w:val="005842FC"/>
    <w:rsid w:val="0058464E"/>
    <w:rsid w:val="00586B16"/>
    <w:rsid w:val="005914DF"/>
    <w:rsid w:val="005915F2"/>
    <w:rsid w:val="00591DF2"/>
    <w:rsid w:val="00592776"/>
    <w:rsid w:val="005968C2"/>
    <w:rsid w:val="00596F5B"/>
    <w:rsid w:val="005A01CB"/>
    <w:rsid w:val="005A0954"/>
    <w:rsid w:val="005A1FEE"/>
    <w:rsid w:val="005A240A"/>
    <w:rsid w:val="005A4754"/>
    <w:rsid w:val="005A47F7"/>
    <w:rsid w:val="005A58FF"/>
    <w:rsid w:val="005A5D94"/>
    <w:rsid w:val="005A5EAF"/>
    <w:rsid w:val="005A64C0"/>
    <w:rsid w:val="005A7535"/>
    <w:rsid w:val="005B2087"/>
    <w:rsid w:val="005B2AEC"/>
    <w:rsid w:val="005B2B52"/>
    <w:rsid w:val="005B36A6"/>
    <w:rsid w:val="005B3C11"/>
    <w:rsid w:val="005B3F4D"/>
    <w:rsid w:val="005B6D30"/>
    <w:rsid w:val="005B75AD"/>
    <w:rsid w:val="005C0884"/>
    <w:rsid w:val="005C0B32"/>
    <w:rsid w:val="005C0B5A"/>
    <w:rsid w:val="005C1189"/>
    <w:rsid w:val="005C1C28"/>
    <w:rsid w:val="005C1EEA"/>
    <w:rsid w:val="005C3488"/>
    <w:rsid w:val="005C36E1"/>
    <w:rsid w:val="005C4351"/>
    <w:rsid w:val="005C476D"/>
    <w:rsid w:val="005C4BB6"/>
    <w:rsid w:val="005C4CCB"/>
    <w:rsid w:val="005C6DB5"/>
    <w:rsid w:val="005C78F9"/>
    <w:rsid w:val="005D17D7"/>
    <w:rsid w:val="005D1830"/>
    <w:rsid w:val="005D251A"/>
    <w:rsid w:val="005D2986"/>
    <w:rsid w:val="005D2F82"/>
    <w:rsid w:val="005D42E2"/>
    <w:rsid w:val="005D7A76"/>
    <w:rsid w:val="005E06A8"/>
    <w:rsid w:val="005E19E7"/>
    <w:rsid w:val="005E2418"/>
    <w:rsid w:val="005E30D5"/>
    <w:rsid w:val="005E408A"/>
    <w:rsid w:val="005E73E0"/>
    <w:rsid w:val="005F163E"/>
    <w:rsid w:val="005F31C7"/>
    <w:rsid w:val="005F3CD4"/>
    <w:rsid w:val="005F6282"/>
    <w:rsid w:val="006003E4"/>
    <w:rsid w:val="00601DBD"/>
    <w:rsid w:val="00602533"/>
    <w:rsid w:val="00602CDD"/>
    <w:rsid w:val="00605BC9"/>
    <w:rsid w:val="00607057"/>
    <w:rsid w:val="00610CBB"/>
    <w:rsid w:val="006137BA"/>
    <w:rsid w:val="00613B81"/>
    <w:rsid w:val="00614151"/>
    <w:rsid w:val="00615FA0"/>
    <w:rsid w:val="00616CF2"/>
    <w:rsid w:val="0061716C"/>
    <w:rsid w:val="00623339"/>
    <w:rsid w:val="006236E8"/>
    <w:rsid w:val="00623E91"/>
    <w:rsid w:val="006243A1"/>
    <w:rsid w:val="00624779"/>
    <w:rsid w:val="006248BC"/>
    <w:rsid w:val="00624E09"/>
    <w:rsid w:val="00624FB3"/>
    <w:rsid w:val="00626EF9"/>
    <w:rsid w:val="00627CB4"/>
    <w:rsid w:val="006304C8"/>
    <w:rsid w:val="00632E56"/>
    <w:rsid w:val="0063346A"/>
    <w:rsid w:val="00633EF5"/>
    <w:rsid w:val="00635983"/>
    <w:rsid w:val="00635CBA"/>
    <w:rsid w:val="00635F92"/>
    <w:rsid w:val="00637969"/>
    <w:rsid w:val="006414F0"/>
    <w:rsid w:val="0064302D"/>
    <w:rsid w:val="0064338B"/>
    <w:rsid w:val="00646542"/>
    <w:rsid w:val="0064769F"/>
    <w:rsid w:val="00647A71"/>
    <w:rsid w:val="006504F4"/>
    <w:rsid w:val="00651033"/>
    <w:rsid w:val="00651704"/>
    <w:rsid w:val="00652066"/>
    <w:rsid w:val="00652264"/>
    <w:rsid w:val="0065282A"/>
    <w:rsid w:val="00654010"/>
    <w:rsid w:val="00654BC9"/>
    <w:rsid w:val="006552FD"/>
    <w:rsid w:val="00656B2C"/>
    <w:rsid w:val="006606BB"/>
    <w:rsid w:val="00660B0C"/>
    <w:rsid w:val="00661BEA"/>
    <w:rsid w:val="006629D2"/>
    <w:rsid w:val="00663AF3"/>
    <w:rsid w:val="0066408E"/>
    <w:rsid w:val="0066484E"/>
    <w:rsid w:val="006664F5"/>
    <w:rsid w:val="00666B6C"/>
    <w:rsid w:val="0067002D"/>
    <w:rsid w:val="00672DA9"/>
    <w:rsid w:val="00673C47"/>
    <w:rsid w:val="00673E89"/>
    <w:rsid w:val="00675B2B"/>
    <w:rsid w:val="006767A1"/>
    <w:rsid w:val="00676EF7"/>
    <w:rsid w:val="00676F65"/>
    <w:rsid w:val="00676FD1"/>
    <w:rsid w:val="00680DAD"/>
    <w:rsid w:val="00681368"/>
    <w:rsid w:val="006816F5"/>
    <w:rsid w:val="00681E51"/>
    <w:rsid w:val="00682682"/>
    <w:rsid w:val="00682702"/>
    <w:rsid w:val="0068482A"/>
    <w:rsid w:val="00692368"/>
    <w:rsid w:val="006A0141"/>
    <w:rsid w:val="006A060A"/>
    <w:rsid w:val="006A1E75"/>
    <w:rsid w:val="006A2EBC"/>
    <w:rsid w:val="006A43D1"/>
    <w:rsid w:val="006A499F"/>
    <w:rsid w:val="006A534C"/>
    <w:rsid w:val="006A5EA0"/>
    <w:rsid w:val="006A7137"/>
    <w:rsid w:val="006A783B"/>
    <w:rsid w:val="006A7B33"/>
    <w:rsid w:val="006B0AFF"/>
    <w:rsid w:val="006B1453"/>
    <w:rsid w:val="006B1B6A"/>
    <w:rsid w:val="006B1EE3"/>
    <w:rsid w:val="006B283A"/>
    <w:rsid w:val="006B2DEB"/>
    <w:rsid w:val="006B45EB"/>
    <w:rsid w:val="006B4E13"/>
    <w:rsid w:val="006B63A8"/>
    <w:rsid w:val="006B6ACF"/>
    <w:rsid w:val="006B75DD"/>
    <w:rsid w:val="006C0C22"/>
    <w:rsid w:val="006C0E6E"/>
    <w:rsid w:val="006C1319"/>
    <w:rsid w:val="006C135F"/>
    <w:rsid w:val="006C265C"/>
    <w:rsid w:val="006C541D"/>
    <w:rsid w:val="006C67E0"/>
    <w:rsid w:val="006C7ABA"/>
    <w:rsid w:val="006D0D60"/>
    <w:rsid w:val="006D1122"/>
    <w:rsid w:val="006D16BF"/>
    <w:rsid w:val="006D2329"/>
    <w:rsid w:val="006D3A6B"/>
    <w:rsid w:val="006D3C00"/>
    <w:rsid w:val="006D5BE6"/>
    <w:rsid w:val="006D725B"/>
    <w:rsid w:val="006E0E7F"/>
    <w:rsid w:val="006E1744"/>
    <w:rsid w:val="006E3655"/>
    <w:rsid w:val="006E3675"/>
    <w:rsid w:val="006E4A7F"/>
    <w:rsid w:val="006F068A"/>
    <w:rsid w:val="006F1E2E"/>
    <w:rsid w:val="006F1FD1"/>
    <w:rsid w:val="006F337B"/>
    <w:rsid w:val="006F3D23"/>
    <w:rsid w:val="006F3EC2"/>
    <w:rsid w:val="006F470E"/>
    <w:rsid w:val="006F4AB8"/>
    <w:rsid w:val="006F4BFE"/>
    <w:rsid w:val="006F4E1F"/>
    <w:rsid w:val="006F535E"/>
    <w:rsid w:val="006F5E0D"/>
    <w:rsid w:val="006F6A7F"/>
    <w:rsid w:val="006F6FEC"/>
    <w:rsid w:val="006F7574"/>
    <w:rsid w:val="006F7FC4"/>
    <w:rsid w:val="007001A8"/>
    <w:rsid w:val="00700C80"/>
    <w:rsid w:val="00701A6B"/>
    <w:rsid w:val="00704B94"/>
    <w:rsid w:val="00704DF6"/>
    <w:rsid w:val="0070651C"/>
    <w:rsid w:val="00706CBD"/>
    <w:rsid w:val="007116BB"/>
    <w:rsid w:val="0071240B"/>
    <w:rsid w:val="007132A3"/>
    <w:rsid w:val="0071369B"/>
    <w:rsid w:val="0071564E"/>
    <w:rsid w:val="00716421"/>
    <w:rsid w:val="007217E0"/>
    <w:rsid w:val="00722A00"/>
    <w:rsid w:val="007232F8"/>
    <w:rsid w:val="007238B9"/>
    <w:rsid w:val="007243CD"/>
    <w:rsid w:val="00724EFB"/>
    <w:rsid w:val="007252D0"/>
    <w:rsid w:val="00726A1E"/>
    <w:rsid w:val="007278FE"/>
    <w:rsid w:val="00730DF8"/>
    <w:rsid w:val="00731F69"/>
    <w:rsid w:val="00732753"/>
    <w:rsid w:val="007333F7"/>
    <w:rsid w:val="007343A3"/>
    <w:rsid w:val="0073442C"/>
    <w:rsid w:val="007358CD"/>
    <w:rsid w:val="0073619D"/>
    <w:rsid w:val="0073657A"/>
    <w:rsid w:val="00736A29"/>
    <w:rsid w:val="00740533"/>
    <w:rsid w:val="00740996"/>
    <w:rsid w:val="00741272"/>
    <w:rsid w:val="007419C3"/>
    <w:rsid w:val="0074226B"/>
    <w:rsid w:val="00743BBE"/>
    <w:rsid w:val="00744B69"/>
    <w:rsid w:val="00746202"/>
    <w:rsid w:val="007467A7"/>
    <w:rsid w:val="007469DD"/>
    <w:rsid w:val="0074741B"/>
    <w:rsid w:val="0074759E"/>
    <w:rsid w:val="007478EA"/>
    <w:rsid w:val="00747F71"/>
    <w:rsid w:val="007504FF"/>
    <w:rsid w:val="0075155C"/>
    <w:rsid w:val="00751DF3"/>
    <w:rsid w:val="0075415C"/>
    <w:rsid w:val="007553B3"/>
    <w:rsid w:val="0075706C"/>
    <w:rsid w:val="007579FA"/>
    <w:rsid w:val="00760B1B"/>
    <w:rsid w:val="00761B47"/>
    <w:rsid w:val="00761C35"/>
    <w:rsid w:val="00762D48"/>
    <w:rsid w:val="007630CB"/>
    <w:rsid w:val="0076345C"/>
    <w:rsid w:val="00763502"/>
    <w:rsid w:val="00764211"/>
    <w:rsid w:val="00770E43"/>
    <w:rsid w:val="00770E6E"/>
    <w:rsid w:val="0077197B"/>
    <w:rsid w:val="00772739"/>
    <w:rsid w:val="0077280A"/>
    <w:rsid w:val="00773777"/>
    <w:rsid w:val="0077536A"/>
    <w:rsid w:val="0078056B"/>
    <w:rsid w:val="00780AC3"/>
    <w:rsid w:val="00782DF7"/>
    <w:rsid w:val="007834B4"/>
    <w:rsid w:val="00784465"/>
    <w:rsid w:val="00785696"/>
    <w:rsid w:val="0078648C"/>
    <w:rsid w:val="00790ACA"/>
    <w:rsid w:val="007913AB"/>
    <w:rsid w:val="007914F7"/>
    <w:rsid w:val="00792FB3"/>
    <w:rsid w:val="00793324"/>
    <w:rsid w:val="007934BB"/>
    <w:rsid w:val="007A01F2"/>
    <w:rsid w:val="007A1804"/>
    <w:rsid w:val="007A1CAC"/>
    <w:rsid w:val="007A5743"/>
    <w:rsid w:val="007A643B"/>
    <w:rsid w:val="007A698C"/>
    <w:rsid w:val="007B1625"/>
    <w:rsid w:val="007B2114"/>
    <w:rsid w:val="007B2654"/>
    <w:rsid w:val="007B2829"/>
    <w:rsid w:val="007B336E"/>
    <w:rsid w:val="007B3DFE"/>
    <w:rsid w:val="007B53FB"/>
    <w:rsid w:val="007B706E"/>
    <w:rsid w:val="007B71EB"/>
    <w:rsid w:val="007B74ED"/>
    <w:rsid w:val="007B7D6C"/>
    <w:rsid w:val="007C1B76"/>
    <w:rsid w:val="007C483E"/>
    <w:rsid w:val="007C6205"/>
    <w:rsid w:val="007C686A"/>
    <w:rsid w:val="007C728E"/>
    <w:rsid w:val="007D2C53"/>
    <w:rsid w:val="007D3828"/>
    <w:rsid w:val="007D3ABE"/>
    <w:rsid w:val="007D3D60"/>
    <w:rsid w:val="007D4A95"/>
    <w:rsid w:val="007D597E"/>
    <w:rsid w:val="007D656D"/>
    <w:rsid w:val="007D6AFB"/>
    <w:rsid w:val="007E1482"/>
    <w:rsid w:val="007E1980"/>
    <w:rsid w:val="007E1E19"/>
    <w:rsid w:val="007E2D2B"/>
    <w:rsid w:val="007E4B76"/>
    <w:rsid w:val="007E5528"/>
    <w:rsid w:val="007E5D48"/>
    <w:rsid w:val="007E5EA8"/>
    <w:rsid w:val="007E68B2"/>
    <w:rsid w:val="007F04B4"/>
    <w:rsid w:val="007F0CF1"/>
    <w:rsid w:val="007F0D14"/>
    <w:rsid w:val="007F12A5"/>
    <w:rsid w:val="007F18AC"/>
    <w:rsid w:val="007F24E4"/>
    <w:rsid w:val="007F3073"/>
    <w:rsid w:val="007F355F"/>
    <w:rsid w:val="007F46CD"/>
    <w:rsid w:val="007F4B3C"/>
    <w:rsid w:val="007F4CF1"/>
    <w:rsid w:val="007F619C"/>
    <w:rsid w:val="007F758D"/>
    <w:rsid w:val="007F7D52"/>
    <w:rsid w:val="0080220F"/>
    <w:rsid w:val="00802239"/>
    <w:rsid w:val="00804DB9"/>
    <w:rsid w:val="008057A5"/>
    <w:rsid w:val="0080654C"/>
    <w:rsid w:val="00806E69"/>
    <w:rsid w:val="008071A7"/>
    <w:rsid w:val="008071C6"/>
    <w:rsid w:val="00807F5A"/>
    <w:rsid w:val="00810492"/>
    <w:rsid w:val="00810B99"/>
    <w:rsid w:val="00811544"/>
    <w:rsid w:val="00811C6F"/>
    <w:rsid w:val="00811F8E"/>
    <w:rsid w:val="008142E8"/>
    <w:rsid w:val="008157BE"/>
    <w:rsid w:val="00815B21"/>
    <w:rsid w:val="00816FF9"/>
    <w:rsid w:val="00817092"/>
    <w:rsid w:val="00817934"/>
    <w:rsid w:val="00817A00"/>
    <w:rsid w:val="00821595"/>
    <w:rsid w:val="00822DE5"/>
    <w:rsid w:val="00823ED5"/>
    <w:rsid w:val="008270B4"/>
    <w:rsid w:val="00831172"/>
    <w:rsid w:val="00831B47"/>
    <w:rsid w:val="00831B71"/>
    <w:rsid w:val="0083313B"/>
    <w:rsid w:val="00833366"/>
    <w:rsid w:val="00834A6A"/>
    <w:rsid w:val="00835DB3"/>
    <w:rsid w:val="00836107"/>
    <w:rsid w:val="0083617B"/>
    <w:rsid w:val="008364AF"/>
    <w:rsid w:val="00836837"/>
    <w:rsid w:val="008371BD"/>
    <w:rsid w:val="008373BD"/>
    <w:rsid w:val="00841607"/>
    <w:rsid w:val="008429CB"/>
    <w:rsid w:val="00843BFA"/>
    <w:rsid w:val="0084446D"/>
    <w:rsid w:val="008467A8"/>
    <w:rsid w:val="008476DF"/>
    <w:rsid w:val="008504A8"/>
    <w:rsid w:val="0085282E"/>
    <w:rsid w:val="008530F1"/>
    <w:rsid w:val="00854F2F"/>
    <w:rsid w:val="00860DD9"/>
    <w:rsid w:val="00860E99"/>
    <w:rsid w:val="0086118A"/>
    <w:rsid w:val="00861534"/>
    <w:rsid w:val="00862D13"/>
    <w:rsid w:val="00866B24"/>
    <w:rsid w:val="0087198C"/>
    <w:rsid w:val="00872308"/>
    <w:rsid w:val="00872AF7"/>
    <w:rsid w:val="00872C1F"/>
    <w:rsid w:val="00873B42"/>
    <w:rsid w:val="00873CFE"/>
    <w:rsid w:val="00874181"/>
    <w:rsid w:val="00876F03"/>
    <w:rsid w:val="008818B4"/>
    <w:rsid w:val="0088231B"/>
    <w:rsid w:val="00882496"/>
    <w:rsid w:val="008856D8"/>
    <w:rsid w:val="008857DE"/>
    <w:rsid w:val="00890FBA"/>
    <w:rsid w:val="008911D2"/>
    <w:rsid w:val="0089165A"/>
    <w:rsid w:val="00891BAE"/>
    <w:rsid w:val="00892E82"/>
    <w:rsid w:val="00893697"/>
    <w:rsid w:val="00895F03"/>
    <w:rsid w:val="0089715B"/>
    <w:rsid w:val="008A08C8"/>
    <w:rsid w:val="008A156A"/>
    <w:rsid w:val="008A262E"/>
    <w:rsid w:val="008A2A54"/>
    <w:rsid w:val="008A645E"/>
    <w:rsid w:val="008A745C"/>
    <w:rsid w:val="008A7543"/>
    <w:rsid w:val="008A7F66"/>
    <w:rsid w:val="008B57EC"/>
    <w:rsid w:val="008B641E"/>
    <w:rsid w:val="008C01F8"/>
    <w:rsid w:val="008C1B58"/>
    <w:rsid w:val="008C214C"/>
    <w:rsid w:val="008C222D"/>
    <w:rsid w:val="008C330E"/>
    <w:rsid w:val="008C39AE"/>
    <w:rsid w:val="008C50D1"/>
    <w:rsid w:val="008C590D"/>
    <w:rsid w:val="008D150A"/>
    <w:rsid w:val="008D1F35"/>
    <w:rsid w:val="008D26DD"/>
    <w:rsid w:val="008D392F"/>
    <w:rsid w:val="008D775A"/>
    <w:rsid w:val="008D7D89"/>
    <w:rsid w:val="008E0254"/>
    <w:rsid w:val="008E031B"/>
    <w:rsid w:val="008E1FBD"/>
    <w:rsid w:val="008E3C3D"/>
    <w:rsid w:val="008E3D4D"/>
    <w:rsid w:val="008E48F1"/>
    <w:rsid w:val="008E6D69"/>
    <w:rsid w:val="008E7029"/>
    <w:rsid w:val="008E77AD"/>
    <w:rsid w:val="008E7DFD"/>
    <w:rsid w:val="008E7EF6"/>
    <w:rsid w:val="008F1F98"/>
    <w:rsid w:val="008F2303"/>
    <w:rsid w:val="008F37A8"/>
    <w:rsid w:val="008F66EA"/>
    <w:rsid w:val="008F6758"/>
    <w:rsid w:val="008F6B84"/>
    <w:rsid w:val="00901E03"/>
    <w:rsid w:val="0090372F"/>
    <w:rsid w:val="009040DD"/>
    <w:rsid w:val="0090466A"/>
    <w:rsid w:val="00904798"/>
    <w:rsid w:val="00905B47"/>
    <w:rsid w:val="00907CE3"/>
    <w:rsid w:val="009102F7"/>
    <w:rsid w:val="0091043F"/>
    <w:rsid w:val="0091331C"/>
    <w:rsid w:val="00914617"/>
    <w:rsid w:val="00916180"/>
    <w:rsid w:val="00917376"/>
    <w:rsid w:val="009205E5"/>
    <w:rsid w:val="00922365"/>
    <w:rsid w:val="00922A11"/>
    <w:rsid w:val="0092483E"/>
    <w:rsid w:val="00924A12"/>
    <w:rsid w:val="00924E4A"/>
    <w:rsid w:val="00924F54"/>
    <w:rsid w:val="00926E66"/>
    <w:rsid w:val="00927136"/>
    <w:rsid w:val="0092734F"/>
    <w:rsid w:val="009279DE"/>
    <w:rsid w:val="00927E33"/>
    <w:rsid w:val="00930116"/>
    <w:rsid w:val="009314F7"/>
    <w:rsid w:val="00931A4B"/>
    <w:rsid w:val="0093214D"/>
    <w:rsid w:val="0093253A"/>
    <w:rsid w:val="00932E1F"/>
    <w:rsid w:val="00933BF1"/>
    <w:rsid w:val="00934B3B"/>
    <w:rsid w:val="009358FF"/>
    <w:rsid w:val="00937B23"/>
    <w:rsid w:val="00937D95"/>
    <w:rsid w:val="0094202F"/>
    <w:rsid w:val="0094212C"/>
    <w:rsid w:val="00942518"/>
    <w:rsid w:val="00946195"/>
    <w:rsid w:val="009476F0"/>
    <w:rsid w:val="00950CDC"/>
    <w:rsid w:val="00952A9F"/>
    <w:rsid w:val="00953EF9"/>
    <w:rsid w:val="00954689"/>
    <w:rsid w:val="00956BC2"/>
    <w:rsid w:val="00957294"/>
    <w:rsid w:val="00957649"/>
    <w:rsid w:val="00960F05"/>
    <w:rsid w:val="009617C9"/>
    <w:rsid w:val="00961C93"/>
    <w:rsid w:val="00964EAC"/>
    <w:rsid w:val="00965324"/>
    <w:rsid w:val="00965AEC"/>
    <w:rsid w:val="00966B9B"/>
    <w:rsid w:val="00966E9A"/>
    <w:rsid w:val="00967A86"/>
    <w:rsid w:val="0097091E"/>
    <w:rsid w:val="009713FE"/>
    <w:rsid w:val="009733D5"/>
    <w:rsid w:val="00973547"/>
    <w:rsid w:val="00973CCB"/>
    <w:rsid w:val="009744D3"/>
    <w:rsid w:val="00974508"/>
    <w:rsid w:val="00974FBD"/>
    <w:rsid w:val="009760D3"/>
    <w:rsid w:val="00976113"/>
    <w:rsid w:val="00976A71"/>
    <w:rsid w:val="00976C94"/>
    <w:rsid w:val="00977132"/>
    <w:rsid w:val="009776B4"/>
    <w:rsid w:val="00980003"/>
    <w:rsid w:val="0098067E"/>
    <w:rsid w:val="00981A4B"/>
    <w:rsid w:val="00981D57"/>
    <w:rsid w:val="00982501"/>
    <w:rsid w:val="0098279A"/>
    <w:rsid w:val="00982D2A"/>
    <w:rsid w:val="009831D0"/>
    <w:rsid w:val="00984A17"/>
    <w:rsid w:val="009854DA"/>
    <w:rsid w:val="00987324"/>
    <w:rsid w:val="009877D3"/>
    <w:rsid w:val="00987899"/>
    <w:rsid w:val="00987DE2"/>
    <w:rsid w:val="00990C3A"/>
    <w:rsid w:val="00991D1E"/>
    <w:rsid w:val="009931E2"/>
    <w:rsid w:val="00993907"/>
    <w:rsid w:val="00994235"/>
    <w:rsid w:val="00994E8F"/>
    <w:rsid w:val="009951AA"/>
    <w:rsid w:val="009951DC"/>
    <w:rsid w:val="00995362"/>
    <w:rsid w:val="009959BB"/>
    <w:rsid w:val="00997158"/>
    <w:rsid w:val="0099781B"/>
    <w:rsid w:val="009A1351"/>
    <w:rsid w:val="009A3A7C"/>
    <w:rsid w:val="009A4292"/>
    <w:rsid w:val="009A6296"/>
    <w:rsid w:val="009B1FD3"/>
    <w:rsid w:val="009B2ADB"/>
    <w:rsid w:val="009B392D"/>
    <w:rsid w:val="009B4667"/>
    <w:rsid w:val="009B5C1C"/>
    <w:rsid w:val="009B603A"/>
    <w:rsid w:val="009C2D0E"/>
    <w:rsid w:val="009C32C4"/>
    <w:rsid w:val="009C3DAC"/>
    <w:rsid w:val="009C42E0"/>
    <w:rsid w:val="009C481E"/>
    <w:rsid w:val="009C4B24"/>
    <w:rsid w:val="009C55FC"/>
    <w:rsid w:val="009C6173"/>
    <w:rsid w:val="009C7ACF"/>
    <w:rsid w:val="009D05DC"/>
    <w:rsid w:val="009D0F5C"/>
    <w:rsid w:val="009D12D9"/>
    <w:rsid w:val="009D13F9"/>
    <w:rsid w:val="009D170B"/>
    <w:rsid w:val="009D2FEF"/>
    <w:rsid w:val="009D3458"/>
    <w:rsid w:val="009D3824"/>
    <w:rsid w:val="009D4E4A"/>
    <w:rsid w:val="009D5362"/>
    <w:rsid w:val="009D5F06"/>
    <w:rsid w:val="009E057C"/>
    <w:rsid w:val="009E1415"/>
    <w:rsid w:val="009E26E8"/>
    <w:rsid w:val="009E30D0"/>
    <w:rsid w:val="009E56B4"/>
    <w:rsid w:val="009E6116"/>
    <w:rsid w:val="009E6251"/>
    <w:rsid w:val="009E66D2"/>
    <w:rsid w:val="009E7563"/>
    <w:rsid w:val="009E7BBC"/>
    <w:rsid w:val="009F0EF0"/>
    <w:rsid w:val="009F13CD"/>
    <w:rsid w:val="009F1BE5"/>
    <w:rsid w:val="009F2B2F"/>
    <w:rsid w:val="009F37C6"/>
    <w:rsid w:val="009F4EBA"/>
    <w:rsid w:val="009F5234"/>
    <w:rsid w:val="009F7703"/>
    <w:rsid w:val="00A00617"/>
    <w:rsid w:val="00A00E0E"/>
    <w:rsid w:val="00A01290"/>
    <w:rsid w:val="00A018E7"/>
    <w:rsid w:val="00A01D58"/>
    <w:rsid w:val="00A02A96"/>
    <w:rsid w:val="00A02E43"/>
    <w:rsid w:val="00A036D8"/>
    <w:rsid w:val="00A065F9"/>
    <w:rsid w:val="00A06D0B"/>
    <w:rsid w:val="00A07F34"/>
    <w:rsid w:val="00A11DAC"/>
    <w:rsid w:val="00A1715B"/>
    <w:rsid w:val="00A17446"/>
    <w:rsid w:val="00A17B21"/>
    <w:rsid w:val="00A2128D"/>
    <w:rsid w:val="00A22154"/>
    <w:rsid w:val="00A22F8A"/>
    <w:rsid w:val="00A245A8"/>
    <w:rsid w:val="00A246F6"/>
    <w:rsid w:val="00A257D7"/>
    <w:rsid w:val="00A25C38"/>
    <w:rsid w:val="00A263E1"/>
    <w:rsid w:val="00A27631"/>
    <w:rsid w:val="00A3079E"/>
    <w:rsid w:val="00A31034"/>
    <w:rsid w:val="00A31B5F"/>
    <w:rsid w:val="00A32629"/>
    <w:rsid w:val="00A330F4"/>
    <w:rsid w:val="00A331CD"/>
    <w:rsid w:val="00A338EB"/>
    <w:rsid w:val="00A36745"/>
    <w:rsid w:val="00A36BBE"/>
    <w:rsid w:val="00A402D7"/>
    <w:rsid w:val="00A4307A"/>
    <w:rsid w:val="00A443B0"/>
    <w:rsid w:val="00A4489A"/>
    <w:rsid w:val="00A47EBB"/>
    <w:rsid w:val="00A519CF"/>
    <w:rsid w:val="00A51AE1"/>
    <w:rsid w:val="00A51CDD"/>
    <w:rsid w:val="00A52733"/>
    <w:rsid w:val="00A52DD6"/>
    <w:rsid w:val="00A53375"/>
    <w:rsid w:val="00A533F7"/>
    <w:rsid w:val="00A55942"/>
    <w:rsid w:val="00A56670"/>
    <w:rsid w:val="00A5682F"/>
    <w:rsid w:val="00A56BE1"/>
    <w:rsid w:val="00A57318"/>
    <w:rsid w:val="00A6228D"/>
    <w:rsid w:val="00A6293F"/>
    <w:rsid w:val="00A642FF"/>
    <w:rsid w:val="00A66940"/>
    <w:rsid w:val="00A6730D"/>
    <w:rsid w:val="00A71625"/>
    <w:rsid w:val="00A71B9B"/>
    <w:rsid w:val="00A724DF"/>
    <w:rsid w:val="00A72B9A"/>
    <w:rsid w:val="00A7388F"/>
    <w:rsid w:val="00A7474C"/>
    <w:rsid w:val="00A751C7"/>
    <w:rsid w:val="00A75A49"/>
    <w:rsid w:val="00A81478"/>
    <w:rsid w:val="00A81EAE"/>
    <w:rsid w:val="00A833C7"/>
    <w:rsid w:val="00A8500B"/>
    <w:rsid w:val="00A87844"/>
    <w:rsid w:val="00A94CAD"/>
    <w:rsid w:val="00A966E3"/>
    <w:rsid w:val="00A97D9C"/>
    <w:rsid w:val="00AA01B8"/>
    <w:rsid w:val="00AA038C"/>
    <w:rsid w:val="00AA27A4"/>
    <w:rsid w:val="00AA39C2"/>
    <w:rsid w:val="00AA44DD"/>
    <w:rsid w:val="00AA4F6D"/>
    <w:rsid w:val="00AA5CC1"/>
    <w:rsid w:val="00AA77E0"/>
    <w:rsid w:val="00AA79B8"/>
    <w:rsid w:val="00AA7A09"/>
    <w:rsid w:val="00AB0549"/>
    <w:rsid w:val="00AB08D4"/>
    <w:rsid w:val="00AB225D"/>
    <w:rsid w:val="00AB3B50"/>
    <w:rsid w:val="00AB4359"/>
    <w:rsid w:val="00AB57C8"/>
    <w:rsid w:val="00AB5CAC"/>
    <w:rsid w:val="00AB7FB2"/>
    <w:rsid w:val="00AC05B1"/>
    <w:rsid w:val="00AC143D"/>
    <w:rsid w:val="00AC1F0D"/>
    <w:rsid w:val="00AC35A7"/>
    <w:rsid w:val="00AC37A8"/>
    <w:rsid w:val="00AC4B41"/>
    <w:rsid w:val="00AC58C8"/>
    <w:rsid w:val="00AC6126"/>
    <w:rsid w:val="00AC7421"/>
    <w:rsid w:val="00AD1FEB"/>
    <w:rsid w:val="00AD249B"/>
    <w:rsid w:val="00AD356C"/>
    <w:rsid w:val="00AD60B5"/>
    <w:rsid w:val="00AD6883"/>
    <w:rsid w:val="00AD6954"/>
    <w:rsid w:val="00AD6DBF"/>
    <w:rsid w:val="00AD7244"/>
    <w:rsid w:val="00AE0CDC"/>
    <w:rsid w:val="00AE0DBA"/>
    <w:rsid w:val="00AE17D9"/>
    <w:rsid w:val="00AE2914"/>
    <w:rsid w:val="00AE45DB"/>
    <w:rsid w:val="00AE6D15"/>
    <w:rsid w:val="00AF3B2E"/>
    <w:rsid w:val="00AF3C75"/>
    <w:rsid w:val="00AF54F9"/>
    <w:rsid w:val="00AF6238"/>
    <w:rsid w:val="00AF6BEA"/>
    <w:rsid w:val="00AF7563"/>
    <w:rsid w:val="00B020EA"/>
    <w:rsid w:val="00B04182"/>
    <w:rsid w:val="00B0438C"/>
    <w:rsid w:val="00B05E80"/>
    <w:rsid w:val="00B06B5F"/>
    <w:rsid w:val="00B06CA5"/>
    <w:rsid w:val="00B06ED8"/>
    <w:rsid w:val="00B07189"/>
    <w:rsid w:val="00B07AE3"/>
    <w:rsid w:val="00B10515"/>
    <w:rsid w:val="00B11430"/>
    <w:rsid w:val="00B126F3"/>
    <w:rsid w:val="00B12E8F"/>
    <w:rsid w:val="00B12E9E"/>
    <w:rsid w:val="00B131AB"/>
    <w:rsid w:val="00B13CA0"/>
    <w:rsid w:val="00B1411F"/>
    <w:rsid w:val="00B150C5"/>
    <w:rsid w:val="00B15654"/>
    <w:rsid w:val="00B15862"/>
    <w:rsid w:val="00B22235"/>
    <w:rsid w:val="00B2339B"/>
    <w:rsid w:val="00B30C54"/>
    <w:rsid w:val="00B313CE"/>
    <w:rsid w:val="00B31D70"/>
    <w:rsid w:val="00B32FCC"/>
    <w:rsid w:val="00B33228"/>
    <w:rsid w:val="00B3350F"/>
    <w:rsid w:val="00B353EB"/>
    <w:rsid w:val="00B35842"/>
    <w:rsid w:val="00B35897"/>
    <w:rsid w:val="00B41177"/>
    <w:rsid w:val="00B433EF"/>
    <w:rsid w:val="00B439C4"/>
    <w:rsid w:val="00B44DEF"/>
    <w:rsid w:val="00B44F51"/>
    <w:rsid w:val="00B4535E"/>
    <w:rsid w:val="00B45FA0"/>
    <w:rsid w:val="00B50A49"/>
    <w:rsid w:val="00B50A86"/>
    <w:rsid w:val="00B512A1"/>
    <w:rsid w:val="00B515A4"/>
    <w:rsid w:val="00B51C50"/>
    <w:rsid w:val="00B51D98"/>
    <w:rsid w:val="00B52A8C"/>
    <w:rsid w:val="00B53662"/>
    <w:rsid w:val="00B54F8E"/>
    <w:rsid w:val="00B61422"/>
    <w:rsid w:val="00B631D5"/>
    <w:rsid w:val="00B636A8"/>
    <w:rsid w:val="00B65D2B"/>
    <w:rsid w:val="00B660CA"/>
    <w:rsid w:val="00B66389"/>
    <w:rsid w:val="00B664C0"/>
    <w:rsid w:val="00B665C6"/>
    <w:rsid w:val="00B67271"/>
    <w:rsid w:val="00B67996"/>
    <w:rsid w:val="00B70D39"/>
    <w:rsid w:val="00B71C6F"/>
    <w:rsid w:val="00B71DA7"/>
    <w:rsid w:val="00B73DF2"/>
    <w:rsid w:val="00B745F4"/>
    <w:rsid w:val="00B755BD"/>
    <w:rsid w:val="00B75DC1"/>
    <w:rsid w:val="00B75E59"/>
    <w:rsid w:val="00B76C6D"/>
    <w:rsid w:val="00B77563"/>
    <w:rsid w:val="00B77CC7"/>
    <w:rsid w:val="00B805AF"/>
    <w:rsid w:val="00B8301A"/>
    <w:rsid w:val="00B8442D"/>
    <w:rsid w:val="00B84730"/>
    <w:rsid w:val="00B8698C"/>
    <w:rsid w:val="00B869EC"/>
    <w:rsid w:val="00B9188A"/>
    <w:rsid w:val="00B9397A"/>
    <w:rsid w:val="00B93F61"/>
    <w:rsid w:val="00B9485F"/>
    <w:rsid w:val="00B956E2"/>
    <w:rsid w:val="00B95BD8"/>
    <w:rsid w:val="00B9633D"/>
    <w:rsid w:val="00BA120F"/>
    <w:rsid w:val="00BA1460"/>
    <w:rsid w:val="00BA2EBE"/>
    <w:rsid w:val="00BA4D75"/>
    <w:rsid w:val="00BA57EA"/>
    <w:rsid w:val="00BA5A5E"/>
    <w:rsid w:val="00BA630C"/>
    <w:rsid w:val="00BA692B"/>
    <w:rsid w:val="00BB0F28"/>
    <w:rsid w:val="00BB10C1"/>
    <w:rsid w:val="00BB1613"/>
    <w:rsid w:val="00BB1D00"/>
    <w:rsid w:val="00BB21ED"/>
    <w:rsid w:val="00BB4303"/>
    <w:rsid w:val="00BB458A"/>
    <w:rsid w:val="00BB4DCD"/>
    <w:rsid w:val="00BB5A5C"/>
    <w:rsid w:val="00BB7DA8"/>
    <w:rsid w:val="00BC08C8"/>
    <w:rsid w:val="00BC2B57"/>
    <w:rsid w:val="00BC2DB0"/>
    <w:rsid w:val="00BC328E"/>
    <w:rsid w:val="00BC3CA4"/>
    <w:rsid w:val="00BC431E"/>
    <w:rsid w:val="00BC43B7"/>
    <w:rsid w:val="00BC4D86"/>
    <w:rsid w:val="00BC5053"/>
    <w:rsid w:val="00BC5333"/>
    <w:rsid w:val="00BC59F4"/>
    <w:rsid w:val="00BC5A38"/>
    <w:rsid w:val="00BD00D3"/>
    <w:rsid w:val="00BD02E7"/>
    <w:rsid w:val="00BD0D41"/>
    <w:rsid w:val="00BD1659"/>
    <w:rsid w:val="00BD18CC"/>
    <w:rsid w:val="00BD2308"/>
    <w:rsid w:val="00BD2A88"/>
    <w:rsid w:val="00BD2A96"/>
    <w:rsid w:val="00BD3AA9"/>
    <w:rsid w:val="00BD4A18"/>
    <w:rsid w:val="00BD4F2B"/>
    <w:rsid w:val="00BD6B86"/>
    <w:rsid w:val="00BD6DB2"/>
    <w:rsid w:val="00BD7186"/>
    <w:rsid w:val="00BD7210"/>
    <w:rsid w:val="00BE103D"/>
    <w:rsid w:val="00BE11CF"/>
    <w:rsid w:val="00BE1295"/>
    <w:rsid w:val="00BE19C8"/>
    <w:rsid w:val="00BE21AB"/>
    <w:rsid w:val="00BE3668"/>
    <w:rsid w:val="00BE3744"/>
    <w:rsid w:val="00BE46DD"/>
    <w:rsid w:val="00BE4CE4"/>
    <w:rsid w:val="00BE55CB"/>
    <w:rsid w:val="00BE55D3"/>
    <w:rsid w:val="00BE754B"/>
    <w:rsid w:val="00BE7B48"/>
    <w:rsid w:val="00BF14F3"/>
    <w:rsid w:val="00BF2A8D"/>
    <w:rsid w:val="00BF38EC"/>
    <w:rsid w:val="00BF617A"/>
    <w:rsid w:val="00BF6DB5"/>
    <w:rsid w:val="00BF7D8C"/>
    <w:rsid w:val="00C0321C"/>
    <w:rsid w:val="00C032DE"/>
    <w:rsid w:val="00C0379D"/>
    <w:rsid w:val="00C03931"/>
    <w:rsid w:val="00C05D58"/>
    <w:rsid w:val="00C05FE3"/>
    <w:rsid w:val="00C0628D"/>
    <w:rsid w:val="00C1010B"/>
    <w:rsid w:val="00C10454"/>
    <w:rsid w:val="00C106A3"/>
    <w:rsid w:val="00C10AC7"/>
    <w:rsid w:val="00C129C6"/>
    <w:rsid w:val="00C14573"/>
    <w:rsid w:val="00C14DBF"/>
    <w:rsid w:val="00C15E54"/>
    <w:rsid w:val="00C16B29"/>
    <w:rsid w:val="00C17BDB"/>
    <w:rsid w:val="00C203AE"/>
    <w:rsid w:val="00C206F1"/>
    <w:rsid w:val="00C20C65"/>
    <w:rsid w:val="00C20DB0"/>
    <w:rsid w:val="00C2136D"/>
    <w:rsid w:val="00C214EE"/>
    <w:rsid w:val="00C22C16"/>
    <w:rsid w:val="00C2314B"/>
    <w:rsid w:val="00C24602"/>
    <w:rsid w:val="00C24971"/>
    <w:rsid w:val="00C24E1D"/>
    <w:rsid w:val="00C256E3"/>
    <w:rsid w:val="00C25A00"/>
    <w:rsid w:val="00C26BE5"/>
    <w:rsid w:val="00C26E4D"/>
    <w:rsid w:val="00C26F8D"/>
    <w:rsid w:val="00C27705"/>
    <w:rsid w:val="00C27909"/>
    <w:rsid w:val="00C27B03"/>
    <w:rsid w:val="00C3005C"/>
    <w:rsid w:val="00C30985"/>
    <w:rsid w:val="00C314E1"/>
    <w:rsid w:val="00C32639"/>
    <w:rsid w:val="00C33F1D"/>
    <w:rsid w:val="00C34397"/>
    <w:rsid w:val="00C34830"/>
    <w:rsid w:val="00C4095D"/>
    <w:rsid w:val="00C413D4"/>
    <w:rsid w:val="00C42685"/>
    <w:rsid w:val="00C437B0"/>
    <w:rsid w:val="00C44971"/>
    <w:rsid w:val="00C44CD5"/>
    <w:rsid w:val="00C45FBE"/>
    <w:rsid w:val="00C46CB4"/>
    <w:rsid w:val="00C5008A"/>
    <w:rsid w:val="00C50C81"/>
    <w:rsid w:val="00C54672"/>
    <w:rsid w:val="00C5533B"/>
    <w:rsid w:val="00C56872"/>
    <w:rsid w:val="00C601D2"/>
    <w:rsid w:val="00C609F3"/>
    <w:rsid w:val="00C61AC6"/>
    <w:rsid w:val="00C61E3B"/>
    <w:rsid w:val="00C62A02"/>
    <w:rsid w:val="00C62DE5"/>
    <w:rsid w:val="00C65B30"/>
    <w:rsid w:val="00C65BCC"/>
    <w:rsid w:val="00C66970"/>
    <w:rsid w:val="00C67C3B"/>
    <w:rsid w:val="00C67DAE"/>
    <w:rsid w:val="00C7202D"/>
    <w:rsid w:val="00C72EC1"/>
    <w:rsid w:val="00C76184"/>
    <w:rsid w:val="00C76D28"/>
    <w:rsid w:val="00C77811"/>
    <w:rsid w:val="00C81C94"/>
    <w:rsid w:val="00C823DE"/>
    <w:rsid w:val="00C829B3"/>
    <w:rsid w:val="00C830ED"/>
    <w:rsid w:val="00C839C8"/>
    <w:rsid w:val="00C83C96"/>
    <w:rsid w:val="00C8691C"/>
    <w:rsid w:val="00C86967"/>
    <w:rsid w:val="00C901BB"/>
    <w:rsid w:val="00C9111D"/>
    <w:rsid w:val="00C91A2A"/>
    <w:rsid w:val="00C948D8"/>
    <w:rsid w:val="00C958DA"/>
    <w:rsid w:val="00C97454"/>
    <w:rsid w:val="00C97709"/>
    <w:rsid w:val="00CA168A"/>
    <w:rsid w:val="00CA23D7"/>
    <w:rsid w:val="00CA357E"/>
    <w:rsid w:val="00CA44F9"/>
    <w:rsid w:val="00CA4A69"/>
    <w:rsid w:val="00CA6E70"/>
    <w:rsid w:val="00CA74CB"/>
    <w:rsid w:val="00CB44D3"/>
    <w:rsid w:val="00CB44D6"/>
    <w:rsid w:val="00CB51D3"/>
    <w:rsid w:val="00CB5AC1"/>
    <w:rsid w:val="00CB5CF3"/>
    <w:rsid w:val="00CB731B"/>
    <w:rsid w:val="00CC2C6C"/>
    <w:rsid w:val="00CC3DC3"/>
    <w:rsid w:val="00CC3E0C"/>
    <w:rsid w:val="00CC47B5"/>
    <w:rsid w:val="00CC4BA0"/>
    <w:rsid w:val="00CC55AB"/>
    <w:rsid w:val="00CC58D3"/>
    <w:rsid w:val="00CC5B04"/>
    <w:rsid w:val="00CC5F9B"/>
    <w:rsid w:val="00CC784D"/>
    <w:rsid w:val="00CD0980"/>
    <w:rsid w:val="00CD1CCB"/>
    <w:rsid w:val="00CD3373"/>
    <w:rsid w:val="00CD41B9"/>
    <w:rsid w:val="00CD5936"/>
    <w:rsid w:val="00CE1330"/>
    <w:rsid w:val="00CE20B1"/>
    <w:rsid w:val="00CE2735"/>
    <w:rsid w:val="00CE2CD5"/>
    <w:rsid w:val="00CE2D99"/>
    <w:rsid w:val="00CE3109"/>
    <w:rsid w:val="00CE3E69"/>
    <w:rsid w:val="00CE490E"/>
    <w:rsid w:val="00CE5922"/>
    <w:rsid w:val="00CE5DD7"/>
    <w:rsid w:val="00CE5E0C"/>
    <w:rsid w:val="00CE69B4"/>
    <w:rsid w:val="00CE7266"/>
    <w:rsid w:val="00CF0DF1"/>
    <w:rsid w:val="00CF1246"/>
    <w:rsid w:val="00CF177B"/>
    <w:rsid w:val="00CF4FA5"/>
    <w:rsid w:val="00CF50D0"/>
    <w:rsid w:val="00D00D41"/>
    <w:rsid w:val="00D00E30"/>
    <w:rsid w:val="00D01C26"/>
    <w:rsid w:val="00D0337B"/>
    <w:rsid w:val="00D079B2"/>
    <w:rsid w:val="00D10392"/>
    <w:rsid w:val="00D114E9"/>
    <w:rsid w:val="00D145EA"/>
    <w:rsid w:val="00D15501"/>
    <w:rsid w:val="00D15532"/>
    <w:rsid w:val="00D16069"/>
    <w:rsid w:val="00D2031F"/>
    <w:rsid w:val="00D20760"/>
    <w:rsid w:val="00D24C89"/>
    <w:rsid w:val="00D25F54"/>
    <w:rsid w:val="00D26CC9"/>
    <w:rsid w:val="00D2743A"/>
    <w:rsid w:val="00D301C1"/>
    <w:rsid w:val="00D306B9"/>
    <w:rsid w:val="00D31C7C"/>
    <w:rsid w:val="00D32143"/>
    <w:rsid w:val="00D327E5"/>
    <w:rsid w:val="00D36545"/>
    <w:rsid w:val="00D36A18"/>
    <w:rsid w:val="00D36F0A"/>
    <w:rsid w:val="00D41C23"/>
    <w:rsid w:val="00D429C6"/>
    <w:rsid w:val="00D46859"/>
    <w:rsid w:val="00D46A65"/>
    <w:rsid w:val="00D46DD5"/>
    <w:rsid w:val="00D47748"/>
    <w:rsid w:val="00D51A64"/>
    <w:rsid w:val="00D51F15"/>
    <w:rsid w:val="00D52344"/>
    <w:rsid w:val="00D537F8"/>
    <w:rsid w:val="00D549C3"/>
    <w:rsid w:val="00D54CC3"/>
    <w:rsid w:val="00D56E03"/>
    <w:rsid w:val="00D574F9"/>
    <w:rsid w:val="00D57977"/>
    <w:rsid w:val="00D6041A"/>
    <w:rsid w:val="00D6300F"/>
    <w:rsid w:val="00D633EB"/>
    <w:rsid w:val="00D642E9"/>
    <w:rsid w:val="00D64834"/>
    <w:rsid w:val="00D655DD"/>
    <w:rsid w:val="00D67FC2"/>
    <w:rsid w:val="00D7134F"/>
    <w:rsid w:val="00D74D15"/>
    <w:rsid w:val="00D751DF"/>
    <w:rsid w:val="00D77DED"/>
    <w:rsid w:val="00D80AC5"/>
    <w:rsid w:val="00D81224"/>
    <w:rsid w:val="00D82FF7"/>
    <w:rsid w:val="00D83722"/>
    <w:rsid w:val="00D847FE"/>
    <w:rsid w:val="00D84902"/>
    <w:rsid w:val="00D857E8"/>
    <w:rsid w:val="00D860C9"/>
    <w:rsid w:val="00D87A3B"/>
    <w:rsid w:val="00D9001B"/>
    <w:rsid w:val="00D923C8"/>
    <w:rsid w:val="00D92F8C"/>
    <w:rsid w:val="00D93662"/>
    <w:rsid w:val="00D95DB4"/>
    <w:rsid w:val="00D964EA"/>
    <w:rsid w:val="00D966D0"/>
    <w:rsid w:val="00D97C12"/>
    <w:rsid w:val="00DA0C59"/>
    <w:rsid w:val="00DA1CC6"/>
    <w:rsid w:val="00DA363F"/>
    <w:rsid w:val="00DA3991"/>
    <w:rsid w:val="00DA3F0A"/>
    <w:rsid w:val="00DA487B"/>
    <w:rsid w:val="00DA6856"/>
    <w:rsid w:val="00DA74C7"/>
    <w:rsid w:val="00DA7BB6"/>
    <w:rsid w:val="00DB0E09"/>
    <w:rsid w:val="00DB3C02"/>
    <w:rsid w:val="00DB466E"/>
    <w:rsid w:val="00DB4D93"/>
    <w:rsid w:val="00DB6C6F"/>
    <w:rsid w:val="00DB6C90"/>
    <w:rsid w:val="00DB6F28"/>
    <w:rsid w:val="00DB7E6C"/>
    <w:rsid w:val="00DC03A8"/>
    <w:rsid w:val="00DC0588"/>
    <w:rsid w:val="00DC1EDB"/>
    <w:rsid w:val="00DC2DF5"/>
    <w:rsid w:val="00DC51A8"/>
    <w:rsid w:val="00DC5FE4"/>
    <w:rsid w:val="00DC7E21"/>
    <w:rsid w:val="00DD0D9C"/>
    <w:rsid w:val="00DD271F"/>
    <w:rsid w:val="00DD3145"/>
    <w:rsid w:val="00DD34DB"/>
    <w:rsid w:val="00DD3753"/>
    <w:rsid w:val="00DD3AC5"/>
    <w:rsid w:val="00DD4191"/>
    <w:rsid w:val="00DD4299"/>
    <w:rsid w:val="00DD42F1"/>
    <w:rsid w:val="00DD4E1D"/>
    <w:rsid w:val="00DD5515"/>
    <w:rsid w:val="00DD5A29"/>
    <w:rsid w:val="00DD5D9D"/>
    <w:rsid w:val="00DD634D"/>
    <w:rsid w:val="00DE0411"/>
    <w:rsid w:val="00DE35CB"/>
    <w:rsid w:val="00DE3D0F"/>
    <w:rsid w:val="00DE40EF"/>
    <w:rsid w:val="00DE5079"/>
    <w:rsid w:val="00DE5EA9"/>
    <w:rsid w:val="00DE6CFA"/>
    <w:rsid w:val="00DE7454"/>
    <w:rsid w:val="00DE7577"/>
    <w:rsid w:val="00DE7EFF"/>
    <w:rsid w:val="00DF21E9"/>
    <w:rsid w:val="00DF259F"/>
    <w:rsid w:val="00DF561F"/>
    <w:rsid w:val="00DF68F5"/>
    <w:rsid w:val="00DF764D"/>
    <w:rsid w:val="00E0032F"/>
    <w:rsid w:val="00E00F14"/>
    <w:rsid w:val="00E01434"/>
    <w:rsid w:val="00E01BAF"/>
    <w:rsid w:val="00E01FB2"/>
    <w:rsid w:val="00E03261"/>
    <w:rsid w:val="00E04522"/>
    <w:rsid w:val="00E06386"/>
    <w:rsid w:val="00E06679"/>
    <w:rsid w:val="00E07077"/>
    <w:rsid w:val="00E075D6"/>
    <w:rsid w:val="00E136F4"/>
    <w:rsid w:val="00E138D6"/>
    <w:rsid w:val="00E13A29"/>
    <w:rsid w:val="00E14224"/>
    <w:rsid w:val="00E14610"/>
    <w:rsid w:val="00E14DD9"/>
    <w:rsid w:val="00E1548A"/>
    <w:rsid w:val="00E17B78"/>
    <w:rsid w:val="00E20C71"/>
    <w:rsid w:val="00E21115"/>
    <w:rsid w:val="00E2416C"/>
    <w:rsid w:val="00E24EB4"/>
    <w:rsid w:val="00E253EE"/>
    <w:rsid w:val="00E26476"/>
    <w:rsid w:val="00E27E44"/>
    <w:rsid w:val="00E310FB"/>
    <w:rsid w:val="00E31D9F"/>
    <w:rsid w:val="00E320ED"/>
    <w:rsid w:val="00E32B62"/>
    <w:rsid w:val="00E334AD"/>
    <w:rsid w:val="00E337BB"/>
    <w:rsid w:val="00E33AFB"/>
    <w:rsid w:val="00E34218"/>
    <w:rsid w:val="00E34868"/>
    <w:rsid w:val="00E34CD6"/>
    <w:rsid w:val="00E371EE"/>
    <w:rsid w:val="00E407C1"/>
    <w:rsid w:val="00E40B07"/>
    <w:rsid w:val="00E46282"/>
    <w:rsid w:val="00E462D7"/>
    <w:rsid w:val="00E47BE3"/>
    <w:rsid w:val="00E50316"/>
    <w:rsid w:val="00E510C2"/>
    <w:rsid w:val="00E51DEA"/>
    <w:rsid w:val="00E5216E"/>
    <w:rsid w:val="00E52625"/>
    <w:rsid w:val="00E52944"/>
    <w:rsid w:val="00E53730"/>
    <w:rsid w:val="00E53EAE"/>
    <w:rsid w:val="00E550F2"/>
    <w:rsid w:val="00E56CF0"/>
    <w:rsid w:val="00E575F0"/>
    <w:rsid w:val="00E57CEC"/>
    <w:rsid w:val="00E64027"/>
    <w:rsid w:val="00E6403B"/>
    <w:rsid w:val="00E64CBC"/>
    <w:rsid w:val="00E659A3"/>
    <w:rsid w:val="00E66EC6"/>
    <w:rsid w:val="00E74145"/>
    <w:rsid w:val="00E754D6"/>
    <w:rsid w:val="00E77741"/>
    <w:rsid w:val="00E77E6A"/>
    <w:rsid w:val="00E800E3"/>
    <w:rsid w:val="00E803C9"/>
    <w:rsid w:val="00E80D24"/>
    <w:rsid w:val="00E82344"/>
    <w:rsid w:val="00E831A1"/>
    <w:rsid w:val="00E8342F"/>
    <w:rsid w:val="00E83F64"/>
    <w:rsid w:val="00E8441D"/>
    <w:rsid w:val="00E84C82"/>
    <w:rsid w:val="00E84D64"/>
    <w:rsid w:val="00E85AD0"/>
    <w:rsid w:val="00E87408"/>
    <w:rsid w:val="00E914C4"/>
    <w:rsid w:val="00E92017"/>
    <w:rsid w:val="00E92AA6"/>
    <w:rsid w:val="00E92E19"/>
    <w:rsid w:val="00E934F5"/>
    <w:rsid w:val="00E96961"/>
    <w:rsid w:val="00EA217B"/>
    <w:rsid w:val="00EA2291"/>
    <w:rsid w:val="00EA5BA3"/>
    <w:rsid w:val="00EA632A"/>
    <w:rsid w:val="00EA72EC"/>
    <w:rsid w:val="00EA7A0B"/>
    <w:rsid w:val="00EB11CB"/>
    <w:rsid w:val="00EB1B7C"/>
    <w:rsid w:val="00EB275A"/>
    <w:rsid w:val="00EB2EA8"/>
    <w:rsid w:val="00EB472A"/>
    <w:rsid w:val="00EB5DEA"/>
    <w:rsid w:val="00EB61A2"/>
    <w:rsid w:val="00EB659B"/>
    <w:rsid w:val="00EB786A"/>
    <w:rsid w:val="00EC011F"/>
    <w:rsid w:val="00EC0455"/>
    <w:rsid w:val="00EC1578"/>
    <w:rsid w:val="00EC1C72"/>
    <w:rsid w:val="00EC2871"/>
    <w:rsid w:val="00EC3CC9"/>
    <w:rsid w:val="00EC4592"/>
    <w:rsid w:val="00EC4C8F"/>
    <w:rsid w:val="00EC6616"/>
    <w:rsid w:val="00EC680A"/>
    <w:rsid w:val="00EC6F0A"/>
    <w:rsid w:val="00EC74D0"/>
    <w:rsid w:val="00ED0272"/>
    <w:rsid w:val="00ED080D"/>
    <w:rsid w:val="00ED0B15"/>
    <w:rsid w:val="00ED0CAA"/>
    <w:rsid w:val="00ED16B3"/>
    <w:rsid w:val="00ED41FF"/>
    <w:rsid w:val="00ED4E86"/>
    <w:rsid w:val="00ED5A9C"/>
    <w:rsid w:val="00ED759D"/>
    <w:rsid w:val="00ED7B7D"/>
    <w:rsid w:val="00EE2BED"/>
    <w:rsid w:val="00EE3017"/>
    <w:rsid w:val="00EE3237"/>
    <w:rsid w:val="00EE374B"/>
    <w:rsid w:val="00EF0E8D"/>
    <w:rsid w:val="00EF3C01"/>
    <w:rsid w:val="00EF4893"/>
    <w:rsid w:val="00EF53DF"/>
    <w:rsid w:val="00EF58D7"/>
    <w:rsid w:val="00EF7432"/>
    <w:rsid w:val="00EF773B"/>
    <w:rsid w:val="00EF7AA8"/>
    <w:rsid w:val="00F004EA"/>
    <w:rsid w:val="00F0055A"/>
    <w:rsid w:val="00F01356"/>
    <w:rsid w:val="00F029E4"/>
    <w:rsid w:val="00F05268"/>
    <w:rsid w:val="00F06E2A"/>
    <w:rsid w:val="00F070CB"/>
    <w:rsid w:val="00F0775C"/>
    <w:rsid w:val="00F108C7"/>
    <w:rsid w:val="00F11439"/>
    <w:rsid w:val="00F11BB5"/>
    <w:rsid w:val="00F11DEF"/>
    <w:rsid w:val="00F13408"/>
    <w:rsid w:val="00F1417B"/>
    <w:rsid w:val="00F158C6"/>
    <w:rsid w:val="00F20742"/>
    <w:rsid w:val="00F20F96"/>
    <w:rsid w:val="00F21A9B"/>
    <w:rsid w:val="00F22A83"/>
    <w:rsid w:val="00F23EDE"/>
    <w:rsid w:val="00F24720"/>
    <w:rsid w:val="00F2513D"/>
    <w:rsid w:val="00F259CA"/>
    <w:rsid w:val="00F27758"/>
    <w:rsid w:val="00F305F4"/>
    <w:rsid w:val="00F329F4"/>
    <w:rsid w:val="00F32B7D"/>
    <w:rsid w:val="00F33AB7"/>
    <w:rsid w:val="00F34B99"/>
    <w:rsid w:val="00F34D1D"/>
    <w:rsid w:val="00F35F96"/>
    <w:rsid w:val="00F40BCE"/>
    <w:rsid w:val="00F4111B"/>
    <w:rsid w:val="00F41D6A"/>
    <w:rsid w:val="00F4290D"/>
    <w:rsid w:val="00F44673"/>
    <w:rsid w:val="00F44790"/>
    <w:rsid w:val="00F455E0"/>
    <w:rsid w:val="00F466A6"/>
    <w:rsid w:val="00F46C23"/>
    <w:rsid w:val="00F5022E"/>
    <w:rsid w:val="00F5134A"/>
    <w:rsid w:val="00F51B0D"/>
    <w:rsid w:val="00F52DAB"/>
    <w:rsid w:val="00F5333D"/>
    <w:rsid w:val="00F538B5"/>
    <w:rsid w:val="00F543F0"/>
    <w:rsid w:val="00F5524C"/>
    <w:rsid w:val="00F55E5C"/>
    <w:rsid w:val="00F55ED3"/>
    <w:rsid w:val="00F56322"/>
    <w:rsid w:val="00F611BA"/>
    <w:rsid w:val="00F6204D"/>
    <w:rsid w:val="00F62943"/>
    <w:rsid w:val="00F635A2"/>
    <w:rsid w:val="00F63C4D"/>
    <w:rsid w:val="00F63D32"/>
    <w:rsid w:val="00F641B7"/>
    <w:rsid w:val="00F64BE0"/>
    <w:rsid w:val="00F66156"/>
    <w:rsid w:val="00F67A45"/>
    <w:rsid w:val="00F70A5D"/>
    <w:rsid w:val="00F70FF8"/>
    <w:rsid w:val="00F726D6"/>
    <w:rsid w:val="00F733F5"/>
    <w:rsid w:val="00F80266"/>
    <w:rsid w:val="00F80CC8"/>
    <w:rsid w:val="00F81D29"/>
    <w:rsid w:val="00F8240A"/>
    <w:rsid w:val="00F842D8"/>
    <w:rsid w:val="00F91B25"/>
    <w:rsid w:val="00F91C4D"/>
    <w:rsid w:val="00F91D53"/>
    <w:rsid w:val="00F92743"/>
    <w:rsid w:val="00F92FD9"/>
    <w:rsid w:val="00F938B5"/>
    <w:rsid w:val="00F9448D"/>
    <w:rsid w:val="00F95114"/>
    <w:rsid w:val="00F960A3"/>
    <w:rsid w:val="00F97002"/>
    <w:rsid w:val="00F973ED"/>
    <w:rsid w:val="00FA272A"/>
    <w:rsid w:val="00FA4841"/>
    <w:rsid w:val="00FA5530"/>
    <w:rsid w:val="00FA60F7"/>
    <w:rsid w:val="00FA6684"/>
    <w:rsid w:val="00FA6E65"/>
    <w:rsid w:val="00FA6E7C"/>
    <w:rsid w:val="00FA731E"/>
    <w:rsid w:val="00FB0C55"/>
    <w:rsid w:val="00FB2B38"/>
    <w:rsid w:val="00FB4A71"/>
    <w:rsid w:val="00FB4E45"/>
    <w:rsid w:val="00FB7817"/>
    <w:rsid w:val="00FC09D1"/>
    <w:rsid w:val="00FC2294"/>
    <w:rsid w:val="00FC2878"/>
    <w:rsid w:val="00FC2C72"/>
    <w:rsid w:val="00FC2E87"/>
    <w:rsid w:val="00FC443F"/>
    <w:rsid w:val="00FC5A20"/>
    <w:rsid w:val="00FC5CFD"/>
    <w:rsid w:val="00FC6358"/>
    <w:rsid w:val="00FC7734"/>
    <w:rsid w:val="00FD0F85"/>
    <w:rsid w:val="00FD1BC9"/>
    <w:rsid w:val="00FD28BC"/>
    <w:rsid w:val="00FD320D"/>
    <w:rsid w:val="00FD42E0"/>
    <w:rsid w:val="00FD47C3"/>
    <w:rsid w:val="00FD5466"/>
    <w:rsid w:val="00FD57F7"/>
    <w:rsid w:val="00FD58A8"/>
    <w:rsid w:val="00FE0397"/>
    <w:rsid w:val="00FE1EE5"/>
    <w:rsid w:val="00FE23DE"/>
    <w:rsid w:val="00FE3CD3"/>
    <w:rsid w:val="00FE5013"/>
    <w:rsid w:val="00FE559E"/>
    <w:rsid w:val="00FE5DA8"/>
    <w:rsid w:val="00FE71A3"/>
    <w:rsid w:val="00FE72B5"/>
    <w:rsid w:val="00FE75A0"/>
    <w:rsid w:val="00FE77E1"/>
    <w:rsid w:val="00FF1993"/>
    <w:rsid w:val="00FF1BAA"/>
    <w:rsid w:val="00FF3169"/>
    <w:rsid w:val="00FF510F"/>
    <w:rsid w:val="00FF6B7E"/>
    <w:rsid w:val="04992A21"/>
    <w:rsid w:val="057B5C57"/>
    <w:rsid w:val="071413A9"/>
    <w:rsid w:val="07A5274F"/>
    <w:rsid w:val="0AC4735A"/>
    <w:rsid w:val="0B0D7A29"/>
    <w:rsid w:val="0BBE4DF8"/>
    <w:rsid w:val="0BD71366"/>
    <w:rsid w:val="124F46F3"/>
    <w:rsid w:val="147B1FD7"/>
    <w:rsid w:val="17C65A3C"/>
    <w:rsid w:val="190C374D"/>
    <w:rsid w:val="1AB70874"/>
    <w:rsid w:val="1B252CD4"/>
    <w:rsid w:val="1D282B92"/>
    <w:rsid w:val="1D927B91"/>
    <w:rsid w:val="2076109D"/>
    <w:rsid w:val="26D217D2"/>
    <w:rsid w:val="27B53AA4"/>
    <w:rsid w:val="27F2328E"/>
    <w:rsid w:val="2C6632A4"/>
    <w:rsid w:val="2CB47116"/>
    <w:rsid w:val="2FBA728B"/>
    <w:rsid w:val="32765FCC"/>
    <w:rsid w:val="33571701"/>
    <w:rsid w:val="343C0754"/>
    <w:rsid w:val="3611646E"/>
    <w:rsid w:val="3BB17130"/>
    <w:rsid w:val="3EF44382"/>
    <w:rsid w:val="3F6B4F37"/>
    <w:rsid w:val="41250249"/>
    <w:rsid w:val="43003087"/>
    <w:rsid w:val="489E0713"/>
    <w:rsid w:val="517C792F"/>
    <w:rsid w:val="532C190B"/>
    <w:rsid w:val="55763B69"/>
    <w:rsid w:val="568B1C8B"/>
    <w:rsid w:val="5955093D"/>
    <w:rsid w:val="5EC56729"/>
    <w:rsid w:val="6148401B"/>
    <w:rsid w:val="62A61BEB"/>
    <w:rsid w:val="68BE670A"/>
    <w:rsid w:val="6920600C"/>
    <w:rsid w:val="69EA7444"/>
    <w:rsid w:val="6BEA2D94"/>
    <w:rsid w:val="6FA0251F"/>
    <w:rsid w:val="703B7A51"/>
    <w:rsid w:val="706E67DF"/>
    <w:rsid w:val="70890169"/>
    <w:rsid w:val="72421D4A"/>
    <w:rsid w:val="73F2002C"/>
    <w:rsid w:val="74361A1C"/>
    <w:rsid w:val="75892998"/>
    <w:rsid w:val="75C8409E"/>
    <w:rsid w:val="776E72DB"/>
    <w:rsid w:val="799501CE"/>
    <w:rsid w:val="7CBC2429"/>
    <w:rsid w:val="7E6E1F88"/>
    <w:rsid w:val="7F0C5642"/>
    <w:rsid w:val="7F4E7027"/>
    <w:rsid w:val="7F972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144"/>
    <w:qFormat/>
    <w:uiPriority w:val="0"/>
    <w:pPr>
      <w:keepNext/>
      <w:keepLines/>
      <w:spacing w:before="340" w:after="330" w:line="578" w:lineRule="auto"/>
      <w:outlineLvl w:val="0"/>
    </w:pPr>
    <w:rPr>
      <w:rFonts w:ascii="Calibri" w:hAnsi="Calibri"/>
      <w:b/>
      <w:bCs/>
      <w:kern w:val="44"/>
      <w:sz w:val="44"/>
      <w:szCs w:val="44"/>
    </w:rPr>
  </w:style>
  <w:style w:type="paragraph" w:styleId="5">
    <w:name w:val="heading 2"/>
    <w:basedOn w:val="1"/>
    <w:next w:val="3"/>
    <w:link w:val="145"/>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175"/>
    <w:semiHidden/>
    <w:unhideWhenUsed/>
    <w:qFormat/>
    <w:uiPriority w:val="0"/>
    <w:pPr>
      <w:keepNext/>
      <w:keepLines/>
      <w:spacing w:before="260" w:after="260" w:line="416" w:lineRule="auto"/>
      <w:outlineLvl w:val="2"/>
    </w:pPr>
    <w:rPr>
      <w:b/>
      <w:bCs/>
      <w:sz w:val="32"/>
      <w:szCs w:val="32"/>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style>
  <w:style w:type="paragraph" w:styleId="7">
    <w:name w:val="toc 7"/>
    <w:basedOn w:val="1"/>
    <w:next w:val="1"/>
    <w:semiHidden/>
    <w:qFormat/>
    <w:uiPriority w:val="0"/>
    <w:pPr>
      <w:tabs>
        <w:tab w:val="right" w:leader="dot" w:pos="9241"/>
      </w:tabs>
      <w:ind w:firstLine="500" w:firstLineChars="500"/>
      <w:jc w:val="left"/>
    </w:pPr>
    <w:rPr>
      <w:rFonts w:ascii="宋体"/>
      <w:szCs w:val="21"/>
    </w:rPr>
  </w:style>
  <w:style w:type="paragraph" w:styleId="8">
    <w:name w:val="index 8"/>
    <w:basedOn w:val="1"/>
    <w:next w:val="1"/>
    <w:qFormat/>
    <w:uiPriority w:val="0"/>
    <w:pPr>
      <w:ind w:left="1680" w:hanging="210"/>
      <w:jc w:val="left"/>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semiHidden/>
    <w:qFormat/>
    <w:uiPriority w:val="0"/>
    <w:pPr>
      <w:shd w:val="clear" w:color="auto" w:fill="000080"/>
    </w:pPr>
  </w:style>
  <w:style w:type="paragraph" w:styleId="12">
    <w:name w:val="annotation text"/>
    <w:basedOn w:val="1"/>
    <w:link w:val="176"/>
    <w:qFormat/>
    <w:uiPriority w:val="0"/>
    <w:pPr>
      <w:jc w:val="left"/>
    </w:pPr>
  </w:style>
  <w:style w:type="paragraph" w:styleId="13">
    <w:name w:val="index 6"/>
    <w:basedOn w:val="1"/>
    <w:next w:val="1"/>
    <w:qFormat/>
    <w:uiPriority w:val="0"/>
    <w:pPr>
      <w:ind w:left="1260" w:hanging="210"/>
      <w:jc w:val="left"/>
    </w:pPr>
    <w:rPr>
      <w:rFonts w:ascii="Calibri" w:hAnsi="Calibri"/>
      <w:sz w:val="20"/>
      <w:szCs w:val="20"/>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0" w:firstLineChars="100"/>
      <w:jc w:val="left"/>
    </w:pPr>
    <w:rPr>
      <w:rFonts w:ascii="宋体"/>
      <w:szCs w:val="21"/>
    </w:rPr>
  </w:style>
  <w:style w:type="paragraph" w:styleId="17">
    <w:name w:val="Plain Text"/>
    <w:basedOn w:val="1"/>
    <w:link w:val="148"/>
    <w:qFormat/>
    <w:uiPriority w:val="0"/>
    <w:rPr>
      <w:rFonts w:ascii="宋体" w:hAnsi="Courier New"/>
      <w:szCs w:val="20"/>
    </w:rPr>
  </w:style>
  <w:style w:type="paragraph" w:styleId="18">
    <w:name w:val="toc 8"/>
    <w:basedOn w:val="1"/>
    <w:next w:val="1"/>
    <w:semiHidden/>
    <w:qFormat/>
    <w:uiPriority w:val="0"/>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Date"/>
    <w:basedOn w:val="1"/>
    <w:next w:val="1"/>
    <w:link w:val="151"/>
    <w:qFormat/>
    <w:uiPriority w:val="0"/>
    <w:pPr>
      <w:ind w:left="100" w:leftChars="2500"/>
    </w:pPr>
  </w:style>
  <w:style w:type="paragraph" w:styleId="21">
    <w:name w:val="endnote text"/>
    <w:basedOn w:val="1"/>
    <w:semiHidden/>
    <w:qFormat/>
    <w:uiPriority w:val="0"/>
    <w:pPr>
      <w:snapToGrid w:val="0"/>
      <w:jc w:val="left"/>
    </w:pPr>
  </w:style>
  <w:style w:type="paragraph" w:styleId="22">
    <w:name w:val="Balloon Text"/>
    <w:basedOn w:val="1"/>
    <w:link w:val="147"/>
    <w:qFormat/>
    <w:uiPriority w:val="0"/>
    <w:rPr>
      <w:sz w:val="18"/>
      <w:szCs w:val="18"/>
    </w:rPr>
  </w:style>
  <w:style w:type="paragraph" w:styleId="23">
    <w:name w:val="footer"/>
    <w:basedOn w:val="1"/>
    <w:link w:val="169"/>
    <w:qFormat/>
    <w:uiPriority w:val="99"/>
    <w:pPr>
      <w:snapToGrid w:val="0"/>
      <w:ind w:right="210" w:rightChars="100"/>
      <w:jc w:val="right"/>
    </w:pPr>
    <w:rPr>
      <w:sz w:val="18"/>
      <w:szCs w:val="18"/>
    </w:rPr>
  </w:style>
  <w:style w:type="paragraph" w:styleId="24">
    <w:name w:val="header"/>
    <w:basedOn w:val="1"/>
    <w:link w:val="178"/>
    <w:qFormat/>
    <w:uiPriority w:val="99"/>
    <w:pPr>
      <w:snapToGrid w:val="0"/>
      <w:jc w:val="left"/>
    </w:pPr>
    <w:rPr>
      <w:sz w:val="18"/>
      <w:szCs w:val="18"/>
    </w:rPr>
  </w:style>
  <w:style w:type="paragraph" w:styleId="25">
    <w:name w:val="toc 1"/>
    <w:basedOn w:val="1"/>
    <w:next w:val="1"/>
    <w:qFormat/>
    <w:uiPriority w:val="39"/>
    <w:pPr>
      <w:tabs>
        <w:tab w:val="right" w:leader="dot" w:pos="9242"/>
      </w:tabs>
      <w:spacing w:line="360" w:lineRule="auto"/>
      <w:jc w:val="left"/>
    </w:pPr>
    <w:rPr>
      <w:rFonts w:ascii="宋体"/>
      <w:szCs w:val="21"/>
    </w:rPr>
  </w:style>
  <w:style w:type="paragraph" w:styleId="26">
    <w:name w:val="toc 4"/>
    <w:basedOn w:val="1"/>
    <w:next w:val="1"/>
    <w:semiHidden/>
    <w:qFormat/>
    <w:uiPriority w:val="0"/>
    <w:pPr>
      <w:tabs>
        <w:tab w:val="right" w:leader="dot" w:pos="9241"/>
      </w:tabs>
      <w:ind w:firstLine="200" w:firstLineChars="200"/>
      <w:jc w:val="left"/>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29"/>
    <w:qFormat/>
    <w:uiPriority w:val="0"/>
    <w:pPr>
      <w:tabs>
        <w:tab w:val="right" w:leader="dot" w:pos="9299"/>
      </w:tabs>
      <w:jc w:val="left"/>
    </w:pPr>
    <w:rPr>
      <w:rFonts w:ascii="宋体"/>
      <w:szCs w:val="21"/>
    </w:rPr>
  </w:style>
  <w:style w:type="paragraph" w:customStyle="1" w:styleId="29">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footnote text"/>
    <w:basedOn w:val="1"/>
    <w:qFormat/>
    <w:uiPriority w:val="0"/>
    <w:pPr>
      <w:numPr>
        <w:ilvl w:val="0"/>
        <w:numId w:val="1"/>
      </w:numPr>
      <w:snapToGrid w:val="0"/>
      <w:jc w:val="left"/>
    </w:pPr>
    <w:rPr>
      <w:rFonts w:ascii="宋体"/>
      <w:sz w:val="18"/>
      <w:szCs w:val="18"/>
    </w:rPr>
  </w:style>
  <w:style w:type="paragraph" w:styleId="31">
    <w:name w:val="toc 6"/>
    <w:basedOn w:val="1"/>
    <w:next w:val="1"/>
    <w:semiHidden/>
    <w:qFormat/>
    <w:uiPriority w:val="0"/>
    <w:pPr>
      <w:tabs>
        <w:tab w:val="right" w:leader="dot" w:pos="9241"/>
      </w:tabs>
      <w:ind w:firstLine="400" w:firstLineChars="400"/>
      <w:jc w:val="left"/>
    </w:pPr>
    <w:rPr>
      <w:rFonts w:ascii="宋体"/>
      <w:szCs w:val="21"/>
    </w:rPr>
  </w:style>
  <w:style w:type="paragraph" w:styleId="32">
    <w:name w:val="Body Text Indent 3"/>
    <w:basedOn w:val="1"/>
    <w:link w:val="174"/>
    <w:qFormat/>
    <w:uiPriority w:val="0"/>
    <w:pPr>
      <w:spacing w:after="120"/>
      <w:ind w:left="420" w:leftChars="200"/>
    </w:pPr>
    <w:rPr>
      <w:sz w:val="16"/>
      <w:szCs w:val="16"/>
    </w:rPr>
  </w:style>
  <w:style w:type="paragraph" w:styleId="33">
    <w:name w:val="index 7"/>
    <w:basedOn w:val="1"/>
    <w:next w:val="1"/>
    <w:qFormat/>
    <w:uiPriority w:val="0"/>
    <w:pPr>
      <w:ind w:left="1470" w:hanging="210"/>
      <w:jc w:val="left"/>
    </w:pPr>
    <w:rPr>
      <w:rFonts w:ascii="Calibri" w:hAnsi="Calibri"/>
      <w:sz w:val="20"/>
      <w:szCs w:val="20"/>
    </w:rPr>
  </w:style>
  <w:style w:type="paragraph" w:styleId="34">
    <w:name w:val="index 9"/>
    <w:basedOn w:val="1"/>
    <w:next w:val="1"/>
    <w:qFormat/>
    <w:uiPriority w:val="0"/>
    <w:pPr>
      <w:ind w:left="1890" w:hanging="210"/>
      <w:jc w:val="left"/>
    </w:pPr>
    <w:rPr>
      <w:rFonts w:ascii="Calibri" w:hAnsi="Calibri"/>
      <w:sz w:val="20"/>
      <w:szCs w:val="20"/>
    </w:rPr>
  </w:style>
  <w:style w:type="paragraph" w:styleId="35">
    <w:name w:val="toc 2"/>
    <w:basedOn w:val="1"/>
    <w:next w:val="1"/>
    <w:qFormat/>
    <w:uiPriority w:val="39"/>
    <w:pPr>
      <w:tabs>
        <w:tab w:val="right" w:leader="dot" w:pos="9242"/>
      </w:tabs>
    </w:pPr>
    <w:rPr>
      <w:rFonts w:ascii="宋体"/>
      <w:szCs w:val="21"/>
    </w:rPr>
  </w:style>
  <w:style w:type="paragraph" w:styleId="36">
    <w:name w:val="toc 9"/>
    <w:basedOn w:val="1"/>
    <w:next w:val="1"/>
    <w:semiHidden/>
    <w:qFormat/>
    <w:uiPriority w:val="0"/>
    <w:pPr>
      <w:ind w:left="1470"/>
      <w:jc w:val="left"/>
    </w:pPr>
    <w:rPr>
      <w:sz w:val="20"/>
      <w:szCs w:val="20"/>
    </w:rPr>
  </w:style>
  <w:style w:type="paragraph" w:styleId="37">
    <w:name w:val="index 2"/>
    <w:basedOn w:val="1"/>
    <w:next w:val="1"/>
    <w:qFormat/>
    <w:uiPriority w:val="0"/>
    <w:pPr>
      <w:ind w:left="420" w:hanging="210"/>
      <w:jc w:val="left"/>
    </w:pPr>
    <w:rPr>
      <w:rFonts w:ascii="Calibri" w:hAnsi="Calibri"/>
      <w:sz w:val="20"/>
      <w:szCs w:val="20"/>
    </w:rPr>
  </w:style>
  <w:style w:type="paragraph" w:styleId="38">
    <w:name w:val="annotation subject"/>
    <w:basedOn w:val="12"/>
    <w:next w:val="12"/>
    <w:link w:val="177"/>
    <w:qFormat/>
    <w:uiPriority w:val="0"/>
    <w:rPr>
      <w:b/>
      <w:bCs/>
    </w:rPr>
  </w:style>
  <w:style w:type="table" w:styleId="40">
    <w:name w:val="Table Grid"/>
    <w:basedOn w:val="39"/>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endnote reference"/>
    <w:basedOn w:val="41"/>
    <w:semiHidden/>
    <w:qFormat/>
    <w:uiPriority w:val="0"/>
    <w:rPr>
      <w:vertAlign w:val="superscript"/>
    </w:rPr>
  </w:style>
  <w:style w:type="character" w:styleId="43">
    <w:name w:val="page number"/>
    <w:basedOn w:val="41"/>
    <w:qFormat/>
    <w:uiPriority w:val="0"/>
    <w:rPr>
      <w:rFonts w:ascii="Times New Roman" w:hAnsi="Times New Roman" w:eastAsia="宋体"/>
      <w:sz w:val="18"/>
    </w:rPr>
  </w:style>
  <w:style w:type="character" w:styleId="44">
    <w:name w:val="FollowedHyperlink"/>
    <w:basedOn w:val="41"/>
    <w:qFormat/>
    <w:uiPriority w:val="0"/>
    <w:rPr>
      <w:color w:val="800080"/>
      <w:u w:val="single"/>
    </w:rPr>
  </w:style>
  <w:style w:type="character" w:styleId="45">
    <w:name w:val="Hyperlink"/>
    <w:basedOn w:val="41"/>
    <w:qFormat/>
    <w:uiPriority w:val="99"/>
    <w:rPr>
      <w:color w:val="0000FF"/>
      <w:spacing w:val="0"/>
      <w:w w:val="100"/>
      <w:szCs w:val="21"/>
      <w:u w:val="single"/>
    </w:rPr>
  </w:style>
  <w:style w:type="character" w:styleId="46">
    <w:name w:val="annotation reference"/>
    <w:basedOn w:val="41"/>
    <w:qFormat/>
    <w:uiPriority w:val="99"/>
    <w:rPr>
      <w:sz w:val="21"/>
      <w:szCs w:val="21"/>
    </w:rPr>
  </w:style>
  <w:style w:type="character" w:styleId="47">
    <w:name w:val="footnote reference"/>
    <w:basedOn w:val="41"/>
    <w:semiHidden/>
    <w:qFormat/>
    <w:uiPriority w:val="0"/>
    <w:rPr>
      <w:vertAlign w:val="superscript"/>
    </w:rPr>
  </w:style>
  <w:style w:type="character" w:customStyle="1" w:styleId="48">
    <w:name w:val="段 Char"/>
    <w:basedOn w:val="41"/>
    <w:link w:val="29"/>
    <w:qFormat/>
    <w:uiPriority w:val="0"/>
    <w:rPr>
      <w:rFonts w:ascii="宋体"/>
      <w:sz w:val="21"/>
      <w:lang w:val="en-US" w:eastAsia="zh-CN" w:bidi="ar-SA"/>
    </w:rPr>
  </w:style>
  <w:style w:type="paragraph" w:customStyle="1" w:styleId="49">
    <w:name w:val="一级条标题"/>
    <w:next w:val="29"/>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2">
    <w:name w:val="章标题"/>
    <w:next w:val="29"/>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3">
    <w:name w:val="二级条标题"/>
    <w:basedOn w:val="49"/>
    <w:next w:val="29"/>
    <w:qFormat/>
    <w:uiPriority w:val="0"/>
    <w:pPr>
      <w:spacing w:before="50" w:after="50"/>
      <w:outlineLvl w:val="3"/>
    </w:pPr>
  </w:style>
  <w:style w:type="paragraph" w:customStyle="1" w:styleId="5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5">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56">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57">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8">
    <w:name w:val="三级条标题"/>
    <w:basedOn w:val="53"/>
    <w:next w:val="29"/>
    <w:qFormat/>
    <w:uiPriority w:val="0"/>
    <w:pPr>
      <w:outlineLvl w:val="4"/>
    </w:pPr>
  </w:style>
  <w:style w:type="paragraph" w:customStyle="1" w:styleId="59">
    <w:name w:val="示例"/>
    <w:next w:val="60"/>
    <w:qFormat/>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2">
    <w:name w:val="四级条标题"/>
    <w:basedOn w:val="58"/>
    <w:next w:val="29"/>
    <w:qFormat/>
    <w:uiPriority w:val="0"/>
    <w:pPr>
      <w:outlineLvl w:val="5"/>
    </w:pPr>
  </w:style>
  <w:style w:type="paragraph" w:customStyle="1" w:styleId="63">
    <w:name w:val="五级条标题"/>
    <w:basedOn w:val="62"/>
    <w:next w:val="29"/>
    <w:qFormat/>
    <w:uiPriority w:val="0"/>
    <w:pPr>
      <w:outlineLvl w:val="6"/>
    </w:pPr>
  </w:style>
  <w:style w:type="paragraph" w:customStyle="1" w:styleId="64">
    <w:name w:val="注："/>
    <w:next w:val="29"/>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65">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6">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7">
    <w:name w:val="列项◆（三级）"/>
    <w:basedOn w:val="1"/>
    <w:qFormat/>
    <w:uiPriority w:val="0"/>
    <w:pPr>
      <w:numPr>
        <w:ilvl w:val="2"/>
        <w:numId w:val="2"/>
      </w:numPr>
    </w:pPr>
    <w:rPr>
      <w:rFonts w:ascii="宋体"/>
      <w:szCs w:val="21"/>
    </w:rPr>
  </w:style>
  <w:style w:type="paragraph" w:customStyle="1" w:styleId="68">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9">
    <w:name w:val="示例×："/>
    <w:basedOn w:val="52"/>
    <w:qFormat/>
    <w:uiPriority w:val="0"/>
    <w:pPr>
      <w:numPr>
        <w:ilvl w:val="0"/>
        <w:numId w:val="7"/>
      </w:numPr>
      <w:spacing w:beforeLines="0" w:afterLines="0"/>
      <w:outlineLvl w:val="9"/>
    </w:pPr>
    <w:rPr>
      <w:rFonts w:ascii="宋体" w:eastAsia="宋体"/>
      <w:sz w:val="18"/>
      <w:szCs w:val="18"/>
    </w:rPr>
  </w:style>
  <w:style w:type="paragraph" w:customStyle="1" w:styleId="70">
    <w:name w:val="二级无"/>
    <w:basedOn w:val="53"/>
    <w:qFormat/>
    <w:uiPriority w:val="0"/>
    <w:pPr>
      <w:spacing w:beforeLines="0" w:afterLines="0"/>
    </w:pPr>
    <w:rPr>
      <w:rFonts w:ascii="宋体" w:eastAsia="宋体"/>
    </w:rPr>
  </w:style>
  <w:style w:type="paragraph" w:customStyle="1" w:styleId="71">
    <w:name w:val="注：（正文）"/>
    <w:basedOn w:val="64"/>
    <w:next w:val="29"/>
    <w:qFormat/>
    <w:uiPriority w:val="0"/>
  </w:style>
  <w:style w:type="paragraph" w:customStyle="1" w:styleId="72">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7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6">
    <w:name w:val="标准书眉_偶数页"/>
    <w:basedOn w:val="51"/>
    <w:next w:val="1"/>
    <w:qFormat/>
    <w:uiPriority w:val="0"/>
    <w:pPr>
      <w:jc w:val="left"/>
    </w:p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参考文献"/>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9">
    <w:name w:val="参考文献、索引标题"/>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0">
    <w:name w:val="发布"/>
    <w:basedOn w:val="41"/>
    <w:qFormat/>
    <w:uiPriority w:val="0"/>
    <w:rPr>
      <w:rFonts w:ascii="黑体" w:eastAsia="黑体"/>
      <w:spacing w:val="85"/>
      <w:w w:val="100"/>
      <w:position w:val="3"/>
      <w:sz w:val="28"/>
      <w:szCs w:val="28"/>
    </w:rPr>
  </w:style>
  <w:style w:type="paragraph" w:customStyle="1" w:styleId="81">
    <w:name w:val="发布部门"/>
    <w:next w:val="2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英文名称"/>
    <w:basedOn w:val="85"/>
    <w:qFormat/>
    <w:uiPriority w:val="0"/>
    <w:pPr>
      <w:framePr w:wrap="around"/>
      <w:spacing w:before="370" w:line="400" w:lineRule="exact"/>
    </w:pPr>
    <w:rPr>
      <w:rFonts w:ascii="Times New Roman"/>
      <w:sz w:val="28"/>
      <w:szCs w:val="28"/>
    </w:rPr>
  </w:style>
  <w:style w:type="paragraph" w:customStyle="1" w:styleId="87">
    <w:name w:val="封面一致性程度标识"/>
    <w:basedOn w:val="86"/>
    <w:qFormat/>
    <w:uiPriority w:val="0"/>
    <w:pPr>
      <w:framePr w:wrap="around"/>
      <w:spacing w:before="440"/>
    </w:pPr>
    <w:rPr>
      <w:rFonts w:ascii="宋体" w:eastAsia="宋体"/>
    </w:rPr>
  </w:style>
  <w:style w:type="paragraph" w:customStyle="1" w:styleId="88">
    <w:name w:val="封面标准文稿类别"/>
    <w:basedOn w:val="87"/>
    <w:qFormat/>
    <w:uiPriority w:val="0"/>
    <w:pPr>
      <w:framePr w:wrap="around"/>
      <w:spacing w:after="160" w:line="240" w:lineRule="auto"/>
    </w:pPr>
    <w:rPr>
      <w:sz w:val="24"/>
    </w:rPr>
  </w:style>
  <w:style w:type="paragraph" w:customStyle="1" w:styleId="89">
    <w:name w:val="封面标准文稿编辑信息"/>
    <w:basedOn w:val="88"/>
    <w:qFormat/>
    <w:uiPriority w:val="0"/>
    <w:pPr>
      <w:framePr w:wrap="around"/>
      <w:spacing w:before="180" w:line="180" w:lineRule="exact"/>
    </w:pPr>
    <w:rPr>
      <w:sz w:val="21"/>
    </w:rPr>
  </w:style>
  <w:style w:type="paragraph" w:customStyle="1" w:styleId="90">
    <w:name w:val="封面正文"/>
    <w:qFormat/>
    <w:uiPriority w:val="0"/>
    <w:pPr>
      <w:jc w:val="both"/>
    </w:pPr>
    <w:rPr>
      <w:rFonts w:ascii="Times New Roman" w:hAnsi="Times New Roman" w:eastAsia="宋体" w:cs="Times New Roman"/>
      <w:lang w:val="en-US" w:eastAsia="zh-CN" w:bidi="ar-SA"/>
    </w:rPr>
  </w:style>
  <w:style w:type="paragraph" w:customStyle="1" w:styleId="91">
    <w:name w:val="附录标识"/>
    <w:basedOn w:val="1"/>
    <w:next w:val="29"/>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2">
    <w:name w:val="附录标题"/>
    <w:basedOn w:val="29"/>
    <w:next w:val="29"/>
    <w:qFormat/>
    <w:uiPriority w:val="0"/>
    <w:pPr>
      <w:ind w:firstLine="0" w:firstLineChars="0"/>
      <w:jc w:val="center"/>
    </w:pPr>
    <w:rPr>
      <w:rFonts w:ascii="黑体" w:eastAsia="黑体"/>
    </w:rPr>
  </w:style>
  <w:style w:type="paragraph" w:customStyle="1" w:styleId="93">
    <w:name w:val="附录表标号"/>
    <w:basedOn w:val="1"/>
    <w:next w:val="29"/>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94">
    <w:name w:val="附录表标题"/>
    <w:basedOn w:val="1"/>
    <w:next w:val="29"/>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95">
    <w:name w:val="附录二级条标题"/>
    <w:basedOn w:val="1"/>
    <w:next w:val="29"/>
    <w:qFormat/>
    <w:uiPriority w:val="0"/>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6">
    <w:name w:val="附录二级无"/>
    <w:basedOn w:val="95"/>
    <w:qFormat/>
    <w:uiPriority w:val="0"/>
    <w:pPr>
      <w:tabs>
        <w:tab w:val="clear" w:pos="360"/>
      </w:tabs>
      <w:spacing w:beforeLines="0" w:afterLines="0"/>
    </w:pPr>
    <w:rPr>
      <w:rFonts w:ascii="宋体" w:eastAsia="宋体"/>
      <w:szCs w:val="21"/>
    </w:rPr>
  </w:style>
  <w:style w:type="paragraph" w:customStyle="1" w:styleId="97">
    <w:name w:val="附录公式"/>
    <w:basedOn w:val="29"/>
    <w:next w:val="29"/>
    <w:link w:val="98"/>
    <w:qFormat/>
    <w:uiPriority w:val="0"/>
  </w:style>
  <w:style w:type="character" w:customStyle="1" w:styleId="98">
    <w:name w:val="附录公式 Char"/>
    <w:basedOn w:val="48"/>
    <w:link w:val="97"/>
    <w:qFormat/>
    <w:uiPriority w:val="0"/>
    <w:rPr>
      <w:rFonts w:ascii="宋体"/>
      <w:sz w:val="21"/>
      <w:lang w:val="en-US" w:eastAsia="zh-CN" w:bidi="ar-SA"/>
    </w:rPr>
  </w:style>
  <w:style w:type="paragraph" w:customStyle="1" w:styleId="99">
    <w:name w:val="附录公式编号制表符"/>
    <w:basedOn w:val="1"/>
    <w:next w:val="29"/>
    <w:qFormat/>
    <w:uiPriority w:val="0"/>
    <w:pPr>
      <w:widowControl/>
      <w:tabs>
        <w:tab w:val="center" w:pos="4201"/>
        <w:tab w:val="right" w:leader="dot" w:pos="9298"/>
      </w:tabs>
      <w:autoSpaceDE w:val="0"/>
      <w:autoSpaceDN w:val="0"/>
    </w:pPr>
    <w:rPr>
      <w:rFonts w:ascii="宋体"/>
      <w:kern w:val="0"/>
      <w:szCs w:val="20"/>
    </w:rPr>
  </w:style>
  <w:style w:type="paragraph" w:customStyle="1" w:styleId="100">
    <w:name w:val="附录三级条标题"/>
    <w:basedOn w:val="95"/>
    <w:next w:val="29"/>
    <w:qFormat/>
    <w:uiPriority w:val="0"/>
    <w:pPr>
      <w:numPr>
        <w:ilvl w:val="4"/>
      </w:numPr>
      <w:outlineLvl w:val="4"/>
    </w:pPr>
  </w:style>
  <w:style w:type="paragraph" w:customStyle="1" w:styleId="101">
    <w:name w:val="附录三级无"/>
    <w:basedOn w:val="100"/>
    <w:qFormat/>
    <w:uiPriority w:val="0"/>
    <w:pPr>
      <w:tabs>
        <w:tab w:val="clear" w:pos="360"/>
      </w:tabs>
      <w:spacing w:beforeLines="0" w:afterLines="0"/>
    </w:pPr>
    <w:rPr>
      <w:rFonts w:ascii="宋体" w:eastAsia="宋体"/>
      <w:szCs w:val="21"/>
    </w:rPr>
  </w:style>
  <w:style w:type="paragraph" w:customStyle="1" w:styleId="102">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103">
    <w:name w:val="附录四级条标题"/>
    <w:basedOn w:val="100"/>
    <w:next w:val="29"/>
    <w:qFormat/>
    <w:uiPriority w:val="0"/>
    <w:pPr>
      <w:numPr>
        <w:ilvl w:val="5"/>
      </w:numPr>
      <w:outlineLvl w:val="5"/>
    </w:pPr>
  </w:style>
  <w:style w:type="paragraph" w:customStyle="1" w:styleId="104">
    <w:name w:val="附录四级无"/>
    <w:basedOn w:val="103"/>
    <w:qFormat/>
    <w:uiPriority w:val="0"/>
    <w:pPr>
      <w:tabs>
        <w:tab w:val="clear" w:pos="360"/>
      </w:tabs>
      <w:spacing w:beforeLines="0" w:afterLines="0"/>
    </w:pPr>
    <w:rPr>
      <w:rFonts w:ascii="宋体" w:eastAsia="宋体"/>
      <w:szCs w:val="21"/>
    </w:rPr>
  </w:style>
  <w:style w:type="paragraph" w:customStyle="1" w:styleId="105">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06">
    <w:name w:val="附录图标题"/>
    <w:basedOn w:val="1"/>
    <w:next w:val="29"/>
    <w:qFormat/>
    <w:uiPriority w:val="0"/>
    <w:pPr>
      <w:numPr>
        <w:ilvl w:val="1"/>
        <w:numId w:val="12"/>
      </w:numPr>
      <w:tabs>
        <w:tab w:val="left" w:pos="363"/>
      </w:tabs>
      <w:spacing w:beforeLines="50" w:afterLines="50"/>
      <w:ind w:left="0" w:firstLine="0"/>
      <w:jc w:val="center"/>
    </w:pPr>
    <w:rPr>
      <w:rFonts w:ascii="黑体" w:eastAsia="黑体"/>
      <w:szCs w:val="21"/>
    </w:rPr>
  </w:style>
  <w:style w:type="paragraph" w:customStyle="1" w:styleId="107">
    <w:name w:val="附录五级条标题"/>
    <w:basedOn w:val="103"/>
    <w:next w:val="29"/>
    <w:qFormat/>
    <w:uiPriority w:val="0"/>
    <w:pPr>
      <w:numPr>
        <w:ilvl w:val="6"/>
      </w:numPr>
      <w:outlineLvl w:val="6"/>
    </w:pPr>
  </w:style>
  <w:style w:type="paragraph" w:customStyle="1" w:styleId="108">
    <w:name w:val="附录五级无"/>
    <w:basedOn w:val="107"/>
    <w:qFormat/>
    <w:uiPriority w:val="0"/>
    <w:pPr>
      <w:tabs>
        <w:tab w:val="clear" w:pos="360"/>
      </w:tabs>
      <w:spacing w:beforeLines="0" w:afterLines="0"/>
    </w:pPr>
    <w:rPr>
      <w:rFonts w:ascii="宋体" w:eastAsia="宋体"/>
      <w:szCs w:val="21"/>
    </w:rPr>
  </w:style>
  <w:style w:type="paragraph" w:customStyle="1" w:styleId="109">
    <w:name w:val="附录章标题"/>
    <w:next w:val="29"/>
    <w:qFormat/>
    <w:uiPriority w:val="0"/>
    <w:pPr>
      <w:numPr>
        <w:ilvl w:val="1"/>
        <w:numId w:val="9"/>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0">
    <w:name w:val="附录一级条标题"/>
    <w:basedOn w:val="109"/>
    <w:next w:val="29"/>
    <w:qFormat/>
    <w:uiPriority w:val="0"/>
    <w:pPr>
      <w:numPr>
        <w:ilvl w:val="2"/>
      </w:numPr>
      <w:autoSpaceDN w:val="0"/>
      <w:spacing w:beforeLines="50" w:afterLines="50"/>
      <w:outlineLvl w:val="2"/>
    </w:pPr>
  </w:style>
  <w:style w:type="paragraph" w:customStyle="1" w:styleId="111">
    <w:name w:val="附录一级无"/>
    <w:basedOn w:val="110"/>
    <w:qFormat/>
    <w:uiPriority w:val="0"/>
    <w:pPr>
      <w:tabs>
        <w:tab w:val="clear" w:pos="360"/>
      </w:tabs>
      <w:spacing w:beforeLines="0" w:afterLines="0"/>
    </w:pPr>
    <w:rPr>
      <w:rFonts w:ascii="宋体" w:eastAsia="宋体"/>
      <w:szCs w:val="21"/>
    </w:rPr>
  </w:style>
  <w:style w:type="paragraph" w:customStyle="1" w:styleId="112">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1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6">
    <w:name w:val="其他标准标志"/>
    <w:basedOn w:val="73"/>
    <w:qFormat/>
    <w:uiPriority w:val="0"/>
    <w:pPr>
      <w:framePr w:w="6101" w:wrap="around" w:vAnchor="page" w:hAnchor="page" w:x="4673" w:y="942"/>
    </w:pPr>
    <w:rPr>
      <w:w w:val="130"/>
    </w:rPr>
  </w:style>
  <w:style w:type="paragraph" w:customStyle="1" w:styleId="1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8">
    <w:name w:val="其他发布部门"/>
    <w:basedOn w:val="81"/>
    <w:qFormat/>
    <w:uiPriority w:val="0"/>
    <w:pPr>
      <w:framePr w:wrap="around" w:y="15310"/>
      <w:spacing w:line="0" w:lineRule="atLeast"/>
    </w:pPr>
    <w:rPr>
      <w:rFonts w:ascii="黑体" w:eastAsia="黑体"/>
      <w:b w:val="0"/>
    </w:rPr>
  </w:style>
  <w:style w:type="paragraph" w:customStyle="1" w:styleId="119">
    <w:name w:val="前言、引言标题"/>
    <w:next w:val="2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三级无"/>
    <w:basedOn w:val="58"/>
    <w:qFormat/>
    <w:uiPriority w:val="0"/>
    <w:pPr>
      <w:spacing w:beforeLines="0" w:afterLines="0"/>
    </w:pPr>
    <w:rPr>
      <w:rFonts w:ascii="宋体" w:eastAsia="宋体"/>
    </w:rPr>
  </w:style>
  <w:style w:type="paragraph" w:customStyle="1" w:styleId="121">
    <w:name w:val="实施日期"/>
    <w:basedOn w:val="82"/>
    <w:qFormat/>
    <w:uiPriority w:val="0"/>
    <w:pPr>
      <w:framePr w:wrap="around" w:vAnchor="page" w:hAnchor="text"/>
      <w:jc w:val="right"/>
    </w:pPr>
  </w:style>
  <w:style w:type="paragraph" w:customStyle="1" w:styleId="122">
    <w:name w:val="示例后文字"/>
    <w:basedOn w:val="29"/>
    <w:next w:val="29"/>
    <w:qFormat/>
    <w:uiPriority w:val="0"/>
    <w:pPr>
      <w:ind w:firstLine="360"/>
    </w:pPr>
    <w:rPr>
      <w:sz w:val="18"/>
    </w:rPr>
  </w:style>
  <w:style w:type="paragraph" w:customStyle="1" w:styleId="123">
    <w:name w:val="首示例"/>
    <w:next w:val="29"/>
    <w:link w:val="124"/>
    <w:qFormat/>
    <w:uiPriority w:val="0"/>
    <w:pPr>
      <w:numPr>
        <w:ilvl w:val="0"/>
        <w:numId w:val="13"/>
      </w:numPr>
      <w:tabs>
        <w:tab w:val="left" w:pos="360"/>
      </w:tabs>
      <w:ind w:firstLine="0"/>
    </w:pPr>
    <w:rPr>
      <w:rFonts w:ascii="宋体" w:hAnsi="宋体" w:eastAsia="宋体" w:cs="Times New Roman"/>
      <w:kern w:val="2"/>
      <w:sz w:val="18"/>
      <w:szCs w:val="18"/>
      <w:lang w:val="en-US" w:eastAsia="zh-CN" w:bidi="ar-SA"/>
    </w:rPr>
  </w:style>
  <w:style w:type="character" w:customStyle="1" w:styleId="124">
    <w:name w:val="首示例 Char"/>
    <w:basedOn w:val="41"/>
    <w:link w:val="123"/>
    <w:qFormat/>
    <w:uiPriority w:val="0"/>
    <w:rPr>
      <w:rFonts w:ascii="宋体" w:hAnsi="宋体"/>
      <w:kern w:val="2"/>
      <w:sz w:val="18"/>
      <w:szCs w:val="18"/>
    </w:rPr>
  </w:style>
  <w:style w:type="paragraph" w:customStyle="1" w:styleId="125">
    <w:name w:val="四级无"/>
    <w:basedOn w:val="62"/>
    <w:qFormat/>
    <w:uiPriority w:val="0"/>
    <w:pPr>
      <w:spacing w:beforeLines="0" w:afterLines="0"/>
    </w:pPr>
    <w:rPr>
      <w:rFonts w:ascii="宋体" w:eastAsia="宋体"/>
    </w:rPr>
  </w:style>
  <w:style w:type="paragraph" w:customStyle="1" w:styleId="126">
    <w:name w:val="条文脚注"/>
    <w:basedOn w:val="30"/>
    <w:qFormat/>
    <w:uiPriority w:val="0"/>
    <w:pPr>
      <w:numPr>
        <w:numId w:val="0"/>
      </w:numPr>
      <w:jc w:val="both"/>
    </w:pPr>
  </w:style>
  <w:style w:type="paragraph" w:customStyle="1" w:styleId="127">
    <w:name w:val="图标脚注说明"/>
    <w:basedOn w:val="29"/>
    <w:qFormat/>
    <w:uiPriority w:val="0"/>
    <w:pPr>
      <w:ind w:left="840" w:hanging="420" w:firstLineChars="0"/>
    </w:pPr>
    <w:rPr>
      <w:sz w:val="18"/>
      <w:szCs w:val="18"/>
    </w:rPr>
  </w:style>
  <w:style w:type="paragraph" w:customStyle="1" w:styleId="128">
    <w:name w:val="图表脚注说明"/>
    <w:basedOn w:val="1"/>
    <w:qFormat/>
    <w:uiPriority w:val="0"/>
    <w:pPr>
      <w:numPr>
        <w:ilvl w:val="0"/>
        <w:numId w:val="14"/>
      </w:numPr>
    </w:pPr>
    <w:rPr>
      <w:rFonts w:ascii="宋体"/>
      <w:sz w:val="18"/>
      <w:szCs w:val="18"/>
    </w:rPr>
  </w:style>
  <w:style w:type="paragraph" w:customStyle="1" w:styleId="129">
    <w:name w:val="图的脚注"/>
    <w:next w:val="2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1">
    <w:name w:val="五级无"/>
    <w:basedOn w:val="63"/>
    <w:qFormat/>
    <w:uiPriority w:val="0"/>
    <w:pPr>
      <w:spacing w:beforeLines="0" w:afterLines="0"/>
    </w:pPr>
    <w:rPr>
      <w:rFonts w:ascii="宋体" w:eastAsia="宋体"/>
    </w:rPr>
  </w:style>
  <w:style w:type="paragraph" w:customStyle="1" w:styleId="132">
    <w:name w:val="一级无"/>
    <w:basedOn w:val="49"/>
    <w:qFormat/>
    <w:uiPriority w:val="0"/>
    <w:pPr>
      <w:spacing w:beforeLines="0" w:afterLines="0"/>
    </w:pPr>
    <w:rPr>
      <w:rFonts w:ascii="宋体" w:eastAsia="宋体"/>
    </w:rPr>
  </w:style>
  <w:style w:type="paragraph" w:customStyle="1" w:styleId="133">
    <w:name w:val="正文表标题"/>
    <w:next w:val="29"/>
    <w:qFormat/>
    <w:uiPriority w:val="0"/>
    <w:pPr>
      <w:numPr>
        <w:ilvl w:val="0"/>
        <w:numId w:val="15"/>
      </w:numPr>
      <w:spacing w:beforeLines="50" w:afterLines="50"/>
      <w:jc w:val="center"/>
    </w:pPr>
    <w:rPr>
      <w:rFonts w:ascii="黑体" w:hAnsi="Times New Roman" w:eastAsia="黑体" w:cs="Times New Roman"/>
      <w:sz w:val="21"/>
      <w:lang w:val="en-US" w:eastAsia="zh-CN" w:bidi="ar-SA"/>
    </w:rPr>
  </w:style>
  <w:style w:type="paragraph" w:customStyle="1" w:styleId="134">
    <w:name w:val="正文公式编号制表符"/>
    <w:basedOn w:val="29"/>
    <w:next w:val="29"/>
    <w:qFormat/>
    <w:uiPriority w:val="0"/>
    <w:pPr>
      <w:ind w:firstLine="0" w:firstLineChars="0"/>
    </w:pPr>
  </w:style>
  <w:style w:type="paragraph" w:customStyle="1" w:styleId="135">
    <w:name w:val="正文图标题"/>
    <w:next w:val="29"/>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6">
    <w:name w:val="终结线"/>
    <w:basedOn w:val="1"/>
    <w:qFormat/>
    <w:uiPriority w:val="0"/>
    <w:pPr>
      <w:framePr w:hSpace="181" w:vSpace="181" w:wrap="around" w:vAnchor="text" w:hAnchor="margin" w:xAlign="center" w:y="285"/>
    </w:pPr>
  </w:style>
  <w:style w:type="paragraph" w:customStyle="1" w:styleId="137">
    <w:name w:val="其他发布日期"/>
    <w:basedOn w:val="82"/>
    <w:qFormat/>
    <w:uiPriority w:val="0"/>
    <w:pPr>
      <w:framePr w:wrap="around" w:vAnchor="page" w:hAnchor="text" w:x="1419"/>
    </w:pPr>
  </w:style>
  <w:style w:type="paragraph" w:customStyle="1" w:styleId="138">
    <w:name w:val="其他实施日期"/>
    <w:basedOn w:val="121"/>
    <w:qFormat/>
    <w:uiPriority w:val="0"/>
    <w:pPr>
      <w:framePr w:wrap="around"/>
    </w:pPr>
  </w:style>
  <w:style w:type="paragraph" w:customStyle="1" w:styleId="139">
    <w:name w:val="封面标准名称2"/>
    <w:basedOn w:val="85"/>
    <w:qFormat/>
    <w:uiPriority w:val="0"/>
    <w:pPr>
      <w:framePr w:wrap="around" w:y="4469"/>
      <w:spacing w:beforeLines="630"/>
    </w:pPr>
  </w:style>
  <w:style w:type="paragraph" w:customStyle="1" w:styleId="140">
    <w:name w:val="封面标准英文名称2"/>
    <w:basedOn w:val="86"/>
    <w:qFormat/>
    <w:uiPriority w:val="0"/>
    <w:pPr>
      <w:framePr w:wrap="around" w:y="4469"/>
    </w:pPr>
  </w:style>
  <w:style w:type="paragraph" w:customStyle="1" w:styleId="141">
    <w:name w:val="封面一致性程度标识2"/>
    <w:basedOn w:val="87"/>
    <w:qFormat/>
    <w:uiPriority w:val="0"/>
    <w:pPr>
      <w:framePr w:wrap="around" w:y="4469"/>
    </w:pPr>
  </w:style>
  <w:style w:type="paragraph" w:customStyle="1" w:styleId="142">
    <w:name w:val="封面标准文稿类别2"/>
    <w:basedOn w:val="88"/>
    <w:qFormat/>
    <w:uiPriority w:val="0"/>
    <w:pPr>
      <w:framePr w:wrap="around" w:y="4469"/>
    </w:pPr>
  </w:style>
  <w:style w:type="paragraph" w:customStyle="1" w:styleId="143">
    <w:name w:val="封面标准文稿编辑信息2"/>
    <w:basedOn w:val="89"/>
    <w:qFormat/>
    <w:uiPriority w:val="0"/>
    <w:pPr>
      <w:framePr w:wrap="around" w:y="4469"/>
    </w:pPr>
  </w:style>
  <w:style w:type="character" w:customStyle="1" w:styleId="144">
    <w:name w:val="标题 1 字符"/>
    <w:basedOn w:val="41"/>
    <w:link w:val="2"/>
    <w:qFormat/>
    <w:locked/>
    <w:uiPriority w:val="0"/>
    <w:rPr>
      <w:rFonts w:ascii="Calibri" w:hAnsi="Calibri" w:eastAsia="宋体"/>
      <w:b/>
      <w:bCs/>
      <w:kern w:val="44"/>
      <w:sz w:val="44"/>
      <w:szCs w:val="44"/>
      <w:lang w:val="en-US" w:eastAsia="zh-CN" w:bidi="ar-SA"/>
    </w:rPr>
  </w:style>
  <w:style w:type="character" w:customStyle="1" w:styleId="145">
    <w:name w:val="标题 2 字符"/>
    <w:basedOn w:val="41"/>
    <w:link w:val="5"/>
    <w:semiHidden/>
    <w:qFormat/>
    <w:locked/>
    <w:uiPriority w:val="0"/>
    <w:rPr>
      <w:rFonts w:ascii="Cambria" w:hAnsi="Cambria" w:eastAsia="宋体"/>
      <w:b/>
      <w:bCs/>
      <w:kern w:val="2"/>
      <w:sz w:val="32"/>
      <w:szCs w:val="32"/>
      <w:lang w:val="en-US" w:eastAsia="zh-CN" w:bidi="ar-SA"/>
    </w:rPr>
  </w:style>
  <w:style w:type="paragraph" w:customStyle="1" w:styleId="146">
    <w:name w:val="正文表格"/>
    <w:basedOn w:val="1"/>
    <w:qFormat/>
    <w:uiPriority w:val="0"/>
    <w:pPr>
      <w:jc w:val="center"/>
    </w:pPr>
    <w:rPr>
      <w:rFonts w:ascii="宋体" w:hAnsi="宋体"/>
      <w:szCs w:val="22"/>
    </w:rPr>
  </w:style>
  <w:style w:type="character" w:customStyle="1" w:styleId="147">
    <w:name w:val="批注框文本 字符"/>
    <w:basedOn w:val="41"/>
    <w:link w:val="22"/>
    <w:qFormat/>
    <w:uiPriority w:val="0"/>
    <w:rPr>
      <w:kern w:val="2"/>
      <w:sz w:val="18"/>
      <w:szCs w:val="18"/>
    </w:rPr>
  </w:style>
  <w:style w:type="character" w:customStyle="1" w:styleId="148">
    <w:name w:val="纯文本 字符"/>
    <w:basedOn w:val="41"/>
    <w:link w:val="17"/>
    <w:qFormat/>
    <w:uiPriority w:val="0"/>
    <w:rPr>
      <w:rFonts w:ascii="宋体" w:hAnsi="Courier New"/>
      <w:kern w:val="2"/>
      <w:sz w:val="21"/>
    </w:rPr>
  </w:style>
  <w:style w:type="paragraph" w:customStyle="1" w:styleId="149">
    <w:name w:val="正文文本 21"/>
    <w:basedOn w:val="1"/>
    <w:qFormat/>
    <w:uiPriority w:val="0"/>
    <w:pPr>
      <w:adjustRightInd w:val="0"/>
      <w:ind w:firstLine="510"/>
      <w:jc w:val="left"/>
      <w:textAlignment w:val="baseline"/>
    </w:pPr>
    <w:rPr>
      <w:rFonts w:eastAsia="@幼圆"/>
      <w:sz w:val="32"/>
      <w:szCs w:val="20"/>
    </w:rPr>
  </w:style>
  <w:style w:type="paragraph" w:customStyle="1" w:styleId="150">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51">
    <w:name w:val="日期 字符"/>
    <w:basedOn w:val="41"/>
    <w:link w:val="20"/>
    <w:qFormat/>
    <w:uiPriority w:val="0"/>
    <w:rPr>
      <w:kern w:val="2"/>
      <w:sz w:val="21"/>
      <w:szCs w:val="24"/>
    </w:rPr>
  </w:style>
  <w:style w:type="paragraph" w:customStyle="1" w:styleId="152">
    <w:name w:val="表格"/>
    <w:next w:val="1"/>
    <w:link w:val="153"/>
    <w:qFormat/>
    <w:uiPriority w:val="0"/>
    <w:pPr>
      <w:widowControl w:val="0"/>
      <w:adjustRightInd w:val="0"/>
      <w:jc w:val="center"/>
    </w:pPr>
    <w:rPr>
      <w:rFonts w:ascii="宋体" w:hAnsi="宋体" w:eastAsia="宋体" w:cs="Times New Roman"/>
      <w:kern w:val="2"/>
      <w:sz w:val="21"/>
      <w:szCs w:val="21"/>
      <w:lang w:val="en-US" w:eastAsia="zh-CN" w:bidi="ar-SA"/>
    </w:rPr>
  </w:style>
  <w:style w:type="character" w:customStyle="1" w:styleId="153">
    <w:name w:val="表格 Char"/>
    <w:basedOn w:val="41"/>
    <w:link w:val="152"/>
    <w:qFormat/>
    <w:locked/>
    <w:uiPriority w:val="0"/>
    <w:rPr>
      <w:rFonts w:ascii="宋体" w:hAnsi="宋体"/>
      <w:kern w:val="2"/>
      <w:sz w:val="21"/>
      <w:szCs w:val="21"/>
      <w:lang w:val="en-US" w:eastAsia="zh-CN" w:bidi="ar-SA"/>
    </w:rPr>
  </w:style>
  <w:style w:type="paragraph" w:customStyle="1" w:styleId="154">
    <w:name w:val="样式 首行缩进:  2 字符"/>
    <w:basedOn w:val="1"/>
    <w:link w:val="164"/>
    <w:qFormat/>
    <w:uiPriority w:val="0"/>
    <w:pPr>
      <w:widowControl/>
      <w:spacing w:line="520" w:lineRule="exact"/>
      <w:ind w:firstLine="240" w:firstLineChars="100"/>
    </w:pPr>
    <w:rPr>
      <w:rFonts w:ascii="宋体" w:hAnsi="宋体" w:cs="宋体"/>
      <w:sz w:val="24"/>
    </w:rPr>
  </w:style>
  <w:style w:type="paragraph" w:customStyle="1" w:styleId="155">
    <w:name w:val="正文11"/>
    <w:basedOn w:val="1"/>
    <w:link w:val="156"/>
    <w:qFormat/>
    <w:uiPriority w:val="0"/>
    <w:pPr>
      <w:widowControl/>
    </w:pPr>
    <w:rPr>
      <w:rFonts w:ascii="宋体" w:hAnsi="宋体"/>
      <w:szCs w:val="21"/>
    </w:rPr>
  </w:style>
  <w:style w:type="character" w:customStyle="1" w:styleId="156">
    <w:name w:val="正文1 Char"/>
    <w:basedOn w:val="41"/>
    <w:link w:val="155"/>
    <w:qFormat/>
    <w:locked/>
    <w:uiPriority w:val="0"/>
    <w:rPr>
      <w:rFonts w:ascii="宋体" w:hAnsi="宋体"/>
      <w:kern w:val="2"/>
      <w:sz w:val="21"/>
      <w:szCs w:val="21"/>
    </w:rPr>
  </w:style>
  <w:style w:type="paragraph" w:customStyle="1" w:styleId="157">
    <w:name w:val="公式"/>
    <w:basedOn w:val="1"/>
    <w:link w:val="158"/>
    <w:qFormat/>
    <w:uiPriority w:val="0"/>
    <w:pPr>
      <w:widowControl/>
      <w:spacing w:line="360" w:lineRule="auto"/>
      <w:ind w:right="480"/>
      <w:jc w:val="right"/>
    </w:pPr>
    <w:rPr>
      <w:b/>
      <w:sz w:val="24"/>
    </w:rPr>
  </w:style>
  <w:style w:type="character" w:customStyle="1" w:styleId="158">
    <w:name w:val="公式 Char"/>
    <w:basedOn w:val="41"/>
    <w:link w:val="157"/>
    <w:qFormat/>
    <w:uiPriority w:val="0"/>
    <w:rPr>
      <w:b/>
      <w:kern w:val="2"/>
      <w:sz w:val="24"/>
      <w:szCs w:val="24"/>
    </w:rPr>
  </w:style>
  <w:style w:type="paragraph" w:customStyle="1" w:styleId="159">
    <w:name w:val="样式 表格 + 宋体"/>
    <w:basedOn w:val="152"/>
    <w:link w:val="160"/>
    <w:qFormat/>
    <w:uiPriority w:val="0"/>
    <w:pPr>
      <w:framePr w:hSpace="180" w:wrap="around" w:vAnchor="text" w:hAnchor="margin" w:xAlign="center" w:y="98"/>
      <w:spacing w:line="360" w:lineRule="auto"/>
    </w:pPr>
    <w:rPr>
      <w:szCs w:val="24"/>
    </w:rPr>
  </w:style>
  <w:style w:type="character" w:customStyle="1" w:styleId="160">
    <w:name w:val="样式 表格 + 宋体 Char"/>
    <w:basedOn w:val="153"/>
    <w:link w:val="159"/>
    <w:qFormat/>
    <w:uiPriority w:val="0"/>
    <w:rPr>
      <w:rFonts w:ascii="宋体" w:hAnsi="宋体"/>
      <w:kern w:val="2"/>
      <w:sz w:val="21"/>
      <w:szCs w:val="24"/>
      <w:lang w:val="en-US" w:eastAsia="zh-CN" w:bidi="ar-SA"/>
    </w:rPr>
  </w:style>
  <w:style w:type="paragraph" w:customStyle="1" w:styleId="161">
    <w:name w:val="样式 样式 表名 + (西文) 宋体 (中文) 宋体 + (中文) 宋体"/>
    <w:basedOn w:val="1"/>
    <w:link w:val="162"/>
    <w:qFormat/>
    <w:uiPriority w:val="0"/>
    <w:pPr>
      <w:spacing w:line="240" w:lineRule="atLeast"/>
      <w:jc w:val="center"/>
    </w:pPr>
    <w:rPr>
      <w:rFonts w:ascii="Calibri" w:hAnsi="Calibri" w:eastAsia="Times New Roman" w:cs="宋体"/>
      <w:b/>
      <w:bCs/>
      <w:sz w:val="24"/>
      <w:szCs w:val="21"/>
    </w:rPr>
  </w:style>
  <w:style w:type="character" w:customStyle="1" w:styleId="162">
    <w:name w:val="样式 样式 表名 + (西文) 宋体 (中文) 宋体 + (中文) 宋体 Char"/>
    <w:basedOn w:val="41"/>
    <w:link w:val="161"/>
    <w:qFormat/>
    <w:uiPriority w:val="0"/>
    <w:rPr>
      <w:rFonts w:ascii="Calibri" w:hAnsi="Calibri" w:eastAsia="Times New Roman" w:cs="宋体"/>
      <w:b/>
      <w:bCs/>
      <w:kern w:val="2"/>
      <w:sz w:val="24"/>
      <w:szCs w:val="21"/>
    </w:rPr>
  </w:style>
  <w:style w:type="paragraph" w:customStyle="1" w:styleId="163">
    <w:name w:val="样式 样式 样式 表名 + (西文) 宋体 (中文) 宋体 + (中文) 宋体 + (西文) Times New Roman ..."/>
    <w:basedOn w:val="161"/>
    <w:qFormat/>
    <w:uiPriority w:val="0"/>
    <w:pPr>
      <w:adjustRightInd w:val="0"/>
      <w:snapToGrid w:val="0"/>
      <w:spacing w:line="360" w:lineRule="auto"/>
    </w:pPr>
    <w:rPr>
      <w:rFonts w:ascii="宋体" w:hAnsi="宋体" w:eastAsia="宋体" w:cs="Times New Roman"/>
      <w:szCs w:val="24"/>
    </w:rPr>
  </w:style>
  <w:style w:type="character" w:customStyle="1" w:styleId="164">
    <w:name w:val="样式 首行缩进:  2 字符 Char"/>
    <w:basedOn w:val="41"/>
    <w:link w:val="154"/>
    <w:qFormat/>
    <w:uiPriority w:val="0"/>
    <w:rPr>
      <w:rFonts w:ascii="宋体" w:hAnsi="宋体" w:cs="宋体"/>
      <w:kern w:val="2"/>
      <w:sz w:val="24"/>
      <w:szCs w:val="24"/>
    </w:rPr>
  </w:style>
  <w:style w:type="paragraph" w:customStyle="1" w:styleId="165">
    <w:name w:val="表格22"/>
    <w:basedOn w:val="1"/>
    <w:link w:val="166"/>
    <w:qFormat/>
    <w:uiPriority w:val="0"/>
    <w:pPr>
      <w:spacing w:line="360" w:lineRule="auto"/>
      <w:jc w:val="center"/>
    </w:pPr>
    <w:rPr>
      <w:b/>
      <w:szCs w:val="21"/>
    </w:rPr>
  </w:style>
  <w:style w:type="character" w:customStyle="1" w:styleId="166">
    <w:name w:val="表格22 Char"/>
    <w:basedOn w:val="41"/>
    <w:link w:val="165"/>
    <w:qFormat/>
    <w:uiPriority w:val="0"/>
    <w:rPr>
      <w:b/>
      <w:kern w:val="2"/>
      <w:sz w:val="21"/>
      <w:szCs w:val="21"/>
    </w:rPr>
  </w:style>
  <w:style w:type="paragraph" w:customStyle="1" w:styleId="167">
    <w:name w:val="样式 表名 + 宋体1"/>
    <w:basedOn w:val="1"/>
    <w:link w:val="168"/>
    <w:qFormat/>
    <w:uiPriority w:val="0"/>
    <w:pPr>
      <w:widowControl/>
      <w:spacing w:line="240" w:lineRule="atLeast"/>
      <w:jc w:val="center"/>
    </w:pPr>
    <w:rPr>
      <w:rFonts w:cs="宋体"/>
      <w:bCs/>
      <w:szCs w:val="21"/>
    </w:rPr>
  </w:style>
  <w:style w:type="character" w:customStyle="1" w:styleId="168">
    <w:name w:val="样式 表名 + 宋体1 Char"/>
    <w:basedOn w:val="41"/>
    <w:link w:val="167"/>
    <w:qFormat/>
    <w:locked/>
    <w:uiPriority w:val="0"/>
    <w:rPr>
      <w:rFonts w:cs="宋体"/>
      <w:bCs/>
      <w:kern w:val="2"/>
      <w:sz w:val="21"/>
      <w:szCs w:val="21"/>
    </w:rPr>
  </w:style>
  <w:style w:type="character" w:customStyle="1" w:styleId="169">
    <w:name w:val="页脚 字符"/>
    <w:basedOn w:val="41"/>
    <w:link w:val="23"/>
    <w:qFormat/>
    <w:uiPriority w:val="99"/>
    <w:rPr>
      <w:kern w:val="2"/>
      <w:sz w:val="18"/>
      <w:szCs w:val="18"/>
    </w:rPr>
  </w:style>
  <w:style w:type="paragraph" w:customStyle="1" w:styleId="170">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171">
    <w:name w:val="font61"/>
    <w:basedOn w:val="41"/>
    <w:qFormat/>
    <w:uiPriority w:val="0"/>
    <w:rPr>
      <w:rFonts w:hint="eastAsia" w:ascii="宋体" w:hAnsi="宋体" w:eastAsia="宋体" w:cs="宋体"/>
      <w:color w:val="auto"/>
      <w:sz w:val="24"/>
      <w:szCs w:val="24"/>
      <w:u w:val="none"/>
    </w:rPr>
  </w:style>
  <w:style w:type="character" w:customStyle="1" w:styleId="172">
    <w:name w:val="font71"/>
    <w:basedOn w:val="41"/>
    <w:qFormat/>
    <w:uiPriority w:val="0"/>
    <w:rPr>
      <w:rFonts w:hint="default" w:ascii="Times New Roman" w:hAnsi="Times New Roman" w:cs="Times New Roman"/>
      <w:color w:val="auto"/>
      <w:sz w:val="21"/>
      <w:szCs w:val="21"/>
      <w:u w:val="none"/>
    </w:rPr>
  </w:style>
  <w:style w:type="paragraph" w:customStyle="1" w:styleId="173">
    <w:name w:val="简单回函地址"/>
    <w:basedOn w:val="1"/>
    <w:qFormat/>
    <w:uiPriority w:val="0"/>
  </w:style>
  <w:style w:type="character" w:customStyle="1" w:styleId="174">
    <w:name w:val="正文文本缩进 3 字符"/>
    <w:basedOn w:val="41"/>
    <w:link w:val="32"/>
    <w:qFormat/>
    <w:uiPriority w:val="0"/>
    <w:rPr>
      <w:kern w:val="2"/>
      <w:sz w:val="16"/>
      <w:szCs w:val="16"/>
    </w:rPr>
  </w:style>
  <w:style w:type="character" w:customStyle="1" w:styleId="175">
    <w:name w:val="标题 3 字符"/>
    <w:basedOn w:val="41"/>
    <w:link w:val="6"/>
    <w:semiHidden/>
    <w:qFormat/>
    <w:uiPriority w:val="0"/>
    <w:rPr>
      <w:b/>
      <w:bCs/>
      <w:kern w:val="2"/>
      <w:sz w:val="32"/>
      <w:szCs w:val="32"/>
    </w:rPr>
  </w:style>
  <w:style w:type="character" w:customStyle="1" w:styleId="176">
    <w:name w:val="批注文字 字符"/>
    <w:basedOn w:val="41"/>
    <w:link w:val="12"/>
    <w:qFormat/>
    <w:uiPriority w:val="0"/>
    <w:rPr>
      <w:kern w:val="2"/>
      <w:sz w:val="21"/>
      <w:szCs w:val="24"/>
    </w:rPr>
  </w:style>
  <w:style w:type="character" w:customStyle="1" w:styleId="177">
    <w:name w:val="批注主题 字符"/>
    <w:basedOn w:val="176"/>
    <w:link w:val="38"/>
    <w:qFormat/>
    <w:uiPriority w:val="0"/>
    <w:rPr>
      <w:b/>
      <w:bCs/>
      <w:kern w:val="2"/>
      <w:sz w:val="21"/>
      <w:szCs w:val="24"/>
    </w:rPr>
  </w:style>
  <w:style w:type="character" w:customStyle="1" w:styleId="178">
    <w:name w:val="页眉 字符"/>
    <w:basedOn w:val="41"/>
    <w:link w:val="24"/>
    <w:qFormat/>
    <w:uiPriority w:val="99"/>
    <w:rPr>
      <w:kern w:val="2"/>
      <w:sz w:val="18"/>
      <w:szCs w:val="18"/>
    </w:rPr>
  </w:style>
  <w:style w:type="character" w:customStyle="1" w:styleId="179">
    <w:name w:val="fontstyle01"/>
    <w:basedOn w:val="41"/>
    <w:qFormat/>
    <w:uiPriority w:val="0"/>
    <w:rPr>
      <w:rFonts w:hint="eastAsia" w:ascii="宋体" w:hAnsi="宋体" w:eastAsia="宋体"/>
      <w:color w:val="000000"/>
      <w:sz w:val="22"/>
      <w:szCs w:val="22"/>
    </w:rPr>
  </w:style>
  <w:style w:type="character" w:customStyle="1" w:styleId="180">
    <w:name w:val="fontstyle21"/>
    <w:basedOn w:val="41"/>
    <w:qFormat/>
    <w:uiPriority w:val="0"/>
    <w:rPr>
      <w:rFonts w:hint="default" w:ascii="Times New Roman" w:hAnsi="Times New Roman" w:cs="Times New Roman"/>
      <w:color w:val="000000"/>
      <w:sz w:val="22"/>
      <w:szCs w:val="22"/>
    </w:rPr>
  </w:style>
  <w:style w:type="character" w:customStyle="1" w:styleId="181">
    <w:name w:val="fontstyle31"/>
    <w:basedOn w:val="41"/>
    <w:qFormat/>
    <w:uiPriority w:val="0"/>
    <w:rPr>
      <w:rFonts w:hint="default" w:ascii="Symbol" w:hAnsi="Symbol"/>
      <w:color w:val="000000"/>
      <w:sz w:val="144"/>
      <w:szCs w:val="144"/>
    </w:rPr>
  </w:style>
  <w:style w:type="character" w:customStyle="1" w:styleId="182">
    <w:name w:val="表格5号字 Char"/>
    <w:link w:val="183"/>
    <w:qFormat/>
    <w:uiPriority w:val="0"/>
    <w:rPr>
      <w:rFonts w:cs="宋体"/>
      <w:szCs w:val="24"/>
      <w:lang w:val="en-GB"/>
    </w:rPr>
  </w:style>
  <w:style w:type="paragraph" w:customStyle="1" w:styleId="183">
    <w:name w:val="表格5号字"/>
    <w:basedOn w:val="1"/>
    <w:link w:val="182"/>
    <w:qFormat/>
    <w:uiPriority w:val="0"/>
    <w:pPr>
      <w:adjustRightInd w:val="0"/>
      <w:snapToGrid w:val="0"/>
      <w:jc w:val="center"/>
    </w:pPr>
    <w:rPr>
      <w:rFonts w:cs="宋体"/>
      <w:kern w:val="0"/>
      <w:sz w:val="20"/>
      <w:lang w:val="en-GB"/>
    </w:rPr>
  </w:style>
  <w:style w:type="character" w:customStyle="1" w:styleId="184">
    <w:name w:val="表格标题行 字符"/>
    <w:link w:val="185"/>
    <w:qFormat/>
    <w:uiPriority w:val="0"/>
    <w:rPr>
      <w:rFonts w:cs="宋体"/>
      <w:b/>
      <w:szCs w:val="24"/>
      <w:lang w:val="en-GB"/>
    </w:rPr>
  </w:style>
  <w:style w:type="paragraph" w:customStyle="1" w:styleId="185">
    <w:name w:val="表格标题行"/>
    <w:basedOn w:val="183"/>
    <w:link w:val="184"/>
    <w:qFormat/>
    <w:uiPriority w:val="0"/>
    <w:rPr>
      <w:b/>
    </w:rPr>
  </w:style>
  <w:style w:type="paragraph" w:styleId="18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87">
    <w:name w:val="正文段落"/>
    <w:basedOn w:val="1"/>
    <w:link w:val="188"/>
    <w:qFormat/>
    <w:uiPriority w:val="0"/>
    <w:pPr>
      <w:widowControl/>
      <w:spacing w:line="312" w:lineRule="auto"/>
      <w:ind w:firstLine="480" w:firstLineChars="200"/>
    </w:pPr>
    <w:rPr>
      <w:rFonts w:cstheme="minorBidi"/>
      <w:szCs w:val="21"/>
    </w:rPr>
  </w:style>
  <w:style w:type="character" w:customStyle="1" w:styleId="188">
    <w:name w:val="正文段落 Char"/>
    <w:basedOn w:val="41"/>
    <w:link w:val="187"/>
    <w:qFormat/>
    <w:uiPriority w:val="0"/>
    <w:rPr>
      <w:rFonts w:cstheme="minorBidi"/>
      <w:kern w:val="2"/>
      <w:sz w:val="21"/>
      <w:szCs w:val="21"/>
    </w:rPr>
  </w:style>
  <w:style w:type="table" w:customStyle="1" w:styleId="189">
    <w:name w:val="网格型2"/>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0">
    <w:name w:val="图表标题"/>
    <w:link w:val="191"/>
    <w:qFormat/>
    <w:uiPriority w:val="0"/>
    <w:pPr>
      <w:spacing w:line="360" w:lineRule="auto"/>
      <w:jc w:val="center"/>
    </w:pPr>
    <w:rPr>
      <w:rFonts w:ascii="Times New Roman" w:hAnsi="Times New Roman" w:eastAsia="宋体" w:cs="Times New Roman"/>
      <w:kern w:val="2"/>
      <w:sz w:val="24"/>
      <w:szCs w:val="22"/>
      <w:lang w:val="en-US" w:eastAsia="zh-CN" w:bidi="ar-SA"/>
    </w:rPr>
  </w:style>
  <w:style w:type="character" w:customStyle="1" w:styleId="191">
    <w:name w:val="图表标题 字符"/>
    <w:basedOn w:val="41"/>
    <w:link w:val="190"/>
    <w:qFormat/>
    <w:uiPriority w:val="0"/>
    <w:rPr>
      <w:kern w:val="2"/>
      <w:sz w:val="24"/>
      <w:szCs w:val="22"/>
    </w:rPr>
  </w:style>
  <w:style w:type="paragraph" w:customStyle="1" w:styleId="192">
    <w:name w:val="临时表内文字"/>
    <w:next w:val="1"/>
    <w:link w:val="193"/>
    <w:qFormat/>
    <w:uiPriority w:val="0"/>
    <w:pPr>
      <w:jc w:val="center"/>
    </w:pPr>
    <w:rPr>
      <w:rFonts w:ascii="Times New Roman" w:hAnsi="Times New Roman" w:eastAsia="宋体" w:cs="Times New Roman"/>
      <w:kern w:val="2"/>
      <w:sz w:val="21"/>
      <w:szCs w:val="21"/>
      <w:lang w:val="en-US" w:eastAsia="zh-CN" w:bidi="ar-SA"/>
    </w:rPr>
  </w:style>
  <w:style w:type="character" w:customStyle="1" w:styleId="193">
    <w:name w:val="临时表内文字 字符"/>
    <w:basedOn w:val="41"/>
    <w:link w:val="192"/>
    <w:qFormat/>
    <w:uiPriority w:val="0"/>
    <w:rPr>
      <w:kern w:val="2"/>
      <w:sz w:val="21"/>
      <w:szCs w:val="21"/>
    </w:rPr>
  </w:style>
  <w:style w:type="paragraph" w:customStyle="1" w:styleId="194">
    <w:name w:val="二级条标题-新"/>
    <w:basedOn w:val="5"/>
    <w:next w:val="1"/>
    <w:qFormat/>
    <w:uiPriority w:val="0"/>
    <w:pPr>
      <w:spacing w:before="50" w:beforeLines="50" w:after="0" w:line="360" w:lineRule="auto"/>
      <w:ind w:left="1135"/>
      <w:jc w:val="left"/>
    </w:pPr>
    <w:rPr>
      <w:rFonts w:ascii="Times New Roman" w:hAnsi="Times New Roman" w:eastAsiaTheme="majorEastAsia" w:cstheme="majorBidi"/>
      <w:kern w:val="0"/>
      <w:sz w:val="24"/>
      <w:szCs w:val="21"/>
    </w:rPr>
  </w:style>
  <w:style w:type="paragraph" w:customStyle="1" w:styleId="19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table" w:customStyle="1" w:styleId="196">
    <w:name w:val="三线表"/>
    <w:basedOn w:val="39"/>
    <w:qFormat/>
    <w:uiPriority w:val="99"/>
    <w:pPr>
      <w:spacing w:line="360" w:lineRule="exact"/>
      <w:jc w:val="center"/>
    </w:pPr>
    <w:rPr>
      <w:rFonts w:ascii="宋体" w:hAnsi="宋体" w:cstheme="minorBidi"/>
      <w:kern w:val="2"/>
      <w:szCs w:val="21"/>
      <w14:ligatures w14:val="standardContextual"/>
    </w:rPr>
    <w:tblPr>
      <w:tblBorders>
        <w:top w:val="single" w:color="auto" w:sz="12" w:space="0"/>
        <w:bottom w:val="single" w:color="auto" w:sz="12" w:space="0"/>
      </w:tblBorders>
    </w:tblPr>
    <w:tcPr>
      <w:vAlign w:val="center"/>
    </w:tcPr>
    <w:tblStylePr w:type="firstRow">
      <w:tcPr>
        <w:tcBorders>
          <w:bottom w:val="single" w:color="auto" w:sz="4" w:space="0"/>
        </w:tcBorders>
      </w:tcPr>
    </w:tblStylePr>
  </w:style>
  <w:style w:type="character" w:customStyle="1" w:styleId="197">
    <w:name w:val="表格 字符"/>
    <w:basedOn w:val="41"/>
    <w:qFormat/>
    <w:uiPriority w:val="0"/>
    <w:rPr>
      <w:rFonts w:ascii="Times New Roman" w:hAnsi="Times New Roman" w:eastAsia="宋体"/>
      <w:sz w:val="20"/>
      <w:szCs w:val="21"/>
    </w:rPr>
  </w:style>
  <w:style w:type="paragraph" w:customStyle="1" w:styleId="198">
    <w:name w:val="表题"/>
    <w:basedOn w:val="9"/>
    <w:link w:val="199"/>
    <w:qFormat/>
    <w:uiPriority w:val="0"/>
    <w:pPr>
      <w:spacing w:before="120" w:after="120"/>
      <w:jc w:val="center"/>
    </w:pPr>
    <w:rPr>
      <w:rFonts w:ascii="Times New Roman" w:hAnsi="Times New Roman" w:eastAsia="宋体" w:cstheme="majorBidi"/>
      <w:sz w:val="21"/>
    </w:rPr>
  </w:style>
  <w:style w:type="character" w:customStyle="1" w:styleId="199">
    <w:name w:val="表题 字符"/>
    <w:basedOn w:val="41"/>
    <w:link w:val="198"/>
    <w:qFormat/>
    <w:uiPriority w:val="0"/>
    <w:rPr>
      <w:rFonts w:cstheme="majorBidi"/>
      <w:kern w:val="2"/>
      <w:sz w:val="21"/>
    </w:rPr>
  </w:style>
  <w:style w:type="paragraph" w:customStyle="1" w:styleId="200">
    <w:name w:val="Revision"/>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microsoft.com/office/2006/relationships/keyMapCustomizations" Target="customizations.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6.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footer" Target="footer5.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D07EA2-BE26-4509-9348-0360D732E767}">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22</Pages>
  <Words>4284</Words>
  <Characters>5440</Characters>
  <Lines>84</Lines>
  <Paragraphs>23</Paragraphs>
  <TotalTime>0</TotalTime>
  <ScaleCrop>false</ScaleCrop>
  <LinksUpToDate>false</LinksUpToDate>
  <CharactersWithSpaces>5859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2025-04-15T02:44:00Z</dcterms:created>
  <dc:creator>CNIS</dc:creator>
  <cp:lastModifiedBy>杨鑫</cp:lastModifiedBy>
  <cp:lastPrinted>2024-10-22T06:49:00Z</cp:lastPrinted>
  <dcterms:modified xsi:type="dcterms:W3CDTF">2025-06-18T07:00:00Z</dcterms:modified>
  <dc:title>标准名称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eyJoZGlkIjoiMzEwNTM5NzYwMDRjMzkwZTVkZjY2ODkwMGIxNGU0OTUiLCJ1c2VySWQiOiIzNTgxOTEwODgifQ==</vt:lpwstr>
  </property>
  <property fmtid="{D5CDD505-2E9C-101B-9397-08002B2CF9AE}" pid="4" name="ICV">
    <vt:lpwstr>C64345EFBB7F48A192719A499B128631_12</vt:lpwstr>
  </property>
</Properties>
</file>