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22FED">
      <w:pPr>
        <w:spacing w:line="360" w:lineRule="auto"/>
        <w:jc w:val="center"/>
        <w:rPr>
          <w:rFonts w:hint="eastAsia" w:ascii="Times New Roman" w:hAnsi="Times New Roman" w:eastAsia="仿宋_GB2312" w:cs="Times New Roman"/>
          <w:b/>
          <w:snapToGrid w:val="0"/>
          <w:kern w:val="0"/>
          <w:position w:val="6"/>
          <w:sz w:val="44"/>
          <w:szCs w:val="44"/>
          <w:u w:val="none"/>
          <w:lang w:val="en-US" w:eastAsia="zh-CN"/>
        </w:rPr>
      </w:pPr>
    </w:p>
    <w:p w14:paraId="1D683799">
      <w:pPr>
        <w:spacing w:line="360" w:lineRule="auto"/>
        <w:jc w:val="center"/>
        <w:rPr>
          <w:rFonts w:hint="eastAsia" w:ascii="Times New Roman" w:hAnsi="Times New Roman" w:eastAsia="仿宋_GB2312" w:cs="Times New Roman"/>
          <w:b/>
          <w:snapToGrid w:val="0"/>
          <w:kern w:val="0"/>
          <w:position w:val="6"/>
          <w:sz w:val="44"/>
          <w:szCs w:val="44"/>
          <w:u w:val="none"/>
          <w:lang w:val="en-US" w:eastAsia="zh-CN"/>
        </w:rPr>
      </w:pPr>
    </w:p>
    <w:p w14:paraId="6F69523B">
      <w:pPr>
        <w:spacing w:line="360" w:lineRule="auto"/>
        <w:jc w:val="center"/>
        <w:rPr>
          <w:rFonts w:hint="eastAsia" w:eastAsia="仿宋_GB2312" w:cs="Times New Roman"/>
          <w:b/>
          <w:snapToGrid w:val="0"/>
          <w:kern w:val="0"/>
          <w:position w:val="6"/>
          <w:sz w:val="44"/>
          <w:szCs w:val="44"/>
          <w:u w:val="none"/>
          <w:lang w:val="en-US" w:eastAsia="zh-CN"/>
        </w:rPr>
      </w:pPr>
      <w:r>
        <w:rPr>
          <w:rFonts w:hint="eastAsia" w:eastAsia="仿宋_GB2312" w:cs="Times New Roman"/>
          <w:b/>
          <w:snapToGrid w:val="0"/>
          <w:kern w:val="0"/>
          <w:position w:val="6"/>
          <w:sz w:val="44"/>
          <w:szCs w:val="44"/>
          <w:u w:val="none"/>
          <w:lang w:val="en-US" w:eastAsia="zh-CN"/>
        </w:rPr>
        <w:t>贵州省交通运输厅技术指南</w:t>
      </w:r>
    </w:p>
    <w:p w14:paraId="15034556">
      <w:pPr>
        <w:spacing w:line="360" w:lineRule="auto"/>
        <w:jc w:val="center"/>
        <w:rPr>
          <w:rFonts w:hint="eastAsia" w:eastAsia="仿宋_GB2312" w:cs="Times New Roman"/>
          <w:b/>
          <w:snapToGrid w:val="0"/>
          <w:kern w:val="0"/>
          <w:position w:val="6"/>
          <w:sz w:val="44"/>
          <w:szCs w:val="44"/>
          <w:u w:val="none"/>
          <w:lang w:val="en-US" w:eastAsia="zh-CN"/>
        </w:rPr>
      </w:pPr>
    </w:p>
    <w:p w14:paraId="61167220">
      <w:pPr>
        <w:spacing w:line="360" w:lineRule="auto"/>
        <w:jc w:val="center"/>
        <w:rPr>
          <w:rFonts w:hint="default" w:ascii="Times New Roman" w:hAnsi="Times New Roman" w:eastAsia="仿宋_GB2312" w:cs="Times New Roman"/>
          <w:b/>
          <w:snapToGrid w:val="0"/>
          <w:kern w:val="0"/>
          <w:position w:val="6"/>
          <w:sz w:val="44"/>
          <w:szCs w:val="44"/>
          <w:u w:val="none"/>
          <w:lang w:val="en-US" w:eastAsia="zh-CN"/>
        </w:rPr>
      </w:pPr>
      <w:r>
        <w:rPr>
          <w:rFonts w:hint="eastAsia" w:ascii="Times New Roman" w:hAnsi="Times New Roman" w:eastAsia="仿宋_GB2312" w:cs="Times New Roman"/>
          <w:b/>
          <w:snapToGrid w:val="0"/>
          <w:kern w:val="0"/>
          <w:position w:val="6"/>
          <w:sz w:val="36"/>
          <w:szCs w:val="36"/>
          <w:u w:val="single"/>
          <w:lang w:val="en-US" w:eastAsia="zh-CN"/>
        </w:rPr>
        <w:t xml:space="preserve">                            JTZN****—2025</w:t>
      </w:r>
    </w:p>
    <w:p w14:paraId="5F7AF61A">
      <w:pPr>
        <w:adjustRightInd w:val="0"/>
        <w:spacing w:line="400" w:lineRule="atLeast"/>
        <w:jc w:val="center"/>
        <w:textAlignment w:val="baseline"/>
        <w:rPr>
          <w:rFonts w:hint="default" w:ascii="Times New Roman" w:hAnsi="Times New Roman" w:eastAsia="仿宋_GB2312" w:cs="Times New Roman"/>
          <w:b/>
          <w:bCs/>
          <w:kern w:val="0"/>
          <w:sz w:val="52"/>
          <w:szCs w:val="20"/>
        </w:rPr>
      </w:pPr>
    </w:p>
    <w:p w14:paraId="34647098">
      <w:pPr>
        <w:adjustRightInd w:val="0"/>
        <w:spacing w:line="400" w:lineRule="atLeast"/>
        <w:jc w:val="center"/>
        <w:textAlignment w:val="baseline"/>
        <w:rPr>
          <w:rFonts w:hint="default" w:ascii="Times New Roman" w:hAnsi="Times New Roman" w:eastAsia="仿宋_GB2312" w:cs="Times New Roman"/>
          <w:b/>
          <w:bCs/>
          <w:kern w:val="0"/>
          <w:sz w:val="52"/>
          <w:szCs w:val="20"/>
        </w:rPr>
      </w:pPr>
    </w:p>
    <w:p w14:paraId="1493FD5D">
      <w:pPr>
        <w:adjustRightInd w:val="0"/>
        <w:spacing w:line="400" w:lineRule="atLeast"/>
        <w:jc w:val="center"/>
        <w:textAlignment w:val="baseline"/>
        <w:rPr>
          <w:rFonts w:hint="default" w:ascii="Times New Roman" w:hAnsi="Times New Roman" w:eastAsia="仿宋_GB2312" w:cs="Times New Roman"/>
          <w:b/>
          <w:bCs/>
          <w:kern w:val="0"/>
          <w:sz w:val="52"/>
          <w:szCs w:val="20"/>
        </w:rPr>
      </w:pPr>
    </w:p>
    <w:p w14:paraId="7AB7E270">
      <w:pPr>
        <w:adjustRightInd w:val="0"/>
        <w:spacing w:line="400" w:lineRule="atLeast"/>
        <w:jc w:val="center"/>
        <w:textAlignment w:val="baseline"/>
        <w:rPr>
          <w:rFonts w:hint="default" w:ascii="Times New Roman" w:hAnsi="Times New Roman" w:eastAsia="仿宋_GB2312" w:cs="Times New Roman"/>
          <w:b/>
          <w:bCs/>
          <w:kern w:val="0"/>
          <w:sz w:val="52"/>
          <w:szCs w:val="20"/>
        </w:rPr>
      </w:pPr>
    </w:p>
    <w:p w14:paraId="25738950">
      <w:pPr>
        <w:spacing w:line="360" w:lineRule="auto"/>
        <w:jc w:val="center"/>
        <w:rPr>
          <w:rFonts w:hint="default" w:ascii="Times New Roman" w:hAnsi="Times New Roman" w:eastAsia="仿宋_GB2312" w:cs="Times New Roman"/>
          <w:b/>
          <w:snapToGrid w:val="0"/>
          <w:kern w:val="0"/>
          <w:position w:val="6"/>
          <w:sz w:val="52"/>
          <w:szCs w:val="52"/>
          <w:lang w:val="en-US" w:eastAsia="zh-CN"/>
        </w:rPr>
      </w:pPr>
      <w:r>
        <w:rPr>
          <w:rFonts w:hint="default" w:ascii="Times New Roman" w:hAnsi="Times New Roman" w:eastAsia="仿宋_GB2312" w:cs="Times New Roman"/>
          <w:b/>
          <w:snapToGrid w:val="0"/>
          <w:kern w:val="0"/>
          <w:position w:val="6"/>
          <w:sz w:val="52"/>
          <w:szCs w:val="52"/>
          <w:lang w:val="en-US" w:eastAsia="zh-CN"/>
        </w:rPr>
        <w:t>基于油石分离的厂拌热再生沥青路面施工技术指南</w:t>
      </w:r>
    </w:p>
    <w:p w14:paraId="57FCAC8B">
      <w:pPr>
        <w:spacing w:line="360" w:lineRule="auto"/>
        <w:jc w:val="center"/>
        <w:rPr>
          <w:rFonts w:hint="default" w:ascii="Times New Roman" w:hAnsi="Times New Roman" w:eastAsia="仿宋_GB2312" w:cs="Times New Roman"/>
          <w:b/>
          <w:snapToGrid w:val="0"/>
          <w:kern w:val="0"/>
          <w:position w:val="6"/>
          <w:sz w:val="52"/>
          <w:szCs w:val="52"/>
        </w:rPr>
      </w:pPr>
    </w:p>
    <w:p w14:paraId="562BB7F6">
      <w:pPr>
        <w:spacing w:line="360" w:lineRule="auto"/>
        <w:jc w:val="center"/>
        <w:rPr>
          <w:rFonts w:hint="default" w:ascii="Times New Roman" w:hAnsi="Times New Roman" w:eastAsia="仿宋_GB2312" w:cs="Times New Roman"/>
          <w:b/>
          <w:sz w:val="44"/>
          <w:szCs w:val="44"/>
        </w:rPr>
      </w:pPr>
      <w:r>
        <w:rPr>
          <w:rFonts w:hint="default" w:ascii="Times New Roman" w:hAnsi="Times New Roman" w:eastAsia="仿宋_GB2312" w:cs="Times New Roman"/>
          <w:b/>
          <w:snapToGrid w:val="0"/>
          <w:kern w:val="0"/>
          <w:position w:val="6"/>
          <w:sz w:val="52"/>
          <w:szCs w:val="52"/>
        </w:rPr>
        <w:t>（</w:t>
      </w:r>
      <w:r>
        <w:rPr>
          <w:rFonts w:hint="default" w:ascii="Times New Roman" w:hAnsi="Times New Roman" w:eastAsia="仿宋_GB2312" w:cs="Times New Roman"/>
          <w:b/>
          <w:snapToGrid w:val="0"/>
          <w:kern w:val="0"/>
          <w:position w:val="6"/>
          <w:sz w:val="52"/>
          <w:szCs w:val="52"/>
          <w:lang w:val="en-US" w:eastAsia="zh-CN"/>
        </w:rPr>
        <w:t>试行</w:t>
      </w:r>
      <w:r>
        <w:rPr>
          <w:rFonts w:hint="default" w:ascii="Times New Roman" w:hAnsi="Times New Roman" w:eastAsia="仿宋_GB2312" w:cs="Times New Roman"/>
          <w:b/>
          <w:snapToGrid w:val="0"/>
          <w:kern w:val="0"/>
          <w:position w:val="6"/>
          <w:sz w:val="52"/>
          <w:szCs w:val="52"/>
        </w:rPr>
        <w:t>）</w:t>
      </w:r>
    </w:p>
    <w:p w14:paraId="544D2B68">
      <w:pPr>
        <w:tabs>
          <w:tab w:val="left" w:pos="3420"/>
        </w:tabs>
        <w:spacing w:before="156" w:beforeLines="50" w:line="360" w:lineRule="auto"/>
        <w:rPr>
          <w:rFonts w:hint="default" w:ascii="Times New Roman" w:hAnsi="Times New Roman" w:eastAsia="仿宋_GB2312" w:cs="Times New Roman"/>
          <w:b/>
          <w:sz w:val="44"/>
          <w:szCs w:val="44"/>
        </w:rPr>
      </w:pPr>
    </w:p>
    <w:p w14:paraId="3A39DAAA">
      <w:pPr>
        <w:tabs>
          <w:tab w:val="left" w:pos="3420"/>
        </w:tabs>
        <w:spacing w:before="156" w:beforeLines="50" w:line="360" w:lineRule="auto"/>
        <w:rPr>
          <w:rFonts w:hint="default" w:ascii="Times New Roman" w:hAnsi="Times New Roman" w:eastAsia="仿宋_GB2312" w:cs="Times New Roman"/>
          <w:b/>
          <w:sz w:val="44"/>
          <w:szCs w:val="44"/>
        </w:rPr>
      </w:pPr>
    </w:p>
    <w:p w14:paraId="3887F367">
      <w:pPr>
        <w:tabs>
          <w:tab w:val="left" w:pos="3420"/>
        </w:tabs>
        <w:spacing w:before="156" w:beforeLines="50" w:line="360" w:lineRule="auto"/>
        <w:rPr>
          <w:rFonts w:hint="default" w:ascii="Times New Roman" w:hAnsi="Times New Roman" w:eastAsia="仿宋_GB2312" w:cs="Times New Roman"/>
          <w:b/>
          <w:sz w:val="44"/>
          <w:szCs w:val="44"/>
        </w:rPr>
      </w:pPr>
    </w:p>
    <w:p w14:paraId="22818FF0">
      <w:pPr>
        <w:tabs>
          <w:tab w:val="left" w:pos="3420"/>
        </w:tabs>
        <w:spacing w:before="156" w:beforeLines="50" w:line="360" w:lineRule="auto"/>
        <w:rPr>
          <w:rFonts w:hint="default" w:ascii="Times New Roman" w:hAnsi="Times New Roman" w:eastAsia="仿宋_GB2312" w:cs="Times New Roman"/>
          <w:b/>
          <w:sz w:val="44"/>
          <w:szCs w:val="44"/>
        </w:rPr>
      </w:pPr>
    </w:p>
    <w:p w14:paraId="56E1BA58">
      <w:pPr>
        <w:jc w:val="center"/>
        <w:rPr>
          <w:rFonts w:hint="default" w:ascii="Times New Roman" w:hAnsi="Times New Roman" w:eastAsia="仿宋_GB2312" w:cs="Times New Roman"/>
        </w:rPr>
      </w:pPr>
    </w:p>
    <w:p w14:paraId="595E011E">
      <w:pPr>
        <w:jc w:val="center"/>
        <w:rPr>
          <w:rFonts w:hint="eastAsia" w:ascii="宋体" w:hAnsi="宋体" w:eastAsia="宋体" w:cs="宋体"/>
          <w:sz w:val="28"/>
          <w:szCs w:val="36"/>
          <w:u w:val="thick"/>
          <w:lang w:val="en-US" w:eastAsia="zh-CN"/>
        </w:rPr>
      </w:pP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 xml:space="preserve">发布                            </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u w:val="thick"/>
          <w:lang w:val="en-US" w:eastAsia="zh-CN"/>
        </w:rPr>
        <w:t>*</w:t>
      </w:r>
      <w:r>
        <w:rPr>
          <w:rFonts w:hint="eastAsia" w:ascii="宋体" w:hAnsi="宋体" w:eastAsia="宋体" w:cs="宋体"/>
          <w:sz w:val="28"/>
          <w:szCs w:val="36"/>
          <w:u w:val="thick"/>
          <w:lang w:val="en-US" w:eastAsia="zh-CN"/>
        </w:rPr>
        <w:t>-</w:t>
      </w:r>
      <w:r>
        <w:rPr>
          <w:rFonts w:hint="eastAsia" w:ascii="宋体" w:hAnsi="宋体" w:cs="宋体"/>
          <w:sz w:val="28"/>
          <w:szCs w:val="36"/>
          <w:highlight w:val="none"/>
          <w:u w:val="thick"/>
          <w:lang w:val="en-US" w:eastAsia="zh-CN"/>
        </w:rPr>
        <w:t>**</w:t>
      </w:r>
      <w:r>
        <w:rPr>
          <w:rFonts w:hint="eastAsia" w:ascii="宋体" w:hAnsi="宋体" w:eastAsia="宋体" w:cs="宋体"/>
          <w:sz w:val="28"/>
          <w:szCs w:val="36"/>
          <w:u w:val="thick"/>
          <w:lang w:val="en-US" w:eastAsia="zh-CN"/>
        </w:rPr>
        <w:t>实施</w:t>
      </w:r>
    </w:p>
    <w:p w14:paraId="186D0859">
      <w:pPr>
        <w:jc w:val="center"/>
        <w:rPr>
          <w:rFonts w:hint="default" w:ascii="Times New Roman" w:hAnsi="Times New Roman" w:eastAsia="仿宋_GB2312" w:cs="Times New Roman"/>
        </w:rPr>
      </w:pPr>
    </w:p>
    <w:p w14:paraId="2C19E17C">
      <w:pPr>
        <w:jc w:val="center"/>
        <w:rPr>
          <w:rFonts w:hint="default" w:ascii="Times New Roman" w:hAnsi="Times New Roman" w:eastAsia="仿宋_GB2312" w:cs="Times New Roman"/>
        </w:rPr>
      </w:pPr>
    </w:p>
    <w:p w14:paraId="5ACFDD2E">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贵州省交通运输厅        发布</w:t>
      </w:r>
    </w:p>
    <w:p w14:paraId="4D83878A">
      <w:pPr>
        <w:jc w:val="center"/>
        <w:rPr>
          <w:rFonts w:hint="default" w:ascii="Times New Roman" w:hAnsi="Times New Roman" w:eastAsia="仿宋_GB2312" w:cs="Times New Roman"/>
        </w:rPr>
      </w:pPr>
    </w:p>
    <w:p w14:paraId="1F3C9EEE">
      <w:pPr>
        <w:jc w:val="center"/>
        <w:rPr>
          <w:rFonts w:hint="default" w:ascii="Times New Roman" w:hAnsi="Times New Roman" w:eastAsia="仿宋_GB2312" w:cs="Times New Roman"/>
        </w:rPr>
      </w:pPr>
    </w:p>
    <w:p w14:paraId="557EAC5F">
      <w:pPr>
        <w:jc w:val="center"/>
        <w:rPr>
          <w:rFonts w:hint="default" w:ascii="Times New Roman" w:hAnsi="Times New Roman" w:eastAsia="仿宋_GB2312" w:cs="Times New Roman"/>
        </w:rPr>
      </w:pPr>
    </w:p>
    <w:p w14:paraId="4E4E26C5">
      <w:pPr>
        <w:jc w:val="center"/>
        <w:rPr>
          <w:rFonts w:hint="default" w:ascii="Times New Roman" w:hAnsi="Times New Roman" w:eastAsia="仿宋_GB2312" w:cs="Times New Roman"/>
        </w:rPr>
      </w:pPr>
    </w:p>
    <w:p w14:paraId="3BB907B8">
      <w:pPr>
        <w:jc w:val="center"/>
        <w:rPr>
          <w:rFonts w:hint="default" w:ascii="Times New Roman" w:hAnsi="Times New Roman" w:eastAsia="仿宋_GB2312" w:cs="Times New Roman"/>
        </w:rPr>
      </w:pPr>
    </w:p>
    <w:p w14:paraId="42119ED2">
      <w:pPr>
        <w:spacing w:before="312" w:beforeLines="100" w:after="312" w:afterLines="100" w:line="360" w:lineRule="auto"/>
        <w:jc w:val="center"/>
        <w:outlineLvl w:val="0"/>
        <w:rPr>
          <w:rFonts w:hint="default" w:ascii="Times New Roman" w:hAnsi="Times New Roman" w:eastAsia="仿宋_GB2312" w:cs="Times New Roman"/>
          <w:b/>
          <w:bCs/>
          <w:sz w:val="36"/>
          <w:szCs w:val="36"/>
        </w:rPr>
      </w:pPr>
      <w:bookmarkStart w:id="0" w:name="_Toc2066"/>
      <w:bookmarkStart w:id="1" w:name="_Toc13965"/>
      <w:bookmarkStart w:id="2" w:name="_Toc5645"/>
      <w:bookmarkStart w:id="3" w:name="_Toc26084"/>
      <w:bookmarkStart w:id="4" w:name="_Toc895"/>
      <w:bookmarkStart w:id="5" w:name="_Toc32232"/>
      <w:bookmarkStart w:id="6" w:name="_Toc3340"/>
      <w:r>
        <w:rPr>
          <w:rFonts w:hint="default" w:ascii="Times New Roman" w:hAnsi="Times New Roman" w:eastAsia="仿宋_GB2312" w:cs="Times New Roman"/>
          <w:b/>
          <w:bCs/>
          <w:sz w:val="36"/>
          <w:szCs w:val="36"/>
        </w:rPr>
        <w:t>前 言</w:t>
      </w:r>
      <w:bookmarkEnd w:id="0"/>
      <w:bookmarkEnd w:id="1"/>
      <w:bookmarkEnd w:id="2"/>
      <w:bookmarkEnd w:id="3"/>
      <w:bookmarkEnd w:id="4"/>
      <w:bookmarkEnd w:id="5"/>
      <w:bookmarkEnd w:id="6"/>
    </w:p>
    <w:p w14:paraId="4128F695">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为提高油石分离RAP厂拌热再生沥青路面施工质量</w:t>
      </w:r>
      <w:r>
        <w:rPr>
          <w:rFonts w:hint="default" w:ascii="Times New Roman" w:hAnsi="Times New Roman" w:eastAsia="宋体" w:cs="Times New Roman"/>
          <w:sz w:val="24"/>
        </w:rPr>
        <w:t>，提升贵州省公路沥青路面的养护水平</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编写组经广泛调查研究，查阅了大量相关文献资料，参考了国内外先进标准与科研成果，并在广泛征求意见的基础上，特制定</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基于油石分离的</w:t>
      </w:r>
      <w:r>
        <w:rPr>
          <w:rFonts w:hint="default" w:ascii="Times New Roman" w:hAnsi="Times New Roman" w:eastAsia="宋体" w:cs="Times New Roman"/>
          <w:sz w:val="24"/>
        </w:rPr>
        <w:t>厂拌热再生沥青路面施工技术指南</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以下简称</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本指南</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本</w:t>
      </w:r>
      <w:r>
        <w:rPr>
          <w:rFonts w:hint="default" w:ascii="Times New Roman" w:hAnsi="Times New Roman" w:eastAsia="宋体" w:cs="Times New Roman"/>
          <w:sz w:val="24"/>
        </w:rPr>
        <w:t>指南在现有相关行业标准与指南的基础上，结合了贵州省的实际情况和地方工程经验， 提出了符合</w:t>
      </w:r>
      <w:r>
        <w:rPr>
          <w:rFonts w:hint="default" w:ascii="Times New Roman" w:hAnsi="Times New Roman" w:eastAsia="宋体" w:cs="Times New Roman"/>
          <w:sz w:val="24"/>
          <w:lang w:val="en-US" w:eastAsia="zh-CN"/>
        </w:rPr>
        <w:t>油石分离RAP厂拌热再生沥青路面的原材料控制标准</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配合比设计方法</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施工工艺</w:t>
      </w:r>
      <w:r>
        <w:rPr>
          <w:rFonts w:hint="default" w:ascii="Times New Roman" w:hAnsi="Times New Roman" w:eastAsia="宋体" w:cs="Times New Roman"/>
          <w:sz w:val="24"/>
        </w:rPr>
        <w:t>、施工质量控制及验收方法</w:t>
      </w:r>
      <w:r>
        <w:rPr>
          <w:rFonts w:hint="default" w:ascii="Times New Roman" w:hAnsi="Times New Roman" w:eastAsia="宋体" w:cs="Times New Roman"/>
          <w:sz w:val="24"/>
          <w:lang w:val="en-US" w:eastAsia="zh-CN"/>
        </w:rPr>
        <w:t>等</w:t>
      </w:r>
      <w:r>
        <w:rPr>
          <w:rFonts w:hint="default" w:ascii="Times New Roman" w:hAnsi="Times New Roman" w:eastAsia="宋体" w:cs="Times New Roman"/>
          <w:sz w:val="24"/>
        </w:rPr>
        <w:t>，为</w:t>
      </w:r>
      <w:r>
        <w:rPr>
          <w:rFonts w:hint="default" w:ascii="Times New Roman" w:hAnsi="Times New Roman" w:eastAsia="宋体" w:cs="Times New Roman"/>
          <w:sz w:val="24"/>
          <w:lang w:val="en-US" w:eastAsia="zh-CN"/>
        </w:rPr>
        <w:t>基于油石分离的</w:t>
      </w:r>
      <w:r>
        <w:rPr>
          <w:rFonts w:hint="default" w:ascii="Times New Roman" w:hAnsi="Times New Roman" w:eastAsia="宋体" w:cs="Times New Roman"/>
          <w:sz w:val="24"/>
        </w:rPr>
        <w:t>厂拌热再生沥青路面施工提供技术支撑。</w:t>
      </w:r>
    </w:p>
    <w:p w14:paraId="479CCBE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本标准由 1 总则，2 规范性引用文件，3 术语和</w:t>
      </w:r>
      <w:r>
        <w:rPr>
          <w:rFonts w:hint="default" w:ascii="Times New Roman" w:hAnsi="Times New Roman" w:eastAsia="宋体" w:cs="Times New Roman"/>
          <w:sz w:val="24"/>
          <w:lang w:val="en-US" w:eastAsia="zh-CN"/>
        </w:rPr>
        <w:t>符号</w:t>
      </w:r>
      <w:r>
        <w:rPr>
          <w:rFonts w:hint="default" w:ascii="Times New Roman" w:hAnsi="Times New Roman" w:eastAsia="宋体" w:cs="Times New Roman"/>
          <w:sz w:val="24"/>
        </w:rPr>
        <w:t>，4 基本规定，</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集料加工厂标准</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拌合站建设</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原材料</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8</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再生沥青混合料组成设计，9</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再生沥青路面施工</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10再生沥青路面质量控制与验收标准</w:t>
      </w:r>
      <w:r>
        <w:rPr>
          <w:rFonts w:hint="default" w:ascii="Times New Roman" w:hAnsi="Times New Roman" w:eastAsia="宋体" w:cs="Times New Roman"/>
          <w:sz w:val="24"/>
        </w:rPr>
        <w:t>。</w:t>
      </w:r>
    </w:p>
    <w:p w14:paraId="1896589A">
      <w:pPr>
        <w:tabs>
          <w:tab w:val="left" w:pos="9064"/>
        </w:tabs>
        <w:spacing w:line="360" w:lineRule="auto"/>
        <w:ind w:right="13" w:rightChars="6"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请各有关单位在使用本</w:t>
      </w:r>
      <w:r>
        <w:rPr>
          <w:rFonts w:hint="default" w:ascii="Times New Roman" w:hAnsi="Times New Roman" w:eastAsia="宋体" w:cs="Times New Roman"/>
          <w:sz w:val="24"/>
          <w:lang w:val="en-US" w:eastAsia="zh-CN"/>
        </w:rPr>
        <w:t>指南</w:t>
      </w:r>
      <w:r>
        <w:rPr>
          <w:rFonts w:hint="default" w:ascii="Times New Roman" w:hAnsi="Times New Roman" w:eastAsia="宋体" w:cs="Times New Roman"/>
          <w:sz w:val="24"/>
        </w:rPr>
        <w:t>过程中，将发现的问题和意见，函告本</w:t>
      </w:r>
      <w:r>
        <w:rPr>
          <w:rFonts w:hint="default" w:ascii="Times New Roman" w:hAnsi="Times New Roman" w:eastAsia="宋体" w:cs="Times New Roman"/>
          <w:sz w:val="24"/>
          <w:lang w:val="en-US" w:eastAsia="zh-CN"/>
        </w:rPr>
        <w:t>指南</w:t>
      </w:r>
      <w:r>
        <w:rPr>
          <w:rFonts w:hint="default" w:ascii="Times New Roman" w:hAnsi="Times New Roman" w:eastAsia="宋体" w:cs="Times New Roman"/>
          <w:sz w:val="24"/>
        </w:rPr>
        <w:t>日常管理组，联系人：</w:t>
      </w:r>
      <w:r>
        <w:rPr>
          <w:rFonts w:hint="default" w:ascii="Times New Roman" w:hAnsi="Times New Roman" w:eastAsia="宋体" w:cs="Times New Roman"/>
          <w:sz w:val="24"/>
          <w:lang w:val="en-US" w:eastAsia="zh-CN"/>
        </w:rPr>
        <w:t>李汝凯</w:t>
      </w:r>
      <w:r>
        <w:rPr>
          <w:rFonts w:hint="default" w:ascii="Times New Roman" w:hAnsi="Times New Roman" w:eastAsia="宋体" w:cs="Times New Roman"/>
          <w:sz w:val="24"/>
        </w:rPr>
        <w:t>（地址：</w:t>
      </w:r>
      <w:r>
        <w:rPr>
          <w:rFonts w:hint="default" w:ascii="Times New Roman" w:hAnsi="Times New Roman" w:eastAsia="宋体" w:cs="Times New Roman"/>
          <w:sz w:val="24"/>
          <w:lang w:val="en-US" w:eastAsia="zh-CN"/>
        </w:rPr>
        <w:t>重庆市南岸区学府大道66号</w:t>
      </w:r>
      <w:r>
        <w:rPr>
          <w:rFonts w:hint="default" w:ascii="Times New Roman" w:hAnsi="Times New Roman" w:eastAsia="宋体" w:cs="Times New Roman"/>
          <w:sz w:val="24"/>
        </w:rPr>
        <w:t>，邮编：</w:t>
      </w:r>
      <w:r>
        <w:rPr>
          <w:rFonts w:hint="default" w:ascii="Times New Roman" w:hAnsi="Times New Roman" w:eastAsia="宋体" w:cs="Times New Roman"/>
          <w:sz w:val="24"/>
          <w:lang w:val="en-US" w:eastAsia="zh-CN"/>
        </w:rPr>
        <w:t>400074</w:t>
      </w:r>
      <w:r>
        <w:rPr>
          <w:rFonts w:hint="default" w:ascii="Times New Roman" w:hAnsi="Times New Roman" w:eastAsia="宋体" w:cs="Times New Roman"/>
          <w:sz w:val="24"/>
        </w:rPr>
        <w:t>，电话：</w:t>
      </w:r>
      <w:r>
        <w:rPr>
          <w:rFonts w:hint="default" w:ascii="Times New Roman" w:hAnsi="Times New Roman" w:eastAsia="宋体" w:cs="Times New Roman"/>
          <w:sz w:val="24"/>
          <w:lang w:val="en-US" w:eastAsia="zh-CN"/>
        </w:rPr>
        <w:t>18008377436</w:t>
      </w:r>
      <w:r>
        <w:rPr>
          <w:rFonts w:hint="default" w:ascii="Times New Roman" w:hAnsi="Times New Roman" w:eastAsia="宋体" w:cs="Times New Roman"/>
          <w:sz w:val="24"/>
        </w:rPr>
        <w:t>，电子邮箱：</w:t>
      </w:r>
      <w:r>
        <w:rPr>
          <w:rFonts w:hint="default" w:ascii="Times New Roman" w:hAnsi="Times New Roman" w:eastAsia="宋体" w:cs="Times New Roman"/>
          <w:sz w:val="24"/>
          <w:lang w:val="en-US" w:eastAsia="zh-CN"/>
        </w:rPr>
        <w:t>1908298752</w:t>
      </w:r>
      <w:r>
        <w:rPr>
          <w:rFonts w:hint="default" w:ascii="Times New Roman" w:hAnsi="Times New Roman" w:eastAsia="宋体" w:cs="Times New Roman"/>
          <w:sz w:val="24"/>
        </w:rPr>
        <w:t>@qq.com），以便下次修订时参考。</w:t>
      </w:r>
    </w:p>
    <w:p w14:paraId="7D28D98A">
      <w:pPr>
        <w:spacing w:line="348" w:lineRule="auto"/>
        <w:ind w:firstLine="480" w:firstLineChars="200"/>
        <w:rPr>
          <w:rFonts w:hint="eastAsia"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批准单位：贵州省交通运输厅</w:t>
      </w:r>
    </w:p>
    <w:p w14:paraId="3FE6B3E1">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主编单位：贵州高速公路实业有限公司</w:t>
      </w:r>
    </w:p>
    <w:p w14:paraId="442AA874">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贵州高速公路集团有限公司</w:t>
      </w:r>
    </w:p>
    <w:p w14:paraId="19658BBE">
      <w:pPr>
        <w:spacing w:line="348" w:lineRule="auto"/>
        <w:ind w:firstLine="480" w:firstLineChars="2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参编单位：重庆交通大学</w:t>
      </w:r>
    </w:p>
    <w:p w14:paraId="2F9DDA46">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lang w:val="en-US" w:eastAsia="zh-CN"/>
          <w14:textFill>
            <w14:solidFill>
              <w14:schemeClr w14:val="tx1"/>
            </w14:solidFill>
          </w14:textFill>
        </w:rPr>
        <w:t>贵州黔和物流有限公司</w:t>
      </w:r>
    </w:p>
    <w:p w14:paraId="284CC8AA">
      <w:pPr>
        <w:spacing w:line="348" w:lineRule="auto"/>
        <w:ind w:firstLine="1680" w:firstLineChars="700"/>
        <w:rPr>
          <w:rFonts w:hint="default" w:ascii="Times New Roman" w:hAnsi="Times New Roman" w:cs="Times New Roman"/>
          <w:color w:val="000000" w:themeColor="text1"/>
          <w:sz w:val="24"/>
          <w:szCs w:val="40"/>
          <w:lang w:val="en-US" w:eastAsia="zh-CN"/>
          <w14:textFill>
            <w14:solidFill>
              <w14:schemeClr w14:val="tx1"/>
            </w14:solidFill>
          </w14:textFill>
        </w:rPr>
      </w:pPr>
      <w:r>
        <w:rPr>
          <w:rFonts w:hint="eastAsia" w:cs="Times New Roman"/>
          <w:color w:val="000000" w:themeColor="text1"/>
          <w:sz w:val="24"/>
          <w:szCs w:val="40"/>
          <w:lang w:val="en-US" w:eastAsia="zh-CN"/>
          <w14:textFill>
            <w14:solidFill>
              <w14:schemeClr w14:val="tx1"/>
            </w14:solidFill>
          </w14:textFill>
        </w:rPr>
        <w:t>贵州高速公路集团有限公司兴义营运管理中心</w:t>
      </w:r>
    </w:p>
    <w:p w14:paraId="60F6D616">
      <w:pPr>
        <w:spacing w:line="348" w:lineRule="auto"/>
        <w:ind w:firstLine="480" w:firstLineChars="2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 xml:space="preserve">主要审查人员： </w:t>
      </w:r>
    </w:p>
    <w:p w14:paraId="30C85C65">
      <w:pPr>
        <w:spacing w:line="348" w:lineRule="auto"/>
        <w:ind w:left="2399" w:leftChars="228" w:hanging="1920" w:hangingChars="800"/>
        <w:rPr>
          <w:rFonts w:hint="default" w:ascii="Times New Roman" w:hAnsi="Times New Roman" w:eastAsia="宋体" w:cs="Times New Roman"/>
          <w:color w:val="000000" w:themeColor="text1"/>
          <w:sz w:val="24"/>
          <w:szCs w:val="40"/>
          <w:lang w:val="en-US" w:eastAsia="zh-CN"/>
          <w14:textFill>
            <w14:solidFill>
              <w14:schemeClr w14:val="tx1"/>
            </w14:solidFill>
          </w14:textFill>
        </w:rPr>
      </w:pPr>
      <w:r>
        <w:rPr>
          <w:rFonts w:hint="default" w:ascii="Times New Roman" w:hAnsi="Times New Roman" w:cs="Times New Roman"/>
          <w:color w:val="000000" w:themeColor="text1"/>
          <w:sz w:val="24"/>
          <w:szCs w:val="40"/>
          <w14:textFill>
            <w14:solidFill>
              <w14:schemeClr w14:val="tx1"/>
            </w14:solidFill>
          </w14:textFill>
        </w:rPr>
        <w:t xml:space="preserve">主要参编人员： </w:t>
      </w:r>
      <w:bookmarkStart w:id="150" w:name="_GoBack"/>
      <w:bookmarkEnd w:id="150"/>
    </w:p>
    <w:p w14:paraId="68D03792">
      <w:pPr>
        <w:jc w:val="center"/>
        <w:rPr>
          <w:rFonts w:hint="default" w:ascii="Times New Roman" w:hAnsi="Times New Roman" w:eastAsia="仿宋_GB2312" w:cs="Times New Roman"/>
        </w:rPr>
      </w:pPr>
    </w:p>
    <w:p w14:paraId="4C9E7493">
      <w:pPr>
        <w:jc w:val="center"/>
        <w:rPr>
          <w:rFonts w:hint="default" w:ascii="Times New Roman" w:hAnsi="Times New Roman" w:eastAsia="仿宋_GB2312" w:cs="Times New Roman"/>
        </w:rPr>
      </w:pPr>
    </w:p>
    <w:p w14:paraId="09F3952D">
      <w:pPr>
        <w:jc w:val="center"/>
        <w:rPr>
          <w:rFonts w:hint="default" w:ascii="Times New Roman" w:hAnsi="Times New Roman" w:eastAsia="仿宋_GB2312" w:cs="Times New Roman"/>
        </w:rPr>
      </w:pPr>
    </w:p>
    <w:p w14:paraId="0EDE295B">
      <w:pPr>
        <w:jc w:val="center"/>
        <w:rPr>
          <w:rFonts w:hint="default" w:ascii="Times New Roman" w:hAnsi="Times New Roman" w:eastAsia="仿宋_GB2312" w:cs="Times New Roman"/>
        </w:rPr>
      </w:pPr>
    </w:p>
    <w:p w14:paraId="011A4FD7">
      <w:pPr>
        <w:jc w:val="center"/>
        <w:rPr>
          <w:rFonts w:hint="default" w:ascii="Times New Roman" w:hAnsi="Times New Roman" w:eastAsia="仿宋_GB2312" w:cs="Times New Roman"/>
        </w:rPr>
      </w:pPr>
    </w:p>
    <w:p w14:paraId="496CDB47">
      <w:pPr>
        <w:jc w:val="center"/>
        <w:rPr>
          <w:rFonts w:hint="default" w:ascii="Times New Roman" w:hAnsi="Times New Roman" w:eastAsia="仿宋_GB2312" w:cs="Times New Roman"/>
        </w:rPr>
      </w:pPr>
    </w:p>
    <w:p w14:paraId="462DC501">
      <w:pPr>
        <w:jc w:val="center"/>
        <w:rPr>
          <w:rFonts w:hint="default" w:ascii="Times New Roman" w:hAnsi="Times New Roman" w:eastAsia="仿宋_GB2312" w:cs="Times New Roman"/>
        </w:rPr>
      </w:pPr>
    </w:p>
    <w:p w14:paraId="290F30CA">
      <w:pPr>
        <w:jc w:val="center"/>
        <w:rPr>
          <w:rFonts w:hint="default" w:ascii="Times New Roman" w:hAnsi="Times New Roman" w:eastAsia="仿宋_GB2312" w:cs="Times New Roman"/>
        </w:rPr>
      </w:pPr>
    </w:p>
    <w:p w14:paraId="563ABBC9">
      <w:pPr>
        <w:jc w:val="center"/>
        <w:rPr>
          <w:rFonts w:hint="default" w:ascii="Times New Roman" w:hAnsi="Times New Roman" w:eastAsia="仿宋_GB2312" w:cs="Times New Roman"/>
        </w:rPr>
      </w:pPr>
    </w:p>
    <w:p w14:paraId="7900FC14">
      <w:pPr>
        <w:tabs>
          <w:tab w:val="left" w:pos="5506"/>
        </w:tabs>
        <w:jc w:val="left"/>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ab/>
      </w:r>
    </w:p>
    <w:p w14:paraId="0B2E8450">
      <w:pPr>
        <w:jc w:val="center"/>
        <w:rPr>
          <w:rFonts w:hint="default" w:ascii="Times New Roman" w:hAnsi="Times New Roman" w:eastAsia="仿宋_GB2312" w:cs="Times New Roman"/>
        </w:rPr>
      </w:pPr>
    </w:p>
    <w:p w14:paraId="29473FA8">
      <w:pPr>
        <w:jc w:val="center"/>
        <w:rPr>
          <w:rFonts w:hint="default" w:ascii="Times New Roman" w:hAnsi="Times New Roman" w:eastAsia="仿宋_GB2312" w:cs="Times New Roman"/>
        </w:rPr>
      </w:pPr>
    </w:p>
    <w:p w14:paraId="32FA4E13">
      <w:pPr>
        <w:jc w:val="center"/>
        <w:rPr>
          <w:rFonts w:hint="default" w:ascii="Times New Roman" w:hAnsi="Times New Roman" w:eastAsia="仿宋_GB2312" w:cs="Times New Roman"/>
        </w:rPr>
      </w:pPr>
    </w:p>
    <w:p w14:paraId="59229241">
      <w:pPr>
        <w:jc w:val="center"/>
        <w:rPr>
          <w:rFonts w:hint="default" w:ascii="Times New Roman" w:hAnsi="Times New Roman" w:eastAsia="仿宋_GB2312" w:cs="Times New Roman"/>
        </w:rPr>
      </w:pPr>
    </w:p>
    <w:p w14:paraId="4DA46C4E">
      <w:pPr>
        <w:jc w:val="center"/>
        <w:rPr>
          <w:rFonts w:hint="default" w:ascii="Times New Roman" w:hAnsi="Times New Roman" w:eastAsia="仿宋_GB2312" w:cs="Times New Roman"/>
        </w:rPr>
      </w:pPr>
    </w:p>
    <w:p w14:paraId="1B0F654A">
      <w:pPr>
        <w:jc w:val="center"/>
        <w:rPr>
          <w:rFonts w:hint="default" w:ascii="Times New Roman" w:hAnsi="Times New Roman" w:eastAsia="仿宋_GB2312" w:cs="Times New Roman"/>
        </w:rPr>
      </w:pPr>
    </w:p>
    <w:sdt>
      <w:sdtPr>
        <w:rPr>
          <w:rFonts w:hint="default" w:ascii="Times New Roman" w:hAnsi="Times New Roman" w:eastAsia="仿宋_GB2312" w:cs="Times New Roman"/>
        </w:rPr>
        <w:id w:val="147468877"/>
        <w15:color w:val="DBDBDB"/>
        <w:docPartObj>
          <w:docPartGallery w:val="Table of Contents"/>
          <w:docPartUnique/>
        </w:docPartObj>
      </w:sdtPr>
      <w:sdtEndPr>
        <w:rPr>
          <w:rFonts w:hint="default" w:ascii="Times New Roman" w:hAnsi="Times New Roman" w:eastAsia="仿宋_GB2312" w:cs="Times New Roman"/>
        </w:rPr>
      </w:sdtEndPr>
      <w:sdtContent>
        <w:p w14:paraId="728F5D61">
          <w:pPr>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目 录</w:t>
          </w:r>
        </w:p>
        <w:p w14:paraId="6F1F8EC5">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TOC \o "1-3" \h \u </w:instrText>
          </w:r>
          <w:r>
            <w:rPr>
              <w:rFonts w:hint="default" w:ascii="Times New Roman" w:hAnsi="Times New Roman" w:eastAsia="仿宋_GB2312" w:cs="Times New Roman"/>
              <w:sz w:val="24"/>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_Toc21327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kern w:val="0"/>
              <w:szCs w:val="22"/>
              <w:lang w:val="en-US" w:eastAsia="zh-CN" w:bidi="ar-SA"/>
            </w:rPr>
            <w:t>1． 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_Toc21327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6ADE588B">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_Toc8521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rPr>
            <w:t>2． 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_Toc8521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438DDD7D">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_Toc6005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rPr>
            <w:t xml:space="preserve">3． </w:t>
          </w:r>
          <w:r>
            <w:rPr>
              <w:rFonts w:hint="default" w:ascii="Times New Roman" w:hAnsi="Times New Roman" w:eastAsia="仿宋_GB2312" w:cs="Times New Roman"/>
              <w:bCs/>
              <w:szCs w:val="22"/>
              <w:lang w:val="en-US" w:eastAsia="zh-CN"/>
            </w:rPr>
            <w:t>术语和符号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_Toc6005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94809B2">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_Toc1813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 xml:space="preserve">3.1 </w:t>
          </w:r>
          <w:r>
            <w:rPr>
              <w:rFonts w:hint="default" w:ascii="Times New Roman" w:hAnsi="Times New Roman" w:eastAsia="仿宋_GB2312" w:cs="Times New Roman"/>
              <w:bCs/>
            </w:rPr>
            <w:t>术语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3FBBB3A">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_Toc10877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3.2 符号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_Toc10877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137D0DEA">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_Toc28506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lang w:val="en-US" w:eastAsia="zh-CN"/>
            </w:rPr>
            <w:t>4． 基本规定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_Toc28506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577AB1F7">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_Toc16818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lang w:val="en-US" w:eastAsia="zh-CN"/>
            </w:rPr>
            <w:t>5． 集料加工场标准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_Toc16818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65F6CFD5">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_Toc7502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5</w:t>
          </w:r>
          <w:r>
            <w:rPr>
              <w:rFonts w:hint="default" w:ascii="Times New Roman" w:hAnsi="Times New Roman" w:eastAsia="仿宋_GB2312" w:cs="Times New Roman"/>
              <w:bCs/>
            </w:rPr>
            <w:t>.1 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_Toc7502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659EF57D">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_Toc12862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5</w:t>
          </w:r>
          <w:r>
            <w:rPr>
              <w:rFonts w:hint="default" w:ascii="Times New Roman" w:hAnsi="Times New Roman" w:eastAsia="仿宋_GB2312" w:cs="Times New Roman"/>
              <w:bCs/>
            </w:rPr>
            <w:t>.2 场地建设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_Toc12862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3552BE0">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_Toc23827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5</w:t>
          </w:r>
          <w:r>
            <w:rPr>
              <w:rFonts w:hint="default" w:ascii="Times New Roman" w:hAnsi="Times New Roman" w:eastAsia="仿宋_GB2312" w:cs="Times New Roman"/>
              <w:bCs/>
            </w:rPr>
            <w:t>.3 生产工艺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_Toc23827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3854F0EC">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_Toc15572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5</w:t>
          </w:r>
          <w:r>
            <w:rPr>
              <w:rFonts w:hint="default" w:ascii="Times New Roman" w:hAnsi="Times New Roman" w:eastAsia="仿宋_GB2312" w:cs="Times New Roman"/>
              <w:bCs/>
            </w:rPr>
            <w:t>.</w:t>
          </w:r>
          <w:r>
            <w:rPr>
              <w:rFonts w:hint="default" w:ascii="Times New Roman" w:hAnsi="Times New Roman" w:eastAsia="仿宋_GB2312" w:cs="Times New Roman"/>
              <w:bCs/>
              <w:lang w:val="en-US" w:eastAsia="zh-CN"/>
            </w:rPr>
            <w:t>4</w:t>
          </w:r>
          <w:r>
            <w:rPr>
              <w:rFonts w:hint="default" w:ascii="Times New Roman" w:hAnsi="Times New Roman" w:eastAsia="仿宋_GB2312" w:cs="Times New Roman"/>
              <w:bCs/>
            </w:rPr>
            <w:t xml:space="preserve"> 集料加工及分档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_Toc15572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48BB67FA">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_Toc25924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lang w:val="en-US" w:eastAsia="zh-CN"/>
            </w:rPr>
            <w:t>6． 拌合站建设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_Toc25924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5627729">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_Toc7053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6</w:t>
          </w:r>
          <w:r>
            <w:rPr>
              <w:rFonts w:hint="default" w:ascii="Times New Roman" w:hAnsi="Times New Roman" w:eastAsia="仿宋_GB2312" w:cs="Times New Roman"/>
              <w:bCs/>
            </w:rPr>
            <w:t>.1 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_Toc7053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BE99624">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_Toc5587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6</w:t>
          </w:r>
          <w:r>
            <w:rPr>
              <w:rFonts w:hint="default" w:ascii="Times New Roman" w:hAnsi="Times New Roman" w:eastAsia="仿宋_GB2312" w:cs="Times New Roman"/>
              <w:bCs/>
            </w:rPr>
            <w:t>.</w:t>
          </w:r>
          <w:r>
            <w:rPr>
              <w:rFonts w:hint="default" w:ascii="Times New Roman" w:hAnsi="Times New Roman" w:eastAsia="仿宋_GB2312" w:cs="Times New Roman"/>
              <w:bCs/>
              <w:lang w:val="en-US" w:eastAsia="zh-CN"/>
            </w:rPr>
            <w:t>2</w:t>
          </w:r>
          <w:r>
            <w:rPr>
              <w:rFonts w:hint="default" w:ascii="Times New Roman" w:hAnsi="Times New Roman" w:eastAsia="仿宋_GB2312" w:cs="Times New Roman"/>
              <w:bCs/>
            </w:rPr>
            <w:t xml:space="preserve"> </w:t>
          </w:r>
          <w:r>
            <w:rPr>
              <w:rFonts w:hint="default" w:ascii="Times New Roman" w:hAnsi="Times New Roman" w:eastAsia="仿宋_GB2312" w:cs="Times New Roman"/>
              <w:bCs/>
              <w:lang w:val="en-US" w:eastAsia="zh-CN"/>
            </w:rPr>
            <w:t>RAP油石分离设备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_Toc5587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F1CF912">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_Toc3023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6</w:t>
          </w:r>
          <w:r>
            <w:rPr>
              <w:rFonts w:hint="default" w:ascii="Times New Roman" w:hAnsi="Times New Roman" w:eastAsia="仿宋_GB2312" w:cs="Times New Roman"/>
              <w:bCs/>
            </w:rPr>
            <w:t>.</w:t>
          </w:r>
          <w:r>
            <w:rPr>
              <w:rFonts w:hint="default" w:ascii="Times New Roman" w:hAnsi="Times New Roman" w:eastAsia="仿宋_GB2312" w:cs="Times New Roman"/>
              <w:bCs/>
              <w:lang w:val="en-US" w:eastAsia="zh-CN"/>
            </w:rPr>
            <w:t>3</w:t>
          </w:r>
          <w:r>
            <w:rPr>
              <w:rFonts w:hint="default" w:ascii="Times New Roman" w:hAnsi="Times New Roman" w:eastAsia="仿宋_GB2312" w:cs="Times New Roman"/>
              <w:bCs/>
            </w:rPr>
            <w:t xml:space="preserve"> </w:t>
          </w:r>
          <w:r>
            <w:rPr>
              <w:rFonts w:hint="default" w:ascii="Times New Roman" w:hAnsi="Times New Roman" w:eastAsia="仿宋_GB2312" w:cs="Times New Roman"/>
              <w:bCs/>
              <w:lang w:val="en-US" w:eastAsia="zh-CN"/>
            </w:rPr>
            <w:t>RAP再生加热设备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_Toc3023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B7ADDD7">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_Toc1765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6</w:t>
          </w:r>
          <w:r>
            <w:rPr>
              <w:rFonts w:hint="default" w:ascii="Times New Roman" w:hAnsi="Times New Roman" w:eastAsia="仿宋_GB2312" w:cs="Times New Roman"/>
              <w:bCs/>
            </w:rPr>
            <w:t>.</w:t>
          </w:r>
          <w:r>
            <w:rPr>
              <w:rFonts w:hint="default" w:ascii="Times New Roman" w:hAnsi="Times New Roman" w:eastAsia="仿宋_GB2312" w:cs="Times New Roman"/>
              <w:bCs/>
              <w:lang w:val="en-US" w:eastAsia="zh-CN"/>
            </w:rPr>
            <w:t>4</w:t>
          </w:r>
          <w:r>
            <w:rPr>
              <w:rFonts w:hint="default" w:ascii="Times New Roman" w:hAnsi="Times New Roman" w:eastAsia="仿宋_GB2312" w:cs="Times New Roman"/>
              <w:bCs/>
            </w:rPr>
            <w:t xml:space="preserve"> </w:t>
          </w:r>
          <w:r>
            <w:rPr>
              <w:rFonts w:hint="default" w:ascii="Times New Roman" w:hAnsi="Times New Roman" w:eastAsia="仿宋_GB2312" w:cs="Times New Roman"/>
              <w:bCs/>
              <w:lang w:val="en-US" w:eastAsia="zh-CN"/>
            </w:rPr>
            <w:t>沥青</w:t>
          </w:r>
          <w:r>
            <w:rPr>
              <w:rFonts w:hint="default" w:ascii="Times New Roman" w:hAnsi="Times New Roman" w:eastAsia="仿宋_GB2312" w:cs="Times New Roman"/>
              <w:bCs/>
            </w:rPr>
            <w:t>拌</w:t>
          </w:r>
          <w:r>
            <w:rPr>
              <w:rFonts w:hint="default" w:ascii="Times New Roman" w:hAnsi="Times New Roman" w:eastAsia="仿宋_GB2312" w:cs="Times New Roman"/>
              <w:bCs/>
              <w:lang w:val="en-US" w:eastAsia="zh-CN"/>
            </w:rPr>
            <w:t>合站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_Toc1765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BC125DF">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_Toc7216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lang w:val="en-US" w:eastAsia="zh-CN"/>
            </w:rPr>
            <w:t>7． 原材料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_Toc7216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90DCD45">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_Toc12184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7</w:t>
          </w:r>
          <w:r>
            <w:rPr>
              <w:rFonts w:hint="default" w:ascii="Times New Roman" w:hAnsi="Times New Roman" w:eastAsia="仿宋_GB2312" w:cs="Times New Roman"/>
              <w:bCs/>
            </w:rPr>
            <w:t xml:space="preserve">.1 </w:t>
          </w:r>
          <w:r>
            <w:rPr>
              <w:rFonts w:hint="default" w:ascii="Times New Roman" w:hAnsi="Times New Roman" w:eastAsia="仿宋_GB2312" w:cs="Times New Roman"/>
              <w:bCs/>
              <w:lang w:val="en-US" w:eastAsia="zh-CN"/>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_Toc12184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F149943">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_Toc1719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7</w:t>
          </w:r>
          <w:r>
            <w:rPr>
              <w:rFonts w:hint="default" w:ascii="Times New Roman" w:hAnsi="Times New Roman" w:eastAsia="仿宋_GB2312" w:cs="Times New Roman"/>
              <w:bCs/>
            </w:rPr>
            <w:t>.2 沥青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_Toc1719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0D51E688">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_Toc27595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7</w:t>
          </w:r>
          <w:r>
            <w:rPr>
              <w:rFonts w:hint="default" w:ascii="Times New Roman" w:hAnsi="Times New Roman" w:eastAsia="仿宋_GB2312" w:cs="Times New Roman"/>
              <w:bCs/>
            </w:rPr>
            <w:t>.</w:t>
          </w:r>
          <w:r>
            <w:rPr>
              <w:rFonts w:hint="default" w:ascii="Times New Roman" w:hAnsi="Times New Roman" w:eastAsia="仿宋_GB2312" w:cs="Times New Roman"/>
              <w:bCs/>
              <w:lang w:val="en-US" w:eastAsia="zh-CN"/>
            </w:rPr>
            <w:t>3</w:t>
          </w:r>
          <w:r>
            <w:rPr>
              <w:rFonts w:hint="default" w:ascii="Times New Roman" w:hAnsi="Times New Roman" w:eastAsia="仿宋_GB2312" w:cs="Times New Roman"/>
              <w:bCs/>
            </w:rPr>
            <w:t xml:space="preserve"> </w:t>
          </w:r>
          <w:r>
            <w:rPr>
              <w:rFonts w:hint="default" w:ascii="Times New Roman" w:hAnsi="Times New Roman" w:eastAsia="仿宋_GB2312" w:cs="Times New Roman"/>
              <w:bCs/>
              <w:lang w:val="en-US" w:eastAsia="zh-CN"/>
            </w:rPr>
            <w:t>新</w:t>
          </w:r>
          <w:r>
            <w:rPr>
              <w:rFonts w:hint="default" w:ascii="Times New Roman" w:hAnsi="Times New Roman" w:eastAsia="仿宋_GB2312" w:cs="Times New Roman"/>
              <w:bCs/>
            </w:rPr>
            <w:t>集料</w:t>
          </w:r>
          <w:r>
            <w:rPr>
              <w:rFonts w:hint="default" w:ascii="Times New Roman" w:hAnsi="Times New Roman" w:eastAsia="仿宋_GB2312" w:cs="Times New Roman"/>
              <w:bCs/>
              <w:lang w:val="en-US" w:eastAsia="zh-CN"/>
            </w:rPr>
            <w:t>及填料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_Toc27595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42146F0C">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_Toc25067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7.4 油石分离RAP</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_Toc25067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3DAA0AE4">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_Toc8551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7.5</w:t>
          </w:r>
          <w:r>
            <w:rPr>
              <w:rFonts w:hint="default" w:ascii="Times New Roman" w:hAnsi="Times New Roman" w:eastAsia="仿宋_GB2312" w:cs="Times New Roman"/>
              <w:bCs/>
            </w:rPr>
            <w:t xml:space="preserve"> 再生改性剂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_Toc8551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5163D495">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_Toc1933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7.6</w:t>
          </w:r>
          <w:r>
            <w:rPr>
              <w:rFonts w:hint="default" w:ascii="Times New Roman" w:hAnsi="Times New Roman" w:eastAsia="仿宋_GB2312" w:cs="Times New Roman"/>
              <w:bCs/>
            </w:rPr>
            <w:t xml:space="preserve"> 沥青再生剂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_Toc1933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B828377">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_Toc2237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lang w:val="en-US" w:eastAsia="zh-CN"/>
            </w:rPr>
            <w:t>8． 再生沥青混合料组成设计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_Toc2237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1E02EDA0">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_Toc17907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8</w:t>
          </w:r>
          <w:r>
            <w:rPr>
              <w:rFonts w:hint="default" w:ascii="Times New Roman" w:hAnsi="Times New Roman" w:eastAsia="仿宋_GB2312" w:cs="Times New Roman"/>
              <w:bCs/>
            </w:rPr>
            <w:t xml:space="preserve">.1 </w:t>
          </w:r>
          <w:r>
            <w:rPr>
              <w:rFonts w:hint="default" w:ascii="Times New Roman" w:hAnsi="Times New Roman" w:eastAsia="仿宋_GB2312" w:cs="Times New Roman"/>
              <w:bCs/>
              <w:lang w:val="en-US" w:eastAsia="zh-CN"/>
            </w:rPr>
            <w:t>一般规定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_Toc17907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83B76A2">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_Toc30958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8</w:t>
          </w:r>
          <w:r>
            <w:rPr>
              <w:rFonts w:hint="default" w:ascii="Times New Roman" w:hAnsi="Times New Roman" w:eastAsia="仿宋_GB2312" w:cs="Times New Roman"/>
              <w:bCs/>
            </w:rPr>
            <w:t>.</w:t>
          </w:r>
          <w:r>
            <w:rPr>
              <w:rFonts w:hint="default" w:ascii="Times New Roman" w:hAnsi="Times New Roman" w:eastAsia="仿宋_GB2312" w:cs="Times New Roman"/>
              <w:bCs/>
              <w:lang w:val="en-US" w:eastAsia="zh-CN"/>
            </w:rPr>
            <w:t>2</w:t>
          </w:r>
          <w:r>
            <w:rPr>
              <w:rFonts w:hint="default" w:ascii="Times New Roman" w:hAnsi="Times New Roman" w:eastAsia="仿宋_GB2312" w:cs="Times New Roman"/>
              <w:bCs/>
            </w:rPr>
            <w:t xml:space="preserve"> </w:t>
          </w:r>
          <w:r>
            <w:rPr>
              <w:rFonts w:hint="default" w:ascii="Times New Roman" w:hAnsi="Times New Roman" w:eastAsia="仿宋_GB2312" w:cs="Times New Roman"/>
              <w:bCs/>
              <w:lang w:val="en-US" w:eastAsia="zh-CN"/>
            </w:rPr>
            <w:t>再生沥青</w:t>
          </w:r>
          <w:r>
            <w:rPr>
              <w:rFonts w:hint="default" w:ascii="Times New Roman" w:hAnsi="Times New Roman" w:eastAsia="仿宋_GB2312" w:cs="Times New Roman"/>
              <w:bCs/>
            </w:rPr>
            <w:t>混合料技术</w:t>
          </w:r>
          <w:r>
            <w:rPr>
              <w:rFonts w:hint="default" w:ascii="Times New Roman" w:hAnsi="Times New Roman" w:eastAsia="仿宋_GB2312" w:cs="Times New Roman"/>
              <w:bCs/>
              <w:lang w:val="en-US" w:eastAsia="zh-CN"/>
            </w:rPr>
            <w:t>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_Toc30958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1F90FBC0">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_Toc22873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lang w:val="en-US" w:eastAsia="zh-CN"/>
            </w:rPr>
            <w:t xml:space="preserve">9． </w:t>
          </w:r>
          <w:r>
            <w:rPr>
              <w:rFonts w:hint="default" w:ascii="Times New Roman" w:hAnsi="Times New Roman" w:eastAsia="仿宋_GB2312" w:cs="Times New Roman"/>
              <w:bCs/>
              <w:szCs w:val="22"/>
              <w:highlight w:val="none"/>
              <w:lang w:val="en-US" w:eastAsia="zh-CN"/>
            </w:rPr>
            <w:t>再生沥青路面施工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_Toc22873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3EC9E1FD">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_Toc24697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9</w:t>
          </w:r>
          <w:r>
            <w:rPr>
              <w:rFonts w:hint="default" w:ascii="Times New Roman" w:hAnsi="Times New Roman" w:eastAsia="仿宋_GB2312" w:cs="Times New Roman"/>
              <w:bCs/>
            </w:rPr>
            <w:t>.1 一般要求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_Toc24697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AB00D40">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_Toc21669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9</w:t>
          </w:r>
          <w:r>
            <w:rPr>
              <w:rFonts w:hint="default" w:ascii="Times New Roman" w:hAnsi="Times New Roman" w:eastAsia="仿宋_GB2312" w:cs="Times New Roman"/>
              <w:bCs/>
            </w:rPr>
            <w:t xml:space="preserve">.2 </w:t>
          </w:r>
          <w:r>
            <w:rPr>
              <w:rFonts w:hint="default" w:ascii="Times New Roman" w:hAnsi="Times New Roman" w:eastAsia="仿宋_GB2312" w:cs="Times New Roman"/>
              <w:bCs/>
              <w:lang w:val="en-US" w:eastAsia="zh-CN"/>
            </w:rPr>
            <w:t>RAP回收处理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_Toc21669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A0DAFAF">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_Toc4968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9</w:t>
          </w:r>
          <w:r>
            <w:rPr>
              <w:rFonts w:hint="default" w:ascii="Times New Roman" w:hAnsi="Times New Roman" w:eastAsia="仿宋_GB2312" w:cs="Times New Roman"/>
              <w:bCs/>
            </w:rPr>
            <w:t>.3 拌合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_Toc4968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C50373E">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_Toc7544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9</w:t>
          </w:r>
          <w:r>
            <w:rPr>
              <w:rFonts w:hint="default" w:ascii="Times New Roman" w:hAnsi="Times New Roman" w:eastAsia="仿宋_GB2312" w:cs="Times New Roman"/>
              <w:bCs/>
            </w:rPr>
            <w:t>.4 运输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_Toc7544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1617771B">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_Toc9136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9</w:t>
          </w:r>
          <w:r>
            <w:rPr>
              <w:rFonts w:hint="default" w:ascii="Times New Roman" w:hAnsi="Times New Roman" w:eastAsia="仿宋_GB2312" w:cs="Times New Roman"/>
              <w:bCs/>
            </w:rPr>
            <w:t>.5 摊铺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_Toc9136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6FE838BE">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_Toc32120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9</w:t>
          </w:r>
          <w:r>
            <w:rPr>
              <w:rFonts w:hint="default" w:ascii="Times New Roman" w:hAnsi="Times New Roman" w:eastAsia="仿宋_GB2312" w:cs="Times New Roman"/>
              <w:bCs/>
            </w:rPr>
            <w:t xml:space="preserve">.6 </w:t>
          </w:r>
          <w:r>
            <w:rPr>
              <w:rFonts w:hint="default" w:ascii="Times New Roman" w:hAnsi="Times New Roman" w:eastAsia="仿宋_GB2312" w:cs="Times New Roman"/>
              <w:bCs/>
              <w:lang w:val="en-US" w:eastAsia="zh-CN"/>
            </w:rPr>
            <w:t>碾压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_Toc32120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10285D1">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_Toc24001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9</w:t>
          </w:r>
          <w:r>
            <w:rPr>
              <w:rFonts w:hint="default" w:ascii="Times New Roman" w:hAnsi="Times New Roman" w:eastAsia="仿宋_GB2312" w:cs="Times New Roman"/>
              <w:bCs/>
            </w:rPr>
            <w:t>.</w:t>
          </w:r>
          <w:r>
            <w:rPr>
              <w:rFonts w:hint="default" w:ascii="Times New Roman" w:hAnsi="Times New Roman" w:eastAsia="仿宋_GB2312" w:cs="Times New Roman"/>
              <w:bCs/>
              <w:lang w:val="en-US" w:eastAsia="zh-CN"/>
            </w:rPr>
            <w:t>7</w:t>
          </w:r>
          <w:r>
            <w:rPr>
              <w:rFonts w:hint="default" w:ascii="Times New Roman" w:hAnsi="Times New Roman" w:eastAsia="仿宋_GB2312" w:cs="Times New Roman"/>
              <w:bCs/>
            </w:rPr>
            <w:t xml:space="preserve"> </w:t>
          </w:r>
          <w:r>
            <w:rPr>
              <w:rFonts w:hint="default" w:ascii="Times New Roman" w:hAnsi="Times New Roman" w:eastAsia="仿宋_GB2312" w:cs="Times New Roman"/>
              <w:bCs/>
              <w:lang w:val="en-US" w:eastAsia="zh-CN"/>
            </w:rPr>
            <w:t>养生及开放交通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_Toc24001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2574D6E0">
          <w:pPr>
            <w:pStyle w:val="12"/>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_Toc6968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szCs w:val="22"/>
              <w:lang w:val="en-US" w:eastAsia="zh-CN"/>
            </w:rPr>
            <w:t>10． 再生沥青路面质量控制与验收标准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_Toc6968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7038D6AA">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_Toc4691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highlight w:val="none"/>
              <w:lang w:val="en-US" w:eastAsia="zh-CN"/>
            </w:rPr>
            <w:t>10</w:t>
          </w:r>
          <w:r>
            <w:rPr>
              <w:rFonts w:hint="default" w:ascii="Times New Roman" w:hAnsi="Times New Roman" w:eastAsia="仿宋_GB2312" w:cs="Times New Roman"/>
              <w:bCs/>
              <w:highlight w:val="none"/>
            </w:rPr>
            <w:t>.1 原材料过程质量控制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_Toc4691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0D4EFE51">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_Toc32561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10</w:t>
          </w:r>
          <w:r>
            <w:rPr>
              <w:rFonts w:hint="default" w:ascii="Times New Roman" w:hAnsi="Times New Roman" w:eastAsia="仿宋_GB2312" w:cs="Times New Roman"/>
              <w:bCs/>
            </w:rPr>
            <w:t>.2 再生沥青</w:t>
          </w:r>
          <w:r>
            <w:rPr>
              <w:rFonts w:hint="default" w:ascii="Times New Roman" w:hAnsi="Times New Roman" w:eastAsia="仿宋_GB2312" w:cs="Times New Roman"/>
              <w:bCs/>
              <w:lang w:val="en-US" w:eastAsia="zh-CN"/>
            </w:rPr>
            <w:t>混合料</w:t>
          </w:r>
          <w:r>
            <w:rPr>
              <w:rFonts w:hint="default" w:ascii="Times New Roman" w:hAnsi="Times New Roman" w:eastAsia="仿宋_GB2312" w:cs="Times New Roman"/>
              <w:bCs/>
            </w:rPr>
            <w:t>过程质量控制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_Toc32561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482CBAE6">
          <w:pPr>
            <w:pStyle w:val="13"/>
            <w:tabs>
              <w:tab w:val="right" w:leader="dot" w:pos="9412"/>
            </w:tabs>
            <w:rPr>
              <w:rFonts w:hint="default" w:ascii="Times New Roman" w:hAnsi="Times New Roman" w:cs="Times New Roman"/>
            </w:rPr>
          </w:pP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_Toc24570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bCs/>
              <w:lang w:val="en-US" w:eastAsia="zh-CN"/>
            </w:rPr>
            <w:t>10</w:t>
          </w:r>
          <w:r>
            <w:rPr>
              <w:rFonts w:hint="default" w:ascii="Times New Roman" w:hAnsi="Times New Roman" w:eastAsia="仿宋_GB2312" w:cs="Times New Roman"/>
              <w:bCs/>
            </w:rPr>
            <w:t>.</w:t>
          </w:r>
          <w:r>
            <w:rPr>
              <w:rFonts w:hint="default" w:ascii="Times New Roman" w:hAnsi="Times New Roman" w:eastAsia="仿宋_GB2312" w:cs="Times New Roman"/>
              <w:bCs/>
              <w:lang w:val="en-US" w:eastAsia="zh-CN"/>
            </w:rPr>
            <w:t>3</w:t>
          </w:r>
          <w:r>
            <w:rPr>
              <w:rFonts w:hint="default" w:ascii="Times New Roman" w:hAnsi="Times New Roman" w:eastAsia="仿宋_GB2312" w:cs="Times New Roman"/>
              <w:bCs/>
            </w:rPr>
            <w:t xml:space="preserve"> </w:t>
          </w:r>
          <w:r>
            <w:rPr>
              <w:rFonts w:hint="default" w:ascii="Times New Roman" w:hAnsi="Times New Roman" w:eastAsia="仿宋_GB2312" w:cs="Times New Roman"/>
              <w:bCs/>
              <w:lang w:val="en-US" w:eastAsia="zh-CN"/>
            </w:rPr>
            <w:t>再生沥青路面验收标准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_Toc24570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仿宋_GB2312" w:cs="Times New Roman"/>
            </w:rPr>
            <w:fldChar w:fldCharType="end"/>
          </w:r>
        </w:p>
        <w:p w14:paraId="114DA188">
          <w:pPr>
            <w:spacing w:line="360" w:lineRule="auto"/>
            <w:jc w:val="center"/>
            <w:rPr>
              <w:rFonts w:hint="default" w:ascii="Times New Roman" w:hAnsi="Times New Roman" w:eastAsia="仿宋_GB2312" w:cs="Times New Roman"/>
            </w:rPr>
            <w:sectPr>
              <w:footerReference r:id="rId3" w:type="default"/>
              <w:pgSz w:w="11906" w:h="16838"/>
              <w:pgMar w:top="1134" w:right="1247" w:bottom="1134" w:left="1247"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default" w:ascii="Times New Roman" w:hAnsi="Times New Roman" w:eastAsia="仿宋_GB2312" w:cs="Times New Roman"/>
            </w:rPr>
            <w:fldChar w:fldCharType="end"/>
          </w:r>
        </w:p>
      </w:sdtContent>
    </w:sdt>
    <w:p w14:paraId="74C426D1">
      <w:pPr>
        <w:numPr>
          <w:ilvl w:val="0"/>
          <w:numId w:val="2"/>
        </w:numPr>
        <w:spacing w:line="360" w:lineRule="auto"/>
        <w:ind w:firstLine="0"/>
        <w:outlineLvl w:val="0"/>
        <w:rPr>
          <w:rFonts w:hint="default" w:ascii="Times New Roman" w:hAnsi="Times New Roman" w:eastAsia="仿宋_GB2312" w:cs="Times New Roman"/>
          <w:b/>
          <w:bCs/>
          <w:kern w:val="0"/>
          <w:sz w:val="32"/>
          <w:szCs w:val="22"/>
          <w:lang w:val="en-US" w:eastAsia="zh-CN" w:bidi="ar-SA"/>
        </w:rPr>
      </w:pPr>
      <w:bookmarkStart w:id="7" w:name="_Toc21327"/>
      <w:r>
        <w:rPr>
          <w:rFonts w:hint="default" w:ascii="Times New Roman" w:hAnsi="Times New Roman" w:eastAsia="仿宋_GB2312" w:cs="Times New Roman"/>
          <w:b/>
          <w:bCs/>
          <w:kern w:val="0"/>
          <w:sz w:val="32"/>
          <w:szCs w:val="22"/>
          <w:lang w:val="en-US" w:eastAsia="zh-CN" w:bidi="ar-SA"/>
        </w:rPr>
        <w:t>总则</w:t>
      </w:r>
      <w:bookmarkEnd w:id="7"/>
    </w:p>
    <w:p w14:paraId="22CB2890">
      <w:pPr>
        <w:pStyle w:val="49"/>
        <w:numPr>
          <w:ilvl w:val="2"/>
          <w:numId w:val="3"/>
        </w:numPr>
        <w:tabs>
          <w:tab w:val="left" w:pos="1134"/>
        </w:tabs>
        <w:spacing w:beforeLines="0" w:afterLines="0" w:line="360" w:lineRule="auto"/>
        <w:ind w:left="0" w:firstLine="426"/>
        <w:jc w:val="both"/>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为</w:t>
      </w:r>
      <w:r>
        <w:rPr>
          <w:rFonts w:hint="default" w:ascii="Times New Roman" w:hAnsi="Times New Roman" w:eastAsia="仿宋_GB2312" w:cs="Times New Roman"/>
          <w:sz w:val="24"/>
          <w:lang w:val="en-US" w:eastAsia="zh-CN"/>
        </w:rPr>
        <w:t>规范</w:t>
      </w:r>
      <w:r>
        <w:rPr>
          <w:rFonts w:hint="default" w:ascii="Times New Roman" w:hAnsi="Times New Roman" w:eastAsia="仿宋_GB2312" w:cs="Times New Roman"/>
          <w:sz w:val="24"/>
        </w:rPr>
        <w:t>贵州</w:t>
      </w:r>
      <w:r>
        <w:rPr>
          <w:rFonts w:hint="default" w:ascii="Times New Roman" w:hAnsi="Times New Roman" w:eastAsia="仿宋_GB2312" w:cs="Times New Roman"/>
          <w:sz w:val="24"/>
          <w:lang w:val="en-US" w:eastAsia="zh-CN"/>
        </w:rPr>
        <w:t>地区油石分离RAP厂拌热再生沥青路面</w:t>
      </w:r>
      <w:r>
        <w:rPr>
          <w:rFonts w:hint="default" w:ascii="Times New Roman" w:hAnsi="Times New Roman" w:eastAsia="仿宋_GB2312" w:cs="Times New Roman"/>
          <w:sz w:val="24"/>
        </w:rPr>
        <w:t>的设计、施工</w:t>
      </w:r>
      <w:r>
        <w:rPr>
          <w:rFonts w:hint="default" w:ascii="Times New Roman" w:hAnsi="Times New Roman" w:eastAsia="仿宋_GB2312" w:cs="Times New Roman"/>
          <w:sz w:val="24"/>
          <w:lang w:val="en-US" w:eastAsia="zh-CN"/>
        </w:rPr>
        <w:t>及</w:t>
      </w:r>
      <w:r>
        <w:rPr>
          <w:rFonts w:hint="default" w:ascii="Times New Roman" w:hAnsi="Times New Roman" w:eastAsia="仿宋_GB2312" w:cs="Times New Roman"/>
          <w:sz w:val="24"/>
        </w:rPr>
        <w:t>验收，</w:t>
      </w:r>
      <w:r>
        <w:rPr>
          <w:rFonts w:hint="default" w:ascii="Times New Roman" w:hAnsi="Times New Roman" w:eastAsia="仿宋_GB2312" w:cs="Times New Roman"/>
          <w:sz w:val="24"/>
          <w:lang w:val="en-US" w:eastAsia="zh-CN"/>
        </w:rPr>
        <w:t>提高技术水平，</w:t>
      </w:r>
      <w:r>
        <w:rPr>
          <w:rFonts w:hint="default" w:ascii="Times New Roman" w:hAnsi="Times New Roman" w:eastAsia="仿宋_GB2312" w:cs="Times New Roman"/>
          <w:sz w:val="24"/>
        </w:rPr>
        <w:t>保证工程质量，制定本指南。</w:t>
      </w:r>
    </w:p>
    <w:p w14:paraId="6586DAA5">
      <w:pPr>
        <w:pStyle w:val="49"/>
        <w:numPr>
          <w:ilvl w:val="2"/>
          <w:numId w:val="3"/>
        </w:numPr>
        <w:tabs>
          <w:tab w:val="left" w:pos="1134"/>
        </w:tabs>
        <w:spacing w:beforeLines="0" w:afterLines="0" w:line="360" w:lineRule="auto"/>
        <w:ind w:left="0" w:firstLine="426"/>
        <w:jc w:val="both"/>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本指南适用于各等级公路沥青路面</w:t>
      </w:r>
      <w:r>
        <w:rPr>
          <w:rFonts w:hint="default" w:ascii="Times New Roman" w:hAnsi="Times New Roman" w:eastAsia="仿宋_GB2312" w:cs="Times New Roman"/>
          <w:sz w:val="24"/>
          <w:lang w:val="en-US" w:eastAsia="zh-CN"/>
        </w:rPr>
        <w:t>的</w:t>
      </w:r>
      <w:r>
        <w:rPr>
          <w:rFonts w:hint="default" w:ascii="Times New Roman" w:hAnsi="Times New Roman" w:eastAsia="仿宋_GB2312" w:cs="Times New Roman"/>
          <w:sz w:val="24"/>
        </w:rPr>
        <w:t>中下面层施工</w:t>
      </w:r>
      <w:r>
        <w:rPr>
          <w:rFonts w:hint="default" w:ascii="Times New Roman" w:hAnsi="Times New Roman" w:eastAsia="仿宋_GB2312" w:cs="Times New Roman"/>
          <w:sz w:val="24"/>
          <w:lang w:eastAsia="zh-CN"/>
        </w:rPr>
        <w:t>。</w:t>
      </w:r>
    </w:p>
    <w:p w14:paraId="2E31FBA3">
      <w:pPr>
        <w:pStyle w:val="49"/>
        <w:numPr>
          <w:ilvl w:val="2"/>
          <w:numId w:val="3"/>
        </w:numPr>
        <w:tabs>
          <w:tab w:val="left" w:pos="1134"/>
        </w:tabs>
        <w:spacing w:beforeLines="0" w:afterLines="0" w:line="360" w:lineRule="auto"/>
        <w:ind w:left="0" w:firstLine="426"/>
        <w:jc w:val="both"/>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经专家论证且风险可控条件下</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厂拌热再生沥青</w:t>
      </w:r>
      <w:r>
        <w:rPr>
          <w:rFonts w:hint="default" w:ascii="Times New Roman" w:hAnsi="Times New Roman" w:eastAsia="仿宋_GB2312" w:cs="Times New Roman"/>
          <w:sz w:val="24"/>
          <w:lang w:val="en-US" w:eastAsia="zh-CN"/>
        </w:rPr>
        <w:t>混合料</w:t>
      </w:r>
      <w:r>
        <w:rPr>
          <w:rFonts w:hint="default" w:ascii="Times New Roman" w:hAnsi="Times New Roman" w:eastAsia="仿宋_GB2312" w:cs="Times New Roman"/>
          <w:sz w:val="24"/>
        </w:rPr>
        <w:t>上面层施工</w:t>
      </w:r>
      <w:r>
        <w:rPr>
          <w:rFonts w:hint="default" w:ascii="Times New Roman" w:hAnsi="Times New Roman" w:eastAsia="仿宋_GB2312" w:cs="Times New Roman"/>
          <w:sz w:val="24"/>
          <w:lang w:val="en-US" w:eastAsia="zh-CN"/>
        </w:rPr>
        <w:t>也</w:t>
      </w:r>
      <w:r>
        <w:rPr>
          <w:rFonts w:hint="default" w:ascii="Times New Roman" w:hAnsi="Times New Roman" w:eastAsia="仿宋_GB2312" w:cs="Times New Roman"/>
          <w:sz w:val="24"/>
        </w:rPr>
        <w:t>可参照</w:t>
      </w:r>
      <w:r>
        <w:rPr>
          <w:rFonts w:hint="default" w:ascii="Times New Roman" w:hAnsi="Times New Roman" w:eastAsia="仿宋_GB2312" w:cs="Times New Roman"/>
          <w:sz w:val="24"/>
          <w:lang w:val="en-US" w:eastAsia="zh-CN"/>
        </w:rPr>
        <w:t>本指南</w:t>
      </w:r>
      <w:r>
        <w:rPr>
          <w:rFonts w:hint="default" w:ascii="Times New Roman" w:hAnsi="Times New Roman" w:eastAsia="仿宋_GB2312" w:cs="Times New Roman"/>
          <w:sz w:val="24"/>
        </w:rPr>
        <w:t>执行。</w:t>
      </w:r>
    </w:p>
    <w:p w14:paraId="6EF29935">
      <w:pP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br w:type="page"/>
      </w:r>
    </w:p>
    <w:p w14:paraId="53ABB9DD">
      <w:pPr>
        <w:numPr>
          <w:ilvl w:val="0"/>
          <w:numId w:val="2"/>
        </w:numPr>
        <w:spacing w:line="360" w:lineRule="auto"/>
        <w:ind w:firstLine="0"/>
        <w:outlineLvl w:val="0"/>
        <w:rPr>
          <w:rFonts w:hint="default" w:ascii="Times New Roman" w:hAnsi="Times New Roman" w:eastAsia="仿宋_GB2312" w:cs="Times New Roman"/>
          <w:b/>
          <w:bCs/>
          <w:sz w:val="32"/>
          <w:szCs w:val="22"/>
        </w:rPr>
      </w:pPr>
      <w:bookmarkStart w:id="8" w:name="_Toc181022543"/>
      <w:bookmarkStart w:id="9" w:name="_Toc126742831"/>
      <w:bookmarkStart w:id="10" w:name="_Toc179636650"/>
      <w:bookmarkStart w:id="11" w:name="_Toc8521"/>
      <w:r>
        <w:rPr>
          <w:rFonts w:hint="default" w:ascii="Times New Roman" w:hAnsi="Times New Roman" w:eastAsia="仿宋_GB2312" w:cs="Times New Roman"/>
          <w:b/>
          <w:bCs/>
          <w:sz w:val="32"/>
          <w:szCs w:val="22"/>
        </w:rPr>
        <w:t>规范性引用文件</w:t>
      </w:r>
      <w:bookmarkEnd w:id="8"/>
      <w:bookmarkEnd w:id="9"/>
      <w:bookmarkEnd w:id="10"/>
      <w:bookmarkEnd w:id="11"/>
    </w:p>
    <w:p w14:paraId="5DFCA1EE">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本指南编制主要</w:t>
      </w:r>
      <w:r>
        <w:rPr>
          <w:rFonts w:hint="default" w:ascii="Times New Roman" w:hAnsi="Times New Roman" w:eastAsia="仿宋_GB2312" w:cs="Times New Roman"/>
          <w:sz w:val="24"/>
          <w:lang w:val="en-US" w:eastAsia="zh-CN"/>
        </w:rPr>
        <w:t>规范性</w:t>
      </w:r>
      <w:r>
        <w:rPr>
          <w:rFonts w:hint="default" w:ascii="Times New Roman" w:hAnsi="Times New Roman" w:eastAsia="仿宋_GB2312" w:cs="Times New Roman"/>
          <w:sz w:val="24"/>
        </w:rPr>
        <w:t>引用文件如下，未涉及条款按照国家现行标准或规范执行。</w:t>
      </w:r>
    </w:p>
    <w:p w14:paraId="3FDD08CB">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（1）《公路沥青路面再生技术规范》（JTG/T 5521-2019）；</w:t>
      </w:r>
    </w:p>
    <w:p w14:paraId="3144C866">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）《公路沥青路面设计规范》</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JTG D50-2017</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w:t>
      </w:r>
    </w:p>
    <w:p w14:paraId="4E3C7A76">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）《公路沥青路面施工技术规范》</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JTG F40-2004</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w:t>
      </w:r>
    </w:p>
    <w:p w14:paraId="7705E35F">
      <w:pPr>
        <w:spacing w:line="360" w:lineRule="auto"/>
        <w:ind w:firstLine="480" w:firstLineChars="200"/>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）《公路工程沥青及沥青混合料试验规程》（JTG E20</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rPr>
        <w:t>2011）</w:t>
      </w:r>
      <w:r>
        <w:rPr>
          <w:rFonts w:hint="default" w:ascii="Times New Roman" w:hAnsi="Times New Roman" w:eastAsia="仿宋_GB2312" w:cs="Times New Roman"/>
          <w:sz w:val="24"/>
          <w:lang w:eastAsia="zh-CN"/>
        </w:rPr>
        <w:t>；</w:t>
      </w:r>
    </w:p>
    <w:p w14:paraId="6772B7FA">
      <w:pPr>
        <w:spacing w:line="360" w:lineRule="auto"/>
        <w:ind w:firstLine="480" w:firstLineChars="200"/>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公路工程集料试验规程</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"https://baike.baidu.com/item/%E5%85%AC%E8%B7%AF%E5%B7%A5%E7%A8%8B%E9%9B%86%E6%96%99%E8%AF%95%E9%AA%8C%E8%A7%84%E7%A8%8B(JTG 3432%E2%80%942024)/64323386" \t "https://cn.bing.com/_blank" </w:instrText>
      </w:r>
      <w:r>
        <w:rPr>
          <w:rFonts w:hint="default" w:ascii="Times New Roman" w:hAnsi="Times New Roman" w:eastAsia="仿宋_GB2312" w:cs="Times New Roman"/>
          <w:sz w:val="24"/>
        </w:rPr>
        <w:fldChar w:fldCharType="separate"/>
      </w:r>
      <w:r>
        <w:rPr>
          <w:rFonts w:hint="default" w:ascii="Times New Roman" w:hAnsi="Times New Roman" w:eastAsia="仿宋_GB2312" w:cs="Times New Roman"/>
          <w:sz w:val="24"/>
        </w:rPr>
        <w:t>(JTG 3432</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rPr>
        <w:t>2024)</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lang w:eastAsia="zh-CN"/>
        </w:rPr>
        <w:t>；</w:t>
      </w:r>
    </w:p>
    <w:p w14:paraId="739FE5E7">
      <w:pPr>
        <w:spacing w:line="360" w:lineRule="auto"/>
        <w:ind w:firstLine="480" w:firstLineChars="200"/>
        <w:jc w:val="lef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eastAsia="zh-CN"/>
        </w:rPr>
        <w:fldChar w:fldCharType="begin"/>
      </w:r>
      <w:r>
        <w:rPr>
          <w:rFonts w:hint="default" w:ascii="Times New Roman" w:hAnsi="Times New Roman" w:eastAsia="仿宋_GB2312" w:cs="Times New Roman"/>
          <w:sz w:val="24"/>
          <w:lang w:eastAsia="zh-CN"/>
        </w:rPr>
        <w:instrText xml:space="preserve"> HYPERLINK "http://www.weboos.cn:8083/assets/basicStandard/std_1358297.pdf" \t "https://cn.bing.com/_blank" </w:instrText>
      </w:r>
      <w:r>
        <w:rPr>
          <w:rFonts w:hint="default" w:ascii="Times New Roman" w:hAnsi="Times New Roman" w:eastAsia="仿宋_GB2312" w:cs="Times New Roman"/>
          <w:sz w:val="24"/>
          <w:lang w:eastAsia="zh-CN"/>
        </w:rPr>
        <w:fldChar w:fldCharType="separate"/>
      </w:r>
      <w:r>
        <w:rPr>
          <w:rFonts w:hint="default" w:ascii="Times New Roman" w:hAnsi="Times New Roman" w:eastAsia="仿宋_GB2312" w:cs="Times New Roman"/>
          <w:sz w:val="24"/>
          <w:lang w:eastAsia="zh-CN"/>
        </w:rPr>
        <w:t>《公路沥青路面养护技术规范》（JTG 5142—2019）</w:t>
      </w:r>
      <w:r>
        <w:rPr>
          <w:rFonts w:hint="default" w:ascii="Times New Roman" w:hAnsi="Times New Roman" w:eastAsia="仿宋_GB2312" w:cs="Times New Roman"/>
          <w:sz w:val="24"/>
          <w:lang w:eastAsia="zh-CN"/>
        </w:rPr>
        <w:fldChar w:fldCharType="end"/>
      </w:r>
      <w:r>
        <w:rPr>
          <w:rFonts w:hint="default" w:ascii="Times New Roman" w:hAnsi="Times New Roman" w:eastAsia="仿宋_GB2312" w:cs="Times New Roman"/>
          <w:sz w:val="24"/>
          <w:lang w:eastAsia="zh-CN"/>
        </w:rPr>
        <w:t>；</w:t>
      </w:r>
    </w:p>
    <w:p w14:paraId="193383C5">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7</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《贵州高速公路集团有限公司高速公路建设项目沥青路面施工管理规定（第三版修订版）》。</w:t>
      </w:r>
    </w:p>
    <w:p w14:paraId="68C02EB3">
      <w:pPr>
        <w:rPr>
          <w:rFonts w:hint="default" w:ascii="Times New Roman" w:hAnsi="Times New Roman" w:eastAsia="仿宋_GB2312" w:cs="Times New Roman"/>
          <w:color w:val="FF0000"/>
          <w:sz w:val="24"/>
        </w:rPr>
      </w:pPr>
      <w:r>
        <w:rPr>
          <w:rFonts w:hint="default" w:ascii="Times New Roman" w:hAnsi="Times New Roman" w:eastAsia="仿宋_GB2312" w:cs="Times New Roman"/>
          <w:color w:val="FF0000"/>
          <w:sz w:val="24"/>
        </w:rPr>
        <w:br w:type="page"/>
      </w:r>
    </w:p>
    <w:p w14:paraId="2C2BD283">
      <w:pPr>
        <w:numPr>
          <w:ilvl w:val="0"/>
          <w:numId w:val="2"/>
        </w:numPr>
        <w:spacing w:line="360" w:lineRule="auto"/>
        <w:ind w:firstLine="0"/>
        <w:outlineLvl w:val="0"/>
        <w:rPr>
          <w:rFonts w:hint="default" w:ascii="Times New Roman" w:hAnsi="Times New Roman" w:eastAsia="仿宋_GB2312" w:cs="Times New Roman"/>
          <w:b/>
          <w:bCs/>
          <w:sz w:val="32"/>
          <w:szCs w:val="22"/>
        </w:rPr>
      </w:pPr>
      <w:bookmarkStart w:id="12" w:name="_Toc6005"/>
      <w:r>
        <w:rPr>
          <w:rFonts w:hint="default" w:ascii="Times New Roman" w:hAnsi="Times New Roman" w:eastAsia="仿宋_GB2312" w:cs="Times New Roman"/>
          <w:b/>
          <w:bCs/>
          <w:sz w:val="32"/>
          <w:szCs w:val="22"/>
          <w:lang w:val="en-US" w:eastAsia="zh-CN"/>
        </w:rPr>
        <w:t>术语和符号</w:t>
      </w:r>
      <w:bookmarkEnd w:id="12"/>
    </w:p>
    <w:p w14:paraId="12774468">
      <w:pPr>
        <w:spacing w:line="360" w:lineRule="auto"/>
        <w:outlineLvl w:val="1"/>
        <w:rPr>
          <w:rFonts w:hint="default" w:ascii="Times New Roman" w:hAnsi="Times New Roman" w:eastAsia="仿宋_GB2312" w:cs="Times New Roman"/>
          <w:b/>
          <w:bCs/>
          <w:sz w:val="24"/>
        </w:rPr>
      </w:pPr>
      <w:bookmarkStart w:id="13" w:name="_Toc1813"/>
      <w:bookmarkStart w:id="14" w:name="_Toc181022545"/>
      <w:bookmarkStart w:id="15" w:name="_Toc126742833"/>
      <w:bookmarkStart w:id="16" w:name="_Toc179636648"/>
      <w:r>
        <w:rPr>
          <w:rFonts w:hint="default" w:ascii="Times New Roman" w:hAnsi="Times New Roman" w:eastAsia="仿宋_GB2312" w:cs="Times New Roman"/>
          <w:b/>
          <w:bCs/>
          <w:sz w:val="24"/>
          <w:lang w:val="en-US" w:eastAsia="zh-CN"/>
        </w:rPr>
        <w:t xml:space="preserve">3.1 </w:t>
      </w:r>
      <w:r>
        <w:rPr>
          <w:rFonts w:hint="default" w:ascii="Times New Roman" w:hAnsi="Times New Roman" w:eastAsia="仿宋_GB2312" w:cs="Times New Roman"/>
          <w:b/>
          <w:bCs/>
          <w:sz w:val="24"/>
        </w:rPr>
        <w:t>术语</w:t>
      </w:r>
      <w:bookmarkEnd w:id="13"/>
      <w:bookmarkEnd w:id="14"/>
      <w:bookmarkEnd w:id="15"/>
      <w:bookmarkEnd w:id="16"/>
      <w:r>
        <w:rPr>
          <w:rFonts w:hint="default" w:ascii="Times New Roman" w:hAnsi="Times New Roman" w:eastAsia="仿宋_GB2312" w:cs="Times New Roman"/>
          <w:b/>
          <w:bCs/>
          <w:sz w:val="24"/>
        </w:rPr>
        <w:t xml:space="preserve"> </w:t>
      </w:r>
    </w:p>
    <w:p w14:paraId="167F6F06">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3.1.1 沥青混合料回收料 reclaimed asphalt pavement（RAP）</w:t>
      </w:r>
    </w:p>
    <w:p w14:paraId="6632CCEE">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采用铣刨</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开挖等方式从沥青路面上获得的旧沥青混合料。</w:t>
      </w:r>
    </w:p>
    <w:p w14:paraId="2A9D5845">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3.1.2 油石分离技术 asphalt-aggregate stripping technology</w:t>
      </w:r>
    </w:p>
    <w:p w14:paraId="6A04EE24">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采用骨料再生设备将RAP中大部分旧沥青与骨料进行剥离，能显著降低RAP“假颗粒”对再生沥青混合料级配影响的技术。</w:t>
      </w:r>
    </w:p>
    <w:p w14:paraId="5E5BCDDF">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3.1.3 再生沥青 rejuvenated binder</w:t>
      </w:r>
    </w:p>
    <w:p w14:paraId="2B18741F">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RAP中的回收沥青与沥青再生剂、新沥青（需要时）组成的混合物。</w:t>
      </w:r>
    </w:p>
    <w:p w14:paraId="51376509">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3.1.4 再生沥青混合料 reclaimed mixture</w:t>
      </w:r>
    </w:p>
    <w:p w14:paraId="1983FE24">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含有沥青路面回收料的混合料。</w:t>
      </w:r>
    </w:p>
    <w:p w14:paraId="32B262C7">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3.1.5 厂拌热再生 hot central plant recycling</w:t>
      </w:r>
    </w:p>
    <w:p w14:paraId="33B54601">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在拌和厂将沥青混合料回收料破碎、筛分后，以一定的比例与新矿料、新沥青、沥青再生剂等加热拌和为混合料，然后铺筑形成沥青路面的技术。</w:t>
      </w:r>
    </w:p>
    <w:p w14:paraId="40782F19">
      <w:pPr>
        <w:numPr>
          <w:ilvl w:val="0"/>
          <w:numId w:val="0"/>
        </w:num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3.1.6 沥青再生剂 rejuvenating agent</w:t>
      </w:r>
    </w:p>
    <w:p w14:paraId="15736F89">
      <w:pPr>
        <w:numPr>
          <w:ilvl w:val="0"/>
          <w:numId w:val="0"/>
        </w:num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掺加到热再生沥青混合料中，用于改善老化沥青性能的添加剂。</w:t>
      </w:r>
    </w:p>
    <w:p w14:paraId="2FAC1320">
      <w:pPr>
        <w:numPr>
          <w:ilvl w:val="0"/>
          <w:numId w:val="0"/>
        </w:num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3.1.7 再生改性剂 regeneration modifier</w:t>
      </w:r>
    </w:p>
    <w:p w14:paraId="4395E3BA">
      <w:pPr>
        <w:numPr>
          <w:ilvl w:val="0"/>
          <w:numId w:val="0"/>
        </w:numPr>
        <w:spacing w:line="360" w:lineRule="auto"/>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以高分子聚合物为主要成分</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用于提升再生沥青混合料路用性能的改性材料。</w:t>
      </w:r>
    </w:p>
    <w:p w14:paraId="375B3045">
      <w:pPr>
        <w:spacing w:line="360" w:lineRule="auto"/>
        <w:outlineLvl w:val="1"/>
        <w:rPr>
          <w:rFonts w:hint="default" w:ascii="Times New Roman" w:hAnsi="Times New Roman" w:eastAsia="仿宋_GB2312" w:cs="Times New Roman"/>
          <w:b/>
          <w:bCs/>
          <w:sz w:val="24"/>
        </w:rPr>
      </w:pPr>
      <w:bookmarkStart w:id="17" w:name="_Toc10877"/>
      <w:r>
        <w:rPr>
          <w:rFonts w:hint="default" w:ascii="Times New Roman" w:hAnsi="Times New Roman" w:eastAsia="仿宋_GB2312" w:cs="Times New Roman"/>
          <w:b/>
          <w:bCs/>
          <w:sz w:val="24"/>
          <w:lang w:val="en-US" w:eastAsia="zh-CN"/>
        </w:rPr>
        <w:t>3.2 符号</w:t>
      </w:r>
      <w:bookmarkEnd w:id="17"/>
      <w:r>
        <w:rPr>
          <w:rFonts w:hint="default" w:ascii="Times New Roman" w:hAnsi="Times New Roman" w:eastAsia="仿宋_GB2312" w:cs="Times New Roman"/>
          <w:b/>
          <w:bCs/>
          <w:sz w:val="24"/>
        </w:rPr>
        <w:t xml:space="preserve"> </w:t>
      </w:r>
    </w:p>
    <w:p w14:paraId="14134767">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RAP-沥青混合料回收料；</w:t>
      </w:r>
    </w:p>
    <w:p w14:paraId="7E2E6F71">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RA-沥青再生剂；</w:t>
      </w:r>
    </w:p>
    <w:p w14:paraId="20287BCA">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SBS-苯乙烯-丁二烯-苯乙烯嵌段共聚物；</w:t>
      </w:r>
    </w:p>
    <w:p w14:paraId="4E7FFDED">
      <w:pPr>
        <w:numPr>
          <w:ilvl w:val="0"/>
          <w:numId w:val="4"/>
        </w:num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道路石油沥青；</w:t>
      </w:r>
    </w:p>
    <w:p w14:paraId="3ABF5A02">
      <w:pPr>
        <w:numPr>
          <w:ilvl w:val="0"/>
          <w:numId w:val="0"/>
        </w:num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AC-密集配沥青混合料；</w:t>
      </w:r>
    </w:p>
    <w:p w14:paraId="058039A1">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SMA-沥青玛蹄脂碎石混合料；</w:t>
      </w:r>
    </w:p>
    <w:p w14:paraId="24DFEF58">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VV-压实沥青混合料的空隙率；</w:t>
      </w:r>
    </w:p>
    <w:p w14:paraId="75FBD4CE">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VMA-压实沥青混合料的矿料间隙率；</w:t>
      </w:r>
    </w:p>
    <w:p w14:paraId="6C170231">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VFA-压实沥青混合料的沥青饱和度；</w:t>
      </w:r>
    </w:p>
    <w:p w14:paraId="616A84E3">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PG-美国沥青路用性能分级规格。</w:t>
      </w:r>
    </w:p>
    <w:p w14:paraId="102E0172">
      <w:pPr>
        <w:spacing w:line="360" w:lineRule="auto"/>
        <w:ind w:firstLine="480" w:firstLineChars="200"/>
        <w:jc w:val="left"/>
        <w:rPr>
          <w:rFonts w:hint="default" w:ascii="Times New Roman" w:hAnsi="Times New Roman" w:eastAsia="仿宋_GB2312" w:cs="Times New Roman"/>
          <w:sz w:val="24"/>
          <w:lang w:val="en-US" w:eastAsia="zh-CN"/>
        </w:rPr>
      </w:pPr>
    </w:p>
    <w:p w14:paraId="534217BD">
      <w:pPr>
        <w:numPr>
          <w:ilvl w:val="0"/>
          <w:numId w:val="2"/>
        </w:numPr>
        <w:spacing w:line="360" w:lineRule="auto"/>
        <w:ind w:firstLine="0"/>
        <w:outlineLvl w:val="0"/>
        <w:rPr>
          <w:rFonts w:hint="default" w:ascii="Times New Roman" w:hAnsi="Times New Roman" w:eastAsia="仿宋_GB2312" w:cs="Times New Roman"/>
          <w:b/>
          <w:bCs/>
          <w:sz w:val="32"/>
          <w:szCs w:val="22"/>
          <w:lang w:val="en-US" w:eastAsia="zh-CN"/>
        </w:rPr>
      </w:pPr>
      <w:bookmarkStart w:id="18" w:name="_Toc28506"/>
      <w:r>
        <w:rPr>
          <w:rFonts w:hint="default" w:ascii="Times New Roman" w:hAnsi="Times New Roman" w:eastAsia="仿宋_GB2312" w:cs="Times New Roman"/>
          <w:b/>
          <w:bCs/>
          <w:sz w:val="32"/>
          <w:szCs w:val="22"/>
          <w:lang w:val="en-US" w:eastAsia="zh-CN"/>
        </w:rPr>
        <w:t>基本规定</w:t>
      </w:r>
      <w:bookmarkEnd w:id="18"/>
    </w:p>
    <w:p w14:paraId="7529FDDA">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4.0.1 基于油石分离的厂拌热再生沥青混合料一般用于沥青路面的中下面层；若用于沥青上面层，需进行专家论证。</w:t>
      </w:r>
    </w:p>
    <w:p w14:paraId="5173CCB8">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4.0.2 基于油石分离的厂拌热再生沥青路面结构设计，应符合</w:t>
      </w:r>
      <w:r>
        <w:rPr>
          <w:rFonts w:hint="default" w:ascii="Times New Roman" w:hAnsi="Times New Roman" w:eastAsia="仿宋_GB2312" w:cs="Times New Roman"/>
          <w:sz w:val="24"/>
        </w:rPr>
        <w:t>《公路沥青路面设计规范》</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JTG D50-2017</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的有关规定。</w:t>
      </w:r>
    </w:p>
    <w:p w14:paraId="14EAFB66">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4.0.3 沥青路面回收铣刨料应分层铣刨，分开堆放，并应采取设置防雨罩棚等防水措施；宜通过油石分离技术将</w:t>
      </w:r>
      <w:r>
        <w:rPr>
          <w:rFonts w:hint="default" w:ascii="Times New Roman" w:hAnsi="Times New Roman" w:eastAsia="仿宋_GB2312" w:cs="Times New Roman"/>
          <w:sz w:val="24"/>
        </w:rPr>
        <w:t>RAP破碎筛成</w:t>
      </w:r>
      <w:r>
        <w:rPr>
          <w:rFonts w:hint="default" w:ascii="Times New Roman" w:hAnsi="Times New Roman" w:eastAsia="仿宋_GB2312" w:cs="Times New Roman"/>
          <w:sz w:val="24"/>
          <w:lang w:val="en-US" w:eastAsia="zh-CN"/>
        </w:rPr>
        <w:t>3~5档料</w:t>
      </w:r>
      <w:r>
        <w:rPr>
          <w:rFonts w:hint="default" w:ascii="Times New Roman" w:hAnsi="Times New Roman" w:eastAsia="仿宋_GB2312" w:cs="Times New Roman"/>
          <w:sz w:val="24"/>
        </w:rPr>
        <w:t>。</w:t>
      </w:r>
    </w:p>
    <w:p w14:paraId="098E4548">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4.0.4 基于油石分离的厂拌热再生沥青混合料配合比设计应按照目标配合比设计</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生产配合比设计和生产配合比验证三阶段进行。</w:t>
      </w:r>
    </w:p>
    <w:p w14:paraId="0A83A8A7">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4.0.5 应选取代表性路段铣刨回收破碎的RAP开展配合比设计，方法参照</w:t>
      </w:r>
      <w:r>
        <w:rPr>
          <w:rFonts w:hint="default" w:ascii="Times New Roman" w:hAnsi="Times New Roman" w:eastAsia="仿宋_GB2312" w:cs="Times New Roman"/>
          <w:sz w:val="24"/>
        </w:rPr>
        <w:t>《公路沥青路面再生技术规范》（JTG/T 5521-2019）</w:t>
      </w:r>
      <w:r>
        <w:rPr>
          <w:rFonts w:hint="default" w:ascii="Times New Roman" w:hAnsi="Times New Roman" w:eastAsia="仿宋_GB2312" w:cs="Times New Roman"/>
          <w:sz w:val="24"/>
          <w:lang w:val="en-US" w:eastAsia="zh-CN"/>
        </w:rPr>
        <w:t>附录D。</w:t>
      </w:r>
    </w:p>
    <w:p w14:paraId="294B9962">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4.0.6 当RAP掺配比例超过30%时，宜通过添加沥青再生剂和再生改性剂等方式提高再生沥青混合料的路用性能。</w:t>
      </w:r>
    </w:p>
    <w:p w14:paraId="6E7EBE14">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4.0.7沥青路面再生工程应积极采用经试验和实践证明有效的新技术、新材料、新工艺。</w:t>
      </w:r>
    </w:p>
    <w:p w14:paraId="02F6F205">
      <w:pPr>
        <w:spacing w:line="360" w:lineRule="auto"/>
        <w:ind w:firstLine="480" w:firstLineChars="200"/>
        <w:jc w:val="left"/>
        <w:rPr>
          <w:rFonts w:hint="default" w:ascii="Times New Roman" w:hAnsi="Times New Roman" w:eastAsia="仿宋_GB2312" w:cs="Times New Roman"/>
          <w:color w:val="FF0000"/>
          <w:sz w:val="24"/>
          <w:lang w:val="en-US" w:eastAsia="zh-CN"/>
        </w:rPr>
      </w:pPr>
      <w:r>
        <w:rPr>
          <w:rFonts w:hint="default" w:ascii="Times New Roman" w:hAnsi="Times New Roman" w:eastAsia="仿宋_GB2312" w:cs="Times New Roman"/>
          <w:sz w:val="24"/>
          <w:lang w:val="en-US" w:eastAsia="zh-CN"/>
        </w:rPr>
        <w:t>4.0.8 基于油石分离的厂拌热再生沥青路面不得在雨天施工，施工温度不宜低于10℃。</w:t>
      </w:r>
      <w:r>
        <w:rPr>
          <w:rFonts w:hint="default" w:ascii="Times New Roman" w:hAnsi="Times New Roman" w:eastAsia="仿宋_GB2312" w:cs="Times New Roman"/>
          <w:color w:val="FF0000"/>
          <w:sz w:val="24"/>
        </w:rPr>
        <w:br w:type="page"/>
      </w:r>
    </w:p>
    <w:p w14:paraId="1F25EDD4">
      <w:pPr>
        <w:numPr>
          <w:ilvl w:val="0"/>
          <w:numId w:val="2"/>
        </w:numPr>
        <w:spacing w:line="360" w:lineRule="auto"/>
        <w:ind w:firstLine="0"/>
        <w:outlineLvl w:val="0"/>
        <w:rPr>
          <w:rFonts w:hint="default" w:ascii="Times New Roman" w:hAnsi="Times New Roman" w:eastAsia="仿宋_GB2312" w:cs="Times New Roman"/>
          <w:b/>
          <w:bCs/>
          <w:sz w:val="32"/>
          <w:szCs w:val="22"/>
          <w:lang w:val="en-US" w:eastAsia="zh-CN"/>
        </w:rPr>
      </w:pPr>
      <w:bookmarkStart w:id="19" w:name="_Toc12743"/>
      <w:bookmarkStart w:id="20" w:name="_Toc7461"/>
      <w:bookmarkStart w:id="21" w:name="_Toc16818"/>
      <w:bookmarkStart w:id="22" w:name="_Toc28216"/>
      <w:bookmarkStart w:id="23" w:name="_Toc5663"/>
      <w:r>
        <w:rPr>
          <w:rFonts w:hint="default" w:ascii="Times New Roman" w:hAnsi="Times New Roman" w:eastAsia="仿宋_GB2312" w:cs="Times New Roman"/>
          <w:b/>
          <w:bCs/>
          <w:sz w:val="32"/>
          <w:szCs w:val="22"/>
          <w:lang w:val="en-US" w:eastAsia="zh-CN"/>
        </w:rPr>
        <w:t>集料加工场标准</w:t>
      </w:r>
      <w:bookmarkEnd w:id="19"/>
      <w:bookmarkEnd w:id="20"/>
      <w:bookmarkEnd w:id="21"/>
      <w:bookmarkEnd w:id="22"/>
      <w:bookmarkEnd w:id="23"/>
    </w:p>
    <w:p w14:paraId="1DE9297B">
      <w:pPr>
        <w:spacing w:line="360" w:lineRule="auto"/>
        <w:outlineLvl w:val="1"/>
        <w:rPr>
          <w:rFonts w:hint="default" w:ascii="Times New Roman" w:hAnsi="Times New Roman" w:eastAsia="仿宋_GB2312" w:cs="Times New Roman"/>
          <w:b/>
          <w:bCs/>
          <w:sz w:val="24"/>
        </w:rPr>
      </w:pPr>
      <w:bookmarkStart w:id="24" w:name="_Toc14832"/>
      <w:bookmarkStart w:id="25" w:name="_Toc18409"/>
      <w:bookmarkStart w:id="26" w:name="_Toc7493"/>
      <w:bookmarkStart w:id="27" w:name="_Toc7502"/>
      <w:bookmarkStart w:id="28" w:name="_Toc8644"/>
      <w:r>
        <w:rPr>
          <w:rFonts w:hint="default" w:ascii="Times New Roman" w:hAnsi="Times New Roman" w:eastAsia="仿宋_GB2312" w:cs="Times New Roman"/>
          <w:b/>
          <w:bCs/>
          <w:sz w:val="24"/>
          <w:lang w:val="en-US" w:eastAsia="zh-CN"/>
        </w:rPr>
        <w:t>5</w:t>
      </w:r>
      <w:r>
        <w:rPr>
          <w:rFonts w:hint="default" w:ascii="Times New Roman" w:hAnsi="Times New Roman" w:eastAsia="仿宋_GB2312" w:cs="Times New Roman"/>
          <w:b/>
          <w:bCs/>
          <w:sz w:val="24"/>
        </w:rPr>
        <w:t>.1 一般规定</w:t>
      </w:r>
      <w:bookmarkEnd w:id="24"/>
      <w:bookmarkEnd w:id="25"/>
      <w:bookmarkEnd w:id="26"/>
      <w:bookmarkEnd w:id="27"/>
      <w:bookmarkEnd w:id="28"/>
    </w:p>
    <w:p w14:paraId="35934985">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.1.1 路面</w:t>
      </w:r>
      <w:r>
        <w:rPr>
          <w:rFonts w:hint="default" w:ascii="Times New Roman" w:hAnsi="Times New Roman" w:eastAsia="仿宋_GB2312" w:cs="Times New Roman"/>
          <w:sz w:val="24"/>
          <w:lang w:val="en-US" w:eastAsia="zh-CN"/>
        </w:rPr>
        <w:t>新</w:t>
      </w:r>
      <w:r>
        <w:rPr>
          <w:rFonts w:hint="default" w:ascii="Times New Roman" w:hAnsi="Times New Roman" w:eastAsia="仿宋_GB2312" w:cs="Times New Roman"/>
          <w:sz w:val="24"/>
        </w:rPr>
        <w:t>集料加工场建设、石料开采和集料加工过程应符合本章规定。</w:t>
      </w:r>
    </w:p>
    <w:p w14:paraId="29255DB3">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.1.2 石料开采、集料加工与储运过程，应符合国家环境保护、安全等规定，石料开采应取得相关主管部门的行政许可。</w:t>
      </w:r>
    </w:p>
    <w:p w14:paraId="4C75ED3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 不同岩性、不同料源的石料不得混杂开采、加工；不同宕口、不同岩性、不同规格的集料不得混杂、混堆和混运。</w:t>
      </w:r>
    </w:p>
    <w:p w14:paraId="39E6B7D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应将采石场覆土层及山体夹泥等清除干净后方可正式加工集料。</w:t>
      </w:r>
    </w:p>
    <w:p w14:paraId="16EF1A86">
      <w:pPr>
        <w:spacing w:line="360" w:lineRule="auto"/>
        <w:outlineLvl w:val="1"/>
        <w:rPr>
          <w:rFonts w:hint="default" w:ascii="Times New Roman" w:hAnsi="Times New Roman" w:eastAsia="仿宋_GB2312" w:cs="Times New Roman"/>
          <w:b/>
          <w:bCs/>
          <w:color w:val="auto"/>
          <w:sz w:val="24"/>
        </w:rPr>
      </w:pPr>
      <w:bookmarkStart w:id="29" w:name="_Toc24301"/>
      <w:bookmarkStart w:id="30" w:name="_Toc13693"/>
      <w:bookmarkStart w:id="31" w:name="_Toc12862"/>
      <w:bookmarkStart w:id="32" w:name="_Toc14497"/>
      <w:bookmarkStart w:id="33" w:name="_Toc18598"/>
      <w:r>
        <w:rPr>
          <w:rFonts w:hint="default" w:ascii="Times New Roman" w:hAnsi="Times New Roman" w:eastAsia="仿宋_GB2312" w:cs="Times New Roman"/>
          <w:b/>
          <w:bCs/>
          <w:color w:val="auto"/>
          <w:sz w:val="24"/>
          <w:lang w:val="en-US" w:eastAsia="zh-CN"/>
        </w:rPr>
        <w:t>5</w:t>
      </w:r>
      <w:r>
        <w:rPr>
          <w:rFonts w:hint="default" w:ascii="Times New Roman" w:hAnsi="Times New Roman" w:eastAsia="仿宋_GB2312" w:cs="Times New Roman"/>
          <w:b/>
          <w:bCs/>
          <w:color w:val="auto"/>
          <w:sz w:val="24"/>
        </w:rPr>
        <w:t>.2 场地建设</w:t>
      </w:r>
      <w:bookmarkEnd w:id="29"/>
      <w:bookmarkEnd w:id="30"/>
      <w:bookmarkEnd w:id="31"/>
      <w:bookmarkEnd w:id="32"/>
      <w:bookmarkEnd w:id="33"/>
    </w:p>
    <w:p w14:paraId="0B7CACD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.2.1 场地设置在离开居民区、学校等环境敏感点300m以外，避开易滑坡、冲沟、崩塌、泛洪等危险地段，主要风向的下风处。</w:t>
      </w:r>
    </w:p>
    <w:p w14:paraId="536200C3">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.2.2 集料生产企业加工场场地面积应满足日常生产要求，施工单位自加工生产集料的场地面积宜不小于10000m</w:t>
      </w:r>
      <w:r>
        <w:rPr>
          <w:rFonts w:hint="default" w:ascii="Times New Roman" w:hAnsi="Times New Roman" w:eastAsia="仿宋_GB2312" w:cs="Times New Roman"/>
          <w:sz w:val="24"/>
          <w:vertAlign w:val="superscript"/>
        </w:rPr>
        <w:t>2</w:t>
      </w:r>
      <w:r>
        <w:rPr>
          <w:rFonts w:hint="default" w:ascii="Times New Roman" w:hAnsi="Times New Roman" w:eastAsia="仿宋_GB2312" w:cs="Times New Roman"/>
          <w:sz w:val="24"/>
        </w:rPr>
        <w:t>。</w:t>
      </w:r>
    </w:p>
    <w:p w14:paraId="664BA664">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.2.3 应设有专用的块石堆放场、块石分拣区和废料堆放场，块石堆放场地应与生产场地相对分开。</w:t>
      </w:r>
    </w:p>
    <w:p w14:paraId="7F9D695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成品新集料堆放场地划分为5~7个，RAP划分为3~5个。集料堆放量应满足至少3天施工的数量，不同粒径的集料不能混合堆放。</w:t>
      </w:r>
    </w:p>
    <w:p w14:paraId="709D93F2">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 xml:space="preserve"> 粗细集料堆放区应搭设轻型钢结构顶棚，应具有防风、防雨、防老化功能。</w:t>
      </w:r>
    </w:p>
    <w:p w14:paraId="5B23B773">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 xml:space="preserve"> 堆料区应按照不同规格材料设置标识牌，注明材料品名、用途、规格、最近检验时间、最近检验结果等内容。</w:t>
      </w:r>
    </w:p>
    <w:p w14:paraId="71B5C733">
      <w:pPr>
        <w:spacing w:line="360" w:lineRule="auto"/>
        <w:outlineLvl w:val="1"/>
        <w:rPr>
          <w:rFonts w:hint="default" w:ascii="Times New Roman" w:hAnsi="Times New Roman" w:eastAsia="仿宋_GB2312" w:cs="Times New Roman"/>
          <w:b/>
          <w:bCs/>
          <w:sz w:val="24"/>
        </w:rPr>
      </w:pPr>
      <w:bookmarkStart w:id="34" w:name="_Toc23827"/>
      <w:bookmarkStart w:id="35" w:name="_Toc30001"/>
      <w:bookmarkStart w:id="36" w:name="_Toc6797"/>
      <w:bookmarkStart w:id="37" w:name="_Toc16260"/>
      <w:bookmarkStart w:id="38" w:name="_Toc9975"/>
      <w:r>
        <w:rPr>
          <w:rFonts w:hint="default" w:ascii="Times New Roman" w:hAnsi="Times New Roman" w:eastAsia="仿宋_GB2312" w:cs="Times New Roman"/>
          <w:b/>
          <w:bCs/>
          <w:sz w:val="24"/>
          <w:lang w:val="en-US" w:eastAsia="zh-CN"/>
        </w:rPr>
        <w:t>5</w:t>
      </w:r>
      <w:r>
        <w:rPr>
          <w:rFonts w:hint="default" w:ascii="Times New Roman" w:hAnsi="Times New Roman" w:eastAsia="仿宋_GB2312" w:cs="Times New Roman"/>
          <w:b/>
          <w:bCs/>
          <w:sz w:val="24"/>
        </w:rPr>
        <w:t>.3 生产工艺</w:t>
      </w:r>
      <w:bookmarkEnd w:id="34"/>
      <w:bookmarkEnd w:id="35"/>
      <w:bookmarkEnd w:id="36"/>
      <w:bookmarkEnd w:id="37"/>
      <w:bookmarkEnd w:id="38"/>
    </w:p>
    <w:p w14:paraId="56044C12">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.3.1 新集料的破碎工艺宜用三级破碎工艺：推荐采用鄂式破碎机（一破）+圆锥式破碎机（二破）+反击式破碎机（三破）或颚式破碎机（一破）+反击式破碎机（二破）+冲击式破碎机（整形机，三破）。</w:t>
      </w:r>
    </w:p>
    <w:p w14:paraId="1E2EF9B8">
      <w:pPr>
        <w:spacing w:line="360" w:lineRule="auto"/>
        <w:outlineLvl w:val="1"/>
        <w:rPr>
          <w:rFonts w:hint="default" w:ascii="Times New Roman" w:hAnsi="Times New Roman" w:eastAsia="仿宋_GB2312" w:cs="Times New Roman"/>
          <w:b/>
          <w:bCs/>
          <w:sz w:val="24"/>
        </w:rPr>
      </w:pPr>
      <w:bookmarkStart w:id="39" w:name="_Toc15572"/>
      <w:bookmarkStart w:id="40" w:name="_Toc29927"/>
      <w:bookmarkStart w:id="41" w:name="_Toc231"/>
      <w:bookmarkStart w:id="42" w:name="_Toc4133"/>
      <w:bookmarkStart w:id="43" w:name="_Toc994"/>
      <w:r>
        <w:rPr>
          <w:rFonts w:hint="default" w:ascii="Times New Roman" w:hAnsi="Times New Roman" w:eastAsia="仿宋_GB2312" w:cs="Times New Roman"/>
          <w:b/>
          <w:bCs/>
          <w:sz w:val="24"/>
          <w:lang w:val="en-US" w:eastAsia="zh-CN"/>
        </w:rPr>
        <w:t>5</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4</w:t>
      </w:r>
      <w:r>
        <w:rPr>
          <w:rFonts w:hint="default" w:ascii="Times New Roman" w:hAnsi="Times New Roman" w:eastAsia="仿宋_GB2312" w:cs="Times New Roman"/>
          <w:b/>
          <w:bCs/>
          <w:sz w:val="24"/>
        </w:rPr>
        <w:t xml:space="preserve"> 集料加工及分档</w:t>
      </w:r>
      <w:bookmarkEnd w:id="39"/>
      <w:bookmarkEnd w:id="40"/>
      <w:bookmarkEnd w:id="41"/>
      <w:bookmarkEnd w:id="42"/>
      <w:bookmarkEnd w:id="43"/>
    </w:p>
    <w:p w14:paraId="1AACB7A4">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.1 中下面层新集料规格分档为19-26.5mm、9.5-19mm、4.75-9.5mm、2.36-4.75mm、0-2.36mm，对应的集料生产筛孔为3</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mm、22×22mm、11×11mm、6×6mm、</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mm。</w:t>
      </w:r>
    </w:p>
    <w:p w14:paraId="0C2ECC4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加工集料的块石宜大于100mm，必须采用振动喂料器对进入破碎机的石料进行最后一次筛选，筛除石料中的尘土、杂质与片条状小石。</w:t>
      </w:r>
    </w:p>
    <w:p w14:paraId="7DCED50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 如果按照前款所诉不能解决集料粉尘含量超标时，可根据需要在二次破碎、振动筛上安装除尘设备。对水洗法除尘，应在适当位置设置沉淀池。</w:t>
      </w:r>
    </w:p>
    <w:p w14:paraId="02139FD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雨雪天不得进行集料加工；石料未完全干透之前，不得进行碎石的生产加工。</w:t>
      </w:r>
    </w:p>
    <w:p w14:paraId="408EE775">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 xml:space="preserve"> 成品料的下料口处各规格集料必须分开堆放，相互之间采用隔墙分离，严禁不同规格集料之间相互串料。</w:t>
      </w:r>
    </w:p>
    <w:p w14:paraId="6D74B6B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 xml:space="preserve"> 生产的各规格集料应及时转运。各规格集料应分开堆放，相互之间采用隔墙分离，严禁出现串料和混料现象。</w:t>
      </w:r>
    </w:p>
    <w:p w14:paraId="74DD0850">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5.4.7</w:t>
      </w:r>
      <w:r>
        <w:rPr>
          <w:rFonts w:hint="default" w:ascii="Times New Roman" w:hAnsi="Times New Roman" w:eastAsia="仿宋_GB2312" w:cs="Times New Roman"/>
          <w:sz w:val="24"/>
        </w:rPr>
        <w:t xml:space="preserve"> 集料应入棚存储，防止雨淋潮湿。</w:t>
      </w:r>
    </w:p>
    <w:p w14:paraId="7EDCA2A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14:paraId="67ECD89C">
      <w:pPr>
        <w:numPr>
          <w:ilvl w:val="0"/>
          <w:numId w:val="2"/>
        </w:numPr>
        <w:spacing w:line="360" w:lineRule="auto"/>
        <w:ind w:firstLine="0"/>
        <w:outlineLvl w:val="0"/>
        <w:rPr>
          <w:rFonts w:hint="default" w:ascii="Times New Roman" w:hAnsi="Times New Roman" w:eastAsia="仿宋_GB2312" w:cs="Times New Roman"/>
          <w:b/>
          <w:bCs/>
          <w:sz w:val="32"/>
          <w:szCs w:val="22"/>
          <w:lang w:val="en-US" w:eastAsia="zh-CN"/>
        </w:rPr>
      </w:pPr>
      <w:bookmarkStart w:id="44" w:name="_Toc124"/>
      <w:bookmarkStart w:id="45" w:name="_Toc17621"/>
      <w:bookmarkStart w:id="46" w:name="_Toc3296"/>
      <w:bookmarkStart w:id="47" w:name="_Toc25924"/>
      <w:bookmarkStart w:id="48" w:name="_Toc30687"/>
      <w:r>
        <w:rPr>
          <w:rFonts w:hint="default" w:ascii="Times New Roman" w:hAnsi="Times New Roman" w:eastAsia="仿宋_GB2312" w:cs="Times New Roman"/>
          <w:b/>
          <w:bCs/>
          <w:sz w:val="32"/>
          <w:szCs w:val="22"/>
          <w:lang w:val="en-US" w:eastAsia="zh-CN"/>
        </w:rPr>
        <w:t>拌合站建设</w:t>
      </w:r>
      <w:bookmarkEnd w:id="44"/>
      <w:bookmarkEnd w:id="45"/>
      <w:bookmarkEnd w:id="46"/>
      <w:bookmarkEnd w:id="47"/>
      <w:bookmarkEnd w:id="48"/>
    </w:p>
    <w:p w14:paraId="673E426C">
      <w:pPr>
        <w:spacing w:line="360" w:lineRule="auto"/>
        <w:outlineLvl w:val="1"/>
        <w:rPr>
          <w:rFonts w:hint="default" w:ascii="Times New Roman" w:hAnsi="Times New Roman" w:eastAsia="仿宋_GB2312" w:cs="Times New Roman"/>
          <w:b/>
          <w:bCs/>
          <w:sz w:val="24"/>
        </w:rPr>
      </w:pPr>
      <w:bookmarkStart w:id="49" w:name="_Toc4637"/>
      <w:bookmarkStart w:id="50" w:name="_Toc7053"/>
      <w:bookmarkStart w:id="51" w:name="_Toc22319"/>
      <w:bookmarkStart w:id="52" w:name="_Toc11691"/>
      <w:bookmarkStart w:id="53" w:name="_Toc2122"/>
      <w:r>
        <w:rPr>
          <w:rFonts w:hint="default" w:ascii="Times New Roman" w:hAnsi="Times New Roman" w:eastAsia="仿宋_GB2312" w:cs="Times New Roman"/>
          <w:b/>
          <w:bCs/>
          <w:sz w:val="24"/>
          <w:lang w:val="en-US" w:eastAsia="zh-CN"/>
        </w:rPr>
        <w:t>6</w:t>
      </w:r>
      <w:r>
        <w:rPr>
          <w:rFonts w:hint="default" w:ascii="Times New Roman" w:hAnsi="Times New Roman" w:eastAsia="仿宋_GB2312" w:cs="Times New Roman"/>
          <w:b/>
          <w:bCs/>
          <w:sz w:val="24"/>
        </w:rPr>
        <w:t>.1 一般规定</w:t>
      </w:r>
      <w:bookmarkEnd w:id="49"/>
      <w:bookmarkEnd w:id="50"/>
      <w:bookmarkEnd w:id="51"/>
      <w:bookmarkEnd w:id="52"/>
      <w:bookmarkEnd w:id="53"/>
    </w:p>
    <w:p w14:paraId="017F9325">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.1.1 沥青拌合场地应合理划分为拌合作业区、</w:t>
      </w:r>
      <w:r>
        <w:rPr>
          <w:rFonts w:hint="default" w:ascii="Times New Roman" w:hAnsi="Times New Roman" w:eastAsia="仿宋_GB2312" w:cs="Times New Roman"/>
          <w:sz w:val="24"/>
          <w:lang w:val="en-US" w:eastAsia="zh-CN"/>
        </w:rPr>
        <w:t>油石分离RAP生产区</w:t>
      </w:r>
      <w:r>
        <w:rPr>
          <w:rFonts w:hint="default" w:ascii="Times New Roman" w:hAnsi="Times New Roman" w:eastAsia="仿宋_GB2312" w:cs="Times New Roman"/>
          <w:sz w:val="24"/>
        </w:rPr>
        <w:t>、集料堆放区、试验区、生活区、材料库及运输车辆停放区，并设立其平面布置示意图。</w:t>
      </w:r>
    </w:p>
    <w:p w14:paraId="7316A4B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拌合站应采用封闭式管理，场地四周宜设通透式围栏，材料堆放区、拌合生产区、</w:t>
      </w:r>
      <w:r>
        <w:rPr>
          <w:rFonts w:hint="default" w:ascii="Times New Roman" w:hAnsi="Times New Roman" w:eastAsia="仿宋_GB2312" w:cs="Times New Roman"/>
          <w:sz w:val="24"/>
          <w:lang w:val="en-US" w:eastAsia="zh-CN"/>
        </w:rPr>
        <w:t>油石分离RAP生产区</w:t>
      </w:r>
      <w:r>
        <w:rPr>
          <w:rFonts w:hint="default" w:ascii="Times New Roman" w:hAnsi="Times New Roman" w:eastAsia="仿宋_GB2312" w:cs="Times New Roman"/>
          <w:sz w:val="24"/>
        </w:rPr>
        <w:t>应相对独立。</w:t>
      </w:r>
    </w:p>
    <w:p w14:paraId="6AF29E4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 拌合站生产能力，必须在施工高峰时能保证</w:t>
      </w:r>
      <w:r>
        <w:rPr>
          <w:rFonts w:hint="default" w:ascii="Times New Roman" w:hAnsi="Times New Roman" w:eastAsia="仿宋_GB2312" w:cs="Times New Roman"/>
          <w:sz w:val="24"/>
          <w:lang w:val="en-US" w:eastAsia="zh-CN"/>
        </w:rPr>
        <w:t>再生</w:t>
      </w:r>
      <w:r>
        <w:rPr>
          <w:rFonts w:hint="default" w:ascii="Times New Roman" w:hAnsi="Times New Roman" w:eastAsia="仿宋_GB2312" w:cs="Times New Roman"/>
          <w:sz w:val="24"/>
        </w:rPr>
        <w:t>沥青</w:t>
      </w:r>
      <w:r>
        <w:rPr>
          <w:rFonts w:hint="default" w:ascii="Times New Roman" w:hAnsi="Times New Roman" w:eastAsia="仿宋_GB2312" w:cs="Times New Roman"/>
          <w:sz w:val="24"/>
          <w:lang w:val="en-US" w:eastAsia="zh-CN"/>
        </w:rPr>
        <w:t>混合料</w:t>
      </w:r>
      <w:r>
        <w:rPr>
          <w:rFonts w:hint="default" w:ascii="Times New Roman" w:hAnsi="Times New Roman" w:eastAsia="仿宋_GB2312" w:cs="Times New Roman"/>
          <w:sz w:val="24"/>
        </w:rPr>
        <w:t>供应正常。</w:t>
      </w:r>
    </w:p>
    <w:p w14:paraId="144538EB">
      <w:pPr>
        <w:spacing w:line="360" w:lineRule="auto"/>
        <w:jc w:val="left"/>
        <w:outlineLvl w:val="1"/>
        <w:rPr>
          <w:rFonts w:hint="default" w:ascii="Times New Roman" w:hAnsi="Times New Roman" w:eastAsia="仿宋_GB2312" w:cs="Times New Roman"/>
          <w:sz w:val="24"/>
          <w:lang w:val="en-US" w:eastAsia="zh-CN"/>
        </w:rPr>
      </w:pPr>
      <w:bookmarkStart w:id="54" w:name="_Toc5587"/>
      <w:bookmarkStart w:id="55" w:name="_Toc23888"/>
      <w:bookmarkStart w:id="56" w:name="_Toc11185"/>
      <w:bookmarkStart w:id="57" w:name="_Toc30522"/>
      <w:bookmarkStart w:id="58" w:name="_Toc21725"/>
      <w:r>
        <w:rPr>
          <w:rFonts w:hint="default" w:ascii="Times New Roman" w:hAnsi="Times New Roman" w:eastAsia="仿宋_GB2312" w:cs="Times New Roman"/>
          <w:b/>
          <w:bCs/>
          <w:sz w:val="24"/>
          <w:lang w:val="en-US" w:eastAsia="zh-CN"/>
        </w:rPr>
        <w:t>6</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2</w:t>
      </w: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b/>
          <w:bCs/>
          <w:sz w:val="24"/>
          <w:lang w:val="en-US" w:eastAsia="zh-CN"/>
        </w:rPr>
        <w:t>RAP油石分离设备</w:t>
      </w:r>
      <w:bookmarkEnd w:id="54"/>
    </w:p>
    <w:p w14:paraId="0DA3B51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 xml:space="preserve"> RAP破碎采用油石分离</w:t>
      </w:r>
      <w:r>
        <w:rPr>
          <w:rFonts w:hint="default" w:ascii="Times New Roman" w:hAnsi="Times New Roman" w:eastAsia="仿宋_GB2312" w:cs="Times New Roman"/>
          <w:sz w:val="24"/>
          <w:lang w:val="en-US" w:eastAsia="zh-CN"/>
        </w:rPr>
        <w:t>工艺</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生产</w:t>
      </w:r>
      <w:r>
        <w:rPr>
          <w:rFonts w:hint="default" w:ascii="Times New Roman" w:hAnsi="Times New Roman" w:eastAsia="仿宋_GB2312" w:cs="Times New Roman"/>
          <w:sz w:val="24"/>
        </w:rPr>
        <w:t>示意图见图</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-1）</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破碎完成后宜分为3~5</w:t>
      </w:r>
      <w:r>
        <w:rPr>
          <w:rFonts w:hint="default" w:ascii="Times New Roman" w:hAnsi="Times New Roman" w:eastAsia="仿宋_GB2312" w:cs="Times New Roman"/>
          <w:sz w:val="24"/>
        </w:rPr>
        <w:t>档</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当只有三档时</w:t>
      </w:r>
      <w:r>
        <w:rPr>
          <w:rFonts w:hint="default" w:ascii="Times New Roman" w:hAnsi="Times New Roman" w:eastAsia="仿宋_GB2312" w:cs="Times New Roman"/>
          <w:sz w:val="24"/>
        </w:rPr>
        <w:t>筛网尺寸宜设置为：6mm、11mm、25mm，RAP破碎筛分</w:t>
      </w:r>
      <w:r>
        <w:rPr>
          <w:rFonts w:hint="default" w:ascii="Times New Roman" w:hAnsi="Times New Roman" w:eastAsia="仿宋_GB2312" w:cs="Times New Roman"/>
          <w:sz w:val="24"/>
          <w:lang w:val="en-US" w:eastAsia="zh-CN"/>
        </w:rPr>
        <w:t>为</w:t>
      </w:r>
      <w:r>
        <w:rPr>
          <w:rFonts w:hint="default" w:ascii="Times New Roman" w:hAnsi="Times New Roman" w:eastAsia="仿宋_GB2312" w:cs="Times New Roman"/>
          <w:sz w:val="24"/>
        </w:rPr>
        <w:t>0-6mm、6-11mm和11-25mm三档。</w:t>
      </w:r>
    </w:p>
    <w:p w14:paraId="2F1610A4">
      <w:pPr>
        <w:spacing w:line="360" w:lineRule="auto"/>
        <w:jc w:val="center"/>
        <w:rPr>
          <w:rFonts w:hint="default" w:ascii="Times New Roman" w:hAnsi="Times New Roman" w:eastAsia="仿宋_GB2312" w:cs="Times New Roman"/>
          <w:sz w:val="24"/>
        </w:rPr>
      </w:pPr>
      <w:r>
        <w:rPr>
          <w:rFonts w:hint="default" w:ascii="Times New Roman" w:hAnsi="Times New Roman" w:cs="Times New Roman"/>
        </w:rPr>
        <w:drawing>
          <wp:inline distT="0" distB="0" distL="114300" distR="114300">
            <wp:extent cx="5197475" cy="4189095"/>
            <wp:effectExtent l="0" t="0" r="14605" b="1905"/>
            <wp:docPr id="15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8"/>
                    <pic:cNvPicPr>
                      <a:picLocks noChangeAspect="1"/>
                    </pic:cNvPicPr>
                  </pic:nvPicPr>
                  <pic:blipFill>
                    <a:blip r:embed="rId7"/>
                    <a:stretch>
                      <a:fillRect/>
                    </a:stretch>
                  </pic:blipFill>
                  <pic:spPr>
                    <a:xfrm>
                      <a:off x="0" y="0"/>
                      <a:ext cx="5197475" cy="4189095"/>
                    </a:xfrm>
                    <a:prstGeom prst="rect">
                      <a:avLst/>
                    </a:prstGeom>
                    <a:noFill/>
                    <a:ln>
                      <a:noFill/>
                    </a:ln>
                  </pic:spPr>
                </pic:pic>
              </a:graphicData>
            </a:graphic>
          </wp:inline>
        </w:drawing>
      </w:r>
    </w:p>
    <w:p w14:paraId="3F858E65">
      <w:pPr>
        <w:spacing w:line="360" w:lineRule="auto"/>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图6.2-1 油石分离生产示意图</w:t>
      </w:r>
    </w:p>
    <w:p w14:paraId="6E99957C">
      <w:pPr>
        <w:spacing w:line="360" w:lineRule="auto"/>
        <w:jc w:val="left"/>
        <w:outlineLvl w:val="1"/>
        <w:rPr>
          <w:rFonts w:hint="default" w:ascii="Times New Roman" w:hAnsi="Times New Roman" w:eastAsia="仿宋_GB2312" w:cs="Times New Roman"/>
          <w:sz w:val="24"/>
          <w:lang w:val="en-US" w:eastAsia="zh-CN"/>
        </w:rPr>
      </w:pPr>
      <w:bookmarkStart w:id="59" w:name="_Toc3023"/>
      <w:r>
        <w:rPr>
          <w:rFonts w:hint="default" w:ascii="Times New Roman" w:hAnsi="Times New Roman" w:eastAsia="仿宋_GB2312" w:cs="Times New Roman"/>
          <w:b/>
          <w:bCs/>
          <w:sz w:val="24"/>
          <w:lang w:val="en-US" w:eastAsia="zh-CN"/>
        </w:rPr>
        <w:t>6</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3</w:t>
      </w: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b/>
          <w:bCs/>
          <w:sz w:val="24"/>
          <w:lang w:val="en-US" w:eastAsia="zh-CN"/>
        </w:rPr>
        <w:t>RAP再生加热设备</w:t>
      </w:r>
      <w:bookmarkEnd w:id="59"/>
    </w:p>
    <w:p w14:paraId="0E5BAB24">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 xml:space="preserve"> 应配备不少于3个RAP冷料仓。</w:t>
      </w:r>
    </w:p>
    <w:p w14:paraId="677AE5B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应配备独立的RAP加热滚筒，RAP加热滚筒出料口应安装测温装置，温度测量精度宜不低于±3℃。</w:t>
      </w:r>
    </w:p>
    <w:p w14:paraId="40130DE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 应配备独立的RAP热料暂存仓，热料暂存仓应具有加热保温功能并宜具有料位检测装置。</w:t>
      </w:r>
    </w:p>
    <w:p w14:paraId="0CB97A63">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应配备RAP配料装置和计量装置，静态计量精度宜不低于±0.5%。</w:t>
      </w:r>
    </w:p>
    <w:p w14:paraId="5C2A8E2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6.3.5 </w:t>
      </w:r>
      <w:r>
        <w:rPr>
          <w:rFonts w:hint="default" w:ascii="Times New Roman" w:hAnsi="Times New Roman" w:eastAsia="仿宋_GB2312" w:cs="Times New Roman"/>
          <w:sz w:val="24"/>
        </w:rPr>
        <w:t>RAP供给系统的供料能力、燃烧器的供热能力、RAP加热滚筒的生产能力应满足设备最大生产能力的要求。加热装置应确保RAP不与火焰直接接触。</w:t>
      </w:r>
    </w:p>
    <w:p w14:paraId="428C60C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6.3.6 </w:t>
      </w:r>
      <w:r>
        <w:rPr>
          <w:rFonts w:hint="default" w:ascii="Times New Roman" w:hAnsi="Times New Roman" w:eastAsia="仿宋_GB2312" w:cs="Times New Roman"/>
          <w:sz w:val="24"/>
        </w:rPr>
        <w:t>RAP加热滚筒内应设置避免RAP黏附滚筒内壁的专门装置。</w:t>
      </w:r>
    </w:p>
    <w:p w14:paraId="6DD4021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6.3.7 </w:t>
      </w:r>
      <w:r>
        <w:rPr>
          <w:rFonts w:hint="default" w:ascii="Times New Roman" w:hAnsi="Times New Roman" w:eastAsia="仿宋_GB2312" w:cs="Times New Roman"/>
          <w:sz w:val="24"/>
        </w:rPr>
        <w:t>应根据需要配备沥青再生剂的储存、计量、喷洒装置，再生剂静态计量精度宜不低于±0.3%。</w:t>
      </w:r>
    </w:p>
    <w:p w14:paraId="72D80C8B">
      <w:pPr>
        <w:spacing w:line="360" w:lineRule="auto"/>
        <w:jc w:val="left"/>
        <w:outlineLvl w:val="1"/>
        <w:rPr>
          <w:rFonts w:hint="default" w:ascii="Times New Roman" w:hAnsi="Times New Roman" w:eastAsia="仿宋_GB2312" w:cs="Times New Roman"/>
          <w:sz w:val="24"/>
          <w:lang w:val="en-US" w:eastAsia="zh-CN"/>
        </w:rPr>
      </w:pPr>
      <w:bookmarkStart w:id="60" w:name="_Toc1765"/>
      <w:r>
        <w:rPr>
          <w:rFonts w:hint="default" w:ascii="Times New Roman" w:hAnsi="Times New Roman" w:eastAsia="仿宋_GB2312" w:cs="Times New Roman"/>
          <w:b/>
          <w:bCs/>
          <w:sz w:val="24"/>
          <w:lang w:val="en-US" w:eastAsia="zh-CN"/>
        </w:rPr>
        <w:t>6</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4</w:t>
      </w: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b/>
          <w:bCs/>
          <w:sz w:val="24"/>
          <w:lang w:val="en-US" w:eastAsia="zh-CN"/>
        </w:rPr>
        <w:t>沥青</w:t>
      </w:r>
      <w:r>
        <w:rPr>
          <w:rFonts w:hint="default" w:ascii="Times New Roman" w:hAnsi="Times New Roman" w:eastAsia="仿宋_GB2312" w:cs="Times New Roman"/>
          <w:b/>
          <w:bCs/>
          <w:sz w:val="24"/>
        </w:rPr>
        <w:t>拌</w:t>
      </w:r>
      <w:bookmarkEnd w:id="55"/>
      <w:bookmarkEnd w:id="56"/>
      <w:bookmarkEnd w:id="57"/>
      <w:bookmarkEnd w:id="58"/>
      <w:r>
        <w:rPr>
          <w:rFonts w:hint="default" w:ascii="Times New Roman" w:hAnsi="Times New Roman" w:eastAsia="仿宋_GB2312" w:cs="Times New Roman"/>
          <w:b/>
          <w:bCs/>
          <w:sz w:val="24"/>
          <w:lang w:val="en-US" w:eastAsia="zh-CN"/>
        </w:rPr>
        <w:t>合站</w:t>
      </w:r>
      <w:bookmarkEnd w:id="60"/>
    </w:p>
    <w:p w14:paraId="70D8AE7F">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 xml:space="preserve"> 新建高速原则上每25km设置一台不小于4000型的沥青拌合站；维修养护项目根据实际情况设置拌合站，但需保证混合料产量满足每日最大需求量。</w:t>
      </w:r>
    </w:p>
    <w:p w14:paraId="70EA47E6">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6.3.2 </w:t>
      </w:r>
      <w:r>
        <w:rPr>
          <w:rFonts w:hint="default" w:ascii="Times New Roman" w:hAnsi="Times New Roman" w:eastAsia="仿宋_GB2312" w:cs="Times New Roman"/>
          <w:sz w:val="24"/>
        </w:rPr>
        <w:t>沥青存储罐不少于4个，其中改性沥青存储罐不少于2个且加装循环搅拌装置</w:t>
      </w:r>
      <w:r>
        <w:rPr>
          <w:rFonts w:hint="default" w:ascii="Times New Roman" w:hAnsi="Times New Roman" w:eastAsia="仿宋_GB2312" w:cs="Times New Roman"/>
          <w:sz w:val="24"/>
          <w:lang w:eastAsia="zh-CN"/>
        </w:rPr>
        <w:t>。</w:t>
      </w:r>
    </w:p>
    <w:p w14:paraId="4A2DC937">
      <w:pPr>
        <w:spacing w:line="360" w:lineRule="auto"/>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6.3.3 拌合站应装有视频监控系统。</w:t>
      </w:r>
    </w:p>
    <w:p w14:paraId="58D47215">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用于工程的集料应根据材料品种、级配范围分仓堆放，不得混堆或交叉堆放，并设置明显标识，集料的堆高不宜超过4m，堆放集料过程中应避免发生离析。</w:t>
      </w:r>
    </w:p>
    <w:p w14:paraId="265B1413">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新集料</w:t>
      </w:r>
      <w:r>
        <w:rPr>
          <w:rFonts w:hint="default" w:ascii="Times New Roman" w:hAnsi="Times New Roman" w:eastAsia="仿宋_GB2312" w:cs="Times New Roman"/>
          <w:sz w:val="24"/>
        </w:rPr>
        <w:t>储料仓</w:t>
      </w:r>
      <w:r>
        <w:rPr>
          <w:rFonts w:hint="default" w:ascii="Times New Roman" w:hAnsi="Times New Roman" w:eastAsia="仿宋_GB2312" w:cs="Times New Roman"/>
          <w:sz w:val="24"/>
          <w:lang w:val="en-US" w:eastAsia="zh-CN"/>
        </w:rPr>
        <w:t>不低于5</w:t>
      </w:r>
      <w:r>
        <w:rPr>
          <w:rFonts w:hint="default" w:ascii="Times New Roman" w:hAnsi="Times New Roman" w:eastAsia="仿宋_GB2312" w:cs="Times New Roman"/>
          <w:sz w:val="24"/>
        </w:rPr>
        <w:t>个。</w:t>
      </w:r>
    </w:p>
    <w:p w14:paraId="61F89C4B">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 xml:space="preserve"> 所有集料分批验收，验收合格的材料方可进场，并根据不同的检验状态和结果采用统一的材料标识牌进行标识。</w:t>
      </w:r>
    </w:p>
    <w:p w14:paraId="5E51847D">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7</w:t>
      </w:r>
      <w:r>
        <w:rPr>
          <w:rFonts w:hint="default" w:ascii="Times New Roman" w:hAnsi="Times New Roman" w:eastAsia="仿宋_GB2312" w:cs="Times New Roman"/>
          <w:sz w:val="24"/>
        </w:rPr>
        <w:t xml:space="preserve"> 拌合站站内</w:t>
      </w:r>
      <w:r>
        <w:rPr>
          <w:rFonts w:hint="default" w:ascii="Times New Roman" w:hAnsi="Times New Roman" w:eastAsia="仿宋_GB2312" w:cs="Times New Roman"/>
          <w:sz w:val="24"/>
          <w:lang w:val="en-US" w:eastAsia="zh-CN"/>
        </w:rPr>
        <w:t>应按照要求设置标识标牌，确保安全文明施工</w:t>
      </w:r>
      <w:r>
        <w:rPr>
          <w:rFonts w:hint="default" w:ascii="Times New Roman" w:hAnsi="Times New Roman" w:eastAsia="仿宋_GB2312" w:cs="Times New Roman"/>
          <w:sz w:val="24"/>
        </w:rPr>
        <w:t>。</w:t>
      </w:r>
    </w:p>
    <w:p w14:paraId="4247F0D8">
      <w:pPr>
        <w:spacing w:line="360" w:lineRule="auto"/>
        <w:ind w:firstLine="480" w:firstLineChars="200"/>
        <w:jc w:val="left"/>
        <w:rPr>
          <w:rFonts w:hint="default" w:ascii="Times New Roman" w:hAnsi="Times New Roman" w:eastAsia="仿宋_GB2312" w:cs="Times New Roman"/>
          <w:sz w:val="24"/>
        </w:rPr>
      </w:pPr>
      <w:bookmarkStart w:id="61" w:name="_Toc23516"/>
      <w:bookmarkStart w:id="62" w:name="_Toc9225"/>
      <w:bookmarkStart w:id="63" w:name="_Toc463"/>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 xml:space="preserve"> </w:t>
      </w:r>
      <w:bookmarkEnd w:id="61"/>
      <w:bookmarkEnd w:id="62"/>
      <w:bookmarkEnd w:id="63"/>
      <w:r>
        <w:rPr>
          <w:rFonts w:hint="default" w:ascii="Times New Roman" w:hAnsi="Times New Roman" w:eastAsia="仿宋_GB2312" w:cs="Times New Roman"/>
          <w:sz w:val="24"/>
        </w:rPr>
        <w:t>沥青拌合楼应采用湿排方式排出粉尘。沥青拌合楼排出的粉尘、热料仓的溢料和被机油污染的石料等不符合要求的废弃矿料，应堆至专门料场，明确标记，并及时清除。</w:t>
      </w:r>
    </w:p>
    <w:p w14:paraId="37E82DDB">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6.3.9</w:t>
      </w:r>
      <w:r>
        <w:rPr>
          <w:rFonts w:hint="default" w:ascii="Times New Roman" w:hAnsi="Times New Roman" w:eastAsia="仿宋_GB2312" w:cs="Times New Roman"/>
          <w:sz w:val="24"/>
        </w:rPr>
        <w:t>拌合楼生产过程中，应及时洒水降尘，每天施工结束后应及时清扫堆料场地，防止集料二次污染，每天应清理，以保持站内清洁。</w:t>
      </w:r>
    </w:p>
    <w:p w14:paraId="0203E159">
      <w:pPr>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14:paraId="378872DC">
      <w:pPr>
        <w:numPr>
          <w:ilvl w:val="0"/>
          <w:numId w:val="2"/>
        </w:numPr>
        <w:spacing w:line="360" w:lineRule="auto"/>
        <w:ind w:firstLine="0"/>
        <w:outlineLvl w:val="0"/>
        <w:rPr>
          <w:rFonts w:hint="default" w:ascii="Times New Roman" w:hAnsi="Times New Roman" w:eastAsia="仿宋_GB2312" w:cs="Times New Roman"/>
          <w:b/>
          <w:bCs/>
          <w:sz w:val="32"/>
          <w:szCs w:val="22"/>
          <w:lang w:val="en-US" w:eastAsia="zh-CN"/>
        </w:rPr>
      </w:pPr>
      <w:bookmarkStart w:id="64" w:name="_Toc5798"/>
      <w:bookmarkStart w:id="65" w:name="_Toc23795"/>
      <w:bookmarkStart w:id="66" w:name="_Toc28945"/>
      <w:bookmarkStart w:id="67" w:name="_Toc22767"/>
      <w:bookmarkStart w:id="68" w:name="_Toc7216"/>
      <w:r>
        <w:rPr>
          <w:rFonts w:hint="default" w:ascii="Times New Roman" w:hAnsi="Times New Roman" w:eastAsia="仿宋_GB2312" w:cs="Times New Roman"/>
          <w:b/>
          <w:bCs/>
          <w:sz w:val="32"/>
          <w:szCs w:val="22"/>
          <w:lang w:val="en-US" w:eastAsia="zh-CN"/>
        </w:rPr>
        <w:t>原材料</w:t>
      </w:r>
      <w:bookmarkEnd w:id="64"/>
      <w:bookmarkEnd w:id="65"/>
      <w:bookmarkEnd w:id="66"/>
      <w:bookmarkEnd w:id="67"/>
      <w:bookmarkEnd w:id="68"/>
    </w:p>
    <w:p w14:paraId="195EAE63">
      <w:pPr>
        <w:spacing w:line="360" w:lineRule="auto"/>
        <w:outlineLvl w:val="1"/>
        <w:rPr>
          <w:rFonts w:hint="default" w:ascii="Times New Roman" w:hAnsi="Times New Roman" w:eastAsia="仿宋_GB2312" w:cs="Times New Roman"/>
          <w:b/>
          <w:bCs/>
          <w:sz w:val="24"/>
          <w:lang w:val="en-US" w:eastAsia="zh-CN"/>
        </w:rPr>
      </w:pPr>
      <w:bookmarkStart w:id="69" w:name="_Toc12184"/>
      <w:bookmarkStart w:id="70" w:name="_Toc21711"/>
      <w:bookmarkStart w:id="71" w:name="_Toc24641"/>
      <w:bookmarkStart w:id="72" w:name="_Toc16072"/>
      <w:bookmarkStart w:id="73" w:name="_Toc31184"/>
      <w:r>
        <w:rPr>
          <w:rFonts w:hint="default" w:ascii="Times New Roman" w:hAnsi="Times New Roman" w:eastAsia="仿宋_GB2312" w:cs="Times New Roman"/>
          <w:b/>
          <w:bCs/>
          <w:sz w:val="24"/>
          <w:lang w:val="en-US" w:eastAsia="zh-CN"/>
        </w:rPr>
        <w:t>7</w:t>
      </w:r>
      <w:r>
        <w:rPr>
          <w:rFonts w:hint="default" w:ascii="Times New Roman" w:hAnsi="Times New Roman" w:eastAsia="仿宋_GB2312" w:cs="Times New Roman"/>
          <w:b/>
          <w:bCs/>
          <w:sz w:val="24"/>
        </w:rPr>
        <w:t xml:space="preserve">.1 </w:t>
      </w:r>
      <w:r>
        <w:rPr>
          <w:rFonts w:hint="default" w:ascii="Times New Roman" w:hAnsi="Times New Roman" w:eastAsia="仿宋_GB2312" w:cs="Times New Roman"/>
          <w:b/>
          <w:bCs/>
          <w:sz w:val="24"/>
          <w:lang w:val="en-US" w:eastAsia="zh-CN"/>
        </w:rPr>
        <w:t>一般规定</w:t>
      </w:r>
      <w:bookmarkEnd w:id="69"/>
    </w:p>
    <w:p w14:paraId="457FF6F6">
      <w:pPr>
        <w:spacing w:line="360" w:lineRule="auto"/>
        <w:ind w:firstLine="480" w:firstLineChars="200"/>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7</w:t>
      </w:r>
      <w:r>
        <w:rPr>
          <w:rFonts w:hint="default" w:ascii="Times New Roman" w:hAnsi="Times New Roman" w:eastAsia="仿宋_GB2312" w:cs="Times New Roman"/>
          <w:color w:val="auto"/>
          <w:sz w:val="24"/>
        </w:rPr>
        <w:t xml:space="preserve">.1.1 </w:t>
      </w:r>
      <w:r>
        <w:rPr>
          <w:rFonts w:hint="default" w:ascii="Times New Roman" w:hAnsi="Times New Roman" w:eastAsia="仿宋_GB2312" w:cs="Times New Roman"/>
          <w:color w:val="auto"/>
          <w:sz w:val="24"/>
          <w:lang w:val="en-US" w:eastAsia="zh-CN"/>
        </w:rPr>
        <w:t>厂拌热再生沥青路面所用</w:t>
      </w:r>
      <w:r>
        <w:rPr>
          <w:rFonts w:hint="default" w:ascii="Times New Roman" w:hAnsi="Times New Roman" w:eastAsia="仿宋_GB2312" w:cs="Times New Roman"/>
          <w:kern w:val="0"/>
          <w:sz w:val="24"/>
          <w:szCs w:val="20"/>
        </w:rPr>
        <w:t>各种</w:t>
      </w:r>
      <w:r>
        <w:rPr>
          <w:rFonts w:hint="default" w:ascii="Times New Roman" w:hAnsi="Times New Roman" w:eastAsia="仿宋_GB2312" w:cs="Times New Roman"/>
          <w:kern w:val="0"/>
          <w:sz w:val="24"/>
          <w:szCs w:val="20"/>
          <w:lang w:val="en-US" w:eastAsia="zh-CN"/>
        </w:rPr>
        <w:t>原</w:t>
      </w:r>
      <w:r>
        <w:rPr>
          <w:rFonts w:hint="default" w:ascii="Times New Roman" w:hAnsi="Times New Roman" w:eastAsia="仿宋_GB2312" w:cs="Times New Roman"/>
          <w:kern w:val="0"/>
          <w:sz w:val="24"/>
          <w:szCs w:val="20"/>
        </w:rPr>
        <w:t>材料应按规定取样进行质量检验，检验合格后方可</w:t>
      </w:r>
      <w:r>
        <w:rPr>
          <w:rFonts w:hint="default" w:ascii="Times New Roman" w:hAnsi="Times New Roman" w:eastAsia="仿宋_GB2312" w:cs="Times New Roman"/>
          <w:kern w:val="0"/>
          <w:sz w:val="24"/>
          <w:szCs w:val="20"/>
          <w:lang w:val="en-US" w:eastAsia="zh-CN"/>
        </w:rPr>
        <w:t>进厂</w:t>
      </w:r>
      <w:r>
        <w:rPr>
          <w:rFonts w:hint="default" w:ascii="Times New Roman" w:hAnsi="Times New Roman" w:eastAsia="仿宋_GB2312" w:cs="Times New Roman"/>
          <w:kern w:val="0"/>
          <w:sz w:val="24"/>
          <w:szCs w:val="20"/>
        </w:rPr>
        <w:t>使用</w:t>
      </w:r>
      <w:r>
        <w:rPr>
          <w:rFonts w:hint="default" w:ascii="Times New Roman" w:hAnsi="Times New Roman" w:eastAsia="仿宋_GB2312" w:cs="Times New Roman"/>
          <w:color w:val="auto"/>
          <w:sz w:val="24"/>
          <w:lang w:eastAsia="zh-CN"/>
        </w:rPr>
        <w:t>。</w:t>
      </w:r>
    </w:p>
    <w:p w14:paraId="0222F9D9">
      <w:pPr>
        <w:numPr>
          <w:ilvl w:val="0"/>
          <w:numId w:val="0"/>
        </w:numPr>
        <w:tabs>
          <w:tab w:val="left" w:pos="993"/>
        </w:tabs>
        <w:spacing w:line="360" w:lineRule="auto"/>
        <w:ind w:firstLine="480" w:firstLineChars="200"/>
        <w:rPr>
          <w:rFonts w:hint="default" w:ascii="Times New Roman" w:hAnsi="Times New Roman" w:eastAsia="仿宋_GB2312" w:cs="Times New Roman"/>
          <w:kern w:val="0"/>
          <w:sz w:val="24"/>
          <w:szCs w:val="20"/>
        </w:rPr>
      </w:pPr>
      <w:bookmarkStart w:id="74" w:name="_Toc5713"/>
      <w:r>
        <w:rPr>
          <w:rFonts w:hint="default" w:ascii="Times New Roman" w:hAnsi="Times New Roman" w:eastAsia="仿宋_GB2312" w:cs="Times New Roman"/>
          <w:kern w:val="0"/>
          <w:sz w:val="24"/>
          <w:szCs w:val="20"/>
          <w:lang w:val="en-US" w:eastAsia="zh-CN"/>
        </w:rPr>
        <w:t xml:space="preserve">7.1.2 </w:t>
      </w:r>
      <w:r>
        <w:rPr>
          <w:rFonts w:hint="default" w:ascii="Times New Roman" w:hAnsi="Times New Roman" w:eastAsia="仿宋_GB2312" w:cs="Times New Roman"/>
          <w:color w:val="auto"/>
          <w:sz w:val="24"/>
          <w:lang w:val="en-US" w:eastAsia="zh-CN"/>
        </w:rPr>
        <w:t>厂拌热再生沥青路面所用</w:t>
      </w:r>
      <w:r>
        <w:rPr>
          <w:rFonts w:hint="default" w:ascii="Times New Roman" w:hAnsi="Times New Roman" w:eastAsia="仿宋_GB2312" w:cs="Times New Roman"/>
          <w:kern w:val="0"/>
          <w:sz w:val="24"/>
          <w:szCs w:val="20"/>
        </w:rPr>
        <w:t>各类原材料应单独存放，并注意覆盖防雨布，避免暴晒，不可与其它材料混杂存放。</w:t>
      </w:r>
    </w:p>
    <w:p w14:paraId="29F34B5D">
      <w:pPr>
        <w:numPr>
          <w:ilvl w:val="0"/>
          <w:numId w:val="0"/>
        </w:numPr>
        <w:tabs>
          <w:tab w:val="left" w:pos="993"/>
          <w:tab w:val="left" w:pos="1418"/>
        </w:tabs>
        <w:spacing w:line="360" w:lineRule="auto"/>
        <w:ind w:firstLine="480" w:firstLineChars="200"/>
        <w:rPr>
          <w:rFonts w:hint="default" w:ascii="Times New Roman" w:hAnsi="Times New Roman" w:eastAsia="仿宋_GB2312" w:cs="Times New Roman"/>
          <w:kern w:val="0"/>
          <w:sz w:val="24"/>
          <w:szCs w:val="20"/>
        </w:rPr>
      </w:pPr>
      <w:r>
        <w:rPr>
          <w:rFonts w:hint="default" w:ascii="Times New Roman" w:hAnsi="Times New Roman" w:eastAsia="仿宋_GB2312" w:cs="Times New Roman"/>
          <w:kern w:val="0"/>
          <w:sz w:val="24"/>
          <w:szCs w:val="20"/>
          <w:lang w:val="en-US" w:eastAsia="zh-CN"/>
        </w:rPr>
        <w:t>7.1.3 施工过程中，当主要原材料发生变化时，应重新进行配合比设计</w:t>
      </w:r>
      <w:r>
        <w:rPr>
          <w:rFonts w:hint="default" w:ascii="Times New Roman" w:hAnsi="Times New Roman" w:eastAsia="仿宋_GB2312" w:cs="Times New Roman"/>
          <w:kern w:val="0"/>
          <w:sz w:val="24"/>
          <w:szCs w:val="20"/>
        </w:rPr>
        <w:t>。</w:t>
      </w:r>
    </w:p>
    <w:p w14:paraId="6AB236DF">
      <w:pPr>
        <w:spacing w:line="360" w:lineRule="auto"/>
        <w:outlineLvl w:val="1"/>
        <w:rPr>
          <w:rFonts w:hint="default" w:ascii="Times New Roman" w:hAnsi="Times New Roman" w:eastAsia="仿宋_GB2312" w:cs="Times New Roman"/>
          <w:sz w:val="24"/>
        </w:rPr>
      </w:pPr>
      <w:bookmarkStart w:id="75" w:name="_Toc1719"/>
      <w:r>
        <w:rPr>
          <w:rFonts w:hint="default" w:ascii="Times New Roman" w:hAnsi="Times New Roman" w:eastAsia="仿宋_GB2312" w:cs="Times New Roman"/>
          <w:b/>
          <w:bCs/>
          <w:sz w:val="24"/>
          <w:lang w:val="en-US" w:eastAsia="zh-CN"/>
        </w:rPr>
        <w:t>7</w:t>
      </w:r>
      <w:r>
        <w:rPr>
          <w:rFonts w:hint="default" w:ascii="Times New Roman" w:hAnsi="Times New Roman" w:eastAsia="仿宋_GB2312" w:cs="Times New Roman"/>
          <w:b/>
          <w:bCs/>
          <w:sz w:val="24"/>
        </w:rPr>
        <w:t>.2 沥青</w:t>
      </w:r>
      <w:bookmarkEnd w:id="74"/>
      <w:bookmarkEnd w:id="75"/>
    </w:p>
    <w:p w14:paraId="02465B75">
      <w:pPr>
        <w:numPr>
          <w:ilvl w:val="0"/>
          <w:numId w:val="0"/>
        </w:numPr>
        <w:tabs>
          <w:tab w:val="left" w:pos="993"/>
          <w:tab w:val="left" w:pos="1418"/>
        </w:tabs>
        <w:spacing w:line="360" w:lineRule="auto"/>
        <w:ind w:firstLine="480" w:firstLineChars="200"/>
        <w:rPr>
          <w:rFonts w:hint="default" w:ascii="Times New Roman" w:hAnsi="Times New Roman" w:eastAsia="仿宋_GB2312" w:cs="Times New Roman"/>
          <w:sz w:val="24"/>
        </w:rPr>
      </w:pPr>
      <w:bookmarkStart w:id="76" w:name="_Toc12683"/>
      <w:bookmarkStart w:id="77" w:name="_Toc15658"/>
      <w:bookmarkStart w:id="78" w:name="_Toc11122"/>
      <w:bookmarkStart w:id="79" w:name="_Toc14525"/>
      <w:r>
        <w:rPr>
          <w:rFonts w:hint="default" w:ascii="Times New Roman" w:hAnsi="Times New Roman" w:eastAsia="仿宋_GB2312" w:cs="Times New Roman"/>
          <w:kern w:val="0"/>
          <w:sz w:val="24"/>
          <w:szCs w:val="20"/>
          <w:lang w:val="en-US" w:eastAsia="zh-CN"/>
        </w:rPr>
        <w:t xml:space="preserve">7.2.1 </w:t>
      </w:r>
      <w:bookmarkEnd w:id="76"/>
      <w:bookmarkEnd w:id="77"/>
      <w:bookmarkEnd w:id="78"/>
      <w:bookmarkEnd w:id="79"/>
      <w:r>
        <w:rPr>
          <w:rFonts w:hint="default" w:ascii="Times New Roman" w:hAnsi="Times New Roman" w:eastAsia="仿宋_GB2312" w:cs="Times New Roman"/>
          <w:sz w:val="24"/>
        </w:rPr>
        <w:t>70号A级道路石油沥青技术</w:t>
      </w:r>
      <w:r>
        <w:rPr>
          <w:rFonts w:hint="default" w:ascii="Times New Roman" w:hAnsi="Times New Roman" w:eastAsia="仿宋_GB2312" w:cs="Times New Roman"/>
          <w:sz w:val="24"/>
          <w:lang w:val="en-US" w:eastAsia="zh-CN"/>
        </w:rPr>
        <w:t>指标应满足</w:t>
      </w:r>
      <w:r>
        <w:rPr>
          <w:rFonts w:hint="default" w:ascii="Times New Roman" w:hAnsi="Times New Roman" w:eastAsia="仿宋_GB2312" w:cs="Times New Roman"/>
          <w:sz w:val="24"/>
        </w:rPr>
        <w:t>表</w:t>
      </w:r>
      <w:r>
        <w:rPr>
          <w:rFonts w:hint="default" w:ascii="Times New Roman" w:hAnsi="Times New Roman" w:eastAsia="仿宋_GB2312" w:cs="Times New Roman"/>
          <w:sz w:val="24"/>
          <w:lang w:val="en-US" w:eastAsia="zh-CN"/>
        </w:rPr>
        <w:t>7</w:t>
      </w:r>
      <w:r>
        <w:rPr>
          <w:rFonts w:hint="default" w:ascii="Times New Roman" w:hAnsi="Times New Roman" w:eastAsia="仿宋_GB2312" w:cs="Times New Roman"/>
          <w:sz w:val="24"/>
        </w:rPr>
        <w:t>.2-1</w:t>
      </w:r>
      <w:r>
        <w:rPr>
          <w:rFonts w:hint="default" w:ascii="Times New Roman" w:hAnsi="Times New Roman" w:eastAsia="仿宋_GB2312" w:cs="Times New Roman"/>
          <w:sz w:val="24"/>
          <w:lang w:val="en-US" w:eastAsia="zh-CN"/>
        </w:rPr>
        <w:t>的技术要求</w:t>
      </w:r>
      <w:r>
        <w:rPr>
          <w:rFonts w:hint="default" w:ascii="Times New Roman" w:hAnsi="Times New Roman" w:eastAsia="仿宋_GB2312" w:cs="Times New Roman"/>
          <w:sz w:val="24"/>
        </w:rPr>
        <w:t>。</w:t>
      </w:r>
    </w:p>
    <w:p w14:paraId="014E53CC">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表</w:t>
      </w:r>
      <w:r>
        <w:rPr>
          <w:rFonts w:hint="default" w:ascii="Times New Roman" w:hAnsi="Times New Roman" w:eastAsia="仿宋_GB2312" w:cs="Times New Roman"/>
          <w:sz w:val="24"/>
          <w:lang w:val="en-US" w:eastAsia="zh-CN"/>
        </w:rPr>
        <w:t>7</w:t>
      </w:r>
      <w:r>
        <w:rPr>
          <w:rFonts w:hint="default" w:ascii="Times New Roman" w:hAnsi="Times New Roman" w:eastAsia="仿宋_GB2312" w:cs="Times New Roman"/>
          <w:sz w:val="24"/>
        </w:rPr>
        <w:t>.2-1  70号A级道路石油沥青技术要求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805"/>
        <w:gridCol w:w="1432"/>
        <w:gridCol w:w="1786"/>
        <w:gridCol w:w="1831"/>
      </w:tblGrid>
      <w:tr w14:paraId="72DB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3398" w:type="dxa"/>
            <w:vAlign w:val="center"/>
          </w:tcPr>
          <w:p w14:paraId="406DEAE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指  标</w:t>
            </w:r>
          </w:p>
        </w:tc>
        <w:tc>
          <w:tcPr>
            <w:tcW w:w="805" w:type="dxa"/>
            <w:vAlign w:val="center"/>
          </w:tcPr>
          <w:p w14:paraId="58E2EEA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w:t>
            </w:r>
          </w:p>
        </w:tc>
        <w:tc>
          <w:tcPr>
            <w:tcW w:w="1432" w:type="dxa"/>
            <w:vAlign w:val="center"/>
          </w:tcPr>
          <w:p w14:paraId="00CC17A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技术要求</w:t>
            </w:r>
          </w:p>
        </w:tc>
        <w:tc>
          <w:tcPr>
            <w:tcW w:w="1786" w:type="dxa"/>
            <w:vAlign w:val="center"/>
          </w:tcPr>
          <w:p w14:paraId="1252DE3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试验方法</w:t>
            </w:r>
          </w:p>
        </w:tc>
        <w:tc>
          <w:tcPr>
            <w:tcW w:w="1831" w:type="dxa"/>
            <w:vAlign w:val="center"/>
          </w:tcPr>
          <w:p w14:paraId="26F1184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检测批次</w:t>
            </w:r>
          </w:p>
        </w:tc>
      </w:tr>
      <w:tr w14:paraId="0C87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8" w:type="dxa"/>
            <w:vAlign w:val="center"/>
          </w:tcPr>
          <w:p w14:paraId="6BB33FD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针入度（25℃，5s，100g）</w:t>
            </w:r>
          </w:p>
        </w:tc>
        <w:tc>
          <w:tcPr>
            <w:tcW w:w="805" w:type="dxa"/>
            <w:vAlign w:val="center"/>
          </w:tcPr>
          <w:p w14:paraId="72EE490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0.1mm</w:t>
            </w:r>
          </w:p>
        </w:tc>
        <w:tc>
          <w:tcPr>
            <w:tcW w:w="1432" w:type="dxa"/>
            <w:vAlign w:val="center"/>
          </w:tcPr>
          <w:p w14:paraId="06022DC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60~80</w:t>
            </w:r>
          </w:p>
        </w:tc>
        <w:tc>
          <w:tcPr>
            <w:tcW w:w="1786" w:type="dxa"/>
            <w:vAlign w:val="center"/>
          </w:tcPr>
          <w:p w14:paraId="1054220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0604</w:t>
            </w:r>
          </w:p>
        </w:tc>
        <w:tc>
          <w:tcPr>
            <w:tcW w:w="1831" w:type="dxa"/>
            <w:vAlign w:val="center"/>
          </w:tcPr>
          <w:p w14:paraId="7151106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每车，过程中每2~3天1次</w:t>
            </w:r>
          </w:p>
        </w:tc>
      </w:tr>
      <w:tr w14:paraId="26BE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33CACAC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针入度指数PI</w:t>
            </w:r>
          </w:p>
        </w:tc>
        <w:tc>
          <w:tcPr>
            <w:tcW w:w="805" w:type="dxa"/>
            <w:vAlign w:val="center"/>
          </w:tcPr>
          <w:p w14:paraId="7CA786E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32" w:type="dxa"/>
            <w:vAlign w:val="center"/>
          </w:tcPr>
          <w:p w14:paraId="5CE6412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-1.5~+1.0</w:t>
            </w:r>
          </w:p>
        </w:tc>
        <w:tc>
          <w:tcPr>
            <w:tcW w:w="1786" w:type="dxa"/>
            <w:vAlign w:val="center"/>
          </w:tcPr>
          <w:p w14:paraId="64B210F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0604</w:t>
            </w:r>
          </w:p>
        </w:tc>
        <w:tc>
          <w:tcPr>
            <w:tcW w:w="1831" w:type="dxa"/>
            <w:vAlign w:val="center"/>
          </w:tcPr>
          <w:p w14:paraId="26997E1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5599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5EC2D62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软化点</w:t>
            </w:r>
          </w:p>
        </w:tc>
        <w:tc>
          <w:tcPr>
            <w:tcW w:w="805" w:type="dxa"/>
            <w:vAlign w:val="center"/>
          </w:tcPr>
          <w:p w14:paraId="39270B3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32" w:type="dxa"/>
            <w:vAlign w:val="center"/>
          </w:tcPr>
          <w:p w14:paraId="28647EB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≥45</w:t>
            </w:r>
          </w:p>
        </w:tc>
        <w:tc>
          <w:tcPr>
            <w:tcW w:w="1786" w:type="dxa"/>
            <w:vAlign w:val="center"/>
          </w:tcPr>
          <w:p w14:paraId="7BC2C63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0606</w:t>
            </w:r>
          </w:p>
        </w:tc>
        <w:tc>
          <w:tcPr>
            <w:tcW w:w="1831" w:type="dxa"/>
            <w:vAlign w:val="center"/>
          </w:tcPr>
          <w:p w14:paraId="4B8A5A0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每车，过程中每2~3天1次</w:t>
            </w:r>
          </w:p>
        </w:tc>
      </w:tr>
      <w:tr w14:paraId="575D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562BA42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60℃动力粘度</w:t>
            </w:r>
          </w:p>
        </w:tc>
        <w:tc>
          <w:tcPr>
            <w:tcW w:w="805" w:type="dxa"/>
            <w:vAlign w:val="center"/>
          </w:tcPr>
          <w:p w14:paraId="372417C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Pa.s</w:t>
            </w:r>
          </w:p>
        </w:tc>
        <w:tc>
          <w:tcPr>
            <w:tcW w:w="1432" w:type="dxa"/>
            <w:vAlign w:val="center"/>
          </w:tcPr>
          <w:p w14:paraId="3D92760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≥160</w:t>
            </w:r>
          </w:p>
        </w:tc>
        <w:tc>
          <w:tcPr>
            <w:tcW w:w="1786" w:type="dxa"/>
            <w:vAlign w:val="center"/>
          </w:tcPr>
          <w:p w14:paraId="0CD0A90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0620</w:t>
            </w:r>
          </w:p>
        </w:tc>
        <w:tc>
          <w:tcPr>
            <w:tcW w:w="1831" w:type="dxa"/>
            <w:vAlign w:val="center"/>
          </w:tcPr>
          <w:p w14:paraId="16F85CA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6259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0C28914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10℃延度</w:t>
            </w:r>
          </w:p>
        </w:tc>
        <w:tc>
          <w:tcPr>
            <w:tcW w:w="805" w:type="dxa"/>
            <w:vAlign w:val="center"/>
          </w:tcPr>
          <w:p w14:paraId="5BCA0EA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cm</w:t>
            </w:r>
          </w:p>
        </w:tc>
        <w:tc>
          <w:tcPr>
            <w:tcW w:w="1432" w:type="dxa"/>
            <w:vAlign w:val="center"/>
          </w:tcPr>
          <w:p w14:paraId="3E340CC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c>
          <w:tcPr>
            <w:tcW w:w="1786" w:type="dxa"/>
            <w:vAlign w:val="center"/>
          </w:tcPr>
          <w:p w14:paraId="0067556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0605</w:t>
            </w:r>
          </w:p>
        </w:tc>
        <w:tc>
          <w:tcPr>
            <w:tcW w:w="1831" w:type="dxa"/>
            <w:vAlign w:val="center"/>
          </w:tcPr>
          <w:p w14:paraId="6659E38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每车，过程中每2~3天1次</w:t>
            </w:r>
          </w:p>
        </w:tc>
      </w:tr>
      <w:tr w14:paraId="4A72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98" w:type="dxa"/>
            <w:vAlign w:val="center"/>
          </w:tcPr>
          <w:p w14:paraId="5F5B21A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15℃延度</w:t>
            </w:r>
          </w:p>
        </w:tc>
        <w:tc>
          <w:tcPr>
            <w:tcW w:w="805" w:type="dxa"/>
            <w:vAlign w:val="center"/>
          </w:tcPr>
          <w:p w14:paraId="175D9DE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cm</w:t>
            </w:r>
          </w:p>
        </w:tc>
        <w:tc>
          <w:tcPr>
            <w:tcW w:w="1432" w:type="dxa"/>
            <w:vAlign w:val="center"/>
          </w:tcPr>
          <w:p w14:paraId="242A979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tc>
        <w:tc>
          <w:tcPr>
            <w:tcW w:w="1786" w:type="dxa"/>
            <w:vAlign w:val="center"/>
          </w:tcPr>
          <w:p w14:paraId="50CCA0B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0605</w:t>
            </w:r>
          </w:p>
        </w:tc>
        <w:tc>
          <w:tcPr>
            <w:tcW w:w="1831" w:type="dxa"/>
            <w:vAlign w:val="center"/>
          </w:tcPr>
          <w:p w14:paraId="313FD58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每车，储存过程中每2~3天1次</w:t>
            </w:r>
          </w:p>
        </w:tc>
      </w:tr>
      <w:tr w14:paraId="53D1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2A072F2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蜡含量（蒸馏法）</w:t>
            </w:r>
          </w:p>
        </w:tc>
        <w:tc>
          <w:tcPr>
            <w:tcW w:w="805" w:type="dxa"/>
            <w:vAlign w:val="center"/>
          </w:tcPr>
          <w:p w14:paraId="7833431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32" w:type="dxa"/>
            <w:vAlign w:val="center"/>
          </w:tcPr>
          <w:p w14:paraId="6246E6A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b/>
                <w:bCs/>
                <w:color w:val="000000"/>
                <w:szCs w:val="21"/>
              </w:rPr>
              <w:t>≤</w:t>
            </w:r>
            <w:r>
              <w:rPr>
                <w:rFonts w:hint="default" w:ascii="Times New Roman" w:hAnsi="Times New Roman" w:eastAsia="仿宋_GB2312" w:cs="Times New Roman"/>
                <w:color w:val="000000"/>
                <w:szCs w:val="21"/>
              </w:rPr>
              <w:t>2.2</w:t>
            </w:r>
          </w:p>
        </w:tc>
        <w:tc>
          <w:tcPr>
            <w:tcW w:w="1786" w:type="dxa"/>
            <w:vAlign w:val="center"/>
          </w:tcPr>
          <w:p w14:paraId="090B70F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0615</w:t>
            </w:r>
          </w:p>
        </w:tc>
        <w:tc>
          <w:tcPr>
            <w:tcW w:w="1831" w:type="dxa"/>
            <w:vAlign w:val="center"/>
          </w:tcPr>
          <w:p w14:paraId="1683962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6EED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243EB4B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闪点</w:t>
            </w:r>
          </w:p>
        </w:tc>
        <w:tc>
          <w:tcPr>
            <w:tcW w:w="805" w:type="dxa"/>
            <w:vAlign w:val="center"/>
          </w:tcPr>
          <w:p w14:paraId="2A4B4A8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32" w:type="dxa"/>
            <w:vAlign w:val="center"/>
          </w:tcPr>
          <w:p w14:paraId="5085C54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≥260</w:t>
            </w:r>
          </w:p>
        </w:tc>
        <w:tc>
          <w:tcPr>
            <w:tcW w:w="1786" w:type="dxa"/>
            <w:vAlign w:val="center"/>
          </w:tcPr>
          <w:p w14:paraId="7E3EA5B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0611</w:t>
            </w:r>
          </w:p>
        </w:tc>
        <w:tc>
          <w:tcPr>
            <w:tcW w:w="1831" w:type="dxa"/>
            <w:vAlign w:val="center"/>
          </w:tcPr>
          <w:p w14:paraId="00CD2B3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000A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0BB9749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溶解度</w:t>
            </w:r>
          </w:p>
        </w:tc>
        <w:tc>
          <w:tcPr>
            <w:tcW w:w="805" w:type="dxa"/>
            <w:vAlign w:val="center"/>
          </w:tcPr>
          <w:p w14:paraId="624365F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32" w:type="dxa"/>
            <w:vAlign w:val="center"/>
          </w:tcPr>
          <w:p w14:paraId="2EF706A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≥99.5</w:t>
            </w:r>
          </w:p>
        </w:tc>
        <w:tc>
          <w:tcPr>
            <w:tcW w:w="1786" w:type="dxa"/>
            <w:vAlign w:val="center"/>
          </w:tcPr>
          <w:p w14:paraId="1F425D5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0607</w:t>
            </w:r>
          </w:p>
        </w:tc>
        <w:tc>
          <w:tcPr>
            <w:tcW w:w="1831" w:type="dxa"/>
            <w:vAlign w:val="center"/>
          </w:tcPr>
          <w:p w14:paraId="2B41C53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5D2B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34044E2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密度（15℃）</w:t>
            </w:r>
          </w:p>
        </w:tc>
        <w:tc>
          <w:tcPr>
            <w:tcW w:w="805" w:type="dxa"/>
            <w:vAlign w:val="center"/>
          </w:tcPr>
          <w:p w14:paraId="32F7B24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g/cm</w:t>
            </w:r>
            <w:r>
              <w:rPr>
                <w:rFonts w:hint="default" w:ascii="Times New Roman" w:hAnsi="Times New Roman" w:eastAsia="仿宋_GB2312" w:cs="Times New Roman"/>
                <w:color w:val="000000"/>
                <w:szCs w:val="21"/>
                <w:vertAlign w:val="superscript"/>
              </w:rPr>
              <w:t>3</w:t>
            </w:r>
          </w:p>
        </w:tc>
        <w:tc>
          <w:tcPr>
            <w:tcW w:w="1432" w:type="dxa"/>
            <w:vAlign w:val="center"/>
          </w:tcPr>
          <w:p w14:paraId="1BC9B16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实测记录</w:t>
            </w:r>
          </w:p>
        </w:tc>
        <w:tc>
          <w:tcPr>
            <w:tcW w:w="1786" w:type="dxa"/>
            <w:vAlign w:val="center"/>
          </w:tcPr>
          <w:p w14:paraId="763D4D6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0603</w:t>
            </w:r>
          </w:p>
        </w:tc>
        <w:tc>
          <w:tcPr>
            <w:tcW w:w="1831" w:type="dxa"/>
            <w:vAlign w:val="center"/>
          </w:tcPr>
          <w:p w14:paraId="12E1064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50F6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5"/>
            <w:vAlign w:val="center"/>
          </w:tcPr>
          <w:p w14:paraId="71989C17">
            <w:pPr>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TFOT（或RTFOT）后残留物</w:t>
            </w:r>
          </w:p>
        </w:tc>
      </w:tr>
      <w:tr w14:paraId="5541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4FD9197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质量变化</w:t>
            </w:r>
          </w:p>
        </w:tc>
        <w:tc>
          <w:tcPr>
            <w:tcW w:w="805" w:type="dxa"/>
            <w:vAlign w:val="center"/>
          </w:tcPr>
          <w:p w14:paraId="56038AB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32" w:type="dxa"/>
            <w:vAlign w:val="center"/>
          </w:tcPr>
          <w:p w14:paraId="07FC69E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±0.8</w:t>
            </w:r>
          </w:p>
        </w:tc>
        <w:tc>
          <w:tcPr>
            <w:tcW w:w="1786" w:type="dxa"/>
            <w:vAlign w:val="center"/>
          </w:tcPr>
          <w:p w14:paraId="34150ED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0610或T 0609</w:t>
            </w:r>
          </w:p>
        </w:tc>
        <w:tc>
          <w:tcPr>
            <w:tcW w:w="1831" w:type="dxa"/>
            <w:vAlign w:val="center"/>
          </w:tcPr>
          <w:p w14:paraId="72B1C1E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100t/次</w:t>
            </w:r>
          </w:p>
        </w:tc>
      </w:tr>
      <w:tr w14:paraId="474A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42F3EFD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残留针入度比（25℃，5s，100g）</w:t>
            </w:r>
          </w:p>
        </w:tc>
        <w:tc>
          <w:tcPr>
            <w:tcW w:w="805" w:type="dxa"/>
            <w:vAlign w:val="center"/>
          </w:tcPr>
          <w:p w14:paraId="2CEAC86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32" w:type="dxa"/>
            <w:vAlign w:val="center"/>
          </w:tcPr>
          <w:p w14:paraId="1257D87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≥61</w:t>
            </w:r>
          </w:p>
        </w:tc>
        <w:tc>
          <w:tcPr>
            <w:tcW w:w="1786" w:type="dxa"/>
            <w:vAlign w:val="center"/>
          </w:tcPr>
          <w:p w14:paraId="6B184B9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0604</w:t>
            </w:r>
          </w:p>
        </w:tc>
        <w:tc>
          <w:tcPr>
            <w:tcW w:w="1831" w:type="dxa"/>
            <w:vAlign w:val="center"/>
          </w:tcPr>
          <w:p w14:paraId="4A18810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100t/次</w:t>
            </w:r>
          </w:p>
        </w:tc>
      </w:tr>
      <w:tr w14:paraId="5E61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62C71A1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残留延度（10℃）</w:t>
            </w:r>
          </w:p>
        </w:tc>
        <w:tc>
          <w:tcPr>
            <w:tcW w:w="805" w:type="dxa"/>
            <w:vAlign w:val="center"/>
          </w:tcPr>
          <w:p w14:paraId="1E77C0E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cm</w:t>
            </w:r>
          </w:p>
        </w:tc>
        <w:tc>
          <w:tcPr>
            <w:tcW w:w="1432" w:type="dxa"/>
            <w:vAlign w:val="center"/>
          </w:tcPr>
          <w:p w14:paraId="6011FE5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w:t>
            </w:r>
          </w:p>
        </w:tc>
        <w:tc>
          <w:tcPr>
            <w:tcW w:w="1786" w:type="dxa"/>
            <w:vAlign w:val="center"/>
          </w:tcPr>
          <w:p w14:paraId="1D715C9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0605</w:t>
            </w:r>
          </w:p>
        </w:tc>
        <w:tc>
          <w:tcPr>
            <w:tcW w:w="1831" w:type="dxa"/>
            <w:vAlign w:val="center"/>
          </w:tcPr>
          <w:p w14:paraId="0FECFEE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100t/次</w:t>
            </w:r>
          </w:p>
        </w:tc>
      </w:tr>
      <w:tr w14:paraId="5663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6BD9FCC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SHRP性能等级（PG分级）</w:t>
            </w:r>
          </w:p>
        </w:tc>
        <w:tc>
          <w:tcPr>
            <w:tcW w:w="5854" w:type="dxa"/>
            <w:gridSpan w:val="4"/>
            <w:vAlign w:val="center"/>
          </w:tcPr>
          <w:p w14:paraId="743A1CC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PG 64-22</w:t>
            </w:r>
          </w:p>
        </w:tc>
      </w:tr>
      <w:tr w14:paraId="399D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5"/>
            <w:vAlign w:val="center"/>
          </w:tcPr>
          <w:p w14:paraId="346E31FB">
            <w:pPr>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原样沥青</w:t>
            </w:r>
          </w:p>
        </w:tc>
      </w:tr>
      <w:tr w14:paraId="317A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69FB2EF4">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动态剪切，G*/sinδ，最小1.0kPa，试验温度@10rad/s</w:t>
            </w:r>
          </w:p>
        </w:tc>
        <w:tc>
          <w:tcPr>
            <w:tcW w:w="805" w:type="dxa"/>
            <w:vAlign w:val="center"/>
          </w:tcPr>
          <w:p w14:paraId="4BE5309F">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432" w:type="dxa"/>
            <w:vAlign w:val="center"/>
          </w:tcPr>
          <w:p w14:paraId="25BC09C8">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64</w:t>
            </w:r>
          </w:p>
        </w:tc>
        <w:tc>
          <w:tcPr>
            <w:tcW w:w="1786" w:type="dxa"/>
            <w:vAlign w:val="center"/>
          </w:tcPr>
          <w:p w14:paraId="19EE5D9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0628（动态剪切流变仪法）</w:t>
            </w:r>
          </w:p>
        </w:tc>
        <w:tc>
          <w:tcPr>
            <w:tcW w:w="1831" w:type="dxa"/>
            <w:vAlign w:val="center"/>
          </w:tcPr>
          <w:p w14:paraId="19A0DDA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6C87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5" w:type="dxa"/>
            <w:gridSpan w:val="3"/>
            <w:vAlign w:val="center"/>
          </w:tcPr>
          <w:p w14:paraId="4BA96179">
            <w:pPr>
              <w:spacing w:line="0" w:lineRule="atLeast"/>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TFOT（或RTFOT）试验后沥青</w:t>
            </w:r>
          </w:p>
        </w:tc>
        <w:tc>
          <w:tcPr>
            <w:tcW w:w="1786" w:type="dxa"/>
            <w:vAlign w:val="center"/>
          </w:tcPr>
          <w:p w14:paraId="72E1C72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0610或T 0609</w:t>
            </w:r>
          </w:p>
        </w:tc>
        <w:tc>
          <w:tcPr>
            <w:tcW w:w="1831" w:type="dxa"/>
            <w:vAlign w:val="center"/>
          </w:tcPr>
          <w:p w14:paraId="633587C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3B3F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1F6A6510">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 xml:space="preserve">动态剪切，G*/sinδ，最小2.2kPa，试验温度@10rad/s </w:t>
            </w:r>
          </w:p>
        </w:tc>
        <w:tc>
          <w:tcPr>
            <w:tcW w:w="805" w:type="dxa"/>
            <w:vAlign w:val="center"/>
          </w:tcPr>
          <w:p w14:paraId="0F22708F">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432" w:type="dxa"/>
            <w:vAlign w:val="center"/>
          </w:tcPr>
          <w:p w14:paraId="12D16276">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64</w:t>
            </w:r>
          </w:p>
        </w:tc>
        <w:tc>
          <w:tcPr>
            <w:tcW w:w="1786" w:type="dxa"/>
            <w:vAlign w:val="center"/>
          </w:tcPr>
          <w:p w14:paraId="0B49131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0628（动态剪切流变仪法）</w:t>
            </w:r>
          </w:p>
        </w:tc>
        <w:tc>
          <w:tcPr>
            <w:tcW w:w="1831" w:type="dxa"/>
            <w:vAlign w:val="center"/>
          </w:tcPr>
          <w:p w14:paraId="5B1DB55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4864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5" w:type="dxa"/>
            <w:gridSpan w:val="3"/>
            <w:vAlign w:val="center"/>
          </w:tcPr>
          <w:p w14:paraId="3087D9B8">
            <w:pPr>
              <w:spacing w:line="0" w:lineRule="atLeast"/>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压力老化后沥青（老化温度100℃）</w:t>
            </w:r>
          </w:p>
        </w:tc>
        <w:tc>
          <w:tcPr>
            <w:tcW w:w="1786" w:type="dxa"/>
            <w:vAlign w:val="center"/>
          </w:tcPr>
          <w:p w14:paraId="606ED47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0630</w:t>
            </w:r>
          </w:p>
        </w:tc>
        <w:tc>
          <w:tcPr>
            <w:tcW w:w="1831" w:type="dxa"/>
            <w:vAlign w:val="center"/>
          </w:tcPr>
          <w:p w14:paraId="316D6FD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0E20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73B27C99">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动态剪切，G*/sinδ，最大5000kPa，试验温度@10rad/s</w:t>
            </w:r>
          </w:p>
        </w:tc>
        <w:tc>
          <w:tcPr>
            <w:tcW w:w="805" w:type="dxa"/>
            <w:vAlign w:val="center"/>
          </w:tcPr>
          <w:p w14:paraId="507930FE">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432" w:type="dxa"/>
            <w:vAlign w:val="center"/>
          </w:tcPr>
          <w:p w14:paraId="5298CCC7">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25</w:t>
            </w:r>
          </w:p>
        </w:tc>
        <w:tc>
          <w:tcPr>
            <w:tcW w:w="1786" w:type="dxa"/>
            <w:vAlign w:val="center"/>
          </w:tcPr>
          <w:p w14:paraId="259B135D">
            <w:pPr>
              <w:pStyle w:val="29"/>
              <w:jc w:val="center"/>
              <w:rPr>
                <w:rFonts w:hint="default" w:ascii="Times New Roman" w:hAnsi="Times New Roman" w:eastAsia="仿宋_GB2312" w:cs="Times New Roman"/>
              </w:rPr>
            </w:pPr>
            <w:r>
              <w:rPr>
                <w:rFonts w:hint="default" w:ascii="Times New Roman" w:hAnsi="Times New Roman" w:eastAsia="仿宋_GB2312" w:cs="Times New Roman"/>
                <w:szCs w:val="21"/>
              </w:rPr>
              <w:t>T 0628（动态剪切流变仪法）</w:t>
            </w:r>
          </w:p>
        </w:tc>
        <w:tc>
          <w:tcPr>
            <w:tcW w:w="1831" w:type="dxa"/>
            <w:vAlign w:val="center"/>
          </w:tcPr>
          <w:p w14:paraId="35A3A32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13BE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8" w:type="dxa"/>
            <w:vAlign w:val="center"/>
          </w:tcPr>
          <w:p w14:paraId="526A9D02">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蠕变劲度，S最大300MPa，m值最小0.3，试验温度@60s</w:t>
            </w:r>
          </w:p>
        </w:tc>
        <w:tc>
          <w:tcPr>
            <w:tcW w:w="805" w:type="dxa"/>
            <w:vAlign w:val="center"/>
          </w:tcPr>
          <w:p w14:paraId="4BB68880">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432" w:type="dxa"/>
            <w:vAlign w:val="center"/>
          </w:tcPr>
          <w:p w14:paraId="00E8F303">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-12</w:t>
            </w:r>
          </w:p>
        </w:tc>
        <w:tc>
          <w:tcPr>
            <w:tcW w:w="1786" w:type="dxa"/>
            <w:vAlign w:val="center"/>
          </w:tcPr>
          <w:p w14:paraId="10FF0347">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T 0627（弯曲梁流变仪法）</w:t>
            </w:r>
          </w:p>
        </w:tc>
        <w:tc>
          <w:tcPr>
            <w:tcW w:w="1831" w:type="dxa"/>
            <w:vAlign w:val="center"/>
          </w:tcPr>
          <w:p w14:paraId="37B84A1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bl>
    <w:p w14:paraId="401D1178">
      <w:pPr>
        <w:numPr>
          <w:ilvl w:val="0"/>
          <w:numId w:val="0"/>
        </w:numPr>
        <w:tabs>
          <w:tab w:val="left" w:pos="993"/>
          <w:tab w:val="left" w:pos="1418"/>
        </w:tabs>
        <w:spacing w:line="360" w:lineRule="auto"/>
        <w:ind w:firstLine="480" w:firstLineChars="200"/>
        <w:rPr>
          <w:rFonts w:hint="default" w:ascii="Times New Roman" w:hAnsi="Times New Roman" w:eastAsia="仿宋_GB2312" w:cs="Times New Roman"/>
          <w:sz w:val="24"/>
        </w:rPr>
      </w:pPr>
      <w:bookmarkStart w:id="80" w:name="_Toc14176"/>
      <w:bookmarkStart w:id="81" w:name="_Toc31234"/>
      <w:bookmarkStart w:id="82" w:name="_Toc16899"/>
      <w:bookmarkStart w:id="83" w:name="_Toc26752"/>
      <w:r>
        <w:rPr>
          <w:rFonts w:hint="default" w:ascii="Times New Roman" w:hAnsi="Times New Roman" w:eastAsia="仿宋_GB2312" w:cs="Times New Roman"/>
          <w:kern w:val="0"/>
          <w:sz w:val="24"/>
          <w:szCs w:val="20"/>
          <w:lang w:val="en-US" w:eastAsia="zh-CN"/>
        </w:rPr>
        <w:t xml:space="preserve">7.2.2 </w:t>
      </w:r>
      <w:bookmarkEnd w:id="80"/>
      <w:bookmarkEnd w:id="81"/>
      <w:bookmarkEnd w:id="82"/>
      <w:bookmarkEnd w:id="83"/>
      <w:r>
        <w:rPr>
          <w:rFonts w:hint="default" w:ascii="Times New Roman" w:hAnsi="Times New Roman" w:eastAsia="仿宋_GB2312" w:cs="Times New Roman"/>
          <w:sz w:val="24"/>
        </w:rPr>
        <w:t>SBS（I-D）改性沥青技术</w:t>
      </w:r>
      <w:r>
        <w:rPr>
          <w:rFonts w:hint="default" w:ascii="Times New Roman" w:hAnsi="Times New Roman" w:eastAsia="仿宋_GB2312" w:cs="Times New Roman"/>
          <w:sz w:val="24"/>
          <w:lang w:val="en-US" w:eastAsia="zh-CN"/>
        </w:rPr>
        <w:t>指标应满足</w:t>
      </w:r>
      <w:r>
        <w:rPr>
          <w:rFonts w:hint="default" w:ascii="Times New Roman" w:hAnsi="Times New Roman" w:eastAsia="仿宋_GB2312" w:cs="Times New Roman"/>
          <w:sz w:val="24"/>
        </w:rPr>
        <w:t>表</w:t>
      </w:r>
      <w:r>
        <w:rPr>
          <w:rFonts w:hint="default" w:ascii="Times New Roman" w:hAnsi="Times New Roman" w:eastAsia="仿宋_GB2312" w:cs="Times New Roman"/>
          <w:sz w:val="24"/>
          <w:lang w:val="en-US" w:eastAsia="zh-CN"/>
        </w:rPr>
        <w:t>7</w:t>
      </w:r>
      <w:r>
        <w:rPr>
          <w:rFonts w:hint="default" w:ascii="Times New Roman" w:hAnsi="Times New Roman" w:eastAsia="仿宋_GB2312" w:cs="Times New Roman"/>
          <w:sz w:val="24"/>
        </w:rPr>
        <w:t>.2-2</w:t>
      </w:r>
      <w:r>
        <w:rPr>
          <w:rFonts w:hint="default" w:ascii="Times New Roman" w:hAnsi="Times New Roman" w:eastAsia="仿宋_GB2312" w:cs="Times New Roman"/>
          <w:sz w:val="24"/>
          <w:lang w:val="en-US" w:eastAsia="zh-CN"/>
        </w:rPr>
        <w:t>的技术要求</w:t>
      </w:r>
      <w:r>
        <w:rPr>
          <w:rFonts w:hint="default" w:ascii="Times New Roman" w:hAnsi="Times New Roman" w:eastAsia="仿宋_GB2312" w:cs="Times New Roman"/>
          <w:sz w:val="24"/>
        </w:rPr>
        <w:t>。</w:t>
      </w:r>
    </w:p>
    <w:p w14:paraId="06725EFB">
      <w:pPr>
        <w:spacing w:line="360" w:lineRule="auto"/>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7</w:t>
      </w:r>
      <w:r>
        <w:rPr>
          <w:rFonts w:hint="default" w:ascii="Times New Roman" w:hAnsi="Times New Roman" w:eastAsia="仿宋_GB2312" w:cs="Times New Roman"/>
          <w:b/>
          <w:bCs/>
          <w:szCs w:val="21"/>
        </w:rPr>
        <w:t>.2-2  SBS（I-D）改性沥青技术要求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8"/>
        <w:gridCol w:w="923"/>
        <w:gridCol w:w="1397"/>
        <w:gridCol w:w="1500"/>
        <w:gridCol w:w="2189"/>
      </w:tblGrid>
      <w:tr w14:paraId="3078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278" w:type="dxa"/>
            <w:vAlign w:val="center"/>
          </w:tcPr>
          <w:p w14:paraId="4EE4F75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指  标</w:t>
            </w:r>
          </w:p>
        </w:tc>
        <w:tc>
          <w:tcPr>
            <w:tcW w:w="923" w:type="dxa"/>
            <w:vAlign w:val="center"/>
          </w:tcPr>
          <w:p w14:paraId="02D93B0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w:t>
            </w:r>
          </w:p>
        </w:tc>
        <w:tc>
          <w:tcPr>
            <w:tcW w:w="1397" w:type="dxa"/>
            <w:vAlign w:val="center"/>
          </w:tcPr>
          <w:p w14:paraId="01297B0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技术要求</w:t>
            </w:r>
          </w:p>
        </w:tc>
        <w:tc>
          <w:tcPr>
            <w:tcW w:w="1500" w:type="dxa"/>
            <w:vAlign w:val="center"/>
          </w:tcPr>
          <w:p w14:paraId="7117861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试验方法</w:t>
            </w:r>
          </w:p>
        </w:tc>
        <w:tc>
          <w:tcPr>
            <w:tcW w:w="2189" w:type="dxa"/>
            <w:vAlign w:val="center"/>
          </w:tcPr>
          <w:p w14:paraId="67EF43F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检测批次</w:t>
            </w:r>
          </w:p>
        </w:tc>
      </w:tr>
      <w:tr w14:paraId="19B4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0E5F3A4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针入度（25℃，5s，100g）</w:t>
            </w:r>
          </w:p>
        </w:tc>
        <w:tc>
          <w:tcPr>
            <w:tcW w:w="923" w:type="dxa"/>
            <w:vAlign w:val="center"/>
          </w:tcPr>
          <w:p w14:paraId="79A9866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0.1mm</w:t>
            </w:r>
          </w:p>
        </w:tc>
        <w:tc>
          <w:tcPr>
            <w:tcW w:w="1397" w:type="dxa"/>
            <w:vAlign w:val="center"/>
          </w:tcPr>
          <w:p w14:paraId="41A2412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40~60</w:t>
            </w:r>
          </w:p>
        </w:tc>
        <w:tc>
          <w:tcPr>
            <w:tcW w:w="1500" w:type="dxa"/>
            <w:vAlign w:val="center"/>
          </w:tcPr>
          <w:p w14:paraId="22EA866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0604</w:t>
            </w:r>
          </w:p>
        </w:tc>
        <w:tc>
          <w:tcPr>
            <w:tcW w:w="2189" w:type="dxa"/>
            <w:vAlign w:val="center"/>
          </w:tcPr>
          <w:p w14:paraId="02BA435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每车或现场改性40t/次，过程中每天1次</w:t>
            </w:r>
          </w:p>
        </w:tc>
      </w:tr>
      <w:tr w14:paraId="62E3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316D15B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针入度指数PI</w:t>
            </w:r>
          </w:p>
        </w:tc>
        <w:tc>
          <w:tcPr>
            <w:tcW w:w="923" w:type="dxa"/>
            <w:vAlign w:val="center"/>
          </w:tcPr>
          <w:p w14:paraId="65A92F1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51E9C54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w:t>
            </w:r>
          </w:p>
        </w:tc>
        <w:tc>
          <w:tcPr>
            <w:tcW w:w="1500" w:type="dxa"/>
            <w:vAlign w:val="center"/>
          </w:tcPr>
          <w:p w14:paraId="625EF40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0604</w:t>
            </w:r>
          </w:p>
        </w:tc>
        <w:tc>
          <w:tcPr>
            <w:tcW w:w="2189" w:type="dxa"/>
            <w:vAlign w:val="center"/>
          </w:tcPr>
          <w:p w14:paraId="13BC2F6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1746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5481E56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软化点</w:t>
            </w:r>
          </w:p>
        </w:tc>
        <w:tc>
          <w:tcPr>
            <w:tcW w:w="923" w:type="dxa"/>
            <w:vAlign w:val="center"/>
          </w:tcPr>
          <w:p w14:paraId="33FB9F7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5B5D2E2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≥70</w:t>
            </w:r>
          </w:p>
        </w:tc>
        <w:tc>
          <w:tcPr>
            <w:tcW w:w="1500" w:type="dxa"/>
            <w:vAlign w:val="center"/>
          </w:tcPr>
          <w:p w14:paraId="15A727F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0606</w:t>
            </w:r>
          </w:p>
        </w:tc>
        <w:tc>
          <w:tcPr>
            <w:tcW w:w="2189" w:type="dxa"/>
            <w:vAlign w:val="center"/>
          </w:tcPr>
          <w:p w14:paraId="62B9ADD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每车或现场改性40t/次，过程中每天1次</w:t>
            </w:r>
          </w:p>
        </w:tc>
      </w:tr>
      <w:tr w14:paraId="4998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7230458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135℃运动粘度</w:t>
            </w:r>
          </w:p>
        </w:tc>
        <w:tc>
          <w:tcPr>
            <w:tcW w:w="923" w:type="dxa"/>
            <w:vAlign w:val="center"/>
          </w:tcPr>
          <w:p w14:paraId="00B33F8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Pa.s</w:t>
            </w:r>
          </w:p>
        </w:tc>
        <w:tc>
          <w:tcPr>
            <w:tcW w:w="1397" w:type="dxa"/>
            <w:vAlign w:val="center"/>
          </w:tcPr>
          <w:p w14:paraId="08AB4EF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1500" w:type="dxa"/>
            <w:vAlign w:val="center"/>
          </w:tcPr>
          <w:p w14:paraId="52D2012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0625</w:t>
            </w:r>
          </w:p>
        </w:tc>
        <w:tc>
          <w:tcPr>
            <w:tcW w:w="2189" w:type="dxa"/>
            <w:vAlign w:val="center"/>
          </w:tcPr>
          <w:p w14:paraId="6891E00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6EE9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389C43C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5℃延度（5cm/min）</w:t>
            </w:r>
          </w:p>
        </w:tc>
        <w:tc>
          <w:tcPr>
            <w:tcW w:w="923" w:type="dxa"/>
            <w:vAlign w:val="center"/>
          </w:tcPr>
          <w:p w14:paraId="3DCB3AD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cm</w:t>
            </w:r>
          </w:p>
        </w:tc>
        <w:tc>
          <w:tcPr>
            <w:tcW w:w="1397" w:type="dxa"/>
            <w:vAlign w:val="center"/>
          </w:tcPr>
          <w:p w14:paraId="7208730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tc>
        <w:tc>
          <w:tcPr>
            <w:tcW w:w="1500" w:type="dxa"/>
            <w:vAlign w:val="center"/>
          </w:tcPr>
          <w:p w14:paraId="33D3E25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0605</w:t>
            </w:r>
          </w:p>
        </w:tc>
        <w:tc>
          <w:tcPr>
            <w:tcW w:w="2189" w:type="dxa"/>
            <w:vAlign w:val="center"/>
          </w:tcPr>
          <w:p w14:paraId="258A4DB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每车或现场改性40t/次，过程中每天1次</w:t>
            </w:r>
          </w:p>
        </w:tc>
      </w:tr>
      <w:tr w14:paraId="5B7B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1B42661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闪点</w:t>
            </w:r>
          </w:p>
        </w:tc>
        <w:tc>
          <w:tcPr>
            <w:tcW w:w="923" w:type="dxa"/>
            <w:vAlign w:val="center"/>
          </w:tcPr>
          <w:p w14:paraId="48BE5A4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6A2FE46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≥230</w:t>
            </w:r>
          </w:p>
        </w:tc>
        <w:tc>
          <w:tcPr>
            <w:tcW w:w="1500" w:type="dxa"/>
            <w:vAlign w:val="center"/>
          </w:tcPr>
          <w:p w14:paraId="0604890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0611</w:t>
            </w:r>
          </w:p>
        </w:tc>
        <w:tc>
          <w:tcPr>
            <w:tcW w:w="2189" w:type="dxa"/>
            <w:vAlign w:val="center"/>
          </w:tcPr>
          <w:p w14:paraId="75D2DE9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5685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044D91C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溶解度</w:t>
            </w:r>
          </w:p>
        </w:tc>
        <w:tc>
          <w:tcPr>
            <w:tcW w:w="923" w:type="dxa"/>
            <w:vAlign w:val="center"/>
          </w:tcPr>
          <w:p w14:paraId="7D9EAB0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11EE985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≥99</w:t>
            </w:r>
          </w:p>
        </w:tc>
        <w:tc>
          <w:tcPr>
            <w:tcW w:w="1500" w:type="dxa"/>
            <w:vAlign w:val="center"/>
          </w:tcPr>
          <w:p w14:paraId="69937C2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0607</w:t>
            </w:r>
          </w:p>
        </w:tc>
        <w:tc>
          <w:tcPr>
            <w:tcW w:w="2189" w:type="dxa"/>
            <w:vAlign w:val="center"/>
          </w:tcPr>
          <w:p w14:paraId="49D87BD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0892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1A52396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相对密度（25℃）</w:t>
            </w:r>
          </w:p>
        </w:tc>
        <w:tc>
          <w:tcPr>
            <w:tcW w:w="923" w:type="dxa"/>
            <w:vAlign w:val="center"/>
          </w:tcPr>
          <w:p w14:paraId="39037F8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7644660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实测记录</w:t>
            </w:r>
          </w:p>
        </w:tc>
        <w:tc>
          <w:tcPr>
            <w:tcW w:w="1500" w:type="dxa"/>
            <w:vAlign w:val="center"/>
          </w:tcPr>
          <w:p w14:paraId="71D6919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0603</w:t>
            </w:r>
          </w:p>
        </w:tc>
        <w:tc>
          <w:tcPr>
            <w:tcW w:w="2189" w:type="dxa"/>
            <w:vAlign w:val="center"/>
          </w:tcPr>
          <w:p w14:paraId="2D07247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1000t/次</w:t>
            </w:r>
          </w:p>
        </w:tc>
      </w:tr>
      <w:tr w14:paraId="76C0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20376EC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弹性恢复（25℃）</w:t>
            </w:r>
          </w:p>
        </w:tc>
        <w:tc>
          <w:tcPr>
            <w:tcW w:w="923" w:type="dxa"/>
            <w:vAlign w:val="center"/>
          </w:tcPr>
          <w:p w14:paraId="2138D52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1F2160F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≥75</w:t>
            </w:r>
          </w:p>
        </w:tc>
        <w:tc>
          <w:tcPr>
            <w:tcW w:w="1500" w:type="dxa"/>
            <w:vAlign w:val="center"/>
          </w:tcPr>
          <w:p w14:paraId="0FC1B54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0662</w:t>
            </w:r>
          </w:p>
        </w:tc>
        <w:tc>
          <w:tcPr>
            <w:tcW w:w="2189" w:type="dxa"/>
            <w:vAlign w:val="center"/>
          </w:tcPr>
          <w:p w14:paraId="69441F2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100t/次，过程中每周1次</w:t>
            </w:r>
          </w:p>
        </w:tc>
      </w:tr>
      <w:tr w14:paraId="67DC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2CFF941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贮存稳定性离析，48h软化点差</w:t>
            </w:r>
          </w:p>
        </w:tc>
        <w:tc>
          <w:tcPr>
            <w:tcW w:w="923" w:type="dxa"/>
            <w:vAlign w:val="center"/>
          </w:tcPr>
          <w:p w14:paraId="39B445F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685FF26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≤2.5</w:t>
            </w:r>
          </w:p>
        </w:tc>
        <w:tc>
          <w:tcPr>
            <w:tcW w:w="1500" w:type="dxa"/>
            <w:vAlign w:val="center"/>
          </w:tcPr>
          <w:p w14:paraId="296C625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0661</w:t>
            </w:r>
          </w:p>
        </w:tc>
        <w:tc>
          <w:tcPr>
            <w:tcW w:w="2189" w:type="dxa"/>
            <w:vAlign w:val="center"/>
          </w:tcPr>
          <w:p w14:paraId="060E6AC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100t/次</w:t>
            </w:r>
          </w:p>
        </w:tc>
      </w:tr>
      <w:tr w14:paraId="1352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4F4FF8E9">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400倍显微镜观察</w:t>
            </w:r>
          </w:p>
        </w:tc>
        <w:tc>
          <w:tcPr>
            <w:tcW w:w="923" w:type="dxa"/>
            <w:vAlign w:val="center"/>
          </w:tcPr>
          <w:p w14:paraId="6817176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1397" w:type="dxa"/>
            <w:vAlign w:val="center"/>
          </w:tcPr>
          <w:p w14:paraId="0257AC7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分布均匀</w:t>
            </w:r>
          </w:p>
        </w:tc>
        <w:tc>
          <w:tcPr>
            <w:tcW w:w="1500" w:type="dxa"/>
            <w:vAlign w:val="center"/>
          </w:tcPr>
          <w:p w14:paraId="31F0437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2189" w:type="dxa"/>
            <w:vAlign w:val="center"/>
          </w:tcPr>
          <w:p w14:paraId="62B2ED9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随时</w:t>
            </w:r>
          </w:p>
        </w:tc>
      </w:tr>
      <w:tr w14:paraId="4AD6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gridSpan w:val="5"/>
            <w:vAlign w:val="center"/>
          </w:tcPr>
          <w:p w14:paraId="0A85BAB0">
            <w:pPr>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TFOT（或RTFOT）后残留物</w:t>
            </w:r>
          </w:p>
        </w:tc>
      </w:tr>
      <w:tr w14:paraId="374E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6A2CF4E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质量变化</w:t>
            </w:r>
          </w:p>
        </w:tc>
        <w:tc>
          <w:tcPr>
            <w:tcW w:w="923" w:type="dxa"/>
            <w:vAlign w:val="center"/>
          </w:tcPr>
          <w:p w14:paraId="1F0DBA0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6825ED0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w:t>
            </w:r>
          </w:p>
        </w:tc>
        <w:tc>
          <w:tcPr>
            <w:tcW w:w="1500" w:type="dxa"/>
            <w:vAlign w:val="center"/>
          </w:tcPr>
          <w:p w14:paraId="76F424CE">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0610或T 0609</w:t>
            </w:r>
          </w:p>
        </w:tc>
        <w:tc>
          <w:tcPr>
            <w:tcW w:w="2189" w:type="dxa"/>
            <w:vAlign w:val="center"/>
          </w:tcPr>
          <w:p w14:paraId="22AEEB6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100t/次</w:t>
            </w:r>
          </w:p>
        </w:tc>
      </w:tr>
      <w:tr w14:paraId="583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0DFB169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针入度比（25℃，5s，100g）</w:t>
            </w:r>
          </w:p>
        </w:tc>
        <w:tc>
          <w:tcPr>
            <w:tcW w:w="923" w:type="dxa"/>
            <w:vAlign w:val="center"/>
          </w:tcPr>
          <w:p w14:paraId="3C2B996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97" w:type="dxa"/>
            <w:vAlign w:val="center"/>
          </w:tcPr>
          <w:p w14:paraId="6DB7F18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≥65</w:t>
            </w:r>
          </w:p>
        </w:tc>
        <w:tc>
          <w:tcPr>
            <w:tcW w:w="1500" w:type="dxa"/>
            <w:vAlign w:val="center"/>
          </w:tcPr>
          <w:p w14:paraId="48AB63E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0604</w:t>
            </w:r>
          </w:p>
        </w:tc>
        <w:tc>
          <w:tcPr>
            <w:tcW w:w="2189" w:type="dxa"/>
            <w:vAlign w:val="center"/>
          </w:tcPr>
          <w:p w14:paraId="526E4A7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100t/次</w:t>
            </w:r>
          </w:p>
        </w:tc>
      </w:tr>
      <w:tr w14:paraId="3AB0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244AD20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残留延度（5℃）</w:t>
            </w:r>
          </w:p>
        </w:tc>
        <w:tc>
          <w:tcPr>
            <w:tcW w:w="923" w:type="dxa"/>
            <w:vAlign w:val="center"/>
          </w:tcPr>
          <w:p w14:paraId="0DD79CC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cm</w:t>
            </w:r>
          </w:p>
        </w:tc>
        <w:tc>
          <w:tcPr>
            <w:tcW w:w="1397" w:type="dxa"/>
            <w:vAlign w:val="center"/>
          </w:tcPr>
          <w:p w14:paraId="4558F72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c>
          <w:tcPr>
            <w:tcW w:w="1500" w:type="dxa"/>
            <w:vAlign w:val="center"/>
          </w:tcPr>
          <w:p w14:paraId="6EE3266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0605</w:t>
            </w:r>
          </w:p>
        </w:tc>
        <w:tc>
          <w:tcPr>
            <w:tcW w:w="2189" w:type="dxa"/>
            <w:vAlign w:val="center"/>
          </w:tcPr>
          <w:p w14:paraId="23AEC06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100t/次</w:t>
            </w:r>
          </w:p>
        </w:tc>
      </w:tr>
      <w:tr w14:paraId="0F8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543A4F2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SHRP性能等级（PG分级）</w:t>
            </w:r>
          </w:p>
        </w:tc>
        <w:tc>
          <w:tcPr>
            <w:tcW w:w="6009" w:type="dxa"/>
            <w:gridSpan w:val="4"/>
            <w:vAlign w:val="center"/>
          </w:tcPr>
          <w:p w14:paraId="6A92752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PG 76-22</w:t>
            </w:r>
          </w:p>
        </w:tc>
      </w:tr>
      <w:tr w14:paraId="474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gridSpan w:val="5"/>
            <w:vAlign w:val="center"/>
          </w:tcPr>
          <w:p w14:paraId="7614A98F">
            <w:pPr>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原样沥青</w:t>
            </w:r>
          </w:p>
        </w:tc>
      </w:tr>
      <w:tr w14:paraId="4D24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61F96D7A">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动态剪切，G*/sinδ，最小1.0kPa，试验温度@10rad/s</w:t>
            </w:r>
          </w:p>
        </w:tc>
        <w:tc>
          <w:tcPr>
            <w:tcW w:w="923" w:type="dxa"/>
            <w:vAlign w:val="center"/>
          </w:tcPr>
          <w:p w14:paraId="03EAC1D4">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397" w:type="dxa"/>
            <w:vAlign w:val="center"/>
          </w:tcPr>
          <w:p w14:paraId="0F7BC951">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76</w:t>
            </w:r>
          </w:p>
        </w:tc>
        <w:tc>
          <w:tcPr>
            <w:tcW w:w="1500" w:type="dxa"/>
            <w:vAlign w:val="center"/>
          </w:tcPr>
          <w:p w14:paraId="441215A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0628（动态剪切流变仪法）</w:t>
            </w:r>
          </w:p>
        </w:tc>
        <w:tc>
          <w:tcPr>
            <w:tcW w:w="2189" w:type="dxa"/>
            <w:vAlign w:val="center"/>
          </w:tcPr>
          <w:p w14:paraId="2103B16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2EF3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8" w:type="dxa"/>
            <w:gridSpan w:val="3"/>
            <w:vAlign w:val="center"/>
          </w:tcPr>
          <w:p w14:paraId="0D3BBCE9">
            <w:pPr>
              <w:spacing w:line="0" w:lineRule="atLeast"/>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TFOT（或RTFOT）试验后沥青</w:t>
            </w:r>
          </w:p>
        </w:tc>
        <w:tc>
          <w:tcPr>
            <w:tcW w:w="1500" w:type="dxa"/>
            <w:vAlign w:val="center"/>
          </w:tcPr>
          <w:p w14:paraId="6E7FA00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0610或T 0609</w:t>
            </w:r>
          </w:p>
        </w:tc>
        <w:tc>
          <w:tcPr>
            <w:tcW w:w="2189" w:type="dxa"/>
            <w:vAlign w:val="center"/>
          </w:tcPr>
          <w:p w14:paraId="019A0FD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2AD1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7B757529">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动态剪切，G*/sinδ，最小2.2kPa，试验温度@10rad/s</w:t>
            </w:r>
          </w:p>
        </w:tc>
        <w:tc>
          <w:tcPr>
            <w:tcW w:w="923" w:type="dxa"/>
            <w:vAlign w:val="center"/>
          </w:tcPr>
          <w:p w14:paraId="5B88F7F1">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397" w:type="dxa"/>
            <w:vAlign w:val="center"/>
          </w:tcPr>
          <w:p w14:paraId="01E6AF3B">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76</w:t>
            </w:r>
          </w:p>
        </w:tc>
        <w:tc>
          <w:tcPr>
            <w:tcW w:w="1500" w:type="dxa"/>
            <w:vAlign w:val="center"/>
          </w:tcPr>
          <w:p w14:paraId="3617009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0628（动态剪切流变仪法）</w:t>
            </w:r>
          </w:p>
        </w:tc>
        <w:tc>
          <w:tcPr>
            <w:tcW w:w="2189" w:type="dxa"/>
            <w:vAlign w:val="center"/>
          </w:tcPr>
          <w:p w14:paraId="122153D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0801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8" w:type="dxa"/>
            <w:gridSpan w:val="3"/>
            <w:vAlign w:val="center"/>
          </w:tcPr>
          <w:p w14:paraId="38AED52E">
            <w:pPr>
              <w:spacing w:line="0" w:lineRule="atLeast"/>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压力老化后沥青（老化温度100℃）</w:t>
            </w:r>
          </w:p>
        </w:tc>
        <w:tc>
          <w:tcPr>
            <w:tcW w:w="1500" w:type="dxa"/>
            <w:vAlign w:val="center"/>
          </w:tcPr>
          <w:p w14:paraId="5D7199F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0630</w:t>
            </w:r>
          </w:p>
        </w:tc>
        <w:tc>
          <w:tcPr>
            <w:tcW w:w="2189" w:type="dxa"/>
            <w:vAlign w:val="center"/>
          </w:tcPr>
          <w:p w14:paraId="2417329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55BA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3703C2CB">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动态剪切，G*/sinδ，最大5000kPa，试验温度@10rad/s</w:t>
            </w:r>
          </w:p>
        </w:tc>
        <w:tc>
          <w:tcPr>
            <w:tcW w:w="923" w:type="dxa"/>
            <w:vAlign w:val="center"/>
          </w:tcPr>
          <w:p w14:paraId="2FF4C050">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397" w:type="dxa"/>
            <w:vAlign w:val="center"/>
          </w:tcPr>
          <w:p w14:paraId="31FD3437">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31</w:t>
            </w:r>
          </w:p>
        </w:tc>
        <w:tc>
          <w:tcPr>
            <w:tcW w:w="1500" w:type="dxa"/>
            <w:vAlign w:val="center"/>
          </w:tcPr>
          <w:p w14:paraId="0B9BC994">
            <w:pPr>
              <w:pStyle w:val="29"/>
              <w:jc w:val="center"/>
              <w:rPr>
                <w:rFonts w:hint="default" w:ascii="Times New Roman" w:hAnsi="Times New Roman" w:eastAsia="仿宋_GB2312" w:cs="Times New Roman"/>
              </w:rPr>
            </w:pPr>
            <w:r>
              <w:rPr>
                <w:rFonts w:hint="default" w:ascii="Times New Roman" w:hAnsi="Times New Roman" w:eastAsia="仿宋_GB2312" w:cs="Times New Roman"/>
                <w:szCs w:val="21"/>
              </w:rPr>
              <w:t>T 0628（动态剪切流变仪法）</w:t>
            </w:r>
          </w:p>
        </w:tc>
        <w:tc>
          <w:tcPr>
            <w:tcW w:w="2189" w:type="dxa"/>
            <w:vAlign w:val="center"/>
          </w:tcPr>
          <w:p w14:paraId="143DD80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r w14:paraId="5CD7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8" w:type="dxa"/>
            <w:vAlign w:val="center"/>
          </w:tcPr>
          <w:p w14:paraId="53B6CB06">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蠕变劲度，S最大300MPa，m值最小0.3，试验温度@60s</w:t>
            </w:r>
          </w:p>
        </w:tc>
        <w:tc>
          <w:tcPr>
            <w:tcW w:w="923" w:type="dxa"/>
            <w:vAlign w:val="center"/>
          </w:tcPr>
          <w:p w14:paraId="4D60DF94">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w:t>
            </w:r>
          </w:p>
        </w:tc>
        <w:tc>
          <w:tcPr>
            <w:tcW w:w="1397" w:type="dxa"/>
            <w:vAlign w:val="center"/>
          </w:tcPr>
          <w:p w14:paraId="5D3B018F">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-12</w:t>
            </w:r>
          </w:p>
        </w:tc>
        <w:tc>
          <w:tcPr>
            <w:tcW w:w="1500" w:type="dxa"/>
            <w:vAlign w:val="center"/>
          </w:tcPr>
          <w:p w14:paraId="1E114FB2">
            <w:pPr>
              <w:pStyle w:val="29"/>
              <w:jc w:val="center"/>
              <w:rPr>
                <w:rFonts w:hint="default" w:ascii="Times New Roman" w:hAnsi="Times New Roman" w:eastAsia="仿宋_GB2312" w:cs="Times New Roman"/>
              </w:rPr>
            </w:pPr>
            <w:r>
              <w:rPr>
                <w:rFonts w:hint="default" w:ascii="Times New Roman" w:hAnsi="Times New Roman" w:eastAsia="仿宋_GB2312" w:cs="Times New Roman"/>
              </w:rPr>
              <w:t>T 0627（弯曲梁流变仪法）</w:t>
            </w:r>
          </w:p>
        </w:tc>
        <w:tc>
          <w:tcPr>
            <w:tcW w:w="2189" w:type="dxa"/>
            <w:vAlign w:val="center"/>
          </w:tcPr>
          <w:p w14:paraId="00D51E9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2000t/次</w:t>
            </w:r>
          </w:p>
        </w:tc>
      </w:tr>
    </w:tbl>
    <w:p w14:paraId="45452D12">
      <w:pPr>
        <w:spacing w:line="360" w:lineRule="auto"/>
        <w:ind w:firstLine="480" w:firstLineChars="200"/>
        <w:rPr>
          <w:rFonts w:hint="default" w:ascii="Times New Roman" w:hAnsi="Times New Roman" w:eastAsia="仿宋_GB2312" w:cs="Times New Roman"/>
          <w:sz w:val="24"/>
          <w:lang w:val="en-US" w:eastAsia="zh-CN"/>
        </w:rPr>
      </w:pPr>
    </w:p>
    <w:p w14:paraId="76628230">
      <w:pPr>
        <w:spacing w:line="360" w:lineRule="auto"/>
        <w:outlineLvl w:val="1"/>
        <w:rPr>
          <w:rFonts w:hint="default" w:ascii="Times New Roman" w:hAnsi="Times New Roman" w:eastAsia="仿宋_GB2312" w:cs="Times New Roman"/>
          <w:b/>
          <w:bCs/>
          <w:sz w:val="24"/>
          <w:lang w:val="en-US" w:eastAsia="zh-CN"/>
        </w:rPr>
      </w:pPr>
      <w:bookmarkStart w:id="84" w:name="_Toc27595"/>
      <w:r>
        <w:rPr>
          <w:rFonts w:hint="default" w:ascii="Times New Roman" w:hAnsi="Times New Roman" w:eastAsia="仿宋_GB2312" w:cs="Times New Roman"/>
          <w:b/>
          <w:bCs/>
          <w:sz w:val="24"/>
          <w:lang w:val="en-US" w:eastAsia="zh-CN"/>
        </w:rPr>
        <w:t>7</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3</w:t>
      </w: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b/>
          <w:bCs/>
          <w:sz w:val="24"/>
          <w:lang w:val="en-US" w:eastAsia="zh-CN"/>
        </w:rPr>
        <w:t>新</w:t>
      </w:r>
      <w:r>
        <w:rPr>
          <w:rFonts w:hint="default" w:ascii="Times New Roman" w:hAnsi="Times New Roman" w:eastAsia="仿宋_GB2312" w:cs="Times New Roman"/>
          <w:b/>
          <w:bCs/>
          <w:sz w:val="24"/>
        </w:rPr>
        <w:t>集料</w:t>
      </w:r>
      <w:bookmarkEnd w:id="70"/>
      <w:bookmarkEnd w:id="71"/>
      <w:bookmarkEnd w:id="72"/>
      <w:bookmarkEnd w:id="73"/>
      <w:r>
        <w:rPr>
          <w:rFonts w:hint="default" w:ascii="Times New Roman" w:hAnsi="Times New Roman" w:eastAsia="仿宋_GB2312" w:cs="Times New Roman"/>
          <w:b/>
          <w:bCs/>
          <w:sz w:val="24"/>
          <w:lang w:val="en-US" w:eastAsia="zh-CN"/>
        </w:rPr>
        <w:t>及填料</w:t>
      </w:r>
      <w:bookmarkEnd w:id="84"/>
    </w:p>
    <w:p w14:paraId="17B4AFF9">
      <w:pPr>
        <w:numPr>
          <w:ilvl w:val="0"/>
          <w:numId w:val="0"/>
        </w:num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7.3.1</w:t>
      </w:r>
      <w:r>
        <w:rPr>
          <w:rFonts w:hint="default" w:ascii="Times New Roman" w:hAnsi="Times New Roman" w:eastAsia="仿宋_GB2312" w:cs="Times New Roman"/>
          <w:sz w:val="24"/>
        </w:rPr>
        <w:t>中下面层新集料</w:t>
      </w:r>
      <w:r>
        <w:rPr>
          <w:rFonts w:hint="default" w:ascii="Times New Roman" w:hAnsi="Times New Roman" w:eastAsia="仿宋_GB2312" w:cs="Times New Roman"/>
          <w:sz w:val="24"/>
          <w:lang w:val="en-US" w:eastAsia="zh-CN"/>
        </w:rPr>
        <w:t>宜分</w:t>
      </w:r>
      <w:r>
        <w:rPr>
          <w:rFonts w:hint="default" w:ascii="Times New Roman" w:hAnsi="Times New Roman" w:eastAsia="仿宋_GB2312" w:cs="Times New Roman"/>
          <w:sz w:val="24"/>
        </w:rPr>
        <w:t>为19-26.5mm、9.5-19mm、4.75-9.5mm、2.36-4.75mm、0-2.36mm。</w:t>
      </w:r>
    </w:p>
    <w:p w14:paraId="24EB17A7">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7.3.2 </w:t>
      </w:r>
      <w:r>
        <w:rPr>
          <w:rFonts w:hint="default" w:ascii="Times New Roman" w:hAnsi="Times New Roman" w:eastAsia="仿宋_GB2312" w:cs="Times New Roman"/>
          <w:sz w:val="24"/>
        </w:rPr>
        <w:t>用于加工</w:t>
      </w:r>
      <w:r>
        <w:rPr>
          <w:rFonts w:hint="default" w:ascii="Times New Roman" w:hAnsi="Times New Roman" w:eastAsia="仿宋_GB2312" w:cs="Times New Roman"/>
          <w:sz w:val="24"/>
          <w:lang w:val="en-US" w:eastAsia="zh-CN"/>
        </w:rPr>
        <w:t>新</w:t>
      </w:r>
      <w:r>
        <w:rPr>
          <w:rFonts w:hint="default" w:ascii="Times New Roman" w:hAnsi="Times New Roman" w:eastAsia="仿宋_GB2312" w:cs="Times New Roman"/>
          <w:sz w:val="24"/>
        </w:rPr>
        <w:t>集料的岩石饱水抗压强度：火成岩（岩浆岩）不小于80MPa、变质岩不小于60MPa、水成岩（沉积岩）不小于30MPa。</w:t>
      </w:r>
    </w:p>
    <w:p w14:paraId="563AE75F">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7.3.3 </w:t>
      </w:r>
      <w:r>
        <w:rPr>
          <w:rFonts w:hint="default" w:ascii="Times New Roman" w:hAnsi="Times New Roman" w:eastAsia="仿宋_GB2312" w:cs="Times New Roman"/>
          <w:sz w:val="24"/>
        </w:rPr>
        <w:t>集料应坚硬、洁净、无杂质、干燥、无风化、无杂质。</w:t>
      </w:r>
    </w:p>
    <w:p w14:paraId="383DE9A9">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7.3.4 </w:t>
      </w:r>
      <w:r>
        <w:rPr>
          <w:rFonts w:hint="default" w:ascii="Times New Roman" w:hAnsi="Times New Roman" w:eastAsia="仿宋_GB2312" w:cs="Times New Roman"/>
          <w:sz w:val="24"/>
        </w:rPr>
        <w:t>粗集料</w:t>
      </w:r>
      <w:r>
        <w:rPr>
          <w:rFonts w:hint="default" w:ascii="Times New Roman" w:hAnsi="Times New Roman" w:eastAsia="仿宋_GB2312" w:cs="Times New Roman"/>
          <w:sz w:val="24"/>
          <w:lang w:val="en-US" w:eastAsia="zh-CN"/>
        </w:rPr>
        <w:t>级配范围</w:t>
      </w:r>
      <w:r>
        <w:rPr>
          <w:rFonts w:hint="default" w:ascii="Times New Roman" w:hAnsi="Times New Roman" w:eastAsia="仿宋_GB2312" w:cs="Times New Roman"/>
          <w:sz w:val="24"/>
        </w:rPr>
        <w:t>见表</w:t>
      </w:r>
      <w:r>
        <w:rPr>
          <w:rFonts w:hint="default" w:ascii="Times New Roman" w:hAnsi="Times New Roman" w:eastAsia="仿宋_GB2312" w:cs="Times New Roman"/>
          <w:sz w:val="24"/>
          <w:lang w:val="en-US" w:eastAsia="zh-CN"/>
        </w:rPr>
        <w:t>7.3</w:t>
      </w:r>
      <w:r>
        <w:rPr>
          <w:rFonts w:hint="default" w:ascii="Times New Roman" w:hAnsi="Times New Roman" w:eastAsia="仿宋_GB2312" w:cs="Times New Roman"/>
          <w:sz w:val="24"/>
        </w:rPr>
        <w:t>-1，细集料</w:t>
      </w:r>
      <w:r>
        <w:rPr>
          <w:rFonts w:hint="default" w:ascii="Times New Roman" w:hAnsi="Times New Roman" w:eastAsia="仿宋_GB2312" w:cs="Times New Roman"/>
          <w:sz w:val="24"/>
          <w:lang w:val="en-US" w:eastAsia="zh-CN"/>
        </w:rPr>
        <w:t>级配范围</w:t>
      </w:r>
      <w:r>
        <w:rPr>
          <w:rFonts w:hint="default" w:ascii="Times New Roman" w:hAnsi="Times New Roman" w:eastAsia="仿宋_GB2312" w:cs="Times New Roman"/>
          <w:sz w:val="24"/>
        </w:rPr>
        <w:t>见表</w:t>
      </w:r>
      <w:r>
        <w:rPr>
          <w:rFonts w:hint="default" w:ascii="Times New Roman" w:hAnsi="Times New Roman" w:eastAsia="仿宋_GB2312" w:cs="Times New Roman"/>
          <w:sz w:val="24"/>
          <w:lang w:val="en-US" w:eastAsia="zh-CN"/>
        </w:rPr>
        <w:t>7.3</w:t>
      </w:r>
      <w:r>
        <w:rPr>
          <w:rFonts w:hint="default" w:ascii="Times New Roman" w:hAnsi="Times New Roman" w:eastAsia="仿宋_GB2312" w:cs="Times New Roman"/>
          <w:sz w:val="24"/>
        </w:rPr>
        <w:t>-2，粗集料质量技术要求见表</w:t>
      </w:r>
      <w:r>
        <w:rPr>
          <w:rFonts w:hint="default" w:ascii="Times New Roman" w:hAnsi="Times New Roman" w:eastAsia="仿宋_GB2312" w:cs="Times New Roman"/>
          <w:sz w:val="24"/>
          <w:lang w:val="en-US" w:eastAsia="zh-CN"/>
        </w:rPr>
        <w:t>7.3</w:t>
      </w:r>
      <w:r>
        <w:rPr>
          <w:rFonts w:hint="default" w:ascii="Times New Roman" w:hAnsi="Times New Roman" w:eastAsia="仿宋_GB2312" w:cs="Times New Roman"/>
          <w:sz w:val="24"/>
        </w:rPr>
        <w:t>-3，细集料质量技术要求见表</w:t>
      </w:r>
      <w:r>
        <w:rPr>
          <w:rFonts w:hint="default" w:ascii="Times New Roman" w:hAnsi="Times New Roman" w:eastAsia="仿宋_GB2312" w:cs="Times New Roman"/>
          <w:sz w:val="24"/>
          <w:lang w:val="en-US" w:eastAsia="zh-CN"/>
        </w:rPr>
        <w:t>7.3</w:t>
      </w:r>
      <w:r>
        <w:rPr>
          <w:rFonts w:hint="default" w:ascii="Times New Roman" w:hAnsi="Times New Roman" w:eastAsia="仿宋_GB2312" w:cs="Times New Roman"/>
          <w:sz w:val="24"/>
        </w:rPr>
        <w:t>-4。</w:t>
      </w:r>
    </w:p>
    <w:p w14:paraId="6CA287C7">
      <w:pPr>
        <w:spacing w:line="360" w:lineRule="auto"/>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7.3</w:t>
      </w:r>
      <w:r>
        <w:rPr>
          <w:rFonts w:hint="default" w:ascii="Times New Roman" w:hAnsi="Times New Roman" w:eastAsia="仿宋_GB2312" w:cs="Times New Roman"/>
          <w:b/>
          <w:bCs/>
          <w:szCs w:val="21"/>
        </w:rPr>
        <w:t>-1 粗集料</w:t>
      </w:r>
      <w:r>
        <w:rPr>
          <w:rFonts w:hint="default" w:ascii="Times New Roman" w:hAnsi="Times New Roman" w:eastAsia="仿宋_GB2312" w:cs="Times New Roman"/>
          <w:b/>
          <w:bCs/>
          <w:szCs w:val="21"/>
          <w:lang w:val="en-US" w:eastAsia="zh-CN"/>
        </w:rPr>
        <w:t>级配范围</w:t>
      </w:r>
    </w:p>
    <w:tbl>
      <w:tblPr>
        <w:tblStyle w:val="17"/>
        <w:tblW w:w="4876"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64"/>
        <w:gridCol w:w="754"/>
        <w:gridCol w:w="754"/>
        <w:gridCol w:w="754"/>
        <w:gridCol w:w="754"/>
        <w:gridCol w:w="754"/>
        <w:gridCol w:w="754"/>
        <w:gridCol w:w="754"/>
        <w:gridCol w:w="758"/>
        <w:gridCol w:w="760"/>
        <w:gridCol w:w="934"/>
      </w:tblGrid>
      <w:tr w14:paraId="530F02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96" w:type="pct"/>
            <w:vMerge w:val="restart"/>
            <w:tcBorders>
              <w:top w:val="single" w:color="auto" w:sz="6" w:space="0"/>
              <w:left w:val="single" w:color="auto" w:sz="6" w:space="0"/>
            </w:tcBorders>
            <w:vAlign w:val="center"/>
          </w:tcPr>
          <w:p w14:paraId="7EFC1CC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粒径</w:t>
            </w:r>
          </w:p>
          <w:p w14:paraId="034157F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(mm)</w:t>
            </w:r>
          </w:p>
        </w:tc>
        <w:tc>
          <w:tcPr>
            <w:tcW w:w="4203" w:type="pct"/>
            <w:gridSpan w:val="10"/>
            <w:tcBorders>
              <w:top w:val="single" w:color="auto" w:sz="6" w:space="0"/>
              <w:right w:val="single" w:color="auto" w:sz="6" w:space="0"/>
            </w:tcBorders>
            <w:vAlign w:val="center"/>
          </w:tcPr>
          <w:p w14:paraId="3186A62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通过下列筛孔（mm）的质量百分率（%）</w:t>
            </w:r>
          </w:p>
        </w:tc>
      </w:tr>
      <w:tr w14:paraId="7E18DA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796" w:type="pct"/>
            <w:vMerge w:val="continue"/>
            <w:tcBorders>
              <w:left w:val="single" w:color="auto" w:sz="6" w:space="0"/>
            </w:tcBorders>
            <w:vAlign w:val="center"/>
          </w:tcPr>
          <w:p w14:paraId="4EDFB2D9">
            <w:pPr>
              <w:spacing w:line="0" w:lineRule="atLeast"/>
              <w:jc w:val="center"/>
              <w:rPr>
                <w:rFonts w:hint="default" w:ascii="Times New Roman" w:hAnsi="Times New Roman" w:eastAsia="仿宋_GB2312" w:cs="Times New Roman"/>
                <w:color w:val="000000"/>
                <w:szCs w:val="21"/>
              </w:rPr>
            </w:pPr>
          </w:p>
        </w:tc>
        <w:tc>
          <w:tcPr>
            <w:tcW w:w="410" w:type="pct"/>
            <w:vAlign w:val="center"/>
          </w:tcPr>
          <w:p w14:paraId="1533F9A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31.5</w:t>
            </w:r>
          </w:p>
        </w:tc>
        <w:tc>
          <w:tcPr>
            <w:tcW w:w="410" w:type="pct"/>
            <w:vAlign w:val="center"/>
          </w:tcPr>
          <w:p w14:paraId="4418F48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26.5</w:t>
            </w:r>
          </w:p>
        </w:tc>
        <w:tc>
          <w:tcPr>
            <w:tcW w:w="410" w:type="pct"/>
            <w:vAlign w:val="center"/>
          </w:tcPr>
          <w:p w14:paraId="054B1A3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19.0</w:t>
            </w:r>
          </w:p>
        </w:tc>
        <w:tc>
          <w:tcPr>
            <w:tcW w:w="410" w:type="pct"/>
            <w:vAlign w:val="center"/>
          </w:tcPr>
          <w:p w14:paraId="5B95710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16.0</w:t>
            </w:r>
          </w:p>
        </w:tc>
        <w:tc>
          <w:tcPr>
            <w:tcW w:w="410" w:type="pct"/>
            <w:vAlign w:val="center"/>
          </w:tcPr>
          <w:p w14:paraId="6E42230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13.2</w:t>
            </w:r>
          </w:p>
        </w:tc>
        <w:tc>
          <w:tcPr>
            <w:tcW w:w="410" w:type="pct"/>
            <w:vAlign w:val="center"/>
          </w:tcPr>
          <w:p w14:paraId="0818375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9.5</w:t>
            </w:r>
          </w:p>
        </w:tc>
        <w:tc>
          <w:tcPr>
            <w:tcW w:w="410" w:type="pct"/>
            <w:vAlign w:val="center"/>
          </w:tcPr>
          <w:p w14:paraId="7888AEF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4.75</w:t>
            </w:r>
          </w:p>
        </w:tc>
        <w:tc>
          <w:tcPr>
            <w:tcW w:w="412" w:type="pct"/>
            <w:vAlign w:val="center"/>
          </w:tcPr>
          <w:p w14:paraId="056641C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2.36</w:t>
            </w:r>
          </w:p>
        </w:tc>
        <w:tc>
          <w:tcPr>
            <w:tcW w:w="413" w:type="pct"/>
            <w:vAlign w:val="center"/>
          </w:tcPr>
          <w:p w14:paraId="61EFCAB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1.18</w:t>
            </w:r>
          </w:p>
        </w:tc>
        <w:tc>
          <w:tcPr>
            <w:tcW w:w="504" w:type="pct"/>
            <w:tcBorders>
              <w:right w:val="single" w:color="auto" w:sz="6" w:space="0"/>
            </w:tcBorders>
            <w:vAlign w:val="center"/>
          </w:tcPr>
          <w:p w14:paraId="5E917D0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0.6</w:t>
            </w:r>
          </w:p>
        </w:tc>
      </w:tr>
      <w:tr w14:paraId="4D1AAF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796" w:type="pct"/>
            <w:tcBorders>
              <w:left w:val="single" w:color="auto" w:sz="6" w:space="0"/>
            </w:tcBorders>
            <w:vAlign w:val="center"/>
          </w:tcPr>
          <w:p w14:paraId="3D8649B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19~26.5</w:t>
            </w:r>
          </w:p>
        </w:tc>
        <w:tc>
          <w:tcPr>
            <w:tcW w:w="410" w:type="pct"/>
            <w:vAlign w:val="center"/>
          </w:tcPr>
          <w:p w14:paraId="1D64C0D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tc>
        <w:tc>
          <w:tcPr>
            <w:tcW w:w="410" w:type="pct"/>
            <w:vAlign w:val="center"/>
          </w:tcPr>
          <w:p w14:paraId="2814B3E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90~100</w:t>
            </w:r>
          </w:p>
        </w:tc>
        <w:tc>
          <w:tcPr>
            <w:tcW w:w="410" w:type="pct"/>
            <w:vAlign w:val="center"/>
          </w:tcPr>
          <w:p w14:paraId="400A856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617647C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5CCB454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0~15</w:t>
            </w:r>
          </w:p>
        </w:tc>
        <w:tc>
          <w:tcPr>
            <w:tcW w:w="410" w:type="pct"/>
            <w:vAlign w:val="center"/>
          </w:tcPr>
          <w:p w14:paraId="3560882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38588C3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0~5</w:t>
            </w:r>
          </w:p>
        </w:tc>
        <w:tc>
          <w:tcPr>
            <w:tcW w:w="412" w:type="pct"/>
            <w:vAlign w:val="center"/>
          </w:tcPr>
          <w:p w14:paraId="2A1958D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3" w:type="pct"/>
            <w:vAlign w:val="center"/>
          </w:tcPr>
          <w:p w14:paraId="1F600FD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504" w:type="pct"/>
            <w:tcBorders>
              <w:right w:val="single" w:color="auto" w:sz="6" w:space="0"/>
            </w:tcBorders>
            <w:vAlign w:val="center"/>
          </w:tcPr>
          <w:p w14:paraId="7F2805E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r>
      <w:tr w14:paraId="070851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796" w:type="pct"/>
            <w:tcBorders>
              <w:left w:val="single" w:color="auto" w:sz="6" w:space="0"/>
            </w:tcBorders>
            <w:vAlign w:val="center"/>
          </w:tcPr>
          <w:p w14:paraId="2929959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9.5~19.0</w:t>
            </w:r>
          </w:p>
        </w:tc>
        <w:tc>
          <w:tcPr>
            <w:tcW w:w="410" w:type="pct"/>
            <w:vAlign w:val="center"/>
          </w:tcPr>
          <w:p w14:paraId="5E63219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0731FCE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tc>
        <w:tc>
          <w:tcPr>
            <w:tcW w:w="410" w:type="pct"/>
            <w:vAlign w:val="center"/>
          </w:tcPr>
          <w:p w14:paraId="7BD6879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90~100</w:t>
            </w:r>
          </w:p>
        </w:tc>
        <w:tc>
          <w:tcPr>
            <w:tcW w:w="410" w:type="pct"/>
            <w:vAlign w:val="center"/>
          </w:tcPr>
          <w:p w14:paraId="5CEE8DE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230198D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0E9A359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0~15</w:t>
            </w:r>
          </w:p>
        </w:tc>
        <w:tc>
          <w:tcPr>
            <w:tcW w:w="410" w:type="pct"/>
            <w:vAlign w:val="center"/>
          </w:tcPr>
          <w:p w14:paraId="6A4148D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0~5</w:t>
            </w:r>
          </w:p>
        </w:tc>
        <w:tc>
          <w:tcPr>
            <w:tcW w:w="412" w:type="pct"/>
            <w:vAlign w:val="center"/>
          </w:tcPr>
          <w:p w14:paraId="7885B20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3" w:type="pct"/>
            <w:vAlign w:val="center"/>
          </w:tcPr>
          <w:p w14:paraId="620706A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504" w:type="pct"/>
            <w:tcBorders>
              <w:right w:val="single" w:color="auto" w:sz="6" w:space="0"/>
            </w:tcBorders>
            <w:vAlign w:val="center"/>
          </w:tcPr>
          <w:p w14:paraId="48DDB57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r>
      <w:tr w14:paraId="4B0B7DD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796" w:type="pct"/>
            <w:tcBorders>
              <w:left w:val="single" w:color="auto" w:sz="6" w:space="0"/>
            </w:tcBorders>
            <w:vAlign w:val="center"/>
          </w:tcPr>
          <w:p w14:paraId="0502B37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4.75~9.5</w:t>
            </w:r>
          </w:p>
        </w:tc>
        <w:tc>
          <w:tcPr>
            <w:tcW w:w="410" w:type="pct"/>
            <w:vAlign w:val="center"/>
          </w:tcPr>
          <w:p w14:paraId="08BE958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35D836C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3F755E8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62749F7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1EF1807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tc>
        <w:tc>
          <w:tcPr>
            <w:tcW w:w="410" w:type="pct"/>
            <w:vAlign w:val="center"/>
          </w:tcPr>
          <w:p w14:paraId="280A653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90~100</w:t>
            </w:r>
          </w:p>
        </w:tc>
        <w:tc>
          <w:tcPr>
            <w:tcW w:w="410" w:type="pct"/>
            <w:vAlign w:val="center"/>
          </w:tcPr>
          <w:p w14:paraId="182CECF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0~15</w:t>
            </w:r>
          </w:p>
        </w:tc>
        <w:tc>
          <w:tcPr>
            <w:tcW w:w="412" w:type="pct"/>
            <w:vAlign w:val="center"/>
          </w:tcPr>
          <w:p w14:paraId="3B0E491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0~5</w:t>
            </w:r>
          </w:p>
        </w:tc>
        <w:tc>
          <w:tcPr>
            <w:tcW w:w="413" w:type="pct"/>
            <w:vAlign w:val="center"/>
          </w:tcPr>
          <w:p w14:paraId="4695CF1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504" w:type="pct"/>
            <w:tcBorders>
              <w:right w:val="single" w:color="auto" w:sz="6" w:space="0"/>
            </w:tcBorders>
            <w:vAlign w:val="center"/>
          </w:tcPr>
          <w:p w14:paraId="7FACECB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r>
      <w:tr w14:paraId="492FDD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96" w:type="pct"/>
            <w:tcBorders>
              <w:left w:val="single" w:color="auto" w:sz="6" w:space="0"/>
            </w:tcBorders>
            <w:vAlign w:val="center"/>
          </w:tcPr>
          <w:p w14:paraId="76E8FA5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2.36~4.75</w:t>
            </w:r>
          </w:p>
        </w:tc>
        <w:tc>
          <w:tcPr>
            <w:tcW w:w="410" w:type="pct"/>
            <w:vAlign w:val="center"/>
          </w:tcPr>
          <w:p w14:paraId="502F32C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707A64D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162E3AA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48C3145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247A62F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vAlign w:val="center"/>
          </w:tcPr>
          <w:p w14:paraId="1E036FF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tc>
        <w:tc>
          <w:tcPr>
            <w:tcW w:w="410" w:type="pct"/>
            <w:vAlign w:val="center"/>
          </w:tcPr>
          <w:p w14:paraId="4BF4F96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90~100</w:t>
            </w:r>
          </w:p>
        </w:tc>
        <w:tc>
          <w:tcPr>
            <w:tcW w:w="412" w:type="pct"/>
            <w:vAlign w:val="center"/>
          </w:tcPr>
          <w:p w14:paraId="2CF0CDC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0~15</w:t>
            </w:r>
          </w:p>
        </w:tc>
        <w:tc>
          <w:tcPr>
            <w:tcW w:w="413" w:type="pct"/>
            <w:vAlign w:val="center"/>
          </w:tcPr>
          <w:p w14:paraId="25B15C3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504" w:type="pct"/>
            <w:tcBorders>
              <w:right w:val="single" w:color="auto" w:sz="6" w:space="0"/>
            </w:tcBorders>
            <w:vAlign w:val="center"/>
          </w:tcPr>
          <w:p w14:paraId="0419221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0~3</w:t>
            </w:r>
          </w:p>
        </w:tc>
      </w:tr>
      <w:tr w14:paraId="06A233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96" w:type="pct"/>
            <w:tcBorders>
              <w:left w:val="single" w:color="auto" w:sz="6" w:space="0"/>
              <w:bottom w:val="single" w:color="auto" w:sz="6" w:space="0"/>
            </w:tcBorders>
            <w:vAlign w:val="center"/>
          </w:tcPr>
          <w:p w14:paraId="674B18F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9.5~13.2</w:t>
            </w:r>
          </w:p>
        </w:tc>
        <w:tc>
          <w:tcPr>
            <w:tcW w:w="410" w:type="pct"/>
            <w:tcBorders>
              <w:bottom w:val="single" w:color="auto" w:sz="6" w:space="0"/>
            </w:tcBorders>
            <w:vAlign w:val="center"/>
          </w:tcPr>
          <w:p w14:paraId="2393769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tcBorders>
              <w:bottom w:val="single" w:color="auto" w:sz="6" w:space="0"/>
            </w:tcBorders>
            <w:vAlign w:val="center"/>
          </w:tcPr>
          <w:p w14:paraId="2151922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tcBorders>
              <w:bottom w:val="single" w:color="auto" w:sz="6" w:space="0"/>
            </w:tcBorders>
            <w:vAlign w:val="center"/>
          </w:tcPr>
          <w:p w14:paraId="4205D8E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tc>
        <w:tc>
          <w:tcPr>
            <w:tcW w:w="410" w:type="pct"/>
            <w:tcBorders>
              <w:bottom w:val="single" w:color="auto" w:sz="6" w:space="0"/>
            </w:tcBorders>
            <w:vAlign w:val="center"/>
          </w:tcPr>
          <w:p w14:paraId="48E1F5E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tc>
        <w:tc>
          <w:tcPr>
            <w:tcW w:w="410" w:type="pct"/>
            <w:tcBorders>
              <w:bottom w:val="single" w:color="auto" w:sz="6" w:space="0"/>
            </w:tcBorders>
            <w:vAlign w:val="center"/>
          </w:tcPr>
          <w:p w14:paraId="65ECEC8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90~100</w:t>
            </w:r>
          </w:p>
        </w:tc>
        <w:tc>
          <w:tcPr>
            <w:tcW w:w="410" w:type="pct"/>
            <w:tcBorders>
              <w:bottom w:val="single" w:color="auto" w:sz="6" w:space="0"/>
            </w:tcBorders>
            <w:vAlign w:val="center"/>
          </w:tcPr>
          <w:p w14:paraId="3E571C7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0~15</w:t>
            </w:r>
          </w:p>
        </w:tc>
        <w:tc>
          <w:tcPr>
            <w:tcW w:w="410" w:type="pct"/>
            <w:tcBorders>
              <w:bottom w:val="single" w:color="auto" w:sz="6" w:space="0"/>
            </w:tcBorders>
            <w:vAlign w:val="center"/>
          </w:tcPr>
          <w:p w14:paraId="39845C2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0~5</w:t>
            </w:r>
          </w:p>
        </w:tc>
        <w:tc>
          <w:tcPr>
            <w:tcW w:w="412" w:type="pct"/>
            <w:tcBorders>
              <w:bottom w:val="single" w:color="auto" w:sz="6" w:space="0"/>
            </w:tcBorders>
            <w:vAlign w:val="center"/>
          </w:tcPr>
          <w:p w14:paraId="63D9D5D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3" w:type="pct"/>
            <w:tcBorders>
              <w:bottom w:val="single" w:color="auto" w:sz="6" w:space="0"/>
            </w:tcBorders>
            <w:vAlign w:val="center"/>
          </w:tcPr>
          <w:p w14:paraId="36FF464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504" w:type="pct"/>
            <w:tcBorders>
              <w:bottom w:val="single" w:color="auto" w:sz="6" w:space="0"/>
              <w:right w:val="single" w:color="auto" w:sz="6" w:space="0"/>
            </w:tcBorders>
            <w:vAlign w:val="center"/>
          </w:tcPr>
          <w:p w14:paraId="0EA2F84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r>
    </w:tbl>
    <w:p w14:paraId="1577C9B6">
      <w:pPr>
        <w:spacing w:line="360" w:lineRule="auto"/>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注：允许单档规格集料通过筛孔质量百分率不满足要求，最终以满足混合料合成级配为准。</w:t>
      </w:r>
    </w:p>
    <w:p w14:paraId="09AF2E92">
      <w:pPr>
        <w:spacing w:line="360" w:lineRule="auto"/>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7.3</w:t>
      </w:r>
      <w:r>
        <w:rPr>
          <w:rFonts w:hint="default" w:ascii="Times New Roman" w:hAnsi="Times New Roman" w:eastAsia="仿宋_GB2312" w:cs="Times New Roman"/>
          <w:b/>
          <w:bCs/>
          <w:szCs w:val="21"/>
        </w:rPr>
        <w:t>-2 细集料</w:t>
      </w:r>
      <w:r>
        <w:rPr>
          <w:rFonts w:hint="default" w:ascii="Times New Roman" w:hAnsi="Times New Roman" w:eastAsia="仿宋_GB2312" w:cs="Times New Roman"/>
          <w:b/>
          <w:bCs/>
          <w:szCs w:val="21"/>
          <w:lang w:val="en-US" w:eastAsia="zh-CN"/>
        </w:rPr>
        <w:t>级配范围</w:t>
      </w:r>
    </w:p>
    <w:tbl>
      <w:tblPr>
        <w:tblStyle w:val="17"/>
        <w:tblW w:w="4897"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72"/>
        <w:gridCol w:w="757"/>
        <w:gridCol w:w="757"/>
        <w:gridCol w:w="757"/>
        <w:gridCol w:w="757"/>
        <w:gridCol w:w="757"/>
        <w:gridCol w:w="757"/>
        <w:gridCol w:w="757"/>
        <w:gridCol w:w="761"/>
        <w:gridCol w:w="764"/>
        <w:gridCol w:w="938"/>
      </w:tblGrid>
      <w:tr w14:paraId="5CB979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797" w:type="pct"/>
            <w:vMerge w:val="restart"/>
            <w:tcBorders>
              <w:top w:val="single" w:color="auto" w:sz="6" w:space="0"/>
              <w:left w:val="single" w:color="auto" w:sz="6" w:space="0"/>
              <w:bottom w:val="single" w:color="auto" w:sz="6" w:space="0"/>
            </w:tcBorders>
            <w:vAlign w:val="center"/>
          </w:tcPr>
          <w:p w14:paraId="58AAF4F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粒径</w:t>
            </w:r>
          </w:p>
          <w:p w14:paraId="2A90DC5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(mm)</w:t>
            </w:r>
          </w:p>
        </w:tc>
        <w:tc>
          <w:tcPr>
            <w:tcW w:w="4202" w:type="pct"/>
            <w:gridSpan w:val="10"/>
            <w:tcBorders>
              <w:top w:val="single" w:color="auto" w:sz="6" w:space="0"/>
              <w:bottom w:val="single" w:color="auto" w:sz="6" w:space="0"/>
              <w:right w:val="single" w:color="auto" w:sz="6" w:space="0"/>
            </w:tcBorders>
            <w:vAlign w:val="center"/>
          </w:tcPr>
          <w:p w14:paraId="17C634F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通过下列筛孔（mm）的质量百分率（%）</w:t>
            </w:r>
          </w:p>
        </w:tc>
      </w:tr>
      <w:tr w14:paraId="1362BC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797" w:type="pct"/>
            <w:vMerge w:val="continue"/>
            <w:tcBorders>
              <w:top w:val="single" w:color="auto" w:sz="6" w:space="0"/>
              <w:left w:val="single" w:color="auto" w:sz="6" w:space="0"/>
              <w:bottom w:val="single" w:color="auto" w:sz="6" w:space="0"/>
            </w:tcBorders>
            <w:vAlign w:val="center"/>
          </w:tcPr>
          <w:p w14:paraId="0187CC73">
            <w:pPr>
              <w:spacing w:line="0" w:lineRule="atLeast"/>
              <w:jc w:val="center"/>
              <w:rPr>
                <w:rFonts w:hint="default" w:ascii="Times New Roman" w:hAnsi="Times New Roman" w:eastAsia="仿宋_GB2312" w:cs="Times New Roman"/>
                <w:color w:val="000000"/>
                <w:szCs w:val="21"/>
              </w:rPr>
            </w:pPr>
          </w:p>
        </w:tc>
        <w:tc>
          <w:tcPr>
            <w:tcW w:w="410" w:type="pct"/>
            <w:tcBorders>
              <w:top w:val="single" w:color="auto" w:sz="6" w:space="0"/>
              <w:bottom w:val="single" w:color="auto" w:sz="6" w:space="0"/>
            </w:tcBorders>
            <w:vAlign w:val="center"/>
          </w:tcPr>
          <w:p w14:paraId="685B25B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tcBorders>
              <w:top w:val="single" w:color="auto" w:sz="6" w:space="0"/>
              <w:bottom w:val="single" w:color="auto" w:sz="6" w:space="0"/>
            </w:tcBorders>
            <w:vAlign w:val="center"/>
          </w:tcPr>
          <w:p w14:paraId="30BE534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tcBorders>
              <w:top w:val="single" w:color="auto" w:sz="6" w:space="0"/>
              <w:bottom w:val="single" w:color="auto" w:sz="6" w:space="0"/>
            </w:tcBorders>
            <w:vAlign w:val="center"/>
          </w:tcPr>
          <w:p w14:paraId="2DF9C9B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tcBorders>
              <w:top w:val="single" w:color="auto" w:sz="6" w:space="0"/>
              <w:bottom w:val="single" w:color="auto" w:sz="6" w:space="0"/>
            </w:tcBorders>
            <w:vAlign w:val="center"/>
          </w:tcPr>
          <w:p w14:paraId="6B1FD8A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4.75</w:t>
            </w:r>
          </w:p>
        </w:tc>
        <w:tc>
          <w:tcPr>
            <w:tcW w:w="410" w:type="pct"/>
            <w:tcBorders>
              <w:top w:val="single" w:color="auto" w:sz="6" w:space="0"/>
              <w:bottom w:val="single" w:color="auto" w:sz="6" w:space="0"/>
            </w:tcBorders>
            <w:vAlign w:val="center"/>
          </w:tcPr>
          <w:p w14:paraId="57EDC77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2.36</w:t>
            </w:r>
          </w:p>
        </w:tc>
        <w:tc>
          <w:tcPr>
            <w:tcW w:w="410" w:type="pct"/>
            <w:tcBorders>
              <w:top w:val="single" w:color="auto" w:sz="6" w:space="0"/>
              <w:bottom w:val="single" w:color="auto" w:sz="6" w:space="0"/>
            </w:tcBorders>
            <w:vAlign w:val="center"/>
          </w:tcPr>
          <w:p w14:paraId="55B9CE3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1.18</w:t>
            </w:r>
          </w:p>
        </w:tc>
        <w:tc>
          <w:tcPr>
            <w:tcW w:w="410" w:type="pct"/>
            <w:tcBorders>
              <w:top w:val="single" w:color="auto" w:sz="6" w:space="0"/>
              <w:bottom w:val="single" w:color="auto" w:sz="6" w:space="0"/>
            </w:tcBorders>
            <w:vAlign w:val="center"/>
          </w:tcPr>
          <w:p w14:paraId="62233EC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0.6</w:t>
            </w:r>
          </w:p>
        </w:tc>
        <w:tc>
          <w:tcPr>
            <w:tcW w:w="412" w:type="pct"/>
            <w:tcBorders>
              <w:top w:val="single" w:color="auto" w:sz="6" w:space="0"/>
              <w:bottom w:val="single" w:color="auto" w:sz="6" w:space="0"/>
            </w:tcBorders>
            <w:vAlign w:val="center"/>
          </w:tcPr>
          <w:p w14:paraId="7641233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0.3</w:t>
            </w:r>
          </w:p>
        </w:tc>
        <w:tc>
          <w:tcPr>
            <w:tcW w:w="413" w:type="pct"/>
            <w:tcBorders>
              <w:top w:val="single" w:color="auto" w:sz="6" w:space="0"/>
              <w:bottom w:val="single" w:color="auto" w:sz="6" w:space="0"/>
            </w:tcBorders>
            <w:vAlign w:val="center"/>
          </w:tcPr>
          <w:p w14:paraId="2D8F6A6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0.15</w:t>
            </w:r>
          </w:p>
        </w:tc>
        <w:tc>
          <w:tcPr>
            <w:tcW w:w="506" w:type="pct"/>
            <w:tcBorders>
              <w:top w:val="single" w:color="auto" w:sz="6" w:space="0"/>
              <w:bottom w:val="single" w:color="auto" w:sz="6" w:space="0"/>
              <w:right w:val="single" w:color="auto" w:sz="6" w:space="0"/>
            </w:tcBorders>
            <w:vAlign w:val="center"/>
          </w:tcPr>
          <w:p w14:paraId="4CDFDFE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0.075</w:t>
            </w:r>
          </w:p>
        </w:tc>
      </w:tr>
      <w:tr w14:paraId="3844BA1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97" w:type="pct"/>
            <w:tcBorders>
              <w:top w:val="single" w:color="auto" w:sz="6" w:space="0"/>
              <w:left w:val="single" w:color="auto" w:sz="6" w:space="0"/>
              <w:bottom w:val="single" w:color="auto" w:sz="6" w:space="0"/>
            </w:tcBorders>
            <w:vAlign w:val="center"/>
          </w:tcPr>
          <w:p w14:paraId="55C1E6B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0~2.36</w:t>
            </w:r>
          </w:p>
        </w:tc>
        <w:tc>
          <w:tcPr>
            <w:tcW w:w="410" w:type="pct"/>
            <w:tcBorders>
              <w:top w:val="single" w:color="auto" w:sz="6" w:space="0"/>
              <w:bottom w:val="single" w:color="auto" w:sz="6" w:space="0"/>
            </w:tcBorders>
            <w:vAlign w:val="center"/>
          </w:tcPr>
          <w:p w14:paraId="61CA69E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tcBorders>
              <w:top w:val="single" w:color="auto" w:sz="6" w:space="0"/>
              <w:bottom w:val="single" w:color="auto" w:sz="6" w:space="0"/>
            </w:tcBorders>
            <w:vAlign w:val="center"/>
          </w:tcPr>
          <w:p w14:paraId="360B885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tcBorders>
              <w:top w:val="single" w:color="auto" w:sz="6" w:space="0"/>
              <w:bottom w:val="single" w:color="auto" w:sz="6" w:space="0"/>
            </w:tcBorders>
            <w:vAlign w:val="center"/>
          </w:tcPr>
          <w:p w14:paraId="20C9020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410" w:type="pct"/>
            <w:tcBorders>
              <w:top w:val="single" w:color="auto" w:sz="6" w:space="0"/>
              <w:bottom w:val="single" w:color="auto" w:sz="6" w:space="0"/>
            </w:tcBorders>
            <w:vAlign w:val="center"/>
          </w:tcPr>
          <w:p w14:paraId="03C9DFC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tc>
        <w:tc>
          <w:tcPr>
            <w:tcW w:w="410" w:type="pct"/>
            <w:tcBorders>
              <w:top w:val="single" w:color="auto" w:sz="6" w:space="0"/>
              <w:bottom w:val="single" w:color="auto" w:sz="6" w:space="0"/>
            </w:tcBorders>
            <w:vAlign w:val="center"/>
          </w:tcPr>
          <w:p w14:paraId="60ACC64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80~100</w:t>
            </w:r>
          </w:p>
        </w:tc>
        <w:tc>
          <w:tcPr>
            <w:tcW w:w="410" w:type="pct"/>
            <w:tcBorders>
              <w:top w:val="single" w:color="auto" w:sz="6" w:space="0"/>
              <w:bottom w:val="single" w:color="auto" w:sz="6" w:space="0"/>
            </w:tcBorders>
            <w:vAlign w:val="center"/>
          </w:tcPr>
          <w:p w14:paraId="67F39CA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50~80</w:t>
            </w:r>
          </w:p>
        </w:tc>
        <w:tc>
          <w:tcPr>
            <w:tcW w:w="410" w:type="pct"/>
            <w:tcBorders>
              <w:top w:val="single" w:color="auto" w:sz="6" w:space="0"/>
              <w:bottom w:val="single" w:color="auto" w:sz="6" w:space="0"/>
            </w:tcBorders>
            <w:vAlign w:val="center"/>
          </w:tcPr>
          <w:p w14:paraId="12099A3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25~60</w:t>
            </w:r>
          </w:p>
        </w:tc>
        <w:tc>
          <w:tcPr>
            <w:tcW w:w="412" w:type="pct"/>
            <w:tcBorders>
              <w:top w:val="single" w:color="auto" w:sz="6" w:space="0"/>
              <w:bottom w:val="single" w:color="auto" w:sz="6" w:space="0"/>
            </w:tcBorders>
            <w:vAlign w:val="center"/>
          </w:tcPr>
          <w:p w14:paraId="654075F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8~45</w:t>
            </w:r>
          </w:p>
        </w:tc>
        <w:tc>
          <w:tcPr>
            <w:tcW w:w="413" w:type="pct"/>
            <w:tcBorders>
              <w:top w:val="single" w:color="auto" w:sz="6" w:space="0"/>
              <w:bottom w:val="single" w:color="auto" w:sz="6" w:space="0"/>
            </w:tcBorders>
            <w:vAlign w:val="center"/>
          </w:tcPr>
          <w:p w14:paraId="42D0041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0~25</w:t>
            </w:r>
          </w:p>
        </w:tc>
        <w:tc>
          <w:tcPr>
            <w:tcW w:w="506" w:type="pct"/>
            <w:tcBorders>
              <w:top w:val="single" w:color="auto" w:sz="6" w:space="0"/>
              <w:bottom w:val="single" w:color="auto" w:sz="6" w:space="0"/>
              <w:right w:val="single" w:color="auto" w:sz="6" w:space="0"/>
            </w:tcBorders>
            <w:vAlign w:val="center"/>
          </w:tcPr>
          <w:p w14:paraId="7E16BD7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0~15</w:t>
            </w:r>
          </w:p>
        </w:tc>
      </w:tr>
    </w:tbl>
    <w:p w14:paraId="04AF2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10"/>
          <w:szCs w:val="10"/>
        </w:rPr>
      </w:pPr>
    </w:p>
    <w:p w14:paraId="0F748565">
      <w:pPr>
        <w:spacing w:line="360" w:lineRule="auto"/>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7.3</w:t>
      </w:r>
      <w:r>
        <w:rPr>
          <w:rFonts w:hint="default" w:ascii="Times New Roman" w:hAnsi="Times New Roman" w:eastAsia="仿宋_GB2312" w:cs="Times New Roman"/>
          <w:b/>
          <w:bCs/>
          <w:szCs w:val="21"/>
        </w:rPr>
        <w:t>-3  粗集料质量技术要求</w:t>
      </w:r>
    </w:p>
    <w:tbl>
      <w:tblPr>
        <w:tblStyle w:val="18"/>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686"/>
        <w:gridCol w:w="958"/>
        <w:gridCol w:w="1387"/>
        <w:gridCol w:w="1473"/>
        <w:gridCol w:w="1440"/>
        <w:gridCol w:w="1298"/>
      </w:tblGrid>
      <w:tr w14:paraId="1080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2689" w:type="dxa"/>
            <w:gridSpan w:val="2"/>
            <w:vMerge w:val="restart"/>
            <w:vAlign w:val="center"/>
          </w:tcPr>
          <w:p w14:paraId="28111A3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指  标</w:t>
            </w:r>
          </w:p>
        </w:tc>
        <w:tc>
          <w:tcPr>
            <w:tcW w:w="958" w:type="dxa"/>
            <w:vMerge w:val="restart"/>
            <w:vAlign w:val="center"/>
          </w:tcPr>
          <w:p w14:paraId="25073AD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w:t>
            </w:r>
          </w:p>
        </w:tc>
        <w:tc>
          <w:tcPr>
            <w:tcW w:w="2860" w:type="dxa"/>
            <w:gridSpan w:val="2"/>
            <w:vAlign w:val="center"/>
          </w:tcPr>
          <w:p w14:paraId="26EA799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技术要求</w:t>
            </w:r>
          </w:p>
        </w:tc>
        <w:tc>
          <w:tcPr>
            <w:tcW w:w="1440" w:type="dxa"/>
            <w:vMerge w:val="restart"/>
            <w:vAlign w:val="center"/>
          </w:tcPr>
          <w:p w14:paraId="0695788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试验方法</w:t>
            </w:r>
          </w:p>
        </w:tc>
        <w:tc>
          <w:tcPr>
            <w:tcW w:w="1298" w:type="dxa"/>
            <w:vMerge w:val="restart"/>
            <w:vAlign w:val="center"/>
          </w:tcPr>
          <w:p w14:paraId="688F2C8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检测批次</w:t>
            </w:r>
          </w:p>
        </w:tc>
      </w:tr>
      <w:tr w14:paraId="2C27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2689" w:type="dxa"/>
            <w:gridSpan w:val="2"/>
            <w:vMerge w:val="continue"/>
            <w:vAlign w:val="center"/>
          </w:tcPr>
          <w:p w14:paraId="4952F9EA">
            <w:pPr>
              <w:jc w:val="center"/>
              <w:rPr>
                <w:rFonts w:hint="default" w:ascii="Times New Roman" w:hAnsi="Times New Roman" w:eastAsia="仿宋_GB2312" w:cs="Times New Roman"/>
                <w:color w:val="000000"/>
                <w:szCs w:val="21"/>
              </w:rPr>
            </w:pPr>
          </w:p>
        </w:tc>
        <w:tc>
          <w:tcPr>
            <w:tcW w:w="958" w:type="dxa"/>
            <w:vMerge w:val="continue"/>
            <w:vAlign w:val="center"/>
          </w:tcPr>
          <w:p w14:paraId="6E907207">
            <w:pPr>
              <w:jc w:val="center"/>
              <w:rPr>
                <w:rFonts w:hint="default" w:ascii="Times New Roman" w:hAnsi="Times New Roman" w:eastAsia="仿宋_GB2312" w:cs="Times New Roman"/>
                <w:color w:val="000000"/>
                <w:szCs w:val="21"/>
              </w:rPr>
            </w:pPr>
          </w:p>
        </w:tc>
        <w:tc>
          <w:tcPr>
            <w:tcW w:w="1387" w:type="dxa"/>
            <w:vAlign w:val="center"/>
          </w:tcPr>
          <w:p w14:paraId="2757A2D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中下面层</w:t>
            </w:r>
          </w:p>
        </w:tc>
        <w:tc>
          <w:tcPr>
            <w:tcW w:w="1473" w:type="dxa"/>
            <w:vAlign w:val="center"/>
          </w:tcPr>
          <w:p w14:paraId="1614A5E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表面层</w:t>
            </w:r>
          </w:p>
        </w:tc>
        <w:tc>
          <w:tcPr>
            <w:tcW w:w="1440" w:type="dxa"/>
            <w:vMerge w:val="continue"/>
            <w:vAlign w:val="center"/>
          </w:tcPr>
          <w:p w14:paraId="22026675">
            <w:pPr>
              <w:spacing w:line="0" w:lineRule="atLeast"/>
              <w:jc w:val="center"/>
              <w:rPr>
                <w:rFonts w:hint="default" w:ascii="Times New Roman" w:hAnsi="Times New Roman" w:eastAsia="仿宋_GB2312" w:cs="Times New Roman"/>
                <w:color w:val="000000"/>
                <w:szCs w:val="21"/>
              </w:rPr>
            </w:pPr>
          </w:p>
        </w:tc>
        <w:tc>
          <w:tcPr>
            <w:tcW w:w="1298" w:type="dxa"/>
            <w:vMerge w:val="continue"/>
            <w:vAlign w:val="center"/>
          </w:tcPr>
          <w:p w14:paraId="38622CB1">
            <w:pPr>
              <w:spacing w:line="0" w:lineRule="atLeast"/>
              <w:jc w:val="center"/>
              <w:rPr>
                <w:rFonts w:hint="default" w:ascii="Times New Roman" w:hAnsi="Times New Roman" w:eastAsia="仿宋_GB2312" w:cs="Times New Roman"/>
                <w:color w:val="000000"/>
                <w:szCs w:val="21"/>
              </w:rPr>
            </w:pPr>
          </w:p>
        </w:tc>
      </w:tr>
      <w:tr w14:paraId="6500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2BC965E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石料压碎值</w:t>
            </w:r>
          </w:p>
        </w:tc>
        <w:tc>
          <w:tcPr>
            <w:tcW w:w="958" w:type="dxa"/>
            <w:vAlign w:val="center"/>
          </w:tcPr>
          <w:p w14:paraId="2368134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16F209C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≤28</w:t>
            </w:r>
          </w:p>
        </w:tc>
        <w:tc>
          <w:tcPr>
            <w:tcW w:w="1473" w:type="dxa"/>
            <w:vAlign w:val="center"/>
          </w:tcPr>
          <w:p w14:paraId="13C396B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≤26</w:t>
            </w:r>
          </w:p>
        </w:tc>
        <w:tc>
          <w:tcPr>
            <w:tcW w:w="1440" w:type="dxa"/>
            <w:vAlign w:val="center"/>
          </w:tcPr>
          <w:p w14:paraId="5761A83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0316</w:t>
            </w:r>
          </w:p>
        </w:tc>
        <w:tc>
          <w:tcPr>
            <w:tcW w:w="1298" w:type="dxa"/>
            <w:vAlign w:val="center"/>
          </w:tcPr>
          <w:p w14:paraId="2837630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6BBC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516BB24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洛杉矶磨耗损失</w:t>
            </w:r>
          </w:p>
        </w:tc>
        <w:tc>
          <w:tcPr>
            <w:tcW w:w="958" w:type="dxa"/>
            <w:vAlign w:val="center"/>
          </w:tcPr>
          <w:p w14:paraId="38290BB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569B9F9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≤30</w:t>
            </w:r>
          </w:p>
        </w:tc>
        <w:tc>
          <w:tcPr>
            <w:tcW w:w="1473" w:type="dxa"/>
            <w:vAlign w:val="center"/>
          </w:tcPr>
          <w:p w14:paraId="52C7337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≤28</w:t>
            </w:r>
          </w:p>
        </w:tc>
        <w:tc>
          <w:tcPr>
            <w:tcW w:w="1440" w:type="dxa"/>
            <w:vAlign w:val="center"/>
          </w:tcPr>
          <w:p w14:paraId="08DE405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0317</w:t>
            </w:r>
          </w:p>
        </w:tc>
        <w:tc>
          <w:tcPr>
            <w:tcW w:w="1298" w:type="dxa"/>
            <w:vAlign w:val="center"/>
          </w:tcPr>
          <w:p w14:paraId="37FE260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29DF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432F79F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表观相对密度</w:t>
            </w:r>
          </w:p>
        </w:tc>
        <w:tc>
          <w:tcPr>
            <w:tcW w:w="958" w:type="dxa"/>
            <w:vAlign w:val="center"/>
          </w:tcPr>
          <w:p w14:paraId="7FAD63C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491CD38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≥2.50</w:t>
            </w:r>
          </w:p>
        </w:tc>
        <w:tc>
          <w:tcPr>
            <w:tcW w:w="1473" w:type="dxa"/>
            <w:vAlign w:val="center"/>
          </w:tcPr>
          <w:p w14:paraId="50D33EF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≥2.60</w:t>
            </w:r>
          </w:p>
        </w:tc>
        <w:tc>
          <w:tcPr>
            <w:tcW w:w="1440" w:type="dxa"/>
            <w:vAlign w:val="center"/>
          </w:tcPr>
          <w:p w14:paraId="144DD5C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0304</w:t>
            </w:r>
          </w:p>
        </w:tc>
        <w:tc>
          <w:tcPr>
            <w:tcW w:w="1298" w:type="dxa"/>
            <w:vAlign w:val="center"/>
          </w:tcPr>
          <w:p w14:paraId="2E41636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2481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4A554A0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毛体积相对密度</w:t>
            </w:r>
          </w:p>
        </w:tc>
        <w:tc>
          <w:tcPr>
            <w:tcW w:w="958" w:type="dxa"/>
            <w:vAlign w:val="center"/>
          </w:tcPr>
          <w:p w14:paraId="2107739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1E89AD0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实测</w:t>
            </w:r>
          </w:p>
        </w:tc>
        <w:tc>
          <w:tcPr>
            <w:tcW w:w="1473" w:type="dxa"/>
            <w:vAlign w:val="center"/>
          </w:tcPr>
          <w:p w14:paraId="724A1E4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实测</w:t>
            </w:r>
          </w:p>
        </w:tc>
        <w:tc>
          <w:tcPr>
            <w:tcW w:w="1440" w:type="dxa"/>
            <w:vAlign w:val="center"/>
          </w:tcPr>
          <w:p w14:paraId="48C043A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0304</w:t>
            </w:r>
          </w:p>
        </w:tc>
        <w:tc>
          <w:tcPr>
            <w:tcW w:w="1298" w:type="dxa"/>
            <w:vAlign w:val="center"/>
          </w:tcPr>
          <w:p w14:paraId="78246C6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07B7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636FDB8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吸水率</w:t>
            </w:r>
          </w:p>
        </w:tc>
        <w:tc>
          <w:tcPr>
            <w:tcW w:w="958" w:type="dxa"/>
            <w:vAlign w:val="center"/>
          </w:tcPr>
          <w:p w14:paraId="03C8BCB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4908BA0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≤3.0</w:t>
            </w:r>
          </w:p>
        </w:tc>
        <w:tc>
          <w:tcPr>
            <w:tcW w:w="1473" w:type="dxa"/>
            <w:vAlign w:val="center"/>
          </w:tcPr>
          <w:p w14:paraId="3EE988E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w:t>
            </w:r>
          </w:p>
        </w:tc>
        <w:tc>
          <w:tcPr>
            <w:tcW w:w="1440" w:type="dxa"/>
            <w:vAlign w:val="center"/>
          </w:tcPr>
          <w:p w14:paraId="2C2DA4C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0304</w:t>
            </w:r>
          </w:p>
        </w:tc>
        <w:tc>
          <w:tcPr>
            <w:tcW w:w="1298" w:type="dxa"/>
            <w:vAlign w:val="center"/>
          </w:tcPr>
          <w:p w14:paraId="54FB4D9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5B2D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718D7AF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坚固性</w:t>
            </w:r>
          </w:p>
        </w:tc>
        <w:tc>
          <w:tcPr>
            <w:tcW w:w="958" w:type="dxa"/>
            <w:vAlign w:val="center"/>
          </w:tcPr>
          <w:p w14:paraId="61A2226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7BC4696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w:t>
            </w:r>
          </w:p>
        </w:tc>
        <w:tc>
          <w:tcPr>
            <w:tcW w:w="1473" w:type="dxa"/>
            <w:vAlign w:val="center"/>
          </w:tcPr>
          <w:p w14:paraId="068B64D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w:t>
            </w:r>
          </w:p>
        </w:tc>
        <w:tc>
          <w:tcPr>
            <w:tcW w:w="1440" w:type="dxa"/>
            <w:vAlign w:val="center"/>
          </w:tcPr>
          <w:p w14:paraId="1AB2D04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0314</w:t>
            </w:r>
          </w:p>
        </w:tc>
        <w:tc>
          <w:tcPr>
            <w:tcW w:w="1298" w:type="dxa"/>
            <w:vAlign w:val="center"/>
          </w:tcPr>
          <w:p w14:paraId="59D6393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3079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6090E25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针片状颗粒含量</w:t>
            </w:r>
          </w:p>
        </w:tc>
        <w:tc>
          <w:tcPr>
            <w:tcW w:w="958" w:type="dxa"/>
            <w:vAlign w:val="center"/>
          </w:tcPr>
          <w:p w14:paraId="15EB357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74C7C59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73" w:type="dxa"/>
            <w:vAlign w:val="center"/>
          </w:tcPr>
          <w:p w14:paraId="708F1AB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40" w:type="dxa"/>
            <w:vAlign w:val="center"/>
          </w:tcPr>
          <w:p w14:paraId="5C61E34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0312</w:t>
            </w:r>
          </w:p>
        </w:tc>
        <w:tc>
          <w:tcPr>
            <w:tcW w:w="1298" w:type="dxa"/>
            <w:vAlign w:val="center"/>
          </w:tcPr>
          <w:p w14:paraId="3088FB7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516D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3" w:type="dxa"/>
            <w:vMerge w:val="restart"/>
            <w:vAlign w:val="center"/>
          </w:tcPr>
          <w:p w14:paraId="6D89A97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针片状颗粒含量</w:t>
            </w:r>
          </w:p>
        </w:tc>
        <w:tc>
          <w:tcPr>
            <w:tcW w:w="1686" w:type="dxa"/>
            <w:vAlign w:val="center"/>
          </w:tcPr>
          <w:p w14:paraId="3B9C050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混合料</w:t>
            </w:r>
          </w:p>
        </w:tc>
        <w:tc>
          <w:tcPr>
            <w:tcW w:w="958" w:type="dxa"/>
            <w:vAlign w:val="center"/>
          </w:tcPr>
          <w:p w14:paraId="6E724E7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2912BEB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≤18</w:t>
            </w:r>
          </w:p>
        </w:tc>
        <w:tc>
          <w:tcPr>
            <w:tcW w:w="1473" w:type="dxa"/>
            <w:vAlign w:val="center"/>
          </w:tcPr>
          <w:p w14:paraId="4A0FAF1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c>
          <w:tcPr>
            <w:tcW w:w="1440" w:type="dxa"/>
            <w:vAlign w:val="center"/>
          </w:tcPr>
          <w:p w14:paraId="3AEBD47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0312</w:t>
            </w:r>
          </w:p>
        </w:tc>
        <w:tc>
          <w:tcPr>
            <w:tcW w:w="1298" w:type="dxa"/>
            <w:vAlign w:val="center"/>
          </w:tcPr>
          <w:p w14:paraId="786EAC6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0684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3" w:type="dxa"/>
            <w:vMerge w:val="continue"/>
            <w:vAlign w:val="center"/>
          </w:tcPr>
          <w:p w14:paraId="2BCE3D34">
            <w:pPr>
              <w:jc w:val="center"/>
              <w:rPr>
                <w:rFonts w:hint="default" w:ascii="Times New Roman" w:hAnsi="Times New Roman" w:eastAsia="仿宋_GB2312" w:cs="Times New Roman"/>
                <w:color w:val="000000"/>
                <w:szCs w:val="21"/>
              </w:rPr>
            </w:pPr>
          </w:p>
        </w:tc>
        <w:tc>
          <w:tcPr>
            <w:tcW w:w="1686" w:type="dxa"/>
            <w:vAlign w:val="center"/>
          </w:tcPr>
          <w:p w14:paraId="0C16251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粒径大于9.5mm</w:t>
            </w:r>
          </w:p>
        </w:tc>
        <w:tc>
          <w:tcPr>
            <w:tcW w:w="958" w:type="dxa"/>
            <w:vAlign w:val="center"/>
          </w:tcPr>
          <w:p w14:paraId="3BDD69D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6B98652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c>
          <w:tcPr>
            <w:tcW w:w="1473" w:type="dxa"/>
            <w:vAlign w:val="center"/>
          </w:tcPr>
          <w:p w14:paraId="182E3E9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w:t>
            </w:r>
          </w:p>
        </w:tc>
        <w:tc>
          <w:tcPr>
            <w:tcW w:w="1440" w:type="dxa"/>
            <w:vAlign w:val="center"/>
          </w:tcPr>
          <w:p w14:paraId="7541C92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0312</w:t>
            </w:r>
          </w:p>
        </w:tc>
        <w:tc>
          <w:tcPr>
            <w:tcW w:w="1298" w:type="dxa"/>
            <w:vAlign w:val="center"/>
          </w:tcPr>
          <w:p w14:paraId="65675B4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7F94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3" w:type="dxa"/>
            <w:vMerge w:val="continue"/>
            <w:vAlign w:val="center"/>
          </w:tcPr>
          <w:p w14:paraId="74AFC977">
            <w:pPr>
              <w:jc w:val="center"/>
              <w:rPr>
                <w:rFonts w:hint="default" w:ascii="Times New Roman" w:hAnsi="Times New Roman" w:eastAsia="仿宋_GB2312" w:cs="Times New Roman"/>
                <w:color w:val="000000"/>
                <w:szCs w:val="21"/>
              </w:rPr>
            </w:pPr>
          </w:p>
        </w:tc>
        <w:tc>
          <w:tcPr>
            <w:tcW w:w="1686" w:type="dxa"/>
            <w:vAlign w:val="center"/>
          </w:tcPr>
          <w:p w14:paraId="74A2FFE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粒径小于9.5mm</w:t>
            </w:r>
          </w:p>
        </w:tc>
        <w:tc>
          <w:tcPr>
            <w:tcW w:w="958" w:type="dxa"/>
            <w:vAlign w:val="center"/>
          </w:tcPr>
          <w:p w14:paraId="5DE191B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04FD1EB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w:t>
            </w:r>
          </w:p>
        </w:tc>
        <w:tc>
          <w:tcPr>
            <w:tcW w:w="1473" w:type="dxa"/>
            <w:vAlign w:val="center"/>
          </w:tcPr>
          <w:p w14:paraId="7F10411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≤18</w:t>
            </w:r>
          </w:p>
        </w:tc>
        <w:tc>
          <w:tcPr>
            <w:tcW w:w="1440" w:type="dxa"/>
            <w:vAlign w:val="center"/>
          </w:tcPr>
          <w:p w14:paraId="4FF41CB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0312</w:t>
            </w:r>
          </w:p>
        </w:tc>
        <w:tc>
          <w:tcPr>
            <w:tcW w:w="1298" w:type="dxa"/>
            <w:vAlign w:val="center"/>
          </w:tcPr>
          <w:p w14:paraId="78DE0F1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3A7D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1630BCA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水洗法&lt;0.075mm颗粒含量</w:t>
            </w:r>
          </w:p>
        </w:tc>
        <w:tc>
          <w:tcPr>
            <w:tcW w:w="958" w:type="dxa"/>
            <w:vAlign w:val="center"/>
          </w:tcPr>
          <w:p w14:paraId="7ACF2A0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0BC4864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w:t>
            </w:r>
          </w:p>
        </w:tc>
        <w:tc>
          <w:tcPr>
            <w:tcW w:w="1473" w:type="dxa"/>
            <w:vAlign w:val="center"/>
          </w:tcPr>
          <w:p w14:paraId="7815004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w:t>
            </w:r>
          </w:p>
        </w:tc>
        <w:tc>
          <w:tcPr>
            <w:tcW w:w="1440" w:type="dxa"/>
            <w:vAlign w:val="center"/>
          </w:tcPr>
          <w:p w14:paraId="4F9876B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0310</w:t>
            </w:r>
          </w:p>
        </w:tc>
        <w:tc>
          <w:tcPr>
            <w:tcW w:w="1298" w:type="dxa"/>
            <w:vAlign w:val="center"/>
          </w:tcPr>
          <w:p w14:paraId="6ED6EDF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3D94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6E74CA1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软石含量</w:t>
            </w:r>
          </w:p>
        </w:tc>
        <w:tc>
          <w:tcPr>
            <w:tcW w:w="958" w:type="dxa"/>
            <w:vAlign w:val="center"/>
          </w:tcPr>
          <w:p w14:paraId="26948EC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4C7A31C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w:t>
            </w:r>
          </w:p>
        </w:tc>
        <w:tc>
          <w:tcPr>
            <w:tcW w:w="1473" w:type="dxa"/>
            <w:vAlign w:val="center"/>
          </w:tcPr>
          <w:p w14:paraId="761DABA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≤3.0</w:t>
            </w:r>
          </w:p>
        </w:tc>
        <w:tc>
          <w:tcPr>
            <w:tcW w:w="1440" w:type="dxa"/>
            <w:vAlign w:val="center"/>
          </w:tcPr>
          <w:p w14:paraId="08608B2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0320</w:t>
            </w:r>
          </w:p>
        </w:tc>
        <w:tc>
          <w:tcPr>
            <w:tcW w:w="1298" w:type="dxa"/>
            <w:vAlign w:val="center"/>
          </w:tcPr>
          <w:p w14:paraId="672D9BB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39CB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05C5524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石料磨光值</w:t>
            </w:r>
          </w:p>
        </w:tc>
        <w:tc>
          <w:tcPr>
            <w:tcW w:w="958" w:type="dxa"/>
            <w:vAlign w:val="center"/>
          </w:tcPr>
          <w:p w14:paraId="458AC94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21346AA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73" w:type="dxa"/>
            <w:vAlign w:val="center"/>
          </w:tcPr>
          <w:p w14:paraId="35950BB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≥42</w:t>
            </w:r>
          </w:p>
        </w:tc>
        <w:tc>
          <w:tcPr>
            <w:tcW w:w="1440" w:type="dxa"/>
            <w:vAlign w:val="center"/>
          </w:tcPr>
          <w:p w14:paraId="0CC88A6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0321</w:t>
            </w:r>
          </w:p>
        </w:tc>
        <w:tc>
          <w:tcPr>
            <w:tcW w:w="1298" w:type="dxa"/>
            <w:vAlign w:val="center"/>
          </w:tcPr>
          <w:p w14:paraId="6D4DEED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料源/次</w:t>
            </w:r>
          </w:p>
        </w:tc>
      </w:tr>
      <w:tr w14:paraId="5224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89" w:type="dxa"/>
            <w:gridSpan w:val="2"/>
            <w:vAlign w:val="center"/>
          </w:tcPr>
          <w:p w14:paraId="5194536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粗集料与沥青的黏附性</w:t>
            </w:r>
          </w:p>
        </w:tc>
        <w:tc>
          <w:tcPr>
            <w:tcW w:w="958" w:type="dxa"/>
            <w:vAlign w:val="center"/>
          </w:tcPr>
          <w:p w14:paraId="353A6AC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387" w:type="dxa"/>
            <w:vAlign w:val="center"/>
          </w:tcPr>
          <w:p w14:paraId="505F944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w:t>
            </w:r>
          </w:p>
        </w:tc>
        <w:tc>
          <w:tcPr>
            <w:tcW w:w="1473" w:type="dxa"/>
            <w:vAlign w:val="center"/>
          </w:tcPr>
          <w:p w14:paraId="37C1DCF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w:t>
            </w:r>
          </w:p>
        </w:tc>
        <w:tc>
          <w:tcPr>
            <w:tcW w:w="1440" w:type="dxa"/>
            <w:vAlign w:val="center"/>
          </w:tcPr>
          <w:p w14:paraId="3D093F6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0616</w:t>
            </w:r>
          </w:p>
        </w:tc>
        <w:tc>
          <w:tcPr>
            <w:tcW w:w="1298" w:type="dxa"/>
            <w:vAlign w:val="center"/>
          </w:tcPr>
          <w:p w14:paraId="583DF38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bl>
    <w:p w14:paraId="1793F6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Cs w:val="21"/>
        </w:rPr>
      </w:pPr>
    </w:p>
    <w:p w14:paraId="78D25A84">
      <w:pPr>
        <w:spacing w:line="360" w:lineRule="auto"/>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7.3</w:t>
      </w:r>
      <w:r>
        <w:rPr>
          <w:rFonts w:hint="default" w:ascii="Times New Roman" w:hAnsi="Times New Roman" w:eastAsia="仿宋_GB2312" w:cs="Times New Roman"/>
          <w:b/>
          <w:bCs/>
          <w:szCs w:val="21"/>
        </w:rPr>
        <w:t>-4  细集料质量技术要求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3"/>
        <w:gridCol w:w="1081"/>
        <w:gridCol w:w="2186"/>
        <w:gridCol w:w="1250"/>
        <w:gridCol w:w="1327"/>
      </w:tblGrid>
      <w:tr w14:paraId="181A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3363" w:type="dxa"/>
            <w:vAlign w:val="center"/>
          </w:tcPr>
          <w:p w14:paraId="66635657">
            <w:pPr>
              <w:jc w:val="center"/>
              <w:rPr>
                <w:rFonts w:hint="default" w:ascii="Times New Roman" w:hAnsi="Times New Roman" w:eastAsia="仿宋_GB2312" w:cs="Times New Roman"/>
                <w:color w:val="000000"/>
                <w:szCs w:val="21"/>
              </w:rPr>
            </w:pPr>
            <w:bookmarkStart w:id="85" w:name="_Toc15895"/>
            <w:bookmarkStart w:id="86" w:name="_Toc18294"/>
            <w:bookmarkStart w:id="87" w:name="_Toc11841"/>
            <w:r>
              <w:rPr>
                <w:rFonts w:hint="default" w:ascii="Times New Roman" w:hAnsi="Times New Roman" w:eastAsia="仿宋_GB2312" w:cs="Times New Roman"/>
                <w:color w:val="000000"/>
                <w:szCs w:val="21"/>
              </w:rPr>
              <w:t>指  标</w:t>
            </w:r>
          </w:p>
        </w:tc>
        <w:tc>
          <w:tcPr>
            <w:tcW w:w="1081" w:type="dxa"/>
            <w:vAlign w:val="center"/>
          </w:tcPr>
          <w:p w14:paraId="2D16FD0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w:t>
            </w:r>
          </w:p>
        </w:tc>
        <w:tc>
          <w:tcPr>
            <w:tcW w:w="2186" w:type="dxa"/>
            <w:vAlign w:val="center"/>
          </w:tcPr>
          <w:p w14:paraId="294AC83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技术要求</w:t>
            </w:r>
          </w:p>
        </w:tc>
        <w:tc>
          <w:tcPr>
            <w:tcW w:w="1250" w:type="dxa"/>
            <w:vAlign w:val="center"/>
          </w:tcPr>
          <w:p w14:paraId="7EB45D0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试验方法</w:t>
            </w:r>
          </w:p>
        </w:tc>
        <w:tc>
          <w:tcPr>
            <w:tcW w:w="1327" w:type="dxa"/>
            <w:vAlign w:val="center"/>
          </w:tcPr>
          <w:p w14:paraId="6E02C94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检测批次</w:t>
            </w:r>
          </w:p>
        </w:tc>
      </w:tr>
      <w:tr w14:paraId="3F88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363" w:type="dxa"/>
            <w:vAlign w:val="center"/>
          </w:tcPr>
          <w:p w14:paraId="5EE548B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水洗法&lt;0.075mm颗粒含量</w:t>
            </w:r>
          </w:p>
        </w:tc>
        <w:tc>
          <w:tcPr>
            <w:tcW w:w="1081" w:type="dxa"/>
            <w:vAlign w:val="center"/>
          </w:tcPr>
          <w:p w14:paraId="14563E4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2186" w:type="dxa"/>
            <w:vAlign w:val="center"/>
          </w:tcPr>
          <w:p w14:paraId="14DD84B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c>
          <w:tcPr>
            <w:tcW w:w="1250" w:type="dxa"/>
            <w:vAlign w:val="center"/>
          </w:tcPr>
          <w:p w14:paraId="0CDA6F4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0333</w:t>
            </w:r>
          </w:p>
        </w:tc>
        <w:tc>
          <w:tcPr>
            <w:tcW w:w="1327" w:type="dxa"/>
            <w:vAlign w:val="center"/>
          </w:tcPr>
          <w:p w14:paraId="7920F03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75E4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363" w:type="dxa"/>
            <w:vAlign w:val="center"/>
          </w:tcPr>
          <w:p w14:paraId="0116E8E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表观相对密度</w:t>
            </w:r>
          </w:p>
        </w:tc>
        <w:tc>
          <w:tcPr>
            <w:tcW w:w="1081" w:type="dxa"/>
            <w:vAlign w:val="center"/>
          </w:tcPr>
          <w:p w14:paraId="63E917D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2186" w:type="dxa"/>
            <w:vAlign w:val="center"/>
          </w:tcPr>
          <w:p w14:paraId="13F6E7D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≥2.50</w:t>
            </w:r>
          </w:p>
        </w:tc>
        <w:tc>
          <w:tcPr>
            <w:tcW w:w="1250" w:type="dxa"/>
            <w:vAlign w:val="center"/>
          </w:tcPr>
          <w:p w14:paraId="3D8A1A8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0328</w:t>
            </w:r>
          </w:p>
        </w:tc>
        <w:tc>
          <w:tcPr>
            <w:tcW w:w="1327" w:type="dxa"/>
            <w:vAlign w:val="center"/>
          </w:tcPr>
          <w:p w14:paraId="1E84C40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1C5D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363" w:type="dxa"/>
            <w:vAlign w:val="center"/>
          </w:tcPr>
          <w:p w14:paraId="6F25EB5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毛体积相对密度</w:t>
            </w:r>
          </w:p>
        </w:tc>
        <w:tc>
          <w:tcPr>
            <w:tcW w:w="1081" w:type="dxa"/>
            <w:vAlign w:val="center"/>
          </w:tcPr>
          <w:p w14:paraId="7ADB2BF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2186" w:type="dxa"/>
            <w:vAlign w:val="center"/>
          </w:tcPr>
          <w:p w14:paraId="3DC1338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实测</w:t>
            </w:r>
          </w:p>
        </w:tc>
        <w:tc>
          <w:tcPr>
            <w:tcW w:w="1250" w:type="dxa"/>
            <w:vAlign w:val="center"/>
          </w:tcPr>
          <w:p w14:paraId="5C59A6B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0330</w:t>
            </w:r>
          </w:p>
        </w:tc>
        <w:tc>
          <w:tcPr>
            <w:tcW w:w="1327" w:type="dxa"/>
            <w:vAlign w:val="center"/>
          </w:tcPr>
          <w:p w14:paraId="4FDE97A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2591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363" w:type="dxa"/>
            <w:vAlign w:val="center"/>
          </w:tcPr>
          <w:p w14:paraId="65B8D91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吸水率</w:t>
            </w:r>
          </w:p>
        </w:tc>
        <w:tc>
          <w:tcPr>
            <w:tcW w:w="1081" w:type="dxa"/>
            <w:vAlign w:val="center"/>
          </w:tcPr>
          <w:p w14:paraId="1C997E5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2186" w:type="dxa"/>
            <w:vAlign w:val="center"/>
          </w:tcPr>
          <w:p w14:paraId="24A66C0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250" w:type="dxa"/>
            <w:vAlign w:val="center"/>
          </w:tcPr>
          <w:p w14:paraId="5B25B35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0330</w:t>
            </w:r>
          </w:p>
        </w:tc>
        <w:tc>
          <w:tcPr>
            <w:tcW w:w="1327" w:type="dxa"/>
            <w:vAlign w:val="center"/>
          </w:tcPr>
          <w:p w14:paraId="24ABA50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0D27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363" w:type="dxa"/>
            <w:vAlign w:val="center"/>
          </w:tcPr>
          <w:p w14:paraId="359C177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坚固性（&gt;0.3mm部分）</w:t>
            </w:r>
          </w:p>
        </w:tc>
        <w:tc>
          <w:tcPr>
            <w:tcW w:w="1081" w:type="dxa"/>
            <w:vAlign w:val="center"/>
          </w:tcPr>
          <w:p w14:paraId="48EAA80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2186" w:type="dxa"/>
            <w:vAlign w:val="center"/>
          </w:tcPr>
          <w:p w14:paraId="6CC5BE8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w:t>
            </w:r>
          </w:p>
        </w:tc>
        <w:tc>
          <w:tcPr>
            <w:tcW w:w="1250" w:type="dxa"/>
            <w:vAlign w:val="center"/>
          </w:tcPr>
          <w:p w14:paraId="6061879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0340</w:t>
            </w:r>
          </w:p>
        </w:tc>
        <w:tc>
          <w:tcPr>
            <w:tcW w:w="1327" w:type="dxa"/>
            <w:vAlign w:val="center"/>
          </w:tcPr>
          <w:p w14:paraId="139D891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628E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363" w:type="dxa"/>
            <w:vAlign w:val="center"/>
          </w:tcPr>
          <w:p w14:paraId="21967F4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砂当量</w:t>
            </w:r>
          </w:p>
        </w:tc>
        <w:tc>
          <w:tcPr>
            <w:tcW w:w="1081" w:type="dxa"/>
            <w:vAlign w:val="center"/>
          </w:tcPr>
          <w:p w14:paraId="7C16D6B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2186" w:type="dxa"/>
            <w:vAlign w:val="center"/>
          </w:tcPr>
          <w:p w14:paraId="272F3F5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≥60</w:t>
            </w:r>
          </w:p>
        </w:tc>
        <w:tc>
          <w:tcPr>
            <w:tcW w:w="1250" w:type="dxa"/>
            <w:vAlign w:val="center"/>
          </w:tcPr>
          <w:p w14:paraId="1A9468C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0334</w:t>
            </w:r>
          </w:p>
        </w:tc>
        <w:tc>
          <w:tcPr>
            <w:tcW w:w="1327" w:type="dxa"/>
            <w:vAlign w:val="center"/>
          </w:tcPr>
          <w:p w14:paraId="17ABD82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6DF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363" w:type="dxa"/>
            <w:vAlign w:val="center"/>
          </w:tcPr>
          <w:p w14:paraId="322C8A5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亚甲蓝值</w:t>
            </w:r>
          </w:p>
        </w:tc>
        <w:tc>
          <w:tcPr>
            <w:tcW w:w="1081" w:type="dxa"/>
            <w:vAlign w:val="center"/>
          </w:tcPr>
          <w:p w14:paraId="2E3F2F5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g/kg</w:t>
            </w:r>
          </w:p>
        </w:tc>
        <w:tc>
          <w:tcPr>
            <w:tcW w:w="2186" w:type="dxa"/>
            <w:vAlign w:val="center"/>
          </w:tcPr>
          <w:p w14:paraId="71436DC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≤2.5</w:t>
            </w:r>
          </w:p>
        </w:tc>
        <w:tc>
          <w:tcPr>
            <w:tcW w:w="1250" w:type="dxa"/>
            <w:vAlign w:val="center"/>
          </w:tcPr>
          <w:p w14:paraId="3CD603A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0349</w:t>
            </w:r>
          </w:p>
        </w:tc>
        <w:tc>
          <w:tcPr>
            <w:tcW w:w="1327" w:type="dxa"/>
            <w:vAlign w:val="center"/>
          </w:tcPr>
          <w:p w14:paraId="331E5A9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r w14:paraId="4B5B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363" w:type="dxa"/>
            <w:vAlign w:val="center"/>
          </w:tcPr>
          <w:p w14:paraId="259DA75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棱角性（流动时间）</w:t>
            </w:r>
          </w:p>
        </w:tc>
        <w:tc>
          <w:tcPr>
            <w:tcW w:w="1081" w:type="dxa"/>
            <w:vAlign w:val="center"/>
          </w:tcPr>
          <w:p w14:paraId="7CD3BB2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s</w:t>
            </w:r>
          </w:p>
        </w:tc>
        <w:tc>
          <w:tcPr>
            <w:tcW w:w="2186" w:type="dxa"/>
            <w:vAlign w:val="center"/>
          </w:tcPr>
          <w:p w14:paraId="48EFD8B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≥30</w:t>
            </w:r>
          </w:p>
        </w:tc>
        <w:tc>
          <w:tcPr>
            <w:tcW w:w="1250" w:type="dxa"/>
            <w:vAlign w:val="center"/>
          </w:tcPr>
          <w:p w14:paraId="44ADB8C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0345</w:t>
            </w:r>
          </w:p>
        </w:tc>
        <w:tc>
          <w:tcPr>
            <w:tcW w:w="1327" w:type="dxa"/>
            <w:vAlign w:val="center"/>
          </w:tcPr>
          <w:p w14:paraId="51C7FDA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/次</w:t>
            </w:r>
          </w:p>
        </w:tc>
      </w:tr>
    </w:tbl>
    <w:p w14:paraId="1EFEFF34">
      <w:pPr>
        <w:spacing w:line="360" w:lineRule="auto"/>
        <w:ind w:firstLine="480" w:firstLineChars="200"/>
        <w:jc w:val="left"/>
        <w:rPr>
          <w:rFonts w:hint="default" w:ascii="Times New Roman" w:hAnsi="Times New Roman" w:eastAsia="仿宋_GB2312" w:cs="Times New Roman"/>
          <w:sz w:val="24"/>
          <w:lang w:val="en-US" w:eastAsia="zh-CN"/>
        </w:rPr>
      </w:pPr>
      <w:bookmarkStart w:id="88" w:name="_Toc20966"/>
    </w:p>
    <w:p w14:paraId="2D692DBA">
      <w:pPr>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7.3.5 填料</w:t>
      </w:r>
      <w:r>
        <w:rPr>
          <w:rFonts w:hint="default" w:ascii="Times New Roman" w:hAnsi="Times New Roman" w:eastAsia="仿宋_GB2312" w:cs="Times New Roman"/>
          <w:sz w:val="24"/>
        </w:rPr>
        <w:t>采用石灰岩碱性石料经磨细得到的矿粉，矿粉应洁净、干燥，能够在储存罐中流出。严禁使用沥青拌合楼回收的粉料代替矿粉。矿粉质量技术要求见表</w:t>
      </w:r>
      <w:r>
        <w:rPr>
          <w:rFonts w:hint="default" w:ascii="Times New Roman" w:hAnsi="Times New Roman" w:eastAsia="仿宋_GB2312" w:cs="Times New Roman"/>
          <w:sz w:val="24"/>
          <w:lang w:val="en-US" w:eastAsia="zh-CN"/>
        </w:rPr>
        <w:t>7.3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w:t>
      </w:r>
    </w:p>
    <w:p w14:paraId="59C0EB96">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7.3</w:t>
      </w:r>
      <w:r>
        <w:rPr>
          <w:rFonts w:hint="default" w:ascii="Times New Roman" w:hAnsi="Times New Roman" w:eastAsia="仿宋_GB2312" w:cs="Times New Roman"/>
          <w:b/>
          <w:bCs/>
          <w:szCs w:val="21"/>
        </w:rPr>
        <w:t>-</w:t>
      </w:r>
      <w:r>
        <w:rPr>
          <w:rFonts w:hint="default" w:ascii="Times New Roman" w:hAnsi="Times New Roman" w:eastAsia="仿宋_GB2312" w:cs="Times New Roman"/>
          <w:b/>
          <w:bCs/>
          <w:szCs w:val="21"/>
          <w:lang w:val="en-US" w:eastAsia="zh-CN"/>
        </w:rPr>
        <w:t>5</w:t>
      </w:r>
      <w:r>
        <w:rPr>
          <w:rFonts w:hint="default" w:ascii="Times New Roman" w:hAnsi="Times New Roman" w:eastAsia="仿宋_GB2312" w:cs="Times New Roman"/>
          <w:b/>
          <w:bCs/>
          <w:szCs w:val="21"/>
        </w:rPr>
        <w:t xml:space="preserve">  矿粉质量技术要求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1015"/>
        <w:gridCol w:w="1838"/>
        <w:gridCol w:w="1848"/>
        <w:gridCol w:w="1843"/>
      </w:tblGrid>
      <w:tr w14:paraId="005E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2712" w:type="dxa"/>
            <w:vAlign w:val="center"/>
          </w:tcPr>
          <w:p w14:paraId="4AF2BFD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指  标</w:t>
            </w:r>
          </w:p>
        </w:tc>
        <w:tc>
          <w:tcPr>
            <w:tcW w:w="1015" w:type="dxa"/>
            <w:vAlign w:val="center"/>
          </w:tcPr>
          <w:p w14:paraId="4F191AA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w:t>
            </w:r>
          </w:p>
        </w:tc>
        <w:tc>
          <w:tcPr>
            <w:tcW w:w="1838" w:type="dxa"/>
            <w:vAlign w:val="center"/>
          </w:tcPr>
          <w:p w14:paraId="557B633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技术要求</w:t>
            </w:r>
          </w:p>
        </w:tc>
        <w:tc>
          <w:tcPr>
            <w:tcW w:w="1848" w:type="dxa"/>
            <w:vAlign w:val="center"/>
          </w:tcPr>
          <w:p w14:paraId="1CCB7E5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试验方法</w:t>
            </w:r>
          </w:p>
        </w:tc>
        <w:tc>
          <w:tcPr>
            <w:tcW w:w="1843" w:type="dxa"/>
            <w:vAlign w:val="center"/>
          </w:tcPr>
          <w:p w14:paraId="1B5DC84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检测批次</w:t>
            </w:r>
          </w:p>
        </w:tc>
      </w:tr>
      <w:tr w14:paraId="32E2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12" w:type="dxa"/>
            <w:vAlign w:val="center"/>
          </w:tcPr>
          <w:p w14:paraId="1F36489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表观密度</w:t>
            </w:r>
          </w:p>
        </w:tc>
        <w:tc>
          <w:tcPr>
            <w:tcW w:w="1015" w:type="dxa"/>
            <w:vAlign w:val="center"/>
          </w:tcPr>
          <w:p w14:paraId="52037B4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t/m</w:t>
            </w:r>
            <w:r>
              <w:rPr>
                <w:rFonts w:hint="default" w:ascii="Times New Roman" w:hAnsi="Times New Roman" w:eastAsia="仿宋_GB2312" w:cs="Times New Roman"/>
                <w:color w:val="000000"/>
                <w:szCs w:val="21"/>
                <w:vertAlign w:val="superscript"/>
              </w:rPr>
              <w:t>3</w:t>
            </w:r>
          </w:p>
        </w:tc>
        <w:tc>
          <w:tcPr>
            <w:tcW w:w="1838" w:type="dxa"/>
            <w:vAlign w:val="center"/>
          </w:tcPr>
          <w:p w14:paraId="68D6532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≥2.50</w:t>
            </w:r>
          </w:p>
        </w:tc>
        <w:tc>
          <w:tcPr>
            <w:tcW w:w="1848" w:type="dxa"/>
            <w:vAlign w:val="center"/>
          </w:tcPr>
          <w:p w14:paraId="095CE83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0352</w:t>
            </w:r>
          </w:p>
        </w:tc>
        <w:tc>
          <w:tcPr>
            <w:tcW w:w="1843" w:type="dxa"/>
            <w:vAlign w:val="center"/>
          </w:tcPr>
          <w:p w14:paraId="27C39C8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50t/次</w:t>
            </w:r>
          </w:p>
        </w:tc>
      </w:tr>
      <w:tr w14:paraId="3F8C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12" w:type="dxa"/>
            <w:vAlign w:val="center"/>
          </w:tcPr>
          <w:p w14:paraId="7FA3EAB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含水量</w:t>
            </w:r>
          </w:p>
        </w:tc>
        <w:tc>
          <w:tcPr>
            <w:tcW w:w="1015" w:type="dxa"/>
            <w:vAlign w:val="center"/>
          </w:tcPr>
          <w:p w14:paraId="65DEFDC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838" w:type="dxa"/>
            <w:vAlign w:val="center"/>
          </w:tcPr>
          <w:p w14:paraId="3F861C6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w:t>
            </w:r>
          </w:p>
        </w:tc>
        <w:tc>
          <w:tcPr>
            <w:tcW w:w="1848" w:type="dxa"/>
            <w:vAlign w:val="center"/>
          </w:tcPr>
          <w:p w14:paraId="7898981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0103烘干法</w:t>
            </w:r>
          </w:p>
        </w:tc>
        <w:tc>
          <w:tcPr>
            <w:tcW w:w="1843" w:type="dxa"/>
            <w:vAlign w:val="center"/>
          </w:tcPr>
          <w:p w14:paraId="3458B05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50t/次</w:t>
            </w:r>
          </w:p>
        </w:tc>
      </w:tr>
      <w:tr w14:paraId="6AE3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12" w:type="dxa"/>
            <w:vAlign w:val="center"/>
          </w:tcPr>
          <w:p w14:paraId="653DA98C">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外观</w:t>
            </w:r>
          </w:p>
        </w:tc>
        <w:tc>
          <w:tcPr>
            <w:tcW w:w="1015" w:type="dxa"/>
            <w:vAlign w:val="center"/>
          </w:tcPr>
          <w:p w14:paraId="4BFF79F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838" w:type="dxa"/>
            <w:vAlign w:val="center"/>
          </w:tcPr>
          <w:p w14:paraId="6EE7278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无团粒结块</w:t>
            </w:r>
          </w:p>
        </w:tc>
        <w:tc>
          <w:tcPr>
            <w:tcW w:w="1848" w:type="dxa"/>
            <w:vAlign w:val="center"/>
          </w:tcPr>
          <w:p w14:paraId="7EE89EB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843" w:type="dxa"/>
            <w:vAlign w:val="center"/>
          </w:tcPr>
          <w:p w14:paraId="6A082C2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50t/次</w:t>
            </w:r>
          </w:p>
        </w:tc>
      </w:tr>
      <w:tr w14:paraId="1900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12" w:type="dxa"/>
            <w:vAlign w:val="center"/>
          </w:tcPr>
          <w:p w14:paraId="486B3B7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亲水系数</w:t>
            </w:r>
          </w:p>
        </w:tc>
        <w:tc>
          <w:tcPr>
            <w:tcW w:w="1015" w:type="dxa"/>
            <w:vAlign w:val="center"/>
          </w:tcPr>
          <w:p w14:paraId="35E511A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838" w:type="dxa"/>
            <w:vAlign w:val="center"/>
          </w:tcPr>
          <w:p w14:paraId="41CBFCC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&lt;1</w:t>
            </w:r>
          </w:p>
        </w:tc>
        <w:tc>
          <w:tcPr>
            <w:tcW w:w="1848" w:type="dxa"/>
            <w:vAlign w:val="center"/>
          </w:tcPr>
          <w:p w14:paraId="31AD371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0353</w:t>
            </w:r>
          </w:p>
        </w:tc>
        <w:tc>
          <w:tcPr>
            <w:tcW w:w="1843" w:type="dxa"/>
            <w:vAlign w:val="center"/>
          </w:tcPr>
          <w:p w14:paraId="4F130E5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50t/次</w:t>
            </w:r>
          </w:p>
        </w:tc>
      </w:tr>
      <w:tr w14:paraId="013E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12" w:type="dxa"/>
            <w:vAlign w:val="center"/>
          </w:tcPr>
          <w:p w14:paraId="3F5D504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塑性指数</w:t>
            </w:r>
          </w:p>
        </w:tc>
        <w:tc>
          <w:tcPr>
            <w:tcW w:w="1015" w:type="dxa"/>
            <w:vAlign w:val="center"/>
          </w:tcPr>
          <w:p w14:paraId="28251E4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838" w:type="dxa"/>
            <w:vAlign w:val="center"/>
          </w:tcPr>
          <w:p w14:paraId="15942F7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&lt;4</w:t>
            </w:r>
          </w:p>
        </w:tc>
        <w:tc>
          <w:tcPr>
            <w:tcW w:w="1848" w:type="dxa"/>
            <w:vAlign w:val="center"/>
          </w:tcPr>
          <w:p w14:paraId="3677CB7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0354</w:t>
            </w:r>
          </w:p>
        </w:tc>
        <w:tc>
          <w:tcPr>
            <w:tcW w:w="1843" w:type="dxa"/>
            <w:vAlign w:val="center"/>
          </w:tcPr>
          <w:p w14:paraId="5E9DC0B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50t/次</w:t>
            </w:r>
          </w:p>
        </w:tc>
      </w:tr>
      <w:tr w14:paraId="0598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712" w:type="dxa"/>
            <w:vAlign w:val="center"/>
          </w:tcPr>
          <w:p w14:paraId="2D10B53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加热安定性</w:t>
            </w:r>
          </w:p>
        </w:tc>
        <w:tc>
          <w:tcPr>
            <w:tcW w:w="1015" w:type="dxa"/>
            <w:vAlign w:val="center"/>
          </w:tcPr>
          <w:p w14:paraId="09D12DE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838" w:type="dxa"/>
            <w:vAlign w:val="center"/>
          </w:tcPr>
          <w:p w14:paraId="52124FF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无明显变色</w:t>
            </w:r>
          </w:p>
        </w:tc>
        <w:tc>
          <w:tcPr>
            <w:tcW w:w="1848" w:type="dxa"/>
            <w:vAlign w:val="center"/>
          </w:tcPr>
          <w:p w14:paraId="1FB8B63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0355</w:t>
            </w:r>
          </w:p>
        </w:tc>
        <w:tc>
          <w:tcPr>
            <w:tcW w:w="1843" w:type="dxa"/>
            <w:vAlign w:val="center"/>
          </w:tcPr>
          <w:p w14:paraId="64EF830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50t/次</w:t>
            </w:r>
          </w:p>
        </w:tc>
      </w:tr>
      <w:tr w14:paraId="5C9A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2" w:type="dxa"/>
            <w:vAlign w:val="center"/>
          </w:tcPr>
          <w:p w14:paraId="6660516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粒度范围&lt;0.6mm</w:t>
            </w:r>
          </w:p>
          <w:p w14:paraId="2BA95DC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        &lt;0.15mm</w:t>
            </w:r>
          </w:p>
          <w:p w14:paraId="033B72B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        &lt;0.075mm</w:t>
            </w:r>
          </w:p>
          <w:p w14:paraId="3DAD475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 xml:space="preserve">        &lt;0.075mm</w:t>
            </w:r>
          </w:p>
        </w:tc>
        <w:tc>
          <w:tcPr>
            <w:tcW w:w="1015" w:type="dxa"/>
            <w:vAlign w:val="center"/>
          </w:tcPr>
          <w:p w14:paraId="63A91E6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p w14:paraId="713BC8F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p w14:paraId="18DC147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838" w:type="dxa"/>
            <w:vAlign w:val="center"/>
          </w:tcPr>
          <w:p w14:paraId="598E2FD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100</w:t>
            </w:r>
          </w:p>
          <w:p w14:paraId="25789C9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90~100</w:t>
            </w:r>
          </w:p>
          <w:p w14:paraId="41964F1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75~100</w:t>
            </w:r>
          </w:p>
          <w:p w14:paraId="7A4BE5A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（80~100）</w:t>
            </w:r>
          </w:p>
        </w:tc>
        <w:tc>
          <w:tcPr>
            <w:tcW w:w="1848" w:type="dxa"/>
            <w:vAlign w:val="center"/>
          </w:tcPr>
          <w:p w14:paraId="7CF4CE7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0351</w:t>
            </w:r>
          </w:p>
        </w:tc>
        <w:tc>
          <w:tcPr>
            <w:tcW w:w="1843" w:type="dxa"/>
            <w:vAlign w:val="center"/>
          </w:tcPr>
          <w:p w14:paraId="1AB95AD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50t/次</w:t>
            </w:r>
          </w:p>
        </w:tc>
      </w:tr>
    </w:tbl>
    <w:p w14:paraId="7A775766">
      <w:pPr>
        <w:spacing w:line="360" w:lineRule="auto"/>
        <w:ind w:firstLine="480" w:firstLineChars="200"/>
        <w:rPr>
          <w:rFonts w:hint="default" w:ascii="Times New Roman" w:hAnsi="Times New Roman" w:eastAsia="仿宋_GB2312" w:cs="Times New Roman"/>
          <w:sz w:val="24"/>
          <w:lang w:val="en-US" w:eastAsia="zh-CN"/>
        </w:rPr>
      </w:pPr>
    </w:p>
    <w:p w14:paraId="78D70506">
      <w:pPr>
        <w:spacing w:line="360" w:lineRule="auto"/>
        <w:outlineLvl w:val="1"/>
        <w:rPr>
          <w:rFonts w:hint="default" w:ascii="Times New Roman" w:hAnsi="Times New Roman" w:eastAsia="仿宋_GB2312" w:cs="Times New Roman"/>
          <w:b/>
          <w:bCs/>
          <w:sz w:val="24"/>
          <w:lang w:val="en-US" w:eastAsia="zh-CN"/>
        </w:rPr>
      </w:pPr>
      <w:bookmarkStart w:id="89" w:name="_Toc25067"/>
      <w:r>
        <w:rPr>
          <w:rFonts w:hint="default" w:ascii="Times New Roman" w:hAnsi="Times New Roman" w:eastAsia="仿宋_GB2312" w:cs="Times New Roman"/>
          <w:b/>
          <w:bCs/>
          <w:sz w:val="24"/>
          <w:lang w:val="en-US" w:eastAsia="zh-CN"/>
        </w:rPr>
        <w:t>7.4 油石分离RAP</w:t>
      </w:r>
      <w:bookmarkEnd w:id="88"/>
      <w:bookmarkEnd w:id="89"/>
    </w:p>
    <w:p w14:paraId="21C9DC4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7.4.1 </w:t>
      </w:r>
      <w:r>
        <w:rPr>
          <w:rFonts w:hint="default" w:ascii="Times New Roman" w:hAnsi="Times New Roman" w:eastAsia="仿宋_GB2312" w:cs="Times New Roman"/>
          <w:sz w:val="24"/>
        </w:rPr>
        <w:t>不同RAP应分别回收，不得在回收时混入基层废料、水泥混凝土废料、杂物、土等杂质。不同来源的RAP应分开堆放，不得混杂。</w:t>
      </w:r>
    </w:p>
    <w:p w14:paraId="305B027F">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7.4.2 油石分离</w:t>
      </w:r>
      <w:r>
        <w:rPr>
          <w:rFonts w:hint="default" w:ascii="Times New Roman" w:hAnsi="Times New Roman" w:eastAsia="仿宋_GB2312" w:cs="Times New Roman"/>
          <w:sz w:val="24"/>
        </w:rPr>
        <w:t>RAP</w:t>
      </w:r>
      <w:r>
        <w:rPr>
          <w:rFonts w:hint="default" w:ascii="Times New Roman" w:hAnsi="Times New Roman" w:eastAsia="仿宋_GB2312" w:cs="Times New Roman"/>
          <w:sz w:val="24"/>
          <w:lang w:val="en-US" w:eastAsia="zh-CN"/>
        </w:rPr>
        <w:t>宜</w:t>
      </w:r>
      <w:r>
        <w:rPr>
          <w:rFonts w:hint="default" w:ascii="Times New Roman" w:hAnsi="Times New Roman" w:eastAsia="仿宋_GB2312" w:cs="Times New Roman"/>
          <w:sz w:val="24"/>
        </w:rPr>
        <w:t>破碎筛分</w:t>
      </w:r>
      <w:r>
        <w:rPr>
          <w:rFonts w:hint="default" w:ascii="Times New Roman" w:hAnsi="Times New Roman" w:eastAsia="仿宋_GB2312" w:cs="Times New Roman"/>
          <w:sz w:val="24"/>
          <w:lang w:val="en-US" w:eastAsia="zh-CN"/>
        </w:rPr>
        <w:t>为3~5</w:t>
      </w:r>
      <w:r>
        <w:rPr>
          <w:rFonts w:hint="default" w:ascii="Times New Roman" w:hAnsi="Times New Roman" w:eastAsia="仿宋_GB2312" w:cs="Times New Roman"/>
          <w:sz w:val="24"/>
        </w:rPr>
        <w:t>档</w:t>
      </w:r>
      <w:r>
        <w:rPr>
          <w:rFonts w:hint="default" w:ascii="Times New Roman" w:hAnsi="Times New Roman" w:eastAsia="仿宋_GB2312" w:cs="Times New Roman"/>
          <w:sz w:val="24"/>
          <w:lang w:val="en-US" w:eastAsia="zh-CN"/>
        </w:rPr>
        <w:t>料</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当只有三档时宜分成</w:t>
      </w:r>
      <w:r>
        <w:rPr>
          <w:rFonts w:hint="default" w:ascii="Times New Roman" w:hAnsi="Times New Roman" w:eastAsia="仿宋_GB2312" w:cs="Times New Roman"/>
          <w:sz w:val="24"/>
        </w:rPr>
        <w:t>0-6mm RAP、6-11mm RAP和11-25mm RAP。</w:t>
      </w:r>
    </w:p>
    <w:p w14:paraId="6BCDBA20">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7.4.3 油石分离后的</w:t>
      </w:r>
      <w:r>
        <w:rPr>
          <w:rFonts w:hint="default" w:ascii="Times New Roman" w:hAnsi="Times New Roman" w:eastAsia="仿宋_GB2312" w:cs="Times New Roman"/>
          <w:sz w:val="24"/>
        </w:rPr>
        <w:t>RAP，应分类、分档转运堆放在平整、坚实、排水良好的硬地上，转运和堆放过程中应避免RAP离析。</w:t>
      </w:r>
    </w:p>
    <w:p w14:paraId="26664AB7">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7.4.4油石分离 </w:t>
      </w:r>
      <w:r>
        <w:rPr>
          <w:rFonts w:hint="default" w:ascii="Times New Roman" w:hAnsi="Times New Roman" w:eastAsia="仿宋_GB2312" w:cs="Times New Roman"/>
          <w:sz w:val="24"/>
        </w:rPr>
        <w:t>RAP应及时使用，避免长时间堆放。使用RAP时，应从料堆的一端开始在全高范围内铲料。</w:t>
      </w:r>
    </w:p>
    <w:p w14:paraId="2292DD6E">
      <w:pPr>
        <w:spacing w:after="156" w:afterLines="5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7.4.5 </w:t>
      </w:r>
      <w:r>
        <w:rPr>
          <w:rFonts w:hint="default" w:ascii="Times New Roman" w:hAnsi="Times New Roman" w:eastAsia="仿宋_GB2312" w:cs="Times New Roman"/>
          <w:sz w:val="24"/>
        </w:rPr>
        <w:t>再生沥青混合料配合比设计时，宜按照表</w:t>
      </w:r>
      <w:r>
        <w:rPr>
          <w:rFonts w:hint="default" w:ascii="Times New Roman" w:hAnsi="Times New Roman" w:eastAsia="仿宋_GB2312" w:cs="Times New Roman"/>
          <w:sz w:val="24"/>
          <w:lang w:val="en-US" w:eastAsia="zh-CN"/>
        </w:rPr>
        <w:t>7.4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检测RAP料的技术指标。</w:t>
      </w:r>
    </w:p>
    <w:p w14:paraId="70392329">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表</w:t>
      </w:r>
      <w:r>
        <w:rPr>
          <w:rFonts w:hint="default" w:ascii="Times New Roman" w:hAnsi="Times New Roman" w:eastAsia="仿宋_GB2312" w:cs="Times New Roman"/>
          <w:b/>
          <w:bCs/>
          <w:sz w:val="24"/>
          <w:lang w:val="en-US" w:eastAsia="zh-CN"/>
        </w:rPr>
        <w:t>7.4</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1</w:t>
      </w:r>
      <w:r>
        <w:rPr>
          <w:rFonts w:hint="default" w:ascii="Times New Roman" w:hAnsi="Times New Roman" w:eastAsia="仿宋_GB2312" w:cs="Times New Roman"/>
          <w:b/>
          <w:bCs/>
          <w:sz w:val="24"/>
        </w:rPr>
        <w:t xml:space="preserve"> RAP技术指标</w:t>
      </w:r>
    </w:p>
    <w:tbl>
      <w:tblPr>
        <w:tblStyle w:val="1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3308"/>
        <w:gridCol w:w="3043"/>
      </w:tblGrid>
      <w:tr w14:paraId="4762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Align w:val="center"/>
          </w:tcPr>
          <w:p w14:paraId="348EB585">
            <w:pPr>
              <w:pStyle w:val="47"/>
              <w:rPr>
                <w:rFonts w:hint="default" w:ascii="Times New Roman" w:hAnsi="Times New Roman" w:eastAsia="仿宋_GB2312" w:cs="Times New Roman"/>
              </w:rPr>
            </w:pPr>
            <w:r>
              <w:rPr>
                <w:rFonts w:hint="default" w:ascii="Times New Roman" w:hAnsi="Times New Roman" w:eastAsia="仿宋_GB2312" w:cs="Times New Roman"/>
              </w:rPr>
              <w:t>材料</w:t>
            </w:r>
          </w:p>
        </w:tc>
        <w:tc>
          <w:tcPr>
            <w:tcW w:w="3308" w:type="dxa"/>
            <w:vAlign w:val="center"/>
          </w:tcPr>
          <w:p w14:paraId="07EF8D8B">
            <w:pPr>
              <w:pStyle w:val="47"/>
              <w:rPr>
                <w:rFonts w:hint="default" w:ascii="Times New Roman" w:hAnsi="Times New Roman" w:eastAsia="仿宋_GB2312" w:cs="Times New Roman"/>
              </w:rPr>
            </w:pPr>
            <w:r>
              <w:rPr>
                <w:rFonts w:hint="default" w:ascii="Times New Roman" w:hAnsi="Times New Roman" w:eastAsia="仿宋_GB2312" w:cs="Times New Roman"/>
              </w:rPr>
              <w:t>检测项目</w:t>
            </w:r>
          </w:p>
        </w:tc>
        <w:tc>
          <w:tcPr>
            <w:tcW w:w="3043" w:type="dxa"/>
            <w:vAlign w:val="center"/>
          </w:tcPr>
          <w:p w14:paraId="41B24217">
            <w:pPr>
              <w:pStyle w:val="47"/>
              <w:rPr>
                <w:rFonts w:hint="default" w:ascii="Times New Roman" w:hAnsi="Times New Roman" w:eastAsia="仿宋_GB2312" w:cs="Times New Roman"/>
              </w:rPr>
            </w:pPr>
            <w:r>
              <w:rPr>
                <w:rFonts w:hint="default" w:ascii="Times New Roman" w:hAnsi="Times New Roman" w:eastAsia="仿宋_GB2312" w:cs="Times New Roman"/>
              </w:rPr>
              <w:t>试验方法</w:t>
            </w:r>
          </w:p>
        </w:tc>
      </w:tr>
      <w:tr w14:paraId="7349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restart"/>
            <w:vAlign w:val="center"/>
          </w:tcPr>
          <w:p w14:paraId="3E057BEE">
            <w:pPr>
              <w:pStyle w:val="47"/>
              <w:rPr>
                <w:rFonts w:hint="default" w:ascii="Times New Roman" w:hAnsi="Times New Roman" w:eastAsia="仿宋_GB2312" w:cs="Times New Roman"/>
              </w:rPr>
            </w:pPr>
            <w:r>
              <w:rPr>
                <w:rFonts w:hint="default" w:ascii="Times New Roman" w:hAnsi="Times New Roman" w:eastAsia="仿宋_GB2312" w:cs="Times New Roman"/>
              </w:rPr>
              <w:t>沥青混合料回收料（RAP）</w:t>
            </w:r>
          </w:p>
        </w:tc>
        <w:tc>
          <w:tcPr>
            <w:tcW w:w="3308" w:type="dxa"/>
            <w:vAlign w:val="center"/>
          </w:tcPr>
          <w:p w14:paraId="404852A0">
            <w:pPr>
              <w:pStyle w:val="47"/>
              <w:rPr>
                <w:rFonts w:hint="default" w:ascii="Times New Roman" w:hAnsi="Times New Roman" w:eastAsia="仿宋_GB2312" w:cs="Times New Roman"/>
              </w:rPr>
            </w:pPr>
            <w:r>
              <w:rPr>
                <w:rFonts w:hint="default" w:ascii="Times New Roman" w:hAnsi="Times New Roman" w:eastAsia="仿宋_GB2312" w:cs="Times New Roman"/>
              </w:rPr>
              <w:t>含水率</w:t>
            </w:r>
          </w:p>
        </w:tc>
        <w:tc>
          <w:tcPr>
            <w:tcW w:w="3043" w:type="dxa"/>
            <w:vMerge w:val="restart"/>
            <w:vAlign w:val="center"/>
          </w:tcPr>
          <w:p w14:paraId="7C659241">
            <w:pPr>
              <w:pStyle w:val="47"/>
              <w:rPr>
                <w:rFonts w:hint="default" w:ascii="Times New Roman" w:hAnsi="Times New Roman" w:eastAsia="仿宋_GB2312" w:cs="Times New Roman"/>
              </w:rPr>
            </w:pPr>
            <w:r>
              <w:rPr>
                <w:rFonts w:hint="default" w:ascii="Times New Roman" w:hAnsi="Times New Roman" w:eastAsia="仿宋_GB2312" w:cs="Times New Roman"/>
              </w:rPr>
              <w:t>（JTGT 5521-2019）附录B</w:t>
            </w:r>
          </w:p>
        </w:tc>
      </w:tr>
      <w:tr w14:paraId="2249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continue"/>
            <w:vAlign w:val="center"/>
          </w:tcPr>
          <w:p w14:paraId="5263980F">
            <w:pPr>
              <w:pStyle w:val="47"/>
              <w:rPr>
                <w:rFonts w:hint="default" w:ascii="Times New Roman" w:hAnsi="Times New Roman" w:eastAsia="仿宋_GB2312" w:cs="Times New Roman"/>
              </w:rPr>
            </w:pPr>
          </w:p>
        </w:tc>
        <w:tc>
          <w:tcPr>
            <w:tcW w:w="3308" w:type="dxa"/>
            <w:vAlign w:val="center"/>
          </w:tcPr>
          <w:p w14:paraId="042C4ECD">
            <w:pPr>
              <w:pStyle w:val="47"/>
              <w:rPr>
                <w:rFonts w:hint="default" w:ascii="Times New Roman" w:hAnsi="Times New Roman" w:eastAsia="仿宋_GB2312" w:cs="Times New Roman"/>
              </w:rPr>
            </w:pPr>
            <w:r>
              <w:rPr>
                <w:rFonts w:hint="default" w:ascii="Times New Roman" w:hAnsi="Times New Roman" w:eastAsia="仿宋_GB2312" w:cs="Times New Roman"/>
              </w:rPr>
              <w:t>RAP矿料级配</w:t>
            </w:r>
          </w:p>
        </w:tc>
        <w:tc>
          <w:tcPr>
            <w:tcW w:w="3043" w:type="dxa"/>
            <w:vMerge w:val="continue"/>
            <w:vAlign w:val="center"/>
          </w:tcPr>
          <w:p w14:paraId="19CE07F4">
            <w:pPr>
              <w:pStyle w:val="47"/>
              <w:rPr>
                <w:rFonts w:hint="default" w:ascii="Times New Roman" w:hAnsi="Times New Roman" w:eastAsia="仿宋_GB2312" w:cs="Times New Roman"/>
              </w:rPr>
            </w:pPr>
          </w:p>
        </w:tc>
      </w:tr>
      <w:tr w14:paraId="65E1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continue"/>
            <w:vAlign w:val="center"/>
          </w:tcPr>
          <w:p w14:paraId="01578A37">
            <w:pPr>
              <w:pStyle w:val="47"/>
              <w:rPr>
                <w:rFonts w:hint="default" w:ascii="Times New Roman" w:hAnsi="Times New Roman" w:eastAsia="仿宋_GB2312" w:cs="Times New Roman"/>
              </w:rPr>
            </w:pPr>
          </w:p>
        </w:tc>
        <w:tc>
          <w:tcPr>
            <w:tcW w:w="3308" w:type="dxa"/>
            <w:vAlign w:val="center"/>
          </w:tcPr>
          <w:p w14:paraId="26E7F4E0">
            <w:pPr>
              <w:pStyle w:val="47"/>
              <w:rPr>
                <w:rFonts w:hint="default" w:ascii="Times New Roman" w:hAnsi="Times New Roman" w:eastAsia="仿宋_GB2312" w:cs="Times New Roman"/>
              </w:rPr>
            </w:pPr>
            <w:r>
              <w:rPr>
                <w:rFonts w:hint="default" w:ascii="Times New Roman" w:hAnsi="Times New Roman" w:eastAsia="仿宋_GB2312" w:cs="Times New Roman"/>
              </w:rPr>
              <w:t>沥青含量</w:t>
            </w:r>
          </w:p>
        </w:tc>
        <w:tc>
          <w:tcPr>
            <w:tcW w:w="3043" w:type="dxa"/>
            <w:vMerge w:val="continue"/>
            <w:vAlign w:val="center"/>
          </w:tcPr>
          <w:p w14:paraId="6BB959E4">
            <w:pPr>
              <w:pStyle w:val="47"/>
              <w:rPr>
                <w:rFonts w:hint="default" w:ascii="Times New Roman" w:hAnsi="Times New Roman" w:eastAsia="仿宋_GB2312" w:cs="Times New Roman"/>
              </w:rPr>
            </w:pPr>
          </w:p>
        </w:tc>
      </w:tr>
      <w:tr w14:paraId="45AC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continue"/>
            <w:vAlign w:val="center"/>
          </w:tcPr>
          <w:p w14:paraId="631A1D8D">
            <w:pPr>
              <w:pStyle w:val="47"/>
              <w:rPr>
                <w:rFonts w:hint="default" w:ascii="Times New Roman" w:hAnsi="Times New Roman" w:eastAsia="仿宋_GB2312" w:cs="Times New Roman"/>
              </w:rPr>
            </w:pPr>
          </w:p>
        </w:tc>
        <w:tc>
          <w:tcPr>
            <w:tcW w:w="3308" w:type="dxa"/>
            <w:vAlign w:val="center"/>
          </w:tcPr>
          <w:p w14:paraId="74C6B323">
            <w:pPr>
              <w:pStyle w:val="47"/>
              <w:rPr>
                <w:rFonts w:hint="default" w:ascii="Times New Roman" w:hAnsi="Times New Roman" w:eastAsia="仿宋_GB2312" w:cs="Times New Roman"/>
              </w:rPr>
            </w:pPr>
            <w:r>
              <w:rPr>
                <w:rFonts w:hint="default" w:ascii="Times New Roman" w:hAnsi="Times New Roman" w:eastAsia="仿宋_GB2312" w:cs="Times New Roman"/>
              </w:rPr>
              <w:t>砂当量</w:t>
            </w:r>
          </w:p>
        </w:tc>
        <w:tc>
          <w:tcPr>
            <w:tcW w:w="3043" w:type="dxa"/>
            <w:vMerge w:val="continue"/>
            <w:vAlign w:val="center"/>
          </w:tcPr>
          <w:p w14:paraId="2FF9765B">
            <w:pPr>
              <w:pStyle w:val="47"/>
              <w:rPr>
                <w:rFonts w:hint="default" w:ascii="Times New Roman" w:hAnsi="Times New Roman" w:eastAsia="仿宋_GB2312" w:cs="Times New Roman"/>
              </w:rPr>
            </w:pPr>
          </w:p>
        </w:tc>
      </w:tr>
      <w:tr w14:paraId="443E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restart"/>
            <w:vAlign w:val="center"/>
          </w:tcPr>
          <w:p w14:paraId="64603097">
            <w:pPr>
              <w:pStyle w:val="47"/>
              <w:rPr>
                <w:rFonts w:hint="default" w:ascii="Times New Roman" w:hAnsi="Times New Roman" w:eastAsia="仿宋_GB2312" w:cs="Times New Roman"/>
              </w:rPr>
            </w:pPr>
            <w:r>
              <w:rPr>
                <w:rFonts w:hint="default" w:ascii="Times New Roman" w:hAnsi="Times New Roman" w:eastAsia="仿宋_GB2312" w:cs="Times New Roman"/>
              </w:rPr>
              <w:t>RAP中的沥青</w:t>
            </w:r>
          </w:p>
        </w:tc>
        <w:tc>
          <w:tcPr>
            <w:tcW w:w="3308" w:type="dxa"/>
            <w:vAlign w:val="center"/>
          </w:tcPr>
          <w:p w14:paraId="668FE8FF">
            <w:pPr>
              <w:pStyle w:val="47"/>
              <w:rPr>
                <w:rFonts w:hint="default" w:ascii="Times New Roman" w:hAnsi="Times New Roman" w:eastAsia="仿宋_GB2312" w:cs="Times New Roman"/>
              </w:rPr>
            </w:pPr>
            <w:r>
              <w:rPr>
                <w:rFonts w:hint="default" w:ascii="Times New Roman" w:hAnsi="Times New Roman" w:eastAsia="仿宋_GB2312" w:cs="Times New Roman"/>
              </w:rPr>
              <w:t>25℃针入度</w:t>
            </w:r>
          </w:p>
        </w:tc>
        <w:tc>
          <w:tcPr>
            <w:tcW w:w="3043" w:type="dxa"/>
            <w:vMerge w:val="restart"/>
            <w:vAlign w:val="center"/>
          </w:tcPr>
          <w:p w14:paraId="0EC3CA38">
            <w:pPr>
              <w:pStyle w:val="47"/>
              <w:rPr>
                <w:rFonts w:hint="default" w:ascii="Times New Roman" w:hAnsi="Times New Roman" w:eastAsia="仿宋_GB2312" w:cs="Times New Roman"/>
              </w:rPr>
            </w:pPr>
            <w:r>
              <w:rPr>
                <w:rFonts w:hint="default" w:ascii="Times New Roman" w:hAnsi="Times New Roman" w:eastAsia="仿宋_GB2312" w:cs="Times New Roman"/>
              </w:rPr>
              <w:t>抽提，现行《公路工程沥青及沥青混合料试验规程》（JTG E20）</w:t>
            </w:r>
          </w:p>
        </w:tc>
      </w:tr>
      <w:tr w14:paraId="5C99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continue"/>
            <w:vAlign w:val="center"/>
          </w:tcPr>
          <w:p w14:paraId="325B08C3">
            <w:pPr>
              <w:pStyle w:val="47"/>
              <w:rPr>
                <w:rFonts w:hint="default" w:ascii="Times New Roman" w:hAnsi="Times New Roman" w:eastAsia="仿宋_GB2312" w:cs="Times New Roman"/>
              </w:rPr>
            </w:pPr>
          </w:p>
        </w:tc>
        <w:tc>
          <w:tcPr>
            <w:tcW w:w="3308" w:type="dxa"/>
            <w:vAlign w:val="center"/>
          </w:tcPr>
          <w:p w14:paraId="737936AF">
            <w:pPr>
              <w:pStyle w:val="47"/>
              <w:rPr>
                <w:rFonts w:hint="default" w:ascii="Times New Roman" w:hAnsi="Times New Roman" w:eastAsia="仿宋_GB2312" w:cs="Times New Roman"/>
              </w:rPr>
            </w:pPr>
            <w:r>
              <w:rPr>
                <w:rFonts w:hint="default" w:ascii="Times New Roman" w:hAnsi="Times New Roman" w:eastAsia="仿宋_GB2312" w:cs="Times New Roman"/>
              </w:rPr>
              <w:t>60℃动力黏度</w:t>
            </w:r>
          </w:p>
        </w:tc>
        <w:tc>
          <w:tcPr>
            <w:tcW w:w="3043" w:type="dxa"/>
            <w:vMerge w:val="continue"/>
            <w:vAlign w:val="center"/>
          </w:tcPr>
          <w:p w14:paraId="1EA2AB57">
            <w:pPr>
              <w:pStyle w:val="47"/>
              <w:rPr>
                <w:rFonts w:hint="default" w:ascii="Times New Roman" w:hAnsi="Times New Roman" w:eastAsia="仿宋_GB2312" w:cs="Times New Roman"/>
              </w:rPr>
            </w:pPr>
          </w:p>
        </w:tc>
      </w:tr>
      <w:tr w14:paraId="2931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continue"/>
            <w:vAlign w:val="center"/>
          </w:tcPr>
          <w:p w14:paraId="35092576">
            <w:pPr>
              <w:pStyle w:val="47"/>
              <w:rPr>
                <w:rFonts w:hint="default" w:ascii="Times New Roman" w:hAnsi="Times New Roman" w:eastAsia="仿宋_GB2312" w:cs="Times New Roman"/>
              </w:rPr>
            </w:pPr>
          </w:p>
        </w:tc>
        <w:tc>
          <w:tcPr>
            <w:tcW w:w="3308" w:type="dxa"/>
            <w:vAlign w:val="center"/>
          </w:tcPr>
          <w:p w14:paraId="71CAA799">
            <w:pPr>
              <w:pStyle w:val="47"/>
              <w:rPr>
                <w:rFonts w:hint="default" w:ascii="Times New Roman" w:hAnsi="Times New Roman" w:eastAsia="仿宋_GB2312" w:cs="Times New Roman"/>
              </w:rPr>
            </w:pPr>
            <w:r>
              <w:rPr>
                <w:rFonts w:hint="default" w:ascii="Times New Roman" w:hAnsi="Times New Roman" w:eastAsia="仿宋_GB2312" w:cs="Times New Roman"/>
              </w:rPr>
              <w:t>软化点</w:t>
            </w:r>
          </w:p>
        </w:tc>
        <w:tc>
          <w:tcPr>
            <w:tcW w:w="3043" w:type="dxa"/>
            <w:vMerge w:val="continue"/>
            <w:vAlign w:val="center"/>
          </w:tcPr>
          <w:p w14:paraId="4FA31104">
            <w:pPr>
              <w:pStyle w:val="47"/>
              <w:rPr>
                <w:rFonts w:hint="default" w:ascii="Times New Roman" w:hAnsi="Times New Roman" w:eastAsia="仿宋_GB2312" w:cs="Times New Roman"/>
              </w:rPr>
            </w:pPr>
          </w:p>
        </w:tc>
      </w:tr>
      <w:tr w14:paraId="549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continue"/>
            <w:vAlign w:val="center"/>
          </w:tcPr>
          <w:p w14:paraId="1D1ABC4D">
            <w:pPr>
              <w:pStyle w:val="47"/>
              <w:rPr>
                <w:rFonts w:hint="default" w:ascii="Times New Roman" w:hAnsi="Times New Roman" w:eastAsia="仿宋_GB2312" w:cs="Times New Roman"/>
              </w:rPr>
            </w:pPr>
          </w:p>
        </w:tc>
        <w:tc>
          <w:tcPr>
            <w:tcW w:w="3308" w:type="dxa"/>
            <w:vAlign w:val="center"/>
          </w:tcPr>
          <w:p w14:paraId="56EDCCC3">
            <w:pPr>
              <w:pStyle w:val="47"/>
              <w:rPr>
                <w:rFonts w:hint="default" w:ascii="Times New Roman" w:hAnsi="Times New Roman" w:eastAsia="仿宋_GB2312" w:cs="Times New Roman"/>
              </w:rPr>
            </w:pPr>
            <w:r>
              <w:rPr>
                <w:rFonts w:hint="default" w:ascii="Times New Roman" w:hAnsi="Times New Roman" w:eastAsia="仿宋_GB2312" w:cs="Times New Roman"/>
              </w:rPr>
              <w:t>15℃延度</w:t>
            </w:r>
          </w:p>
        </w:tc>
        <w:tc>
          <w:tcPr>
            <w:tcW w:w="3043" w:type="dxa"/>
            <w:vMerge w:val="continue"/>
            <w:vAlign w:val="center"/>
          </w:tcPr>
          <w:p w14:paraId="338B16DE">
            <w:pPr>
              <w:pStyle w:val="47"/>
              <w:rPr>
                <w:rFonts w:hint="default" w:ascii="Times New Roman" w:hAnsi="Times New Roman" w:eastAsia="仿宋_GB2312" w:cs="Times New Roman"/>
              </w:rPr>
            </w:pPr>
          </w:p>
        </w:tc>
      </w:tr>
      <w:tr w14:paraId="7563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restart"/>
            <w:vAlign w:val="center"/>
          </w:tcPr>
          <w:p w14:paraId="220D396C">
            <w:pPr>
              <w:pStyle w:val="47"/>
              <w:rPr>
                <w:rFonts w:hint="default" w:ascii="Times New Roman" w:hAnsi="Times New Roman" w:eastAsia="仿宋_GB2312" w:cs="Times New Roman"/>
              </w:rPr>
            </w:pPr>
            <w:r>
              <w:rPr>
                <w:rFonts w:hint="default" w:ascii="Times New Roman" w:hAnsi="Times New Roman" w:eastAsia="仿宋_GB2312" w:cs="Times New Roman"/>
              </w:rPr>
              <w:t>RAP中的粗集料</w:t>
            </w:r>
          </w:p>
        </w:tc>
        <w:tc>
          <w:tcPr>
            <w:tcW w:w="3308" w:type="dxa"/>
            <w:vAlign w:val="center"/>
          </w:tcPr>
          <w:p w14:paraId="5A3E11C2">
            <w:pPr>
              <w:pStyle w:val="47"/>
              <w:rPr>
                <w:rFonts w:hint="default" w:ascii="Times New Roman" w:hAnsi="Times New Roman" w:eastAsia="仿宋_GB2312" w:cs="Times New Roman"/>
              </w:rPr>
            </w:pPr>
            <w:r>
              <w:rPr>
                <w:rFonts w:hint="default" w:ascii="Times New Roman" w:hAnsi="Times New Roman" w:eastAsia="仿宋_GB2312" w:cs="Times New Roman"/>
              </w:rPr>
              <w:t>针片状颗粒含量</w:t>
            </w:r>
          </w:p>
        </w:tc>
        <w:tc>
          <w:tcPr>
            <w:tcW w:w="3043" w:type="dxa"/>
            <w:vMerge w:val="restart"/>
            <w:vAlign w:val="center"/>
          </w:tcPr>
          <w:p w14:paraId="6F777CC0">
            <w:pPr>
              <w:pStyle w:val="47"/>
              <w:rPr>
                <w:rFonts w:hint="default" w:ascii="Times New Roman" w:hAnsi="Times New Roman" w:eastAsia="仿宋_GB2312" w:cs="Times New Roman"/>
              </w:rPr>
            </w:pPr>
            <w:r>
              <w:rPr>
                <w:rFonts w:hint="default" w:ascii="Times New Roman" w:hAnsi="Times New Roman" w:eastAsia="仿宋_GB2312" w:cs="Times New Roman"/>
              </w:rPr>
              <w:t>抽提，现行《公路工程集料试验规程》（JTG E42）</w:t>
            </w:r>
          </w:p>
        </w:tc>
      </w:tr>
      <w:tr w14:paraId="74B9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986" w:type="dxa"/>
            <w:vMerge w:val="continue"/>
            <w:vAlign w:val="center"/>
          </w:tcPr>
          <w:p w14:paraId="6D42B61C">
            <w:pPr>
              <w:pStyle w:val="47"/>
              <w:rPr>
                <w:rFonts w:hint="default" w:ascii="Times New Roman" w:hAnsi="Times New Roman" w:eastAsia="仿宋_GB2312" w:cs="Times New Roman"/>
              </w:rPr>
            </w:pPr>
          </w:p>
        </w:tc>
        <w:tc>
          <w:tcPr>
            <w:tcW w:w="3308" w:type="dxa"/>
            <w:vAlign w:val="center"/>
          </w:tcPr>
          <w:p w14:paraId="25C3E346">
            <w:pPr>
              <w:pStyle w:val="47"/>
              <w:rPr>
                <w:rFonts w:hint="default" w:ascii="Times New Roman" w:hAnsi="Times New Roman" w:eastAsia="仿宋_GB2312" w:cs="Times New Roman"/>
              </w:rPr>
            </w:pPr>
            <w:r>
              <w:rPr>
                <w:rFonts w:hint="default" w:ascii="Times New Roman" w:hAnsi="Times New Roman" w:eastAsia="仿宋_GB2312" w:cs="Times New Roman"/>
              </w:rPr>
              <w:t>压碎值</w:t>
            </w:r>
          </w:p>
        </w:tc>
        <w:tc>
          <w:tcPr>
            <w:tcW w:w="3043" w:type="dxa"/>
            <w:vMerge w:val="continue"/>
            <w:vAlign w:val="center"/>
          </w:tcPr>
          <w:p w14:paraId="57D864DE">
            <w:pPr>
              <w:pStyle w:val="47"/>
              <w:rPr>
                <w:rFonts w:hint="default" w:ascii="Times New Roman" w:hAnsi="Times New Roman" w:eastAsia="仿宋_GB2312" w:cs="Times New Roman"/>
              </w:rPr>
            </w:pPr>
          </w:p>
        </w:tc>
      </w:tr>
      <w:tr w14:paraId="211E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986" w:type="dxa"/>
            <w:vAlign w:val="center"/>
          </w:tcPr>
          <w:p w14:paraId="4EE52528">
            <w:pPr>
              <w:pStyle w:val="47"/>
              <w:rPr>
                <w:rFonts w:hint="default" w:ascii="Times New Roman" w:hAnsi="Times New Roman" w:eastAsia="仿宋_GB2312" w:cs="Times New Roman"/>
              </w:rPr>
            </w:pPr>
            <w:r>
              <w:rPr>
                <w:rFonts w:hint="default" w:ascii="Times New Roman" w:hAnsi="Times New Roman" w:eastAsia="仿宋_GB2312" w:cs="Times New Roman"/>
              </w:rPr>
              <w:t>RAP中的细集料</w:t>
            </w:r>
          </w:p>
        </w:tc>
        <w:tc>
          <w:tcPr>
            <w:tcW w:w="3308" w:type="dxa"/>
            <w:vAlign w:val="center"/>
          </w:tcPr>
          <w:p w14:paraId="17D0C4CC">
            <w:pPr>
              <w:pStyle w:val="47"/>
              <w:rPr>
                <w:rFonts w:hint="default" w:ascii="Times New Roman" w:hAnsi="Times New Roman" w:eastAsia="仿宋_GB2312" w:cs="Times New Roman"/>
              </w:rPr>
            </w:pPr>
            <w:r>
              <w:rPr>
                <w:rFonts w:hint="default" w:ascii="Times New Roman" w:hAnsi="Times New Roman" w:eastAsia="仿宋_GB2312" w:cs="Times New Roman"/>
              </w:rPr>
              <w:t>棱角性</w:t>
            </w:r>
          </w:p>
        </w:tc>
        <w:tc>
          <w:tcPr>
            <w:tcW w:w="3043" w:type="dxa"/>
            <w:vMerge w:val="continue"/>
            <w:vAlign w:val="center"/>
          </w:tcPr>
          <w:p w14:paraId="30DB727D">
            <w:pPr>
              <w:pStyle w:val="47"/>
              <w:rPr>
                <w:rFonts w:hint="default" w:ascii="Times New Roman" w:hAnsi="Times New Roman" w:eastAsia="仿宋_GB2312" w:cs="Times New Roman"/>
              </w:rPr>
            </w:pPr>
          </w:p>
        </w:tc>
      </w:tr>
    </w:tbl>
    <w:p w14:paraId="21D50076">
      <w:pPr>
        <w:spacing w:after="156" w:afterLines="50"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注：</w:t>
      </w:r>
      <w:r>
        <w:rPr>
          <w:rFonts w:hint="default" w:ascii="Times New Roman" w:hAnsi="Times New Roman" w:eastAsia="仿宋_GB2312" w:cs="Times New Roman"/>
          <w:szCs w:val="21"/>
        </w:rPr>
        <w:t>对于燃烧法不会对石质产生破坏的材料，可用燃烧法替代抽提法获得粗细集料用于检测。</w:t>
      </w:r>
    </w:p>
    <w:p w14:paraId="776C6900">
      <w:pPr>
        <w:spacing w:before="156" w:beforeLines="50" w:after="156" w:afterLines="5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7.4.6 油石分离</w:t>
      </w:r>
      <w:r>
        <w:rPr>
          <w:rFonts w:hint="default" w:ascii="Times New Roman" w:hAnsi="Times New Roman" w:eastAsia="仿宋_GB2312" w:cs="Times New Roman"/>
          <w:sz w:val="24"/>
        </w:rPr>
        <w:t>后的RAP应符合表</w:t>
      </w:r>
      <w:r>
        <w:rPr>
          <w:rFonts w:hint="default" w:ascii="Times New Roman" w:hAnsi="Times New Roman" w:eastAsia="仿宋_GB2312" w:cs="Times New Roman"/>
          <w:sz w:val="24"/>
          <w:lang w:val="en-US" w:eastAsia="zh-CN"/>
        </w:rPr>
        <w:t>7.4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技术要求。</w:t>
      </w:r>
    </w:p>
    <w:p w14:paraId="22372EDD">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表</w:t>
      </w:r>
      <w:r>
        <w:rPr>
          <w:rFonts w:hint="default" w:ascii="Times New Roman" w:hAnsi="Times New Roman" w:eastAsia="仿宋_GB2312" w:cs="Times New Roman"/>
          <w:b/>
          <w:bCs/>
          <w:sz w:val="24"/>
          <w:lang w:val="en-US" w:eastAsia="zh-CN"/>
        </w:rPr>
        <w:t>7.4</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2</w:t>
      </w:r>
      <w:r>
        <w:rPr>
          <w:rFonts w:hint="default" w:ascii="Times New Roman" w:hAnsi="Times New Roman" w:eastAsia="仿宋_GB2312" w:cs="Times New Roman"/>
          <w:b/>
          <w:bCs/>
          <w:sz w:val="24"/>
        </w:rPr>
        <w:t xml:space="preserve"> RAP技术要求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2138"/>
        <w:gridCol w:w="2073"/>
        <w:gridCol w:w="1385"/>
        <w:gridCol w:w="2119"/>
      </w:tblGrid>
      <w:tr w14:paraId="0A0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35" w:type="dxa"/>
            <w:vAlign w:val="center"/>
          </w:tcPr>
          <w:p w14:paraId="3BD93C2E">
            <w:pPr>
              <w:pStyle w:val="47"/>
              <w:rPr>
                <w:rFonts w:hint="default" w:ascii="Times New Roman" w:hAnsi="Times New Roman" w:eastAsia="仿宋_GB2312" w:cs="Times New Roman"/>
              </w:rPr>
            </w:pPr>
            <w:r>
              <w:rPr>
                <w:rFonts w:hint="default" w:ascii="Times New Roman" w:hAnsi="Times New Roman" w:eastAsia="仿宋_GB2312" w:cs="Times New Roman"/>
              </w:rPr>
              <w:t>再生类型</w:t>
            </w:r>
          </w:p>
        </w:tc>
        <w:tc>
          <w:tcPr>
            <w:tcW w:w="2138" w:type="dxa"/>
            <w:vAlign w:val="center"/>
          </w:tcPr>
          <w:p w14:paraId="412E3061">
            <w:pPr>
              <w:pStyle w:val="47"/>
              <w:rPr>
                <w:rFonts w:hint="default" w:ascii="Times New Roman" w:hAnsi="Times New Roman" w:eastAsia="仿宋_GB2312" w:cs="Times New Roman"/>
              </w:rPr>
            </w:pPr>
            <w:r>
              <w:rPr>
                <w:rFonts w:hint="default" w:ascii="Times New Roman" w:hAnsi="Times New Roman" w:eastAsia="仿宋_GB2312" w:cs="Times New Roman"/>
              </w:rPr>
              <w:t>材料</w:t>
            </w:r>
          </w:p>
        </w:tc>
        <w:tc>
          <w:tcPr>
            <w:tcW w:w="2073" w:type="dxa"/>
            <w:vAlign w:val="center"/>
          </w:tcPr>
          <w:p w14:paraId="01411774">
            <w:pPr>
              <w:pStyle w:val="47"/>
              <w:rPr>
                <w:rFonts w:hint="default" w:ascii="Times New Roman" w:hAnsi="Times New Roman" w:eastAsia="仿宋_GB2312" w:cs="Times New Roman"/>
              </w:rPr>
            </w:pPr>
            <w:r>
              <w:rPr>
                <w:rFonts w:hint="default" w:ascii="Times New Roman" w:hAnsi="Times New Roman" w:eastAsia="仿宋_GB2312" w:cs="Times New Roman"/>
              </w:rPr>
              <w:t>检测项目</w:t>
            </w:r>
          </w:p>
        </w:tc>
        <w:tc>
          <w:tcPr>
            <w:tcW w:w="1385" w:type="dxa"/>
            <w:vAlign w:val="center"/>
          </w:tcPr>
          <w:p w14:paraId="3251B367">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技术要求 </w:t>
            </w:r>
          </w:p>
        </w:tc>
        <w:tc>
          <w:tcPr>
            <w:tcW w:w="2119" w:type="dxa"/>
            <w:vAlign w:val="center"/>
          </w:tcPr>
          <w:p w14:paraId="31A79D73">
            <w:pPr>
              <w:pStyle w:val="47"/>
              <w:rPr>
                <w:rFonts w:hint="default" w:ascii="Times New Roman" w:hAnsi="Times New Roman" w:eastAsia="仿宋_GB2312" w:cs="Times New Roman"/>
              </w:rPr>
            </w:pPr>
            <w:r>
              <w:rPr>
                <w:rFonts w:hint="default" w:ascii="Times New Roman" w:hAnsi="Times New Roman" w:eastAsia="仿宋_GB2312" w:cs="Times New Roman"/>
              </w:rPr>
              <w:t>试验方法</w:t>
            </w:r>
          </w:p>
        </w:tc>
      </w:tr>
      <w:tr w14:paraId="59B5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35" w:type="dxa"/>
            <w:vMerge w:val="restart"/>
            <w:vAlign w:val="center"/>
          </w:tcPr>
          <w:p w14:paraId="1062A3F7">
            <w:pPr>
              <w:pStyle w:val="47"/>
              <w:rPr>
                <w:rFonts w:hint="default" w:ascii="Times New Roman" w:hAnsi="Times New Roman" w:eastAsia="仿宋_GB2312" w:cs="Times New Roman"/>
              </w:rPr>
            </w:pPr>
            <w:r>
              <w:rPr>
                <w:rFonts w:hint="default" w:ascii="Times New Roman" w:hAnsi="Times New Roman" w:eastAsia="仿宋_GB2312" w:cs="Times New Roman"/>
                <w:lang w:val="en-US" w:eastAsia="zh-CN"/>
              </w:rPr>
              <w:t>油石分离</w:t>
            </w:r>
            <w:r>
              <w:rPr>
                <w:rFonts w:hint="default" w:ascii="Times New Roman" w:hAnsi="Times New Roman" w:eastAsia="仿宋_GB2312" w:cs="Times New Roman"/>
              </w:rPr>
              <w:t>后的 RAP</w:t>
            </w:r>
          </w:p>
        </w:tc>
        <w:tc>
          <w:tcPr>
            <w:tcW w:w="2138" w:type="dxa"/>
            <w:vMerge w:val="restart"/>
            <w:vAlign w:val="center"/>
          </w:tcPr>
          <w:p w14:paraId="387F6200">
            <w:pPr>
              <w:pStyle w:val="47"/>
              <w:rPr>
                <w:rFonts w:hint="default" w:ascii="Times New Roman" w:hAnsi="Times New Roman" w:eastAsia="仿宋_GB2312" w:cs="Times New Roman"/>
              </w:rPr>
            </w:pPr>
            <w:r>
              <w:rPr>
                <w:rFonts w:hint="default" w:ascii="Times New Roman" w:hAnsi="Times New Roman" w:eastAsia="仿宋_GB2312" w:cs="Times New Roman"/>
              </w:rPr>
              <w:t>RAP</w:t>
            </w:r>
          </w:p>
        </w:tc>
        <w:tc>
          <w:tcPr>
            <w:tcW w:w="2073" w:type="dxa"/>
            <w:vAlign w:val="center"/>
          </w:tcPr>
          <w:p w14:paraId="75B3ADDC">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含水率（%） </w:t>
            </w:r>
          </w:p>
        </w:tc>
        <w:tc>
          <w:tcPr>
            <w:tcW w:w="1385" w:type="dxa"/>
            <w:vAlign w:val="center"/>
          </w:tcPr>
          <w:p w14:paraId="5074F822">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≤3 </w:t>
            </w:r>
          </w:p>
        </w:tc>
        <w:tc>
          <w:tcPr>
            <w:tcW w:w="2119" w:type="dxa"/>
            <w:vMerge w:val="restart"/>
            <w:vAlign w:val="center"/>
          </w:tcPr>
          <w:p w14:paraId="6AD67FB9">
            <w:pPr>
              <w:pStyle w:val="47"/>
              <w:rPr>
                <w:rFonts w:hint="default" w:ascii="Times New Roman" w:hAnsi="Times New Roman" w:eastAsia="仿宋_GB2312" w:cs="Times New Roman"/>
              </w:rPr>
            </w:pPr>
            <w:r>
              <w:rPr>
                <w:rFonts w:hint="default" w:ascii="Times New Roman" w:hAnsi="Times New Roman" w:eastAsia="仿宋_GB2312" w:cs="Times New Roman"/>
              </w:rPr>
              <w:t>（JTGT 5521-2019）附录B</w:t>
            </w:r>
          </w:p>
        </w:tc>
      </w:tr>
      <w:tr w14:paraId="17C6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35" w:type="dxa"/>
            <w:vMerge w:val="continue"/>
            <w:vAlign w:val="center"/>
          </w:tcPr>
          <w:p w14:paraId="13D93F47">
            <w:pPr>
              <w:pStyle w:val="47"/>
              <w:rPr>
                <w:rFonts w:hint="default" w:ascii="Times New Roman" w:hAnsi="Times New Roman" w:eastAsia="仿宋_GB2312" w:cs="Times New Roman"/>
              </w:rPr>
            </w:pPr>
          </w:p>
        </w:tc>
        <w:tc>
          <w:tcPr>
            <w:tcW w:w="2138" w:type="dxa"/>
            <w:vMerge w:val="continue"/>
            <w:vAlign w:val="center"/>
          </w:tcPr>
          <w:p w14:paraId="47D553A5">
            <w:pPr>
              <w:pStyle w:val="47"/>
              <w:rPr>
                <w:rFonts w:hint="default" w:ascii="Times New Roman" w:hAnsi="Times New Roman" w:eastAsia="仿宋_GB2312" w:cs="Times New Roman"/>
              </w:rPr>
            </w:pPr>
          </w:p>
        </w:tc>
        <w:tc>
          <w:tcPr>
            <w:tcW w:w="2073" w:type="dxa"/>
            <w:vAlign w:val="center"/>
          </w:tcPr>
          <w:p w14:paraId="12793864">
            <w:pPr>
              <w:pStyle w:val="47"/>
              <w:rPr>
                <w:rFonts w:hint="default" w:ascii="Times New Roman" w:hAnsi="Times New Roman" w:eastAsia="仿宋_GB2312" w:cs="Times New Roman"/>
              </w:rPr>
            </w:pPr>
            <w:r>
              <w:rPr>
                <w:rFonts w:hint="default" w:ascii="Times New Roman" w:hAnsi="Times New Roman" w:eastAsia="仿宋_GB2312" w:cs="Times New Roman"/>
              </w:rPr>
              <w:t>最大颗粒粒径（mm）</w:t>
            </w:r>
          </w:p>
        </w:tc>
        <w:tc>
          <w:tcPr>
            <w:tcW w:w="1385" w:type="dxa"/>
            <w:vAlign w:val="center"/>
          </w:tcPr>
          <w:p w14:paraId="376B5987">
            <w:pPr>
              <w:pStyle w:val="47"/>
              <w:rPr>
                <w:rFonts w:hint="default" w:ascii="Times New Roman" w:hAnsi="Times New Roman" w:eastAsia="仿宋_GB2312" w:cs="Times New Roman"/>
              </w:rPr>
            </w:pPr>
            <w:r>
              <w:rPr>
                <w:rFonts w:hint="default" w:ascii="Times New Roman" w:hAnsi="Times New Roman" w:eastAsia="仿宋_GB2312" w:cs="Times New Roman"/>
              </w:rPr>
              <w:t>≤26.5</w:t>
            </w:r>
          </w:p>
        </w:tc>
        <w:tc>
          <w:tcPr>
            <w:tcW w:w="2119" w:type="dxa"/>
            <w:vMerge w:val="continue"/>
            <w:vAlign w:val="center"/>
          </w:tcPr>
          <w:p w14:paraId="718BE5C3">
            <w:pPr>
              <w:pStyle w:val="47"/>
              <w:rPr>
                <w:rFonts w:hint="default" w:ascii="Times New Roman" w:hAnsi="Times New Roman" w:eastAsia="仿宋_GB2312" w:cs="Times New Roman"/>
              </w:rPr>
            </w:pPr>
          </w:p>
        </w:tc>
      </w:tr>
      <w:tr w14:paraId="0182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35" w:type="dxa"/>
            <w:vMerge w:val="continue"/>
            <w:vAlign w:val="center"/>
          </w:tcPr>
          <w:p w14:paraId="109A7F89">
            <w:pPr>
              <w:pStyle w:val="47"/>
              <w:rPr>
                <w:rFonts w:hint="default" w:ascii="Times New Roman" w:hAnsi="Times New Roman" w:eastAsia="仿宋_GB2312" w:cs="Times New Roman"/>
              </w:rPr>
            </w:pPr>
          </w:p>
        </w:tc>
        <w:tc>
          <w:tcPr>
            <w:tcW w:w="2138" w:type="dxa"/>
            <w:vAlign w:val="center"/>
          </w:tcPr>
          <w:p w14:paraId="4976C8CB">
            <w:pPr>
              <w:pStyle w:val="47"/>
              <w:rPr>
                <w:rFonts w:hint="default" w:ascii="Times New Roman" w:hAnsi="Times New Roman" w:eastAsia="仿宋_GB2312" w:cs="Times New Roman"/>
              </w:rPr>
            </w:pPr>
            <w:r>
              <w:rPr>
                <w:rFonts w:hint="default" w:ascii="Times New Roman" w:hAnsi="Times New Roman" w:eastAsia="仿宋_GB2312" w:cs="Times New Roman"/>
              </w:rPr>
              <w:t>4.75mm以下的RAP</w:t>
            </w:r>
          </w:p>
        </w:tc>
        <w:tc>
          <w:tcPr>
            <w:tcW w:w="2073" w:type="dxa"/>
            <w:vAlign w:val="center"/>
          </w:tcPr>
          <w:p w14:paraId="6B17D4FA">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砂当量（%） </w:t>
            </w:r>
          </w:p>
        </w:tc>
        <w:tc>
          <w:tcPr>
            <w:tcW w:w="1385" w:type="dxa"/>
            <w:vAlign w:val="center"/>
          </w:tcPr>
          <w:p w14:paraId="69F337D9">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≥60 </w:t>
            </w:r>
          </w:p>
        </w:tc>
        <w:tc>
          <w:tcPr>
            <w:tcW w:w="2119" w:type="dxa"/>
            <w:vMerge w:val="continue"/>
            <w:vAlign w:val="center"/>
          </w:tcPr>
          <w:p w14:paraId="5B5AC0DE">
            <w:pPr>
              <w:pStyle w:val="47"/>
              <w:rPr>
                <w:rFonts w:hint="default" w:ascii="Times New Roman" w:hAnsi="Times New Roman" w:eastAsia="仿宋_GB2312" w:cs="Times New Roman"/>
              </w:rPr>
            </w:pPr>
          </w:p>
        </w:tc>
      </w:tr>
      <w:tr w14:paraId="4D8E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35" w:type="dxa"/>
            <w:vMerge w:val="continue"/>
            <w:vAlign w:val="center"/>
          </w:tcPr>
          <w:p w14:paraId="32571552">
            <w:pPr>
              <w:pStyle w:val="47"/>
              <w:rPr>
                <w:rFonts w:hint="default" w:ascii="Times New Roman" w:hAnsi="Times New Roman" w:eastAsia="仿宋_GB2312" w:cs="Times New Roman"/>
              </w:rPr>
            </w:pPr>
          </w:p>
        </w:tc>
        <w:tc>
          <w:tcPr>
            <w:tcW w:w="2138" w:type="dxa"/>
            <w:vMerge w:val="restart"/>
            <w:vAlign w:val="center"/>
          </w:tcPr>
          <w:p w14:paraId="4B464E5B">
            <w:pPr>
              <w:pStyle w:val="47"/>
              <w:rPr>
                <w:rFonts w:hint="default" w:ascii="Times New Roman" w:hAnsi="Times New Roman" w:eastAsia="仿宋_GB2312" w:cs="Times New Roman"/>
              </w:rPr>
            </w:pPr>
            <w:r>
              <w:rPr>
                <w:rFonts w:hint="default" w:ascii="Times New Roman" w:hAnsi="Times New Roman" w:eastAsia="仿宋_GB2312" w:cs="Times New Roman"/>
              </w:rPr>
              <w:t>RAP中的粗集</w:t>
            </w:r>
          </w:p>
          <w:p w14:paraId="6AFD8E4D">
            <w:pPr>
              <w:pStyle w:val="47"/>
              <w:rPr>
                <w:rFonts w:hint="default" w:ascii="Times New Roman" w:hAnsi="Times New Roman" w:eastAsia="仿宋_GB2312" w:cs="Times New Roman"/>
              </w:rPr>
            </w:pPr>
            <w:r>
              <w:rPr>
                <w:rFonts w:hint="default" w:ascii="Times New Roman" w:hAnsi="Times New Roman" w:eastAsia="仿宋_GB2312" w:cs="Times New Roman"/>
              </w:rPr>
              <w:t>料</w:t>
            </w:r>
          </w:p>
        </w:tc>
        <w:tc>
          <w:tcPr>
            <w:tcW w:w="2073" w:type="dxa"/>
            <w:vAlign w:val="center"/>
          </w:tcPr>
          <w:p w14:paraId="12257986">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针片状颗粒含量（%） </w:t>
            </w:r>
          </w:p>
        </w:tc>
        <w:tc>
          <w:tcPr>
            <w:tcW w:w="1385" w:type="dxa"/>
            <w:vAlign w:val="center"/>
          </w:tcPr>
          <w:p w14:paraId="0B6FD443">
            <w:pPr>
              <w:pStyle w:val="47"/>
              <w:rPr>
                <w:rFonts w:hint="default" w:ascii="Times New Roman" w:hAnsi="Times New Roman" w:eastAsia="仿宋_GB2312" w:cs="Times New Roman"/>
              </w:rPr>
            </w:pPr>
            <w:r>
              <w:rPr>
                <w:rFonts w:hint="default" w:ascii="Times New Roman" w:hAnsi="Times New Roman" w:eastAsia="仿宋_GB2312" w:cs="Times New Roman"/>
              </w:rPr>
              <w:t>≤15</w:t>
            </w:r>
          </w:p>
        </w:tc>
        <w:tc>
          <w:tcPr>
            <w:tcW w:w="2119" w:type="dxa"/>
            <w:vAlign w:val="center"/>
          </w:tcPr>
          <w:p w14:paraId="75E8BD5C">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T0312 </w:t>
            </w:r>
          </w:p>
        </w:tc>
      </w:tr>
      <w:tr w14:paraId="6018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35" w:type="dxa"/>
            <w:vMerge w:val="continue"/>
            <w:vAlign w:val="center"/>
          </w:tcPr>
          <w:p w14:paraId="07BF35D8">
            <w:pPr>
              <w:pStyle w:val="47"/>
              <w:rPr>
                <w:rFonts w:hint="default" w:ascii="Times New Roman" w:hAnsi="Times New Roman" w:eastAsia="仿宋_GB2312" w:cs="Times New Roman"/>
              </w:rPr>
            </w:pPr>
          </w:p>
        </w:tc>
        <w:tc>
          <w:tcPr>
            <w:tcW w:w="2138" w:type="dxa"/>
            <w:vMerge w:val="continue"/>
            <w:vAlign w:val="center"/>
          </w:tcPr>
          <w:p w14:paraId="3D31B0CC">
            <w:pPr>
              <w:pStyle w:val="47"/>
              <w:rPr>
                <w:rFonts w:hint="default" w:ascii="Times New Roman" w:hAnsi="Times New Roman" w:eastAsia="仿宋_GB2312" w:cs="Times New Roman"/>
              </w:rPr>
            </w:pPr>
          </w:p>
        </w:tc>
        <w:tc>
          <w:tcPr>
            <w:tcW w:w="2073" w:type="dxa"/>
            <w:vAlign w:val="center"/>
          </w:tcPr>
          <w:p w14:paraId="7C6CCA73">
            <w:pPr>
              <w:pStyle w:val="47"/>
              <w:rPr>
                <w:rFonts w:hint="default" w:ascii="Times New Roman" w:hAnsi="Times New Roman" w:eastAsia="仿宋_GB2312" w:cs="Times New Roman"/>
              </w:rPr>
            </w:pPr>
            <w:r>
              <w:rPr>
                <w:rFonts w:hint="default" w:ascii="Times New Roman" w:hAnsi="Times New Roman" w:eastAsia="仿宋_GB2312" w:cs="Times New Roman"/>
              </w:rPr>
              <w:t>最大颗粒粒径（mm）</w:t>
            </w:r>
          </w:p>
        </w:tc>
        <w:tc>
          <w:tcPr>
            <w:tcW w:w="1385" w:type="dxa"/>
            <w:vAlign w:val="center"/>
          </w:tcPr>
          <w:p w14:paraId="354D11A2">
            <w:pPr>
              <w:pStyle w:val="47"/>
              <w:rPr>
                <w:rFonts w:hint="default" w:ascii="Times New Roman" w:hAnsi="Times New Roman" w:eastAsia="仿宋_GB2312" w:cs="Times New Roman"/>
              </w:rPr>
            </w:pPr>
            <w:r>
              <w:rPr>
                <w:rFonts w:hint="default" w:ascii="Times New Roman" w:hAnsi="Times New Roman" w:eastAsia="仿宋_GB2312" w:cs="Times New Roman"/>
              </w:rPr>
              <w:t>≤设计级配允许的最</w:t>
            </w:r>
          </w:p>
          <w:p w14:paraId="37B929B0">
            <w:pPr>
              <w:pStyle w:val="47"/>
              <w:rPr>
                <w:rFonts w:hint="default" w:ascii="Times New Roman" w:hAnsi="Times New Roman" w:eastAsia="仿宋_GB2312" w:cs="Times New Roman"/>
              </w:rPr>
            </w:pPr>
            <w:r>
              <w:rPr>
                <w:rFonts w:hint="default" w:ascii="Times New Roman" w:hAnsi="Times New Roman" w:eastAsia="仿宋_GB2312" w:cs="Times New Roman"/>
              </w:rPr>
              <w:t>大粒径</w:t>
            </w:r>
          </w:p>
        </w:tc>
        <w:tc>
          <w:tcPr>
            <w:tcW w:w="2119" w:type="dxa"/>
            <w:vAlign w:val="center"/>
          </w:tcPr>
          <w:p w14:paraId="11724778">
            <w:pPr>
              <w:pStyle w:val="47"/>
              <w:rPr>
                <w:rFonts w:hint="default" w:ascii="Times New Roman" w:hAnsi="Times New Roman" w:eastAsia="仿宋_GB2312" w:cs="Times New Roman"/>
              </w:rPr>
            </w:pPr>
            <w:r>
              <w:rPr>
                <w:rFonts w:hint="default" w:ascii="Times New Roman" w:hAnsi="Times New Roman" w:eastAsia="仿宋_GB2312" w:cs="Times New Roman"/>
              </w:rPr>
              <w:t>（JTGT 5521-2019）附录B</w:t>
            </w:r>
          </w:p>
        </w:tc>
      </w:tr>
      <w:tr w14:paraId="335B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35" w:type="dxa"/>
            <w:vMerge w:val="continue"/>
            <w:vAlign w:val="center"/>
          </w:tcPr>
          <w:p w14:paraId="0A15EAE7">
            <w:pPr>
              <w:pStyle w:val="47"/>
              <w:rPr>
                <w:rFonts w:hint="default" w:ascii="Times New Roman" w:hAnsi="Times New Roman" w:eastAsia="仿宋_GB2312" w:cs="Times New Roman"/>
              </w:rPr>
            </w:pPr>
          </w:p>
        </w:tc>
        <w:tc>
          <w:tcPr>
            <w:tcW w:w="2138" w:type="dxa"/>
            <w:vAlign w:val="center"/>
          </w:tcPr>
          <w:p w14:paraId="40F2C921">
            <w:pPr>
              <w:pStyle w:val="47"/>
              <w:rPr>
                <w:rFonts w:hint="default" w:ascii="Times New Roman" w:hAnsi="Times New Roman" w:eastAsia="仿宋_GB2312" w:cs="Times New Roman"/>
              </w:rPr>
            </w:pPr>
            <w:r>
              <w:rPr>
                <w:rFonts w:hint="default" w:ascii="Times New Roman" w:hAnsi="Times New Roman" w:eastAsia="仿宋_GB2312" w:cs="Times New Roman"/>
              </w:rPr>
              <w:t>RAP中的沥青</w:t>
            </w:r>
          </w:p>
        </w:tc>
        <w:tc>
          <w:tcPr>
            <w:tcW w:w="2073" w:type="dxa"/>
            <w:vAlign w:val="center"/>
          </w:tcPr>
          <w:p w14:paraId="08768D98">
            <w:pPr>
              <w:pStyle w:val="47"/>
              <w:rPr>
                <w:rFonts w:hint="default" w:ascii="Times New Roman" w:hAnsi="Times New Roman" w:eastAsia="仿宋_GB2312" w:cs="Times New Roman"/>
              </w:rPr>
            </w:pPr>
            <w:r>
              <w:rPr>
                <w:rFonts w:hint="default" w:ascii="Times New Roman" w:hAnsi="Times New Roman" w:eastAsia="仿宋_GB2312" w:cs="Times New Roman"/>
              </w:rPr>
              <w:t>25℃针入度（0.1mm）</w:t>
            </w:r>
          </w:p>
        </w:tc>
        <w:tc>
          <w:tcPr>
            <w:tcW w:w="1385" w:type="dxa"/>
            <w:vAlign w:val="center"/>
          </w:tcPr>
          <w:p w14:paraId="4E09B3C6">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≥10 </w:t>
            </w:r>
          </w:p>
        </w:tc>
        <w:tc>
          <w:tcPr>
            <w:tcW w:w="2119" w:type="dxa"/>
            <w:vAlign w:val="center"/>
          </w:tcPr>
          <w:p w14:paraId="1227C934">
            <w:pPr>
              <w:pStyle w:val="47"/>
              <w:rPr>
                <w:rFonts w:hint="default" w:ascii="Times New Roman" w:hAnsi="Times New Roman" w:eastAsia="仿宋_GB2312" w:cs="Times New Roman"/>
              </w:rPr>
            </w:pPr>
            <w:r>
              <w:rPr>
                <w:rFonts w:hint="default" w:ascii="Times New Roman" w:hAnsi="Times New Roman" w:eastAsia="仿宋_GB2312" w:cs="Times New Roman"/>
              </w:rPr>
              <w:t>T0726 或 T0727 回收沥青，然后按</w:t>
            </w:r>
          </w:p>
          <w:p w14:paraId="75A38EAD">
            <w:pPr>
              <w:pStyle w:val="47"/>
              <w:rPr>
                <w:rFonts w:hint="default" w:ascii="Times New Roman" w:hAnsi="Times New Roman" w:eastAsia="仿宋_GB2312" w:cs="Times New Roman"/>
              </w:rPr>
            </w:pPr>
            <w:r>
              <w:rPr>
                <w:rFonts w:hint="default" w:ascii="Times New Roman" w:hAnsi="Times New Roman" w:eastAsia="仿宋_GB2312" w:cs="Times New Roman"/>
              </w:rPr>
              <w:t>T0604 试验</w:t>
            </w:r>
          </w:p>
        </w:tc>
      </w:tr>
      <w:bookmarkEnd w:id="85"/>
      <w:bookmarkEnd w:id="86"/>
      <w:bookmarkEnd w:id="87"/>
    </w:tbl>
    <w:p w14:paraId="53C9A4FB">
      <w:pPr>
        <w:rPr>
          <w:rFonts w:hint="default" w:ascii="Times New Roman" w:hAnsi="Times New Roman" w:eastAsia="仿宋_GB2312" w:cs="Times New Roman"/>
          <w:b/>
          <w:bCs/>
          <w:sz w:val="24"/>
        </w:rPr>
      </w:pPr>
      <w:bookmarkStart w:id="90" w:name="_Toc14481"/>
      <w:bookmarkStart w:id="91" w:name="_Toc28578"/>
      <w:bookmarkStart w:id="92" w:name="_Toc5124"/>
    </w:p>
    <w:p w14:paraId="155F8651">
      <w:pPr>
        <w:spacing w:line="360" w:lineRule="auto"/>
        <w:ind w:firstLine="482" w:firstLineChars="200"/>
        <w:outlineLvl w:val="1"/>
        <w:rPr>
          <w:rFonts w:hint="default" w:ascii="Times New Roman" w:hAnsi="Times New Roman" w:eastAsia="仿宋_GB2312" w:cs="Times New Roman"/>
          <w:b/>
          <w:bCs/>
          <w:sz w:val="24"/>
        </w:rPr>
      </w:pPr>
      <w:bookmarkStart w:id="93" w:name="_Toc17510"/>
      <w:bookmarkStart w:id="94" w:name="_Toc8551"/>
      <w:r>
        <w:rPr>
          <w:rFonts w:hint="default" w:ascii="Times New Roman" w:hAnsi="Times New Roman" w:eastAsia="仿宋_GB2312" w:cs="Times New Roman"/>
          <w:b/>
          <w:bCs/>
          <w:sz w:val="24"/>
          <w:lang w:val="en-US" w:eastAsia="zh-CN"/>
        </w:rPr>
        <w:t>7.5</w:t>
      </w:r>
      <w:r>
        <w:rPr>
          <w:rFonts w:hint="default" w:ascii="Times New Roman" w:hAnsi="Times New Roman" w:eastAsia="仿宋_GB2312" w:cs="Times New Roman"/>
          <w:b/>
          <w:bCs/>
          <w:sz w:val="24"/>
        </w:rPr>
        <w:t xml:space="preserve"> 再生改性剂</w:t>
      </w:r>
      <w:bookmarkEnd w:id="93"/>
      <w:bookmarkEnd w:id="94"/>
    </w:p>
    <w:p w14:paraId="748F915C">
      <w:pPr>
        <w:spacing w:before="156" w:beforeLines="5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7.5</w:t>
      </w:r>
      <w:r>
        <w:rPr>
          <w:rFonts w:hint="default" w:ascii="Times New Roman" w:hAnsi="Times New Roman" w:eastAsia="仿宋_GB2312" w:cs="Times New Roman"/>
          <w:sz w:val="24"/>
        </w:rPr>
        <w:t>.1 宜通过添加再生改性剂的方式提升再生沥青混合料的低温小梁弯曲性能</w:t>
      </w:r>
      <w:r>
        <w:rPr>
          <w:rFonts w:hint="default" w:ascii="Times New Roman" w:hAnsi="Times New Roman" w:eastAsia="仿宋_GB2312" w:cs="Times New Roman"/>
          <w:bCs/>
          <w:sz w:val="24"/>
        </w:rPr>
        <w:t>。</w:t>
      </w:r>
    </w:p>
    <w:p w14:paraId="0FC5466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7.5</w:t>
      </w:r>
      <w:r>
        <w:rPr>
          <w:rFonts w:hint="default" w:ascii="Times New Roman" w:hAnsi="Times New Roman" w:eastAsia="仿宋_GB2312" w:cs="Times New Roman"/>
          <w:sz w:val="24"/>
        </w:rPr>
        <w:t>.2 再生改性剂可通过湿法改性，应能快速熔于沥青，分散均匀，所制备的改性沥青具有高粘、高韧的特点；再生改性剂也可通过干法改性，应能直接添加到沥青混合料拌缸，所制备的沥青混合料具有优异的低温抗裂性、高温稳定性、抗老化性能及耐久性。</w:t>
      </w:r>
    </w:p>
    <w:p w14:paraId="256CD988">
      <w:pPr>
        <w:widowControl/>
        <w:adjustRightInd w:val="0"/>
        <w:snapToGrid w:val="0"/>
        <w:spacing w:line="360" w:lineRule="auto"/>
        <w:rPr>
          <w:rFonts w:hint="default" w:ascii="Times New Roman" w:hAnsi="Times New Roman" w:eastAsia="仿宋_GB2312" w:cs="Times New Roman"/>
          <w:b/>
          <w:kern w:val="0"/>
          <w:sz w:val="24"/>
          <w:szCs w:val="22"/>
        </w:rPr>
      </w:pPr>
      <w:r>
        <w:rPr>
          <w:rFonts w:hint="default" w:ascii="Times New Roman" w:hAnsi="Times New Roman" w:eastAsia="仿宋_GB2312" w:cs="Times New Roman"/>
          <w:b/>
          <w:kern w:val="0"/>
          <w:sz w:val="24"/>
          <w:szCs w:val="22"/>
        </w:rPr>
        <w:t>条文说明</w:t>
      </w:r>
    </w:p>
    <w:p w14:paraId="333D90B5">
      <w:pPr>
        <w:widowControl/>
        <w:adjustRightInd w:val="0"/>
        <w:snapToGrid w:val="0"/>
        <w:spacing w:line="360" w:lineRule="auto"/>
        <w:ind w:firstLine="480" w:firstLineChars="200"/>
        <w:rPr>
          <w:rFonts w:hint="default" w:ascii="Times New Roman" w:hAnsi="Times New Roman" w:eastAsia="仿宋_GB2312" w:cs="Times New Roman"/>
          <w:kern w:val="0"/>
          <w:sz w:val="24"/>
          <w:szCs w:val="22"/>
        </w:rPr>
      </w:pPr>
      <w:r>
        <w:rPr>
          <w:rFonts w:hint="default" w:ascii="Times New Roman" w:hAnsi="Times New Roman" w:eastAsia="仿宋_GB2312" w:cs="Times New Roman"/>
          <w:kern w:val="0"/>
          <w:sz w:val="24"/>
          <w:szCs w:val="22"/>
        </w:rPr>
        <w:t>沥青混合料低温小梁弯曲指标可在一定程度上表征混合料的低温抗裂性能和长期耐久性能，小梁弯曲指标越大，沥青混合料的低温抗裂和耐久性能越好。再生改性剂的添加可以很好的提高沥青混合料的低温抗裂和耐久性。再生改性剂添加量一般为SBS改性沥青的5%～12%，70号A级道路石油沥青质量的10%～20%，实际添加量应根据性能需求通过试验确定。再生改性剂物化特征如表</w:t>
      </w:r>
      <w:r>
        <w:rPr>
          <w:rFonts w:hint="default" w:ascii="Times New Roman" w:hAnsi="Times New Roman" w:eastAsia="仿宋_GB2312" w:cs="Times New Roman"/>
          <w:kern w:val="0"/>
          <w:sz w:val="24"/>
          <w:szCs w:val="22"/>
          <w:lang w:val="en-US" w:eastAsia="zh-CN"/>
        </w:rPr>
        <w:t>7.5</w:t>
      </w:r>
      <w:r>
        <w:rPr>
          <w:rFonts w:hint="default" w:ascii="Times New Roman" w:hAnsi="Times New Roman" w:eastAsia="仿宋_GB2312" w:cs="Times New Roman"/>
          <w:kern w:val="0"/>
          <w:sz w:val="24"/>
          <w:szCs w:val="22"/>
        </w:rPr>
        <w:t>-1所示。</w:t>
      </w:r>
    </w:p>
    <w:p w14:paraId="0ADFF233">
      <w:pPr>
        <w:tabs>
          <w:tab w:val="left" w:pos="142"/>
          <w:tab w:val="left" w:pos="426"/>
          <w:tab w:val="left" w:pos="709"/>
        </w:tabs>
        <w:topLinePunct/>
        <w:adjustRightInd w:val="0"/>
        <w:spacing w:line="360" w:lineRule="auto"/>
        <w:jc w:val="center"/>
        <w:rPr>
          <w:rFonts w:hint="default" w:ascii="Times New Roman" w:hAnsi="Times New Roman" w:eastAsia="仿宋_GB2312" w:cs="Times New Roman"/>
          <w:b/>
          <w:snapToGrid w:val="0"/>
          <w:spacing w:val="-2"/>
          <w:sz w:val="24"/>
        </w:rPr>
      </w:pPr>
      <w:r>
        <w:rPr>
          <w:rFonts w:hint="default" w:ascii="Times New Roman" w:hAnsi="Times New Roman" w:eastAsia="仿宋_GB2312" w:cs="Times New Roman"/>
          <w:b/>
          <w:snapToGrid w:val="0"/>
          <w:spacing w:val="-2"/>
          <w:sz w:val="24"/>
        </w:rPr>
        <w:t>表</w:t>
      </w:r>
      <w:r>
        <w:rPr>
          <w:rFonts w:hint="default" w:ascii="Times New Roman" w:hAnsi="Times New Roman" w:eastAsia="仿宋_GB2312" w:cs="Times New Roman"/>
          <w:b/>
          <w:snapToGrid w:val="0"/>
          <w:spacing w:val="-2"/>
          <w:sz w:val="24"/>
          <w:lang w:val="en-US" w:eastAsia="zh-CN"/>
        </w:rPr>
        <w:t>7.5</w:t>
      </w:r>
      <w:r>
        <w:rPr>
          <w:rFonts w:hint="default" w:ascii="Times New Roman" w:hAnsi="Times New Roman" w:eastAsia="仿宋_GB2312" w:cs="Times New Roman"/>
          <w:b/>
          <w:snapToGrid w:val="0"/>
          <w:spacing w:val="-2"/>
          <w:sz w:val="24"/>
        </w:rPr>
        <w:t xml:space="preserve">-1 </w:t>
      </w:r>
      <w:r>
        <w:rPr>
          <w:rFonts w:hint="default" w:ascii="Times New Roman" w:hAnsi="Times New Roman" w:eastAsia="仿宋_GB2312" w:cs="Times New Roman"/>
          <w:b/>
          <w:snapToGrid w:val="0"/>
          <w:spacing w:val="-2"/>
          <w:sz w:val="24"/>
          <w:lang w:val="en-US" w:eastAsia="zh-CN"/>
        </w:rPr>
        <w:t>再生</w:t>
      </w:r>
      <w:r>
        <w:rPr>
          <w:rFonts w:hint="default" w:ascii="Times New Roman" w:hAnsi="Times New Roman" w:eastAsia="仿宋_GB2312" w:cs="Times New Roman"/>
          <w:b/>
          <w:snapToGrid w:val="0"/>
          <w:spacing w:val="-2"/>
          <w:sz w:val="24"/>
        </w:rPr>
        <w:t>改性剂物化特征</w:t>
      </w:r>
    </w:p>
    <w:tbl>
      <w:tblPr>
        <w:tblStyle w:val="17"/>
        <w:tblW w:w="467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99"/>
        <w:tblLayout w:type="autofit"/>
        <w:tblCellMar>
          <w:top w:w="0" w:type="dxa"/>
          <w:left w:w="108" w:type="dxa"/>
          <w:bottom w:w="0" w:type="dxa"/>
          <w:right w:w="108" w:type="dxa"/>
        </w:tblCellMar>
      </w:tblPr>
      <w:tblGrid>
        <w:gridCol w:w="4240"/>
        <w:gridCol w:w="4756"/>
      </w:tblGrid>
      <w:tr w14:paraId="0ED6B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jc w:val="center"/>
        </w:trPr>
        <w:tc>
          <w:tcPr>
            <w:tcW w:w="23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0C5A5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检测项目</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7E0F1F">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技术指标</w:t>
            </w:r>
          </w:p>
        </w:tc>
      </w:tr>
      <w:tr w14:paraId="54DCC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99"/>
          <w:tblCellMar>
            <w:top w:w="0" w:type="dxa"/>
            <w:left w:w="108" w:type="dxa"/>
            <w:bottom w:w="0" w:type="dxa"/>
            <w:right w:w="108" w:type="dxa"/>
          </w:tblCellMar>
        </w:tblPrEx>
        <w:trPr>
          <w:trHeight w:val="407" w:hRule="atLeast"/>
          <w:jc w:val="center"/>
        </w:trPr>
        <w:tc>
          <w:tcPr>
            <w:tcW w:w="23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242AE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外观</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120DD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黄色，无结块</w:t>
            </w:r>
          </w:p>
        </w:tc>
      </w:tr>
      <w:tr w14:paraId="08810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99"/>
          <w:tblCellMar>
            <w:top w:w="0" w:type="dxa"/>
            <w:left w:w="108" w:type="dxa"/>
            <w:bottom w:w="0" w:type="dxa"/>
            <w:right w:w="108" w:type="dxa"/>
          </w:tblCellMar>
        </w:tblPrEx>
        <w:trPr>
          <w:trHeight w:val="393" w:hRule="atLeast"/>
          <w:jc w:val="center"/>
        </w:trPr>
        <w:tc>
          <w:tcPr>
            <w:tcW w:w="23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3CE01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密度（g/cm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FBBD8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w:t>
            </w:r>
          </w:p>
        </w:tc>
      </w:tr>
      <w:tr w14:paraId="46D0F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6" w:hRule="atLeast"/>
          <w:jc w:val="center"/>
        </w:trPr>
        <w:tc>
          <w:tcPr>
            <w:tcW w:w="23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8E4FF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含水率（%）</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FB25F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＜0.3</w:t>
            </w:r>
          </w:p>
        </w:tc>
      </w:tr>
      <w:tr w14:paraId="7ECEC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99"/>
          <w:tblCellMar>
            <w:top w:w="0" w:type="dxa"/>
            <w:left w:w="108" w:type="dxa"/>
            <w:bottom w:w="0" w:type="dxa"/>
            <w:right w:w="108" w:type="dxa"/>
          </w:tblCellMar>
        </w:tblPrEx>
        <w:trPr>
          <w:trHeight w:val="400" w:hRule="atLeast"/>
          <w:jc w:val="center"/>
        </w:trPr>
        <w:tc>
          <w:tcPr>
            <w:tcW w:w="235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A8AD0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灰分含量，%</w:t>
            </w:r>
          </w:p>
        </w:tc>
        <w:tc>
          <w:tcPr>
            <w:tcW w:w="26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6A315F">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＜4.0</w:t>
            </w:r>
          </w:p>
        </w:tc>
      </w:tr>
    </w:tbl>
    <w:p w14:paraId="617AC01B">
      <w:pPr>
        <w:rPr>
          <w:rFonts w:hint="default" w:ascii="Times New Roman" w:hAnsi="Times New Roman" w:eastAsia="仿宋_GB2312" w:cs="Times New Roman"/>
          <w:b/>
          <w:bCs/>
          <w:sz w:val="24"/>
        </w:rPr>
      </w:pPr>
    </w:p>
    <w:p w14:paraId="3DA31B1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kern w:val="0"/>
          <w:sz w:val="24"/>
          <w:szCs w:val="22"/>
        </w:rPr>
        <w:t>再生改性剂采用湿拌工艺时，将改性剂按比例直接加入到带搅拌装置的沥青储存罐中，保持在180℃～190℃的温度下持续搅拌、循环2～4小时，搅拌均匀后即成成品高粘高韧改性沥青，技术指标如表</w:t>
      </w:r>
      <w:r>
        <w:rPr>
          <w:rFonts w:hint="default" w:ascii="Times New Roman" w:hAnsi="Times New Roman" w:eastAsia="仿宋_GB2312" w:cs="Times New Roman"/>
          <w:kern w:val="0"/>
          <w:sz w:val="24"/>
          <w:szCs w:val="22"/>
          <w:lang w:val="en-US" w:eastAsia="zh-CN"/>
        </w:rPr>
        <w:t>7.5</w:t>
      </w:r>
      <w:r>
        <w:rPr>
          <w:rFonts w:hint="default" w:ascii="Times New Roman" w:hAnsi="Times New Roman" w:eastAsia="仿宋_GB2312" w:cs="Times New Roman"/>
          <w:kern w:val="0"/>
          <w:sz w:val="24"/>
          <w:szCs w:val="22"/>
        </w:rPr>
        <w:t>-2所示。采用干拌工艺时，热料不得低于170℃，先将改性剂直接投入拌缸内与集料进行干拌；然后加入热沥青继续搅拌，拌和时间与常规改性沥青混合料相同。</w:t>
      </w:r>
    </w:p>
    <w:p w14:paraId="2D79B487">
      <w:pPr>
        <w:tabs>
          <w:tab w:val="left" w:pos="142"/>
          <w:tab w:val="left" w:pos="426"/>
          <w:tab w:val="left" w:pos="709"/>
        </w:tabs>
        <w:topLinePunct/>
        <w:adjustRightInd w:val="0"/>
        <w:spacing w:line="360" w:lineRule="auto"/>
        <w:jc w:val="center"/>
        <w:rPr>
          <w:rFonts w:hint="default" w:ascii="Times New Roman" w:hAnsi="Times New Roman" w:eastAsia="仿宋_GB2312" w:cs="Times New Roman"/>
          <w:b/>
          <w:snapToGrid w:val="0"/>
          <w:spacing w:val="-2"/>
          <w:sz w:val="24"/>
        </w:rPr>
      </w:pPr>
      <w:r>
        <w:rPr>
          <w:rFonts w:hint="default" w:ascii="Times New Roman" w:hAnsi="Times New Roman" w:eastAsia="仿宋_GB2312" w:cs="Times New Roman"/>
          <w:b/>
          <w:snapToGrid w:val="0"/>
          <w:spacing w:val="-2"/>
          <w:sz w:val="24"/>
        </w:rPr>
        <w:t>表</w:t>
      </w:r>
      <w:r>
        <w:rPr>
          <w:rFonts w:hint="default" w:ascii="Times New Roman" w:hAnsi="Times New Roman" w:eastAsia="仿宋_GB2312" w:cs="Times New Roman"/>
          <w:b/>
          <w:snapToGrid w:val="0"/>
          <w:spacing w:val="-2"/>
          <w:sz w:val="24"/>
          <w:lang w:val="en-US" w:eastAsia="zh-CN"/>
        </w:rPr>
        <w:t>7.5</w:t>
      </w:r>
      <w:r>
        <w:rPr>
          <w:rFonts w:hint="default" w:ascii="Times New Roman" w:hAnsi="Times New Roman" w:eastAsia="仿宋_GB2312" w:cs="Times New Roman"/>
          <w:b/>
          <w:snapToGrid w:val="0"/>
          <w:spacing w:val="-2"/>
          <w:sz w:val="24"/>
        </w:rPr>
        <w:t>-2 高</w:t>
      </w:r>
      <w:r>
        <w:rPr>
          <w:rFonts w:hint="default" w:ascii="Times New Roman" w:hAnsi="Times New Roman" w:eastAsia="仿宋_GB2312" w:cs="Times New Roman"/>
          <w:b/>
          <w:snapToGrid w:val="0"/>
          <w:spacing w:val="-2"/>
          <w:sz w:val="24"/>
          <w:lang w:val="en-US" w:eastAsia="zh-CN"/>
        </w:rPr>
        <w:t>粘</w:t>
      </w:r>
      <w:r>
        <w:rPr>
          <w:rFonts w:hint="default" w:ascii="Times New Roman" w:hAnsi="Times New Roman" w:eastAsia="仿宋_GB2312" w:cs="Times New Roman"/>
          <w:b/>
          <w:snapToGrid w:val="0"/>
          <w:spacing w:val="-2"/>
          <w:sz w:val="24"/>
        </w:rPr>
        <w:t>高韧改性沥青技术指标</w:t>
      </w:r>
    </w:p>
    <w:tbl>
      <w:tblPr>
        <w:tblStyle w:val="17"/>
        <w:tblW w:w="4755"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99"/>
        <w:tblLayout w:type="autofit"/>
        <w:tblCellMar>
          <w:top w:w="0" w:type="dxa"/>
          <w:left w:w="108" w:type="dxa"/>
          <w:bottom w:w="0" w:type="dxa"/>
          <w:right w:w="108" w:type="dxa"/>
        </w:tblCellMar>
      </w:tblPr>
      <w:tblGrid>
        <w:gridCol w:w="4354"/>
        <w:gridCol w:w="4802"/>
      </w:tblGrid>
      <w:tr w14:paraId="40EAF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atLeast"/>
          <w:jc w:val="center"/>
        </w:trPr>
        <w:tc>
          <w:tcPr>
            <w:tcW w:w="2377"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6287044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检测项目</w:t>
            </w:r>
          </w:p>
        </w:tc>
        <w:tc>
          <w:tcPr>
            <w:tcW w:w="26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2572122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技术指标</w:t>
            </w:r>
          </w:p>
        </w:tc>
      </w:tr>
      <w:tr w14:paraId="5D3DF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jc w:val="center"/>
        </w:trPr>
        <w:tc>
          <w:tcPr>
            <w:tcW w:w="2377"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2F422250">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软化点（℃）</w:t>
            </w:r>
          </w:p>
        </w:tc>
        <w:tc>
          <w:tcPr>
            <w:tcW w:w="26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4AC54F7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≥82</w:t>
            </w:r>
          </w:p>
        </w:tc>
      </w:tr>
      <w:tr w14:paraId="059E0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99"/>
          <w:tblCellMar>
            <w:top w:w="0" w:type="dxa"/>
            <w:left w:w="108" w:type="dxa"/>
            <w:bottom w:w="0" w:type="dxa"/>
            <w:right w:w="108" w:type="dxa"/>
          </w:tblCellMar>
        </w:tblPrEx>
        <w:trPr>
          <w:trHeight w:val="384" w:hRule="atLeast"/>
          <w:jc w:val="center"/>
        </w:trPr>
        <w:tc>
          <w:tcPr>
            <w:tcW w:w="2377"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32BEA96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针入度/25℃（0.1mm）</w:t>
            </w:r>
          </w:p>
        </w:tc>
        <w:tc>
          <w:tcPr>
            <w:tcW w:w="26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56BAEB4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≥40</w:t>
            </w:r>
          </w:p>
        </w:tc>
      </w:tr>
      <w:tr w14:paraId="6C9DF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4" w:hRule="atLeast"/>
          <w:jc w:val="center"/>
        </w:trPr>
        <w:tc>
          <w:tcPr>
            <w:tcW w:w="2377"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1ADB66C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延度/5℃（cm）</w:t>
            </w:r>
          </w:p>
        </w:tc>
        <w:tc>
          <w:tcPr>
            <w:tcW w:w="26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56C1946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≥42</w:t>
            </w:r>
          </w:p>
        </w:tc>
      </w:tr>
      <w:tr w14:paraId="31094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99"/>
          <w:tblCellMar>
            <w:top w:w="0" w:type="dxa"/>
            <w:left w:w="108" w:type="dxa"/>
            <w:bottom w:w="0" w:type="dxa"/>
            <w:right w:w="108" w:type="dxa"/>
          </w:tblCellMar>
        </w:tblPrEx>
        <w:trPr>
          <w:trHeight w:val="384" w:hRule="atLeast"/>
          <w:jc w:val="center"/>
        </w:trPr>
        <w:tc>
          <w:tcPr>
            <w:tcW w:w="2377"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0FFDD5B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60℃旋转粘度（Pa•s）</w:t>
            </w:r>
          </w:p>
        </w:tc>
        <w:tc>
          <w:tcPr>
            <w:tcW w:w="26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16E47F2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≥120000</w:t>
            </w:r>
          </w:p>
        </w:tc>
      </w:tr>
      <w:tr w14:paraId="52856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8" w:hRule="atLeast"/>
          <w:jc w:val="center"/>
        </w:trPr>
        <w:tc>
          <w:tcPr>
            <w:tcW w:w="2377"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71F935D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弹性恢复（%）</w:t>
            </w:r>
          </w:p>
        </w:tc>
        <w:tc>
          <w:tcPr>
            <w:tcW w:w="26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064FB661">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≥97</w:t>
            </w:r>
          </w:p>
        </w:tc>
      </w:tr>
      <w:tr w14:paraId="5B154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8" w:hRule="atLeast"/>
          <w:jc w:val="center"/>
        </w:trPr>
        <w:tc>
          <w:tcPr>
            <w:tcW w:w="2377"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769E36E7">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黏韧性（N•m）</w:t>
            </w:r>
          </w:p>
        </w:tc>
        <w:tc>
          <w:tcPr>
            <w:tcW w:w="26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132B2FEA">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≥25</w:t>
            </w:r>
          </w:p>
        </w:tc>
      </w:tr>
      <w:tr w14:paraId="52BF7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 w:hRule="atLeast"/>
          <w:jc w:val="center"/>
        </w:trPr>
        <w:tc>
          <w:tcPr>
            <w:tcW w:w="2377"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4869E28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韧性（N•m）</w:t>
            </w:r>
          </w:p>
        </w:tc>
        <w:tc>
          <w:tcPr>
            <w:tcW w:w="26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14:paraId="1356FBB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r>
    </w:tbl>
    <w:p w14:paraId="5F6D6B66">
      <w:pPr>
        <w:rPr>
          <w:rFonts w:hint="default" w:ascii="Times New Roman" w:hAnsi="Times New Roman" w:eastAsia="仿宋_GB2312" w:cs="Times New Roman"/>
          <w:b/>
          <w:bCs/>
          <w:sz w:val="24"/>
        </w:rPr>
      </w:pPr>
    </w:p>
    <w:p w14:paraId="4FA182DA">
      <w:pPr>
        <w:spacing w:line="360" w:lineRule="auto"/>
        <w:ind w:firstLine="482" w:firstLineChars="200"/>
        <w:outlineLvl w:val="1"/>
        <w:rPr>
          <w:rFonts w:hint="default" w:ascii="Times New Roman" w:hAnsi="Times New Roman" w:eastAsia="仿宋_GB2312" w:cs="Times New Roman"/>
          <w:b/>
          <w:bCs/>
          <w:sz w:val="24"/>
        </w:rPr>
      </w:pPr>
      <w:bookmarkStart w:id="95" w:name="_Toc1933"/>
      <w:bookmarkStart w:id="96" w:name="_Toc8144"/>
      <w:r>
        <w:rPr>
          <w:rFonts w:hint="default" w:ascii="Times New Roman" w:hAnsi="Times New Roman" w:eastAsia="仿宋_GB2312" w:cs="Times New Roman"/>
          <w:b/>
          <w:bCs/>
          <w:sz w:val="24"/>
          <w:lang w:val="en-US" w:eastAsia="zh-CN"/>
        </w:rPr>
        <w:t>7.6</w:t>
      </w:r>
      <w:r>
        <w:rPr>
          <w:rFonts w:hint="default" w:ascii="Times New Roman" w:hAnsi="Times New Roman" w:eastAsia="仿宋_GB2312" w:cs="Times New Roman"/>
          <w:b/>
          <w:bCs/>
          <w:sz w:val="24"/>
        </w:rPr>
        <w:t xml:space="preserve"> 沥青再生剂</w:t>
      </w:r>
      <w:bookmarkEnd w:id="95"/>
      <w:bookmarkEnd w:id="96"/>
    </w:p>
    <w:p w14:paraId="4BE08861">
      <w:pPr>
        <w:spacing w:before="156" w:beforeLines="50" w:after="156" w:afterLines="5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沥青再生剂技术指标应满足表</w:t>
      </w:r>
      <w:r>
        <w:rPr>
          <w:rFonts w:hint="default" w:ascii="Times New Roman" w:hAnsi="Times New Roman" w:eastAsia="仿宋_GB2312" w:cs="Times New Roman"/>
          <w:sz w:val="24"/>
          <w:lang w:val="en-US" w:eastAsia="zh-CN"/>
        </w:rPr>
        <w:t>7.6</w:t>
      </w:r>
      <w:r>
        <w:rPr>
          <w:rFonts w:hint="default" w:ascii="Times New Roman" w:hAnsi="Times New Roman" w:eastAsia="仿宋_GB2312" w:cs="Times New Roman"/>
          <w:sz w:val="24"/>
        </w:rPr>
        <w:t>-1的要求。</w:t>
      </w:r>
    </w:p>
    <w:p w14:paraId="3B63C72A">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表</w:t>
      </w:r>
      <w:r>
        <w:rPr>
          <w:rFonts w:hint="default" w:ascii="Times New Roman" w:hAnsi="Times New Roman" w:eastAsia="仿宋_GB2312" w:cs="Times New Roman"/>
          <w:b/>
          <w:bCs/>
          <w:sz w:val="24"/>
          <w:lang w:val="en-US" w:eastAsia="zh-CN"/>
        </w:rPr>
        <w:t>7.6</w:t>
      </w:r>
      <w:r>
        <w:rPr>
          <w:rFonts w:hint="default" w:ascii="Times New Roman" w:hAnsi="Times New Roman" w:eastAsia="仿宋_GB2312" w:cs="Times New Roman"/>
          <w:b/>
          <w:bCs/>
          <w:sz w:val="24"/>
        </w:rPr>
        <w:t>-1 热拌沥青混合料再生剂质量要求</w:t>
      </w:r>
    </w:p>
    <w:tbl>
      <w:tblPr>
        <w:tblStyle w:val="17"/>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950"/>
        <w:gridCol w:w="1037"/>
        <w:gridCol w:w="1100"/>
        <w:gridCol w:w="1300"/>
        <w:gridCol w:w="1435"/>
        <w:gridCol w:w="1487"/>
      </w:tblGrid>
      <w:tr w14:paraId="2069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50" w:type="dxa"/>
            <w:vAlign w:val="center"/>
          </w:tcPr>
          <w:p w14:paraId="76C3067E">
            <w:pPr>
              <w:pStyle w:val="47"/>
              <w:rPr>
                <w:rFonts w:hint="default" w:ascii="Times New Roman" w:hAnsi="Times New Roman" w:eastAsia="仿宋_GB2312" w:cs="Times New Roman"/>
              </w:rPr>
            </w:pPr>
            <w:r>
              <w:rPr>
                <w:rFonts w:hint="default" w:ascii="Times New Roman" w:hAnsi="Times New Roman" w:eastAsia="仿宋_GB2312" w:cs="Times New Roman"/>
              </w:rPr>
              <w:t>检验项目</w:t>
            </w:r>
          </w:p>
        </w:tc>
        <w:tc>
          <w:tcPr>
            <w:tcW w:w="950" w:type="dxa"/>
            <w:vAlign w:val="center"/>
          </w:tcPr>
          <w:p w14:paraId="4FCC0F69">
            <w:pPr>
              <w:pStyle w:val="47"/>
              <w:rPr>
                <w:rFonts w:hint="default" w:ascii="Times New Roman" w:hAnsi="Times New Roman" w:eastAsia="仿宋_GB2312" w:cs="Times New Roman"/>
              </w:rPr>
            </w:pPr>
            <w:r>
              <w:rPr>
                <w:rFonts w:hint="default" w:ascii="Times New Roman" w:hAnsi="Times New Roman" w:eastAsia="仿宋_GB2312" w:cs="Times New Roman"/>
              </w:rPr>
              <w:t>RA-1</w:t>
            </w:r>
          </w:p>
        </w:tc>
        <w:tc>
          <w:tcPr>
            <w:tcW w:w="1037" w:type="dxa"/>
            <w:vAlign w:val="center"/>
          </w:tcPr>
          <w:p w14:paraId="63946D0B">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RA-5 </w:t>
            </w:r>
          </w:p>
        </w:tc>
        <w:tc>
          <w:tcPr>
            <w:tcW w:w="1100" w:type="dxa"/>
            <w:vAlign w:val="center"/>
          </w:tcPr>
          <w:p w14:paraId="104CF9F7">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RA-25 </w:t>
            </w:r>
          </w:p>
        </w:tc>
        <w:tc>
          <w:tcPr>
            <w:tcW w:w="1300" w:type="dxa"/>
            <w:vAlign w:val="center"/>
          </w:tcPr>
          <w:p w14:paraId="274BF07B">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RA-75 </w:t>
            </w:r>
          </w:p>
        </w:tc>
        <w:tc>
          <w:tcPr>
            <w:tcW w:w="1435" w:type="dxa"/>
            <w:vAlign w:val="center"/>
          </w:tcPr>
          <w:p w14:paraId="7D7493C0">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RA-250 </w:t>
            </w:r>
          </w:p>
        </w:tc>
        <w:tc>
          <w:tcPr>
            <w:tcW w:w="1487" w:type="dxa"/>
            <w:vAlign w:val="center"/>
          </w:tcPr>
          <w:p w14:paraId="21C8BFB4">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RA-500 </w:t>
            </w:r>
          </w:p>
        </w:tc>
      </w:tr>
      <w:tr w14:paraId="2949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50" w:type="dxa"/>
            <w:vAlign w:val="center"/>
          </w:tcPr>
          <w:p w14:paraId="32049A3D">
            <w:pPr>
              <w:pStyle w:val="47"/>
              <w:rPr>
                <w:rFonts w:hint="default" w:ascii="Times New Roman" w:hAnsi="Times New Roman" w:eastAsia="仿宋_GB2312" w:cs="Times New Roman"/>
              </w:rPr>
            </w:pPr>
            <w:r>
              <w:rPr>
                <w:rFonts w:hint="default" w:ascii="Times New Roman" w:hAnsi="Times New Roman" w:eastAsia="仿宋_GB2312" w:cs="Times New Roman"/>
              </w:rPr>
              <w:t>60℃粘度( cSt)</w:t>
            </w:r>
          </w:p>
        </w:tc>
        <w:tc>
          <w:tcPr>
            <w:tcW w:w="950" w:type="dxa"/>
            <w:vAlign w:val="center"/>
          </w:tcPr>
          <w:p w14:paraId="47D59C36">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50~175 </w:t>
            </w:r>
          </w:p>
        </w:tc>
        <w:tc>
          <w:tcPr>
            <w:tcW w:w="1037" w:type="dxa"/>
            <w:vAlign w:val="center"/>
          </w:tcPr>
          <w:p w14:paraId="4969BD67">
            <w:pPr>
              <w:pStyle w:val="47"/>
              <w:rPr>
                <w:rFonts w:hint="default" w:ascii="Times New Roman" w:hAnsi="Times New Roman" w:eastAsia="仿宋_GB2312" w:cs="Times New Roman"/>
              </w:rPr>
            </w:pPr>
            <w:r>
              <w:rPr>
                <w:rFonts w:hint="default" w:ascii="Times New Roman" w:hAnsi="Times New Roman" w:eastAsia="仿宋_GB2312" w:cs="Times New Roman"/>
              </w:rPr>
              <w:t>176~900</w:t>
            </w:r>
          </w:p>
        </w:tc>
        <w:tc>
          <w:tcPr>
            <w:tcW w:w="1100" w:type="dxa"/>
            <w:vAlign w:val="center"/>
          </w:tcPr>
          <w:p w14:paraId="2502DD86">
            <w:pPr>
              <w:pStyle w:val="47"/>
              <w:rPr>
                <w:rFonts w:hint="default" w:ascii="Times New Roman" w:hAnsi="Times New Roman" w:eastAsia="仿宋_GB2312" w:cs="Times New Roman"/>
              </w:rPr>
            </w:pPr>
            <w:r>
              <w:rPr>
                <w:rFonts w:hint="default" w:ascii="Times New Roman" w:hAnsi="Times New Roman" w:eastAsia="仿宋_GB2312" w:cs="Times New Roman"/>
              </w:rPr>
              <w:t>901~4500</w:t>
            </w:r>
          </w:p>
        </w:tc>
        <w:tc>
          <w:tcPr>
            <w:tcW w:w="1300" w:type="dxa"/>
            <w:vAlign w:val="center"/>
          </w:tcPr>
          <w:p w14:paraId="31D94D97">
            <w:pPr>
              <w:pStyle w:val="47"/>
              <w:rPr>
                <w:rFonts w:hint="default" w:ascii="Times New Roman" w:hAnsi="Times New Roman" w:eastAsia="仿宋_GB2312" w:cs="Times New Roman"/>
              </w:rPr>
            </w:pPr>
            <w:r>
              <w:rPr>
                <w:rFonts w:hint="default" w:ascii="Times New Roman" w:hAnsi="Times New Roman" w:eastAsia="仿宋_GB2312" w:cs="Times New Roman"/>
              </w:rPr>
              <w:t>4501~12500</w:t>
            </w:r>
          </w:p>
        </w:tc>
        <w:tc>
          <w:tcPr>
            <w:tcW w:w="1435" w:type="dxa"/>
            <w:vAlign w:val="center"/>
          </w:tcPr>
          <w:p w14:paraId="2A47A48D">
            <w:pPr>
              <w:pStyle w:val="47"/>
              <w:rPr>
                <w:rFonts w:hint="default" w:ascii="Times New Roman" w:hAnsi="Times New Roman" w:eastAsia="仿宋_GB2312" w:cs="Times New Roman"/>
              </w:rPr>
            </w:pPr>
            <w:r>
              <w:rPr>
                <w:rFonts w:hint="default" w:ascii="Times New Roman" w:hAnsi="Times New Roman" w:eastAsia="仿宋_GB2312" w:cs="Times New Roman"/>
              </w:rPr>
              <w:t>12501~37500</w:t>
            </w:r>
          </w:p>
        </w:tc>
        <w:tc>
          <w:tcPr>
            <w:tcW w:w="1487" w:type="dxa"/>
            <w:vAlign w:val="center"/>
          </w:tcPr>
          <w:p w14:paraId="749AD6CE">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37501~60000 </w:t>
            </w:r>
          </w:p>
        </w:tc>
      </w:tr>
      <w:tr w14:paraId="6208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50" w:type="dxa"/>
            <w:vAlign w:val="center"/>
          </w:tcPr>
          <w:p w14:paraId="31E1C82C">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闪点（℃） </w:t>
            </w:r>
          </w:p>
        </w:tc>
        <w:tc>
          <w:tcPr>
            <w:tcW w:w="7309" w:type="dxa"/>
            <w:gridSpan w:val="6"/>
            <w:vAlign w:val="center"/>
          </w:tcPr>
          <w:p w14:paraId="131CA6BB">
            <w:pPr>
              <w:jc w:val="center"/>
              <w:rPr>
                <w:rFonts w:hint="default" w:ascii="Times New Roman" w:hAnsi="Times New Roman" w:eastAsia="仿宋_GB2312" w:cs="Times New Roman"/>
              </w:rPr>
            </w:pPr>
            <w:r>
              <w:rPr>
                <w:rFonts w:hint="default" w:ascii="Times New Roman" w:hAnsi="Times New Roman" w:eastAsia="仿宋_GB2312" w:cs="Times New Roman"/>
              </w:rPr>
              <w:t>≥220</w:t>
            </w:r>
          </w:p>
        </w:tc>
      </w:tr>
      <w:tr w14:paraId="4F55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50" w:type="dxa"/>
            <w:vAlign w:val="center"/>
          </w:tcPr>
          <w:p w14:paraId="4FE73388">
            <w:pPr>
              <w:pStyle w:val="47"/>
              <w:rPr>
                <w:rFonts w:hint="default" w:ascii="Times New Roman" w:hAnsi="Times New Roman" w:eastAsia="仿宋_GB2312" w:cs="Times New Roman"/>
              </w:rPr>
            </w:pPr>
            <w:r>
              <w:rPr>
                <w:rFonts w:hint="default" w:ascii="Times New Roman" w:hAnsi="Times New Roman" w:eastAsia="仿宋_GB2312" w:cs="Times New Roman"/>
              </w:rPr>
              <w:t>饱和分含量（%）</w:t>
            </w:r>
          </w:p>
        </w:tc>
        <w:tc>
          <w:tcPr>
            <w:tcW w:w="7309" w:type="dxa"/>
            <w:gridSpan w:val="6"/>
            <w:vAlign w:val="center"/>
          </w:tcPr>
          <w:p w14:paraId="6E1AD93C">
            <w:pPr>
              <w:jc w:val="center"/>
              <w:rPr>
                <w:rFonts w:hint="default" w:ascii="Times New Roman" w:hAnsi="Times New Roman" w:eastAsia="仿宋_GB2312" w:cs="Times New Roman"/>
              </w:rPr>
            </w:pPr>
            <w:r>
              <w:rPr>
                <w:rFonts w:hint="default" w:ascii="Times New Roman" w:hAnsi="Times New Roman" w:eastAsia="仿宋_GB2312" w:cs="Times New Roman"/>
              </w:rPr>
              <w:t xml:space="preserve">≤30 </w:t>
            </w:r>
          </w:p>
        </w:tc>
      </w:tr>
      <w:tr w14:paraId="1F82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50" w:type="dxa"/>
            <w:vAlign w:val="center"/>
          </w:tcPr>
          <w:p w14:paraId="7BE70363">
            <w:pPr>
              <w:pStyle w:val="47"/>
              <w:rPr>
                <w:rFonts w:hint="default" w:ascii="Times New Roman" w:hAnsi="Times New Roman" w:eastAsia="仿宋_GB2312" w:cs="Times New Roman"/>
              </w:rPr>
            </w:pPr>
            <w:r>
              <w:rPr>
                <w:rFonts w:hint="default" w:ascii="Times New Roman" w:hAnsi="Times New Roman" w:eastAsia="仿宋_GB2312" w:cs="Times New Roman"/>
              </w:rPr>
              <w:t>薄膜烘箱试验前后粘度比</w:t>
            </w:r>
          </w:p>
        </w:tc>
        <w:tc>
          <w:tcPr>
            <w:tcW w:w="7309" w:type="dxa"/>
            <w:gridSpan w:val="6"/>
            <w:vAlign w:val="center"/>
          </w:tcPr>
          <w:p w14:paraId="0666BC4F">
            <w:pPr>
              <w:pStyle w:val="47"/>
              <w:rPr>
                <w:rFonts w:hint="default" w:ascii="Times New Roman" w:hAnsi="Times New Roman" w:eastAsia="仿宋_GB2312" w:cs="Times New Roman"/>
              </w:rPr>
            </w:pPr>
            <w:r>
              <w:rPr>
                <w:rFonts w:hint="default" w:ascii="Times New Roman" w:hAnsi="Times New Roman" w:eastAsia="仿宋_GB2312" w:cs="Times New Roman"/>
              </w:rPr>
              <w:t>≤3</w:t>
            </w:r>
          </w:p>
        </w:tc>
      </w:tr>
      <w:tr w14:paraId="4BBF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950" w:type="dxa"/>
            <w:vAlign w:val="center"/>
          </w:tcPr>
          <w:p w14:paraId="6B3F75B0">
            <w:pPr>
              <w:pStyle w:val="47"/>
              <w:rPr>
                <w:rFonts w:hint="default" w:ascii="Times New Roman" w:hAnsi="Times New Roman" w:eastAsia="仿宋_GB2312" w:cs="Times New Roman"/>
              </w:rPr>
            </w:pPr>
            <w:r>
              <w:rPr>
                <w:rFonts w:hint="default" w:ascii="Times New Roman" w:hAnsi="Times New Roman" w:eastAsia="仿宋_GB2312" w:cs="Times New Roman"/>
              </w:rPr>
              <w:t>薄膜烘箱试验前后质量损失（%）</w:t>
            </w:r>
          </w:p>
        </w:tc>
        <w:tc>
          <w:tcPr>
            <w:tcW w:w="1987" w:type="dxa"/>
            <w:gridSpan w:val="2"/>
            <w:vAlign w:val="center"/>
          </w:tcPr>
          <w:p w14:paraId="50C29C77">
            <w:pPr>
              <w:pStyle w:val="47"/>
              <w:rPr>
                <w:rFonts w:hint="default" w:ascii="Times New Roman" w:hAnsi="Times New Roman" w:eastAsia="仿宋_GB2312" w:cs="Times New Roman"/>
              </w:rPr>
            </w:pPr>
            <w:r>
              <w:rPr>
                <w:rFonts w:hint="default" w:ascii="Times New Roman" w:hAnsi="Times New Roman" w:eastAsia="仿宋_GB2312" w:cs="Times New Roman"/>
              </w:rPr>
              <w:t>±4</w:t>
            </w:r>
          </w:p>
        </w:tc>
        <w:tc>
          <w:tcPr>
            <w:tcW w:w="5322" w:type="dxa"/>
            <w:gridSpan w:val="4"/>
            <w:vAlign w:val="center"/>
          </w:tcPr>
          <w:p w14:paraId="2418B807">
            <w:pPr>
              <w:pStyle w:val="47"/>
              <w:rPr>
                <w:rFonts w:hint="default" w:ascii="Times New Roman" w:hAnsi="Times New Roman" w:eastAsia="仿宋_GB2312" w:cs="Times New Roman"/>
              </w:rPr>
            </w:pPr>
            <w:r>
              <w:rPr>
                <w:rFonts w:hint="default" w:ascii="Times New Roman" w:hAnsi="Times New Roman" w:eastAsia="仿宋_GB2312" w:cs="Times New Roman"/>
              </w:rPr>
              <w:t>±3</w:t>
            </w:r>
          </w:p>
        </w:tc>
      </w:tr>
    </w:tbl>
    <w:p w14:paraId="3ED00050">
      <w:pP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br w:type="page"/>
      </w:r>
    </w:p>
    <w:bookmarkEnd w:id="90"/>
    <w:bookmarkEnd w:id="91"/>
    <w:bookmarkEnd w:id="92"/>
    <w:p w14:paraId="7591BB6F">
      <w:pPr>
        <w:numPr>
          <w:ilvl w:val="0"/>
          <w:numId w:val="2"/>
        </w:numPr>
        <w:spacing w:line="360" w:lineRule="auto"/>
        <w:ind w:firstLine="0"/>
        <w:outlineLvl w:val="0"/>
        <w:rPr>
          <w:rFonts w:hint="default" w:ascii="Times New Roman" w:hAnsi="Times New Roman" w:eastAsia="仿宋_GB2312" w:cs="Times New Roman"/>
          <w:b/>
          <w:bCs/>
          <w:sz w:val="32"/>
          <w:szCs w:val="22"/>
          <w:lang w:val="en-US" w:eastAsia="zh-CN"/>
        </w:rPr>
      </w:pPr>
      <w:bookmarkStart w:id="97" w:name="_Toc7944"/>
      <w:bookmarkStart w:id="98" w:name="_Toc26338"/>
      <w:bookmarkStart w:id="99" w:name="_Toc20338"/>
      <w:bookmarkStart w:id="100" w:name="_Toc18474"/>
      <w:bookmarkStart w:id="101" w:name="_Toc2237"/>
      <w:r>
        <w:rPr>
          <w:rFonts w:hint="default" w:ascii="Times New Roman" w:hAnsi="Times New Roman" w:eastAsia="仿宋_GB2312" w:cs="Times New Roman"/>
          <w:b/>
          <w:bCs/>
          <w:sz w:val="32"/>
          <w:szCs w:val="22"/>
          <w:lang w:val="en-US" w:eastAsia="zh-CN"/>
        </w:rPr>
        <w:t>再生沥青混合料</w:t>
      </w:r>
      <w:bookmarkEnd w:id="97"/>
      <w:bookmarkEnd w:id="98"/>
      <w:bookmarkEnd w:id="99"/>
      <w:bookmarkEnd w:id="100"/>
      <w:r>
        <w:rPr>
          <w:rFonts w:hint="default" w:ascii="Times New Roman" w:hAnsi="Times New Roman" w:eastAsia="仿宋_GB2312" w:cs="Times New Roman"/>
          <w:b/>
          <w:bCs/>
          <w:sz w:val="32"/>
          <w:szCs w:val="22"/>
          <w:lang w:val="en-US" w:eastAsia="zh-CN"/>
        </w:rPr>
        <w:t>组成设计</w:t>
      </w:r>
      <w:bookmarkEnd w:id="101"/>
    </w:p>
    <w:p w14:paraId="36F3E7A8">
      <w:pPr>
        <w:spacing w:line="360" w:lineRule="auto"/>
        <w:outlineLvl w:val="1"/>
        <w:rPr>
          <w:rFonts w:hint="default" w:ascii="Times New Roman" w:hAnsi="Times New Roman" w:eastAsia="仿宋_GB2312" w:cs="Times New Roman"/>
          <w:b/>
          <w:bCs/>
          <w:sz w:val="24"/>
          <w:lang w:eastAsia="zh-CN"/>
        </w:rPr>
      </w:pPr>
      <w:bookmarkStart w:id="102" w:name="_Toc17907"/>
      <w:bookmarkStart w:id="103" w:name="_Toc25641"/>
      <w:r>
        <w:rPr>
          <w:rFonts w:hint="default" w:ascii="Times New Roman" w:hAnsi="Times New Roman" w:eastAsia="仿宋_GB2312" w:cs="Times New Roman"/>
          <w:b/>
          <w:bCs/>
          <w:sz w:val="24"/>
          <w:lang w:val="en-US" w:eastAsia="zh-CN"/>
        </w:rPr>
        <w:t>8</w:t>
      </w:r>
      <w:r>
        <w:rPr>
          <w:rFonts w:hint="default" w:ascii="Times New Roman" w:hAnsi="Times New Roman" w:eastAsia="仿宋_GB2312" w:cs="Times New Roman"/>
          <w:b/>
          <w:bCs/>
          <w:sz w:val="24"/>
        </w:rPr>
        <w:t xml:space="preserve">.1 </w:t>
      </w:r>
      <w:r>
        <w:rPr>
          <w:rFonts w:hint="default" w:ascii="Times New Roman" w:hAnsi="Times New Roman" w:eastAsia="仿宋_GB2312" w:cs="Times New Roman"/>
          <w:b/>
          <w:bCs/>
          <w:sz w:val="24"/>
          <w:lang w:val="en-US" w:eastAsia="zh-CN"/>
        </w:rPr>
        <w:t>一般规定</w:t>
      </w:r>
      <w:bookmarkEnd w:id="102"/>
    </w:p>
    <w:p w14:paraId="2890482C">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.1.1 采用马歇尔设计方法进行再生沥青混合料的配合比设计</w:t>
      </w:r>
      <w:r>
        <w:rPr>
          <w:rFonts w:hint="default" w:ascii="Times New Roman" w:hAnsi="Times New Roman" w:eastAsia="仿宋_GB2312" w:cs="Times New Roman"/>
          <w:sz w:val="24"/>
          <w:lang w:val="en-US" w:eastAsia="zh-CN"/>
        </w:rPr>
        <w:t>，具体参照</w:t>
      </w:r>
      <w:r>
        <w:rPr>
          <w:rFonts w:hint="default" w:ascii="Times New Roman" w:hAnsi="Times New Roman" w:eastAsia="仿宋_GB2312" w:cs="Times New Roman"/>
          <w:sz w:val="24"/>
        </w:rPr>
        <w:t>《公路沥青路面再生技术规范》（JTG/T 5521-2019）</w:t>
      </w:r>
      <w:r>
        <w:rPr>
          <w:rFonts w:hint="default" w:ascii="Times New Roman" w:hAnsi="Times New Roman" w:eastAsia="仿宋_GB2312" w:cs="Times New Roman"/>
          <w:sz w:val="24"/>
          <w:lang w:val="en-US" w:eastAsia="zh-CN"/>
        </w:rPr>
        <w:t>附录D进行。</w:t>
      </w:r>
    </w:p>
    <w:p w14:paraId="5D58FDAD">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8.1.2 再生沥青混合料配合比设计，应按目标配合比、生产配合比和试拌试铺验证三个阶段进行，确定矿料级配及最佳沥青用量。</w:t>
      </w:r>
    </w:p>
    <w:p w14:paraId="69C64F6E">
      <w:pPr>
        <w:numPr>
          <w:ilvl w:val="0"/>
          <w:numId w:val="0"/>
        </w:num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8.1.3 </w:t>
      </w:r>
      <w:r>
        <w:rPr>
          <w:rFonts w:hint="default" w:ascii="Times New Roman" w:hAnsi="Times New Roman" w:eastAsia="仿宋_GB2312" w:cs="Times New Roman"/>
          <w:sz w:val="24"/>
        </w:rPr>
        <w:t>选取最具代表性铣刨路段的RAP开展配合比设计，以减少施工期间的再生沥青混合料的级配和质量波动。</w:t>
      </w:r>
    </w:p>
    <w:p w14:paraId="6546E186">
      <w:pPr>
        <w:spacing w:line="360" w:lineRule="auto"/>
        <w:outlineLvl w:val="1"/>
        <w:rPr>
          <w:rFonts w:hint="default" w:ascii="Times New Roman" w:hAnsi="Times New Roman" w:eastAsia="仿宋_GB2312" w:cs="Times New Roman"/>
          <w:b/>
          <w:bCs/>
          <w:sz w:val="24"/>
          <w:lang w:eastAsia="zh-CN"/>
        </w:rPr>
      </w:pPr>
      <w:bookmarkStart w:id="104" w:name="_Toc30958"/>
      <w:r>
        <w:rPr>
          <w:rFonts w:hint="default" w:ascii="Times New Roman" w:hAnsi="Times New Roman" w:eastAsia="仿宋_GB2312" w:cs="Times New Roman"/>
          <w:b/>
          <w:bCs/>
          <w:sz w:val="24"/>
          <w:lang w:val="en-US" w:eastAsia="zh-CN"/>
        </w:rPr>
        <w:t>8</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2</w:t>
      </w: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b/>
          <w:bCs/>
          <w:sz w:val="24"/>
          <w:lang w:val="en-US" w:eastAsia="zh-CN"/>
        </w:rPr>
        <w:t>再生沥青</w:t>
      </w:r>
      <w:r>
        <w:rPr>
          <w:rFonts w:hint="default" w:ascii="Times New Roman" w:hAnsi="Times New Roman" w:eastAsia="仿宋_GB2312" w:cs="Times New Roman"/>
          <w:b/>
          <w:bCs/>
          <w:sz w:val="24"/>
        </w:rPr>
        <w:t>混合料技术</w:t>
      </w:r>
      <w:bookmarkEnd w:id="103"/>
      <w:r>
        <w:rPr>
          <w:rFonts w:hint="default" w:ascii="Times New Roman" w:hAnsi="Times New Roman" w:eastAsia="仿宋_GB2312" w:cs="Times New Roman"/>
          <w:b/>
          <w:bCs/>
          <w:sz w:val="24"/>
          <w:lang w:val="en-US" w:eastAsia="zh-CN"/>
        </w:rPr>
        <w:t>指标</w:t>
      </w:r>
      <w:bookmarkEnd w:id="104"/>
    </w:p>
    <w:p w14:paraId="53AB4A0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8.2</w:t>
      </w:r>
      <w:r>
        <w:rPr>
          <w:rFonts w:hint="default" w:ascii="Times New Roman" w:hAnsi="Times New Roman" w:eastAsia="仿宋_GB2312" w:cs="Times New Roman"/>
          <w:sz w:val="24"/>
        </w:rPr>
        <w:t>.1 厂拌热再生沥青混合料矿料级配范围见表</w:t>
      </w:r>
      <w:r>
        <w:rPr>
          <w:rFonts w:hint="default" w:ascii="Times New Roman" w:hAnsi="Times New Roman" w:eastAsia="仿宋_GB2312" w:cs="Times New Roman"/>
          <w:sz w:val="24"/>
          <w:lang w:val="en-US" w:eastAsia="zh-CN"/>
        </w:rPr>
        <w:t>8.2</w:t>
      </w:r>
      <w:r>
        <w:rPr>
          <w:rFonts w:hint="default" w:ascii="Times New Roman" w:hAnsi="Times New Roman" w:eastAsia="仿宋_GB2312" w:cs="Times New Roman"/>
          <w:sz w:val="24"/>
        </w:rPr>
        <w:t>-1。</w:t>
      </w:r>
    </w:p>
    <w:p w14:paraId="1F2E4BAB">
      <w:pPr>
        <w:spacing w:line="360" w:lineRule="auto"/>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8.2</w:t>
      </w:r>
      <w:r>
        <w:rPr>
          <w:rFonts w:hint="default" w:ascii="Times New Roman" w:hAnsi="Times New Roman" w:eastAsia="仿宋_GB2312" w:cs="Times New Roman"/>
          <w:b/>
          <w:bCs/>
          <w:szCs w:val="21"/>
        </w:rPr>
        <w:t>-1  各热拌沥青混合料矿料级配范围</w:t>
      </w:r>
    </w:p>
    <w:tbl>
      <w:tblPr>
        <w:tblStyle w:val="1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72"/>
        <w:gridCol w:w="672"/>
        <w:gridCol w:w="672"/>
        <w:gridCol w:w="672"/>
        <w:gridCol w:w="672"/>
        <w:gridCol w:w="672"/>
        <w:gridCol w:w="672"/>
        <w:gridCol w:w="672"/>
        <w:gridCol w:w="672"/>
        <w:gridCol w:w="672"/>
        <w:gridCol w:w="672"/>
        <w:gridCol w:w="672"/>
        <w:gridCol w:w="677"/>
      </w:tblGrid>
      <w:tr w14:paraId="4BA9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999" w:type="dxa"/>
            <w:vMerge w:val="restart"/>
            <w:vAlign w:val="center"/>
          </w:tcPr>
          <w:p w14:paraId="1C6FAB29">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类型</w:t>
            </w:r>
          </w:p>
        </w:tc>
        <w:tc>
          <w:tcPr>
            <w:tcW w:w="8741" w:type="dxa"/>
            <w:gridSpan w:val="13"/>
            <w:vAlign w:val="center"/>
          </w:tcPr>
          <w:p w14:paraId="0F415F69">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通过下列筛孔（mm）的质量百分率（%）</w:t>
            </w:r>
          </w:p>
        </w:tc>
      </w:tr>
      <w:tr w14:paraId="4E8B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9" w:type="dxa"/>
            <w:vMerge w:val="continue"/>
            <w:vAlign w:val="center"/>
          </w:tcPr>
          <w:p w14:paraId="7E665803">
            <w:pPr>
              <w:jc w:val="center"/>
              <w:rPr>
                <w:rFonts w:hint="default" w:ascii="Times New Roman" w:hAnsi="Times New Roman" w:eastAsia="仿宋_GB2312" w:cs="Times New Roman"/>
                <w:szCs w:val="21"/>
              </w:rPr>
            </w:pPr>
          </w:p>
        </w:tc>
        <w:tc>
          <w:tcPr>
            <w:tcW w:w="672" w:type="dxa"/>
            <w:vAlign w:val="center"/>
          </w:tcPr>
          <w:p w14:paraId="6DC05549">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31.5</w:t>
            </w:r>
          </w:p>
        </w:tc>
        <w:tc>
          <w:tcPr>
            <w:tcW w:w="672" w:type="dxa"/>
            <w:vAlign w:val="center"/>
          </w:tcPr>
          <w:p w14:paraId="6F07E6E1">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26.5</w:t>
            </w:r>
          </w:p>
        </w:tc>
        <w:tc>
          <w:tcPr>
            <w:tcW w:w="672" w:type="dxa"/>
            <w:vAlign w:val="center"/>
          </w:tcPr>
          <w:p w14:paraId="1DDD39EB">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19</w:t>
            </w:r>
          </w:p>
        </w:tc>
        <w:tc>
          <w:tcPr>
            <w:tcW w:w="672" w:type="dxa"/>
            <w:vAlign w:val="center"/>
          </w:tcPr>
          <w:p w14:paraId="5D3C1025">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w:t>
            </w:r>
          </w:p>
        </w:tc>
        <w:tc>
          <w:tcPr>
            <w:tcW w:w="672" w:type="dxa"/>
            <w:vAlign w:val="center"/>
          </w:tcPr>
          <w:p w14:paraId="199C1A44">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13.2</w:t>
            </w:r>
          </w:p>
        </w:tc>
        <w:tc>
          <w:tcPr>
            <w:tcW w:w="672" w:type="dxa"/>
            <w:vAlign w:val="center"/>
          </w:tcPr>
          <w:p w14:paraId="5928538E">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9.5</w:t>
            </w:r>
          </w:p>
        </w:tc>
        <w:tc>
          <w:tcPr>
            <w:tcW w:w="672" w:type="dxa"/>
            <w:vAlign w:val="center"/>
          </w:tcPr>
          <w:p w14:paraId="1BFD4B70">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4.75</w:t>
            </w:r>
          </w:p>
        </w:tc>
        <w:tc>
          <w:tcPr>
            <w:tcW w:w="672" w:type="dxa"/>
            <w:vAlign w:val="center"/>
          </w:tcPr>
          <w:p w14:paraId="60D03487">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2.36</w:t>
            </w:r>
          </w:p>
        </w:tc>
        <w:tc>
          <w:tcPr>
            <w:tcW w:w="672" w:type="dxa"/>
            <w:vAlign w:val="center"/>
          </w:tcPr>
          <w:p w14:paraId="5B73A32B">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1.18</w:t>
            </w:r>
          </w:p>
        </w:tc>
        <w:tc>
          <w:tcPr>
            <w:tcW w:w="672" w:type="dxa"/>
            <w:vAlign w:val="center"/>
          </w:tcPr>
          <w:p w14:paraId="7CF4CC0A">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0.6</w:t>
            </w:r>
          </w:p>
        </w:tc>
        <w:tc>
          <w:tcPr>
            <w:tcW w:w="672" w:type="dxa"/>
            <w:vAlign w:val="center"/>
          </w:tcPr>
          <w:p w14:paraId="4E5130B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0.3</w:t>
            </w:r>
          </w:p>
        </w:tc>
        <w:tc>
          <w:tcPr>
            <w:tcW w:w="672" w:type="dxa"/>
            <w:vAlign w:val="center"/>
          </w:tcPr>
          <w:p w14:paraId="46E5674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0.15</w:t>
            </w:r>
          </w:p>
        </w:tc>
        <w:tc>
          <w:tcPr>
            <w:tcW w:w="677" w:type="dxa"/>
            <w:vAlign w:val="center"/>
          </w:tcPr>
          <w:p w14:paraId="2B453C34">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0.075</w:t>
            </w:r>
          </w:p>
        </w:tc>
      </w:tr>
      <w:tr w14:paraId="3250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14:paraId="1439B4D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AC-25C</w:t>
            </w:r>
          </w:p>
        </w:tc>
        <w:tc>
          <w:tcPr>
            <w:tcW w:w="672" w:type="dxa"/>
            <w:vAlign w:val="center"/>
          </w:tcPr>
          <w:p w14:paraId="08262D99">
            <w:pPr>
              <w:spacing w:line="360" w:lineRule="auto"/>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672" w:type="dxa"/>
            <w:vAlign w:val="center"/>
          </w:tcPr>
          <w:p w14:paraId="3F5AAAD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90</w:t>
            </w:r>
          </w:p>
          <w:p w14:paraId="3F5B2EC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74C7D43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672" w:type="dxa"/>
            <w:vAlign w:val="center"/>
          </w:tcPr>
          <w:p w14:paraId="03C898C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75</w:t>
            </w:r>
          </w:p>
          <w:p w14:paraId="2E852A6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38C102F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90</w:t>
            </w:r>
          </w:p>
        </w:tc>
        <w:tc>
          <w:tcPr>
            <w:tcW w:w="672" w:type="dxa"/>
            <w:vAlign w:val="center"/>
          </w:tcPr>
          <w:p w14:paraId="32E323B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65</w:t>
            </w:r>
          </w:p>
          <w:p w14:paraId="13CAB52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76EA7DE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83</w:t>
            </w:r>
          </w:p>
        </w:tc>
        <w:tc>
          <w:tcPr>
            <w:tcW w:w="672" w:type="dxa"/>
            <w:vAlign w:val="center"/>
          </w:tcPr>
          <w:p w14:paraId="2927095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57</w:t>
            </w:r>
          </w:p>
          <w:p w14:paraId="235AD27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5F0CC2C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76</w:t>
            </w:r>
          </w:p>
        </w:tc>
        <w:tc>
          <w:tcPr>
            <w:tcW w:w="672" w:type="dxa"/>
            <w:vAlign w:val="center"/>
          </w:tcPr>
          <w:p w14:paraId="7468BAA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45</w:t>
            </w:r>
          </w:p>
          <w:p w14:paraId="1123DE5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C89187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65</w:t>
            </w:r>
          </w:p>
        </w:tc>
        <w:tc>
          <w:tcPr>
            <w:tcW w:w="672" w:type="dxa"/>
            <w:vAlign w:val="center"/>
          </w:tcPr>
          <w:p w14:paraId="1BA261C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24</w:t>
            </w:r>
          </w:p>
          <w:p w14:paraId="3112CA7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7F1EA80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40</w:t>
            </w:r>
          </w:p>
        </w:tc>
        <w:tc>
          <w:tcPr>
            <w:tcW w:w="672" w:type="dxa"/>
            <w:vAlign w:val="center"/>
          </w:tcPr>
          <w:p w14:paraId="2AA95D2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w:t>
            </w:r>
          </w:p>
          <w:p w14:paraId="6292904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1005851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42</w:t>
            </w:r>
          </w:p>
        </w:tc>
        <w:tc>
          <w:tcPr>
            <w:tcW w:w="672" w:type="dxa"/>
            <w:vAlign w:val="center"/>
          </w:tcPr>
          <w:p w14:paraId="46CA4E7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p w14:paraId="4FAAB0B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3D3A7BE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33</w:t>
            </w:r>
          </w:p>
        </w:tc>
        <w:tc>
          <w:tcPr>
            <w:tcW w:w="672" w:type="dxa"/>
            <w:vAlign w:val="center"/>
          </w:tcPr>
          <w:p w14:paraId="129FCB2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p w14:paraId="2066E9B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DC8F44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24</w:t>
            </w:r>
          </w:p>
        </w:tc>
        <w:tc>
          <w:tcPr>
            <w:tcW w:w="672" w:type="dxa"/>
            <w:vAlign w:val="center"/>
          </w:tcPr>
          <w:p w14:paraId="713ABF5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p w14:paraId="4582538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20CB2B5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w:t>
            </w:r>
          </w:p>
        </w:tc>
        <w:tc>
          <w:tcPr>
            <w:tcW w:w="672" w:type="dxa"/>
            <w:vAlign w:val="center"/>
          </w:tcPr>
          <w:p w14:paraId="6A288AF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p w14:paraId="4709AB5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1F06938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13</w:t>
            </w:r>
          </w:p>
        </w:tc>
        <w:tc>
          <w:tcPr>
            <w:tcW w:w="677" w:type="dxa"/>
            <w:vAlign w:val="center"/>
          </w:tcPr>
          <w:p w14:paraId="780AE7E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p w14:paraId="0D31E23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2061F73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r>
      <w:tr w14:paraId="0F77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14:paraId="147F6CD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AC-20C</w:t>
            </w:r>
          </w:p>
        </w:tc>
        <w:tc>
          <w:tcPr>
            <w:tcW w:w="672" w:type="dxa"/>
            <w:vAlign w:val="center"/>
          </w:tcPr>
          <w:p w14:paraId="726EE687">
            <w:pPr>
              <w:spacing w:line="360" w:lineRule="auto"/>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672" w:type="dxa"/>
            <w:vAlign w:val="center"/>
          </w:tcPr>
          <w:p w14:paraId="2E4DFB1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672" w:type="dxa"/>
            <w:vAlign w:val="center"/>
          </w:tcPr>
          <w:p w14:paraId="74C7F31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90</w:t>
            </w:r>
          </w:p>
          <w:p w14:paraId="598C023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6F974F9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672" w:type="dxa"/>
            <w:vAlign w:val="center"/>
          </w:tcPr>
          <w:p w14:paraId="217008B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78</w:t>
            </w:r>
          </w:p>
          <w:p w14:paraId="6DF9BAD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36E22EA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92</w:t>
            </w:r>
          </w:p>
        </w:tc>
        <w:tc>
          <w:tcPr>
            <w:tcW w:w="672" w:type="dxa"/>
            <w:vAlign w:val="center"/>
          </w:tcPr>
          <w:p w14:paraId="55C0A7A6">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62</w:t>
            </w:r>
          </w:p>
          <w:p w14:paraId="0842756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7EAA018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80</w:t>
            </w:r>
          </w:p>
        </w:tc>
        <w:tc>
          <w:tcPr>
            <w:tcW w:w="672" w:type="dxa"/>
            <w:vAlign w:val="center"/>
          </w:tcPr>
          <w:p w14:paraId="1190F24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w:t>
            </w:r>
          </w:p>
          <w:p w14:paraId="518CF55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1063DC0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72</w:t>
            </w:r>
          </w:p>
        </w:tc>
        <w:tc>
          <w:tcPr>
            <w:tcW w:w="672" w:type="dxa"/>
            <w:vAlign w:val="center"/>
          </w:tcPr>
          <w:p w14:paraId="65E6BE8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26</w:t>
            </w:r>
          </w:p>
          <w:p w14:paraId="716A90A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43A11E66">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45</w:t>
            </w:r>
          </w:p>
        </w:tc>
        <w:tc>
          <w:tcPr>
            <w:tcW w:w="672" w:type="dxa"/>
            <w:vAlign w:val="center"/>
          </w:tcPr>
          <w:p w14:paraId="7AFBCD9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w:t>
            </w:r>
          </w:p>
          <w:p w14:paraId="5C2DB5C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19A3D2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44</w:t>
            </w:r>
          </w:p>
        </w:tc>
        <w:tc>
          <w:tcPr>
            <w:tcW w:w="672" w:type="dxa"/>
            <w:vAlign w:val="center"/>
          </w:tcPr>
          <w:p w14:paraId="10866E0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p w14:paraId="6EB4502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54CB11E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33</w:t>
            </w:r>
          </w:p>
        </w:tc>
        <w:tc>
          <w:tcPr>
            <w:tcW w:w="672" w:type="dxa"/>
            <w:vAlign w:val="center"/>
          </w:tcPr>
          <w:p w14:paraId="7226506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p w14:paraId="7D9F4586">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6835834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24</w:t>
            </w:r>
          </w:p>
        </w:tc>
        <w:tc>
          <w:tcPr>
            <w:tcW w:w="672" w:type="dxa"/>
            <w:vAlign w:val="center"/>
          </w:tcPr>
          <w:p w14:paraId="00B2395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p w14:paraId="0E8ADB9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D9C8A8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w:t>
            </w:r>
          </w:p>
        </w:tc>
        <w:tc>
          <w:tcPr>
            <w:tcW w:w="672" w:type="dxa"/>
            <w:vAlign w:val="center"/>
          </w:tcPr>
          <w:p w14:paraId="6F00BB7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p w14:paraId="66AA4CE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9A7F46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13</w:t>
            </w:r>
          </w:p>
        </w:tc>
        <w:tc>
          <w:tcPr>
            <w:tcW w:w="677" w:type="dxa"/>
            <w:vAlign w:val="center"/>
          </w:tcPr>
          <w:p w14:paraId="2FF5C58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p w14:paraId="3D0B6D8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69B2665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r>
      <w:tr w14:paraId="6802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14:paraId="27E567B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AC-13C</w:t>
            </w:r>
          </w:p>
        </w:tc>
        <w:tc>
          <w:tcPr>
            <w:tcW w:w="672" w:type="dxa"/>
            <w:vAlign w:val="center"/>
          </w:tcPr>
          <w:p w14:paraId="65294BCF">
            <w:pPr>
              <w:spacing w:line="360" w:lineRule="auto"/>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672" w:type="dxa"/>
            <w:vAlign w:val="center"/>
          </w:tcPr>
          <w:p w14:paraId="13FA3E5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672" w:type="dxa"/>
            <w:vAlign w:val="center"/>
          </w:tcPr>
          <w:p w14:paraId="28B3DD8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672" w:type="dxa"/>
            <w:vAlign w:val="center"/>
          </w:tcPr>
          <w:p w14:paraId="3AA870F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672" w:type="dxa"/>
            <w:vAlign w:val="center"/>
          </w:tcPr>
          <w:p w14:paraId="42494E4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90</w:t>
            </w:r>
          </w:p>
          <w:p w14:paraId="110A3CF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66B23FE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672" w:type="dxa"/>
            <w:vAlign w:val="center"/>
          </w:tcPr>
          <w:p w14:paraId="1275C51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68</w:t>
            </w:r>
          </w:p>
          <w:p w14:paraId="35E9FA6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754BBBE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85</w:t>
            </w:r>
          </w:p>
        </w:tc>
        <w:tc>
          <w:tcPr>
            <w:tcW w:w="672" w:type="dxa"/>
            <w:vAlign w:val="center"/>
          </w:tcPr>
          <w:p w14:paraId="5BF8915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38</w:t>
            </w:r>
          </w:p>
          <w:p w14:paraId="34FDBF3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4EFF277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68</w:t>
            </w:r>
          </w:p>
        </w:tc>
        <w:tc>
          <w:tcPr>
            <w:tcW w:w="672" w:type="dxa"/>
            <w:vAlign w:val="center"/>
          </w:tcPr>
          <w:p w14:paraId="7072A3C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24</w:t>
            </w:r>
          </w:p>
          <w:p w14:paraId="38DDA63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75BD231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40</w:t>
            </w:r>
          </w:p>
        </w:tc>
        <w:tc>
          <w:tcPr>
            <w:tcW w:w="672" w:type="dxa"/>
            <w:vAlign w:val="center"/>
          </w:tcPr>
          <w:p w14:paraId="2C49392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w:t>
            </w:r>
          </w:p>
          <w:p w14:paraId="196A445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2D6A5DA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38</w:t>
            </w:r>
          </w:p>
        </w:tc>
        <w:tc>
          <w:tcPr>
            <w:tcW w:w="672" w:type="dxa"/>
            <w:vAlign w:val="center"/>
          </w:tcPr>
          <w:p w14:paraId="16AD563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p w14:paraId="1FABDD2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8ED995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28</w:t>
            </w:r>
          </w:p>
        </w:tc>
        <w:tc>
          <w:tcPr>
            <w:tcW w:w="672" w:type="dxa"/>
            <w:vAlign w:val="center"/>
          </w:tcPr>
          <w:p w14:paraId="0720D9F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p w14:paraId="3BCB302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3314DDB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tc>
        <w:tc>
          <w:tcPr>
            <w:tcW w:w="672" w:type="dxa"/>
            <w:vAlign w:val="center"/>
          </w:tcPr>
          <w:p w14:paraId="51F0970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p w14:paraId="6DD2071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9E48BC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w:t>
            </w:r>
          </w:p>
        </w:tc>
        <w:tc>
          <w:tcPr>
            <w:tcW w:w="677" w:type="dxa"/>
            <w:vAlign w:val="center"/>
          </w:tcPr>
          <w:p w14:paraId="08E90EE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p w14:paraId="40A4103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50FA4E86">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tc>
      </w:tr>
      <w:tr w14:paraId="7E2F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14:paraId="51203E0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SMA-13</w:t>
            </w:r>
          </w:p>
        </w:tc>
        <w:tc>
          <w:tcPr>
            <w:tcW w:w="672" w:type="dxa"/>
            <w:vAlign w:val="center"/>
          </w:tcPr>
          <w:p w14:paraId="170AEE24">
            <w:pPr>
              <w:spacing w:line="360" w:lineRule="auto"/>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672" w:type="dxa"/>
            <w:vAlign w:val="center"/>
          </w:tcPr>
          <w:p w14:paraId="3498FE2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672" w:type="dxa"/>
            <w:vAlign w:val="center"/>
          </w:tcPr>
          <w:p w14:paraId="5ECCE5A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tc>
        <w:tc>
          <w:tcPr>
            <w:tcW w:w="672" w:type="dxa"/>
            <w:vAlign w:val="center"/>
          </w:tcPr>
          <w:p w14:paraId="0E4EFC0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672" w:type="dxa"/>
            <w:vAlign w:val="center"/>
          </w:tcPr>
          <w:p w14:paraId="4E8F853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90</w:t>
            </w:r>
          </w:p>
          <w:p w14:paraId="50F5F67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46B006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c>
          <w:tcPr>
            <w:tcW w:w="672" w:type="dxa"/>
            <w:vAlign w:val="center"/>
          </w:tcPr>
          <w:p w14:paraId="639E005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w:t>
            </w:r>
          </w:p>
          <w:p w14:paraId="59C7F26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5352094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75</w:t>
            </w:r>
          </w:p>
        </w:tc>
        <w:tc>
          <w:tcPr>
            <w:tcW w:w="672" w:type="dxa"/>
            <w:vAlign w:val="center"/>
          </w:tcPr>
          <w:p w14:paraId="234940F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p w14:paraId="64A9063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7F929D1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34</w:t>
            </w:r>
          </w:p>
        </w:tc>
        <w:tc>
          <w:tcPr>
            <w:tcW w:w="672" w:type="dxa"/>
            <w:vAlign w:val="center"/>
          </w:tcPr>
          <w:p w14:paraId="4768A6F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w:t>
            </w:r>
          </w:p>
          <w:p w14:paraId="3F5E9FC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008F665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26</w:t>
            </w:r>
          </w:p>
        </w:tc>
        <w:tc>
          <w:tcPr>
            <w:tcW w:w="672" w:type="dxa"/>
            <w:vAlign w:val="center"/>
          </w:tcPr>
          <w:p w14:paraId="04092A4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14</w:t>
            </w:r>
          </w:p>
          <w:p w14:paraId="6C8AC64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5496C5C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24</w:t>
            </w:r>
          </w:p>
        </w:tc>
        <w:tc>
          <w:tcPr>
            <w:tcW w:w="672" w:type="dxa"/>
            <w:vAlign w:val="center"/>
          </w:tcPr>
          <w:p w14:paraId="086A1B4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p w14:paraId="295C5FE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7DBAEBC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tc>
        <w:tc>
          <w:tcPr>
            <w:tcW w:w="672" w:type="dxa"/>
            <w:vAlign w:val="center"/>
          </w:tcPr>
          <w:p w14:paraId="24F4662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p w14:paraId="1B182C3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5C05ABC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w:t>
            </w:r>
          </w:p>
        </w:tc>
        <w:tc>
          <w:tcPr>
            <w:tcW w:w="672" w:type="dxa"/>
            <w:vAlign w:val="center"/>
          </w:tcPr>
          <w:p w14:paraId="0B85AA7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w:t>
            </w:r>
          </w:p>
          <w:p w14:paraId="200442C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64D63AD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w:t>
            </w:r>
          </w:p>
        </w:tc>
        <w:tc>
          <w:tcPr>
            <w:tcW w:w="677" w:type="dxa"/>
            <w:vAlign w:val="center"/>
          </w:tcPr>
          <w:p w14:paraId="05AAB98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p w14:paraId="11B2ACD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p>
          <w:p w14:paraId="3F35116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tc>
      </w:tr>
    </w:tbl>
    <w:p w14:paraId="3967A84C">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注：当RAP掺量占矿料总用量的30%以上时，经过试验验证，混合料的性能能够满足实际使用需求时，各类型厂拌热再生沥青混合料矿料级配可在表</w:t>
      </w:r>
      <w:r>
        <w:rPr>
          <w:rFonts w:hint="default" w:ascii="Times New Roman" w:hAnsi="Times New Roman" w:eastAsia="仿宋_GB2312" w:cs="Times New Roman"/>
          <w:szCs w:val="21"/>
          <w:lang w:val="en-US" w:eastAsia="zh-CN"/>
        </w:rPr>
        <w:t>8.2</w:t>
      </w:r>
      <w:r>
        <w:rPr>
          <w:rFonts w:hint="default" w:ascii="Times New Roman" w:hAnsi="Times New Roman" w:eastAsia="仿宋_GB2312" w:cs="Times New Roman"/>
          <w:szCs w:val="21"/>
        </w:rPr>
        <w:t>-1的范围内适当放宽。</w:t>
      </w:r>
    </w:p>
    <w:p w14:paraId="2AFF25F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lang w:val="en-US" w:eastAsia="zh-CN"/>
        </w:rPr>
      </w:pPr>
    </w:p>
    <w:p w14:paraId="56C62E3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8.2.2</w:t>
      </w:r>
      <w:r>
        <w:rPr>
          <w:rFonts w:hint="default" w:ascii="Times New Roman" w:hAnsi="Times New Roman" w:eastAsia="仿宋_GB2312" w:cs="Times New Roman"/>
          <w:sz w:val="24"/>
        </w:rPr>
        <w:t xml:space="preserve">  厂拌热再生沥青混合料性能应符合表</w:t>
      </w:r>
      <w:r>
        <w:rPr>
          <w:rFonts w:hint="default" w:ascii="Times New Roman" w:hAnsi="Times New Roman" w:eastAsia="仿宋_GB2312" w:cs="Times New Roman"/>
          <w:sz w:val="24"/>
          <w:lang w:val="en-US" w:eastAsia="zh-CN"/>
        </w:rPr>
        <w:t>8.2</w:t>
      </w:r>
      <w:r>
        <w:rPr>
          <w:rFonts w:hint="default" w:ascii="Times New Roman" w:hAnsi="Times New Roman" w:eastAsia="仿宋_GB2312" w:cs="Times New Roman"/>
          <w:sz w:val="24"/>
        </w:rPr>
        <w:t>-2的要求。</w:t>
      </w:r>
    </w:p>
    <w:p w14:paraId="3CDE9FEA">
      <w:pPr>
        <w:spacing w:line="360" w:lineRule="auto"/>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表8.2</w:t>
      </w:r>
      <w:r>
        <w:rPr>
          <w:rFonts w:hint="default" w:ascii="Times New Roman" w:hAnsi="Times New Roman" w:eastAsia="仿宋_GB2312" w:cs="Times New Roman"/>
          <w:b/>
          <w:bCs/>
          <w:szCs w:val="21"/>
        </w:rPr>
        <w:t>-2  厂拌热再生沥青混合料技术要求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841"/>
        <w:gridCol w:w="926"/>
        <w:gridCol w:w="1144"/>
        <w:gridCol w:w="1212"/>
        <w:gridCol w:w="1076"/>
        <w:gridCol w:w="1064"/>
        <w:gridCol w:w="1063"/>
      </w:tblGrid>
      <w:tr w14:paraId="5C38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tblHeader/>
          <w:jc w:val="center"/>
        </w:trPr>
        <w:tc>
          <w:tcPr>
            <w:tcW w:w="3134" w:type="dxa"/>
            <w:gridSpan w:val="2"/>
            <w:vMerge w:val="restart"/>
            <w:vAlign w:val="center"/>
          </w:tcPr>
          <w:p w14:paraId="03E30BE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指  标</w:t>
            </w:r>
          </w:p>
        </w:tc>
        <w:tc>
          <w:tcPr>
            <w:tcW w:w="926" w:type="dxa"/>
            <w:vMerge w:val="restart"/>
            <w:vAlign w:val="center"/>
          </w:tcPr>
          <w:p w14:paraId="3AC65ED6">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w:t>
            </w:r>
          </w:p>
        </w:tc>
        <w:tc>
          <w:tcPr>
            <w:tcW w:w="4496" w:type="dxa"/>
            <w:gridSpan w:val="4"/>
            <w:vAlign w:val="center"/>
          </w:tcPr>
          <w:p w14:paraId="2F43F59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技术要求</w:t>
            </w:r>
          </w:p>
        </w:tc>
        <w:tc>
          <w:tcPr>
            <w:tcW w:w="1063" w:type="dxa"/>
            <w:vMerge w:val="restart"/>
            <w:vAlign w:val="center"/>
          </w:tcPr>
          <w:p w14:paraId="7783A68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试验方法</w:t>
            </w:r>
          </w:p>
        </w:tc>
      </w:tr>
      <w:tr w14:paraId="418C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3134" w:type="dxa"/>
            <w:gridSpan w:val="2"/>
            <w:vMerge w:val="continue"/>
            <w:vAlign w:val="center"/>
          </w:tcPr>
          <w:p w14:paraId="2DD0B16E">
            <w:pPr>
              <w:spacing w:line="0" w:lineRule="atLeast"/>
              <w:jc w:val="center"/>
              <w:rPr>
                <w:rFonts w:hint="default" w:ascii="Times New Roman" w:hAnsi="Times New Roman" w:eastAsia="仿宋_GB2312" w:cs="Times New Roman"/>
                <w:color w:val="000000"/>
                <w:szCs w:val="21"/>
              </w:rPr>
            </w:pPr>
          </w:p>
        </w:tc>
        <w:tc>
          <w:tcPr>
            <w:tcW w:w="926" w:type="dxa"/>
            <w:vMerge w:val="continue"/>
            <w:vAlign w:val="center"/>
          </w:tcPr>
          <w:p w14:paraId="2C7B79BC">
            <w:pPr>
              <w:jc w:val="center"/>
              <w:rPr>
                <w:rFonts w:hint="default" w:ascii="Times New Roman" w:hAnsi="Times New Roman" w:eastAsia="仿宋_GB2312" w:cs="Times New Roman"/>
                <w:color w:val="000000"/>
                <w:szCs w:val="21"/>
              </w:rPr>
            </w:pPr>
          </w:p>
        </w:tc>
        <w:tc>
          <w:tcPr>
            <w:tcW w:w="1144" w:type="dxa"/>
            <w:vAlign w:val="center"/>
          </w:tcPr>
          <w:p w14:paraId="6059A87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AC-25C</w:t>
            </w:r>
          </w:p>
        </w:tc>
        <w:tc>
          <w:tcPr>
            <w:tcW w:w="1212" w:type="dxa"/>
            <w:vAlign w:val="center"/>
          </w:tcPr>
          <w:p w14:paraId="1FF5925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AC-20C</w:t>
            </w:r>
          </w:p>
        </w:tc>
        <w:tc>
          <w:tcPr>
            <w:tcW w:w="1076" w:type="dxa"/>
            <w:vAlign w:val="center"/>
          </w:tcPr>
          <w:p w14:paraId="2A25355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AC-13C</w:t>
            </w:r>
          </w:p>
        </w:tc>
        <w:tc>
          <w:tcPr>
            <w:tcW w:w="1064" w:type="dxa"/>
            <w:vAlign w:val="center"/>
          </w:tcPr>
          <w:p w14:paraId="528173F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SMA-13</w:t>
            </w:r>
          </w:p>
        </w:tc>
        <w:tc>
          <w:tcPr>
            <w:tcW w:w="1063" w:type="dxa"/>
            <w:vMerge w:val="continue"/>
            <w:vAlign w:val="center"/>
          </w:tcPr>
          <w:p w14:paraId="5B0E6736">
            <w:pPr>
              <w:spacing w:line="0" w:lineRule="atLeast"/>
              <w:jc w:val="center"/>
              <w:rPr>
                <w:rFonts w:hint="default" w:ascii="Times New Roman" w:hAnsi="Times New Roman" w:eastAsia="仿宋_GB2312" w:cs="Times New Roman"/>
                <w:color w:val="000000"/>
                <w:szCs w:val="21"/>
              </w:rPr>
            </w:pPr>
          </w:p>
        </w:tc>
      </w:tr>
      <w:tr w14:paraId="4C5A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71FFA0F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试件尺寸</w:t>
            </w:r>
          </w:p>
        </w:tc>
        <w:tc>
          <w:tcPr>
            <w:tcW w:w="926" w:type="dxa"/>
            <w:vAlign w:val="center"/>
          </w:tcPr>
          <w:p w14:paraId="7A53E63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mm</w:t>
            </w:r>
          </w:p>
        </w:tc>
        <w:tc>
          <w:tcPr>
            <w:tcW w:w="4496" w:type="dxa"/>
            <w:gridSpan w:val="4"/>
            <w:vAlign w:val="center"/>
          </w:tcPr>
          <w:p w14:paraId="67D7B5A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Φ101.6×63.5mm</w:t>
            </w:r>
          </w:p>
        </w:tc>
        <w:tc>
          <w:tcPr>
            <w:tcW w:w="1063" w:type="dxa"/>
            <w:vAlign w:val="center"/>
          </w:tcPr>
          <w:p w14:paraId="2221BA0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0702</w:t>
            </w:r>
          </w:p>
        </w:tc>
      </w:tr>
      <w:tr w14:paraId="1221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3134" w:type="dxa"/>
            <w:gridSpan w:val="2"/>
            <w:vAlign w:val="center"/>
          </w:tcPr>
          <w:p w14:paraId="73118A8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试件击实次数</w:t>
            </w:r>
          </w:p>
        </w:tc>
        <w:tc>
          <w:tcPr>
            <w:tcW w:w="926" w:type="dxa"/>
            <w:vAlign w:val="center"/>
          </w:tcPr>
          <w:p w14:paraId="0FA8683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次</w:t>
            </w:r>
          </w:p>
        </w:tc>
        <w:tc>
          <w:tcPr>
            <w:tcW w:w="4496" w:type="dxa"/>
            <w:gridSpan w:val="4"/>
            <w:vAlign w:val="center"/>
          </w:tcPr>
          <w:p w14:paraId="64A35DA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两面各击实75次</w:t>
            </w:r>
          </w:p>
        </w:tc>
        <w:tc>
          <w:tcPr>
            <w:tcW w:w="1063" w:type="dxa"/>
            <w:vAlign w:val="center"/>
          </w:tcPr>
          <w:p w14:paraId="48723FA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0702</w:t>
            </w:r>
          </w:p>
        </w:tc>
      </w:tr>
      <w:tr w14:paraId="2D28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23608F6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空隙率vv</w:t>
            </w:r>
          </w:p>
        </w:tc>
        <w:tc>
          <w:tcPr>
            <w:tcW w:w="926" w:type="dxa"/>
            <w:vAlign w:val="center"/>
          </w:tcPr>
          <w:p w14:paraId="17C64BE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6D9CBD1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3~5</w:t>
            </w:r>
          </w:p>
        </w:tc>
        <w:tc>
          <w:tcPr>
            <w:tcW w:w="1212" w:type="dxa"/>
            <w:vAlign w:val="center"/>
          </w:tcPr>
          <w:p w14:paraId="51F3B83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3~5</w:t>
            </w:r>
          </w:p>
        </w:tc>
        <w:tc>
          <w:tcPr>
            <w:tcW w:w="1076" w:type="dxa"/>
            <w:vAlign w:val="center"/>
          </w:tcPr>
          <w:p w14:paraId="4576DCF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3~5</w:t>
            </w:r>
          </w:p>
        </w:tc>
        <w:tc>
          <w:tcPr>
            <w:tcW w:w="1064" w:type="dxa"/>
            <w:vAlign w:val="center"/>
          </w:tcPr>
          <w:p w14:paraId="572E618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3~4</w:t>
            </w:r>
          </w:p>
        </w:tc>
        <w:tc>
          <w:tcPr>
            <w:tcW w:w="1063" w:type="dxa"/>
            <w:vAlign w:val="center"/>
          </w:tcPr>
          <w:p w14:paraId="37495E2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0705</w:t>
            </w:r>
          </w:p>
        </w:tc>
      </w:tr>
      <w:tr w14:paraId="288F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3" w:type="dxa"/>
            <w:vMerge w:val="restart"/>
            <w:vAlign w:val="center"/>
          </w:tcPr>
          <w:p w14:paraId="4AC8979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矿料间隙率VMA</w:t>
            </w:r>
          </w:p>
        </w:tc>
        <w:tc>
          <w:tcPr>
            <w:tcW w:w="1841" w:type="dxa"/>
            <w:vAlign w:val="center"/>
          </w:tcPr>
          <w:p w14:paraId="5FCAF53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空隙率3%时</w:t>
            </w:r>
          </w:p>
        </w:tc>
        <w:tc>
          <w:tcPr>
            <w:tcW w:w="926" w:type="dxa"/>
            <w:vAlign w:val="center"/>
          </w:tcPr>
          <w:p w14:paraId="772C38AE">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35BB4C1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≥11</w:t>
            </w:r>
          </w:p>
        </w:tc>
        <w:tc>
          <w:tcPr>
            <w:tcW w:w="1212" w:type="dxa"/>
            <w:vAlign w:val="center"/>
          </w:tcPr>
          <w:p w14:paraId="3CC0B32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w:t>
            </w:r>
          </w:p>
        </w:tc>
        <w:tc>
          <w:tcPr>
            <w:tcW w:w="1076" w:type="dxa"/>
            <w:vAlign w:val="center"/>
          </w:tcPr>
          <w:p w14:paraId="3202585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≥13</w:t>
            </w:r>
          </w:p>
        </w:tc>
        <w:tc>
          <w:tcPr>
            <w:tcW w:w="1064" w:type="dxa"/>
            <w:vMerge w:val="restart"/>
            <w:vAlign w:val="center"/>
          </w:tcPr>
          <w:p w14:paraId="7173E08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≥17</w:t>
            </w:r>
          </w:p>
        </w:tc>
        <w:tc>
          <w:tcPr>
            <w:tcW w:w="1063" w:type="dxa"/>
            <w:vAlign w:val="center"/>
          </w:tcPr>
          <w:p w14:paraId="3F2EC2D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0705</w:t>
            </w:r>
          </w:p>
        </w:tc>
      </w:tr>
      <w:tr w14:paraId="7471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3" w:type="dxa"/>
            <w:vMerge w:val="continue"/>
            <w:vAlign w:val="center"/>
          </w:tcPr>
          <w:p w14:paraId="635ED0EA">
            <w:pPr>
              <w:spacing w:line="0" w:lineRule="atLeast"/>
              <w:jc w:val="center"/>
              <w:rPr>
                <w:rFonts w:hint="default" w:ascii="Times New Roman" w:hAnsi="Times New Roman" w:eastAsia="仿宋_GB2312" w:cs="Times New Roman"/>
                <w:color w:val="000000"/>
                <w:szCs w:val="21"/>
              </w:rPr>
            </w:pPr>
          </w:p>
        </w:tc>
        <w:tc>
          <w:tcPr>
            <w:tcW w:w="1841" w:type="dxa"/>
            <w:vAlign w:val="center"/>
          </w:tcPr>
          <w:p w14:paraId="2C5D7B8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空隙率4%时</w:t>
            </w:r>
          </w:p>
        </w:tc>
        <w:tc>
          <w:tcPr>
            <w:tcW w:w="926" w:type="dxa"/>
            <w:vAlign w:val="center"/>
          </w:tcPr>
          <w:p w14:paraId="505B0678">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1330385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w:t>
            </w:r>
          </w:p>
        </w:tc>
        <w:tc>
          <w:tcPr>
            <w:tcW w:w="1212" w:type="dxa"/>
            <w:vAlign w:val="center"/>
          </w:tcPr>
          <w:p w14:paraId="553F363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≥13</w:t>
            </w:r>
          </w:p>
        </w:tc>
        <w:tc>
          <w:tcPr>
            <w:tcW w:w="1076" w:type="dxa"/>
            <w:vAlign w:val="center"/>
          </w:tcPr>
          <w:p w14:paraId="3A70A20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w:t>
            </w:r>
          </w:p>
        </w:tc>
        <w:tc>
          <w:tcPr>
            <w:tcW w:w="1064" w:type="dxa"/>
            <w:vMerge w:val="continue"/>
            <w:vAlign w:val="center"/>
          </w:tcPr>
          <w:p w14:paraId="6045CFB3">
            <w:pPr>
              <w:spacing w:line="0" w:lineRule="atLeast"/>
              <w:jc w:val="center"/>
              <w:rPr>
                <w:rFonts w:hint="default" w:ascii="Times New Roman" w:hAnsi="Times New Roman" w:eastAsia="仿宋_GB2312" w:cs="Times New Roman"/>
                <w:color w:val="000000"/>
                <w:szCs w:val="21"/>
              </w:rPr>
            </w:pPr>
          </w:p>
        </w:tc>
        <w:tc>
          <w:tcPr>
            <w:tcW w:w="1063" w:type="dxa"/>
            <w:vAlign w:val="center"/>
          </w:tcPr>
          <w:p w14:paraId="4A50AD6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0705</w:t>
            </w:r>
          </w:p>
        </w:tc>
      </w:tr>
      <w:tr w14:paraId="4C9E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3" w:type="dxa"/>
            <w:vMerge w:val="continue"/>
            <w:vAlign w:val="center"/>
          </w:tcPr>
          <w:p w14:paraId="0F4760DE">
            <w:pPr>
              <w:spacing w:line="0" w:lineRule="atLeast"/>
              <w:jc w:val="center"/>
              <w:rPr>
                <w:rFonts w:hint="default" w:ascii="Times New Roman" w:hAnsi="Times New Roman" w:eastAsia="仿宋_GB2312" w:cs="Times New Roman"/>
                <w:color w:val="000000"/>
                <w:szCs w:val="21"/>
              </w:rPr>
            </w:pPr>
          </w:p>
        </w:tc>
        <w:tc>
          <w:tcPr>
            <w:tcW w:w="1841" w:type="dxa"/>
            <w:vAlign w:val="center"/>
          </w:tcPr>
          <w:p w14:paraId="2BACCFE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空隙率5%时</w:t>
            </w:r>
          </w:p>
        </w:tc>
        <w:tc>
          <w:tcPr>
            <w:tcW w:w="926" w:type="dxa"/>
            <w:vAlign w:val="center"/>
          </w:tcPr>
          <w:p w14:paraId="675F772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7A892C5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≥13</w:t>
            </w:r>
          </w:p>
        </w:tc>
        <w:tc>
          <w:tcPr>
            <w:tcW w:w="1212" w:type="dxa"/>
            <w:vAlign w:val="center"/>
          </w:tcPr>
          <w:p w14:paraId="02872FD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≥14</w:t>
            </w:r>
          </w:p>
        </w:tc>
        <w:tc>
          <w:tcPr>
            <w:tcW w:w="1076" w:type="dxa"/>
            <w:vAlign w:val="center"/>
          </w:tcPr>
          <w:p w14:paraId="61F145B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c>
          <w:tcPr>
            <w:tcW w:w="1064" w:type="dxa"/>
            <w:vAlign w:val="center"/>
          </w:tcPr>
          <w:p w14:paraId="36CDF54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063" w:type="dxa"/>
            <w:vAlign w:val="center"/>
          </w:tcPr>
          <w:p w14:paraId="4C23FA0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0705</w:t>
            </w:r>
          </w:p>
        </w:tc>
      </w:tr>
      <w:tr w14:paraId="3BE7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1D5A1E0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沥青饱和度VFA</w:t>
            </w:r>
          </w:p>
        </w:tc>
        <w:tc>
          <w:tcPr>
            <w:tcW w:w="926" w:type="dxa"/>
            <w:vAlign w:val="center"/>
          </w:tcPr>
          <w:p w14:paraId="490B466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5D75F87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55~70</w:t>
            </w:r>
          </w:p>
        </w:tc>
        <w:tc>
          <w:tcPr>
            <w:tcW w:w="1212" w:type="dxa"/>
            <w:vAlign w:val="center"/>
          </w:tcPr>
          <w:p w14:paraId="62CFD52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65~75</w:t>
            </w:r>
          </w:p>
        </w:tc>
        <w:tc>
          <w:tcPr>
            <w:tcW w:w="1076" w:type="dxa"/>
            <w:vAlign w:val="center"/>
          </w:tcPr>
          <w:p w14:paraId="3A37437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65~75</w:t>
            </w:r>
          </w:p>
        </w:tc>
        <w:tc>
          <w:tcPr>
            <w:tcW w:w="1064" w:type="dxa"/>
            <w:vAlign w:val="center"/>
          </w:tcPr>
          <w:p w14:paraId="09E068C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75~85</w:t>
            </w:r>
          </w:p>
        </w:tc>
        <w:tc>
          <w:tcPr>
            <w:tcW w:w="1063" w:type="dxa"/>
            <w:vAlign w:val="center"/>
          </w:tcPr>
          <w:p w14:paraId="49D21D1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0705</w:t>
            </w:r>
          </w:p>
        </w:tc>
      </w:tr>
      <w:tr w14:paraId="5B37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199D335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稳定度MS</w:t>
            </w:r>
          </w:p>
        </w:tc>
        <w:tc>
          <w:tcPr>
            <w:tcW w:w="926" w:type="dxa"/>
            <w:vAlign w:val="center"/>
          </w:tcPr>
          <w:p w14:paraId="25ABFB95">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kN</w:t>
            </w:r>
          </w:p>
        </w:tc>
        <w:tc>
          <w:tcPr>
            <w:tcW w:w="1144" w:type="dxa"/>
            <w:vAlign w:val="center"/>
          </w:tcPr>
          <w:p w14:paraId="54A717C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w:t>
            </w:r>
          </w:p>
        </w:tc>
        <w:tc>
          <w:tcPr>
            <w:tcW w:w="1212" w:type="dxa"/>
            <w:vAlign w:val="center"/>
          </w:tcPr>
          <w:p w14:paraId="74B0A12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w:t>
            </w:r>
          </w:p>
        </w:tc>
        <w:tc>
          <w:tcPr>
            <w:tcW w:w="1076" w:type="dxa"/>
            <w:vAlign w:val="center"/>
          </w:tcPr>
          <w:p w14:paraId="2D78AA9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w:t>
            </w:r>
          </w:p>
        </w:tc>
        <w:tc>
          <w:tcPr>
            <w:tcW w:w="1064" w:type="dxa"/>
            <w:vAlign w:val="center"/>
          </w:tcPr>
          <w:p w14:paraId="15DAA57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≥6.0</w:t>
            </w:r>
          </w:p>
        </w:tc>
        <w:tc>
          <w:tcPr>
            <w:tcW w:w="1063" w:type="dxa"/>
            <w:vAlign w:val="center"/>
          </w:tcPr>
          <w:p w14:paraId="01ADBD4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0709</w:t>
            </w:r>
          </w:p>
        </w:tc>
      </w:tr>
      <w:tr w14:paraId="3815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1A71CF7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流值FL</w:t>
            </w:r>
          </w:p>
        </w:tc>
        <w:tc>
          <w:tcPr>
            <w:tcW w:w="926" w:type="dxa"/>
            <w:vAlign w:val="center"/>
          </w:tcPr>
          <w:p w14:paraId="4579371B">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mm</w:t>
            </w:r>
          </w:p>
        </w:tc>
        <w:tc>
          <w:tcPr>
            <w:tcW w:w="1144" w:type="dxa"/>
            <w:vAlign w:val="center"/>
          </w:tcPr>
          <w:p w14:paraId="33662A6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2~4</w:t>
            </w:r>
          </w:p>
        </w:tc>
        <w:tc>
          <w:tcPr>
            <w:tcW w:w="1212" w:type="dxa"/>
            <w:vAlign w:val="center"/>
          </w:tcPr>
          <w:p w14:paraId="4366C61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2~4</w:t>
            </w:r>
          </w:p>
        </w:tc>
        <w:tc>
          <w:tcPr>
            <w:tcW w:w="1076" w:type="dxa"/>
            <w:vAlign w:val="center"/>
          </w:tcPr>
          <w:p w14:paraId="7A0C4CB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2~4</w:t>
            </w:r>
          </w:p>
        </w:tc>
        <w:tc>
          <w:tcPr>
            <w:tcW w:w="1064" w:type="dxa"/>
            <w:vAlign w:val="center"/>
          </w:tcPr>
          <w:p w14:paraId="2267328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实测</w:t>
            </w:r>
          </w:p>
        </w:tc>
        <w:tc>
          <w:tcPr>
            <w:tcW w:w="1063" w:type="dxa"/>
            <w:vAlign w:val="center"/>
          </w:tcPr>
          <w:p w14:paraId="67654B6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0709</w:t>
            </w:r>
          </w:p>
        </w:tc>
      </w:tr>
      <w:tr w14:paraId="38CD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37D4103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粗集料骨架间隙率VCA</w:t>
            </w:r>
            <w:r>
              <w:rPr>
                <w:rFonts w:hint="default" w:ascii="Times New Roman" w:hAnsi="Times New Roman" w:eastAsia="仿宋_GB2312" w:cs="Times New Roman"/>
                <w:color w:val="000000"/>
                <w:szCs w:val="21"/>
                <w:vertAlign w:val="subscript"/>
              </w:rPr>
              <w:t>mix</w:t>
            </w:r>
          </w:p>
        </w:tc>
        <w:tc>
          <w:tcPr>
            <w:tcW w:w="926" w:type="dxa"/>
            <w:vAlign w:val="center"/>
          </w:tcPr>
          <w:p w14:paraId="3716BE8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052151D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212" w:type="dxa"/>
            <w:vAlign w:val="center"/>
          </w:tcPr>
          <w:p w14:paraId="46C1128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076" w:type="dxa"/>
            <w:vAlign w:val="center"/>
          </w:tcPr>
          <w:p w14:paraId="3B31AB0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064" w:type="dxa"/>
            <w:vAlign w:val="center"/>
          </w:tcPr>
          <w:p w14:paraId="727F623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≤VCA</w:t>
            </w:r>
            <w:r>
              <w:rPr>
                <w:rFonts w:hint="default" w:ascii="Times New Roman" w:hAnsi="Times New Roman" w:eastAsia="仿宋_GB2312" w:cs="Times New Roman"/>
                <w:color w:val="000000"/>
                <w:szCs w:val="21"/>
                <w:vertAlign w:val="subscript"/>
              </w:rPr>
              <w:t>DRC</w:t>
            </w:r>
          </w:p>
        </w:tc>
        <w:tc>
          <w:tcPr>
            <w:tcW w:w="1063" w:type="dxa"/>
            <w:vAlign w:val="center"/>
          </w:tcPr>
          <w:p w14:paraId="593124B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0705</w:t>
            </w:r>
          </w:p>
        </w:tc>
      </w:tr>
      <w:tr w14:paraId="6802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134" w:type="dxa"/>
            <w:gridSpan w:val="2"/>
            <w:vAlign w:val="center"/>
          </w:tcPr>
          <w:p w14:paraId="69832DA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185℃</w:t>
            </w:r>
            <w:r>
              <w:rPr>
                <w:rFonts w:hint="default" w:ascii="Times New Roman" w:hAnsi="Times New Roman" w:eastAsia="仿宋_GB2312" w:cs="Times New Roman"/>
                <w:color w:val="000000"/>
                <w:szCs w:val="21"/>
              </w:rPr>
              <w:t>谢伦堡沥青析漏试验的结合料损失</w:t>
            </w:r>
          </w:p>
        </w:tc>
        <w:tc>
          <w:tcPr>
            <w:tcW w:w="926" w:type="dxa"/>
            <w:vAlign w:val="center"/>
          </w:tcPr>
          <w:p w14:paraId="3AFB808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25A9286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212" w:type="dxa"/>
            <w:vAlign w:val="center"/>
          </w:tcPr>
          <w:p w14:paraId="2D007CF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076" w:type="dxa"/>
            <w:vAlign w:val="center"/>
          </w:tcPr>
          <w:p w14:paraId="745B566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064" w:type="dxa"/>
            <w:vAlign w:val="center"/>
          </w:tcPr>
          <w:p w14:paraId="374CE71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≤0.1</w:t>
            </w:r>
          </w:p>
        </w:tc>
        <w:tc>
          <w:tcPr>
            <w:tcW w:w="1063" w:type="dxa"/>
            <w:vAlign w:val="center"/>
          </w:tcPr>
          <w:p w14:paraId="20D842C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0732</w:t>
            </w:r>
          </w:p>
        </w:tc>
      </w:tr>
      <w:tr w14:paraId="3045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134" w:type="dxa"/>
            <w:gridSpan w:val="2"/>
            <w:vAlign w:val="center"/>
          </w:tcPr>
          <w:p w14:paraId="04378FF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60℃</w:t>
            </w:r>
            <w:r>
              <w:rPr>
                <w:rFonts w:hint="default" w:ascii="Times New Roman" w:hAnsi="Times New Roman" w:eastAsia="仿宋_GB2312" w:cs="Times New Roman"/>
                <w:color w:val="000000"/>
                <w:szCs w:val="21"/>
              </w:rPr>
              <w:t>肯塔堡飞散试验的混合料损失或浸水飞散试验</w:t>
            </w:r>
          </w:p>
        </w:tc>
        <w:tc>
          <w:tcPr>
            <w:tcW w:w="926" w:type="dxa"/>
            <w:vAlign w:val="center"/>
          </w:tcPr>
          <w:p w14:paraId="3765F5E9">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135CC1D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212" w:type="dxa"/>
            <w:vAlign w:val="center"/>
          </w:tcPr>
          <w:p w14:paraId="06BD1CD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076" w:type="dxa"/>
            <w:vAlign w:val="center"/>
          </w:tcPr>
          <w:p w14:paraId="6862E2B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064" w:type="dxa"/>
            <w:vAlign w:val="center"/>
          </w:tcPr>
          <w:p w14:paraId="2A4F3D7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≤15</w:t>
            </w:r>
          </w:p>
        </w:tc>
        <w:tc>
          <w:tcPr>
            <w:tcW w:w="1063" w:type="dxa"/>
            <w:vAlign w:val="center"/>
          </w:tcPr>
          <w:p w14:paraId="413656D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0733</w:t>
            </w:r>
          </w:p>
        </w:tc>
      </w:tr>
      <w:tr w14:paraId="76C4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6363C69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60℃</w:t>
            </w:r>
            <w:r>
              <w:rPr>
                <w:rFonts w:hint="default" w:ascii="Times New Roman" w:hAnsi="Times New Roman" w:eastAsia="仿宋_GB2312" w:cs="Times New Roman"/>
                <w:color w:val="000000"/>
                <w:szCs w:val="21"/>
              </w:rPr>
              <w:t>车辙试验动稳定度</w:t>
            </w:r>
          </w:p>
        </w:tc>
        <w:tc>
          <w:tcPr>
            <w:tcW w:w="926" w:type="dxa"/>
            <w:vAlign w:val="center"/>
          </w:tcPr>
          <w:p w14:paraId="39402DC3">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次/mm</w:t>
            </w:r>
          </w:p>
        </w:tc>
        <w:tc>
          <w:tcPr>
            <w:tcW w:w="1144" w:type="dxa"/>
            <w:vAlign w:val="center"/>
          </w:tcPr>
          <w:p w14:paraId="21EFA41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≥800</w:t>
            </w:r>
          </w:p>
        </w:tc>
        <w:tc>
          <w:tcPr>
            <w:tcW w:w="1212" w:type="dxa"/>
            <w:vAlign w:val="center"/>
          </w:tcPr>
          <w:p w14:paraId="1D476EF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≥2400</w:t>
            </w:r>
          </w:p>
        </w:tc>
        <w:tc>
          <w:tcPr>
            <w:tcW w:w="1076" w:type="dxa"/>
            <w:vAlign w:val="center"/>
          </w:tcPr>
          <w:p w14:paraId="1C28CF6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≥3000</w:t>
            </w:r>
          </w:p>
        </w:tc>
        <w:tc>
          <w:tcPr>
            <w:tcW w:w="1064" w:type="dxa"/>
            <w:vAlign w:val="center"/>
          </w:tcPr>
          <w:p w14:paraId="77275CA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≥3000</w:t>
            </w:r>
          </w:p>
        </w:tc>
        <w:tc>
          <w:tcPr>
            <w:tcW w:w="1063" w:type="dxa"/>
            <w:vAlign w:val="center"/>
          </w:tcPr>
          <w:p w14:paraId="0692F71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0719</w:t>
            </w:r>
          </w:p>
        </w:tc>
      </w:tr>
      <w:tr w14:paraId="5464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1AAE7DB9">
            <w:pPr>
              <w:spacing w:line="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color w:val="000000"/>
                <w:szCs w:val="21"/>
                <w:highlight w:val="none"/>
              </w:rPr>
              <w:t>-10℃低温弯曲试验破坏应变</w:t>
            </w:r>
          </w:p>
        </w:tc>
        <w:tc>
          <w:tcPr>
            <w:tcW w:w="926" w:type="dxa"/>
            <w:vAlign w:val="center"/>
          </w:tcPr>
          <w:p w14:paraId="145BAC8C">
            <w:pPr>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sz w:val="24"/>
                <w:highlight w:val="none"/>
              </w:rPr>
              <w:t>μ</w:t>
            </w:r>
            <w:r>
              <w:rPr>
                <w:rFonts w:hint="default" w:ascii="Times New Roman" w:hAnsi="Times New Roman" w:eastAsia="仿宋_GB2312" w:cs="Times New Roman"/>
                <w:color w:val="000000"/>
                <w:szCs w:val="21"/>
                <w:highlight w:val="none"/>
              </w:rPr>
              <w:t>ε</w:t>
            </w:r>
          </w:p>
        </w:tc>
        <w:tc>
          <w:tcPr>
            <w:tcW w:w="1144" w:type="dxa"/>
            <w:vAlign w:val="center"/>
          </w:tcPr>
          <w:p w14:paraId="1B60300A">
            <w:pPr>
              <w:spacing w:line="0" w:lineRule="atLeas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212" w:type="dxa"/>
            <w:vAlign w:val="center"/>
          </w:tcPr>
          <w:p w14:paraId="0A557D09">
            <w:pPr>
              <w:spacing w:line="0" w:lineRule="atLeas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≥2</w:t>
            </w:r>
            <w:r>
              <w:rPr>
                <w:rFonts w:hint="default" w:ascii="Times New Roman" w:hAnsi="Times New Roman" w:eastAsia="仿宋_GB2312" w:cs="Times New Roman"/>
                <w:color w:val="000000"/>
                <w:szCs w:val="21"/>
                <w:highlight w:val="none"/>
                <w:lang w:val="en-US" w:eastAsia="zh-CN"/>
              </w:rPr>
              <w:t>5</w:t>
            </w:r>
            <w:r>
              <w:rPr>
                <w:rFonts w:hint="default" w:ascii="Times New Roman" w:hAnsi="Times New Roman" w:eastAsia="仿宋_GB2312" w:cs="Times New Roman"/>
                <w:color w:val="000000"/>
                <w:szCs w:val="21"/>
                <w:highlight w:val="none"/>
              </w:rPr>
              <w:t>00</w:t>
            </w:r>
          </w:p>
        </w:tc>
        <w:tc>
          <w:tcPr>
            <w:tcW w:w="1076" w:type="dxa"/>
            <w:vAlign w:val="center"/>
          </w:tcPr>
          <w:p w14:paraId="7886D556">
            <w:pPr>
              <w:spacing w:line="0" w:lineRule="atLeas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≥2</w:t>
            </w:r>
            <w:r>
              <w:rPr>
                <w:rFonts w:hint="default" w:ascii="Times New Roman" w:hAnsi="Times New Roman" w:eastAsia="仿宋_GB2312" w:cs="Times New Roman"/>
                <w:color w:val="000000"/>
                <w:szCs w:val="21"/>
                <w:highlight w:val="none"/>
                <w:lang w:val="en-US" w:eastAsia="zh-CN"/>
              </w:rPr>
              <w:t>5</w:t>
            </w:r>
            <w:r>
              <w:rPr>
                <w:rFonts w:hint="default" w:ascii="Times New Roman" w:hAnsi="Times New Roman" w:eastAsia="仿宋_GB2312" w:cs="Times New Roman"/>
                <w:color w:val="000000"/>
                <w:szCs w:val="21"/>
                <w:highlight w:val="none"/>
              </w:rPr>
              <w:t>00</w:t>
            </w:r>
          </w:p>
        </w:tc>
        <w:tc>
          <w:tcPr>
            <w:tcW w:w="1064" w:type="dxa"/>
            <w:vAlign w:val="center"/>
          </w:tcPr>
          <w:p w14:paraId="665EB304">
            <w:pPr>
              <w:spacing w:line="0" w:lineRule="atLeas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≥2</w:t>
            </w:r>
            <w:r>
              <w:rPr>
                <w:rFonts w:hint="default" w:ascii="Times New Roman" w:hAnsi="Times New Roman" w:eastAsia="仿宋_GB2312" w:cs="Times New Roman"/>
                <w:color w:val="000000"/>
                <w:szCs w:val="21"/>
                <w:highlight w:val="none"/>
                <w:lang w:val="en-US" w:eastAsia="zh-CN"/>
              </w:rPr>
              <w:t>5</w:t>
            </w:r>
            <w:r>
              <w:rPr>
                <w:rFonts w:hint="default" w:ascii="Times New Roman" w:hAnsi="Times New Roman" w:eastAsia="仿宋_GB2312" w:cs="Times New Roman"/>
                <w:color w:val="000000"/>
                <w:szCs w:val="21"/>
                <w:highlight w:val="none"/>
              </w:rPr>
              <w:t>00</w:t>
            </w:r>
          </w:p>
        </w:tc>
        <w:tc>
          <w:tcPr>
            <w:tcW w:w="1063" w:type="dxa"/>
            <w:vAlign w:val="center"/>
          </w:tcPr>
          <w:p w14:paraId="4E9037B4">
            <w:pPr>
              <w:spacing w:line="0" w:lineRule="atLeas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T 0715</w:t>
            </w:r>
          </w:p>
        </w:tc>
      </w:tr>
      <w:tr w14:paraId="3FBD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28584BB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浸水马歇尔残留稳定度</w:t>
            </w:r>
          </w:p>
        </w:tc>
        <w:tc>
          <w:tcPr>
            <w:tcW w:w="926" w:type="dxa"/>
            <w:vAlign w:val="center"/>
          </w:tcPr>
          <w:p w14:paraId="0E94867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300DE58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w:t>
            </w:r>
          </w:p>
        </w:tc>
        <w:tc>
          <w:tcPr>
            <w:tcW w:w="1212" w:type="dxa"/>
            <w:vAlign w:val="center"/>
          </w:tcPr>
          <w:p w14:paraId="48827ED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≥85</w:t>
            </w:r>
          </w:p>
        </w:tc>
        <w:tc>
          <w:tcPr>
            <w:tcW w:w="1076" w:type="dxa"/>
            <w:vAlign w:val="center"/>
          </w:tcPr>
          <w:p w14:paraId="60AD35F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≥85</w:t>
            </w:r>
          </w:p>
        </w:tc>
        <w:tc>
          <w:tcPr>
            <w:tcW w:w="1064" w:type="dxa"/>
            <w:vAlign w:val="center"/>
          </w:tcPr>
          <w:p w14:paraId="7D3BA02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w:t>
            </w:r>
          </w:p>
        </w:tc>
        <w:tc>
          <w:tcPr>
            <w:tcW w:w="1063" w:type="dxa"/>
            <w:vAlign w:val="center"/>
          </w:tcPr>
          <w:p w14:paraId="50E835E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0709</w:t>
            </w:r>
          </w:p>
        </w:tc>
      </w:tr>
      <w:tr w14:paraId="0645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gridSpan w:val="2"/>
            <w:vAlign w:val="center"/>
          </w:tcPr>
          <w:p w14:paraId="25FF6DF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冻融劈裂试验的残留强度比</w:t>
            </w:r>
          </w:p>
        </w:tc>
        <w:tc>
          <w:tcPr>
            <w:tcW w:w="926" w:type="dxa"/>
            <w:vAlign w:val="center"/>
          </w:tcPr>
          <w:p w14:paraId="267C818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144" w:type="dxa"/>
            <w:vAlign w:val="center"/>
          </w:tcPr>
          <w:p w14:paraId="69CB9B5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≥75</w:t>
            </w:r>
          </w:p>
        </w:tc>
        <w:tc>
          <w:tcPr>
            <w:tcW w:w="1212" w:type="dxa"/>
            <w:vAlign w:val="center"/>
          </w:tcPr>
          <w:p w14:paraId="3CDE5F6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w:t>
            </w:r>
          </w:p>
        </w:tc>
        <w:tc>
          <w:tcPr>
            <w:tcW w:w="1076" w:type="dxa"/>
            <w:vAlign w:val="center"/>
          </w:tcPr>
          <w:p w14:paraId="101AD40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w:t>
            </w:r>
          </w:p>
        </w:tc>
        <w:tc>
          <w:tcPr>
            <w:tcW w:w="1064" w:type="dxa"/>
            <w:vAlign w:val="center"/>
          </w:tcPr>
          <w:p w14:paraId="4F7A070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w:t>
            </w:r>
          </w:p>
        </w:tc>
        <w:tc>
          <w:tcPr>
            <w:tcW w:w="1063" w:type="dxa"/>
            <w:vAlign w:val="center"/>
          </w:tcPr>
          <w:p w14:paraId="104DE05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0729</w:t>
            </w:r>
          </w:p>
        </w:tc>
      </w:tr>
      <w:tr w14:paraId="5EAB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134" w:type="dxa"/>
            <w:gridSpan w:val="2"/>
            <w:vAlign w:val="center"/>
          </w:tcPr>
          <w:p w14:paraId="0820DE6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试件渗水系数</w:t>
            </w:r>
          </w:p>
        </w:tc>
        <w:tc>
          <w:tcPr>
            <w:tcW w:w="926" w:type="dxa"/>
            <w:vAlign w:val="center"/>
          </w:tcPr>
          <w:p w14:paraId="508A82C4">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mL/min</w:t>
            </w:r>
          </w:p>
        </w:tc>
        <w:tc>
          <w:tcPr>
            <w:tcW w:w="1144" w:type="dxa"/>
            <w:vAlign w:val="center"/>
          </w:tcPr>
          <w:p w14:paraId="11CD99F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≤120</w:t>
            </w:r>
          </w:p>
        </w:tc>
        <w:tc>
          <w:tcPr>
            <w:tcW w:w="1212" w:type="dxa"/>
            <w:vAlign w:val="center"/>
          </w:tcPr>
          <w:p w14:paraId="23EBE8C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≤120</w:t>
            </w:r>
          </w:p>
        </w:tc>
        <w:tc>
          <w:tcPr>
            <w:tcW w:w="1076" w:type="dxa"/>
            <w:vAlign w:val="center"/>
          </w:tcPr>
          <w:p w14:paraId="4A3AD09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w:t>
            </w:r>
          </w:p>
        </w:tc>
        <w:tc>
          <w:tcPr>
            <w:tcW w:w="1064" w:type="dxa"/>
            <w:vAlign w:val="center"/>
          </w:tcPr>
          <w:p w14:paraId="435C27E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≤80</w:t>
            </w:r>
          </w:p>
        </w:tc>
        <w:tc>
          <w:tcPr>
            <w:tcW w:w="1063" w:type="dxa"/>
            <w:vAlign w:val="center"/>
          </w:tcPr>
          <w:p w14:paraId="55FEDB0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0730</w:t>
            </w:r>
          </w:p>
        </w:tc>
      </w:tr>
    </w:tbl>
    <w:p w14:paraId="20C44B3E">
      <w:pPr>
        <w:rPr>
          <w:rFonts w:hint="default" w:ascii="Times New Roman" w:hAnsi="Times New Roman" w:eastAsia="仿宋_GB2312" w:cs="Times New Roman"/>
          <w:szCs w:val="21"/>
        </w:rPr>
      </w:pPr>
    </w:p>
    <w:p w14:paraId="4819D8C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8.2.3</w:t>
      </w:r>
      <w:r>
        <w:rPr>
          <w:rFonts w:hint="default" w:ascii="Times New Roman" w:hAnsi="Times New Roman" w:eastAsia="仿宋_GB2312" w:cs="Times New Roman"/>
          <w:sz w:val="24"/>
        </w:rPr>
        <w:t xml:space="preserve"> RAP掺量占总矿料质量的30%以下时，厂拌热再生沥青混合料的-10℃低温弯曲试验破坏应变应符合表</w:t>
      </w:r>
      <w:r>
        <w:rPr>
          <w:rFonts w:hint="default" w:ascii="Times New Roman" w:hAnsi="Times New Roman" w:eastAsia="仿宋_GB2312" w:cs="Times New Roman"/>
          <w:sz w:val="24"/>
          <w:lang w:val="en-US" w:eastAsia="zh-CN"/>
        </w:rPr>
        <w:t>8.2</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的要求；RAP掺量占总矿料质量的30%及以上时，厂拌热再生沥青混合料的-10℃低温弯曲试验破坏应变宜符合表</w:t>
      </w:r>
      <w:r>
        <w:rPr>
          <w:rFonts w:hint="default" w:ascii="Times New Roman" w:hAnsi="Times New Roman" w:eastAsia="仿宋_GB2312" w:cs="Times New Roman"/>
          <w:sz w:val="24"/>
          <w:lang w:val="en-US" w:eastAsia="zh-CN"/>
        </w:rPr>
        <w:t>8.2</w:t>
      </w:r>
      <w:r>
        <w:rPr>
          <w:rFonts w:hint="default" w:ascii="Times New Roman" w:hAnsi="Times New Roman" w:eastAsia="仿宋_GB2312" w:cs="Times New Roman"/>
          <w:sz w:val="24"/>
        </w:rPr>
        <w:t>-3的要求。</w:t>
      </w:r>
    </w:p>
    <w:p w14:paraId="76AFD554">
      <w:pPr>
        <w:spacing w:line="360" w:lineRule="auto"/>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表8.2</w:t>
      </w:r>
      <w:r>
        <w:rPr>
          <w:rFonts w:hint="default" w:ascii="Times New Roman" w:hAnsi="Times New Roman" w:eastAsia="仿宋_GB2312" w:cs="Times New Roman"/>
          <w:b/>
          <w:bCs/>
          <w:szCs w:val="21"/>
        </w:rPr>
        <w:t>-3  厂拌热再生沥青混合料低温弯曲试验破坏应变技术要求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926"/>
        <w:gridCol w:w="1498"/>
        <w:gridCol w:w="1498"/>
        <w:gridCol w:w="1500"/>
        <w:gridCol w:w="1063"/>
      </w:tblGrid>
      <w:tr w14:paraId="4DE5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3134" w:type="dxa"/>
            <w:vMerge w:val="restart"/>
            <w:vAlign w:val="center"/>
          </w:tcPr>
          <w:p w14:paraId="37446C0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指  标</w:t>
            </w:r>
          </w:p>
        </w:tc>
        <w:tc>
          <w:tcPr>
            <w:tcW w:w="926" w:type="dxa"/>
            <w:vMerge w:val="restart"/>
            <w:vAlign w:val="center"/>
          </w:tcPr>
          <w:p w14:paraId="5954A992">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单位</w:t>
            </w:r>
          </w:p>
        </w:tc>
        <w:tc>
          <w:tcPr>
            <w:tcW w:w="4496" w:type="dxa"/>
            <w:gridSpan w:val="3"/>
            <w:vAlign w:val="center"/>
          </w:tcPr>
          <w:p w14:paraId="657D2CF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技术要求</w:t>
            </w:r>
          </w:p>
        </w:tc>
        <w:tc>
          <w:tcPr>
            <w:tcW w:w="1063" w:type="dxa"/>
            <w:vMerge w:val="restart"/>
            <w:vAlign w:val="center"/>
          </w:tcPr>
          <w:p w14:paraId="01829D3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试验方法</w:t>
            </w:r>
          </w:p>
        </w:tc>
      </w:tr>
      <w:tr w14:paraId="1601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3134" w:type="dxa"/>
            <w:vMerge w:val="continue"/>
            <w:vAlign w:val="center"/>
          </w:tcPr>
          <w:p w14:paraId="3B2521B3">
            <w:pPr>
              <w:spacing w:line="0" w:lineRule="atLeast"/>
              <w:jc w:val="center"/>
              <w:rPr>
                <w:rFonts w:hint="default" w:ascii="Times New Roman" w:hAnsi="Times New Roman" w:eastAsia="仿宋_GB2312" w:cs="Times New Roman"/>
                <w:color w:val="000000"/>
                <w:szCs w:val="21"/>
              </w:rPr>
            </w:pPr>
          </w:p>
        </w:tc>
        <w:tc>
          <w:tcPr>
            <w:tcW w:w="926" w:type="dxa"/>
            <w:vMerge w:val="continue"/>
            <w:vAlign w:val="center"/>
          </w:tcPr>
          <w:p w14:paraId="4ECAACFB">
            <w:pPr>
              <w:jc w:val="center"/>
              <w:rPr>
                <w:rFonts w:hint="default" w:ascii="Times New Roman" w:hAnsi="Times New Roman" w:eastAsia="仿宋_GB2312" w:cs="Times New Roman"/>
                <w:color w:val="000000"/>
                <w:szCs w:val="21"/>
              </w:rPr>
            </w:pPr>
          </w:p>
        </w:tc>
        <w:tc>
          <w:tcPr>
            <w:tcW w:w="1498" w:type="dxa"/>
            <w:vAlign w:val="center"/>
          </w:tcPr>
          <w:p w14:paraId="00542F4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AC-20C</w:t>
            </w:r>
          </w:p>
        </w:tc>
        <w:tc>
          <w:tcPr>
            <w:tcW w:w="1498" w:type="dxa"/>
            <w:vAlign w:val="center"/>
          </w:tcPr>
          <w:p w14:paraId="305FA33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AC-13C</w:t>
            </w:r>
          </w:p>
        </w:tc>
        <w:tc>
          <w:tcPr>
            <w:tcW w:w="1500" w:type="dxa"/>
            <w:vAlign w:val="center"/>
          </w:tcPr>
          <w:p w14:paraId="09DA9B9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SMA-13</w:t>
            </w:r>
          </w:p>
        </w:tc>
        <w:tc>
          <w:tcPr>
            <w:tcW w:w="1063" w:type="dxa"/>
            <w:vMerge w:val="continue"/>
            <w:vAlign w:val="center"/>
          </w:tcPr>
          <w:p w14:paraId="7EB73887">
            <w:pPr>
              <w:spacing w:line="0" w:lineRule="atLeast"/>
              <w:jc w:val="center"/>
              <w:rPr>
                <w:rFonts w:hint="default" w:ascii="Times New Roman" w:hAnsi="Times New Roman" w:eastAsia="仿宋_GB2312" w:cs="Times New Roman"/>
                <w:color w:val="000000"/>
                <w:szCs w:val="21"/>
              </w:rPr>
            </w:pPr>
          </w:p>
        </w:tc>
      </w:tr>
      <w:tr w14:paraId="4C63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34" w:type="dxa"/>
            <w:vAlign w:val="center"/>
          </w:tcPr>
          <w:p w14:paraId="45696D1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-10℃低温弯曲试验破坏应变</w:t>
            </w:r>
          </w:p>
        </w:tc>
        <w:tc>
          <w:tcPr>
            <w:tcW w:w="926" w:type="dxa"/>
            <w:vAlign w:val="center"/>
          </w:tcPr>
          <w:p w14:paraId="58D979CD">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 w:val="24"/>
              </w:rPr>
              <w:t>μ</w:t>
            </w:r>
            <w:r>
              <w:rPr>
                <w:rFonts w:hint="default" w:ascii="Times New Roman" w:hAnsi="Times New Roman" w:eastAsia="仿宋_GB2312" w:cs="Times New Roman"/>
                <w:color w:val="000000"/>
                <w:szCs w:val="21"/>
              </w:rPr>
              <w:t>ε</w:t>
            </w:r>
          </w:p>
        </w:tc>
        <w:tc>
          <w:tcPr>
            <w:tcW w:w="1498" w:type="dxa"/>
            <w:vAlign w:val="center"/>
          </w:tcPr>
          <w:p w14:paraId="6242E97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w:t>
            </w:r>
          </w:p>
        </w:tc>
        <w:tc>
          <w:tcPr>
            <w:tcW w:w="1498" w:type="dxa"/>
            <w:vAlign w:val="center"/>
          </w:tcPr>
          <w:p w14:paraId="399FAAD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w:t>
            </w:r>
          </w:p>
        </w:tc>
        <w:tc>
          <w:tcPr>
            <w:tcW w:w="1500" w:type="dxa"/>
            <w:vAlign w:val="center"/>
          </w:tcPr>
          <w:p w14:paraId="23B4322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≥2000</w:t>
            </w:r>
          </w:p>
        </w:tc>
        <w:tc>
          <w:tcPr>
            <w:tcW w:w="1063" w:type="dxa"/>
            <w:vAlign w:val="center"/>
          </w:tcPr>
          <w:p w14:paraId="2F1AF54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0715</w:t>
            </w:r>
          </w:p>
        </w:tc>
      </w:tr>
    </w:tbl>
    <w:p w14:paraId="2097C050">
      <w:pPr>
        <w:rPr>
          <w:rFonts w:hint="default" w:ascii="Times New Roman" w:hAnsi="Times New Roman" w:eastAsia="仿宋_GB2312" w:cs="Times New Roman"/>
          <w:szCs w:val="21"/>
        </w:rPr>
      </w:pPr>
    </w:p>
    <w:p w14:paraId="5AB880E2">
      <w:pPr>
        <w:spacing w:before="156" w:beforeLines="5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br w:type="page"/>
      </w:r>
    </w:p>
    <w:p w14:paraId="65A456F5">
      <w:pPr>
        <w:numPr>
          <w:ilvl w:val="0"/>
          <w:numId w:val="2"/>
        </w:numPr>
        <w:spacing w:line="360" w:lineRule="auto"/>
        <w:ind w:firstLine="0"/>
        <w:outlineLvl w:val="0"/>
        <w:rPr>
          <w:rFonts w:hint="default" w:ascii="Times New Roman" w:hAnsi="Times New Roman" w:eastAsia="仿宋_GB2312" w:cs="Times New Roman"/>
          <w:b/>
          <w:bCs/>
          <w:sz w:val="32"/>
          <w:szCs w:val="22"/>
          <w:highlight w:val="none"/>
          <w:lang w:val="en-US" w:eastAsia="zh-CN"/>
        </w:rPr>
      </w:pPr>
      <w:bookmarkStart w:id="105" w:name="_Toc26619"/>
      <w:bookmarkStart w:id="106" w:name="_Toc7901"/>
      <w:bookmarkStart w:id="107" w:name="_Toc23272"/>
      <w:bookmarkStart w:id="108" w:name="_Toc22873"/>
      <w:bookmarkStart w:id="109" w:name="_Toc20560"/>
      <w:r>
        <w:rPr>
          <w:rFonts w:hint="default" w:ascii="Times New Roman" w:hAnsi="Times New Roman" w:eastAsia="仿宋_GB2312" w:cs="Times New Roman"/>
          <w:b/>
          <w:bCs/>
          <w:sz w:val="32"/>
          <w:szCs w:val="22"/>
          <w:highlight w:val="none"/>
          <w:lang w:val="en-US" w:eastAsia="zh-CN"/>
        </w:rPr>
        <w:t>再生沥青路面施工</w:t>
      </w:r>
      <w:bookmarkEnd w:id="105"/>
      <w:bookmarkEnd w:id="106"/>
      <w:bookmarkEnd w:id="107"/>
      <w:bookmarkEnd w:id="108"/>
      <w:bookmarkEnd w:id="109"/>
    </w:p>
    <w:p w14:paraId="7A5652E5">
      <w:pPr>
        <w:spacing w:line="360" w:lineRule="auto"/>
        <w:outlineLvl w:val="1"/>
        <w:rPr>
          <w:rFonts w:hint="default" w:ascii="Times New Roman" w:hAnsi="Times New Roman" w:eastAsia="仿宋_GB2312" w:cs="Times New Roman"/>
          <w:b/>
          <w:bCs/>
          <w:sz w:val="24"/>
        </w:rPr>
      </w:pPr>
      <w:bookmarkStart w:id="110" w:name="_Toc6450"/>
      <w:bookmarkStart w:id="111" w:name="_Toc16262"/>
      <w:bookmarkStart w:id="112" w:name="_Toc24697"/>
      <w:bookmarkStart w:id="113" w:name="_Toc14905"/>
      <w:bookmarkStart w:id="114" w:name="_Toc4877"/>
      <w:r>
        <w:rPr>
          <w:rFonts w:hint="default" w:ascii="Times New Roman" w:hAnsi="Times New Roman" w:eastAsia="仿宋_GB2312" w:cs="Times New Roman"/>
          <w:b/>
          <w:bCs/>
          <w:sz w:val="24"/>
          <w:lang w:val="en-US" w:eastAsia="zh-CN"/>
        </w:rPr>
        <w:t>9</w:t>
      </w:r>
      <w:r>
        <w:rPr>
          <w:rFonts w:hint="default" w:ascii="Times New Roman" w:hAnsi="Times New Roman" w:eastAsia="仿宋_GB2312" w:cs="Times New Roman"/>
          <w:b/>
          <w:bCs/>
          <w:sz w:val="24"/>
        </w:rPr>
        <w:t>.1 一般要求</w:t>
      </w:r>
      <w:bookmarkEnd w:id="110"/>
      <w:bookmarkEnd w:id="111"/>
      <w:bookmarkEnd w:id="112"/>
      <w:bookmarkEnd w:id="113"/>
      <w:bookmarkEnd w:id="114"/>
    </w:p>
    <w:p w14:paraId="3CCBDFA2">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9.1.1 再生沥青路面施工前应检查下承层。下承层应密实平整，强度应符合设计要求，病害应进行处理，验收合格后方可进行下道工序施工。</w:t>
      </w:r>
    </w:p>
    <w:p w14:paraId="3B2AEA31">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9.1.2 施工前应配备满足要求的RAP油石分离设备</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拌和设备</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运输车</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摊铺机</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压路机等生产施工设备，并保证其处于良好的工作状态。</w:t>
      </w:r>
    </w:p>
    <w:p w14:paraId="48607B07">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9.1.3 </w:t>
      </w:r>
      <w:r>
        <w:rPr>
          <w:rFonts w:hint="default" w:ascii="Times New Roman" w:hAnsi="Times New Roman" w:eastAsia="仿宋_GB2312" w:cs="Times New Roman"/>
          <w:sz w:val="24"/>
          <w:szCs w:val="32"/>
          <w:lang w:val="en-US" w:eastAsia="zh-CN"/>
        </w:rPr>
        <w:t>正式施工前</w:t>
      </w:r>
      <w:r>
        <w:rPr>
          <w:rFonts w:hint="default" w:ascii="Times New Roman" w:hAnsi="Times New Roman" w:eastAsia="仿宋_GB2312" w:cs="Times New Roman"/>
          <w:sz w:val="24"/>
          <w:szCs w:val="32"/>
        </w:rPr>
        <w:t>应按生产配合比进行试拌，铺筑试验段，试验段长度不宜小于200m。应通过试验段确定标准配合比和施工工艺，</w:t>
      </w:r>
      <w:r>
        <w:rPr>
          <w:rFonts w:hint="default" w:ascii="Times New Roman" w:hAnsi="Times New Roman" w:eastAsia="仿宋_GB2312" w:cs="Times New Roman"/>
          <w:sz w:val="24"/>
          <w:szCs w:val="32"/>
          <w:lang w:val="en-US" w:eastAsia="zh-CN"/>
        </w:rPr>
        <w:t>施工期间不能随意更改。</w:t>
      </w:r>
    </w:p>
    <w:p w14:paraId="767298DB">
      <w:pPr>
        <w:spacing w:line="360" w:lineRule="auto"/>
        <w:ind w:firstLine="480" w:firstLineChars="200"/>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9.1.4 基于油石分离的厂拌热再生路面施工应满足</w:t>
      </w:r>
      <w:r>
        <w:rPr>
          <w:rFonts w:hint="default" w:ascii="Times New Roman" w:hAnsi="Times New Roman" w:eastAsia="仿宋_GB2312" w:cs="Times New Roman"/>
          <w:sz w:val="24"/>
        </w:rPr>
        <w:t>《公路沥青路面施工技术规范》</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JTG F40-2004</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的要求。</w:t>
      </w:r>
    </w:p>
    <w:p w14:paraId="0732D753">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 xml:space="preserve"> 再生沥青面层</w:t>
      </w:r>
      <w:r>
        <w:rPr>
          <w:rFonts w:hint="default" w:ascii="Times New Roman" w:hAnsi="Times New Roman" w:eastAsia="仿宋_GB2312" w:cs="Times New Roman"/>
          <w:sz w:val="24"/>
          <w:lang w:val="en-US" w:eastAsia="zh-CN"/>
        </w:rPr>
        <w:t>施工温度</w:t>
      </w:r>
      <w:r>
        <w:rPr>
          <w:rFonts w:hint="default" w:ascii="Times New Roman" w:hAnsi="Times New Roman" w:eastAsia="仿宋_GB2312" w:cs="Times New Roman"/>
          <w:sz w:val="24"/>
        </w:rPr>
        <w:t>不</w:t>
      </w:r>
      <w:r>
        <w:rPr>
          <w:rFonts w:hint="default" w:ascii="Times New Roman" w:hAnsi="Times New Roman" w:eastAsia="仿宋_GB2312" w:cs="Times New Roman"/>
          <w:sz w:val="24"/>
          <w:lang w:val="en-US" w:eastAsia="zh-CN"/>
        </w:rPr>
        <w:t>宜</w:t>
      </w:r>
      <w:r>
        <w:rPr>
          <w:rFonts w:hint="default" w:ascii="Times New Roman" w:hAnsi="Times New Roman" w:eastAsia="仿宋_GB2312" w:cs="Times New Roman"/>
          <w:sz w:val="24"/>
        </w:rPr>
        <w:t>低于10℃。施工期间应密切注意天气变化，已摊铺的沥青层因遇雨未进行压实的应予以铲除。</w:t>
      </w:r>
    </w:p>
    <w:p w14:paraId="03A16E79">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b w:val="0"/>
          <w:bCs w:val="0"/>
          <w:sz w:val="24"/>
          <w:lang w:val="en-US" w:eastAsia="zh-CN"/>
        </w:rPr>
        <w:t>9.1.6 再生</w:t>
      </w:r>
      <w:r>
        <w:rPr>
          <w:rFonts w:hint="default" w:ascii="Times New Roman" w:hAnsi="Times New Roman" w:eastAsia="仿宋_GB2312" w:cs="Times New Roman"/>
          <w:sz w:val="24"/>
        </w:rPr>
        <w:t>沥青混合料</w:t>
      </w:r>
      <w:r>
        <w:rPr>
          <w:rFonts w:hint="default" w:ascii="Times New Roman" w:hAnsi="Times New Roman" w:eastAsia="仿宋_GB2312" w:cs="Times New Roman"/>
          <w:sz w:val="24"/>
          <w:lang w:val="en-US" w:eastAsia="zh-CN"/>
        </w:rPr>
        <w:t>各阶段温度控制，应满足</w:t>
      </w:r>
      <w:r>
        <w:rPr>
          <w:rFonts w:hint="default" w:ascii="Times New Roman" w:hAnsi="Times New Roman" w:eastAsia="仿宋_GB2312" w:cs="Times New Roman"/>
          <w:sz w:val="24"/>
        </w:rPr>
        <w:t>表</w:t>
      </w:r>
      <w:r>
        <w:rPr>
          <w:rFonts w:hint="default" w:ascii="Times New Roman" w:hAnsi="Times New Roman" w:eastAsia="仿宋_GB2312" w:cs="Times New Roman"/>
          <w:sz w:val="24"/>
          <w:lang w:val="en-US" w:eastAsia="zh-CN"/>
        </w:rPr>
        <w:t>9.1</w:t>
      </w: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的要求</w:t>
      </w:r>
      <w:r>
        <w:rPr>
          <w:rFonts w:hint="default" w:ascii="Times New Roman" w:hAnsi="Times New Roman" w:eastAsia="仿宋_GB2312" w:cs="Times New Roman"/>
          <w:sz w:val="24"/>
        </w:rPr>
        <w:t>。</w:t>
      </w:r>
    </w:p>
    <w:p w14:paraId="5752E024">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9.1</w:t>
      </w:r>
      <w:r>
        <w:rPr>
          <w:rFonts w:hint="default" w:ascii="Times New Roman" w:hAnsi="Times New Roman" w:eastAsia="仿宋_GB2312" w:cs="Times New Roman"/>
          <w:b/>
          <w:bCs/>
          <w:szCs w:val="21"/>
        </w:rPr>
        <w:t xml:space="preserve">-1  </w:t>
      </w:r>
      <w:r>
        <w:rPr>
          <w:rFonts w:hint="default" w:ascii="Times New Roman" w:hAnsi="Times New Roman" w:eastAsia="仿宋_GB2312" w:cs="Times New Roman"/>
          <w:b/>
          <w:bCs/>
          <w:szCs w:val="21"/>
          <w:lang w:val="en-US" w:eastAsia="zh-CN"/>
        </w:rPr>
        <w:t>再生</w:t>
      </w:r>
      <w:r>
        <w:rPr>
          <w:rFonts w:hint="default" w:ascii="Times New Roman" w:hAnsi="Times New Roman" w:eastAsia="仿宋_GB2312" w:cs="Times New Roman"/>
          <w:b/>
          <w:bCs/>
          <w:szCs w:val="21"/>
        </w:rPr>
        <w:t>沥青混合料施工温度（℃）</w:t>
      </w:r>
    </w:p>
    <w:tbl>
      <w:tblPr>
        <w:tblStyle w:val="1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2113"/>
        <w:gridCol w:w="2864"/>
        <w:gridCol w:w="2443"/>
      </w:tblGrid>
      <w:tr w14:paraId="760F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jc w:val="center"/>
        </w:trPr>
        <w:tc>
          <w:tcPr>
            <w:tcW w:w="2320" w:type="dxa"/>
            <w:vMerge w:val="restart"/>
            <w:vAlign w:val="center"/>
          </w:tcPr>
          <w:p w14:paraId="20EF6CE8">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工序</w:t>
            </w:r>
          </w:p>
        </w:tc>
        <w:tc>
          <w:tcPr>
            <w:tcW w:w="7420" w:type="dxa"/>
            <w:gridSpan w:val="3"/>
            <w:vAlign w:val="center"/>
          </w:tcPr>
          <w:p w14:paraId="3260AFA5">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沥青混合料类型</w:t>
            </w:r>
          </w:p>
        </w:tc>
      </w:tr>
      <w:tr w14:paraId="00D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blHeader/>
          <w:jc w:val="center"/>
        </w:trPr>
        <w:tc>
          <w:tcPr>
            <w:tcW w:w="2320" w:type="dxa"/>
            <w:vMerge w:val="continue"/>
            <w:vAlign w:val="center"/>
          </w:tcPr>
          <w:p w14:paraId="765DFBB6">
            <w:pPr>
              <w:jc w:val="center"/>
              <w:rPr>
                <w:rFonts w:hint="default" w:ascii="Times New Roman" w:hAnsi="Times New Roman" w:eastAsia="仿宋_GB2312" w:cs="Times New Roman"/>
                <w:szCs w:val="21"/>
              </w:rPr>
            </w:pPr>
          </w:p>
        </w:tc>
        <w:tc>
          <w:tcPr>
            <w:tcW w:w="2113" w:type="dxa"/>
            <w:vAlign w:val="center"/>
          </w:tcPr>
          <w:p w14:paraId="5AA09BA3">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AC-25C沥青混合料</w:t>
            </w:r>
          </w:p>
        </w:tc>
        <w:tc>
          <w:tcPr>
            <w:tcW w:w="2864" w:type="dxa"/>
            <w:vAlign w:val="center"/>
          </w:tcPr>
          <w:p w14:paraId="3349B7C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AC-20C/AC-13C沥青混合料</w:t>
            </w:r>
          </w:p>
        </w:tc>
        <w:tc>
          <w:tcPr>
            <w:tcW w:w="2443" w:type="dxa"/>
            <w:vAlign w:val="center"/>
          </w:tcPr>
          <w:p w14:paraId="149442E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SMA-13沥青混合料</w:t>
            </w:r>
          </w:p>
        </w:tc>
      </w:tr>
      <w:tr w14:paraId="02A1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1B576614">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沥青加热温度</w:t>
            </w:r>
          </w:p>
        </w:tc>
        <w:tc>
          <w:tcPr>
            <w:tcW w:w="2113" w:type="dxa"/>
            <w:vAlign w:val="center"/>
          </w:tcPr>
          <w:p w14:paraId="729627DB">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155~165</w:t>
            </w:r>
          </w:p>
        </w:tc>
        <w:tc>
          <w:tcPr>
            <w:tcW w:w="2864" w:type="dxa"/>
            <w:vAlign w:val="center"/>
          </w:tcPr>
          <w:p w14:paraId="25A14FE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165~175</w:t>
            </w:r>
          </w:p>
        </w:tc>
        <w:tc>
          <w:tcPr>
            <w:tcW w:w="2443" w:type="dxa"/>
            <w:vAlign w:val="center"/>
          </w:tcPr>
          <w:p w14:paraId="77AA0BA9">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165~175</w:t>
            </w:r>
          </w:p>
        </w:tc>
      </w:tr>
      <w:tr w14:paraId="5B9D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1A97C365">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矿料加热温度</w:t>
            </w:r>
          </w:p>
        </w:tc>
        <w:tc>
          <w:tcPr>
            <w:tcW w:w="2113" w:type="dxa"/>
            <w:vAlign w:val="center"/>
          </w:tcPr>
          <w:p w14:paraId="7C9C2A1E">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170~180</w:t>
            </w:r>
          </w:p>
        </w:tc>
        <w:tc>
          <w:tcPr>
            <w:tcW w:w="2864" w:type="dxa"/>
            <w:vAlign w:val="center"/>
          </w:tcPr>
          <w:p w14:paraId="1EBAD84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190~200</w:t>
            </w:r>
          </w:p>
        </w:tc>
        <w:tc>
          <w:tcPr>
            <w:tcW w:w="2443" w:type="dxa"/>
            <w:vAlign w:val="center"/>
          </w:tcPr>
          <w:p w14:paraId="00108648">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190~220</w:t>
            </w:r>
          </w:p>
        </w:tc>
      </w:tr>
      <w:tr w14:paraId="5072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10F36789">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出料温度</w:t>
            </w:r>
          </w:p>
        </w:tc>
        <w:tc>
          <w:tcPr>
            <w:tcW w:w="2113" w:type="dxa"/>
            <w:vAlign w:val="center"/>
          </w:tcPr>
          <w:p w14:paraId="6DDFF7C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150~165</w:t>
            </w:r>
          </w:p>
        </w:tc>
        <w:tc>
          <w:tcPr>
            <w:tcW w:w="2864" w:type="dxa"/>
            <w:vAlign w:val="center"/>
          </w:tcPr>
          <w:p w14:paraId="1168AF8E">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175~185</w:t>
            </w:r>
          </w:p>
        </w:tc>
        <w:tc>
          <w:tcPr>
            <w:tcW w:w="2443" w:type="dxa"/>
            <w:vAlign w:val="center"/>
          </w:tcPr>
          <w:p w14:paraId="7911B088">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175~185</w:t>
            </w:r>
          </w:p>
        </w:tc>
      </w:tr>
      <w:tr w14:paraId="06B8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7B0D9BBC">
            <w:pPr>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贮料仓贮存温度</w:t>
            </w:r>
          </w:p>
        </w:tc>
        <w:tc>
          <w:tcPr>
            <w:tcW w:w="7420" w:type="dxa"/>
            <w:gridSpan w:val="3"/>
            <w:vAlign w:val="center"/>
          </w:tcPr>
          <w:p w14:paraId="2302E8D6">
            <w:pPr>
              <w:jc w:val="center"/>
              <w:rPr>
                <w:rFonts w:hint="default" w:ascii="Times New Roman" w:hAnsi="Times New Roman" w:eastAsia="仿宋_GB2312" w:cs="Times New Roman"/>
                <w:szCs w:val="21"/>
              </w:rPr>
            </w:pPr>
            <w:r>
              <w:rPr>
                <w:rFonts w:hint="default" w:ascii="Times New Roman" w:hAnsi="Times New Roman" w:eastAsia="仿宋_GB2312" w:cs="Times New Roman"/>
                <w:kern w:val="44"/>
              </w:rPr>
              <w:t>贮存过程中降温不超过10，否则废弃</w:t>
            </w:r>
          </w:p>
        </w:tc>
      </w:tr>
      <w:tr w14:paraId="2E6D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65BE81EA">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废弃温度</w:t>
            </w:r>
          </w:p>
        </w:tc>
        <w:tc>
          <w:tcPr>
            <w:tcW w:w="2113" w:type="dxa"/>
            <w:vAlign w:val="center"/>
          </w:tcPr>
          <w:p w14:paraId="75DA71AD">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&gt;180</w:t>
            </w:r>
          </w:p>
        </w:tc>
        <w:tc>
          <w:tcPr>
            <w:tcW w:w="2864" w:type="dxa"/>
            <w:vAlign w:val="center"/>
          </w:tcPr>
          <w:p w14:paraId="7E5E00E3">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&gt;190</w:t>
            </w:r>
          </w:p>
        </w:tc>
        <w:tc>
          <w:tcPr>
            <w:tcW w:w="2443" w:type="dxa"/>
            <w:vAlign w:val="center"/>
          </w:tcPr>
          <w:p w14:paraId="4F54F03F">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&gt;190</w:t>
            </w:r>
          </w:p>
        </w:tc>
      </w:tr>
      <w:tr w14:paraId="43A5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2862A1D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运输到现场温度</w:t>
            </w:r>
          </w:p>
        </w:tc>
        <w:tc>
          <w:tcPr>
            <w:tcW w:w="2113" w:type="dxa"/>
            <w:vAlign w:val="center"/>
          </w:tcPr>
          <w:p w14:paraId="17B50CBB">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≥150</w:t>
            </w:r>
          </w:p>
        </w:tc>
        <w:tc>
          <w:tcPr>
            <w:tcW w:w="2864" w:type="dxa"/>
            <w:vAlign w:val="center"/>
          </w:tcPr>
          <w:p w14:paraId="35AC4F20">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≥170</w:t>
            </w:r>
          </w:p>
        </w:tc>
        <w:tc>
          <w:tcPr>
            <w:tcW w:w="2443" w:type="dxa"/>
            <w:vAlign w:val="center"/>
          </w:tcPr>
          <w:p w14:paraId="61FC95A3">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≥175</w:t>
            </w:r>
          </w:p>
        </w:tc>
      </w:tr>
      <w:tr w14:paraId="63AA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77EEA6E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摊铺温度</w:t>
            </w:r>
          </w:p>
        </w:tc>
        <w:tc>
          <w:tcPr>
            <w:tcW w:w="2113" w:type="dxa"/>
            <w:vAlign w:val="center"/>
          </w:tcPr>
          <w:p w14:paraId="55B526FB">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≥145</w:t>
            </w:r>
          </w:p>
        </w:tc>
        <w:tc>
          <w:tcPr>
            <w:tcW w:w="2864" w:type="dxa"/>
            <w:vAlign w:val="center"/>
          </w:tcPr>
          <w:p w14:paraId="084F145F">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≥165</w:t>
            </w:r>
          </w:p>
        </w:tc>
        <w:tc>
          <w:tcPr>
            <w:tcW w:w="2443" w:type="dxa"/>
            <w:vAlign w:val="center"/>
          </w:tcPr>
          <w:p w14:paraId="38D02312">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≥170</w:t>
            </w:r>
          </w:p>
        </w:tc>
      </w:tr>
      <w:tr w14:paraId="567A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3999D12E">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开始碾压内部温度</w:t>
            </w:r>
          </w:p>
        </w:tc>
        <w:tc>
          <w:tcPr>
            <w:tcW w:w="2113" w:type="dxa"/>
            <w:vAlign w:val="center"/>
          </w:tcPr>
          <w:p w14:paraId="20663AE4">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≥140</w:t>
            </w:r>
          </w:p>
        </w:tc>
        <w:tc>
          <w:tcPr>
            <w:tcW w:w="2864" w:type="dxa"/>
            <w:vAlign w:val="center"/>
          </w:tcPr>
          <w:p w14:paraId="637984A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≥160</w:t>
            </w:r>
          </w:p>
        </w:tc>
        <w:tc>
          <w:tcPr>
            <w:tcW w:w="2443" w:type="dxa"/>
            <w:vAlign w:val="center"/>
          </w:tcPr>
          <w:p w14:paraId="1AB8F4AE">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≥165</w:t>
            </w:r>
          </w:p>
        </w:tc>
      </w:tr>
      <w:tr w14:paraId="3305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1139752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终压后表面温度</w:t>
            </w:r>
          </w:p>
        </w:tc>
        <w:tc>
          <w:tcPr>
            <w:tcW w:w="2113" w:type="dxa"/>
            <w:vAlign w:val="center"/>
          </w:tcPr>
          <w:p w14:paraId="7A5C7DC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≥80</w:t>
            </w:r>
          </w:p>
        </w:tc>
        <w:tc>
          <w:tcPr>
            <w:tcW w:w="2864" w:type="dxa"/>
            <w:vAlign w:val="center"/>
          </w:tcPr>
          <w:p w14:paraId="11300377">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≥90</w:t>
            </w:r>
          </w:p>
        </w:tc>
        <w:tc>
          <w:tcPr>
            <w:tcW w:w="2443" w:type="dxa"/>
            <w:vAlign w:val="center"/>
          </w:tcPr>
          <w:p w14:paraId="2D70D37D">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≥110</w:t>
            </w:r>
          </w:p>
        </w:tc>
      </w:tr>
      <w:tr w14:paraId="4A62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vAlign w:val="center"/>
          </w:tcPr>
          <w:p w14:paraId="46F3CEEF">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开放交通路表温度</w:t>
            </w:r>
          </w:p>
        </w:tc>
        <w:tc>
          <w:tcPr>
            <w:tcW w:w="2113" w:type="dxa"/>
            <w:vAlign w:val="center"/>
          </w:tcPr>
          <w:p w14:paraId="2DA74B31">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w:t>
            </w:r>
          </w:p>
        </w:tc>
        <w:tc>
          <w:tcPr>
            <w:tcW w:w="2864" w:type="dxa"/>
            <w:vAlign w:val="center"/>
          </w:tcPr>
          <w:p w14:paraId="22F3B81D">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w:t>
            </w:r>
          </w:p>
        </w:tc>
        <w:tc>
          <w:tcPr>
            <w:tcW w:w="2443" w:type="dxa"/>
            <w:vAlign w:val="center"/>
          </w:tcPr>
          <w:p w14:paraId="677DEF30">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≤50</w:t>
            </w:r>
          </w:p>
        </w:tc>
      </w:tr>
    </w:tbl>
    <w:p w14:paraId="3532248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rPr>
      </w:pPr>
    </w:p>
    <w:p w14:paraId="6934D80B">
      <w:pPr>
        <w:spacing w:line="360" w:lineRule="auto"/>
        <w:outlineLvl w:val="1"/>
        <w:rPr>
          <w:rFonts w:hint="default" w:ascii="Times New Roman" w:hAnsi="Times New Roman" w:eastAsia="仿宋_GB2312" w:cs="Times New Roman"/>
          <w:b/>
          <w:bCs/>
          <w:sz w:val="24"/>
          <w:lang w:val="en-US" w:eastAsia="zh-CN"/>
        </w:rPr>
      </w:pPr>
      <w:bookmarkStart w:id="115" w:name="_Toc11907"/>
      <w:bookmarkStart w:id="116" w:name="_Toc21669"/>
      <w:bookmarkStart w:id="117" w:name="_Toc32410"/>
      <w:bookmarkStart w:id="118" w:name="_Toc2904"/>
      <w:bookmarkStart w:id="119" w:name="_Toc18328"/>
      <w:r>
        <w:rPr>
          <w:rFonts w:hint="default" w:ascii="Times New Roman" w:hAnsi="Times New Roman" w:eastAsia="仿宋_GB2312" w:cs="Times New Roman"/>
          <w:b/>
          <w:bCs/>
          <w:sz w:val="24"/>
          <w:lang w:val="en-US" w:eastAsia="zh-CN"/>
        </w:rPr>
        <w:t>9</w:t>
      </w:r>
      <w:r>
        <w:rPr>
          <w:rFonts w:hint="default" w:ascii="Times New Roman" w:hAnsi="Times New Roman" w:eastAsia="仿宋_GB2312" w:cs="Times New Roman"/>
          <w:b/>
          <w:bCs/>
          <w:sz w:val="24"/>
        </w:rPr>
        <w:t xml:space="preserve">.2 </w:t>
      </w:r>
      <w:bookmarkEnd w:id="115"/>
      <w:r>
        <w:rPr>
          <w:rFonts w:hint="default" w:ascii="Times New Roman" w:hAnsi="Times New Roman" w:eastAsia="仿宋_GB2312" w:cs="Times New Roman"/>
          <w:b/>
          <w:bCs/>
          <w:sz w:val="24"/>
          <w:lang w:val="en-US" w:eastAsia="zh-CN"/>
        </w:rPr>
        <w:t>RAP回收处理</w:t>
      </w:r>
      <w:bookmarkEnd w:id="116"/>
    </w:p>
    <w:p w14:paraId="0D812B7C">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 xml:space="preserve">.2.1 </w:t>
      </w:r>
      <w:r>
        <w:rPr>
          <w:rFonts w:hint="default" w:ascii="Times New Roman" w:hAnsi="Times New Roman" w:eastAsia="仿宋_GB2312" w:cs="Times New Roman"/>
          <w:sz w:val="24"/>
          <w:lang w:val="en-US" w:eastAsia="zh-CN"/>
        </w:rPr>
        <w:t>应采取措施严格控制RAP变异性，对不同路况路段分段铣刨回收，并做好记录。</w:t>
      </w:r>
    </w:p>
    <w:p w14:paraId="5FD87BC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9.2.2 </w:t>
      </w:r>
      <w:r>
        <w:rPr>
          <w:rFonts w:hint="default" w:ascii="Times New Roman" w:hAnsi="Times New Roman" w:eastAsia="仿宋_GB2312" w:cs="Times New Roman"/>
          <w:sz w:val="24"/>
        </w:rPr>
        <w:t>铣刨机速度控制在3~5m/ min为宜，</w:t>
      </w:r>
      <w:r>
        <w:rPr>
          <w:rFonts w:hint="default" w:ascii="Times New Roman" w:hAnsi="Times New Roman" w:eastAsia="仿宋_GB2312" w:cs="Times New Roman"/>
          <w:sz w:val="24"/>
          <w:lang w:val="en-US" w:eastAsia="zh-CN"/>
        </w:rPr>
        <w:t>铣刨速度</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铣刨深度等参数应保持稳定，</w:t>
      </w:r>
      <w:r>
        <w:rPr>
          <w:rFonts w:hint="default" w:ascii="Times New Roman" w:hAnsi="Times New Roman" w:eastAsia="仿宋_GB2312" w:cs="Times New Roman"/>
          <w:sz w:val="24"/>
        </w:rPr>
        <w:t>铣刨过程尽量避免混入</w:t>
      </w:r>
      <w:r>
        <w:rPr>
          <w:rFonts w:hint="default" w:ascii="Times New Roman" w:hAnsi="Times New Roman" w:eastAsia="仿宋_GB2312" w:cs="Times New Roman"/>
          <w:sz w:val="24"/>
          <w:lang w:val="en-US" w:eastAsia="zh-CN"/>
        </w:rPr>
        <w:t>其它</w:t>
      </w:r>
      <w:r>
        <w:rPr>
          <w:rFonts w:hint="default" w:ascii="Times New Roman" w:hAnsi="Times New Roman" w:eastAsia="仿宋_GB2312" w:cs="Times New Roman"/>
          <w:sz w:val="24"/>
        </w:rPr>
        <w:t>建筑垃圾。</w:t>
      </w:r>
    </w:p>
    <w:p w14:paraId="2E38DF4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 铣刨完的RAP，应事先计划好堆放位置，堆料场要经过适当的硬化处理，对进厂的RAP回收料设置雨棚等防水措施。</w:t>
      </w:r>
    </w:p>
    <w:p w14:paraId="7C213866">
      <w:pPr>
        <w:spacing w:line="360" w:lineRule="auto"/>
        <w:ind w:firstLine="480" w:firstLineChars="200"/>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val="en-US" w:eastAsia="zh-CN"/>
        </w:rPr>
        <w:t>9.2.4 RAP进厂前应进行检验，满足要求后方可进厂，不合格RAP不得使用。</w:t>
      </w:r>
    </w:p>
    <w:p w14:paraId="3AA7162B">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9.2.5 </w:t>
      </w:r>
      <w:r>
        <w:rPr>
          <w:rFonts w:hint="default" w:ascii="Times New Roman" w:hAnsi="Times New Roman" w:eastAsia="仿宋_GB2312" w:cs="Times New Roman"/>
          <w:sz w:val="24"/>
        </w:rPr>
        <w:t>对场内RAP建立详细的材料档案，包括料堆最初日期、铣刨资料、大致吨数、各项数据指标，定期对RAP进行检测。</w:t>
      </w:r>
    </w:p>
    <w:p w14:paraId="7348E8A9">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.2.</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 xml:space="preserve"> 采用油石分离设备对铣刨的RAP进行破碎筛分</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宜将RAP筛分成</w:t>
      </w:r>
      <w:r>
        <w:rPr>
          <w:rFonts w:hint="default" w:ascii="Times New Roman" w:hAnsi="Times New Roman" w:eastAsia="仿宋_GB2312" w:cs="Times New Roman"/>
          <w:sz w:val="24"/>
          <w:lang w:val="en-US" w:eastAsia="zh-CN"/>
        </w:rPr>
        <w:t>3~5档</w:t>
      </w:r>
      <w:r>
        <w:rPr>
          <w:rFonts w:hint="default" w:ascii="Times New Roman" w:hAnsi="Times New Roman" w:eastAsia="仿宋_GB2312" w:cs="Times New Roman"/>
          <w:sz w:val="24"/>
        </w:rPr>
        <w:t>。</w:t>
      </w:r>
    </w:p>
    <w:p w14:paraId="0A97732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9.2.7 </w:t>
      </w:r>
      <w:r>
        <w:rPr>
          <w:rFonts w:hint="default" w:ascii="Times New Roman" w:hAnsi="Times New Roman" w:eastAsia="仿宋_GB2312" w:cs="Times New Roman"/>
          <w:sz w:val="24"/>
        </w:rPr>
        <w:t>不同</w:t>
      </w:r>
      <w:r>
        <w:rPr>
          <w:rFonts w:hint="default" w:ascii="Times New Roman" w:hAnsi="Times New Roman" w:eastAsia="仿宋_GB2312" w:cs="Times New Roman"/>
          <w:sz w:val="24"/>
          <w:lang w:val="en-US" w:eastAsia="zh-CN"/>
        </w:rPr>
        <w:t>料源</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品种</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规格的</w:t>
      </w:r>
      <w:r>
        <w:rPr>
          <w:rFonts w:hint="default" w:ascii="Times New Roman" w:hAnsi="Times New Roman" w:eastAsia="仿宋_GB2312" w:cs="Times New Roman"/>
          <w:sz w:val="24"/>
        </w:rPr>
        <w:t>RAP</w:t>
      </w:r>
      <w:r>
        <w:rPr>
          <w:rFonts w:hint="default" w:ascii="Times New Roman" w:hAnsi="Times New Roman" w:eastAsia="仿宋_GB2312" w:cs="Times New Roman"/>
          <w:sz w:val="24"/>
          <w:lang w:val="en-US" w:eastAsia="zh-CN"/>
        </w:rPr>
        <w:t>宜分开进行油石分离处理，分别设立清晰的材料标识牌</w:t>
      </w:r>
      <w:r>
        <w:rPr>
          <w:rFonts w:hint="default" w:ascii="Times New Roman" w:hAnsi="Times New Roman" w:eastAsia="仿宋_GB2312" w:cs="Times New Roman"/>
          <w:sz w:val="24"/>
        </w:rPr>
        <w:t>。</w:t>
      </w:r>
    </w:p>
    <w:p w14:paraId="03C18BAE">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9.2.8 油石分离RAP在堆放时应将其沿水平方向摊开，逐层堆放。</w:t>
      </w:r>
    </w:p>
    <w:p w14:paraId="7E4886B2">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9.2.8 油石分离RAP不宜长期堆放，应避免离析</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结团。</w:t>
      </w:r>
    </w:p>
    <w:p w14:paraId="5305E7AF">
      <w:pPr>
        <w:spacing w:line="360" w:lineRule="auto"/>
        <w:outlineLvl w:val="1"/>
        <w:rPr>
          <w:rFonts w:hint="default" w:ascii="Times New Roman" w:hAnsi="Times New Roman" w:eastAsia="仿宋_GB2312" w:cs="Times New Roman"/>
          <w:b/>
          <w:bCs/>
          <w:sz w:val="24"/>
        </w:rPr>
      </w:pPr>
      <w:bookmarkStart w:id="120" w:name="_Toc4968"/>
      <w:bookmarkStart w:id="121" w:name="_Toc22556"/>
      <w:r>
        <w:rPr>
          <w:rFonts w:hint="default" w:ascii="Times New Roman" w:hAnsi="Times New Roman" w:eastAsia="仿宋_GB2312" w:cs="Times New Roman"/>
          <w:b/>
          <w:bCs/>
          <w:sz w:val="24"/>
          <w:lang w:val="en-US" w:eastAsia="zh-CN"/>
        </w:rPr>
        <w:t>9</w:t>
      </w:r>
      <w:r>
        <w:rPr>
          <w:rFonts w:hint="default" w:ascii="Times New Roman" w:hAnsi="Times New Roman" w:eastAsia="仿宋_GB2312" w:cs="Times New Roman"/>
          <w:b/>
          <w:bCs/>
          <w:sz w:val="24"/>
        </w:rPr>
        <w:t>.3 拌合</w:t>
      </w:r>
      <w:bookmarkEnd w:id="117"/>
      <w:bookmarkEnd w:id="118"/>
      <w:bookmarkEnd w:id="119"/>
      <w:bookmarkEnd w:id="120"/>
      <w:bookmarkEnd w:id="121"/>
    </w:p>
    <w:p w14:paraId="2256A03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.3.1 每盘</w:t>
      </w:r>
      <w:r>
        <w:rPr>
          <w:rFonts w:hint="default" w:ascii="Times New Roman" w:hAnsi="Times New Roman" w:eastAsia="仿宋_GB2312" w:cs="Times New Roman"/>
          <w:sz w:val="24"/>
          <w:lang w:val="en-US" w:eastAsia="zh-CN"/>
        </w:rPr>
        <w:t>RAP</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新</w:t>
      </w:r>
      <w:r>
        <w:rPr>
          <w:rFonts w:hint="default" w:ascii="Times New Roman" w:hAnsi="Times New Roman" w:eastAsia="仿宋_GB2312" w:cs="Times New Roman"/>
          <w:sz w:val="24"/>
        </w:rPr>
        <w:t>集料、填料、沥青等材料应按生产配合比确定的用量进入拌合机，沥青拌合机的矿粉仓应配备振动、破拱装置，以防矿粉起拱。</w:t>
      </w:r>
    </w:p>
    <w:p w14:paraId="679A5045">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再生混合料的拌和时间应根据具体情况经试拌确定，拌和的混合料应均匀无花白料。干拌时间宜比普通热拌沥青混合料延长5~10s，总拌和时间宜比普通热拌沥青混合料延长10~30s。各阶段拌和时间宜在表</w:t>
      </w: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.3-1规定的范围内。</w:t>
      </w:r>
    </w:p>
    <w:p w14:paraId="4F235FF2">
      <w:pPr>
        <w:spacing w:before="156" w:beforeLines="50"/>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表</w:t>
      </w:r>
      <w:r>
        <w:rPr>
          <w:rFonts w:hint="default" w:ascii="Times New Roman" w:hAnsi="Times New Roman" w:eastAsia="仿宋_GB2312" w:cs="Times New Roman"/>
          <w:b/>
          <w:bCs/>
          <w:sz w:val="24"/>
          <w:lang w:val="en-US" w:eastAsia="zh-CN"/>
        </w:rPr>
        <w:t>9</w:t>
      </w:r>
      <w:r>
        <w:rPr>
          <w:rFonts w:hint="default" w:ascii="Times New Roman" w:hAnsi="Times New Roman" w:eastAsia="仿宋_GB2312" w:cs="Times New Roman"/>
          <w:b/>
          <w:bCs/>
          <w:sz w:val="24"/>
        </w:rPr>
        <w:t>.3.1  厂拌热再生沥青混合料拌和时间</w:t>
      </w:r>
    </w:p>
    <w:tbl>
      <w:tblPr>
        <w:tblStyle w:val="17"/>
        <w:tblW w:w="9283" w:type="dxa"/>
        <w:jc w:val="center"/>
        <w:tblLayout w:type="fixed"/>
        <w:tblCellMar>
          <w:top w:w="0" w:type="dxa"/>
          <w:left w:w="108" w:type="dxa"/>
          <w:bottom w:w="0" w:type="dxa"/>
          <w:right w:w="108" w:type="dxa"/>
        </w:tblCellMar>
      </w:tblPr>
      <w:tblGrid>
        <w:gridCol w:w="2169"/>
        <w:gridCol w:w="1369"/>
        <w:gridCol w:w="1448"/>
        <w:gridCol w:w="1520"/>
        <w:gridCol w:w="1521"/>
        <w:gridCol w:w="1256"/>
      </w:tblGrid>
      <w:tr w14:paraId="5F99DA31">
        <w:tblPrEx>
          <w:tblCellMar>
            <w:top w:w="0" w:type="dxa"/>
            <w:left w:w="108" w:type="dxa"/>
            <w:bottom w:w="0" w:type="dxa"/>
            <w:right w:w="108" w:type="dxa"/>
          </w:tblCellMar>
        </w:tblPrEx>
        <w:trPr>
          <w:trHeight w:val="311" w:hRule="atLeast"/>
          <w:jc w:val="center"/>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0C47">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项目</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0C2C">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RAP</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4CC8">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再生剂</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E179">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新集料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336E">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新沥青</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EA53">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矿粉</w:t>
            </w:r>
          </w:p>
        </w:tc>
      </w:tr>
      <w:tr w14:paraId="78E0300F">
        <w:tblPrEx>
          <w:tblCellMar>
            <w:top w:w="0" w:type="dxa"/>
            <w:left w:w="108" w:type="dxa"/>
            <w:bottom w:w="0" w:type="dxa"/>
            <w:right w:w="108" w:type="dxa"/>
          </w:tblCellMar>
        </w:tblPrEx>
        <w:trPr>
          <w:trHeight w:val="311" w:hRule="atLeast"/>
          <w:jc w:val="center"/>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7E82">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拌和时间（S）</w:t>
            </w:r>
          </w:p>
        </w:tc>
        <w:tc>
          <w:tcPr>
            <w:tcW w:w="2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F80E">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10～15</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26E0">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10～15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1238">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15～20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3BC7">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20～25</w:t>
            </w:r>
          </w:p>
        </w:tc>
      </w:tr>
      <w:tr w14:paraId="1DC60EC2">
        <w:tblPrEx>
          <w:tblCellMar>
            <w:top w:w="0" w:type="dxa"/>
            <w:left w:w="108" w:type="dxa"/>
            <w:bottom w:w="0" w:type="dxa"/>
            <w:right w:w="108" w:type="dxa"/>
          </w:tblCellMar>
        </w:tblPrEx>
        <w:trPr>
          <w:trHeight w:val="311" w:hRule="atLeast"/>
          <w:jc w:val="center"/>
        </w:trPr>
        <w:tc>
          <w:tcPr>
            <w:tcW w:w="2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CC3C">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总拌和时间（S）</w:t>
            </w:r>
          </w:p>
        </w:tc>
        <w:tc>
          <w:tcPr>
            <w:tcW w:w="711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EA22">
            <w:pPr>
              <w:widowControl/>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lang w:bidi="ar"/>
              </w:rPr>
              <w:t>55～75</w:t>
            </w:r>
          </w:p>
        </w:tc>
      </w:tr>
    </w:tbl>
    <w:p w14:paraId="186058F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sz w:val="24"/>
        </w:rPr>
      </w:pPr>
    </w:p>
    <w:p w14:paraId="39E4E73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 宜通过目测检查混合料的均匀性，及时分析异常现象。如混合料有无花白、冒青烟和离析等现象。如确认是质量问题，应作废料处理并及时予以纠正。</w:t>
      </w:r>
    </w:p>
    <w:p w14:paraId="79F9683F">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严禁使用回收粉尘代替矿粉。</w:t>
      </w:r>
    </w:p>
    <w:p w14:paraId="569492A5">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 xml:space="preserve"> 再生沥青混合料的生产温度应符合下列规定:</w:t>
      </w:r>
    </w:p>
    <w:p w14:paraId="39FEFB3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拌和时应适当提高新集料的加热温度，但最高不宜超过200℃。</w:t>
      </w:r>
    </w:p>
    <w:p w14:paraId="42190ABB">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RAP加热温度不宜低于110℃，不宜超过130℃</w:t>
      </w:r>
    </w:p>
    <w:p w14:paraId="74611E4B">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再生混合料出料温度应比相应类型的热拌沥青混合料高5~10℃。</w:t>
      </w:r>
    </w:p>
    <w:p w14:paraId="7DAAA265">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.3.</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 xml:space="preserve"> 拌和过程中应避免RAP过热或加热不足的情况。RAP过热、碳化时，应予废弃。</w:t>
      </w:r>
    </w:p>
    <w:p w14:paraId="2CB3D8A3">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9.3.7 再生沥青混合料拌和的其它要求，应满足</w:t>
      </w:r>
      <w:r>
        <w:rPr>
          <w:rFonts w:hint="default" w:ascii="Times New Roman" w:hAnsi="Times New Roman" w:eastAsia="仿宋_GB2312" w:cs="Times New Roman"/>
          <w:sz w:val="24"/>
        </w:rPr>
        <w:t>《公路沥青路面施工技术规范》</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JTG F40-2004</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对热拌沥青混合料的要求。</w:t>
      </w:r>
    </w:p>
    <w:p w14:paraId="111EA11B">
      <w:pPr>
        <w:spacing w:line="360" w:lineRule="auto"/>
        <w:outlineLvl w:val="1"/>
        <w:rPr>
          <w:rFonts w:hint="default" w:ascii="Times New Roman" w:hAnsi="Times New Roman" w:eastAsia="仿宋_GB2312" w:cs="Times New Roman"/>
          <w:b/>
          <w:bCs/>
          <w:sz w:val="24"/>
        </w:rPr>
      </w:pPr>
      <w:bookmarkStart w:id="122" w:name="_Toc7544"/>
      <w:bookmarkStart w:id="123" w:name="_Toc287"/>
      <w:bookmarkStart w:id="124" w:name="_Toc4001"/>
      <w:bookmarkStart w:id="125" w:name="_Toc12884"/>
      <w:bookmarkStart w:id="126" w:name="_Toc4547"/>
      <w:r>
        <w:rPr>
          <w:rFonts w:hint="default" w:ascii="Times New Roman" w:hAnsi="Times New Roman" w:eastAsia="仿宋_GB2312" w:cs="Times New Roman"/>
          <w:b/>
          <w:bCs/>
          <w:sz w:val="24"/>
          <w:lang w:val="en-US" w:eastAsia="zh-CN"/>
        </w:rPr>
        <w:t>9</w:t>
      </w:r>
      <w:r>
        <w:rPr>
          <w:rFonts w:hint="default" w:ascii="Times New Roman" w:hAnsi="Times New Roman" w:eastAsia="仿宋_GB2312" w:cs="Times New Roman"/>
          <w:b/>
          <w:bCs/>
          <w:sz w:val="24"/>
        </w:rPr>
        <w:t>.4 运输</w:t>
      </w:r>
      <w:bookmarkEnd w:id="122"/>
      <w:bookmarkEnd w:id="123"/>
      <w:bookmarkEnd w:id="124"/>
      <w:bookmarkEnd w:id="125"/>
      <w:bookmarkEnd w:id="126"/>
    </w:p>
    <w:p w14:paraId="6C35662D">
      <w:pPr>
        <w:spacing w:line="360" w:lineRule="auto"/>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9.4.1 应采用载重质量15t以上的自卸车运输厂拌热再生沥青混合料</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运输车数量应满足连续摊铺施工的要求，</w:t>
      </w:r>
      <w:r>
        <w:rPr>
          <w:rFonts w:hint="default" w:ascii="Times New Roman" w:hAnsi="Times New Roman" w:eastAsia="仿宋_GB2312" w:cs="Times New Roman"/>
          <w:sz w:val="24"/>
        </w:rPr>
        <w:t>摊铺机前方应有5辆运料车等候卸料为宜</w:t>
      </w:r>
      <w:r>
        <w:rPr>
          <w:rFonts w:hint="default" w:ascii="Times New Roman" w:hAnsi="Times New Roman" w:eastAsia="仿宋_GB2312" w:cs="Times New Roman"/>
          <w:sz w:val="24"/>
          <w:lang w:val="en-US" w:eastAsia="zh-CN"/>
        </w:rPr>
        <w:t>。</w:t>
      </w:r>
    </w:p>
    <w:p w14:paraId="5D89247A">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9.4.2 </w:t>
      </w:r>
      <w:r>
        <w:rPr>
          <w:rFonts w:hint="default" w:ascii="Times New Roman" w:hAnsi="Times New Roman" w:eastAsia="仿宋_GB2312" w:cs="Times New Roman"/>
          <w:sz w:val="24"/>
        </w:rPr>
        <w:t>运料车应有篷布覆盖设施，卸料过程中继续覆盖直至到卸料结束取走篷布，以对混合料进行保温或避免污染。在气温较低时，运输车车厢侧面应加装保温层。</w:t>
      </w:r>
    </w:p>
    <w:p w14:paraId="61EAA523">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.4.</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 采用水银温度计或数字显示插入式热电偶温度计检测混合料的出厂温度和运到现场温度。插入深度要大于150mm。在运料卡车侧面中部设专用检测孔，孔口距车箱底面约300mm。</w:t>
      </w:r>
    </w:p>
    <w:p w14:paraId="40900C20">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.4.</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拌合机向运料车放料时，汽车应前后移动，分“前、后、中”三次装料，以减少粗集料的离析。</w:t>
      </w:r>
    </w:p>
    <w:p w14:paraId="1827A9A9">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.4.</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 xml:space="preserve"> 连续摊铺过程中，运料车在摊铺机前10~30cm处停住，不得撞击摊铺机。卸料过程中运料车应挂空档，靠摊铺机推动前进。</w:t>
      </w:r>
    </w:p>
    <w:p w14:paraId="3840F311">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 xml:space="preserve">.4.6 </w:t>
      </w:r>
      <w:r>
        <w:rPr>
          <w:rFonts w:hint="default" w:ascii="Times New Roman" w:hAnsi="Times New Roman" w:eastAsia="仿宋_GB2312" w:cs="Times New Roman"/>
          <w:sz w:val="24"/>
          <w:lang w:val="en-US" w:eastAsia="zh-CN"/>
        </w:rPr>
        <w:t>再生</w:t>
      </w:r>
      <w:r>
        <w:rPr>
          <w:rFonts w:hint="default" w:ascii="Times New Roman" w:hAnsi="Times New Roman" w:eastAsia="仿宋_GB2312" w:cs="Times New Roman"/>
          <w:sz w:val="24"/>
        </w:rPr>
        <w:t>沥青混合料运至摊铺现场后应检查混合料温度，对温度不符合要求或已结团成块、已被雨水淋湿的混合料不得卸料铺筑，应进行废除。</w:t>
      </w:r>
    </w:p>
    <w:p w14:paraId="7483C2CE">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.4.7 运料车不得急刹车、急弯掉头使下承层受损。</w:t>
      </w:r>
    </w:p>
    <w:p w14:paraId="598BE87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.4.8 运料车中混合料应尽量完全卸入摊铺机料斗中，不留余料。少量未卸完余料应集中运至废料堆放区，不得就近倾倒至摊铺机前用于摊铺，影响施工质量。</w:t>
      </w:r>
    </w:p>
    <w:p w14:paraId="0ED1EFC7">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.4.</w:t>
      </w: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 xml:space="preserve"> 运料车车厢板上不得使用柴油、废机油等作为防止沥青黏结的隔离剂或防黏剂。</w:t>
      </w:r>
    </w:p>
    <w:p w14:paraId="6C14D653">
      <w:pPr>
        <w:spacing w:line="360" w:lineRule="auto"/>
        <w:outlineLvl w:val="1"/>
        <w:rPr>
          <w:rFonts w:hint="default" w:ascii="Times New Roman" w:hAnsi="Times New Roman" w:eastAsia="仿宋_GB2312" w:cs="Times New Roman"/>
          <w:b/>
          <w:bCs/>
          <w:sz w:val="24"/>
        </w:rPr>
      </w:pPr>
      <w:bookmarkStart w:id="127" w:name="_Toc24178"/>
      <w:bookmarkStart w:id="128" w:name="_Toc11922"/>
      <w:bookmarkStart w:id="129" w:name="_Toc27141"/>
      <w:bookmarkStart w:id="130" w:name="_Toc9136"/>
      <w:bookmarkStart w:id="131" w:name="_Toc19778"/>
      <w:r>
        <w:rPr>
          <w:rFonts w:hint="default" w:ascii="Times New Roman" w:hAnsi="Times New Roman" w:eastAsia="仿宋_GB2312" w:cs="Times New Roman"/>
          <w:b/>
          <w:bCs/>
          <w:sz w:val="24"/>
          <w:lang w:val="en-US" w:eastAsia="zh-CN"/>
        </w:rPr>
        <w:t>9</w:t>
      </w:r>
      <w:r>
        <w:rPr>
          <w:rFonts w:hint="default" w:ascii="Times New Roman" w:hAnsi="Times New Roman" w:eastAsia="仿宋_GB2312" w:cs="Times New Roman"/>
          <w:b/>
          <w:bCs/>
          <w:sz w:val="24"/>
        </w:rPr>
        <w:t>.5 摊铺</w:t>
      </w:r>
      <w:bookmarkEnd w:id="127"/>
      <w:bookmarkEnd w:id="128"/>
      <w:bookmarkEnd w:id="129"/>
      <w:bookmarkEnd w:id="130"/>
      <w:bookmarkEnd w:id="131"/>
    </w:p>
    <w:p w14:paraId="4DA0B16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 xml:space="preserve">.5.1 </w:t>
      </w:r>
      <w:r>
        <w:rPr>
          <w:rFonts w:hint="default" w:ascii="Times New Roman" w:hAnsi="Times New Roman" w:eastAsia="仿宋_GB2312" w:cs="Times New Roman"/>
          <w:sz w:val="24"/>
          <w:lang w:val="en-US" w:eastAsia="zh-CN"/>
        </w:rPr>
        <w:t>当</w:t>
      </w:r>
      <w:r>
        <w:rPr>
          <w:rFonts w:hint="default" w:ascii="Times New Roman" w:hAnsi="Times New Roman" w:eastAsia="仿宋_GB2312" w:cs="Times New Roman"/>
          <w:sz w:val="24"/>
        </w:rPr>
        <w:t>采用2台</w:t>
      </w:r>
      <w:r>
        <w:rPr>
          <w:rFonts w:hint="default" w:ascii="Times New Roman" w:hAnsi="Times New Roman" w:eastAsia="仿宋_GB2312" w:cs="Times New Roman"/>
          <w:sz w:val="24"/>
          <w:lang w:val="en-US" w:eastAsia="zh-CN"/>
        </w:rPr>
        <w:t>及</w:t>
      </w:r>
      <w:r>
        <w:rPr>
          <w:rFonts w:hint="default" w:ascii="Times New Roman" w:hAnsi="Times New Roman" w:eastAsia="仿宋_GB2312" w:cs="Times New Roman"/>
          <w:sz w:val="24"/>
        </w:rPr>
        <w:t>以上摊铺机</w:t>
      </w:r>
      <w:r>
        <w:rPr>
          <w:rFonts w:hint="default" w:ascii="Times New Roman" w:hAnsi="Times New Roman" w:eastAsia="仿宋_GB2312" w:cs="Times New Roman"/>
          <w:sz w:val="24"/>
          <w:lang w:val="en-US" w:eastAsia="zh-CN"/>
        </w:rPr>
        <w:t>施工</w:t>
      </w:r>
      <w:r>
        <w:rPr>
          <w:rFonts w:hint="default" w:ascii="Times New Roman" w:hAnsi="Times New Roman" w:eastAsia="仿宋_GB2312" w:cs="Times New Roman"/>
          <w:sz w:val="24"/>
        </w:rPr>
        <w:t>时</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宜选用相</w:t>
      </w:r>
      <w:r>
        <w:rPr>
          <w:rFonts w:hint="default" w:ascii="Times New Roman" w:hAnsi="Times New Roman" w:eastAsia="仿宋_GB2312" w:cs="Times New Roman"/>
          <w:sz w:val="24"/>
        </w:rPr>
        <w:t>同厂家、</w:t>
      </w:r>
      <w:r>
        <w:rPr>
          <w:rFonts w:hint="default" w:ascii="Times New Roman" w:hAnsi="Times New Roman" w:eastAsia="仿宋_GB2312" w:cs="Times New Roman"/>
          <w:sz w:val="24"/>
          <w:lang w:val="en-US" w:eastAsia="zh-CN"/>
        </w:rPr>
        <w:t>相</w:t>
      </w:r>
      <w:r>
        <w:rPr>
          <w:rFonts w:hint="default" w:ascii="Times New Roman" w:hAnsi="Times New Roman" w:eastAsia="仿宋_GB2312" w:cs="Times New Roman"/>
          <w:sz w:val="24"/>
        </w:rPr>
        <w:t>同型号、新旧程度相近的伸缩式摊铺机进行摊铺。</w:t>
      </w:r>
    </w:p>
    <w:p w14:paraId="690E8862">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.5.</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摊铺前0.5~1h将烫平板预热不低于110℃，摊铺时熨平板应采用中强夯等级，使铺面的初始压实度不小于85%。</w:t>
      </w:r>
    </w:p>
    <w:p w14:paraId="478692C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.5.</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 摊铺机在摊铺过程中不得随意变换速度或中途停顿，以提高平整度，减少混合料温度离析。</w:t>
      </w:r>
    </w:p>
    <w:p w14:paraId="495882BE">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.5.</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摊铺机应调整到最佳工作状态，螺旋布料器内的料位以高于螺旋布料器2/3为度，使熨平板的挡板前混合料的高度在全宽范围内保持一致，避免摊铺层出现离析现象。</w:t>
      </w:r>
    </w:p>
    <w:p w14:paraId="1B8AD3C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.5.</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 xml:space="preserve"> 尽量做到摊铺机不拢料或减少拢料次数，以减少离析。</w:t>
      </w:r>
    </w:p>
    <w:p w14:paraId="41C36B52">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.5.</w:t>
      </w:r>
      <w:r>
        <w:rPr>
          <w:rFonts w:hint="default" w:ascii="Times New Roman" w:hAnsi="Times New Roman" w:eastAsia="仿宋_GB2312" w:cs="Times New Roman"/>
          <w:sz w:val="24"/>
          <w:lang w:val="en-US" w:eastAsia="zh-CN"/>
        </w:rPr>
        <w:t>6</w:t>
      </w:r>
      <w:r>
        <w:rPr>
          <w:rFonts w:hint="default" w:ascii="Times New Roman" w:hAnsi="Times New Roman" w:eastAsia="仿宋_GB2312" w:cs="Times New Roman"/>
          <w:sz w:val="24"/>
        </w:rPr>
        <w:t xml:space="preserve"> 摊铺遇雨时，立即停止施工，并清除未压实成型的混合料，遭受雨淋的混合料应废弃，不得卸入摊铺机摊铺。</w:t>
      </w:r>
    </w:p>
    <w:p w14:paraId="78AD183E">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.5.</w:t>
      </w:r>
      <w:r>
        <w:rPr>
          <w:rFonts w:hint="default" w:ascii="Times New Roman" w:hAnsi="Times New Roman" w:eastAsia="仿宋_GB2312" w:cs="Times New Roman"/>
          <w:sz w:val="24"/>
          <w:lang w:val="en-US" w:eastAsia="zh-CN"/>
        </w:rPr>
        <w:t>7</w:t>
      </w:r>
      <w:r>
        <w:rPr>
          <w:rFonts w:hint="default" w:ascii="Times New Roman" w:hAnsi="Times New Roman" w:eastAsia="仿宋_GB2312" w:cs="Times New Roman"/>
          <w:sz w:val="24"/>
        </w:rPr>
        <w:t xml:space="preserve"> 摊铺机残留</w:t>
      </w:r>
      <w:r>
        <w:rPr>
          <w:rFonts w:hint="default" w:ascii="Times New Roman" w:hAnsi="Times New Roman" w:eastAsia="仿宋_GB2312" w:cs="Times New Roman"/>
          <w:sz w:val="24"/>
          <w:lang w:val="en-US" w:eastAsia="zh-CN"/>
        </w:rPr>
        <w:t>的再生</w:t>
      </w:r>
      <w:r>
        <w:rPr>
          <w:rFonts w:hint="default" w:ascii="Times New Roman" w:hAnsi="Times New Roman" w:eastAsia="仿宋_GB2312" w:cs="Times New Roman"/>
          <w:sz w:val="24"/>
        </w:rPr>
        <w:t>沥青混合料温度不满足要求时，应及时采用人工铲除废弃。</w:t>
      </w:r>
    </w:p>
    <w:p w14:paraId="363D8CD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.5.</w:t>
      </w: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 xml:space="preserve"> 再生混合料的摊铺温度宜比相应的热拌沥青混合料摊铺温度提高5~10℃。</w:t>
      </w:r>
    </w:p>
    <w:p w14:paraId="2531D19C">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5.</w:t>
      </w: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 xml:space="preserve"> 再生混合料摊铺的</w:t>
      </w:r>
      <w:r>
        <w:rPr>
          <w:rFonts w:hint="default" w:ascii="Times New Roman" w:hAnsi="Times New Roman" w:eastAsia="仿宋_GB2312" w:cs="Times New Roman"/>
          <w:sz w:val="24"/>
          <w:lang w:val="en-US" w:eastAsia="zh-CN"/>
        </w:rPr>
        <w:t>其它</w:t>
      </w:r>
      <w:r>
        <w:rPr>
          <w:rFonts w:hint="default" w:ascii="Times New Roman" w:hAnsi="Times New Roman" w:eastAsia="仿宋_GB2312" w:cs="Times New Roman"/>
          <w:sz w:val="24"/>
        </w:rPr>
        <w:t>要求，应符合《公路沥青路面施工技术规范》(JTGF40-2004)对热拌沥青混合料路面的有关规定。</w:t>
      </w:r>
    </w:p>
    <w:p w14:paraId="2664E5ED">
      <w:pPr>
        <w:spacing w:line="360" w:lineRule="auto"/>
        <w:outlineLvl w:val="1"/>
        <w:rPr>
          <w:rFonts w:hint="default" w:ascii="Times New Roman" w:hAnsi="Times New Roman" w:eastAsia="仿宋_GB2312" w:cs="Times New Roman"/>
          <w:b/>
          <w:bCs/>
          <w:sz w:val="24"/>
          <w:lang w:eastAsia="zh-CN"/>
        </w:rPr>
      </w:pPr>
      <w:bookmarkStart w:id="132" w:name="_Toc5117"/>
      <w:bookmarkStart w:id="133" w:name="_Toc10581"/>
      <w:bookmarkStart w:id="134" w:name="_Toc17007"/>
      <w:bookmarkStart w:id="135" w:name="_Toc19119"/>
      <w:bookmarkStart w:id="136" w:name="_Toc32120"/>
      <w:r>
        <w:rPr>
          <w:rFonts w:hint="default" w:ascii="Times New Roman" w:hAnsi="Times New Roman" w:eastAsia="仿宋_GB2312" w:cs="Times New Roman"/>
          <w:b/>
          <w:bCs/>
          <w:sz w:val="24"/>
          <w:lang w:val="en-US" w:eastAsia="zh-CN"/>
        </w:rPr>
        <w:t>9</w:t>
      </w:r>
      <w:r>
        <w:rPr>
          <w:rFonts w:hint="default" w:ascii="Times New Roman" w:hAnsi="Times New Roman" w:eastAsia="仿宋_GB2312" w:cs="Times New Roman"/>
          <w:b/>
          <w:bCs/>
          <w:sz w:val="24"/>
        </w:rPr>
        <w:t xml:space="preserve">.6 </w:t>
      </w:r>
      <w:bookmarkEnd w:id="132"/>
      <w:bookmarkEnd w:id="133"/>
      <w:bookmarkEnd w:id="134"/>
      <w:bookmarkEnd w:id="135"/>
      <w:r>
        <w:rPr>
          <w:rFonts w:hint="default" w:ascii="Times New Roman" w:hAnsi="Times New Roman" w:eastAsia="仿宋_GB2312" w:cs="Times New Roman"/>
          <w:b/>
          <w:bCs/>
          <w:sz w:val="24"/>
          <w:lang w:val="en-US" w:eastAsia="zh-CN"/>
        </w:rPr>
        <w:t>碾压</w:t>
      </w:r>
      <w:bookmarkEnd w:id="136"/>
    </w:p>
    <w:p w14:paraId="7E071B46">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.6.1 碾压应遵循紧跟、慢压、高频、低幅、少水的原则梯状进行。不得在低温状态下反复碾压，防止磨掉石料棱角、压碎石料、破坏石料嵌挤。</w:t>
      </w:r>
    </w:p>
    <w:p w14:paraId="5DFDD84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 xml:space="preserve">.6.2 </w:t>
      </w:r>
      <w:r>
        <w:rPr>
          <w:rFonts w:hint="default" w:ascii="Times New Roman" w:hAnsi="Times New Roman" w:eastAsia="仿宋_GB2312" w:cs="Times New Roman"/>
          <w:sz w:val="24"/>
          <w:lang w:val="en-US" w:eastAsia="zh-CN"/>
        </w:rPr>
        <w:t>再生</w:t>
      </w:r>
      <w:r>
        <w:rPr>
          <w:rFonts w:hint="default" w:ascii="Times New Roman" w:hAnsi="Times New Roman" w:eastAsia="仿宋_GB2312" w:cs="Times New Roman"/>
          <w:sz w:val="24"/>
        </w:rPr>
        <w:t>沥青面层的压实按初压、复压和终压三个阶段进行。压路机应以慢而均匀的速度碾压</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碾压速度</w:t>
      </w:r>
      <w:r>
        <w:rPr>
          <w:rFonts w:hint="default" w:ascii="Times New Roman" w:hAnsi="Times New Roman" w:eastAsia="仿宋_GB2312" w:cs="Times New Roman"/>
          <w:sz w:val="24"/>
          <w:lang w:val="en-US" w:eastAsia="zh-CN"/>
        </w:rPr>
        <w:t>应满足</w:t>
      </w:r>
      <w:r>
        <w:rPr>
          <w:rFonts w:hint="default" w:ascii="Times New Roman" w:hAnsi="Times New Roman" w:eastAsia="仿宋_GB2312" w:cs="Times New Roman"/>
          <w:sz w:val="24"/>
        </w:rPr>
        <w:t>表</w:t>
      </w: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.6-1</w:t>
      </w:r>
      <w:r>
        <w:rPr>
          <w:rFonts w:hint="default" w:ascii="Times New Roman" w:hAnsi="Times New Roman" w:eastAsia="仿宋_GB2312" w:cs="Times New Roman"/>
          <w:sz w:val="24"/>
          <w:lang w:val="en-US" w:eastAsia="zh-CN"/>
        </w:rPr>
        <w:t>的要求</w:t>
      </w:r>
      <w:r>
        <w:rPr>
          <w:rFonts w:hint="default" w:ascii="Times New Roman" w:hAnsi="Times New Roman" w:eastAsia="仿宋_GB2312" w:cs="Times New Roman"/>
          <w:sz w:val="24"/>
        </w:rPr>
        <w:t>。</w:t>
      </w:r>
    </w:p>
    <w:p w14:paraId="33CCEC02">
      <w:pPr>
        <w:spacing w:line="360" w:lineRule="auto"/>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表</w:t>
      </w:r>
      <w:r>
        <w:rPr>
          <w:rFonts w:hint="default" w:ascii="Times New Roman" w:hAnsi="Times New Roman" w:eastAsia="仿宋_GB2312" w:cs="Times New Roman"/>
          <w:b/>
          <w:bCs/>
          <w:szCs w:val="21"/>
          <w:lang w:val="en-US" w:eastAsia="zh-CN"/>
        </w:rPr>
        <w:t>9</w:t>
      </w:r>
      <w:r>
        <w:rPr>
          <w:rFonts w:hint="default" w:ascii="Times New Roman" w:hAnsi="Times New Roman" w:eastAsia="仿宋_GB2312" w:cs="Times New Roman"/>
          <w:b/>
          <w:bCs/>
          <w:szCs w:val="21"/>
        </w:rPr>
        <w:t>.6-1  压路机碾压速度（km/h）</w:t>
      </w:r>
    </w:p>
    <w:tbl>
      <w:tblPr>
        <w:tblStyle w:val="1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668"/>
        <w:gridCol w:w="1668"/>
        <w:gridCol w:w="1136"/>
        <w:gridCol w:w="1101"/>
        <w:gridCol w:w="35"/>
        <w:gridCol w:w="1136"/>
        <w:gridCol w:w="1137"/>
      </w:tblGrid>
      <w:tr w14:paraId="4A6B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717" w:type="dxa"/>
            <w:vMerge w:val="restart"/>
            <w:vAlign w:val="center"/>
          </w:tcPr>
          <w:p w14:paraId="1DD12E81">
            <w:pPr>
              <w:pStyle w:val="26"/>
              <w:rPr>
                <w:rFonts w:hint="default" w:ascii="Times New Roman" w:hAnsi="Times New Roman" w:eastAsia="仿宋_GB2312" w:cs="Times New Roman"/>
              </w:rPr>
            </w:pPr>
            <w:r>
              <w:rPr>
                <w:rFonts w:hint="default" w:ascii="Times New Roman" w:hAnsi="Times New Roman" w:eastAsia="仿宋_GB2312" w:cs="Times New Roman"/>
              </w:rPr>
              <w:t>压路机类型</w:t>
            </w:r>
          </w:p>
        </w:tc>
        <w:tc>
          <w:tcPr>
            <w:tcW w:w="3336" w:type="dxa"/>
            <w:gridSpan w:val="2"/>
            <w:vAlign w:val="center"/>
          </w:tcPr>
          <w:p w14:paraId="3D3E583F">
            <w:pPr>
              <w:pStyle w:val="26"/>
              <w:rPr>
                <w:rFonts w:hint="default" w:ascii="Times New Roman" w:hAnsi="Times New Roman" w:eastAsia="仿宋_GB2312" w:cs="Times New Roman"/>
              </w:rPr>
            </w:pPr>
            <w:r>
              <w:rPr>
                <w:rFonts w:hint="default" w:ascii="Times New Roman" w:hAnsi="Times New Roman" w:eastAsia="仿宋_GB2312" w:cs="Times New Roman"/>
              </w:rPr>
              <w:t>初压</w:t>
            </w:r>
          </w:p>
        </w:tc>
        <w:tc>
          <w:tcPr>
            <w:tcW w:w="2237" w:type="dxa"/>
            <w:gridSpan w:val="2"/>
            <w:vAlign w:val="center"/>
          </w:tcPr>
          <w:p w14:paraId="74DCD404">
            <w:pPr>
              <w:pStyle w:val="26"/>
              <w:rPr>
                <w:rFonts w:hint="default" w:ascii="Times New Roman" w:hAnsi="Times New Roman" w:eastAsia="仿宋_GB2312" w:cs="Times New Roman"/>
              </w:rPr>
            </w:pPr>
            <w:r>
              <w:rPr>
                <w:rFonts w:hint="default" w:ascii="Times New Roman" w:hAnsi="Times New Roman" w:eastAsia="仿宋_GB2312" w:cs="Times New Roman"/>
              </w:rPr>
              <w:t>复压</w:t>
            </w:r>
          </w:p>
        </w:tc>
        <w:tc>
          <w:tcPr>
            <w:tcW w:w="2308" w:type="dxa"/>
            <w:gridSpan w:val="3"/>
            <w:vAlign w:val="center"/>
          </w:tcPr>
          <w:p w14:paraId="6965B2E6">
            <w:pPr>
              <w:pStyle w:val="26"/>
              <w:rPr>
                <w:rFonts w:hint="default" w:ascii="Times New Roman" w:hAnsi="Times New Roman" w:eastAsia="仿宋_GB2312" w:cs="Times New Roman"/>
              </w:rPr>
            </w:pPr>
            <w:r>
              <w:rPr>
                <w:rFonts w:hint="default" w:ascii="Times New Roman" w:hAnsi="Times New Roman" w:eastAsia="仿宋_GB2312" w:cs="Times New Roman"/>
              </w:rPr>
              <w:t>终压</w:t>
            </w:r>
          </w:p>
        </w:tc>
      </w:tr>
      <w:tr w14:paraId="009C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717" w:type="dxa"/>
            <w:vMerge w:val="continue"/>
            <w:vAlign w:val="center"/>
          </w:tcPr>
          <w:p w14:paraId="38DFCB23">
            <w:pPr>
              <w:pStyle w:val="26"/>
              <w:rPr>
                <w:rFonts w:hint="default" w:ascii="Times New Roman" w:hAnsi="Times New Roman" w:eastAsia="仿宋_GB2312" w:cs="Times New Roman"/>
              </w:rPr>
            </w:pPr>
          </w:p>
        </w:tc>
        <w:tc>
          <w:tcPr>
            <w:tcW w:w="1668" w:type="dxa"/>
            <w:vAlign w:val="center"/>
          </w:tcPr>
          <w:p w14:paraId="3CD45AAD">
            <w:pPr>
              <w:pStyle w:val="26"/>
              <w:rPr>
                <w:rFonts w:hint="default" w:ascii="Times New Roman" w:hAnsi="Times New Roman" w:eastAsia="仿宋_GB2312" w:cs="Times New Roman"/>
              </w:rPr>
            </w:pPr>
            <w:r>
              <w:rPr>
                <w:rFonts w:hint="default" w:ascii="Times New Roman" w:hAnsi="Times New Roman" w:eastAsia="仿宋_GB2312" w:cs="Times New Roman"/>
              </w:rPr>
              <w:t>适宜</w:t>
            </w:r>
          </w:p>
        </w:tc>
        <w:tc>
          <w:tcPr>
            <w:tcW w:w="1668" w:type="dxa"/>
            <w:vAlign w:val="center"/>
          </w:tcPr>
          <w:p w14:paraId="7AA1FC17">
            <w:pPr>
              <w:pStyle w:val="26"/>
              <w:rPr>
                <w:rFonts w:hint="default" w:ascii="Times New Roman" w:hAnsi="Times New Roman" w:eastAsia="仿宋_GB2312" w:cs="Times New Roman"/>
              </w:rPr>
            </w:pPr>
            <w:r>
              <w:rPr>
                <w:rFonts w:hint="default" w:ascii="Times New Roman" w:hAnsi="Times New Roman" w:eastAsia="仿宋_GB2312" w:cs="Times New Roman"/>
              </w:rPr>
              <w:t>最大</w:t>
            </w:r>
          </w:p>
        </w:tc>
        <w:tc>
          <w:tcPr>
            <w:tcW w:w="1136" w:type="dxa"/>
            <w:vAlign w:val="center"/>
          </w:tcPr>
          <w:p w14:paraId="3532B1B5">
            <w:pPr>
              <w:pStyle w:val="26"/>
              <w:rPr>
                <w:rFonts w:hint="default" w:ascii="Times New Roman" w:hAnsi="Times New Roman" w:eastAsia="仿宋_GB2312" w:cs="Times New Roman"/>
              </w:rPr>
            </w:pPr>
            <w:r>
              <w:rPr>
                <w:rFonts w:hint="default" w:ascii="Times New Roman" w:hAnsi="Times New Roman" w:eastAsia="仿宋_GB2312" w:cs="Times New Roman"/>
              </w:rPr>
              <w:t>适宜</w:t>
            </w:r>
          </w:p>
        </w:tc>
        <w:tc>
          <w:tcPr>
            <w:tcW w:w="1136" w:type="dxa"/>
            <w:gridSpan w:val="2"/>
            <w:vAlign w:val="center"/>
          </w:tcPr>
          <w:p w14:paraId="3FCAD2AF">
            <w:pPr>
              <w:pStyle w:val="26"/>
              <w:rPr>
                <w:rFonts w:hint="default" w:ascii="Times New Roman" w:hAnsi="Times New Roman" w:eastAsia="仿宋_GB2312" w:cs="Times New Roman"/>
              </w:rPr>
            </w:pPr>
            <w:r>
              <w:rPr>
                <w:rFonts w:hint="default" w:ascii="Times New Roman" w:hAnsi="Times New Roman" w:eastAsia="仿宋_GB2312" w:cs="Times New Roman"/>
              </w:rPr>
              <w:t>最大</w:t>
            </w:r>
          </w:p>
        </w:tc>
        <w:tc>
          <w:tcPr>
            <w:tcW w:w="1136" w:type="dxa"/>
            <w:vAlign w:val="center"/>
          </w:tcPr>
          <w:p w14:paraId="3E382C74">
            <w:pPr>
              <w:pStyle w:val="26"/>
              <w:rPr>
                <w:rFonts w:hint="default" w:ascii="Times New Roman" w:hAnsi="Times New Roman" w:eastAsia="仿宋_GB2312" w:cs="Times New Roman"/>
              </w:rPr>
            </w:pPr>
            <w:r>
              <w:rPr>
                <w:rFonts w:hint="default" w:ascii="Times New Roman" w:hAnsi="Times New Roman" w:eastAsia="仿宋_GB2312" w:cs="Times New Roman"/>
              </w:rPr>
              <w:t>适宜</w:t>
            </w:r>
          </w:p>
        </w:tc>
        <w:tc>
          <w:tcPr>
            <w:tcW w:w="1137" w:type="dxa"/>
            <w:vAlign w:val="center"/>
          </w:tcPr>
          <w:p w14:paraId="02E3301A">
            <w:pPr>
              <w:pStyle w:val="26"/>
              <w:rPr>
                <w:rFonts w:hint="default" w:ascii="Times New Roman" w:hAnsi="Times New Roman" w:eastAsia="仿宋_GB2312" w:cs="Times New Roman"/>
              </w:rPr>
            </w:pPr>
            <w:r>
              <w:rPr>
                <w:rFonts w:hint="default" w:ascii="Times New Roman" w:hAnsi="Times New Roman" w:eastAsia="仿宋_GB2312" w:cs="Times New Roman"/>
              </w:rPr>
              <w:t>最大</w:t>
            </w:r>
          </w:p>
        </w:tc>
      </w:tr>
      <w:tr w14:paraId="22A2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17" w:type="dxa"/>
            <w:vAlign w:val="center"/>
          </w:tcPr>
          <w:p w14:paraId="260776A3">
            <w:pPr>
              <w:pStyle w:val="26"/>
              <w:rPr>
                <w:rFonts w:hint="default" w:ascii="Times New Roman" w:hAnsi="Times New Roman" w:eastAsia="仿宋_GB2312" w:cs="Times New Roman"/>
              </w:rPr>
            </w:pPr>
            <w:r>
              <w:rPr>
                <w:rFonts w:hint="default" w:ascii="Times New Roman" w:hAnsi="Times New Roman" w:eastAsia="仿宋_GB2312" w:cs="Times New Roman"/>
              </w:rPr>
              <w:t>钢筒式压路机</w:t>
            </w:r>
          </w:p>
        </w:tc>
        <w:tc>
          <w:tcPr>
            <w:tcW w:w="1668" w:type="dxa"/>
            <w:vAlign w:val="center"/>
          </w:tcPr>
          <w:p w14:paraId="5D9316C4">
            <w:pPr>
              <w:pStyle w:val="26"/>
              <w:rPr>
                <w:rFonts w:hint="default" w:ascii="Times New Roman" w:hAnsi="Times New Roman" w:eastAsia="仿宋_GB2312" w:cs="Times New Roman"/>
              </w:rPr>
            </w:pPr>
            <w:r>
              <w:rPr>
                <w:rFonts w:hint="default" w:ascii="Times New Roman" w:hAnsi="Times New Roman" w:eastAsia="仿宋_GB2312" w:cs="Times New Roman"/>
              </w:rPr>
              <w:t>2~3</w:t>
            </w:r>
          </w:p>
        </w:tc>
        <w:tc>
          <w:tcPr>
            <w:tcW w:w="1668" w:type="dxa"/>
            <w:vAlign w:val="center"/>
          </w:tcPr>
          <w:p w14:paraId="384EA627">
            <w:pPr>
              <w:pStyle w:val="26"/>
              <w:rPr>
                <w:rFonts w:hint="default" w:ascii="Times New Roman" w:hAnsi="Times New Roman" w:eastAsia="仿宋_GB2312" w:cs="Times New Roman"/>
              </w:rPr>
            </w:pPr>
            <w:r>
              <w:rPr>
                <w:rFonts w:hint="default" w:ascii="Times New Roman" w:hAnsi="Times New Roman" w:eastAsia="仿宋_GB2312" w:cs="Times New Roman"/>
              </w:rPr>
              <w:t>4</w:t>
            </w:r>
          </w:p>
        </w:tc>
        <w:tc>
          <w:tcPr>
            <w:tcW w:w="1136" w:type="dxa"/>
            <w:vAlign w:val="center"/>
          </w:tcPr>
          <w:p w14:paraId="17556024">
            <w:pPr>
              <w:pStyle w:val="26"/>
              <w:rPr>
                <w:rFonts w:hint="default" w:ascii="Times New Roman" w:hAnsi="Times New Roman" w:eastAsia="仿宋_GB2312" w:cs="Times New Roman"/>
              </w:rPr>
            </w:pPr>
            <w:r>
              <w:rPr>
                <w:rFonts w:hint="default" w:ascii="Times New Roman" w:hAnsi="Times New Roman" w:eastAsia="仿宋_GB2312" w:cs="Times New Roman"/>
              </w:rPr>
              <w:t>3~5</w:t>
            </w:r>
          </w:p>
        </w:tc>
        <w:tc>
          <w:tcPr>
            <w:tcW w:w="1136" w:type="dxa"/>
            <w:gridSpan w:val="2"/>
            <w:vAlign w:val="center"/>
          </w:tcPr>
          <w:p w14:paraId="13665F74">
            <w:pPr>
              <w:pStyle w:val="26"/>
              <w:rPr>
                <w:rFonts w:hint="default" w:ascii="Times New Roman" w:hAnsi="Times New Roman" w:eastAsia="仿宋_GB2312" w:cs="Times New Roman"/>
              </w:rPr>
            </w:pPr>
            <w:r>
              <w:rPr>
                <w:rFonts w:hint="default" w:ascii="Times New Roman" w:hAnsi="Times New Roman" w:eastAsia="仿宋_GB2312" w:cs="Times New Roman"/>
              </w:rPr>
              <w:t>6</w:t>
            </w:r>
          </w:p>
        </w:tc>
        <w:tc>
          <w:tcPr>
            <w:tcW w:w="1136" w:type="dxa"/>
            <w:vAlign w:val="center"/>
          </w:tcPr>
          <w:p w14:paraId="44FC629A">
            <w:pPr>
              <w:pStyle w:val="26"/>
              <w:rPr>
                <w:rFonts w:hint="default" w:ascii="Times New Roman" w:hAnsi="Times New Roman" w:eastAsia="仿宋_GB2312" w:cs="Times New Roman"/>
              </w:rPr>
            </w:pPr>
            <w:r>
              <w:rPr>
                <w:rFonts w:hint="default" w:ascii="Times New Roman" w:hAnsi="Times New Roman" w:eastAsia="仿宋_GB2312" w:cs="Times New Roman"/>
              </w:rPr>
              <w:t>3~6</w:t>
            </w:r>
          </w:p>
        </w:tc>
        <w:tc>
          <w:tcPr>
            <w:tcW w:w="1137" w:type="dxa"/>
            <w:vAlign w:val="center"/>
          </w:tcPr>
          <w:p w14:paraId="4E32BA44">
            <w:pPr>
              <w:pStyle w:val="26"/>
              <w:rPr>
                <w:rFonts w:hint="default" w:ascii="Times New Roman" w:hAnsi="Times New Roman" w:eastAsia="仿宋_GB2312" w:cs="Times New Roman"/>
              </w:rPr>
            </w:pPr>
            <w:r>
              <w:rPr>
                <w:rFonts w:hint="default" w:ascii="Times New Roman" w:hAnsi="Times New Roman" w:eastAsia="仿宋_GB2312" w:cs="Times New Roman"/>
              </w:rPr>
              <w:t>6</w:t>
            </w:r>
          </w:p>
        </w:tc>
      </w:tr>
      <w:tr w14:paraId="75E2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17" w:type="dxa"/>
            <w:vAlign w:val="center"/>
          </w:tcPr>
          <w:p w14:paraId="3E5A29D0">
            <w:pPr>
              <w:pStyle w:val="26"/>
              <w:rPr>
                <w:rFonts w:hint="default" w:ascii="Times New Roman" w:hAnsi="Times New Roman" w:eastAsia="仿宋_GB2312" w:cs="Times New Roman"/>
              </w:rPr>
            </w:pPr>
            <w:r>
              <w:rPr>
                <w:rFonts w:hint="default" w:ascii="Times New Roman" w:hAnsi="Times New Roman" w:eastAsia="仿宋_GB2312" w:cs="Times New Roman"/>
              </w:rPr>
              <w:t>轮胎式压路机</w:t>
            </w:r>
          </w:p>
        </w:tc>
        <w:tc>
          <w:tcPr>
            <w:tcW w:w="1668" w:type="dxa"/>
            <w:vAlign w:val="center"/>
          </w:tcPr>
          <w:p w14:paraId="0AD9460A">
            <w:pPr>
              <w:pStyle w:val="26"/>
              <w:rPr>
                <w:rFonts w:hint="default" w:ascii="Times New Roman" w:hAnsi="Times New Roman" w:eastAsia="仿宋_GB2312" w:cs="Times New Roman"/>
              </w:rPr>
            </w:pPr>
            <w:r>
              <w:rPr>
                <w:rFonts w:hint="default" w:ascii="Times New Roman" w:hAnsi="Times New Roman" w:eastAsia="仿宋_GB2312" w:cs="Times New Roman"/>
              </w:rPr>
              <w:t>2~3</w:t>
            </w:r>
          </w:p>
        </w:tc>
        <w:tc>
          <w:tcPr>
            <w:tcW w:w="1668" w:type="dxa"/>
            <w:vAlign w:val="center"/>
          </w:tcPr>
          <w:p w14:paraId="6856EF64">
            <w:pPr>
              <w:pStyle w:val="26"/>
              <w:rPr>
                <w:rFonts w:hint="default" w:ascii="Times New Roman" w:hAnsi="Times New Roman" w:eastAsia="仿宋_GB2312" w:cs="Times New Roman"/>
              </w:rPr>
            </w:pPr>
            <w:r>
              <w:rPr>
                <w:rFonts w:hint="default" w:ascii="Times New Roman" w:hAnsi="Times New Roman" w:eastAsia="仿宋_GB2312" w:cs="Times New Roman"/>
              </w:rPr>
              <w:t>4</w:t>
            </w:r>
          </w:p>
        </w:tc>
        <w:tc>
          <w:tcPr>
            <w:tcW w:w="1136" w:type="dxa"/>
            <w:vAlign w:val="center"/>
          </w:tcPr>
          <w:p w14:paraId="2EB15B67">
            <w:pPr>
              <w:pStyle w:val="26"/>
              <w:rPr>
                <w:rFonts w:hint="default" w:ascii="Times New Roman" w:hAnsi="Times New Roman" w:eastAsia="仿宋_GB2312" w:cs="Times New Roman"/>
              </w:rPr>
            </w:pPr>
            <w:r>
              <w:rPr>
                <w:rFonts w:hint="default" w:ascii="Times New Roman" w:hAnsi="Times New Roman" w:eastAsia="仿宋_GB2312" w:cs="Times New Roman"/>
              </w:rPr>
              <w:t>3~5</w:t>
            </w:r>
          </w:p>
        </w:tc>
        <w:tc>
          <w:tcPr>
            <w:tcW w:w="1136" w:type="dxa"/>
            <w:gridSpan w:val="2"/>
            <w:vAlign w:val="center"/>
          </w:tcPr>
          <w:p w14:paraId="3DE5E01E">
            <w:pPr>
              <w:pStyle w:val="26"/>
              <w:rPr>
                <w:rFonts w:hint="default" w:ascii="Times New Roman" w:hAnsi="Times New Roman" w:eastAsia="仿宋_GB2312" w:cs="Times New Roman"/>
              </w:rPr>
            </w:pPr>
            <w:r>
              <w:rPr>
                <w:rFonts w:hint="default" w:ascii="Times New Roman" w:hAnsi="Times New Roman" w:eastAsia="仿宋_GB2312" w:cs="Times New Roman"/>
              </w:rPr>
              <w:t>6</w:t>
            </w:r>
          </w:p>
        </w:tc>
        <w:tc>
          <w:tcPr>
            <w:tcW w:w="1136" w:type="dxa"/>
            <w:vAlign w:val="center"/>
          </w:tcPr>
          <w:p w14:paraId="7AEEE150">
            <w:pPr>
              <w:pStyle w:val="26"/>
              <w:rPr>
                <w:rFonts w:hint="default" w:ascii="Times New Roman" w:hAnsi="Times New Roman" w:eastAsia="仿宋_GB2312" w:cs="Times New Roman"/>
              </w:rPr>
            </w:pPr>
            <w:r>
              <w:rPr>
                <w:rFonts w:hint="default" w:ascii="Times New Roman" w:hAnsi="Times New Roman" w:eastAsia="仿宋_GB2312" w:cs="Times New Roman"/>
              </w:rPr>
              <w:t>4~6</w:t>
            </w:r>
          </w:p>
        </w:tc>
        <w:tc>
          <w:tcPr>
            <w:tcW w:w="1137" w:type="dxa"/>
            <w:vAlign w:val="center"/>
          </w:tcPr>
          <w:p w14:paraId="111A18E7">
            <w:pPr>
              <w:pStyle w:val="26"/>
              <w:rPr>
                <w:rFonts w:hint="default" w:ascii="Times New Roman" w:hAnsi="Times New Roman" w:eastAsia="仿宋_GB2312" w:cs="Times New Roman"/>
              </w:rPr>
            </w:pPr>
            <w:r>
              <w:rPr>
                <w:rFonts w:hint="default" w:ascii="Times New Roman" w:hAnsi="Times New Roman" w:eastAsia="仿宋_GB2312" w:cs="Times New Roman"/>
              </w:rPr>
              <w:t>8</w:t>
            </w:r>
          </w:p>
        </w:tc>
      </w:tr>
      <w:tr w14:paraId="3EBB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17" w:type="dxa"/>
            <w:vAlign w:val="center"/>
          </w:tcPr>
          <w:p w14:paraId="1910EF17">
            <w:pPr>
              <w:pStyle w:val="26"/>
              <w:rPr>
                <w:rFonts w:hint="default" w:ascii="Times New Roman" w:hAnsi="Times New Roman" w:eastAsia="仿宋_GB2312" w:cs="Times New Roman"/>
              </w:rPr>
            </w:pPr>
            <w:r>
              <w:rPr>
                <w:rFonts w:hint="default" w:ascii="Times New Roman" w:hAnsi="Times New Roman" w:eastAsia="仿宋_GB2312" w:cs="Times New Roman"/>
              </w:rPr>
              <w:t>振动压路机</w:t>
            </w:r>
          </w:p>
        </w:tc>
        <w:tc>
          <w:tcPr>
            <w:tcW w:w="1668" w:type="dxa"/>
            <w:vAlign w:val="center"/>
          </w:tcPr>
          <w:p w14:paraId="00B7BCFE">
            <w:pPr>
              <w:pStyle w:val="26"/>
              <w:rPr>
                <w:rFonts w:hint="default" w:ascii="Times New Roman" w:hAnsi="Times New Roman" w:eastAsia="仿宋_GB2312" w:cs="Times New Roman"/>
              </w:rPr>
            </w:pPr>
            <w:r>
              <w:rPr>
                <w:rFonts w:hint="default" w:ascii="Times New Roman" w:hAnsi="Times New Roman" w:eastAsia="仿宋_GB2312" w:cs="Times New Roman"/>
              </w:rPr>
              <w:t>2~3</w:t>
            </w:r>
          </w:p>
          <w:p w14:paraId="72993800">
            <w:pPr>
              <w:pStyle w:val="26"/>
              <w:rPr>
                <w:rFonts w:hint="default" w:ascii="Times New Roman" w:hAnsi="Times New Roman" w:eastAsia="仿宋_GB2312" w:cs="Times New Roman"/>
              </w:rPr>
            </w:pPr>
            <w:r>
              <w:rPr>
                <w:rFonts w:hint="default" w:ascii="Times New Roman" w:hAnsi="Times New Roman" w:eastAsia="仿宋_GB2312" w:cs="Times New Roman"/>
              </w:rPr>
              <w:t>（静压或振动）</w:t>
            </w:r>
          </w:p>
        </w:tc>
        <w:tc>
          <w:tcPr>
            <w:tcW w:w="1668" w:type="dxa"/>
            <w:vAlign w:val="center"/>
          </w:tcPr>
          <w:p w14:paraId="79A63EA3">
            <w:pPr>
              <w:pStyle w:val="26"/>
              <w:rPr>
                <w:rFonts w:hint="default" w:ascii="Times New Roman" w:hAnsi="Times New Roman" w:eastAsia="仿宋_GB2312" w:cs="Times New Roman"/>
              </w:rPr>
            </w:pPr>
            <w:r>
              <w:rPr>
                <w:rFonts w:hint="default" w:ascii="Times New Roman" w:hAnsi="Times New Roman" w:eastAsia="仿宋_GB2312" w:cs="Times New Roman"/>
              </w:rPr>
              <w:t>3</w:t>
            </w:r>
          </w:p>
          <w:p w14:paraId="16F78E0B">
            <w:pPr>
              <w:pStyle w:val="26"/>
              <w:rPr>
                <w:rFonts w:hint="default" w:ascii="Times New Roman" w:hAnsi="Times New Roman" w:eastAsia="仿宋_GB2312" w:cs="Times New Roman"/>
              </w:rPr>
            </w:pPr>
            <w:r>
              <w:rPr>
                <w:rFonts w:hint="default" w:ascii="Times New Roman" w:hAnsi="Times New Roman" w:eastAsia="仿宋_GB2312" w:cs="Times New Roman"/>
              </w:rPr>
              <w:t>（静压或振动）</w:t>
            </w:r>
          </w:p>
        </w:tc>
        <w:tc>
          <w:tcPr>
            <w:tcW w:w="1136" w:type="dxa"/>
            <w:vAlign w:val="center"/>
          </w:tcPr>
          <w:p w14:paraId="3757011C">
            <w:pPr>
              <w:pStyle w:val="26"/>
              <w:rPr>
                <w:rFonts w:hint="default" w:ascii="Times New Roman" w:hAnsi="Times New Roman" w:eastAsia="仿宋_GB2312" w:cs="Times New Roman"/>
              </w:rPr>
            </w:pPr>
            <w:r>
              <w:rPr>
                <w:rFonts w:hint="default" w:ascii="Times New Roman" w:hAnsi="Times New Roman" w:eastAsia="仿宋_GB2312" w:cs="Times New Roman"/>
              </w:rPr>
              <w:t>3~4.5</w:t>
            </w:r>
          </w:p>
          <w:p w14:paraId="74BA488B">
            <w:pPr>
              <w:pStyle w:val="26"/>
              <w:rPr>
                <w:rFonts w:hint="default" w:ascii="Times New Roman" w:hAnsi="Times New Roman" w:eastAsia="仿宋_GB2312" w:cs="Times New Roman"/>
              </w:rPr>
            </w:pPr>
            <w:r>
              <w:rPr>
                <w:rFonts w:hint="default" w:ascii="Times New Roman" w:hAnsi="Times New Roman" w:eastAsia="仿宋_GB2312" w:cs="Times New Roman"/>
              </w:rPr>
              <w:t>（振动）</w:t>
            </w:r>
          </w:p>
        </w:tc>
        <w:tc>
          <w:tcPr>
            <w:tcW w:w="1136" w:type="dxa"/>
            <w:gridSpan w:val="2"/>
            <w:vAlign w:val="center"/>
          </w:tcPr>
          <w:p w14:paraId="585EAA98">
            <w:pPr>
              <w:pStyle w:val="26"/>
              <w:rPr>
                <w:rFonts w:hint="default" w:ascii="Times New Roman" w:hAnsi="Times New Roman" w:eastAsia="仿宋_GB2312" w:cs="Times New Roman"/>
              </w:rPr>
            </w:pPr>
            <w:r>
              <w:rPr>
                <w:rFonts w:hint="default" w:ascii="Times New Roman" w:hAnsi="Times New Roman" w:eastAsia="仿宋_GB2312" w:cs="Times New Roman"/>
              </w:rPr>
              <w:t>5</w:t>
            </w:r>
          </w:p>
          <w:p w14:paraId="51632D42">
            <w:pPr>
              <w:pStyle w:val="26"/>
              <w:rPr>
                <w:rFonts w:hint="default" w:ascii="Times New Roman" w:hAnsi="Times New Roman" w:eastAsia="仿宋_GB2312" w:cs="Times New Roman"/>
              </w:rPr>
            </w:pPr>
            <w:r>
              <w:rPr>
                <w:rFonts w:hint="default" w:ascii="Times New Roman" w:hAnsi="Times New Roman" w:eastAsia="仿宋_GB2312" w:cs="Times New Roman"/>
              </w:rPr>
              <w:t>（振动）</w:t>
            </w:r>
          </w:p>
        </w:tc>
        <w:tc>
          <w:tcPr>
            <w:tcW w:w="1136" w:type="dxa"/>
            <w:vAlign w:val="center"/>
          </w:tcPr>
          <w:p w14:paraId="388B857C">
            <w:pPr>
              <w:pStyle w:val="26"/>
              <w:rPr>
                <w:rFonts w:hint="default" w:ascii="Times New Roman" w:hAnsi="Times New Roman" w:eastAsia="仿宋_GB2312" w:cs="Times New Roman"/>
              </w:rPr>
            </w:pPr>
            <w:r>
              <w:rPr>
                <w:rFonts w:hint="default" w:ascii="Times New Roman" w:hAnsi="Times New Roman" w:eastAsia="仿宋_GB2312" w:cs="Times New Roman"/>
              </w:rPr>
              <w:t>3~6</w:t>
            </w:r>
          </w:p>
          <w:p w14:paraId="5DAD2512">
            <w:pPr>
              <w:pStyle w:val="26"/>
              <w:rPr>
                <w:rFonts w:hint="default" w:ascii="Times New Roman" w:hAnsi="Times New Roman" w:eastAsia="仿宋_GB2312" w:cs="Times New Roman"/>
              </w:rPr>
            </w:pPr>
            <w:r>
              <w:rPr>
                <w:rFonts w:hint="default" w:ascii="Times New Roman" w:hAnsi="Times New Roman" w:eastAsia="仿宋_GB2312" w:cs="Times New Roman"/>
              </w:rPr>
              <w:t>（静压）</w:t>
            </w:r>
          </w:p>
        </w:tc>
        <w:tc>
          <w:tcPr>
            <w:tcW w:w="1137" w:type="dxa"/>
            <w:vAlign w:val="center"/>
          </w:tcPr>
          <w:p w14:paraId="57BD090E">
            <w:pPr>
              <w:pStyle w:val="26"/>
              <w:rPr>
                <w:rFonts w:hint="default" w:ascii="Times New Roman" w:hAnsi="Times New Roman" w:eastAsia="仿宋_GB2312" w:cs="Times New Roman"/>
              </w:rPr>
            </w:pPr>
            <w:r>
              <w:rPr>
                <w:rFonts w:hint="default" w:ascii="Times New Roman" w:hAnsi="Times New Roman" w:eastAsia="仿宋_GB2312" w:cs="Times New Roman"/>
              </w:rPr>
              <w:t>6</w:t>
            </w:r>
          </w:p>
          <w:p w14:paraId="41C6CA26">
            <w:pPr>
              <w:pStyle w:val="26"/>
              <w:rPr>
                <w:rFonts w:hint="default" w:ascii="Times New Roman" w:hAnsi="Times New Roman" w:eastAsia="仿宋_GB2312" w:cs="Times New Roman"/>
              </w:rPr>
            </w:pPr>
            <w:r>
              <w:rPr>
                <w:rFonts w:hint="default" w:ascii="Times New Roman" w:hAnsi="Times New Roman" w:eastAsia="仿宋_GB2312" w:cs="Times New Roman"/>
              </w:rPr>
              <w:t>（静压）</w:t>
            </w:r>
          </w:p>
        </w:tc>
      </w:tr>
    </w:tbl>
    <w:p w14:paraId="047E83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4"/>
          <w:lang w:val="en-US" w:eastAsia="zh-CN"/>
        </w:rPr>
      </w:pPr>
    </w:p>
    <w:p w14:paraId="5F2D926A">
      <w:pPr>
        <w:numPr>
          <w:ilvl w:val="0"/>
          <w:numId w:val="0"/>
        </w:num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.6.</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对压路机无法压实的桥梁、挡土墙等构造物接头、拐弯死角、加宽部分以及路缘等局部位置，应采用小型压路机或振动夯板作补充碾压。</w:t>
      </w:r>
    </w:p>
    <w:p w14:paraId="52BDCD05">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.6.</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 xml:space="preserve"> 再生混合料的压实温度宜在《公路沥青路面施工技术规范》(JTGF40-2004)规定的对应的热拌沥青混合料压实温度基础上提高5~10℃。</w:t>
      </w:r>
    </w:p>
    <w:p w14:paraId="1A16F463">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.6.</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 xml:space="preserve"> 再生</w:t>
      </w:r>
      <w:r>
        <w:rPr>
          <w:rFonts w:hint="default" w:ascii="Times New Roman" w:hAnsi="Times New Roman" w:eastAsia="仿宋_GB2312" w:cs="Times New Roman"/>
          <w:sz w:val="24"/>
          <w:lang w:val="en-US" w:eastAsia="zh-CN"/>
        </w:rPr>
        <w:t>沥青</w:t>
      </w:r>
      <w:r>
        <w:rPr>
          <w:rFonts w:hint="default" w:ascii="Times New Roman" w:hAnsi="Times New Roman" w:eastAsia="仿宋_GB2312" w:cs="Times New Roman"/>
          <w:sz w:val="24"/>
        </w:rPr>
        <w:t>混合料压实的</w:t>
      </w:r>
      <w:r>
        <w:rPr>
          <w:rFonts w:hint="default" w:ascii="Times New Roman" w:hAnsi="Times New Roman" w:eastAsia="仿宋_GB2312" w:cs="Times New Roman"/>
          <w:sz w:val="24"/>
          <w:lang w:val="en-US" w:eastAsia="zh-CN"/>
        </w:rPr>
        <w:t>其它</w:t>
      </w:r>
      <w:r>
        <w:rPr>
          <w:rFonts w:hint="default" w:ascii="Times New Roman" w:hAnsi="Times New Roman" w:eastAsia="仿宋_GB2312" w:cs="Times New Roman"/>
          <w:sz w:val="24"/>
        </w:rPr>
        <w:t>要求，应符合《公路沥青路面施工技术规范》(JTGF40-2004)对热拌沥青混合料路面的有关规定。</w:t>
      </w:r>
    </w:p>
    <w:p w14:paraId="4DE1BABE">
      <w:pPr>
        <w:spacing w:line="360" w:lineRule="auto"/>
        <w:outlineLvl w:val="1"/>
        <w:rPr>
          <w:rFonts w:hint="default" w:ascii="Times New Roman" w:hAnsi="Times New Roman" w:eastAsia="仿宋_GB2312" w:cs="Times New Roman"/>
          <w:b/>
          <w:bCs/>
          <w:sz w:val="24"/>
          <w:lang w:val="en-US" w:eastAsia="zh-CN"/>
        </w:rPr>
      </w:pPr>
      <w:bookmarkStart w:id="137" w:name="_Toc7421"/>
      <w:bookmarkStart w:id="138" w:name="_Toc19349"/>
      <w:bookmarkStart w:id="139" w:name="_Toc24379"/>
      <w:bookmarkStart w:id="140" w:name="_Toc24394"/>
      <w:bookmarkStart w:id="141" w:name="_Toc24001"/>
      <w:r>
        <w:rPr>
          <w:rFonts w:hint="default" w:ascii="Times New Roman" w:hAnsi="Times New Roman" w:eastAsia="仿宋_GB2312" w:cs="Times New Roman"/>
          <w:b/>
          <w:bCs/>
          <w:sz w:val="24"/>
          <w:lang w:val="en-US" w:eastAsia="zh-CN"/>
        </w:rPr>
        <w:t>9</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7</w:t>
      </w:r>
      <w:r>
        <w:rPr>
          <w:rFonts w:hint="default" w:ascii="Times New Roman" w:hAnsi="Times New Roman" w:eastAsia="仿宋_GB2312" w:cs="Times New Roman"/>
          <w:b/>
          <w:bCs/>
          <w:sz w:val="24"/>
        </w:rPr>
        <w:t xml:space="preserve"> </w:t>
      </w:r>
      <w:bookmarkEnd w:id="137"/>
      <w:bookmarkEnd w:id="138"/>
      <w:bookmarkEnd w:id="139"/>
      <w:bookmarkEnd w:id="140"/>
      <w:r>
        <w:rPr>
          <w:rFonts w:hint="default" w:ascii="Times New Roman" w:hAnsi="Times New Roman" w:eastAsia="仿宋_GB2312" w:cs="Times New Roman"/>
          <w:b/>
          <w:bCs/>
          <w:sz w:val="24"/>
          <w:lang w:val="en-US" w:eastAsia="zh-CN"/>
        </w:rPr>
        <w:t>养生及开放交通</w:t>
      </w:r>
      <w:bookmarkEnd w:id="141"/>
    </w:p>
    <w:p w14:paraId="4932A85D">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9.7</w:t>
      </w:r>
      <w:r>
        <w:rPr>
          <w:rFonts w:hint="default" w:ascii="Times New Roman" w:hAnsi="Times New Roman" w:eastAsia="仿宋_GB2312" w:cs="Times New Roman"/>
          <w:sz w:val="24"/>
        </w:rPr>
        <w:t xml:space="preserve">.1 </w:t>
      </w:r>
      <w:r>
        <w:rPr>
          <w:rFonts w:hint="default" w:ascii="Times New Roman" w:hAnsi="Times New Roman" w:eastAsia="仿宋_GB2312" w:cs="Times New Roman"/>
          <w:sz w:val="24"/>
          <w:lang w:val="en-US" w:eastAsia="zh-CN"/>
        </w:rPr>
        <w:t>再生</w:t>
      </w:r>
      <w:r>
        <w:rPr>
          <w:rFonts w:hint="default" w:ascii="Times New Roman" w:hAnsi="Times New Roman" w:eastAsia="仿宋_GB2312" w:cs="Times New Roman"/>
          <w:sz w:val="24"/>
        </w:rPr>
        <w:t>沥青面层碾压完毕待表面温度低于50℃后方可开放交通。</w:t>
      </w:r>
    </w:p>
    <w:p w14:paraId="7FB9205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9.7</w:t>
      </w:r>
      <w:r>
        <w:rPr>
          <w:rFonts w:hint="default" w:ascii="Times New Roman" w:hAnsi="Times New Roman" w:eastAsia="仿宋_GB2312" w:cs="Times New Roman"/>
          <w:sz w:val="24"/>
        </w:rPr>
        <w:t>.2 为</w:t>
      </w:r>
      <w:r>
        <w:rPr>
          <w:rFonts w:hint="default" w:ascii="Times New Roman" w:hAnsi="Times New Roman" w:eastAsia="仿宋_GB2312" w:cs="Times New Roman"/>
          <w:sz w:val="24"/>
          <w:lang w:val="en-US" w:eastAsia="zh-CN"/>
        </w:rPr>
        <w:t>减少</w:t>
      </w:r>
      <w:r>
        <w:rPr>
          <w:rFonts w:hint="default" w:ascii="Times New Roman" w:hAnsi="Times New Roman" w:eastAsia="仿宋_GB2312" w:cs="Times New Roman"/>
          <w:sz w:val="24"/>
        </w:rPr>
        <w:t>施工中的干扰和污染，</w:t>
      </w:r>
      <w:r>
        <w:rPr>
          <w:rFonts w:hint="default" w:ascii="Times New Roman" w:hAnsi="Times New Roman" w:eastAsia="仿宋_GB2312" w:cs="Times New Roman"/>
          <w:sz w:val="24"/>
          <w:lang w:val="en-US" w:eastAsia="zh-CN"/>
        </w:rPr>
        <w:t>施工时</w:t>
      </w:r>
      <w:r>
        <w:rPr>
          <w:rFonts w:hint="default" w:ascii="Times New Roman" w:hAnsi="Times New Roman" w:eastAsia="仿宋_GB2312" w:cs="Times New Roman"/>
          <w:sz w:val="24"/>
        </w:rPr>
        <w:t>可封闭交通，限制外部车辆通行。</w:t>
      </w:r>
    </w:p>
    <w:p w14:paraId="7EF19117">
      <w:pPr>
        <w:spacing w:line="360" w:lineRule="auto"/>
        <w:ind w:firstLine="480" w:firstLineChars="200"/>
        <w:rPr>
          <w:rFonts w:hint="default" w:ascii="Times New Roman" w:hAnsi="Times New Roman" w:eastAsia="仿宋_GB2312" w:cs="Times New Roman"/>
          <w:sz w:val="24"/>
        </w:rPr>
      </w:pPr>
    </w:p>
    <w:p w14:paraId="2ABAC151">
      <w:pPr>
        <w:spacing w:line="360" w:lineRule="auto"/>
        <w:ind w:firstLine="480" w:firstLineChars="200"/>
        <w:rPr>
          <w:rFonts w:hint="default" w:ascii="Times New Roman" w:hAnsi="Times New Roman" w:eastAsia="仿宋_GB2312" w:cs="Times New Roman"/>
          <w:sz w:val="24"/>
        </w:rPr>
      </w:pPr>
    </w:p>
    <w:p w14:paraId="10973668">
      <w:pPr>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14:paraId="5EAE7F54">
      <w:pPr>
        <w:numPr>
          <w:ilvl w:val="0"/>
          <w:numId w:val="2"/>
        </w:numPr>
        <w:spacing w:line="360" w:lineRule="auto"/>
        <w:ind w:firstLine="0"/>
        <w:outlineLvl w:val="0"/>
        <w:rPr>
          <w:rFonts w:hint="default" w:ascii="Times New Roman" w:hAnsi="Times New Roman" w:eastAsia="仿宋_GB2312" w:cs="Times New Roman"/>
          <w:b/>
          <w:bCs/>
          <w:sz w:val="32"/>
          <w:szCs w:val="22"/>
          <w:lang w:val="en-US" w:eastAsia="zh-CN"/>
        </w:rPr>
      </w:pPr>
      <w:bookmarkStart w:id="142" w:name="_Toc2316"/>
      <w:bookmarkStart w:id="143" w:name="_Toc15065"/>
      <w:bookmarkStart w:id="144" w:name="_Toc18281"/>
      <w:bookmarkStart w:id="145" w:name="_Toc1036"/>
      <w:bookmarkStart w:id="146" w:name="_Toc6968"/>
      <w:r>
        <w:rPr>
          <w:rFonts w:hint="default" w:ascii="Times New Roman" w:hAnsi="Times New Roman" w:eastAsia="仿宋_GB2312" w:cs="Times New Roman"/>
          <w:b/>
          <w:bCs/>
          <w:sz w:val="32"/>
          <w:szCs w:val="22"/>
          <w:lang w:val="en-US" w:eastAsia="zh-CN"/>
        </w:rPr>
        <w:t>再生沥青路面质量控制</w:t>
      </w:r>
      <w:bookmarkEnd w:id="142"/>
      <w:bookmarkEnd w:id="143"/>
      <w:bookmarkEnd w:id="144"/>
      <w:bookmarkEnd w:id="145"/>
      <w:r>
        <w:rPr>
          <w:rFonts w:hint="default" w:ascii="Times New Roman" w:hAnsi="Times New Roman" w:eastAsia="仿宋_GB2312" w:cs="Times New Roman"/>
          <w:b/>
          <w:bCs/>
          <w:sz w:val="32"/>
          <w:szCs w:val="22"/>
          <w:lang w:val="en-US" w:eastAsia="zh-CN"/>
        </w:rPr>
        <w:t>与验收标准</w:t>
      </w:r>
      <w:bookmarkEnd w:id="146"/>
    </w:p>
    <w:p w14:paraId="1F35DD52">
      <w:pPr>
        <w:spacing w:line="360" w:lineRule="auto"/>
        <w:outlineLvl w:val="1"/>
        <w:rPr>
          <w:rFonts w:hint="default" w:ascii="Times New Roman" w:hAnsi="Times New Roman" w:eastAsia="仿宋_GB2312" w:cs="Times New Roman"/>
          <w:b/>
          <w:bCs/>
          <w:sz w:val="24"/>
          <w:highlight w:val="none"/>
        </w:rPr>
      </w:pPr>
      <w:bookmarkStart w:id="147" w:name="_Toc4691"/>
      <w:r>
        <w:rPr>
          <w:rFonts w:hint="default" w:ascii="Times New Roman" w:hAnsi="Times New Roman" w:eastAsia="仿宋_GB2312" w:cs="Times New Roman"/>
          <w:b/>
          <w:bCs/>
          <w:sz w:val="24"/>
          <w:highlight w:val="none"/>
          <w:lang w:val="en-US" w:eastAsia="zh-CN"/>
        </w:rPr>
        <w:t>10</w:t>
      </w:r>
      <w:r>
        <w:rPr>
          <w:rFonts w:hint="default" w:ascii="Times New Roman" w:hAnsi="Times New Roman" w:eastAsia="仿宋_GB2312" w:cs="Times New Roman"/>
          <w:b/>
          <w:bCs/>
          <w:sz w:val="24"/>
          <w:highlight w:val="none"/>
        </w:rPr>
        <w:t>.1 原材料过程质量控制</w:t>
      </w:r>
      <w:bookmarkEnd w:id="147"/>
    </w:p>
    <w:p w14:paraId="7A15D0F8">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 xml:space="preserve"> 施工过程中应对原材料进行抽检，RAP质量检验应符合表</w:t>
      </w: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.1-1的规定</w:t>
      </w:r>
      <w:r>
        <w:rPr>
          <w:rFonts w:hint="default" w:ascii="Times New Roman" w:hAnsi="Times New Roman" w:eastAsia="仿宋_GB2312" w:cs="Times New Roman"/>
          <w:sz w:val="24"/>
          <w:lang w:eastAsia="zh-CN"/>
        </w:rPr>
        <w:t>。</w:t>
      </w:r>
    </w:p>
    <w:p w14:paraId="4B0B6FB3">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表</w:t>
      </w:r>
      <w:r>
        <w:rPr>
          <w:rFonts w:hint="default" w:ascii="Times New Roman" w:hAnsi="Times New Roman" w:eastAsia="仿宋_GB2312" w:cs="Times New Roman"/>
          <w:b/>
          <w:bCs/>
          <w:sz w:val="24"/>
          <w:lang w:val="en-US" w:eastAsia="zh-CN"/>
        </w:rPr>
        <w:t>10</w:t>
      </w:r>
      <w:r>
        <w:rPr>
          <w:rFonts w:hint="default" w:ascii="Times New Roman" w:hAnsi="Times New Roman" w:eastAsia="仿宋_GB2312" w:cs="Times New Roman"/>
          <w:b/>
          <w:bCs/>
          <w:sz w:val="24"/>
        </w:rPr>
        <w:t>.1-1 检验频度与质量要求</w:t>
      </w:r>
    </w:p>
    <w:tbl>
      <w:tblPr>
        <w:tblStyle w:val="17"/>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194"/>
        <w:gridCol w:w="1242"/>
        <w:gridCol w:w="1299"/>
        <w:gridCol w:w="1156"/>
        <w:gridCol w:w="2149"/>
      </w:tblGrid>
      <w:tr w14:paraId="2E9F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64" w:type="dxa"/>
            <w:gridSpan w:val="2"/>
            <w:vMerge w:val="restart"/>
            <w:vAlign w:val="center"/>
          </w:tcPr>
          <w:p w14:paraId="6942BE4C">
            <w:pPr>
              <w:pStyle w:val="47"/>
              <w:rPr>
                <w:rFonts w:hint="default" w:ascii="Times New Roman" w:hAnsi="Times New Roman" w:eastAsia="仿宋_GB2312" w:cs="Times New Roman"/>
              </w:rPr>
            </w:pPr>
            <w:r>
              <w:rPr>
                <w:rFonts w:hint="default" w:ascii="Times New Roman" w:hAnsi="Times New Roman" w:eastAsia="仿宋_GB2312" w:cs="Times New Roman"/>
              </w:rPr>
              <w:t>检验项目</w:t>
            </w:r>
          </w:p>
        </w:tc>
        <w:tc>
          <w:tcPr>
            <w:tcW w:w="1242" w:type="dxa"/>
            <w:vMerge w:val="restart"/>
            <w:vAlign w:val="center"/>
          </w:tcPr>
          <w:p w14:paraId="4A16D38D">
            <w:pPr>
              <w:pStyle w:val="47"/>
              <w:rPr>
                <w:rFonts w:hint="default" w:ascii="Times New Roman" w:hAnsi="Times New Roman" w:eastAsia="仿宋_GB2312" w:cs="Times New Roman"/>
              </w:rPr>
            </w:pPr>
            <w:r>
              <w:rPr>
                <w:rFonts w:hint="default" w:ascii="Times New Roman" w:hAnsi="Times New Roman" w:eastAsia="仿宋_GB2312" w:cs="Times New Roman"/>
              </w:rPr>
              <w:t>检验频度</w:t>
            </w:r>
          </w:p>
        </w:tc>
        <w:tc>
          <w:tcPr>
            <w:tcW w:w="2455" w:type="dxa"/>
            <w:gridSpan w:val="2"/>
            <w:vAlign w:val="center"/>
          </w:tcPr>
          <w:p w14:paraId="759A606C">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质量要求或允许偏差 </w:t>
            </w:r>
          </w:p>
        </w:tc>
        <w:tc>
          <w:tcPr>
            <w:tcW w:w="2149" w:type="dxa"/>
            <w:vMerge w:val="restart"/>
            <w:vAlign w:val="center"/>
          </w:tcPr>
          <w:p w14:paraId="139EAF40">
            <w:pPr>
              <w:pStyle w:val="47"/>
              <w:rPr>
                <w:rFonts w:hint="default" w:ascii="Times New Roman" w:hAnsi="Times New Roman" w:eastAsia="仿宋_GB2312" w:cs="Times New Roman"/>
              </w:rPr>
            </w:pPr>
            <w:r>
              <w:rPr>
                <w:rFonts w:hint="default" w:ascii="Times New Roman" w:hAnsi="Times New Roman" w:eastAsia="仿宋_GB2312" w:cs="Times New Roman"/>
              </w:rPr>
              <w:t>试验方法</w:t>
            </w:r>
          </w:p>
        </w:tc>
      </w:tr>
      <w:tr w14:paraId="5574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64" w:type="dxa"/>
            <w:gridSpan w:val="2"/>
            <w:vMerge w:val="continue"/>
            <w:vAlign w:val="center"/>
          </w:tcPr>
          <w:p w14:paraId="0A3A4731">
            <w:pPr>
              <w:pStyle w:val="47"/>
              <w:rPr>
                <w:rFonts w:hint="default" w:ascii="Times New Roman" w:hAnsi="Times New Roman" w:eastAsia="仿宋_GB2312" w:cs="Times New Roman"/>
              </w:rPr>
            </w:pPr>
          </w:p>
        </w:tc>
        <w:tc>
          <w:tcPr>
            <w:tcW w:w="1242" w:type="dxa"/>
            <w:vMerge w:val="continue"/>
            <w:vAlign w:val="center"/>
          </w:tcPr>
          <w:p w14:paraId="0EE2CBDB">
            <w:pPr>
              <w:pStyle w:val="47"/>
              <w:rPr>
                <w:rFonts w:hint="default" w:ascii="Times New Roman" w:hAnsi="Times New Roman" w:eastAsia="仿宋_GB2312" w:cs="Times New Roman"/>
              </w:rPr>
            </w:pPr>
          </w:p>
        </w:tc>
        <w:tc>
          <w:tcPr>
            <w:tcW w:w="1299" w:type="dxa"/>
            <w:vAlign w:val="center"/>
          </w:tcPr>
          <w:p w14:paraId="15E394AC">
            <w:pPr>
              <w:pStyle w:val="47"/>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高速公路或一级公路</w:t>
            </w:r>
          </w:p>
        </w:tc>
        <w:tc>
          <w:tcPr>
            <w:tcW w:w="1156" w:type="dxa"/>
            <w:vAlign w:val="center"/>
          </w:tcPr>
          <w:p w14:paraId="42A71AD6">
            <w:pPr>
              <w:pStyle w:val="47"/>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其它等级公路</w:t>
            </w:r>
          </w:p>
        </w:tc>
        <w:tc>
          <w:tcPr>
            <w:tcW w:w="2149" w:type="dxa"/>
            <w:vMerge w:val="continue"/>
            <w:vAlign w:val="center"/>
          </w:tcPr>
          <w:p w14:paraId="5EEB995C">
            <w:pPr>
              <w:pStyle w:val="47"/>
              <w:rPr>
                <w:rFonts w:hint="default" w:ascii="Times New Roman" w:hAnsi="Times New Roman" w:eastAsia="仿宋_GB2312" w:cs="Times New Roman"/>
              </w:rPr>
            </w:pPr>
          </w:p>
        </w:tc>
      </w:tr>
      <w:tr w14:paraId="4696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64" w:type="dxa"/>
            <w:gridSpan w:val="2"/>
            <w:vAlign w:val="center"/>
          </w:tcPr>
          <w:p w14:paraId="08559F7B">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RAP含水率（%） </w:t>
            </w:r>
          </w:p>
        </w:tc>
        <w:tc>
          <w:tcPr>
            <w:tcW w:w="1242" w:type="dxa"/>
            <w:vAlign w:val="center"/>
          </w:tcPr>
          <w:p w14:paraId="594C927E">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每个工作日 1 次  </w:t>
            </w:r>
          </w:p>
        </w:tc>
        <w:tc>
          <w:tcPr>
            <w:tcW w:w="1299" w:type="dxa"/>
            <w:vAlign w:val="center"/>
          </w:tcPr>
          <w:p w14:paraId="6C330195">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≤3 </w:t>
            </w:r>
          </w:p>
        </w:tc>
        <w:tc>
          <w:tcPr>
            <w:tcW w:w="1156" w:type="dxa"/>
            <w:vAlign w:val="center"/>
          </w:tcPr>
          <w:p w14:paraId="6ECA29E2">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≤3 </w:t>
            </w:r>
          </w:p>
        </w:tc>
        <w:tc>
          <w:tcPr>
            <w:tcW w:w="2149" w:type="dxa"/>
            <w:vAlign w:val="center"/>
          </w:tcPr>
          <w:p w14:paraId="719E4202">
            <w:pPr>
              <w:pStyle w:val="47"/>
              <w:rPr>
                <w:rFonts w:hint="default" w:ascii="Times New Roman" w:hAnsi="Times New Roman" w:eastAsia="仿宋_GB2312" w:cs="Times New Roman"/>
              </w:rPr>
            </w:pPr>
            <w:r>
              <w:rPr>
                <w:rFonts w:hint="default" w:ascii="Times New Roman" w:hAnsi="Times New Roman" w:eastAsia="仿宋_GB2312" w:cs="Times New Roman"/>
              </w:rPr>
              <w:t>（JTGT 5521-2019）附录B</w:t>
            </w:r>
          </w:p>
        </w:tc>
      </w:tr>
      <w:tr w14:paraId="469E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64" w:type="dxa"/>
            <w:gridSpan w:val="2"/>
            <w:vAlign w:val="center"/>
          </w:tcPr>
          <w:p w14:paraId="39203862">
            <w:pPr>
              <w:pStyle w:val="47"/>
              <w:rPr>
                <w:rFonts w:hint="default" w:ascii="Times New Roman" w:hAnsi="Times New Roman" w:eastAsia="仿宋_GB2312" w:cs="Times New Roman"/>
              </w:rPr>
            </w:pPr>
            <w:r>
              <w:rPr>
                <w:rFonts w:hint="default" w:ascii="Times New Roman" w:hAnsi="Times New Roman" w:eastAsia="仿宋_GB2312" w:cs="Times New Roman"/>
              </w:rPr>
              <w:t>RAP中集料毛体积相对密度</w:t>
            </w:r>
          </w:p>
        </w:tc>
        <w:tc>
          <w:tcPr>
            <w:tcW w:w="1242" w:type="dxa"/>
            <w:vAlign w:val="center"/>
          </w:tcPr>
          <w:p w14:paraId="2D1C19AD">
            <w:pPr>
              <w:pStyle w:val="47"/>
              <w:rPr>
                <w:rFonts w:hint="default" w:ascii="Times New Roman" w:hAnsi="Times New Roman" w:eastAsia="仿宋_GB2312" w:cs="Times New Roman"/>
              </w:rPr>
            </w:pPr>
            <w:r>
              <w:rPr>
                <w:rFonts w:hint="default" w:ascii="Times New Roman" w:hAnsi="Times New Roman" w:eastAsia="仿宋_GB2312" w:cs="Times New Roman"/>
              </w:rPr>
              <w:t>1次/5000t RAP</w:t>
            </w:r>
          </w:p>
        </w:tc>
        <w:tc>
          <w:tcPr>
            <w:tcW w:w="1299" w:type="dxa"/>
            <w:vAlign w:val="center"/>
          </w:tcPr>
          <w:p w14:paraId="0EA85ACA">
            <w:pPr>
              <w:pStyle w:val="47"/>
              <w:rPr>
                <w:rFonts w:hint="default" w:ascii="Times New Roman" w:hAnsi="Times New Roman" w:eastAsia="仿宋_GB2312" w:cs="Times New Roman"/>
              </w:rPr>
            </w:pPr>
            <w:r>
              <w:rPr>
                <w:rFonts w:hint="default" w:ascii="Times New Roman" w:hAnsi="Times New Roman" w:eastAsia="仿宋_GB2312" w:cs="Times New Roman"/>
              </w:rPr>
              <w:t>实测</w:t>
            </w:r>
          </w:p>
        </w:tc>
        <w:tc>
          <w:tcPr>
            <w:tcW w:w="1156" w:type="dxa"/>
            <w:vAlign w:val="center"/>
          </w:tcPr>
          <w:p w14:paraId="374EEB5F">
            <w:pPr>
              <w:pStyle w:val="47"/>
              <w:rPr>
                <w:rFonts w:hint="default" w:ascii="Times New Roman" w:hAnsi="Times New Roman" w:eastAsia="仿宋_GB2312" w:cs="Times New Roman"/>
              </w:rPr>
            </w:pPr>
            <w:r>
              <w:rPr>
                <w:rFonts w:hint="default" w:ascii="Times New Roman" w:hAnsi="Times New Roman" w:eastAsia="仿宋_GB2312" w:cs="Times New Roman"/>
              </w:rPr>
              <w:t>实测</w:t>
            </w:r>
          </w:p>
        </w:tc>
        <w:tc>
          <w:tcPr>
            <w:tcW w:w="2149" w:type="dxa"/>
            <w:vAlign w:val="center"/>
          </w:tcPr>
          <w:p w14:paraId="2CB277D9">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T0722  T0304 </w:t>
            </w:r>
          </w:p>
          <w:p w14:paraId="1F97DFBB">
            <w:pPr>
              <w:pStyle w:val="47"/>
              <w:rPr>
                <w:rFonts w:hint="default" w:ascii="Times New Roman" w:hAnsi="Times New Roman" w:eastAsia="仿宋_GB2312" w:cs="Times New Roman"/>
              </w:rPr>
            </w:pPr>
            <w:r>
              <w:rPr>
                <w:rFonts w:hint="default" w:ascii="Times New Roman" w:hAnsi="Times New Roman" w:eastAsia="仿宋_GB2312" w:cs="Times New Roman"/>
              </w:rPr>
              <w:t>T0330</w:t>
            </w:r>
          </w:p>
        </w:tc>
      </w:tr>
      <w:tr w14:paraId="51B9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70" w:type="dxa"/>
            <w:vMerge w:val="restart"/>
            <w:vAlign w:val="center"/>
          </w:tcPr>
          <w:p w14:paraId="485D02BE">
            <w:pPr>
              <w:pStyle w:val="47"/>
              <w:rPr>
                <w:rFonts w:hint="default" w:ascii="Times New Roman" w:hAnsi="Times New Roman" w:eastAsia="仿宋_GB2312" w:cs="Times New Roman"/>
              </w:rPr>
            </w:pPr>
            <w:r>
              <w:rPr>
                <w:rFonts w:hint="default" w:ascii="Times New Roman" w:hAnsi="Times New Roman" w:eastAsia="仿宋_GB2312" w:cs="Times New Roman"/>
              </w:rPr>
              <w:t>RAP中矿料级配</w:t>
            </w:r>
          </w:p>
        </w:tc>
        <w:tc>
          <w:tcPr>
            <w:tcW w:w="2194" w:type="dxa"/>
            <w:vAlign w:val="center"/>
          </w:tcPr>
          <w:p w14:paraId="5C28479A">
            <w:pPr>
              <w:pStyle w:val="47"/>
              <w:rPr>
                <w:rFonts w:hint="default" w:ascii="Times New Roman" w:hAnsi="Times New Roman" w:eastAsia="仿宋_GB2312" w:cs="Times New Roman"/>
              </w:rPr>
            </w:pPr>
            <w:r>
              <w:rPr>
                <w:rFonts w:hint="default" w:ascii="Times New Roman" w:hAnsi="Times New Roman" w:eastAsia="仿宋_GB2312" w:cs="Times New Roman"/>
              </w:rPr>
              <w:t>0.075mm 筛孔通过率（%）</w:t>
            </w:r>
          </w:p>
        </w:tc>
        <w:tc>
          <w:tcPr>
            <w:tcW w:w="1242" w:type="dxa"/>
            <w:vAlign w:val="center"/>
          </w:tcPr>
          <w:p w14:paraId="088A3A50">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1次/2000t RAP </w:t>
            </w:r>
          </w:p>
        </w:tc>
        <w:tc>
          <w:tcPr>
            <w:tcW w:w="1299" w:type="dxa"/>
            <w:vAlign w:val="center"/>
          </w:tcPr>
          <w:p w14:paraId="5B562003">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±3 </w:t>
            </w:r>
          </w:p>
        </w:tc>
        <w:tc>
          <w:tcPr>
            <w:tcW w:w="1156" w:type="dxa"/>
            <w:vAlign w:val="center"/>
          </w:tcPr>
          <w:p w14:paraId="65C53E7E">
            <w:pPr>
              <w:pStyle w:val="47"/>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 xml:space="preserve"> </w:t>
            </w:r>
          </w:p>
        </w:tc>
        <w:tc>
          <w:tcPr>
            <w:tcW w:w="2149" w:type="dxa"/>
            <w:vMerge w:val="restart"/>
            <w:vAlign w:val="center"/>
          </w:tcPr>
          <w:p w14:paraId="15CDDE6B">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T0722 </w:t>
            </w:r>
          </w:p>
          <w:p w14:paraId="07516FAB">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T0302 </w:t>
            </w:r>
          </w:p>
          <w:p w14:paraId="00CB039F">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T0327 </w:t>
            </w:r>
          </w:p>
        </w:tc>
      </w:tr>
      <w:tr w14:paraId="28A1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70" w:type="dxa"/>
            <w:vMerge w:val="continue"/>
            <w:vAlign w:val="center"/>
          </w:tcPr>
          <w:p w14:paraId="1A949DF6">
            <w:pPr>
              <w:pStyle w:val="47"/>
              <w:rPr>
                <w:rFonts w:hint="default" w:ascii="Times New Roman" w:hAnsi="Times New Roman" w:eastAsia="仿宋_GB2312" w:cs="Times New Roman"/>
              </w:rPr>
            </w:pPr>
          </w:p>
        </w:tc>
        <w:tc>
          <w:tcPr>
            <w:tcW w:w="2194" w:type="dxa"/>
            <w:vAlign w:val="center"/>
          </w:tcPr>
          <w:p w14:paraId="29F9E59B">
            <w:pPr>
              <w:pStyle w:val="47"/>
              <w:rPr>
                <w:rFonts w:hint="default" w:ascii="Times New Roman" w:hAnsi="Times New Roman" w:eastAsia="仿宋_GB2312" w:cs="Times New Roman"/>
              </w:rPr>
            </w:pPr>
            <w:r>
              <w:rPr>
                <w:rFonts w:hint="default" w:ascii="Times New Roman" w:hAnsi="Times New Roman" w:eastAsia="仿宋_GB2312" w:cs="Times New Roman"/>
              </w:rPr>
              <w:t>0.075mm 以上筛孔通过率（%）</w:t>
            </w:r>
          </w:p>
        </w:tc>
        <w:tc>
          <w:tcPr>
            <w:tcW w:w="1242" w:type="dxa"/>
            <w:vAlign w:val="center"/>
          </w:tcPr>
          <w:p w14:paraId="0149CB2E">
            <w:pPr>
              <w:pStyle w:val="47"/>
              <w:rPr>
                <w:rFonts w:hint="default" w:ascii="Times New Roman" w:hAnsi="Times New Roman" w:eastAsia="仿宋_GB2312" w:cs="Times New Roman"/>
              </w:rPr>
            </w:pPr>
            <w:r>
              <w:rPr>
                <w:rFonts w:hint="default" w:ascii="Times New Roman" w:hAnsi="Times New Roman" w:eastAsia="仿宋_GB2312" w:cs="Times New Roman"/>
              </w:rPr>
              <w:t>1次/2000t RAP</w:t>
            </w:r>
          </w:p>
        </w:tc>
        <w:tc>
          <w:tcPr>
            <w:tcW w:w="1299" w:type="dxa"/>
            <w:vAlign w:val="center"/>
          </w:tcPr>
          <w:p w14:paraId="0085258F">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±8 </w:t>
            </w:r>
          </w:p>
        </w:tc>
        <w:tc>
          <w:tcPr>
            <w:tcW w:w="1156" w:type="dxa"/>
            <w:vAlign w:val="center"/>
          </w:tcPr>
          <w:p w14:paraId="31DBFBCF">
            <w:pPr>
              <w:pStyle w:val="47"/>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10</w:t>
            </w:r>
            <w:r>
              <w:rPr>
                <w:rFonts w:hint="default" w:ascii="Times New Roman" w:hAnsi="Times New Roman" w:eastAsia="仿宋_GB2312" w:cs="Times New Roman"/>
              </w:rPr>
              <w:t xml:space="preserve"> </w:t>
            </w:r>
          </w:p>
        </w:tc>
        <w:tc>
          <w:tcPr>
            <w:tcW w:w="2149" w:type="dxa"/>
            <w:vMerge w:val="continue"/>
            <w:vAlign w:val="center"/>
          </w:tcPr>
          <w:p w14:paraId="7C995210">
            <w:pPr>
              <w:pStyle w:val="47"/>
              <w:rPr>
                <w:rFonts w:hint="default" w:ascii="Times New Roman" w:hAnsi="Times New Roman" w:eastAsia="仿宋_GB2312" w:cs="Times New Roman"/>
              </w:rPr>
            </w:pPr>
          </w:p>
        </w:tc>
      </w:tr>
      <w:tr w14:paraId="335A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70" w:type="dxa"/>
            <w:vMerge w:val="restart"/>
            <w:vAlign w:val="center"/>
          </w:tcPr>
          <w:p w14:paraId="78112351">
            <w:pPr>
              <w:pStyle w:val="47"/>
              <w:rPr>
                <w:rFonts w:hint="default" w:ascii="Times New Roman" w:hAnsi="Times New Roman" w:eastAsia="仿宋_GB2312" w:cs="Times New Roman"/>
              </w:rPr>
            </w:pPr>
            <w:r>
              <w:rPr>
                <w:rFonts w:hint="default" w:ascii="Times New Roman" w:hAnsi="Times New Roman" w:eastAsia="仿宋_GB2312" w:cs="Times New Roman"/>
              </w:rPr>
              <w:t>RAP中沥青</w:t>
            </w:r>
          </w:p>
        </w:tc>
        <w:tc>
          <w:tcPr>
            <w:tcW w:w="2194" w:type="dxa"/>
            <w:vAlign w:val="center"/>
          </w:tcPr>
          <w:p w14:paraId="26FE8B81">
            <w:pPr>
              <w:pStyle w:val="47"/>
              <w:rPr>
                <w:rFonts w:hint="default" w:ascii="Times New Roman" w:hAnsi="Times New Roman" w:eastAsia="仿宋_GB2312" w:cs="Times New Roman"/>
              </w:rPr>
            </w:pPr>
            <w:r>
              <w:rPr>
                <w:rFonts w:hint="default" w:ascii="Times New Roman" w:hAnsi="Times New Roman" w:eastAsia="仿宋_GB2312" w:cs="Times New Roman"/>
              </w:rPr>
              <w:t>含量（%）</w:t>
            </w:r>
          </w:p>
        </w:tc>
        <w:tc>
          <w:tcPr>
            <w:tcW w:w="1242" w:type="dxa"/>
            <w:vAlign w:val="center"/>
          </w:tcPr>
          <w:p w14:paraId="19527BB2">
            <w:pPr>
              <w:pStyle w:val="47"/>
              <w:rPr>
                <w:rFonts w:hint="default" w:ascii="Times New Roman" w:hAnsi="Times New Roman" w:eastAsia="仿宋_GB2312" w:cs="Times New Roman"/>
              </w:rPr>
            </w:pPr>
            <w:r>
              <w:rPr>
                <w:rFonts w:hint="default" w:ascii="Times New Roman" w:hAnsi="Times New Roman" w:eastAsia="仿宋_GB2312" w:cs="Times New Roman"/>
              </w:rPr>
              <w:t>1次/2000t RAP</w:t>
            </w:r>
          </w:p>
        </w:tc>
        <w:tc>
          <w:tcPr>
            <w:tcW w:w="1299" w:type="dxa"/>
            <w:vAlign w:val="center"/>
          </w:tcPr>
          <w:p w14:paraId="4337A440">
            <w:pPr>
              <w:pStyle w:val="47"/>
              <w:rPr>
                <w:rFonts w:hint="default" w:ascii="Times New Roman" w:hAnsi="Times New Roman" w:eastAsia="仿宋_GB2312" w:cs="Times New Roman"/>
              </w:rPr>
            </w:pPr>
            <w:r>
              <w:rPr>
                <w:rFonts w:hint="default" w:ascii="Times New Roman" w:hAnsi="Times New Roman" w:eastAsia="仿宋_GB2312" w:cs="Times New Roman"/>
              </w:rPr>
              <w:t>±0.5</w:t>
            </w:r>
          </w:p>
        </w:tc>
        <w:tc>
          <w:tcPr>
            <w:tcW w:w="1156" w:type="dxa"/>
            <w:vAlign w:val="center"/>
          </w:tcPr>
          <w:p w14:paraId="6143C723">
            <w:pPr>
              <w:pStyle w:val="47"/>
              <w:rPr>
                <w:rFonts w:hint="default" w:ascii="Times New Roman" w:hAnsi="Times New Roman" w:eastAsia="仿宋_GB2312" w:cs="Times New Roman"/>
                <w:lang w:eastAsia="zh-CN"/>
              </w:rPr>
            </w:pPr>
            <w:r>
              <w:rPr>
                <w:rFonts w:hint="default" w:ascii="Times New Roman" w:hAnsi="Times New Roman" w:eastAsia="仿宋_GB2312" w:cs="Times New Roman"/>
              </w:rPr>
              <w:t>±0.</w:t>
            </w:r>
            <w:r>
              <w:rPr>
                <w:rFonts w:hint="default" w:ascii="Times New Roman" w:hAnsi="Times New Roman" w:eastAsia="仿宋_GB2312" w:cs="Times New Roman"/>
                <w:lang w:val="en-US" w:eastAsia="zh-CN"/>
              </w:rPr>
              <w:t>6</w:t>
            </w:r>
          </w:p>
        </w:tc>
        <w:tc>
          <w:tcPr>
            <w:tcW w:w="2149" w:type="dxa"/>
            <w:vAlign w:val="center"/>
          </w:tcPr>
          <w:p w14:paraId="2294A71C">
            <w:pPr>
              <w:pStyle w:val="47"/>
              <w:rPr>
                <w:rFonts w:hint="default" w:ascii="Times New Roman" w:hAnsi="Times New Roman" w:eastAsia="仿宋_GB2312" w:cs="Times New Roman"/>
              </w:rPr>
            </w:pPr>
            <w:r>
              <w:rPr>
                <w:rFonts w:hint="default" w:ascii="Times New Roman" w:hAnsi="Times New Roman" w:eastAsia="仿宋_GB2312" w:cs="Times New Roman"/>
              </w:rPr>
              <w:t>T0722 或 T0735</w:t>
            </w:r>
          </w:p>
        </w:tc>
      </w:tr>
      <w:tr w14:paraId="58E7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70" w:type="dxa"/>
            <w:vMerge w:val="continue"/>
            <w:vAlign w:val="center"/>
          </w:tcPr>
          <w:p w14:paraId="63677DB1">
            <w:pPr>
              <w:pStyle w:val="47"/>
              <w:rPr>
                <w:rFonts w:hint="default" w:ascii="Times New Roman" w:hAnsi="Times New Roman" w:eastAsia="仿宋_GB2312" w:cs="Times New Roman"/>
              </w:rPr>
            </w:pPr>
          </w:p>
        </w:tc>
        <w:tc>
          <w:tcPr>
            <w:tcW w:w="2194" w:type="dxa"/>
            <w:vAlign w:val="center"/>
          </w:tcPr>
          <w:p w14:paraId="1CD1FED4">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25℃针入度（0.01mm） </w:t>
            </w:r>
          </w:p>
        </w:tc>
        <w:tc>
          <w:tcPr>
            <w:tcW w:w="1242" w:type="dxa"/>
            <w:vAlign w:val="center"/>
          </w:tcPr>
          <w:p w14:paraId="4A02E866">
            <w:pPr>
              <w:pStyle w:val="47"/>
              <w:rPr>
                <w:rFonts w:hint="default" w:ascii="Times New Roman" w:hAnsi="Times New Roman" w:eastAsia="仿宋_GB2312" w:cs="Times New Roman"/>
              </w:rPr>
            </w:pPr>
            <w:r>
              <w:rPr>
                <w:rFonts w:hint="default" w:ascii="Times New Roman" w:hAnsi="Times New Roman" w:eastAsia="仿宋_GB2312" w:cs="Times New Roman"/>
              </w:rPr>
              <w:t>1次/5000t RAP</w:t>
            </w:r>
          </w:p>
        </w:tc>
        <w:tc>
          <w:tcPr>
            <w:tcW w:w="1299" w:type="dxa"/>
            <w:vAlign w:val="center"/>
          </w:tcPr>
          <w:p w14:paraId="79F28A2A">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±6  </w:t>
            </w:r>
          </w:p>
        </w:tc>
        <w:tc>
          <w:tcPr>
            <w:tcW w:w="1156" w:type="dxa"/>
            <w:vAlign w:val="center"/>
          </w:tcPr>
          <w:p w14:paraId="0D3A4544">
            <w:pPr>
              <w:pStyle w:val="47"/>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8</w:t>
            </w:r>
            <w:r>
              <w:rPr>
                <w:rFonts w:hint="default" w:ascii="Times New Roman" w:hAnsi="Times New Roman" w:eastAsia="仿宋_GB2312" w:cs="Times New Roman"/>
              </w:rPr>
              <w:t xml:space="preserve"> </w:t>
            </w:r>
          </w:p>
        </w:tc>
        <w:tc>
          <w:tcPr>
            <w:tcW w:w="2149" w:type="dxa"/>
            <w:vAlign w:val="center"/>
          </w:tcPr>
          <w:p w14:paraId="40D5EEED">
            <w:pPr>
              <w:pStyle w:val="47"/>
              <w:rPr>
                <w:rFonts w:hint="default" w:ascii="Times New Roman" w:hAnsi="Times New Roman" w:eastAsia="仿宋_GB2312" w:cs="Times New Roman"/>
              </w:rPr>
            </w:pPr>
            <w:r>
              <w:rPr>
                <w:rFonts w:hint="default" w:ascii="Times New Roman" w:hAnsi="Times New Roman" w:eastAsia="仿宋_GB2312" w:cs="Times New Roman"/>
              </w:rPr>
              <w:t xml:space="preserve">T0722  T0726 </w:t>
            </w:r>
          </w:p>
          <w:p w14:paraId="62AB9913">
            <w:pPr>
              <w:pStyle w:val="47"/>
              <w:rPr>
                <w:rFonts w:hint="default" w:ascii="Times New Roman" w:hAnsi="Times New Roman" w:eastAsia="仿宋_GB2312" w:cs="Times New Roman"/>
              </w:rPr>
            </w:pPr>
            <w:r>
              <w:rPr>
                <w:rFonts w:hint="default" w:ascii="Times New Roman" w:hAnsi="Times New Roman" w:eastAsia="仿宋_GB2312" w:cs="Times New Roman"/>
              </w:rPr>
              <w:t>T0604</w:t>
            </w:r>
          </w:p>
        </w:tc>
      </w:tr>
    </w:tbl>
    <w:p w14:paraId="1CDB9081">
      <w:pPr>
        <w:ind w:firstLine="40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注:1.表中的沥青含量、矿料级配、回收沥青技术指标等允许偏差均是与再生沥青混合料配合比设计时采用的沥青混合料回收料的技术指标相比较的允许偏差。</w:t>
      </w:r>
    </w:p>
    <w:p w14:paraId="3D1DDE4B">
      <w:pPr>
        <w:ind w:firstLine="400" w:firstLineChars="20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2.表列内容是在材料进场时已按“批”进行全面检验的基础上，日常施工过程中质量检验的项目与要求。</w:t>
      </w:r>
    </w:p>
    <w:p w14:paraId="651D99EA">
      <w:pPr>
        <w:ind w:firstLine="400" w:firstLineChars="200"/>
        <w:rPr>
          <w:rFonts w:hint="default" w:ascii="Times New Roman" w:hAnsi="Times New Roman" w:eastAsia="仿宋_GB2312" w:cs="Times New Roman"/>
          <w:sz w:val="20"/>
          <w:szCs w:val="20"/>
        </w:rPr>
      </w:pPr>
    </w:p>
    <w:p w14:paraId="4C8BD6C0">
      <w:pPr>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其它</w:t>
      </w:r>
      <w:r>
        <w:rPr>
          <w:rFonts w:hint="default" w:ascii="Times New Roman" w:hAnsi="Times New Roman" w:eastAsia="仿宋_GB2312" w:cs="Times New Roman"/>
          <w:sz w:val="24"/>
        </w:rPr>
        <w:t>原材料</w:t>
      </w:r>
      <w:r>
        <w:rPr>
          <w:rFonts w:hint="default" w:ascii="Times New Roman" w:hAnsi="Times New Roman" w:eastAsia="仿宋_GB2312" w:cs="Times New Roman"/>
          <w:bCs/>
          <w:sz w:val="24"/>
        </w:rPr>
        <w:t>检测项目和技术要求应</w:t>
      </w:r>
      <w:r>
        <w:rPr>
          <w:rFonts w:hint="default" w:ascii="Times New Roman" w:hAnsi="Times New Roman" w:eastAsia="仿宋_GB2312" w:cs="Times New Roman"/>
          <w:bCs/>
          <w:sz w:val="24"/>
          <w:lang w:bidi="ar"/>
        </w:rPr>
        <w:t>符合《公路沥青路面施工技术规范》（JTG F40</w:t>
      </w:r>
      <w:r>
        <w:rPr>
          <w:rFonts w:hint="default" w:ascii="Times New Roman" w:hAnsi="Times New Roman" w:eastAsia="仿宋_GB2312" w:cs="Times New Roman"/>
          <w:bCs/>
          <w:sz w:val="24"/>
          <w:lang w:val="en-US" w:eastAsia="zh-CN" w:bidi="ar"/>
        </w:rPr>
        <w:t>-2004</w:t>
      </w:r>
      <w:r>
        <w:rPr>
          <w:rFonts w:hint="default" w:ascii="Times New Roman" w:hAnsi="Times New Roman" w:eastAsia="仿宋_GB2312" w:cs="Times New Roman"/>
          <w:bCs/>
          <w:sz w:val="24"/>
          <w:lang w:bidi="ar"/>
        </w:rPr>
        <w:t>）对热拌沥青混合料路面及</w:t>
      </w:r>
      <w:r>
        <w:rPr>
          <w:rFonts w:hint="default" w:ascii="Times New Roman" w:hAnsi="Times New Roman" w:eastAsia="仿宋_GB2312" w:cs="Times New Roman"/>
          <w:bCs/>
          <w:sz w:val="24"/>
        </w:rPr>
        <w:t>本指南第</w:t>
      </w:r>
      <w:r>
        <w:rPr>
          <w:rFonts w:hint="default" w:ascii="Times New Roman" w:hAnsi="Times New Roman" w:eastAsia="仿宋_GB2312" w:cs="Times New Roman"/>
          <w:bCs/>
          <w:sz w:val="24"/>
          <w:lang w:val="en-US" w:eastAsia="zh-CN"/>
        </w:rPr>
        <w:t>7</w:t>
      </w:r>
      <w:r>
        <w:rPr>
          <w:rFonts w:hint="default" w:ascii="Times New Roman" w:hAnsi="Times New Roman" w:eastAsia="仿宋_GB2312" w:cs="Times New Roman"/>
          <w:bCs/>
          <w:sz w:val="24"/>
        </w:rPr>
        <w:t>章的要求。</w:t>
      </w:r>
    </w:p>
    <w:p w14:paraId="30912D77">
      <w:pPr>
        <w:widowControl/>
        <w:spacing w:line="360" w:lineRule="auto"/>
        <w:outlineLvl w:val="1"/>
        <w:rPr>
          <w:rFonts w:hint="default" w:ascii="Times New Roman" w:hAnsi="Times New Roman" w:eastAsia="仿宋_GB2312" w:cs="Times New Roman"/>
          <w:b/>
          <w:bCs/>
          <w:sz w:val="24"/>
        </w:rPr>
      </w:pPr>
      <w:bookmarkStart w:id="148" w:name="_Toc32561"/>
      <w:r>
        <w:rPr>
          <w:rFonts w:hint="default" w:ascii="Times New Roman" w:hAnsi="Times New Roman" w:eastAsia="仿宋_GB2312" w:cs="Times New Roman"/>
          <w:b/>
          <w:bCs/>
          <w:sz w:val="24"/>
          <w:lang w:val="en-US" w:eastAsia="zh-CN"/>
        </w:rPr>
        <w:t>10</w:t>
      </w:r>
      <w:r>
        <w:rPr>
          <w:rFonts w:hint="default" w:ascii="Times New Roman" w:hAnsi="Times New Roman" w:eastAsia="仿宋_GB2312" w:cs="Times New Roman"/>
          <w:b/>
          <w:bCs/>
          <w:sz w:val="24"/>
        </w:rPr>
        <w:t>.2 再生沥青</w:t>
      </w:r>
      <w:r>
        <w:rPr>
          <w:rFonts w:hint="default" w:ascii="Times New Roman" w:hAnsi="Times New Roman" w:eastAsia="仿宋_GB2312" w:cs="Times New Roman"/>
          <w:b/>
          <w:bCs/>
          <w:sz w:val="24"/>
          <w:lang w:val="en-US" w:eastAsia="zh-CN"/>
        </w:rPr>
        <w:t>混合料</w:t>
      </w:r>
      <w:r>
        <w:rPr>
          <w:rFonts w:hint="default" w:ascii="Times New Roman" w:hAnsi="Times New Roman" w:eastAsia="仿宋_GB2312" w:cs="Times New Roman"/>
          <w:b/>
          <w:bCs/>
          <w:sz w:val="24"/>
        </w:rPr>
        <w:t>过程质量控制</w:t>
      </w:r>
      <w:bookmarkEnd w:id="148"/>
    </w:p>
    <w:p w14:paraId="37C0A1D6">
      <w:pPr>
        <w:spacing w:before="156" w:beforeLines="5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 xml:space="preserve">.2.1 </w:t>
      </w:r>
      <w:r>
        <w:rPr>
          <w:rFonts w:hint="default" w:ascii="Times New Roman" w:hAnsi="Times New Roman" w:eastAsia="仿宋_GB2312" w:cs="Times New Roman"/>
          <w:sz w:val="24"/>
          <w:lang w:val="en-US" w:eastAsia="zh-CN"/>
        </w:rPr>
        <w:t>再生沥青混合料</w:t>
      </w:r>
      <w:r>
        <w:rPr>
          <w:rFonts w:hint="default" w:ascii="Times New Roman" w:hAnsi="Times New Roman" w:eastAsia="仿宋_GB2312" w:cs="Times New Roman"/>
          <w:sz w:val="24"/>
        </w:rPr>
        <w:t>过程</w:t>
      </w:r>
      <w:r>
        <w:rPr>
          <w:rFonts w:hint="default" w:ascii="Times New Roman" w:hAnsi="Times New Roman" w:eastAsia="仿宋_GB2312" w:cs="Times New Roman"/>
          <w:sz w:val="24"/>
          <w:lang w:val="en-US" w:eastAsia="zh-CN"/>
        </w:rPr>
        <w:t>质量</w:t>
      </w:r>
      <w:r>
        <w:rPr>
          <w:rFonts w:hint="default" w:ascii="Times New Roman" w:hAnsi="Times New Roman" w:eastAsia="仿宋_GB2312" w:cs="Times New Roman"/>
          <w:sz w:val="24"/>
        </w:rPr>
        <w:t>控制的检查项目、频率和标准应符合表</w:t>
      </w: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.2-1的规定。</w:t>
      </w:r>
    </w:p>
    <w:p w14:paraId="174C6BEA">
      <w:pPr>
        <w:spacing w:before="156" w:beforeLines="5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再生沥青混合料质量控制的其它要求，还应符合</w:t>
      </w:r>
      <w:r>
        <w:rPr>
          <w:rFonts w:hint="default" w:ascii="Times New Roman" w:hAnsi="Times New Roman" w:eastAsia="仿宋_GB2312" w:cs="Times New Roman"/>
          <w:bCs/>
          <w:sz w:val="24"/>
          <w:lang w:bidi="ar"/>
        </w:rPr>
        <w:t>《公路沥青路面施工技术规范》（JTG F40</w:t>
      </w:r>
      <w:r>
        <w:rPr>
          <w:rFonts w:hint="default" w:ascii="Times New Roman" w:hAnsi="Times New Roman" w:eastAsia="仿宋_GB2312" w:cs="Times New Roman"/>
          <w:bCs/>
          <w:sz w:val="24"/>
          <w:lang w:val="en-US" w:eastAsia="zh-CN" w:bidi="ar"/>
        </w:rPr>
        <w:t>-2004</w:t>
      </w:r>
      <w:r>
        <w:rPr>
          <w:rFonts w:hint="default" w:ascii="Times New Roman" w:hAnsi="Times New Roman" w:eastAsia="仿宋_GB2312" w:cs="Times New Roman"/>
          <w:bCs/>
          <w:sz w:val="24"/>
          <w:lang w:bidi="ar"/>
        </w:rPr>
        <w:t>）对热拌沥青</w:t>
      </w:r>
      <w:r>
        <w:rPr>
          <w:rFonts w:hint="default" w:ascii="Times New Roman" w:hAnsi="Times New Roman" w:eastAsia="仿宋_GB2312" w:cs="Times New Roman"/>
          <w:bCs/>
          <w:sz w:val="24"/>
          <w:lang w:val="en-US" w:eastAsia="zh-CN" w:bidi="ar"/>
        </w:rPr>
        <w:t>路面</w:t>
      </w:r>
      <w:r>
        <w:rPr>
          <w:rFonts w:hint="default" w:ascii="Times New Roman" w:hAnsi="Times New Roman" w:eastAsia="仿宋_GB2312" w:cs="Times New Roman"/>
          <w:bCs/>
          <w:sz w:val="24"/>
        </w:rPr>
        <w:t>的</w:t>
      </w:r>
      <w:r>
        <w:rPr>
          <w:rFonts w:hint="default" w:ascii="Times New Roman" w:hAnsi="Times New Roman" w:eastAsia="仿宋_GB2312" w:cs="Times New Roman"/>
          <w:bCs/>
          <w:sz w:val="24"/>
          <w:lang w:val="en-US" w:eastAsia="zh-CN"/>
        </w:rPr>
        <w:t>有关规定</w:t>
      </w:r>
      <w:r>
        <w:rPr>
          <w:rFonts w:hint="default" w:ascii="Times New Roman" w:hAnsi="Times New Roman" w:eastAsia="仿宋_GB2312" w:cs="Times New Roman"/>
          <w:sz w:val="24"/>
        </w:rPr>
        <w:t>。</w:t>
      </w:r>
    </w:p>
    <w:p w14:paraId="5FD192EF">
      <w:pPr>
        <w:spacing w:before="156" w:beforeLines="50"/>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rPr>
        <w:t>表</w:t>
      </w:r>
      <w:r>
        <w:rPr>
          <w:rFonts w:hint="default" w:ascii="Times New Roman" w:hAnsi="Times New Roman" w:eastAsia="仿宋_GB2312" w:cs="Times New Roman"/>
          <w:b/>
          <w:bCs/>
          <w:sz w:val="24"/>
          <w:lang w:val="en-US" w:eastAsia="zh-CN"/>
        </w:rPr>
        <w:t>10</w:t>
      </w:r>
      <w:r>
        <w:rPr>
          <w:rFonts w:hint="default" w:ascii="Times New Roman" w:hAnsi="Times New Roman" w:eastAsia="仿宋_GB2312" w:cs="Times New Roman"/>
          <w:b/>
          <w:bCs/>
          <w:sz w:val="24"/>
        </w:rPr>
        <w:t xml:space="preserve">.2-1  </w:t>
      </w:r>
      <w:r>
        <w:rPr>
          <w:rFonts w:hint="default" w:ascii="Times New Roman" w:hAnsi="Times New Roman" w:eastAsia="仿宋_GB2312" w:cs="Times New Roman"/>
          <w:b/>
          <w:bCs/>
          <w:sz w:val="24"/>
          <w:lang w:val="en-US" w:eastAsia="zh-CN"/>
        </w:rPr>
        <w:t>再生</w:t>
      </w:r>
      <w:r>
        <w:rPr>
          <w:rFonts w:hint="default" w:ascii="Times New Roman" w:hAnsi="Times New Roman" w:eastAsia="仿宋_GB2312" w:cs="Times New Roman"/>
          <w:b/>
          <w:bCs/>
          <w:sz w:val="24"/>
        </w:rPr>
        <w:t>沥青</w:t>
      </w:r>
      <w:r>
        <w:rPr>
          <w:rFonts w:hint="default" w:ascii="Times New Roman" w:hAnsi="Times New Roman" w:eastAsia="仿宋_GB2312" w:cs="Times New Roman"/>
          <w:b/>
          <w:bCs/>
          <w:sz w:val="24"/>
          <w:lang w:val="en-US" w:eastAsia="zh-CN"/>
        </w:rPr>
        <w:t>混合料过程质量控制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678"/>
        <w:gridCol w:w="2534"/>
        <w:gridCol w:w="2795"/>
        <w:gridCol w:w="1922"/>
      </w:tblGrid>
      <w:tr w14:paraId="73D0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699" w:type="dxa"/>
            <w:vAlign w:val="center"/>
          </w:tcPr>
          <w:p w14:paraId="574526D3">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项次</w:t>
            </w:r>
          </w:p>
        </w:tc>
        <w:tc>
          <w:tcPr>
            <w:tcW w:w="1678" w:type="dxa"/>
            <w:vAlign w:val="center"/>
          </w:tcPr>
          <w:p w14:paraId="04645E11">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检查项目</w:t>
            </w:r>
          </w:p>
        </w:tc>
        <w:tc>
          <w:tcPr>
            <w:tcW w:w="2534" w:type="dxa"/>
            <w:vAlign w:val="center"/>
          </w:tcPr>
          <w:p w14:paraId="32125C81">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检查频率</w:t>
            </w:r>
          </w:p>
        </w:tc>
        <w:tc>
          <w:tcPr>
            <w:tcW w:w="2795" w:type="dxa"/>
            <w:vAlign w:val="center"/>
          </w:tcPr>
          <w:p w14:paraId="05D1008E">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质量标准</w:t>
            </w:r>
          </w:p>
        </w:tc>
        <w:tc>
          <w:tcPr>
            <w:tcW w:w="1922" w:type="dxa"/>
            <w:vAlign w:val="center"/>
          </w:tcPr>
          <w:p w14:paraId="3D32D317">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检查方法</w:t>
            </w:r>
          </w:p>
        </w:tc>
      </w:tr>
      <w:tr w14:paraId="6B42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Align w:val="center"/>
          </w:tcPr>
          <w:p w14:paraId="6508EA6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1678" w:type="dxa"/>
            <w:vAlign w:val="center"/>
          </w:tcPr>
          <w:p w14:paraId="76045B1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外观</w:t>
            </w:r>
          </w:p>
        </w:tc>
        <w:tc>
          <w:tcPr>
            <w:tcW w:w="2534" w:type="dxa"/>
            <w:vAlign w:val="center"/>
          </w:tcPr>
          <w:p w14:paraId="356983E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随时</w:t>
            </w:r>
          </w:p>
        </w:tc>
        <w:tc>
          <w:tcPr>
            <w:tcW w:w="2795" w:type="dxa"/>
            <w:vAlign w:val="center"/>
          </w:tcPr>
          <w:p w14:paraId="422FEDFC">
            <w:pPr>
              <w:spacing w:line="0" w:lineRule="atLeas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混合料外观：观察集料粗细、均匀性、离析、油石比、色泽、冒烟、有无花白料、油团各种现象；</w:t>
            </w:r>
          </w:p>
          <w:p w14:paraId="5046BBF7">
            <w:pPr>
              <w:spacing w:line="0" w:lineRule="atLeas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成型后：表面平整密实，不得有明显轮迹、裂缝、推挤、油汀、油包等缺陷，且无明显离析</w:t>
            </w:r>
          </w:p>
        </w:tc>
        <w:tc>
          <w:tcPr>
            <w:tcW w:w="1922" w:type="dxa"/>
            <w:vAlign w:val="center"/>
          </w:tcPr>
          <w:p w14:paraId="770DCFC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目测</w:t>
            </w:r>
          </w:p>
        </w:tc>
      </w:tr>
      <w:tr w14:paraId="5807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restart"/>
            <w:vAlign w:val="center"/>
          </w:tcPr>
          <w:p w14:paraId="19CC77E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1678" w:type="dxa"/>
            <w:vMerge w:val="restart"/>
            <w:vAlign w:val="center"/>
          </w:tcPr>
          <w:p w14:paraId="54B61E1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混合料沥青用量（油石比）</w:t>
            </w:r>
          </w:p>
        </w:tc>
        <w:tc>
          <w:tcPr>
            <w:tcW w:w="2534" w:type="dxa"/>
            <w:vAlign w:val="center"/>
          </w:tcPr>
          <w:p w14:paraId="04176BF5">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逐盘在线检测</w:t>
            </w:r>
          </w:p>
        </w:tc>
        <w:tc>
          <w:tcPr>
            <w:tcW w:w="2795" w:type="dxa"/>
            <w:vAlign w:val="center"/>
          </w:tcPr>
          <w:p w14:paraId="34E6901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设计最佳用量±0.3%</w:t>
            </w:r>
          </w:p>
        </w:tc>
        <w:tc>
          <w:tcPr>
            <w:tcW w:w="1922" w:type="dxa"/>
            <w:vAlign w:val="center"/>
          </w:tcPr>
          <w:p w14:paraId="53990216">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计算机采集数据计算</w:t>
            </w:r>
          </w:p>
        </w:tc>
      </w:tr>
      <w:tr w14:paraId="0BB2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vAlign w:val="center"/>
          </w:tcPr>
          <w:p w14:paraId="6DC2AF8D">
            <w:pPr>
              <w:jc w:val="center"/>
              <w:rPr>
                <w:rFonts w:hint="default" w:ascii="Times New Roman" w:hAnsi="Times New Roman" w:eastAsia="仿宋_GB2312" w:cs="Times New Roman"/>
                <w:szCs w:val="21"/>
              </w:rPr>
            </w:pPr>
          </w:p>
        </w:tc>
        <w:tc>
          <w:tcPr>
            <w:tcW w:w="1678" w:type="dxa"/>
            <w:vMerge w:val="continue"/>
            <w:vAlign w:val="center"/>
          </w:tcPr>
          <w:p w14:paraId="64AE87DE">
            <w:pPr>
              <w:spacing w:line="0" w:lineRule="atLeast"/>
              <w:jc w:val="center"/>
              <w:rPr>
                <w:rFonts w:hint="default" w:ascii="Times New Roman" w:hAnsi="Times New Roman" w:eastAsia="仿宋_GB2312" w:cs="Times New Roman"/>
                <w:szCs w:val="21"/>
              </w:rPr>
            </w:pPr>
          </w:p>
        </w:tc>
        <w:tc>
          <w:tcPr>
            <w:tcW w:w="2534" w:type="dxa"/>
            <w:vAlign w:val="center"/>
          </w:tcPr>
          <w:p w14:paraId="458A79D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逐盘检查，每天汇总1次取平均值评定</w:t>
            </w:r>
          </w:p>
        </w:tc>
        <w:tc>
          <w:tcPr>
            <w:tcW w:w="2795" w:type="dxa"/>
            <w:vAlign w:val="center"/>
          </w:tcPr>
          <w:p w14:paraId="58B7F43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±0.1%</w:t>
            </w:r>
          </w:p>
        </w:tc>
        <w:tc>
          <w:tcPr>
            <w:tcW w:w="1922" w:type="dxa"/>
            <w:vAlign w:val="center"/>
          </w:tcPr>
          <w:p w14:paraId="429A866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JTG F40-2004附录F总量检验</w:t>
            </w:r>
          </w:p>
        </w:tc>
      </w:tr>
      <w:tr w14:paraId="1AD8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9" w:type="dxa"/>
            <w:vMerge w:val="continue"/>
            <w:vAlign w:val="center"/>
          </w:tcPr>
          <w:p w14:paraId="2593D033">
            <w:pPr>
              <w:jc w:val="center"/>
              <w:rPr>
                <w:rFonts w:hint="default" w:ascii="Times New Roman" w:hAnsi="Times New Roman" w:eastAsia="仿宋_GB2312" w:cs="Times New Roman"/>
                <w:szCs w:val="21"/>
              </w:rPr>
            </w:pPr>
          </w:p>
        </w:tc>
        <w:tc>
          <w:tcPr>
            <w:tcW w:w="1678" w:type="dxa"/>
            <w:vMerge w:val="continue"/>
            <w:vAlign w:val="center"/>
          </w:tcPr>
          <w:p w14:paraId="1E01E6C9">
            <w:pPr>
              <w:spacing w:line="0" w:lineRule="atLeast"/>
              <w:jc w:val="center"/>
              <w:rPr>
                <w:rFonts w:hint="default" w:ascii="Times New Roman" w:hAnsi="Times New Roman" w:eastAsia="仿宋_GB2312" w:cs="Times New Roman"/>
                <w:szCs w:val="21"/>
              </w:rPr>
            </w:pPr>
          </w:p>
        </w:tc>
        <w:tc>
          <w:tcPr>
            <w:tcW w:w="2534" w:type="dxa"/>
            <w:vAlign w:val="center"/>
          </w:tcPr>
          <w:p w14:paraId="2A8B53A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每台拌合机每天1~2次，以2个试样的平均值评定</w:t>
            </w:r>
          </w:p>
        </w:tc>
        <w:tc>
          <w:tcPr>
            <w:tcW w:w="2795" w:type="dxa"/>
            <w:vAlign w:val="center"/>
          </w:tcPr>
          <w:p w14:paraId="278C9B04">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设计最佳用量±0.3%</w:t>
            </w:r>
          </w:p>
        </w:tc>
        <w:tc>
          <w:tcPr>
            <w:tcW w:w="1922" w:type="dxa"/>
            <w:vAlign w:val="center"/>
          </w:tcPr>
          <w:p w14:paraId="7280014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T 0722或T 0735</w:t>
            </w:r>
          </w:p>
        </w:tc>
      </w:tr>
      <w:tr w14:paraId="5AE9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99" w:type="dxa"/>
            <w:vMerge w:val="restart"/>
            <w:vAlign w:val="center"/>
          </w:tcPr>
          <w:p w14:paraId="2B5F0407">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1678" w:type="dxa"/>
            <w:vMerge w:val="restart"/>
            <w:vAlign w:val="center"/>
          </w:tcPr>
          <w:p w14:paraId="05B1D3D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混合料矿料级配</w:t>
            </w:r>
          </w:p>
        </w:tc>
        <w:tc>
          <w:tcPr>
            <w:tcW w:w="2534" w:type="dxa"/>
            <w:vAlign w:val="center"/>
          </w:tcPr>
          <w:p w14:paraId="22D99AE6">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逐盘在线检测</w:t>
            </w:r>
          </w:p>
        </w:tc>
        <w:tc>
          <w:tcPr>
            <w:tcW w:w="2795" w:type="dxa"/>
            <w:vAlign w:val="center"/>
          </w:tcPr>
          <w:p w14:paraId="70087E2B">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与生产设计级配允许偏差：</w:t>
            </w:r>
          </w:p>
          <w:p w14:paraId="07512FB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≥4.75mm：±5%（±4%）</w:t>
            </w:r>
          </w:p>
          <w:p w14:paraId="643B4E7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≤2.36mm：±4%（±3%）</w:t>
            </w:r>
          </w:p>
          <w:p w14:paraId="7C6F4AB8">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0.075mm：±2%（±2%）</w:t>
            </w:r>
          </w:p>
        </w:tc>
        <w:tc>
          <w:tcPr>
            <w:tcW w:w="1922" w:type="dxa"/>
            <w:vAlign w:val="center"/>
          </w:tcPr>
          <w:p w14:paraId="5ECFAB96">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计算机采集数据计算</w:t>
            </w:r>
          </w:p>
        </w:tc>
      </w:tr>
      <w:tr w14:paraId="0D8E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99" w:type="dxa"/>
            <w:vMerge w:val="continue"/>
            <w:vAlign w:val="center"/>
          </w:tcPr>
          <w:p w14:paraId="1AD5F63C">
            <w:pPr>
              <w:jc w:val="center"/>
              <w:rPr>
                <w:rFonts w:hint="default" w:ascii="Times New Roman" w:hAnsi="Times New Roman" w:eastAsia="仿宋_GB2312" w:cs="Times New Roman"/>
                <w:szCs w:val="21"/>
              </w:rPr>
            </w:pPr>
          </w:p>
        </w:tc>
        <w:tc>
          <w:tcPr>
            <w:tcW w:w="1678" w:type="dxa"/>
            <w:vMerge w:val="continue"/>
            <w:vAlign w:val="center"/>
          </w:tcPr>
          <w:p w14:paraId="3B9CC016">
            <w:pPr>
              <w:spacing w:line="0" w:lineRule="atLeast"/>
              <w:jc w:val="center"/>
              <w:rPr>
                <w:rFonts w:hint="default" w:ascii="Times New Roman" w:hAnsi="Times New Roman" w:eastAsia="仿宋_GB2312" w:cs="Times New Roman"/>
                <w:szCs w:val="21"/>
              </w:rPr>
            </w:pPr>
          </w:p>
        </w:tc>
        <w:tc>
          <w:tcPr>
            <w:tcW w:w="2534" w:type="dxa"/>
            <w:vAlign w:val="center"/>
          </w:tcPr>
          <w:p w14:paraId="75258B3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逐盘检查，每天汇总1次取平均值评定</w:t>
            </w:r>
          </w:p>
        </w:tc>
        <w:tc>
          <w:tcPr>
            <w:tcW w:w="2795" w:type="dxa"/>
            <w:vAlign w:val="center"/>
          </w:tcPr>
          <w:p w14:paraId="14A869F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与生产设计级配允许偏差：</w:t>
            </w:r>
          </w:p>
          <w:p w14:paraId="1817D32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≥4.75mm：±2%</w:t>
            </w:r>
          </w:p>
          <w:p w14:paraId="569754F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≤2.36mm：±2%</w:t>
            </w:r>
          </w:p>
          <w:p w14:paraId="6DB920A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0.075mm：±1%</w:t>
            </w:r>
          </w:p>
        </w:tc>
        <w:tc>
          <w:tcPr>
            <w:tcW w:w="1922" w:type="dxa"/>
            <w:vAlign w:val="center"/>
          </w:tcPr>
          <w:p w14:paraId="3EBF84D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JTG F40-2004附录G总量检验</w:t>
            </w:r>
          </w:p>
        </w:tc>
      </w:tr>
      <w:tr w14:paraId="4F7B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99" w:type="dxa"/>
            <w:vMerge w:val="continue"/>
            <w:vAlign w:val="center"/>
          </w:tcPr>
          <w:p w14:paraId="0ACB60A3">
            <w:pPr>
              <w:jc w:val="center"/>
              <w:rPr>
                <w:rFonts w:hint="default" w:ascii="Times New Roman" w:hAnsi="Times New Roman" w:eastAsia="仿宋_GB2312" w:cs="Times New Roman"/>
                <w:szCs w:val="21"/>
              </w:rPr>
            </w:pPr>
          </w:p>
        </w:tc>
        <w:tc>
          <w:tcPr>
            <w:tcW w:w="1678" w:type="dxa"/>
            <w:vMerge w:val="continue"/>
            <w:vAlign w:val="center"/>
          </w:tcPr>
          <w:p w14:paraId="0C1A5143">
            <w:pPr>
              <w:spacing w:line="0" w:lineRule="atLeast"/>
              <w:jc w:val="center"/>
              <w:rPr>
                <w:rFonts w:hint="default" w:ascii="Times New Roman" w:hAnsi="Times New Roman" w:eastAsia="仿宋_GB2312" w:cs="Times New Roman"/>
                <w:szCs w:val="21"/>
              </w:rPr>
            </w:pPr>
          </w:p>
        </w:tc>
        <w:tc>
          <w:tcPr>
            <w:tcW w:w="2534" w:type="dxa"/>
            <w:vAlign w:val="center"/>
          </w:tcPr>
          <w:p w14:paraId="41ED38E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每台拌合机每天1~2次，以2个试样的平均值评定</w:t>
            </w:r>
          </w:p>
        </w:tc>
        <w:tc>
          <w:tcPr>
            <w:tcW w:w="2795" w:type="dxa"/>
            <w:vAlign w:val="center"/>
          </w:tcPr>
          <w:p w14:paraId="7957AEB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与生产设计级配允许偏差：</w:t>
            </w:r>
          </w:p>
          <w:p w14:paraId="4DC35E3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≥4.75mm：±4%</w:t>
            </w:r>
          </w:p>
          <w:p w14:paraId="166CA1F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≤2.36mm：±3%</w:t>
            </w:r>
          </w:p>
          <w:p w14:paraId="55BB52E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0.075mm：±2%</w:t>
            </w:r>
          </w:p>
        </w:tc>
        <w:tc>
          <w:tcPr>
            <w:tcW w:w="1922" w:type="dxa"/>
            <w:vAlign w:val="center"/>
          </w:tcPr>
          <w:p w14:paraId="666CF30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T 0302水洗法</w:t>
            </w:r>
          </w:p>
        </w:tc>
      </w:tr>
      <w:tr w14:paraId="1918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06D358A">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tc>
        <w:tc>
          <w:tcPr>
            <w:tcW w:w="1678" w:type="dxa"/>
            <w:vAlign w:val="center"/>
          </w:tcPr>
          <w:p w14:paraId="13B8036A">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沥青、集料的加热温度</w:t>
            </w:r>
          </w:p>
        </w:tc>
        <w:tc>
          <w:tcPr>
            <w:tcW w:w="2534" w:type="dxa"/>
            <w:vAlign w:val="center"/>
          </w:tcPr>
          <w:p w14:paraId="5AA2C0D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逐盘检测评定</w:t>
            </w:r>
          </w:p>
        </w:tc>
        <w:tc>
          <w:tcPr>
            <w:tcW w:w="2795" w:type="dxa"/>
            <w:vAlign w:val="center"/>
          </w:tcPr>
          <w:p w14:paraId="51FF6DD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符合本指南要求</w:t>
            </w:r>
          </w:p>
        </w:tc>
        <w:tc>
          <w:tcPr>
            <w:tcW w:w="1922" w:type="dxa"/>
            <w:vAlign w:val="center"/>
          </w:tcPr>
          <w:p w14:paraId="10556847">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传感器自动检测、显示并打印</w:t>
            </w:r>
          </w:p>
        </w:tc>
      </w:tr>
      <w:tr w14:paraId="7C19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14:paraId="4AAD7A90">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tc>
        <w:tc>
          <w:tcPr>
            <w:tcW w:w="1678" w:type="dxa"/>
            <w:vMerge w:val="restart"/>
            <w:vAlign w:val="center"/>
          </w:tcPr>
          <w:p w14:paraId="26CD13D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rPr>
              <w:t>混合料出厂温度</w:t>
            </w:r>
          </w:p>
        </w:tc>
        <w:tc>
          <w:tcPr>
            <w:tcW w:w="2534" w:type="dxa"/>
            <w:vAlign w:val="center"/>
          </w:tcPr>
          <w:p w14:paraId="727094C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逐车检测</w:t>
            </w:r>
          </w:p>
        </w:tc>
        <w:tc>
          <w:tcPr>
            <w:tcW w:w="2795" w:type="dxa"/>
            <w:vAlign w:val="center"/>
          </w:tcPr>
          <w:p w14:paraId="3E45FB86">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符合本指南要求</w:t>
            </w:r>
          </w:p>
        </w:tc>
        <w:tc>
          <w:tcPr>
            <w:tcW w:w="1922" w:type="dxa"/>
            <w:vAlign w:val="center"/>
          </w:tcPr>
          <w:p w14:paraId="4BE3B02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传感器自动检测、显示并打印，出厂时逐车按T 0981人工检测</w:t>
            </w:r>
          </w:p>
        </w:tc>
      </w:tr>
      <w:tr w14:paraId="1A7B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14:paraId="2B18A4FA">
            <w:pPr>
              <w:rPr>
                <w:rFonts w:hint="default" w:ascii="Times New Roman" w:hAnsi="Times New Roman" w:eastAsia="仿宋_GB2312" w:cs="Times New Roman"/>
                <w:szCs w:val="21"/>
              </w:rPr>
            </w:pPr>
          </w:p>
        </w:tc>
        <w:tc>
          <w:tcPr>
            <w:tcW w:w="1678" w:type="dxa"/>
            <w:vMerge w:val="continue"/>
            <w:vAlign w:val="center"/>
          </w:tcPr>
          <w:p w14:paraId="57CAE056">
            <w:pPr>
              <w:spacing w:line="0" w:lineRule="atLeast"/>
              <w:jc w:val="center"/>
              <w:rPr>
                <w:rFonts w:hint="default" w:ascii="Times New Roman" w:hAnsi="Times New Roman" w:eastAsia="仿宋_GB2312" w:cs="Times New Roman"/>
                <w:color w:val="000000"/>
                <w:szCs w:val="21"/>
              </w:rPr>
            </w:pPr>
          </w:p>
        </w:tc>
        <w:tc>
          <w:tcPr>
            <w:tcW w:w="2534" w:type="dxa"/>
            <w:vAlign w:val="center"/>
          </w:tcPr>
          <w:p w14:paraId="5980209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逐盘测量记录，每天取平均值评定</w:t>
            </w:r>
          </w:p>
        </w:tc>
        <w:tc>
          <w:tcPr>
            <w:tcW w:w="2795" w:type="dxa"/>
            <w:vAlign w:val="center"/>
          </w:tcPr>
          <w:p w14:paraId="6DF5A24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符合本指南要求</w:t>
            </w:r>
          </w:p>
        </w:tc>
        <w:tc>
          <w:tcPr>
            <w:tcW w:w="1922" w:type="dxa"/>
            <w:vAlign w:val="center"/>
          </w:tcPr>
          <w:p w14:paraId="6182AF3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传感器自动检测、显示并打印</w:t>
            </w:r>
          </w:p>
        </w:tc>
      </w:tr>
      <w:tr w14:paraId="11F8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5957BC7">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w:t>
            </w:r>
          </w:p>
        </w:tc>
        <w:tc>
          <w:tcPr>
            <w:tcW w:w="1678" w:type="dxa"/>
            <w:vAlign w:val="center"/>
          </w:tcPr>
          <w:p w14:paraId="248B728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混合料摊铺温度</w:t>
            </w:r>
          </w:p>
        </w:tc>
        <w:tc>
          <w:tcPr>
            <w:tcW w:w="2534" w:type="dxa"/>
            <w:vAlign w:val="center"/>
          </w:tcPr>
          <w:p w14:paraId="2EC23B1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逐车检测评定</w:t>
            </w:r>
          </w:p>
        </w:tc>
        <w:tc>
          <w:tcPr>
            <w:tcW w:w="2795" w:type="dxa"/>
            <w:vAlign w:val="center"/>
          </w:tcPr>
          <w:p w14:paraId="250A81B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符合本指南要求</w:t>
            </w:r>
          </w:p>
        </w:tc>
        <w:tc>
          <w:tcPr>
            <w:tcW w:w="1922" w:type="dxa"/>
            <w:vAlign w:val="center"/>
          </w:tcPr>
          <w:p w14:paraId="15B2EE8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T 0981</w:t>
            </w:r>
          </w:p>
        </w:tc>
      </w:tr>
      <w:tr w14:paraId="269F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D2F15E4">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c>
          <w:tcPr>
            <w:tcW w:w="1678" w:type="dxa"/>
            <w:vAlign w:val="center"/>
          </w:tcPr>
          <w:p w14:paraId="6965592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混合料碾压温度</w:t>
            </w:r>
          </w:p>
        </w:tc>
        <w:tc>
          <w:tcPr>
            <w:tcW w:w="2534" w:type="dxa"/>
            <w:vAlign w:val="center"/>
          </w:tcPr>
          <w:p w14:paraId="208373A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随时</w:t>
            </w:r>
          </w:p>
        </w:tc>
        <w:tc>
          <w:tcPr>
            <w:tcW w:w="2795" w:type="dxa"/>
            <w:vAlign w:val="center"/>
          </w:tcPr>
          <w:p w14:paraId="44CE531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符合本指南要求</w:t>
            </w:r>
          </w:p>
        </w:tc>
        <w:tc>
          <w:tcPr>
            <w:tcW w:w="1922" w:type="dxa"/>
            <w:vAlign w:val="center"/>
          </w:tcPr>
          <w:p w14:paraId="795B4FE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插入式温度计实测</w:t>
            </w:r>
          </w:p>
        </w:tc>
      </w:tr>
      <w:tr w14:paraId="2BC2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630DA49">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tc>
        <w:tc>
          <w:tcPr>
            <w:tcW w:w="1678" w:type="dxa"/>
            <w:vAlign w:val="center"/>
          </w:tcPr>
          <w:p w14:paraId="5F359B8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马歇尔试验：</w:t>
            </w:r>
          </w:p>
          <w:p w14:paraId="60D9D85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空隙率、矿料间隙率、沥青饱和度、稳定度、流值</w:t>
            </w:r>
          </w:p>
        </w:tc>
        <w:tc>
          <w:tcPr>
            <w:tcW w:w="2534" w:type="dxa"/>
            <w:vAlign w:val="center"/>
          </w:tcPr>
          <w:p w14:paraId="7115B14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每台拌合机每天1~2次，以4~6个试样的平均值评定</w:t>
            </w:r>
          </w:p>
        </w:tc>
        <w:tc>
          <w:tcPr>
            <w:tcW w:w="2795" w:type="dxa"/>
            <w:vAlign w:val="center"/>
          </w:tcPr>
          <w:p w14:paraId="5279116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符合本指南要求</w:t>
            </w:r>
          </w:p>
        </w:tc>
        <w:tc>
          <w:tcPr>
            <w:tcW w:w="1922" w:type="dxa"/>
            <w:vAlign w:val="center"/>
          </w:tcPr>
          <w:p w14:paraId="2D5CE19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0702、T0709、</w:t>
            </w:r>
            <w:r>
              <w:rPr>
                <w:rFonts w:hint="default" w:ascii="Times New Roman" w:hAnsi="Times New Roman" w:eastAsia="仿宋_GB2312" w:cs="Times New Roman"/>
                <w:szCs w:val="21"/>
              </w:rPr>
              <w:t>JTG F40-2004附录B、附录C</w:t>
            </w:r>
          </w:p>
        </w:tc>
      </w:tr>
      <w:tr w14:paraId="61DF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1D97237">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w:t>
            </w:r>
          </w:p>
        </w:tc>
        <w:tc>
          <w:tcPr>
            <w:tcW w:w="1678" w:type="dxa"/>
            <w:vAlign w:val="center"/>
          </w:tcPr>
          <w:p w14:paraId="20321A5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浸水马歇尔试验</w:t>
            </w:r>
          </w:p>
        </w:tc>
        <w:tc>
          <w:tcPr>
            <w:tcW w:w="2534" w:type="dxa"/>
            <w:vAlign w:val="center"/>
          </w:tcPr>
          <w:p w14:paraId="5402C1A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每3000m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检查1次</w:t>
            </w:r>
          </w:p>
        </w:tc>
        <w:tc>
          <w:tcPr>
            <w:tcW w:w="2795" w:type="dxa"/>
            <w:vAlign w:val="center"/>
          </w:tcPr>
          <w:p w14:paraId="4E84923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符合本指南要求</w:t>
            </w:r>
          </w:p>
        </w:tc>
        <w:tc>
          <w:tcPr>
            <w:tcW w:w="1922" w:type="dxa"/>
            <w:vAlign w:val="center"/>
          </w:tcPr>
          <w:p w14:paraId="09ECF84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0702、T0709</w:t>
            </w:r>
          </w:p>
        </w:tc>
      </w:tr>
      <w:tr w14:paraId="6758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D8CC6EB">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1678" w:type="dxa"/>
            <w:vAlign w:val="center"/>
          </w:tcPr>
          <w:p w14:paraId="2F175BB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冻融劈裂试验</w:t>
            </w:r>
          </w:p>
        </w:tc>
        <w:tc>
          <w:tcPr>
            <w:tcW w:w="2534" w:type="dxa"/>
            <w:vAlign w:val="center"/>
          </w:tcPr>
          <w:p w14:paraId="3EB4CF0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每3000m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检查1次</w:t>
            </w:r>
          </w:p>
        </w:tc>
        <w:tc>
          <w:tcPr>
            <w:tcW w:w="2795" w:type="dxa"/>
            <w:vAlign w:val="center"/>
          </w:tcPr>
          <w:p w14:paraId="5F47E0C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符合本指南要求</w:t>
            </w:r>
          </w:p>
        </w:tc>
        <w:tc>
          <w:tcPr>
            <w:tcW w:w="1922" w:type="dxa"/>
            <w:vAlign w:val="center"/>
          </w:tcPr>
          <w:p w14:paraId="4738853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0729</w:t>
            </w:r>
          </w:p>
        </w:tc>
      </w:tr>
      <w:tr w14:paraId="6D84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7E6BAE7F">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11</w:t>
            </w:r>
          </w:p>
        </w:tc>
        <w:tc>
          <w:tcPr>
            <w:tcW w:w="1678" w:type="dxa"/>
            <w:vAlign w:val="center"/>
          </w:tcPr>
          <w:p w14:paraId="1056C8F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车辙试验</w:t>
            </w:r>
          </w:p>
        </w:tc>
        <w:tc>
          <w:tcPr>
            <w:tcW w:w="2534" w:type="dxa"/>
            <w:vAlign w:val="center"/>
          </w:tcPr>
          <w:p w14:paraId="572AB94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每3000m</w:t>
            </w:r>
            <w:r>
              <w:rPr>
                <w:rFonts w:hint="default" w:ascii="Times New Roman" w:hAnsi="Times New Roman" w:eastAsia="仿宋_GB2312" w:cs="Times New Roman"/>
                <w:color w:val="000000"/>
                <w:szCs w:val="21"/>
                <w:vertAlign w:val="superscript"/>
              </w:rPr>
              <w:t>3</w:t>
            </w:r>
            <w:r>
              <w:rPr>
                <w:rFonts w:hint="default" w:ascii="Times New Roman" w:hAnsi="Times New Roman" w:eastAsia="仿宋_GB2312" w:cs="Times New Roman"/>
                <w:color w:val="000000"/>
                <w:szCs w:val="21"/>
              </w:rPr>
              <w:t>检查1次</w:t>
            </w:r>
          </w:p>
        </w:tc>
        <w:tc>
          <w:tcPr>
            <w:tcW w:w="2795" w:type="dxa"/>
            <w:vAlign w:val="center"/>
          </w:tcPr>
          <w:p w14:paraId="615D6C4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符合本指南要求</w:t>
            </w:r>
          </w:p>
        </w:tc>
        <w:tc>
          <w:tcPr>
            <w:tcW w:w="1922" w:type="dxa"/>
            <w:vAlign w:val="center"/>
          </w:tcPr>
          <w:p w14:paraId="50A0483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0719</w:t>
            </w:r>
          </w:p>
        </w:tc>
      </w:tr>
      <w:tr w14:paraId="5DFB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14:paraId="3538E2C3">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tc>
        <w:tc>
          <w:tcPr>
            <w:tcW w:w="1678" w:type="dxa"/>
            <w:vMerge w:val="restart"/>
            <w:vAlign w:val="center"/>
          </w:tcPr>
          <w:p w14:paraId="5067EA5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接缝</w:t>
            </w:r>
          </w:p>
        </w:tc>
        <w:tc>
          <w:tcPr>
            <w:tcW w:w="2534" w:type="dxa"/>
            <w:vAlign w:val="center"/>
          </w:tcPr>
          <w:p w14:paraId="0E95002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随时</w:t>
            </w:r>
          </w:p>
        </w:tc>
        <w:tc>
          <w:tcPr>
            <w:tcW w:w="2795" w:type="dxa"/>
            <w:vAlign w:val="center"/>
          </w:tcPr>
          <w:p w14:paraId="2F7F0FB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紧密平整、顺直、无跳车</w:t>
            </w:r>
          </w:p>
        </w:tc>
        <w:tc>
          <w:tcPr>
            <w:tcW w:w="1922" w:type="dxa"/>
            <w:vAlign w:val="center"/>
          </w:tcPr>
          <w:p w14:paraId="3E166F2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目测</w:t>
            </w:r>
          </w:p>
        </w:tc>
      </w:tr>
      <w:tr w14:paraId="0410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99" w:type="dxa"/>
            <w:vMerge w:val="continue"/>
            <w:vAlign w:val="center"/>
          </w:tcPr>
          <w:p w14:paraId="4152C839">
            <w:pPr>
              <w:jc w:val="center"/>
              <w:rPr>
                <w:rFonts w:hint="default" w:ascii="Times New Roman" w:hAnsi="Times New Roman" w:eastAsia="仿宋_GB2312" w:cs="Times New Roman"/>
                <w:szCs w:val="21"/>
              </w:rPr>
            </w:pPr>
          </w:p>
        </w:tc>
        <w:tc>
          <w:tcPr>
            <w:tcW w:w="1678" w:type="dxa"/>
            <w:vMerge w:val="continue"/>
            <w:vAlign w:val="center"/>
          </w:tcPr>
          <w:p w14:paraId="4BB9B51E">
            <w:pPr>
              <w:spacing w:line="0" w:lineRule="atLeast"/>
              <w:jc w:val="center"/>
              <w:rPr>
                <w:rFonts w:hint="default" w:ascii="Times New Roman" w:hAnsi="Times New Roman" w:eastAsia="仿宋_GB2312" w:cs="Times New Roman"/>
                <w:color w:val="000000"/>
                <w:szCs w:val="21"/>
              </w:rPr>
            </w:pPr>
          </w:p>
        </w:tc>
        <w:tc>
          <w:tcPr>
            <w:tcW w:w="2534" w:type="dxa"/>
            <w:vAlign w:val="center"/>
          </w:tcPr>
          <w:p w14:paraId="0F44CBD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逐条检测评定</w:t>
            </w:r>
          </w:p>
        </w:tc>
        <w:tc>
          <w:tcPr>
            <w:tcW w:w="2795" w:type="dxa"/>
            <w:vAlign w:val="center"/>
          </w:tcPr>
          <w:p w14:paraId="5D630A4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≤3mm</w:t>
            </w:r>
          </w:p>
        </w:tc>
        <w:tc>
          <w:tcPr>
            <w:tcW w:w="1922" w:type="dxa"/>
            <w:vAlign w:val="center"/>
          </w:tcPr>
          <w:p w14:paraId="05FE77A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0931</w:t>
            </w:r>
          </w:p>
        </w:tc>
      </w:tr>
    </w:tbl>
    <w:p w14:paraId="73237A4C">
      <w:pPr>
        <w:ind w:firstLine="42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Cs w:val="21"/>
        </w:rPr>
        <w:t>注：（）中的数字是对SMA沥青混合料的要求</w:t>
      </w:r>
      <w:r>
        <w:rPr>
          <w:rFonts w:hint="default" w:ascii="Times New Roman" w:hAnsi="Times New Roman" w:eastAsia="仿宋_GB2312" w:cs="Times New Roman"/>
          <w:szCs w:val="21"/>
          <w:lang w:eastAsia="zh-CN"/>
        </w:rPr>
        <w:t>。</w:t>
      </w:r>
    </w:p>
    <w:p w14:paraId="0EFCF3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4"/>
        </w:rPr>
      </w:pPr>
    </w:p>
    <w:p w14:paraId="3010DED4">
      <w:pPr>
        <w:widowControl/>
        <w:spacing w:line="360" w:lineRule="auto"/>
        <w:outlineLvl w:val="1"/>
        <w:rPr>
          <w:rFonts w:hint="default" w:ascii="Times New Roman" w:hAnsi="Times New Roman" w:eastAsia="仿宋_GB2312" w:cs="Times New Roman"/>
          <w:b/>
          <w:bCs/>
          <w:sz w:val="24"/>
          <w:lang w:eastAsia="zh-CN"/>
        </w:rPr>
      </w:pPr>
      <w:bookmarkStart w:id="149" w:name="_Toc24570"/>
      <w:r>
        <w:rPr>
          <w:rFonts w:hint="default" w:ascii="Times New Roman" w:hAnsi="Times New Roman" w:eastAsia="仿宋_GB2312" w:cs="Times New Roman"/>
          <w:b/>
          <w:bCs/>
          <w:sz w:val="24"/>
          <w:lang w:val="en-US" w:eastAsia="zh-CN"/>
        </w:rPr>
        <w:t>10</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3</w:t>
      </w: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b/>
          <w:bCs/>
          <w:sz w:val="24"/>
          <w:lang w:val="en-US" w:eastAsia="zh-CN"/>
        </w:rPr>
        <w:t>再生沥青路面验收标准</w:t>
      </w:r>
      <w:bookmarkEnd w:id="149"/>
    </w:p>
    <w:p w14:paraId="1487B86B">
      <w:pPr>
        <w:spacing w:before="156" w:beforeLines="5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 xml:space="preserve">.1 </w:t>
      </w:r>
      <w:r>
        <w:rPr>
          <w:rFonts w:hint="default" w:ascii="Times New Roman" w:hAnsi="Times New Roman" w:eastAsia="仿宋_GB2312" w:cs="Times New Roman"/>
          <w:sz w:val="24"/>
          <w:lang w:val="en-US" w:eastAsia="zh-CN"/>
        </w:rPr>
        <w:t>再生沥青路面质量验收标准</w:t>
      </w:r>
      <w:r>
        <w:rPr>
          <w:rFonts w:hint="default" w:ascii="Times New Roman" w:hAnsi="Times New Roman" w:eastAsia="仿宋_GB2312" w:cs="Times New Roman"/>
          <w:sz w:val="24"/>
        </w:rPr>
        <w:t>应符合表</w:t>
      </w: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-1的规定。</w:t>
      </w:r>
    </w:p>
    <w:p w14:paraId="31B8BBD4">
      <w:pPr>
        <w:spacing w:before="156" w:beforeLines="50"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10</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再生沥青路面施工质量标准与控制的其它要求，还应符合</w:t>
      </w:r>
      <w:r>
        <w:rPr>
          <w:rFonts w:hint="default" w:ascii="Times New Roman" w:hAnsi="Times New Roman" w:eastAsia="仿宋_GB2312" w:cs="Times New Roman"/>
          <w:bCs/>
          <w:sz w:val="24"/>
          <w:lang w:bidi="ar"/>
        </w:rPr>
        <w:t>《公路沥青路面施工技术规范》（JTG F40</w:t>
      </w:r>
      <w:r>
        <w:rPr>
          <w:rFonts w:hint="default" w:ascii="Times New Roman" w:hAnsi="Times New Roman" w:eastAsia="仿宋_GB2312" w:cs="Times New Roman"/>
          <w:bCs/>
          <w:sz w:val="24"/>
          <w:lang w:val="en-US" w:eastAsia="zh-CN" w:bidi="ar"/>
        </w:rPr>
        <w:t>-2004</w:t>
      </w:r>
      <w:r>
        <w:rPr>
          <w:rFonts w:hint="default" w:ascii="Times New Roman" w:hAnsi="Times New Roman" w:eastAsia="仿宋_GB2312" w:cs="Times New Roman"/>
          <w:bCs/>
          <w:sz w:val="24"/>
          <w:lang w:bidi="ar"/>
        </w:rPr>
        <w:t>）对热拌沥青</w:t>
      </w:r>
      <w:r>
        <w:rPr>
          <w:rFonts w:hint="default" w:ascii="Times New Roman" w:hAnsi="Times New Roman" w:eastAsia="仿宋_GB2312" w:cs="Times New Roman"/>
          <w:bCs/>
          <w:sz w:val="24"/>
          <w:lang w:val="en-US" w:eastAsia="zh-CN" w:bidi="ar"/>
        </w:rPr>
        <w:t>路面</w:t>
      </w:r>
      <w:r>
        <w:rPr>
          <w:rFonts w:hint="default" w:ascii="Times New Roman" w:hAnsi="Times New Roman" w:eastAsia="仿宋_GB2312" w:cs="Times New Roman"/>
          <w:bCs/>
          <w:sz w:val="24"/>
        </w:rPr>
        <w:t>的</w:t>
      </w:r>
      <w:r>
        <w:rPr>
          <w:rFonts w:hint="default" w:ascii="Times New Roman" w:hAnsi="Times New Roman" w:eastAsia="仿宋_GB2312" w:cs="Times New Roman"/>
          <w:bCs/>
          <w:sz w:val="24"/>
          <w:lang w:val="en-US" w:eastAsia="zh-CN"/>
        </w:rPr>
        <w:t>有关规定</w:t>
      </w:r>
      <w:r>
        <w:rPr>
          <w:rFonts w:hint="default" w:ascii="Times New Roman" w:hAnsi="Times New Roman" w:eastAsia="仿宋_GB2312" w:cs="Times New Roman"/>
          <w:sz w:val="24"/>
        </w:rPr>
        <w:t>。</w:t>
      </w:r>
    </w:p>
    <w:p w14:paraId="6064EF30">
      <w:pPr>
        <w:spacing w:before="156" w:beforeLines="50"/>
        <w:jc w:val="center"/>
        <w:rPr>
          <w:rFonts w:hint="default" w:ascii="Times New Roman" w:hAnsi="Times New Roman" w:eastAsia="仿宋_GB2312" w:cs="Times New Roman"/>
          <w:b/>
          <w:bCs/>
          <w:sz w:val="24"/>
          <w:lang w:val="en-US" w:eastAsia="zh-CN"/>
        </w:rPr>
      </w:pPr>
      <w:r>
        <w:rPr>
          <w:rFonts w:hint="default" w:ascii="Times New Roman" w:hAnsi="Times New Roman" w:eastAsia="仿宋_GB2312" w:cs="Times New Roman"/>
          <w:b/>
          <w:bCs/>
          <w:sz w:val="24"/>
        </w:rPr>
        <w:t>表</w:t>
      </w:r>
      <w:r>
        <w:rPr>
          <w:rFonts w:hint="default" w:ascii="Times New Roman" w:hAnsi="Times New Roman" w:eastAsia="仿宋_GB2312" w:cs="Times New Roman"/>
          <w:b/>
          <w:bCs/>
          <w:sz w:val="24"/>
          <w:lang w:val="en-US" w:eastAsia="zh-CN"/>
        </w:rPr>
        <w:t>10</w:t>
      </w:r>
      <w:r>
        <w:rPr>
          <w:rFonts w:hint="default" w:ascii="Times New Roman" w:hAnsi="Times New Roman" w:eastAsia="仿宋_GB2312" w:cs="Times New Roman"/>
          <w:b/>
          <w:bCs/>
          <w:sz w:val="24"/>
        </w:rPr>
        <w:t>.</w:t>
      </w:r>
      <w:r>
        <w:rPr>
          <w:rFonts w:hint="default" w:ascii="Times New Roman" w:hAnsi="Times New Roman" w:eastAsia="仿宋_GB2312" w:cs="Times New Roman"/>
          <w:b/>
          <w:bCs/>
          <w:sz w:val="24"/>
          <w:lang w:val="en-US" w:eastAsia="zh-CN"/>
        </w:rPr>
        <w:t>3</w:t>
      </w:r>
      <w:r>
        <w:rPr>
          <w:rFonts w:hint="default" w:ascii="Times New Roman" w:hAnsi="Times New Roman" w:eastAsia="仿宋_GB2312" w:cs="Times New Roman"/>
          <w:b/>
          <w:bCs/>
          <w:sz w:val="24"/>
        </w:rPr>
        <w:t xml:space="preserve">-1  </w:t>
      </w:r>
      <w:r>
        <w:rPr>
          <w:rFonts w:hint="default" w:ascii="Times New Roman" w:hAnsi="Times New Roman" w:eastAsia="仿宋_GB2312" w:cs="Times New Roman"/>
          <w:b/>
          <w:bCs/>
          <w:sz w:val="24"/>
          <w:lang w:val="en-US" w:eastAsia="zh-CN"/>
        </w:rPr>
        <w:t>再生</w:t>
      </w:r>
      <w:r>
        <w:rPr>
          <w:rFonts w:hint="default" w:ascii="Times New Roman" w:hAnsi="Times New Roman" w:eastAsia="仿宋_GB2312" w:cs="Times New Roman"/>
          <w:b/>
          <w:bCs/>
          <w:sz w:val="24"/>
        </w:rPr>
        <w:t>沥青</w:t>
      </w:r>
      <w:r>
        <w:rPr>
          <w:rFonts w:hint="default" w:ascii="Times New Roman" w:hAnsi="Times New Roman" w:eastAsia="仿宋_GB2312" w:cs="Times New Roman"/>
          <w:b/>
          <w:bCs/>
          <w:sz w:val="24"/>
          <w:lang w:val="en-US" w:eastAsia="zh-CN"/>
        </w:rPr>
        <w:t>路面验收标准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83"/>
        <w:gridCol w:w="1095"/>
        <w:gridCol w:w="2534"/>
        <w:gridCol w:w="2795"/>
        <w:gridCol w:w="1922"/>
      </w:tblGrid>
      <w:tr w14:paraId="2C3B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9" w:type="dxa"/>
            <w:vAlign w:val="center"/>
          </w:tcPr>
          <w:p w14:paraId="3472294F">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项次</w:t>
            </w:r>
          </w:p>
        </w:tc>
        <w:tc>
          <w:tcPr>
            <w:tcW w:w="1678" w:type="dxa"/>
            <w:gridSpan w:val="2"/>
            <w:vAlign w:val="center"/>
          </w:tcPr>
          <w:p w14:paraId="239C0302">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检查项目</w:t>
            </w:r>
          </w:p>
        </w:tc>
        <w:tc>
          <w:tcPr>
            <w:tcW w:w="2534" w:type="dxa"/>
            <w:vAlign w:val="center"/>
          </w:tcPr>
          <w:p w14:paraId="782B3B20">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检查频率</w:t>
            </w:r>
          </w:p>
        </w:tc>
        <w:tc>
          <w:tcPr>
            <w:tcW w:w="2795" w:type="dxa"/>
            <w:vAlign w:val="center"/>
          </w:tcPr>
          <w:p w14:paraId="3BF81E8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质量标准</w:t>
            </w:r>
          </w:p>
        </w:tc>
        <w:tc>
          <w:tcPr>
            <w:tcW w:w="1922" w:type="dxa"/>
            <w:vAlign w:val="center"/>
          </w:tcPr>
          <w:p w14:paraId="2A50DAC6">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检查方法</w:t>
            </w:r>
          </w:p>
        </w:tc>
      </w:tr>
      <w:tr w14:paraId="3333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14:paraId="5A98EB41">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p>
        </w:tc>
        <w:tc>
          <w:tcPr>
            <w:tcW w:w="583" w:type="dxa"/>
            <w:vMerge w:val="restart"/>
            <w:vAlign w:val="center"/>
          </w:tcPr>
          <w:p w14:paraId="39F7235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厚度</w:t>
            </w:r>
          </w:p>
        </w:tc>
        <w:tc>
          <w:tcPr>
            <w:tcW w:w="1095" w:type="dxa"/>
            <w:vAlign w:val="center"/>
          </w:tcPr>
          <w:p w14:paraId="533BE1D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每一层次</w:t>
            </w:r>
          </w:p>
        </w:tc>
        <w:tc>
          <w:tcPr>
            <w:tcW w:w="2534" w:type="dxa"/>
            <w:vAlign w:val="center"/>
          </w:tcPr>
          <w:p w14:paraId="579B203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随时</w:t>
            </w:r>
          </w:p>
        </w:tc>
        <w:tc>
          <w:tcPr>
            <w:tcW w:w="2795" w:type="dxa"/>
            <w:vAlign w:val="center"/>
          </w:tcPr>
          <w:p w14:paraId="70EEF971">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下面层（AC-25C）、中面层（AC-20C）</w:t>
            </w:r>
            <w:r>
              <w:rPr>
                <w:rFonts w:hint="default" w:ascii="Times New Roman" w:hAnsi="Times New Roman" w:eastAsia="仿宋_GB2312" w:cs="Times New Roman"/>
                <w:szCs w:val="21"/>
              </w:rPr>
              <w:t>不小于</w:t>
            </w:r>
            <w:r>
              <w:rPr>
                <w:rFonts w:hint="default" w:ascii="Times New Roman" w:hAnsi="Times New Roman" w:eastAsia="仿宋_GB2312" w:cs="Times New Roman"/>
                <w:color w:val="000000"/>
                <w:szCs w:val="21"/>
              </w:rPr>
              <w:t>设计值减去设计值的8%；上面层</w:t>
            </w:r>
            <w:r>
              <w:rPr>
                <w:rFonts w:hint="default" w:ascii="Times New Roman" w:hAnsi="Times New Roman" w:eastAsia="仿宋_GB2312" w:cs="Times New Roman"/>
                <w:szCs w:val="21"/>
              </w:rPr>
              <w:t>不小于</w:t>
            </w:r>
            <w:r>
              <w:rPr>
                <w:rFonts w:hint="default" w:ascii="Times New Roman" w:hAnsi="Times New Roman" w:eastAsia="仿宋_GB2312" w:cs="Times New Roman"/>
                <w:color w:val="000000"/>
                <w:szCs w:val="21"/>
              </w:rPr>
              <w:t>设计值减去设计值的5%</w:t>
            </w:r>
          </w:p>
        </w:tc>
        <w:tc>
          <w:tcPr>
            <w:tcW w:w="1922" w:type="dxa"/>
            <w:vAlign w:val="center"/>
          </w:tcPr>
          <w:p w14:paraId="2F10D9C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施工时插入法量测松浦厚度及压实厚度</w:t>
            </w:r>
          </w:p>
        </w:tc>
      </w:tr>
      <w:tr w14:paraId="23AE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14:paraId="51C32C20">
            <w:pPr>
              <w:jc w:val="center"/>
              <w:rPr>
                <w:rFonts w:hint="default" w:ascii="Times New Roman" w:hAnsi="Times New Roman" w:eastAsia="仿宋_GB2312" w:cs="Times New Roman"/>
                <w:szCs w:val="21"/>
              </w:rPr>
            </w:pPr>
          </w:p>
        </w:tc>
        <w:tc>
          <w:tcPr>
            <w:tcW w:w="583" w:type="dxa"/>
            <w:vMerge w:val="continue"/>
            <w:vAlign w:val="center"/>
          </w:tcPr>
          <w:p w14:paraId="39E9F492">
            <w:pPr>
              <w:spacing w:line="0" w:lineRule="atLeast"/>
              <w:jc w:val="center"/>
              <w:rPr>
                <w:rFonts w:hint="default" w:ascii="Times New Roman" w:hAnsi="Times New Roman" w:eastAsia="仿宋_GB2312" w:cs="Times New Roman"/>
                <w:color w:val="000000"/>
                <w:szCs w:val="21"/>
              </w:rPr>
            </w:pPr>
          </w:p>
        </w:tc>
        <w:tc>
          <w:tcPr>
            <w:tcW w:w="1095" w:type="dxa"/>
            <w:vAlign w:val="center"/>
          </w:tcPr>
          <w:p w14:paraId="4BFF786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每一层次</w:t>
            </w:r>
          </w:p>
        </w:tc>
        <w:tc>
          <w:tcPr>
            <w:tcW w:w="2534" w:type="dxa"/>
            <w:vAlign w:val="center"/>
          </w:tcPr>
          <w:p w14:paraId="03B37A0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1个台班区段平均值</w:t>
            </w:r>
          </w:p>
        </w:tc>
        <w:tc>
          <w:tcPr>
            <w:tcW w:w="2795" w:type="dxa"/>
            <w:vAlign w:val="center"/>
          </w:tcPr>
          <w:p w14:paraId="732BB7E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下面层（AC-25C）、中面层（AC-20C）</w:t>
            </w:r>
            <w:r>
              <w:rPr>
                <w:rFonts w:hint="default" w:ascii="Times New Roman" w:hAnsi="Times New Roman" w:eastAsia="仿宋_GB2312" w:cs="Times New Roman"/>
                <w:szCs w:val="21"/>
              </w:rPr>
              <w:t>不小于</w:t>
            </w:r>
            <w:r>
              <w:rPr>
                <w:rFonts w:hint="default" w:ascii="Times New Roman" w:hAnsi="Times New Roman" w:eastAsia="仿宋_GB2312" w:cs="Times New Roman"/>
                <w:color w:val="000000"/>
                <w:szCs w:val="21"/>
              </w:rPr>
              <w:t>设计值-5mm；上面层</w:t>
            </w:r>
            <w:r>
              <w:rPr>
                <w:rFonts w:hint="default" w:ascii="Times New Roman" w:hAnsi="Times New Roman" w:eastAsia="仿宋_GB2312" w:cs="Times New Roman"/>
                <w:szCs w:val="21"/>
              </w:rPr>
              <w:t>不小于</w:t>
            </w:r>
            <w:r>
              <w:rPr>
                <w:rFonts w:hint="default" w:ascii="Times New Roman" w:hAnsi="Times New Roman" w:eastAsia="仿宋_GB2312" w:cs="Times New Roman"/>
                <w:color w:val="000000"/>
                <w:szCs w:val="21"/>
              </w:rPr>
              <w:t>设计值-3mm</w:t>
            </w:r>
          </w:p>
        </w:tc>
        <w:tc>
          <w:tcPr>
            <w:tcW w:w="1922" w:type="dxa"/>
            <w:vAlign w:val="center"/>
          </w:tcPr>
          <w:p w14:paraId="59704B8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JTG F40-2004附录G</w:t>
            </w:r>
          </w:p>
        </w:tc>
      </w:tr>
      <w:tr w14:paraId="30A7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14:paraId="169016F6">
            <w:pPr>
              <w:jc w:val="center"/>
              <w:rPr>
                <w:rFonts w:hint="default" w:ascii="Times New Roman" w:hAnsi="Times New Roman" w:eastAsia="仿宋_GB2312" w:cs="Times New Roman"/>
                <w:szCs w:val="21"/>
              </w:rPr>
            </w:pPr>
          </w:p>
        </w:tc>
        <w:tc>
          <w:tcPr>
            <w:tcW w:w="583" w:type="dxa"/>
            <w:vMerge w:val="continue"/>
            <w:vAlign w:val="center"/>
          </w:tcPr>
          <w:p w14:paraId="298443E8">
            <w:pPr>
              <w:spacing w:line="0" w:lineRule="atLeast"/>
              <w:jc w:val="center"/>
              <w:rPr>
                <w:rFonts w:hint="default" w:ascii="Times New Roman" w:hAnsi="Times New Roman" w:eastAsia="仿宋_GB2312" w:cs="Times New Roman"/>
                <w:color w:val="000000"/>
                <w:szCs w:val="21"/>
              </w:rPr>
            </w:pPr>
          </w:p>
        </w:tc>
        <w:tc>
          <w:tcPr>
            <w:tcW w:w="1095" w:type="dxa"/>
            <w:vAlign w:val="center"/>
          </w:tcPr>
          <w:p w14:paraId="017F437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总厚度</w:t>
            </w:r>
          </w:p>
        </w:tc>
        <w:tc>
          <w:tcPr>
            <w:tcW w:w="2534" w:type="dxa"/>
            <w:vAlign w:val="center"/>
          </w:tcPr>
          <w:p w14:paraId="1000499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每2000m</w:t>
            </w:r>
            <w:r>
              <w:rPr>
                <w:rFonts w:hint="default" w:ascii="Times New Roman" w:hAnsi="Times New Roman" w:eastAsia="仿宋_GB2312" w:cs="Times New Roman"/>
                <w:color w:val="000000"/>
                <w:szCs w:val="21"/>
                <w:vertAlign w:val="superscript"/>
              </w:rPr>
              <w:t>2</w:t>
            </w:r>
            <w:r>
              <w:rPr>
                <w:rFonts w:hint="default" w:ascii="Times New Roman" w:hAnsi="Times New Roman" w:eastAsia="仿宋_GB2312" w:cs="Times New Roman"/>
                <w:color w:val="000000"/>
                <w:szCs w:val="21"/>
              </w:rPr>
              <w:t>一点单点评定</w:t>
            </w:r>
          </w:p>
        </w:tc>
        <w:tc>
          <w:tcPr>
            <w:tcW w:w="2795" w:type="dxa"/>
            <w:vAlign w:val="center"/>
          </w:tcPr>
          <w:p w14:paraId="37B7794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不小于</w:t>
            </w:r>
            <w:r>
              <w:rPr>
                <w:rFonts w:hint="default" w:ascii="Times New Roman" w:hAnsi="Times New Roman" w:eastAsia="仿宋_GB2312" w:cs="Times New Roman"/>
                <w:color w:val="000000"/>
                <w:szCs w:val="21"/>
              </w:rPr>
              <w:t>设计值减去设计值的5%</w:t>
            </w:r>
          </w:p>
        </w:tc>
        <w:tc>
          <w:tcPr>
            <w:tcW w:w="1922" w:type="dxa"/>
            <w:vAlign w:val="center"/>
          </w:tcPr>
          <w:p w14:paraId="3200965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T 0912</w:t>
            </w:r>
          </w:p>
        </w:tc>
      </w:tr>
      <w:tr w14:paraId="3053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14:paraId="570EBCC5">
            <w:pPr>
              <w:jc w:val="center"/>
              <w:rPr>
                <w:rFonts w:hint="default" w:ascii="Times New Roman" w:hAnsi="Times New Roman" w:eastAsia="仿宋_GB2312" w:cs="Times New Roman"/>
                <w:szCs w:val="21"/>
              </w:rPr>
            </w:pPr>
          </w:p>
        </w:tc>
        <w:tc>
          <w:tcPr>
            <w:tcW w:w="583" w:type="dxa"/>
            <w:vMerge w:val="continue"/>
            <w:vAlign w:val="center"/>
          </w:tcPr>
          <w:p w14:paraId="420F4328">
            <w:pPr>
              <w:spacing w:line="0" w:lineRule="atLeast"/>
              <w:jc w:val="center"/>
              <w:rPr>
                <w:rFonts w:hint="default" w:ascii="Times New Roman" w:hAnsi="Times New Roman" w:eastAsia="仿宋_GB2312" w:cs="Times New Roman"/>
                <w:color w:val="000000"/>
                <w:szCs w:val="21"/>
              </w:rPr>
            </w:pPr>
          </w:p>
        </w:tc>
        <w:tc>
          <w:tcPr>
            <w:tcW w:w="1095" w:type="dxa"/>
            <w:vAlign w:val="center"/>
          </w:tcPr>
          <w:p w14:paraId="6A335AA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上面层</w:t>
            </w:r>
          </w:p>
        </w:tc>
        <w:tc>
          <w:tcPr>
            <w:tcW w:w="2534" w:type="dxa"/>
            <w:vAlign w:val="center"/>
          </w:tcPr>
          <w:p w14:paraId="39E8D89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每2000m</w:t>
            </w:r>
            <w:r>
              <w:rPr>
                <w:rFonts w:hint="default" w:ascii="Times New Roman" w:hAnsi="Times New Roman" w:eastAsia="仿宋_GB2312" w:cs="Times New Roman"/>
                <w:color w:val="000000"/>
                <w:szCs w:val="21"/>
                <w:vertAlign w:val="superscript"/>
              </w:rPr>
              <w:t>2</w:t>
            </w:r>
            <w:r>
              <w:rPr>
                <w:rFonts w:hint="default" w:ascii="Times New Roman" w:hAnsi="Times New Roman" w:eastAsia="仿宋_GB2312" w:cs="Times New Roman"/>
                <w:color w:val="000000"/>
                <w:szCs w:val="21"/>
              </w:rPr>
              <w:t>一点单点评定</w:t>
            </w:r>
          </w:p>
        </w:tc>
        <w:tc>
          <w:tcPr>
            <w:tcW w:w="2795" w:type="dxa"/>
            <w:vAlign w:val="center"/>
          </w:tcPr>
          <w:p w14:paraId="58C95E2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不小于</w:t>
            </w:r>
            <w:r>
              <w:rPr>
                <w:rFonts w:hint="default" w:ascii="Times New Roman" w:hAnsi="Times New Roman" w:eastAsia="仿宋_GB2312" w:cs="Times New Roman"/>
                <w:color w:val="000000"/>
                <w:szCs w:val="21"/>
              </w:rPr>
              <w:t>设计值减去设计值的10%</w:t>
            </w:r>
          </w:p>
        </w:tc>
        <w:tc>
          <w:tcPr>
            <w:tcW w:w="1922" w:type="dxa"/>
            <w:vAlign w:val="center"/>
          </w:tcPr>
          <w:p w14:paraId="5BE8E88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T 0912</w:t>
            </w:r>
          </w:p>
        </w:tc>
      </w:tr>
      <w:tr w14:paraId="10C0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99" w:type="dxa"/>
            <w:vAlign w:val="center"/>
          </w:tcPr>
          <w:p w14:paraId="70474D28">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2</w:t>
            </w:r>
          </w:p>
        </w:tc>
        <w:tc>
          <w:tcPr>
            <w:tcW w:w="1678" w:type="dxa"/>
            <w:gridSpan w:val="2"/>
            <w:vAlign w:val="center"/>
          </w:tcPr>
          <w:p w14:paraId="60DD5B9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压实度</w:t>
            </w:r>
          </w:p>
        </w:tc>
        <w:tc>
          <w:tcPr>
            <w:tcW w:w="2534" w:type="dxa"/>
            <w:vAlign w:val="center"/>
          </w:tcPr>
          <w:p w14:paraId="660DBF7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每2000m</w:t>
            </w:r>
            <w:r>
              <w:rPr>
                <w:rFonts w:hint="default" w:ascii="Times New Roman" w:hAnsi="Times New Roman" w:eastAsia="仿宋_GB2312" w:cs="Times New Roman"/>
                <w:color w:val="000000"/>
                <w:szCs w:val="21"/>
                <w:vertAlign w:val="superscript"/>
              </w:rPr>
              <w:t>2</w:t>
            </w:r>
            <w:r>
              <w:rPr>
                <w:rFonts w:hint="default" w:ascii="Times New Roman" w:hAnsi="Times New Roman" w:eastAsia="仿宋_GB2312" w:cs="Times New Roman"/>
                <w:color w:val="000000"/>
                <w:szCs w:val="21"/>
              </w:rPr>
              <w:t>检查1组（3个试样）逐个试件评定并计算平均值</w:t>
            </w:r>
          </w:p>
        </w:tc>
        <w:tc>
          <w:tcPr>
            <w:tcW w:w="2795" w:type="dxa"/>
            <w:vAlign w:val="center"/>
          </w:tcPr>
          <w:p w14:paraId="00C37D17">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试验室标准密度的98%</w:t>
            </w:r>
          </w:p>
          <w:p w14:paraId="3D46C50D">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最大理论密度的94%</w:t>
            </w:r>
          </w:p>
          <w:p w14:paraId="00098310">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试验段密度的99%</w:t>
            </w:r>
          </w:p>
        </w:tc>
        <w:tc>
          <w:tcPr>
            <w:tcW w:w="1922" w:type="dxa"/>
            <w:vAlign w:val="center"/>
          </w:tcPr>
          <w:p w14:paraId="57053873">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0924、T0922、</w:t>
            </w:r>
            <w:r>
              <w:rPr>
                <w:rFonts w:hint="default" w:ascii="Times New Roman" w:hAnsi="Times New Roman" w:eastAsia="仿宋_GB2312" w:cs="Times New Roman"/>
                <w:szCs w:val="21"/>
              </w:rPr>
              <w:t>JTG F40-2004附录E</w:t>
            </w:r>
          </w:p>
        </w:tc>
      </w:tr>
      <w:tr w14:paraId="0240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FC30843">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3</w:t>
            </w:r>
          </w:p>
        </w:tc>
        <w:tc>
          <w:tcPr>
            <w:tcW w:w="1678" w:type="dxa"/>
            <w:gridSpan w:val="2"/>
            <w:vAlign w:val="center"/>
          </w:tcPr>
          <w:p w14:paraId="77A2312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平整度</w:t>
            </w:r>
          </w:p>
          <w:p w14:paraId="0838881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（最大间隙）</w:t>
            </w:r>
          </w:p>
        </w:tc>
        <w:tc>
          <w:tcPr>
            <w:tcW w:w="2534" w:type="dxa"/>
            <w:vAlign w:val="center"/>
          </w:tcPr>
          <w:p w14:paraId="07632BF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随时，接缝处单杠评定</w:t>
            </w:r>
          </w:p>
        </w:tc>
        <w:tc>
          <w:tcPr>
            <w:tcW w:w="2795" w:type="dxa"/>
            <w:vAlign w:val="center"/>
          </w:tcPr>
          <w:p w14:paraId="5ECB5A0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上面层：</w:t>
            </w:r>
            <w:r>
              <w:rPr>
                <w:rFonts w:hint="default" w:ascii="Times New Roman" w:hAnsi="Times New Roman" w:eastAsia="仿宋_GB2312" w:cs="Times New Roman"/>
                <w:szCs w:val="21"/>
              </w:rPr>
              <w:t>≤3mm</w:t>
            </w:r>
          </w:p>
          <w:p w14:paraId="7C2380E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中下面层：≤5mm</w:t>
            </w:r>
          </w:p>
        </w:tc>
        <w:tc>
          <w:tcPr>
            <w:tcW w:w="1922" w:type="dxa"/>
            <w:vAlign w:val="center"/>
          </w:tcPr>
          <w:p w14:paraId="7597929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0931</w:t>
            </w:r>
          </w:p>
        </w:tc>
      </w:tr>
      <w:tr w14:paraId="011C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21ED6BB">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4</w:t>
            </w:r>
          </w:p>
        </w:tc>
        <w:tc>
          <w:tcPr>
            <w:tcW w:w="1678" w:type="dxa"/>
            <w:gridSpan w:val="2"/>
            <w:vAlign w:val="center"/>
          </w:tcPr>
          <w:p w14:paraId="543036B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平整度</w:t>
            </w:r>
          </w:p>
          <w:p w14:paraId="356DF62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（标准差）</w:t>
            </w:r>
          </w:p>
        </w:tc>
        <w:tc>
          <w:tcPr>
            <w:tcW w:w="2534" w:type="dxa"/>
            <w:vAlign w:val="center"/>
          </w:tcPr>
          <w:p w14:paraId="52C77FF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分车道全部连续测定</w:t>
            </w:r>
          </w:p>
        </w:tc>
        <w:tc>
          <w:tcPr>
            <w:tcW w:w="2795" w:type="dxa"/>
            <w:vAlign w:val="center"/>
          </w:tcPr>
          <w:p w14:paraId="14650EA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上面层：</w:t>
            </w:r>
            <w:r>
              <w:rPr>
                <w:rFonts w:hint="default" w:ascii="Times New Roman" w:hAnsi="Times New Roman" w:eastAsia="仿宋_GB2312" w:cs="Times New Roman"/>
                <w:szCs w:val="21"/>
              </w:rPr>
              <w:t>≤1.2mm</w:t>
            </w:r>
          </w:p>
          <w:p w14:paraId="2C178F0C">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中面层：≤1.5mm</w:t>
            </w:r>
          </w:p>
          <w:p w14:paraId="5EC1BD10">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下面层：≤1.8mm</w:t>
            </w:r>
          </w:p>
        </w:tc>
        <w:tc>
          <w:tcPr>
            <w:tcW w:w="1922" w:type="dxa"/>
            <w:vAlign w:val="center"/>
          </w:tcPr>
          <w:p w14:paraId="2D3680B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0932或T0934</w:t>
            </w:r>
          </w:p>
        </w:tc>
      </w:tr>
      <w:tr w14:paraId="28E7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9495DB0">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5</w:t>
            </w:r>
          </w:p>
        </w:tc>
        <w:tc>
          <w:tcPr>
            <w:tcW w:w="1678" w:type="dxa"/>
            <w:gridSpan w:val="2"/>
            <w:vAlign w:val="center"/>
          </w:tcPr>
          <w:p w14:paraId="2E2E2531">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宽度</w:t>
            </w:r>
          </w:p>
        </w:tc>
        <w:tc>
          <w:tcPr>
            <w:tcW w:w="2534" w:type="dxa"/>
            <w:vAlign w:val="center"/>
          </w:tcPr>
          <w:p w14:paraId="6A00CB3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检测每个断面</w:t>
            </w:r>
          </w:p>
        </w:tc>
        <w:tc>
          <w:tcPr>
            <w:tcW w:w="2795" w:type="dxa"/>
            <w:vAlign w:val="center"/>
          </w:tcPr>
          <w:p w14:paraId="764E0E19">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有侧石：</w:t>
            </w:r>
            <w:r>
              <w:rPr>
                <w:rFonts w:hint="default" w:ascii="Times New Roman" w:hAnsi="Times New Roman" w:eastAsia="仿宋_GB2312" w:cs="Times New Roman"/>
                <w:szCs w:val="21"/>
              </w:rPr>
              <w:t>±20mm</w:t>
            </w:r>
          </w:p>
          <w:p w14:paraId="5088DA4D">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无侧石：不小于设计宽度</w:t>
            </w:r>
          </w:p>
        </w:tc>
        <w:tc>
          <w:tcPr>
            <w:tcW w:w="1922" w:type="dxa"/>
            <w:vAlign w:val="center"/>
          </w:tcPr>
          <w:p w14:paraId="1D80122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0911</w:t>
            </w:r>
          </w:p>
        </w:tc>
      </w:tr>
      <w:tr w14:paraId="1D72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0AA13AA">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6</w:t>
            </w:r>
          </w:p>
        </w:tc>
        <w:tc>
          <w:tcPr>
            <w:tcW w:w="1678" w:type="dxa"/>
            <w:gridSpan w:val="2"/>
            <w:vAlign w:val="center"/>
          </w:tcPr>
          <w:p w14:paraId="69EA985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纵断面高程</w:t>
            </w:r>
          </w:p>
        </w:tc>
        <w:tc>
          <w:tcPr>
            <w:tcW w:w="2534" w:type="dxa"/>
            <w:vAlign w:val="center"/>
          </w:tcPr>
          <w:p w14:paraId="6048A7F9">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检测每个断面</w:t>
            </w:r>
          </w:p>
        </w:tc>
        <w:tc>
          <w:tcPr>
            <w:tcW w:w="2795" w:type="dxa"/>
            <w:vAlign w:val="center"/>
          </w:tcPr>
          <w:p w14:paraId="52576E9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±10mm</w:t>
            </w:r>
          </w:p>
        </w:tc>
        <w:tc>
          <w:tcPr>
            <w:tcW w:w="1922" w:type="dxa"/>
            <w:vAlign w:val="center"/>
          </w:tcPr>
          <w:p w14:paraId="6340B8BF">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0911</w:t>
            </w:r>
          </w:p>
        </w:tc>
      </w:tr>
      <w:tr w14:paraId="217D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4C56E76">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7</w:t>
            </w:r>
          </w:p>
        </w:tc>
        <w:tc>
          <w:tcPr>
            <w:tcW w:w="1678" w:type="dxa"/>
            <w:gridSpan w:val="2"/>
            <w:vAlign w:val="center"/>
          </w:tcPr>
          <w:p w14:paraId="4D91AC4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横坡度</w:t>
            </w:r>
          </w:p>
        </w:tc>
        <w:tc>
          <w:tcPr>
            <w:tcW w:w="2534" w:type="dxa"/>
            <w:vAlign w:val="center"/>
          </w:tcPr>
          <w:p w14:paraId="7DDAD73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检测每个断面</w:t>
            </w:r>
          </w:p>
        </w:tc>
        <w:tc>
          <w:tcPr>
            <w:tcW w:w="2795" w:type="dxa"/>
            <w:vAlign w:val="center"/>
          </w:tcPr>
          <w:p w14:paraId="24991652">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±0.3%</w:t>
            </w:r>
          </w:p>
        </w:tc>
        <w:tc>
          <w:tcPr>
            <w:tcW w:w="1922" w:type="dxa"/>
            <w:vAlign w:val="center"/>
          </w:tcPr>
          <w:p w14:paraId="0FFA988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0911</w:t>
            </w:r>
          </w:p>
        </w:tc>
      </w:tr>
      <w:tr w14:paraId="03F2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2020F72F">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8</w:t>
            </w:r>
          </w:p>
        </w:tc>
        <w:tc>
          <w:tcPr>
            <w:tcW w:w="1678" w:type="dxa"/>
            <w:gridSpan w:val="2"/>
            <w:vAlign w:val="center"/>
          </w:tcPr>
          <w:p w14:paraId="4ED409C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中线平面偏位</w:t>
            </w:r>
          </w:p>
        </w:tc>
        <w:tc>
          <w:tcPr>
            <w:tcW w:w="2534" w:type="dxa"/>
            <w:vAlign w:val="center"/>
          </w:tcPr>
          <w:p w14:paraId="390B45B5">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每200m测2点</w:t>
            </w:r>
          </w:p>
        </w:tc>
        <w:tc>
          <w:tcPr>
            <w:tcW w:w="2795" w:type="dxa"/>
            <w:vAlign w:val="center"/>
          </w:tcPr>
          <w:p w14:paraId="2078826E">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±20mm</w:t>
            </w:r>
          </w:p>
        </w:tc>
        <w:tc>
          <w:tcPr>
            <w:tcW w:w="1922" w:type="dxa"/>
            <w:vAlign w:val="center"/>
          </w:tcPr>
          <w:p w14:paraId="4C29EE9C">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0911</w:t>
            </w:r>
          </w:p>
        </w:tc>
      </w:tr>
      <w:tr w14:paraId="61FB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1C88CCD9">
            <w:pPr>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9</w:t>
            </w:r>
          </w:p>
        </w:tc>
        <w:tc>
          <w:tcPr>
            <w:tcW w:w="1678" w:type="dxa"/>
            <w:gridSpan w:val="2"/>
            <w:vAlign w:val="center"/>
          </w:tcPr>
          <w:p w14:paraId="503F8BFE">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渗水系数</w:t>
            </w:r>
          </w:p>
        </w:tc>
        <w:tc>
          <w:tcPr>
            <w:tcW w:w="2534" w:type="dxa"/>
            <w:vAlign w:val="center"/>
          </w:tcPr>
          <w:p w14:paraId="4A712DF6">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每1km不少于5点，每点3处取平均值</w:t>
            </w:r>
          </w:p>
        </w:tc>
        <w:tc>
          <w:tcPr>
            <w:tcW w:w="2795" w:type="dxa"/>
            <w:vAlign w:val="center"/>
          </w:tcPr>
          <w:p w14:paraId="512D8D2F">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中下面层：≤120mL/min</w:t>
            </w:r>
          </w:p>
          <w:p w14:paraId="6BAE26F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上面层：≤80mL/min</w:t>
            </w:r>
          </w:p>
        </w:tc>
        <w:tc>
          <w:tcPr>
            <w:tcW w:w="1922" w:type="dxa"/>
            <w:vAlign w:val="center"/>
          </w:tcPr>
          <w:p w14:paraId="575AD5AA">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0971</w:t>
            </w:r>
          </w:p>
        </w:tc>
      </w:tr>
      <w:tr w14:paraId="1EC7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3F7AE4F">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10</w:t>
            </w:r>
          </w:p>
        </w:tc>
        <w:tc>
          <w:tcPr>
            <w:tcW w:w="1678" w:type="dxa"/>
            <w:gridSpan w:val="2"/>
            <w:vAlign w:val="center"/>
          </w:tcPr>
          <w:p w14:paraId="5289C2B4">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弯沉</w:t>
            </w:r>
          </w:p>
        </w:tc>
        <w:tc>
          <w:tcPr>
            <w:tcW w:w="2534" w:type="dxa"/>
            <w:vAlign w:val="center"/>
          </w:tcPr>
          <w:p w14:paraId="32E6658B">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每车道每20m检测1点</w:t>
            </w:r>
          </w:p>
        </w:tc>
        <w:tc>
          <w:tcPr>
            <w:tcW w:w="2795" w:type="dxa"/>
            <w:vAlign w:val="center"/>
          </w:tcPr>
          <w:p w14:paraId="505DC692">
            <w:pPr>
              <w:spacing w:line="0" w:lineRule="atLeas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符合设计要求</w:t>
            </w:r>
          </w:p>
        </w:tc>
        <w:tc>
          <w:tcPr>
            <w:tcW w:w="1922" w:type="dxa"/>
            <w:vAlign w:val="center"/>
          </w:tcPr>
          <w:p w14:paraId="751EF9E8">
            <w:pPr>
              <w:spacing w:line="0" w:lineRule="atLeas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T 0951或T 0953</w:t>
            </w:r>
          </w:p>
        </w:tc>
      </w:tr>
    </w:tbl>
    <w:p w14:paraId="4C5C15C8">
      <w:pPr>
        <w:spacing w:line="360" w:lineRule="auto"/>
        <w:rPr>
          <w:rFonts w:hint="default" w:ascii="Times New Roman" w:hAnsi="Times New Roman" w:eastAsia="仿宋_GB2312" w:cs="Times New Roman"/>
          <w:sz w:val="24"/>
        </w:rPr>
      </w:pPr>
    </w:p>
    <w:p w14:paraId="5EF672E9">
      <w:pPr>
        <w:spacing w:line="360" w:lineRule="auto"/>
        <w:rPr>
          <w:rFonts w:hint="default" w:ascii="Times New Roman" w:hAnsi="Times New Roman" w:eastAsia="仿宋_GB2312" w:cs="Times New Roman"/>
          <w:sz w:val="24"/>
        </w:rPr>
      </w:pPr>
    </w:p>
    <w:p w14:paraId="27123189">
      <w:pPr>
        <w:spacing w:line="360" w:lineRule="auto"/>
        <w:rPr>
          <w:rFonts w:hint="default" w:ascii="Times New Roman" w:hAnsi="Times New Roman" w:eastAsia="仿宋_GB2312" w:cs="Times New Roman"/>
          <w:sz w:val="24"/>
        </w:rPr>
      </w:pPr>
    </w:p>
    <w:p w14:paraId="396448F1">
      <w:pPr>
        <w:rPr>
          <w:rFonts w:hint="default" w:ascii="Times New Roman" w:hAnsi="Times New Roman" w:eastAsia="仿宋_GB2312" w:cs="Times New Roman"/>
          <w:sz w:val="24"/>
        </w:rPr>
      </w:pPr>
    </w:p>
    <w:p w14:paraId="05DAA8CE">
      <w:pPr>
        <w:rPr>
          <w:rFonts w:hint="default" w:ascii="Times New Roman" w:hAnsi="Times New Roman" w:eastAsia="仿宋_GB2312" w:cs="Times New Roman"/>
          <w:sz w:val="24"/>
        </w:rPr>
      </w:pPr>
    </w:p>
    <w:p w14:paraId="543A20D8">
      <w:pPr>
        <w:rPr>
          <w:rFonts w:hint="default" w:ascii="Times New Roman" w:hAnsi="Times New Roman" w:eastAsia="仿宋_GB2312" w:cs="Times New Roman"/>
          <w:sz w:val="24"/>
        </w:rPr>
      </w:pPr>
    </w:p>
    <w:p w14:paraId="1DC53868">
      <w:pPr>
        <w:rPr>
          <w:rFonts w:hint="default" w:ascii="Times New Roman" w:hAnsi="Times New Roman" w:eastAsia="仿宋_GB2312" w:cs="Times New Roman"/>
          <w:sz w:val="24"/>
        </w:rPr>
      </w:pPr>
    </w:p>
    <w:p w14:paraId="13B307FA">
      <w:pPr>
        <w:rPr>
          <w:rFonts w:hint="default" w:ascii="Times New Roman" w:hAnsi="Times New Roman" w:eastAsia="仿宋_GB2312" w:cs="Times New Roman"/>
          <w:sz w:val="24"/>
        </w:rPr>
      </w:pPr>
    </w:p>
    <w:p w14:paraId="5FBEABAE">
      <w:pPr>
        <w:rPr>
          <w:rFonts w:hint="default" w:ascii="Times New Roman" w:hAnsi="Times New Roman" w:eastAsia="仿宋_GB2312" w:cs="Times New Roman"/>
          <w:sz w:val="24"/>
        </w:rPr>
      </w:pPr>
    </w:p>
    <w:sectPr>
      <w:headerReference r:id="rId4" w:type="default"/>
      <w:footerReference r:id="rId5" w:type="default"/>
      <w:pgSz w:w="11906" w:h="16838"/>
      <w:pgMar w:top="1134" w:right="1247" w:bottom="1134" w:left="1247" w:header="851" w:footer="680"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250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B176A">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AED9F">
                          <w:pPr>
                            <w:pStyle w:val="10"/>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4AED9F">
                    <w:pPr>
                      <w:pStyle w:val="10"/>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9457">
    <w:pPr>
      <w:pStyle w:val="11"/>
      <w:pBdr>
        <w:bottom w:val="none" w:color="auto" w:sz="0" w:space="0"/>
      </w:pBdr>
      <w:ind w:left="8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F2970"/>
    <w:multiLevelType w:val="singleLevel"/>
    <w:tmpl w:val="0F5F2970"/>
    <w:lvl w:ilvl="0" w:tentative="0">
      <w:start w:val="1"/>
      <w:numFmt w:val="upperLetter"/>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7461132"/>
    <w:multiLevelType w:val="multilevel"/>
    <w:tmpl w:val="47461132"/>
    <w:lvl w:ilvl="0" w:tentative="0">
      <w:start w:val="1"/>
      <w:numFmt w:val="decimal"/>
      <w:lvlText w:val="%1"/>
      <w:lvlJc w:val="left"/>
      <w:pPr>
        <w:ind w:left="525" w:hanging="525"/>
      </w:pPr>
      <w:rPr>
        <w:rFonts w:hint="default" w:asciiTheme="minorEastAsia" w:hAnsiTheme="minorEastAsia" w:eastAsiaTheme="minorEastAsia"/>
      </w:rPr>
    </w:lvl>
    <w:lvl w:ilvl="1" w:tentative="0">
      <w:start w:val="0"/>
      <w:numFmt w:val="decimal"/>
      <w:lvlText w:val="%1.%2"/>
      <w:lvlJc w:val="left"/>
      <w:pPr>
        <w:ind w:left="1163" w:hanging="525"/>
      </w:pPr>
      <w:rPr>
        <w:rFonts w:hint="default" w:asciiTheme="minorEastAsia" w:hAnsiTheme="minorEastAsia" w:eastAsiaTheme="minorEastAsia"/>
      </w:rPr>
    </w:lvl>
    <w:lvl w:ilvl="2" w:tentative="0">
      <w:start w:val="1"/>
      <w:numFmt w:val="decimal"/>
      <w:lvlText w:val="%1.%2.%3"/>
      <w:lvlJc w:val="left"/>
      <w:pPr>
        <w:ind w:left="1996" w:hanging="720"/>
      </w:pPr>
      <w:rPr>
        <w:rFonts w:hint="default" w:ascii="Times New Roman" w:hAnsi="Times New Roman" w:eastAsiaTheme="minorEastAsia"/>
        <w:b/>
        <w:sz w:val="24"/>
      </w:rPr>
    </w:lvl>
    <w:lvl w:ilvl="3" w:tentative="0">
      <w:start w:val="1"/>
      <w:numFmt w:val="decimal"/>
      <w:lvlText w:val="%1.%2.%3.%4"/>
      <w:lvlJc w:val="left"/>
      <w:pPr>
        <w:ind w:left="2994" w:hanging="1080"/>
      </w:pPr>
      <w:rPr>
        <w:rFonts w:hint="default" w:asciiTheme="minorEastAsia" w:hAnsiTheme="minorEastAsia" w:eastAsiaTheme="minorEastAsia"/>
      </w:rPr>
    </w:lvl>
    <w:lvl w:ilvl="4" w:tentative="0">
      <w:start w:val="1"/>
      <w:numFmt w:val="decimal"/>
      <w:lvlText w:val="%1.%2.%3.%4.%5"/>
      <w:lvlJc w:val="left"/>
      <w:pPr>
        <w:ind w:left="3632" w:hanging="1080"/>
      </w:pPr>
      <w:rPr>
        <w:rFonts w:hint="default" w:asciiTheme="minorEastAsia" w:hAnsiTheme="minorEastAsia" w:eastAsiaTheme="minorEastAsia"/>
      </w:rPr>
    </w:lvl>
    <w:lvl w:ilvl="5" w:tentative="0">
      <w:start w:val="1"/>
      <w:numFmt w:val="decimal"/>
      <w:lvlText w:val="%1.%2.%3.%4.%5.%6"/>
      <w:lvlJc w:val="left"/>
      <w:pPr>
        <w:ind w:left="4630" w:hanging="1440"/>
      </w:pPr>
      <w:rPr>
        <w:rFonts w:hint="default" w:asciiTheme="minorEastAsia" w:hAnsiTheme="minorEastAsia" w:eastAsiaTheme="minorEastAsia"/>
      </w:rPr>
    </w:lvl>
    <w:lvl w:ilvl="6" w:tentative="0">
      <w:start w:val="1"/>
      <w:numFmt w:val="decimal"/>
      <w:lvlText w:val="%1.%2.%3.%4.%5.%6.%7"/>
      <w:lvlJc w:val="left"/>
      <w:pPr>
        <w:ind w:left="5268" w:hanging="1440"/>
      </w:pPr>
      <w:rPr>
        <w:rFonts w:hint="default" w:asciiTheme="minorEastAsia" w:hAnsiTheme="minorEastAsia" w:eastAsiaTheme="minorEastAsia"/>
      </w:rPr>
    </w:lvl>
    <w:lvl w:ilvl="7" w:tentative="0">
      <w:start w:val="1"/>
      <w:numFmt w:val="decimal"/>
      <w:lvlText w:val="%1.%2.%3.%4.%5.%6.%7.%8"/>
      <w:lvlJc w:val="left"/>
      <w:pPr>
        <w:ind w:left="6266" w:hanging="1800"/>
      </w:pPr>
      <w:rPr>
        <w:rFonts w:hint="default" w:asciiTheme="minorEastAsia" w:hAnsiTheme="minorEastAsia" w:eastAsiaTheme="minorEastAsia"/>
      </w:rPr>
    </w:lvl>
    <w:lvl w:ilvl="8" w:tentative="0">
      <w:start w:val="1"/>
      <w:numFmt w:val="decimal"/>
      <w:lvlText w:val="%1.%2.%3.%4.%5.%6.%7.%8.%9"/>
      <w:lvlJc w:val="left"/>
      <w:pPr>
        <w:ind w:left="6904" w:hanging="1800"/>
      </w:pPr>
      <w:rPr>
        <w:rFonts w:hint="default" w:asciiTheme="minorEastAsia" w:hAnsiTheme="minorEastAsia" w:eastAsiaTheme="minorEastAsia"/>
      </w:rPr>
    </w:lvl>
  </w:abstractNum>
  <w:abstractNum w:abstractNumId="3">
    <w:nsid w:val="63DC4731"/>
    <w:multiLevelType w:val="singleLevel"/>
    <w:tmpl w:val="63DC4731"/>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zkzYTI5Y2U2YjViMTBhY2NiMWYzZjliZDU1YjIifQ=="/>
  </w:docVars>
  <w:rsids>
    <w:rsidRoot w:val="00F10497"/>
    <w:rsid w:val="00047D12"/>
    <w:rsid w:val="000D6607"/>
    <w:rsid w:val="000F4A17"/>
    <w:rsid w:val="0049525E"/>
    <w:rsid w:val="004E5C70"/>
    <w:rsid w:val="00513995"/>
    <w:rsid w:val="005C234D"/>
    <w:rsid w:val="005C79C5"/>
    <w:rsid w:val="005F037B"/>
    <w:rsid w:val="00665839"/>
    <w:rsid w:val="00691F80"/>
    <w:rsid w:val="008D785F"/>
    <w:rsid w:val="009418B9"/>
    <w:rsid w:val="0098548B"/>
    <w:rsid w:val="009F2CA8"/>
    <w:rsid w:val="00A777D2"/>
    <w:rsid w:val="00AD12E1"/>
    <w:rsid w:val="00BA19E8"/>
    <w:rsid w:val="00C72B03"/>
    <w:rsid w:val="00CB204B"/>
    <w:rsid w:val="00CB75F7"/>
    <w:rsid w:val="00E959FD"/>
    <w:rsid w:val="00F10497"/>
    <w:rsid w:val="00F8695A"/>
    <w:rsid w:val="00FB4A5D"/>
    <w:rsid w:val="00FF5139"/>
    <w:rsid w:val="010B7B52"/>
    <w:rsid w:val="011B3CF8"/>
    <w:rsid w:val="01527000"/>
    <w:rsid w:val="01980E97"/>
    <w:rsid w:val="019A652E"/>
    <w:rsid w:val="01F56927"/>
    <w:rsid w:val="0215686A"/>
    <w:rsid w:val="0241261D"/>
    <w:rsid w:val="02534B2A"/>
    <w:rsid w:val="0270045C"/>
    <w:rsid w:val="027E38B5"/>
    <w:rsid w:val="02847DD0"/>
    <w:rsid w:val="02896BDA"/>
    <w:rsid w:val="02923410"/>
    <w:rsid w:val="029D76B3"/>
    <w:rsid w:val="029E5574"/>
    <w:rsid w:val="02AC7B65"/>
    <w:rsid w:val="03164B4E"/>
    <w:rsid w:val="03330582"/>
    <w:rsid w:val="034D7176"/>
    <w:rsid w:val="036A1510"/>
    <w:rsid w:val="039B7469"/>
    <w:rsid w:val="03B30D48"/>
    <w:rsid w:val="03C52BEB"/>
    <w:rsid w:val="03D177E1"/>
    <w:rsid w:val="03DB38C3"/>
    <w:rsid w:val="0405448F"/>
    <w:rsid w:val="040A02E0"/>
    <w:rsid w:val="04240F3D"/>
    <w:rsid w:val="0431342D"/>
    <w:rsid w:val="045030DD"/>
    <w:rsid w:val="04603BE2"/>
    <w:rsid w:val="046A3220"/>
    <w:rsid w:val="04702B56"/>
    <w:rsid w:val="04911470"/>
    <w:rsid w:val="04A95E93"/>
    <w:rsid w:val="04AC4E70"/>
    <w:rsid w:val="04C52A36"/>
    <w:rsid w:val="04E72B21"/>
    <w:rsid w:val="04F2221A"/>
    <w:rsid w:val="050371A9"/>
    <w:rsid w:val="05296622"/>
    <w:rsid w:val="053F69CD"/>
    <w:rsid w:val="054E2EC7"/>
    <w:rsid w:val="055667AC"/>
    <w:rsid w:val="05574DC4"/>
    <w:rsid w:val="0580501B"/>
    <w:rsid w:val="058D5BA0"/>
    <w:rsid w:val="05932F65"/>
    <w:rsid w:val="05954C09"/>
    <w:rsid w:val="05A6156A"/>
    <w:rsid w:val="05C452DD"/>
    <w:rsid w:val="05F12B0F"/>
    <w:rsid w:val="05F20E60"/>
    <w:rsid w:val="05F4456D"/>
    <w:rsid w:val="060F6EB7"/>
    <w:rsid w:val="06282CA9"/>
    <w:rsid w:val="064F56F8"/>
    <w:rsid w:val="06606B5C"/>
    <w:rsid w:val="06676E50"/>
    <w:rsid w:val="067218D3"/>
    <w:rsid w:val="06803844"/>
    <w:rsid w:val="06BA0489"/>
    <w:rsid w:val="06EC1C9C"/>
    <w:rsid w:val="06EE6C6F"/>
    <w:rsid w:val="06F03D51"/>
    <w:rsid w:val="074B7256"/>
    <w:rsid w:val="074C5657"/>
    <w:rsid w:val="07542EDB"/>
    <w:rsid w:val="077E41D6"/>
    <w:rsid w:val="078939F6"/>
    <w:rsid w:val="07BF7DDD"/>
    <w:rsid w:val="07E53D82"/>
    <w:rsid w:val="07F5221B"/>
    <w:rsid w:val="07F806CC"/>
    <w:rsid w:val="08011CA3"/>
    <w:rsid w:val="0811090F"/>
    <w:rsid w:val="081B102B"/>
    <w:rsid w:val="083231E6"/>
    <w:rsid w:val="08433B47"/>
    <w:rsid w:val="08511079"/>
    <w:rsid w:val="08774401"/>
    <w:rsid w:val="08834A85"/>
    <w:rsid w:val="08847D7A"/>
    <w:rsid w:val="088F37C7"/>
    <w:rsid w:val="089F4E1D"/>
    <w:rsid w:val="08A46132"/>
    <w:rsid w:val="08A8374D"/>
    <w:rsid w:val="08AE368F"/>
    <w:rsid w:val="08DF33AB"/>
    <w:rsid w:val="09097EED"/>
    <w:rsid w:val="091E1578"/>
    <w:rsid w:val="092B264E"/>
    <w:rsid w:val="094279F3"/>
    <w:rsid w:val="09A17C56"/>
    <w:rsid w:val="09DC1AE2"/>
    <w:rsid w:val="09EB1672"/>
    <w:rsid w:val="0A0C05C8"/>
    <w:rsid w:val="0A0F564E"/>
    <w:rsid w:val="0A1064E2"/>
    <w:rsid w:val="0A2B4013"/>
    <w:rsid w:val="0A4B53E5"/>
    <w:rsid w:val="0A5540A3"/>
    <w:rsid w:val="0A9F23E7"/>
    <w:rsid w:val="0AAF3EA3"/>
    <w:rsid w:val="0ABA296F"/>
    <w:rsid w:val="0ACF0DAB"/>
    <w:rsid w:val="0AD623D2"/>
    <w:rsid w:val="0AD8005B"/>
    <w:rsid w:val="0AF5500B"/>
    <w:rsid w:val="0AFD1DCD"/>
    <w:rsid w:val="0AFF7AA1"/>
    <w:rsid w:val="0B2977E5"/>
    <w:rsid w:val="0B347AE2"/>
    <w:rsid w:val="0B373423"/>
    <w:rsid w:val="0B482600"/>
    <w:rsid w:val="0B4B79EA"/>
    <w:rsid w:val="0B550CF8"/>
    <w:rsid w:val="0B56468C"/>
    <w:rsid w:val="0BA05BB8"/>
    <w:rsid w:val="0BB13849"/>
    <w:rsid w:val="0BBA034B"/>
    <w:rsid w:val="0BE5134E"/>
    <w:rsid w:val="0BE70A20"/>
    <w:rsid w:val="0C001D47"/>
    <w:rsid w:val="0C180F40"/>
    <w:rsid w:val="0C2849C6"/>
    <w:rsid w:val="0C373F5A"/>
    <w:rsid w:val="0C442803"/>
    <w:rsid w:val="0C486F17"/>
    <w:rsid w:val="0C58490E"/>
    <w:rsid w:val="0C5C53AB"/>
    <w:rsid w:val="0C6434A1"/>
    <w:rsid w:val="0C8D1E17"/>
    <w:rsid w:val="0C9B7B2F"/>
    <w:rsid w:val="0CB32C96"/>
    <w:rsid w:val="0CB94659"/>
    <w:rsid w:val="0D02242A"/>
    <w:rsid w:val="0D027637"/>
    <w:rsid w:val="0D2941EA"/>
    <w:rsid w:val="0D4637E2"/>
    <w:rsid w:val="0D6270EB"/>
    <w:rsid w:val="0D665679"/>
    <w:rsid w:val="0D8345B6"/>
    <w:rsid w:val="0DBB60D7"/>
    <w:rsid w:val="0DEA5FDF"/>
    <w:rsid w:val="0E1F6806"/>
    <w:rsid w:val="0E28515B"/>
    <w:rsid w:val="0E4130FF"/>
    <w:rsid w:val="0E5F3D9D"/>
    <w:rsid w:val="0E5F5687"/>
    <w:rsid w:val="0E7B73EF"/>
    <w:rsid w:val="0E9C3D22"/>
    <w:rsid w:val="0EC53ACC"/>
    <w:rsid w:val="0ED64359"/>
    <w:rsid w:val="0ED9218D"/>
    <w:rsid w:val="0EE25933"/>
    <w:rsid w:val="0F122ED4"/>
    <w:rsid w:val="0F1C3FF2"/>
    <w:rsid w:val="0F390000"/>
    <w:rsid w:val="0F390C85"/>
    <w:rsid w:val="0F436D0E"/>
    <w:rsid w:val="0F4B219D"/>
    <w:rsid w:val="0F5A3780"/>
    <w:rsid w:val="0F621D32"/>
    <w:rsid w:val="0F824086"/>
    <w:rsid w:val="0F970F7A"/>
    <w:rsid w:val="0FA53C52"/>
    <w:rsid w:val="0FAE2E3D"/>
    <w:rsid w:val="0FC030D6"/>
    <w:rsid w:val="100625C1"/>
    <w:rsid w:val="101C69A6"/>
    <w:rsid w:val="102B44C4"/>
    <w:rsid w:val="103D7B2F"/>
    <w:rsid w:val="10846BE8"/>
    <w:rsid w:val="10B02B40"/>
    <w:rsid w:val="10C66F27"/>
    <w:rsid w:val="10DE3DE3"/>
    <w:rsid w:val="10E74DCB"/>
    <w:rsid w:val="11002E16"/>
    <w:rsid w:val="11015366"/>
    <w:rsid w:val="110271AA"/>
    <w:rsid w:val="112B6D0B"/>
    <w:rsid w:val="117053DE"/>
    <w:rsid w:val="11895257"/>
    <w:rsid w:val="118F26EE"/>
    <w:rsid w:val="11906DFF"/>
    <w:rsid w:val="119A7921"/>
    <w:rsid w:val="11B14AE6"/>
    <w:rsid w:val="11CD5F57"/>
    <w:rsid w:val="11DF30C9"/>
    <w:rsid w:val="1206228F"/>
    <w:rsid w:val="124F1DB5"/>
    <w:rsid w:val="124F1ED6"/>
    <w:rsid w:val="12791394"/>
    <w:rsid w:val="127F12E3"/>
    <w:rsid w:val="129A387D"/>
    <w:rsid w:val="12AF55BE"/>
    <w:rsid w:val="12B915EB"/>
    <w:rsid w:val="12B91B6C"/>
    <w:rsid w:val="12BB3A3C"/>
    <w:rsid w:val="12D33BCC"/>
    <w:rsid w:val="12DB4BA7"/>
    <w:rsid w:val="12DE1411"/>
    <w:rsid w:val="131405C2"/>
    <w:rsid w:val="131C15B9"/>
    <w:rsid w:val="13273028"/>
    <w:rsid w:val="132E7110"/>
    <w:rsid w:val="13501EAD"/>
    <w:rsid w:val="13503305"/>
    <w:rsid w:val="13575CAD"/>
    <w:rsid w:val="13691FDA"/>
    <w:rsid w:val="13861D36"/>
    <w:rsid w:val="13A73098"/>
    <w:rsid w:val="13A74CA5"/>
    <w:rsid w:val="141947FD"/>
    <w:rsid w:val="141F5199"/>
    <w:rsid w:val="14265EEA"/>
    <w:rsid w:val="14353475"/>
    <w:rsid w:val="144078DF"/>
    <w:rsid w:val="147F53FE"/>
    <w:rsid w:val="147F7308"/>
    <w:rsid w:val="14823E94"/>
    <w:rsid w:val="14920390"/>
    <w:rsid w:val="14AA20B4"/>
    <w:rsid w:val="14B06C94"/>
    <w:rsid w:val="14E5046C"/>
    <w:rsid w:val="14F31DAD"/>
    <w:rsid w:val="14F35F01"/>
    <w:rsid w:val="150B4A4E"/>
    <w:rsid w:val="152635F3"/>
    <w:rsid w:val="15416654"/>
    <w:rsid w:val="155F62E1"/>
    <w:rsid w:val="15602140"/>
    <w:rsid w:val="15623AED"/>
    <w:rsid w:val="156B28B1"/>
    <w:rsid w:val="15706C53"/>
    <w:rsid w:val="158521C6"/>
    <w:rsid w:val="159001F7"/>
    <w:rsid w:val="159B37AB"/>
    <w:rsid w:val="15AD66BE"/>
    <w:rsid w:val="15CC7A62"/>
    <w:rsid w:val="15E6180F"/>
    <w:rsid w:val="15FA2BC8"/>
    <w:rsid w:val="160A473D"/>
    <w:rsid w:val="162478E4"/>
    <w:rsid w:val="162B7124"/>
    <w:rsid w:val="163D431B"/>
    <w:rsid w:val="16421E79"/>
    <w:rsid w:val="16451401"/>
    <w:rsid w:val="164E15C4"/>
    <w:rsid w:val="165E08B2"/>
    <w:rsid w:val="168C089A"/>
    <w:rsid w:val="169F3686"/>
    <w:rsid w:val="16A77568"/>
    <w:rsid w:val="16AC349A"/>
    <w:rsid w:val="16C80B57"/>
    <w:rsid w:val="16F06B68"/>
    <w:rsid w:val="16F16D23"/>
    <w:rsid w:val="17003266"/>
    <w:rsid w:val="17027E77"/>
    <w:rsid w:val="171D449F"/>
    <w:rsid w:val="173427EB"/>
    <w:rsid w:val="17525B6D"/>
    <w:rsid w:val="175D6AE6"/>
    <w:rsid w:val="17947E41"/>
    <w:rsid w:val="17A51608"/>
    <w:rsid w:val="17B10954"/>
    <w:rsid w:val="17D746DC"/>
    <w:rsid w:val="17F1099B"/>
    <w:rsid w:val="17F9355D"/>
    <w:rsid w:val="1806700F"/>
    <w:rsid w:val="181100A4"/>
    <w:rsid w:val="183001E0"/>
    <w:rsid w:val="18392B0C"/>
    <w:rsid w:val="183F5CF7"/>
    <w:rsid w:val="18495F9C"/>
    <w:rsid w:val="18644325"/>
    <w:rsid w:val="187A7B17"/>
    <w:rsid w:val="188D777A"/>
    <w:rsid w:val="1890112D"/>
    <w:rsid w:val="18B71767"/>
    <w:rsid w:val="18D711AE"/>
    <w:rsid w:val="18E46F71"/>
    <w:rsid w:val="19247343"/>
    <w:rsid w:val="19504544"/>
    <w:rsid w:val="195068EF"/>
    <w:rsid w:val="19641570"/>
    <w:rsid w:val="19641AD9"/>
    <w:rsid w:val="19704DB3"/>
    <w:rsid w:val="19A102D0"/>
    <w:rsid w:val="19A65A1D"/>
    <w:rsid w:val="19C91DA1"/>
    <w:rsid w:val="19D078C4"/>
    <w:rsid w:val="19F60515"/>
    <w:rsid w:val="19FE255B"/>
    <w:rsid w:val="1A006205"/>
    <w:rsid w:val="1A0A7151"/>
    <w:rsid w:val="1A185CDB"/>
    <w:rsid w:val="1A287229"/>
    <w:rsid w:val="1A361CF4"/>
    <w:rsid w:val="1A595C14"/>
    <w:rsid w:val="1A5F2BF5"/>
    <w:rsid w:val="1A622AE9"/>
    <w:rsid w:val="1A694774"/>
    <w:rsid w:val="1A833539"/>
    <w:rsid w:val="1AA8210C"/>
    <w:rsid w:val="1AC90279"/>
    <w:rsid w:val="1B0842E2"/>
    <w:rsid w:val="1B391609"/>
    <w:rsid w:val="1B3E31F9"/>
    <w:rsid w:val="1B541091"/>
    <w:rsid w:val="1B541C96"/>
    <w:rsid w:val="1B59755D"/>
    <w:rsid w:val="1B5E6560"/>
    <w:rsid w:val="1B605B34"/>
    <w:rsid w:val="1B793167"/>
    <w:rsid w:val="1B8D7851"/>
    <w:rsid w:val="1BA64F00"/>
    <w:rsid w:val="1BBA0FAE"/>
    <w:rsid w:val="1BC852C0"/>
    <w:rsid w:val="1BCD07F3"/>
    <w:rsid w:val="1BEE6710"/>
    <w:rsid w:val="1BFD651B"/>
    <w:rsid w:val="1C052594"/>
    <w:rsid w:val="1C0F3D54"/>
    <w:rsid w:val="1C5B416B"/>
    <w:rsid w:val="1C5F1949"/>
    <w:rsid w:val="1C766442"/>
    <w:rsid w:val="1C9362DD"/>
    <w:rsid w:val="1C987151"/>
    <w:rsid w:val="1CD40CDA"/>
    <w:rsid w:val="1D2F2682"/>
    <w:rsid w:val="1D431CA3"/>
    <w:rsid w:val="1D457566"/>
    <w:rsid w:val="1D4E7FE9"/>
    <w:rsid w:val="1D7417D3"/>
    <w:rsid w:val="1D921372"/>
    <w:rsid w:val="1D9D64EF"/>
    <w:rsid w:val="1DAE4D54"/>
    <w:rsid w:val="1DBD21C0"/>
    <w:rsid w:val="1DC96DA6"/>
    <w:rsid w:val="1DD71CBD"/>
    <w:rsid w:val="1DF10EF8"/>
    <w:rsid w:val="1DF570C0"/>
    <w:rsid w:val="1DFF5276"/>
    <w:rsid w:val="1E1A2142"/>
    <w:rsid w:val="1E263D21"/>
    <w:rsid w:val="1E901AB3"/>
    <w:rsid w:val="1EB52D19"/>
    <w:rsid w:val="1ECC6CB0"/>
    <w:rsid w:val="1EEC6324"/>
    <w:rsid w:val="1EF93A17"/>
    <w:rsid w:val="1F3E57F5"/>
    <w:rsid w:val="1F4430B8"/>
    <w:rsid w:val="1F4F6E78"/>
    <w:rsid w:val="1F633046"/>
    <w:rsid w:val="1F670170"/>
    <w:rsid w:val="1F6D7F66"/>
    <w:rsid w:val="1F7B27B5"/>
    <w:rsid w:val="1F80174B"/>
    <w:rsid w:val="1F9312C3"/>
    <w:rsid w:val="1F9878A1"/>
    <w:rsid w:val="1FA3607E"/>
    <w:rsid w:val="1FA5233A"/>
    <w:rsid w:val="1FA93019"/>
    <w:rsid w:val="1FB23296"/>
    <w:rsid w:val="1FB54D6D"/>
    <w:rsid w:val="1FCD1F2F"/>
    <w:rsid w:val="1FD6702A"/>
    <w:rsid w:val="1FE446B7"/>
    <w:rsid w:val="200D32A4"/>
    <w:rsid w:val="20143B36"/>
    <w:rsid w:val="202C6073"/>
    <w:rsid w:val="20371346"/>
    <w:rsid w:val="203B4CF7"/>
    <w:rsid w:val="20492473"/>
    <w:rsid w:val="20713EC3"/>
    <w:rsid w:val="209E748B"/>
    <w:rsid w:val="20A5365B"/>
    <w:rsid w:val="20DD125A"/>
    <w:rsid w:val="20E37DEC"/>
    <w:rsid w:val="20F542C3"/>
    <w:rsid w:val="21112846"/>
    <w:rsid w:val="21384CE4"/>
    <w:rsid w:val="214F39FC"/>
    <w:rsid w:val="2152129C"/>
    <w:rsid w:val="21657B9E"/>
    <w:rsid w:val="217D055A"/>
    <w:rsid w:val="218B6DCA"/>
    <w:rsid w:val="21962D66"/>
    <w:rsid w:val="21B7450A"/>
    <w:rsid w:val="21B75E11"/>
    <w:rsid w:val="21B76927"/>
    <w:rsid w:val="21D1510E"/>
    <w:rsid w:val="21EE04AB"/>
    <w:rsid w:val="21FD4828"/>
    <w:rsid w:val="22000067"/>
    <w:rsid w:val="224830A3"/>
    <w:rsid w:val="22493BAA"/>
    <w:rsid w:val="225E0908"/>
    <w:rsid w:val="226471AA"/>
    <w:rsid w:val="226D6F8D"/>
    <w:rsid w:val="227E590A"/>
    <w:rsid w:val="227F2611"/>
    <w:rsid w:val="22977B3D"/>
    <w:rsid w:val="22994F39"/>
    <w:rsid w:val="22A239B6"/>
    <w:rsid w:val="22DC4B91"/>
    <w:rsid w:val="230F0464"/>
    <w:rsid w:val="232A6192"/>
    <w:rsid w:val="232D1D76"/>
    <w:rsid w:val="23337063"/>
    <w:rsid w:val="23503989"/>
    <w:rsid w:val="235A63A8"/>
    <w:rsid w:val="235A65D4"/>
    <w:rsid w:val="235D5A27"/>
    <w:rsid w:val="23773FF4"/>
    <w:rsid w:val="23927EBE"/>
    <w:rsid w:val="2395174A"/>
    <w:rsid w:val="23A630FE"/>
    <w:rsid w:val="23A955DF"/>
    <w:rsid w:val="23AA0708"/>
    <w:rsid w:val="23B457E6"/>
    <w:rsid w:val="23C11D0C"/>
    <w:rsid w:val="23DF6714"/>
    <w:rsid w:val="23E0108F"/>
    <w:rsid w:val="240A4E26"/>
    <w:rsid w:val="24577ACE"/>
    <w:rsid w:val="246B547D"/>
    <w:rsid w:val="248E0418"/>
    <w:rsid w:val="249E0E18"/>
    <w:rsid w:val="24A97C6E"/>
    <w:rsid w:val="24DC6273"/>
    <w:rsid w:val="24EF1FF2"/>
    <w:rsid w:val="24F6456B"/>
    <w:rsid w:val="24F66A0A"/>
    <w:rsid w:val="24FB72A9"/>
    <w:rsid w:val="2580613D"/>
    <w:rsid w:val="259901D0"/>
    <w:rsid w:val="25E13F12"/>
    <w:rsid w:val="25E304CC"/>
    <w:rsid w:val="25F96A9D"/>
    <w:rsid w:val="26191994"/>
    <w:rsid w:val="262D2207"/>
    <w:rsid w:val="262F5A6C"/>
    <w:rsid w:val="26520255"/>
    <w:rsid w:val="2676107B"/>
    <w:rsid w:val="26781CCE"/>
    <w:rsid w:val="26A56371"/>
    <w:rsid w:val="26AC2967"/>
    <w:rsid w:val="26C952AE"/>
    <w:rsid w:val="26D568F0"/>
    <w:rsid w:val="272C3E5F"/>
    <w:rsid w:val="27472530"/>
    <w:rsid w:val="27496826"/>
    <w:rsid w:val="277C354F"/>
    <w:rsid w:val="279206E1"/>
    <w:rsid w:val="27B459A2"/>
    <w:rsid w:val="27BF77CD"/>
    <w:rsid w:val="27C10C96"/>
    <w:rsid w:val="27C1453C"/>
    <w:rsid w:val="27F01ABA"/>
    <w:rsid w:val="27F92370"/>
    <w:rsid w:val="281C019C"/>
    <w:rsid w:val="282E760B"/>
    <w:rsid w:val="283203EB"/>
    <w:rsid w:val="28575C58"/>
    <w:rsid w:val="28600117"/>
    <w:rsid w:val="28686F74"/>
    <w:rsid w:val="287913FB"/>
    <w:rsid w:val="287F1137"/>
    <w:rsid w:val="288B4F33"/>
    <w:rsid w:val="289A21AC"/>
    <w:rsid w:val="28B33263"/>
    <w:rsid w:val="28BE313E"/>
    <w:rsid w:val="28D32C06"/>
    <w:rsid w:val="290F0821"/>
    <w:rsid w:val="29202A95"/>
    <w:rsid w:val="292A6120"/>
    <w:rsid w:val="29342128"/>
    <w:rsid w:val="294235F4"/>
    <w:rsid w:val="29705C4E"/>
    <w:rsid w:val="29837797"/>
    <w:rsid w:val="29AB7460"/>
    <w:rsid w:val="29B13812"/>
    <w:rsid w:val="29D3130E"/>
    <w:rsid w:val="29E17048"/>
    <w:rsid w:val="29E31FC5"/>
    <w:rsid w:val="2A0A43E5"/>
    <w:rsid w:val="2A102611"/>
    <w:rsid w:val="2A4A5501"/>
    <w:rsid w:val="2A4E16E3"/>
    <w:rsid w:val="2A9E77EE"/>
    <w:rsid w:val="2A9F4DB9"/>
    <w:rsid w:val="2ABE6A78"/>
    <w:rsid w:val="2AC327E3"/>
    <w:rsid w:val="2AC73F7A"/>
    <w:rsid w:val="2AD32F63"/>
    <w:rsid w:val="2B0436BB"/>
    <w:rsid w:val="2B4D0975"/>
    <w:rsid w:val="2B7E3D8F"/>
    <w:rsid w:val="2B85474D"/>
    <w:rsid w:val="2BA86C39"/>
    <w:rsid w:val="2BA967CA"/>
    <w:rsid w:val="2BB6248B"/>
    <w:rsid w:val="2BBE5EE1"/>
    <w:rsid w:val="2BC42448"/>
    <w:rsid w:val="2BCF4225"/>
    <w:rsid w:val="2BDA6D1C"/>
    <w:rsid w:val="2BED3CA4"/>
    <w:rsid w:val="2C0D62C1"/>
    <w:rsid w:val="2C16014C"/>
    <w:rsid w:val="2C26606D"/>
    <w:rsid w:val="2C30587A"/>
    <w:rsid w:val="2C356D94"/>
    <w:rsid w:val="2C461B42"/>
    <w:rsid w:val="2C563AF1"/>
    <w:rsid w:val="2C8043FC"/>
    <w:rsid w:val="2C8240A6"/>
    <w:rsid w:val="2CB81B7F"/>
    <w:rsid w:val="2D136ECF"/>
    <w:rsid w:val="2D1A0006"/>
    <w:rsid w:val="2D1D3580"/>
    <w:rsid w:val="2D2C3EF2"/>
    <w:rsid w:val="2D3239DE"/>
    <w:rsid w:val="2D4349FC"/>
    <w:rsid w:val="2D4B280E"/>
    <w:rsid w:val="2D5F0FB5"/>
    <w:rsid w:val="2D6F2C32"/>
    <w:rsid w:val="2D9C6EEE"/>
    <w:rsid w:val="2DA0372D"/>
    <w:rsid w:val="2DA839AC"/>
    <w:rsid w:val="2DC34894"/>
    <w:rsid w:val="2E0309D6"/>
    <w:rsid w:val="2E2E5843"/>
    <w:rsid w:val="2E40415A"/>
    <w:rsid w:val="2E894E05"/>
    <w:rsid w:val="2E925248"/>
    <w:rsid w:val="2E93165B"/>
    <w:rsid w:val="2EA2465D"/>
    <w:rsid w:val="2EA65478"/>
    <w:rsid w:val="2EBA3B1F"/>
    <w:rsid w:val="2EC72C2D"/>
    <w:rsid w:val="2ED066A6"/>
    <w:rsid w:val="2EEE0D5F"/>
    <w:rsid w:val="2EF51EF8"/>
    <w:rsid w:val="2EFF182D"/>
    <w:rsid w:val="2F0161EB"/>
    <w:rsid w:val="2F08716E"/>
    <w:rsid w:val="2F21791F"/>
    <w:rsid w:val="2F3378D6"/>
    <w:rsid w:val="2F736A58"/>
    <w:rsid w:val="2F7B1007"/>
    <w:rsid w:val="2F7D0FB0"/>
    <w:rsid w:val="2FB618C5"/>
    <w:rsid w:val="2FBC45F2"/>
    <w:rsid w:val="2FC11F83"/>
    <w:rsid w:val="2FE34275"/>
    <w:rsid w:val="2FFB3E10"/>
    <w:rsid w:val="30013AB1"/>
    <w:rsid w:val="303C4A83"/>
    <w:rsid w:val="303F3C76"/>
    <w:rsid w:val="30610FED"/>
    <w:rsid w:val="306A267E"/>
    <w:rsid w:val="306C64B2"/>
    <w:rsid w:val="30792F8B"/>
    <w:rsid w:val="30806BC5"/>
    <w:rsid w:val="30A2234B"/>
    <w:rsid w:val="30B116F1"/>
    <w:rsid w:val="30CE0E52"/>
    <w:rsid w:val="30DA771F"/>
    <w:rsid w:val="30EC44B5"/>
    <w:rsid w:val="30F14A17"/>
    <w:rsid w:val="311C7247"/>
    <w:rsid w:val="31766581"/>
    <w:rsid w:val="31C05E61"/>
    <w:rsid w:val="31D11286"/>
    <w:rsid w:val="31DB5204"/>
    <w:rsid w:val="31F56650"/>
    <w:rsid w:val="31FB58A6"/>
    <w:rsid w:val="3200110E"/>
    <w:rsid w:val="325A5E66"/>
    <w:rsid w:val="32683233"/>
    <w:rsid w:val="32764F2C"/>
    <w:rsid w:val="32863F07"/>
    <w:rsid w:val="329A3FAB"/>
    <w:rsid w:val="32B376DB"/>
    <w:rsid w:val="32CE4EC3"/>
    <w:rsid w:val="32D1369D"/>
    <w:rsid w:val="32D41BE5"/>
    <w:rsid w:val="32ED5589"/>
    <w:rsid w:val="32FF4824"/>
    <w:rsid w:val="330B7D6A"/>
    <w:rsid w:val="331A1E05"/>
    <w:rsid w:val="33243C64"/>
    <w:rsid w:val="332A721C"/>
    <w:rsid w:val="333A230D"/>
    <w:rsid w:val="33813ADB"/>
    <w:rsid w:val="338E037D"/>
    <w:rsid w:val="33BB25FD"/>
    <w:rsid w:val="33E0063F"/>
    <w:rsid w:val="33F71CD3"/>
    <w:rsid w:val="340B32DB"/>
    <w:rsid w:val="342D6226"/>
    <w:rsid w:val="34613B96"/>
    <w:rsid w:val="347C4388"/>
    <w:rsid w:val="34952C2F"/>
    <w:rsid w:val="349C35E4"/>
    <w:rsid w:val="34AC67E8"/>
    <w:rsid w:val="34C81FED"/>
    <w:rsid w:val="34DC15A4"/>
    <w:rsid w:val="34DD2D9B"/>
    <w:rsid w:val="34E7087B"/>
    <w:rsid w:val="34E74015"/>
    <w:rsid w:val="34F0392B"/>
    <w:rsid w:val="34F51C3B"/>
    <w:rsid w:val="350909EE"/>
    <w:rsid w:val="3524193E"/>
    <w:rsid w:val="352A4ADA"/>
    <w:rsid w:val="352F0E67"/>
    <w:rsid w:val="354554EB"/>
    <w:rsid w:val="35646A24"/>
    <w:rsid w:val="35847F83"/>
    <w:rsid w:val="358643D0"/>
    <w:rsid w:val="358E77B3"/>
    <w:rsid w:val="359817D0"/>
    <w:rsid w:val="359F53C9"/>
    <w:rsid w:val="35AB3291"/>
    <w:rsid w:val="35EF0BFB"/>
    <w:rsid w:val="35F8354B"/>
    <w:rsid w:val="35FF4D27"/>
    <w:rsid w:val="36355295"/>
    <w:rsid w:val="364843A7"/>
    <w:rsid w:val="36902512"/>
    <w:rsid w:val="36AE4243"/>
    <w:rsid w:val="36B41356"/>
    <w:rsid w:val="370745E5"/>
    <w:rsid w:val="371E56FA"/>
    <w:rsid w:val="372471D2"/>
    <w:rsid w:val="372B4937"/>
    <w:rsid w:val="37386E9A"/>
    <w:rsid w:val="37396B60"/>
    <w:rsid w:val="37515F68"/>
    <w:rsid w:val="375F68D7"/>
    <w:rsid w:val="376950E0"/>
    <w:rsid w:val="376D40D0"/>
    <w:rsid w:val="378A6D83"/>
    <w:rsid w:val="37983B97"/>
    <w:rsid w:val="37AF7422"/>
    <w:rsid w:val="37CD1A92"/>
    <w:rsid w:val="38252FF9"/>
    <w:rsid w:val="38267F5A"/>
    <w:rsid w:val="383811FF"/>
    <w:rsid w:val="38446F94"/>
    <w:rsid w:val="384C51BB"/>
    <w:rsid w:val="386B66FC"/>
    <w:rsid w:val="38703BC9"/>
    <w:rsid w:val="38AA208B"/>
    <w:rsid w:val="38B470FE"/>
    <w:rsid w:val="38B642D4"/>
    <w:rsid w:val="38D2243E"/>
    <w:rsid w:val="38E20C07"/>
    <w:rsid w:val="38F30351"/>
    <w:rsid w:val="39146684"/>
    <w:rsid w:val="39160452"/>
    <w:rsid w:val="39272662"/>
    <w:rsid w:val="392B6070"/>
    <w:rsid w:val="392F6B83"/>
    <w:rsid w:val="394749D3"/>
    <w:rsid w:val="395137E4"/>
    <w:rsid w:val="395520A5"/>
    <w:rsid w:val="395A1401"/>
    <w:rsid w:val="39663B9A"/>
    <w:rsid w:val="397B620D"/>
    <w:rsid w:val="399D79E6"/>
    <w:rsid w:val="39A05410"/>
    <w:rsid w:val="39C063C7"/>
    <w:rsid w:val="39C806C4"/>
    <w:rsid w:val="39DC6801"/>
    <w:rsid w:val="39E14B82"/>
    <w:rsid w:val="39E559F4"/>
    <w:rsid w:val="3A013EDA"/>
    <w:rsid w:val="3A0160F0"/>
    <w:rsid w:val="3A3A7DD5"/>
    <w:rsid w:val="3A47152E"/>
    <w:rsid w:val="3A4F6F01"/>
    <w:rsid w:val="3A565FC1"/>
    <w:rsid w:val="3A6319FC"/>
    <w:rsid w:val="3AA41DDA"/>
    <w:rsid w:val="3AAA70AB"/>
    <w:rsid w:val="3AB87011"/>
    <w:rsid w:val="3AC34098"/>
    <w:rsid w:val="3ACA50AB"/>
    <w:rsid w:val="3B517DC8"/>
    <w:rsid w:val="3B77033C"/>
    <w:rsid w:val="3B8E0865"/>
    <w:rsid w:val="3BB72053"/>
    <w:rsid w:val="3BC632F7"/>
    <w:rsid w:val="3BE807C2"/>
    <w:rsid w:val="3C0F64D6"/>
    <w:rsid w:val="3C2F6D49"/>
    <w:rsid w:val="3C3E2502"/>
    <w:rsid w:val="3C4A0F69"/>
    <w:rsid w:val="3C4E2EF7"/>
    <w:rsid w:val="3C7C0116"/>
    <w:rsid w:val="3CC0203C"/>
    <w:rsid w:val="3CC852F6"/>
    <w:rsid w:val="3CD40230"/>
    <w:rsid w:val="3CD574CD"/>
    <w:rsid w:val="3CE91B7E"/>
    <w:rsid w:val="3CF902CC"/>
    <w:rsid w:val="3D3000BC"/>
    <w:rsid w:val="3D6667AB"/>
    <w:rsid w:val="3D69774D"/>
    <w:rsid w:val="3D922601"/>
    <w:rsid w:val="3D9F7484"/>
    <w:rsid w:val="3DB97DDA"/>
    <w:rsid w:val="3DD42EE0"/>
    <w:rsid w:val="3DD610C5"/>
    <w:rsid w:val="3DDA3F53"/>
    <w:rsid w:val="3E260BBF"/>
    <w:rsid w:val="3E310BA3"/>
    <w:rsid w:val="3E344BFB"/>
    <w:rsid w:val="3E494A49"/>
    <w:rsid w:val="3E7B3814"/>
    <w:rsid w:val="3E9F0BCE"/>
    <w:rsid w:val="3EC235DE"/>
    <w:rsid w:val="3ECA27B3"/>
    <w:rsid w:val="3ED62963"/>
    <w:rsid w:val="3ED843C0"/>
    <w:rsid w:val="3EF03179"/>
    <w:rsid w:val="3EF15D6A"/>
    <w:rsid w:val="3F206850"/>
    <w:rsid w:val="3F244FC1"/>
    <w:rsid w:val="3F427514"/>
    <w:rsid w:val="3F4513B2"/>
    <w:rsid w:val="3F782526"/>
    <w:rsid w:val="3F84151D"/>
    <w:rsid w:val="3FAF5662"/>
    <w:rsid w:val="3FC2739F"/>
    <w:rsid w:val="405173A0"/>
    <w:rsid w:val="406A2E7C"/>
    <w:rsid w:val="40806589"/>
    <w:rsid w:val="408978EE"/>
    <w:rsid w:val="408D37D6"/>
    <w:rsid w:val="4098327A"/>
    <w:rsid w:val="40DC30AF"/>
    <w:rsid w:val="41002563"/>
    <w:rsid w:val="4112102F"/>
    <w:rsid w:val="41161B48"/>
    <w:rsid w:val="41202C33"/>
    <w:rsid w:val="416A0E32"/>
    <w:rsid w:val="418B67DD"/>
    <w:rsid w:val="41A40016"/>
    <w:rsid w:val="41A710D6"/>
    <w:rsid w:val="41B83F13"/>
    <w:rsid w:val="41D84D1B"/>
    <w:rsid w:val="41E43A45"/>
    <w:rsid w:val="41F44E3E"/>
    <w:rsid w:val="420D4970"/>
    <w:rsid w:val="420D78D2"/>
    <w:rsid w:val="421139DD"/>
    <w:rsid w:val="42122860"/>
    <w:rsid w:val="42447981"/>
    <w:rsid w:val="42610F17"/>
    <w:rsid w:val="4270210B"/>
    <w:rsid w:val="42737D0B"/>
    <w:rsid w:val="427A5983"/>
    <w:rsid w:val="42904B16"/>
    <w:rsid w:val="429718FE"/>
    <w:rsid w:val="42A40BB3"/>
    <w:rsid w:val="42AA7FDB"/>
    <w:rsid w:val="42C77C89"/>
    <w:rsid w:val="42CD0475"/>
    <w:rsid w:val="42DC30A7"/>
    <w:rsid w:val="42F72FEE"/>
    <w:rsid w:val="43170849"/>
    <w:rsid w:val="432C0ACA"/>
    <w:rsid w:val="433C58A7"/>
    <w:rsid w:val="43627FCE"/>
    <w:rsid w:val="437F04E8"/>
    <w:rsid w:val="43A62CD4"/>
    <w:rsid w:val="43DF1834"/>
    <w:rsid w:val="43EA7F62"/>
    <w:rsid w:val="43EB31CB"/>
    <w:rsid w:val="43F71EA4"/>
    <w:rsid w:val="44034DA2"/>
    <w:rsid w:val="44065ECA"/>
    <w:rsid w:val="44721F40"/>
    <w:rsid w:val="44867C25"/>
    <w:rsid w:val="44AE5C40"/>
    <w:rsid w:val="44DB69E5"/>
    <w:rsid w:val="44DE0B2E"/>
    <w:rsid w:val="450313C2"/>
    <w:rsid w:val="45081424"/>
    <w:rsid w:val="45115320"/>
    <w:rsid w:val="451A0117"/>
    <w:rsid w:val="451D1559"/>
    <w:rsid w:val="4533283E"/>
    <w:rsid w:val="453E6C49"/>
    <w:rsid w:val="454C4554"/>
    <w:rsid w:val="455C7EDF"/>
    <w:rsid w:val="457A65AF"/>
    <w:rsid w:val="45B447EF"/>
    <w:rsid w:val="45BB3B98"/>
    <w:rsid w:val="45C561FE"/>
    <w:rsid w:val="45DD5E42"/>
    <w:rsid w:val="45FD47B9"/>
    <w:rsid w:val="460350EA"/>
    <w:rsid w:val="46077F3F"/>
    <w:rsid w:val="46220736"/>
    <w:rsid w:val="46251C73"/>
    <w:rsid w:val="4659294B"/>
    <w:rsid w:val="4668385B"/>
    <w:rsid w:val="468A09F0"/>
    <w:rsid w:val="46A7426B"/>
    <w:rsid w:val="46F975D6"/>
    <w:rsid w:val="470B0A06"/>
    <w:rsid w:val="471B772A"/>
    <w:rsid w:val="474D0F21"/>
    <w:rsid w:val="475313A9"/>
    <w:rsid w:val="47774D51"/>
    <w:rsid w:val="47945416"/>
    <w:rsid w:val="47B33230"/>
    <w:rsid w:val="47BF1CFC"/>
    <w:rsid w:val="47C87C2C"/>
    <w:rsid w:val="47CA6270"/>
    <w:rsid w:val="47DC117A"/>
    <w:rsid w:val="47E43B0D"/>
    <w:rsid w:val="47ED4FE7"/>
    <w:rsid w:val="47F65FBF"/>
    <w:rsid w:val="480D07DB"/>
    <w:rsid w:val="480F29BF"/>
    <w:rsid w:val="48264A07"/>
    <w:rsid w:val="482673A7"/>
    <w:rsid w:val="482D708C"/>
    <w:rsid w:val="48381E65"/>
    <w:rsid w:val="4849531E"/>
    <w:rsid w:val="48532509"/>
    <w:rsid w:val="48796E81"/>
    <w:rsid w:val="48A04561"/>
    <w:rsid w:val="48D95746"/>
    <w:rsid w:val="48DC3BA8"/>
    <w:rsid w:val="48F33358"/>
    <w:rsid w:val="48F86BEC"/>
    <w:rsid w:val="48FF4281"/>
    <w:rsid w:val="49073BBF"/>
    <w:rsid w:val="490D120C"/>
    <w:rsid w:val="49201683"/>
    <w:rsid w:val="49353C7A"/>
    <w:rsid w:val="49361C47"/>
    <w:rsid w:val="49453947"/>
    <w:rsid w:val="4954039E"/>
    <w:rsid w:val="497C422F"/>
    <w:rsid w:val="499B66C7"/>
    <w:rsid w:val="49C24A60"/>
    <w:rsid w:val="49C774F8"/>
    <w:rsid w:val="49CE5EF1"/>
    <w:rsid w:val="49CE7657"/>
    <w:rsid w:val="49D369E3"/>
    <w:rsid w:val="49D8207F"/>
    <w:rsid w:val="49F0514F"/>
    <w:rsid w:val="4A066A33"/>
    <w:rsid w:val="4A0A4F99"/>
    <w:rsid w:val="4A137014"/>
    <w:rsid w:val="4A2D7573"/>
    <w:rsid w:val="4A3149E5"/>
    <w:rsid w:val="4A341600"/>
    <w:rsid w:val="4A3764C5"/>
    <w:rsid w:val="4A5422AA"/>
    <w:rsid w:val="4A5C4778"/>
    <w:rsid w:val="4A6525A5"/>
    <w:rsid w:val="4A6632EF"/>
    <w:rsid w:val="4A675EAB"/>
    <w:rsid w:val="4AC22DF8"/>
    <w:rsid w:val="4AE24B07"/>
    <w:rsid w:val="4B1514F0"/>
    <w:rsid w:val="4B3A0783"/>
    <w:rsid w:val="4B7324F9"/>
    <w:rsid w:val="4B74772C"/>
    <w:rsid w:val="4B771616"/>
    <w:rsid w:val="4B7E4813"/>
    <w:rsid w:val="4BA21356"/>
    <w:rsid w:val="4BCE2578"/>
    <w:rsid w:val="4BD55FA0"/>
    <w:rsid w:val="4BDD4160"/>
    <w:rsid w:val="4C211F55"/>
    <w:rsid w:val="4C352DFF"/>
    <w:rsid w:val="4C8B38A5"/>
    <w:rsid w:val="4CB426FD"/>
    <w:rsid w:val="4CD87CAB"/>
    <w:rsid w:val="4CE12536"/>
    <w:rsid w:val="4CF035EF"/>
    <w:rsid w:val="4D0237C8"/>
    <w:rsid w:val="4D066C9B"/>
    <w:rsid w:val="4D0A0B42"/>
    <w:rsid w:val="4D107BE4"/>
    <w:rsid w:val="4D74473B"/>
    <w:rsid w:val="4D7F3853"/>
    <w:rsid w:val="4D824E9E"/>
    <w:rsid w:val="4D905B01"/>
    <w:rsid w:val="4DA46B73"/>
    <w:rsid w:val="4DB405D7"/>
    <w:rsid w:val="4DBB46A4"/>
    <w:rsid w:val="4DBD7BA6"/>
    <w:rsid w:val="4E2128BF"/>
    <w:rsid w:val="4E29284D"/>
    <w:rsid w:val="4E2E49C6"/>
    <w:rsid w:val="4E36333A"/>
    <w:rsid w:val="4E44362D"/>
    <w:rsid w:val="4E4B5067"/>
    <w:rsid w:val="4E523AF8"/>
    <w:rsid w:val="4E541A32"/>
    <w:rsid w:val="4E5B2020"/>
    <w:rsid w:val="4E612475"/>
    <w:rsid w:val="4E7D23B9"/>
    <w:rsid w:val="4E973881"/>
    <w:rsid w:val="4EAC35D3"/>
    <w:rsid w:val="4EB772C4"/>
    <w:rsid w:val="4ED97E15"/>
    <w:rsid w:val="4EDD1BC6"/>
    <w:rsid w:val="4EE64712"/>
    <w:rsid w:val="4F112659"/>
    <w:rsid w:val="4F417091"/>
    <w:rsid w:val="4F553420"/>
    <w:rsid w:val="4F56385A"/>
    <w:rsid w:val="4F620404"/>
    <w:rsid w:val="4F713B71"/>
    <w:rsid w:val="4FA46F5C"/>
    <w:rsid w:val="4FA5697C"/>
    <w:rsid w:val="4FB11706"/>
    <w:rsid w:val="4FB449C4"/>
    <w:rsid w:val="4FC8644A"/>
    <w:rsid w:val="4FEA0169"/>
    <w:rsid w:val="50004CC0"/>
    <w:rsid w:val="5034098E"/>
    <w:rsid w:val="503D5E5A"/>
    <w:rsid w:val="505A7F19"/>
    <w:rsid w:val="5061708E"/>
    <w:rsid w:val="50714906"/>
    <w:rsid w:val="50717013"/>
    <w:rsid w:val="509A1151"/>
    <w:rsid w:val="50B40A0C"/>
    <w:rsid w:val="50BE6CF0"/>
    <w:rsid w:val="50CE5AF5"/>
    <w:rsid w:val="50DF0A17"/>
    <w:rsid w:val="50E05F3B"/>
    <w:rsid w:val="50E352F0"/>
    <w:rsid w:val="50ED3649"/>
    <w:rsid w:val="50EF2613"/>
    <w:rsid w:val="5107093F"/>
    <w:rsid w:val="512058FF"/>
    <w:rsid w:val="513E2C61"/>
    <w:rsid w:val="514B0373"/>
    <w:rsid w:val="516341ED"/>
    <w:rsid w:val="51782E66"/>
    <w:rsid w:val="519F5DF6"/>
    <w:rsid w:val="51B00003"/>
    <w:rsid w:val="51EC41B7"/>
    <w:rsid w:val="51FB279D"/>
    <w:rsid w:val="5207320A"/>
    <w:rsid w:val="52242353"/>
    <w:rsid w:val="523F3347"/>
    <w:rsid w:val="52412A09"/>
    <w:rsid w:val="52454D81"/>
    <w:rsid w:val="526F6F34"/>
    <w:rsid w:val="527A0240"/>
    <w:rsid w:val="527B23BF"/>
    <w:rsid w:val="528172AA"/>
    <w:rsid w:val="52A36B79"/>
    <w:rsid w:val="52F649B5"/>
    <w:rsid w:val="531626CB"/>
    <w:rsid w:val="53216CFF"/>
    <w:rsid w:val="532C27DD"/>
    <w:rsid w:val="533824C8"/>
    <w:rsid w:val="536A2C9A"/>
    <w:rsid w:val="539C7BFD"/>
    <w:rsid w:val="53A62ADD"/>
    <w:rsid w:val="53A73563"/>
    <w:rsid w:val="53C17786"/>
    <w:rsid w:val="53CB222C"/>
    <w:rsid w:val="53E779DA"/>
    <w:rsid w:val="54223631"/>
    <w:rsid w:val="542424B6"/>
    <w:rsid w:val="54273A7D"/>
    <w:rsid w:val="543B558A"/>
    <w:rsid w:val="54441ADC"/>
    <w:rsid w:val="546F16CE"/>
    <w:rsid w:val="54702CCC"/>
    <w:rsid w:val="547852FA"/>
    <w:rsid w:val="54843305"/>
    <w:rsid w:val="54900F27"/>
    <w:rsid w:val="54980D73"/>
    <w:rsid w:val="54A21DF5"/>
    <w:rsid w:val="54C543B0"/>
    <w:rsid w:val="54C917C7"/>
    <w:rsid w:val="55207DC5"/>
    <w:rsid w:val="55460E06"/>
    <w:rsid w:val="555000A6"/>
    <w:rsid w:val="55563419"/>
    <w:rsid w:val="55570467"/>
    <w:rsid w:val="55666161"/>
    <w:rsid w:val="557E2A22"/>
    <w:rsid w:val="5587063B"/>
    <w:rsid w:val="5596306C"/>
    <w:rsid w:val="55AD00CB"/>
    <w:rsid w:val="55B03B5B"/>
    <w:rsid w:val="55CE4D43"/>
    <w:rsid w:val="55EF09CE"/>
    <w:rsid w:val="55F508DA"/>
    <w:rsid w:val="561818C4"/>
    <w:rsid w:val="562543F0"/>
    <w:rsid w:val="562B5EAA"/>
    <w:rsid w:val="56651D0C"/>
    <w:rsid w:val="566C0255"/>
    <w:rsid w:val="5673059F"/>
    <w:rsid w:val="569B5D90"/>
    <w:rsid w:val="56AF6CEB"/>
    <w:rsid w:val="56B570D1"/>
    <w:rsid w:val="56BA6674"/>
    <w:rsid w:val="57150CC7"/>
    <w:rsid w:val="57202B83"/>
    <w:rsid w:val="574A7EF4"/>
    <w:rsid w:val="576553EC"/>
    <w:rsid w:val="57680A38"/>
    <w:rsid w:val="576F09C4"/>
    <w:rsid w:val="576F50AD"/>
    <w:rsid w:val="578B416A"/>
    <w:rsid w:val="57A043DC"/>
    <w:rsid w:val="57B0475B"/>
    <w:rsid w:val="57C16271"/>
    <w:rsid w:val="57DF7474"/>
    <w:rsid w:val="57E5752B"/>
    <w:rsid w:val="580F0E1E"/>
    <w:rsid w:val="58331046"/>
    <w:rsid w:val="5837399E"/>
    <w:rsid w:val="58455A2F"/>
    <w:rsid w:val="58584F50"/>
    <w:rsid w:val="586545D2"/>
    <w:rsid w:val="589F5FCE"/>
    <w:rsid w:val="58E133A9"/>
    <w:rsid w:val="58ED4ED4"/>
    <w:rsid w:val="58EF1909"/>
    <w:rsid w:val="590D5D3B"/>
    <w:rsid w:val="59266AEC"/>
    <w:rsid w:val="59467D06"/>
    <w:rsid w:val="59681326"/>
    <w:rsid w:val="596D0B74"/>
    <w:rsid w:val="59860700"/>
    <w:rsid w:val="59A71CEC"/>
    <w:rsid w:val="59AF788B"/>
    <w:rsid w:val="59F34973"/>
    <w:rsid w:val="5A2232C0"/>
    <w:rsid w:val="5A247D69"/>
    <w:rsid w:val="5A462FFD"/>
    <w:rsid w:val="5A465FD8"/>
    <w:rsid w:val="5A4773C5"/>
    <w:rsid w:val="5AA0616B"/>
    <w:rsid w:val="5AC5213B"/>
    <w:rsid w:val="5AC81D8D"/>
    <w:rsid w:val="5ACD5782"/>
    <w:rsid w:val="5AD12C47"/>
    <w:rsid w:val="5ADC3930"/>
    <w:rsid w:val="5ADD5D0C"/>
    <w:rsid w:val="5AF10E44"/>
    <w:rsid w:val="5B034266"/>
    <w:rsid w:val="5B0D08D3"/>
    <w:rsid w:val="5B1E7F94"/>
    <w:rsid w:val="5B270CBD"/>
    <w:rsid w:val="5B692BF0"/>
    <w:rsid w:val="5B754BC8"/>
    <w:rsid w:val="5B7B51DE"/>
    <w:rsid w:val="5B8F4950"/>
    <w:rsid w:val="5BC07269"/>
    <w:rsid w:val="5BC27020"/>
    <w:rsid w:val="5BD435F4"/>
    <w:rsid w:val="5BD630ED"/>
    <w:rsid w:val="5BF6394E"/>
    <w:rsid w:val="5C066F29"/>
    <w:rsid w:val="5C0A63B4"/>
    <w:rsid w:val="5C183DCB"/>
    <w:rsid w:val="5C186474"/>
    <w:rsid w:val="5C421D77"/>
    <w:rsid w:val="5C444076"/>
    <w:rsid w:val="5C673F5F"/>
    <w:rsid w:val="5C834E9C"/>
    <w:rsid w:val="5C9B4796"/>
    <w:rsid w:val="5CA42F19"/>
    <w:rsid w:val="5CB050E1"/>
    <w:rsid w:val="5CB478AE"/>
    <w:rsid w:val="5CEF5349"/>
    <w:rsid w:val="5D0249F0"/>
    <w:rsid w:val="5D1A61E0"/>
    <w:rsid w:val="5D2E60F1"/>
    <w:rsid w:val="5D3F6918"/>
    <w:rsid w:val="5D5B78DF"/>
    <w:rsid w:val="5D5C5E86"/>
    <w:rsid w:val="5D731CE1"/>
    <w:rsid w:val="5DA905CC"/>
    <w:rsid w:val="5DD563FC"/>
    <w:rsid w:val="5DED483F"/>
    <w:rsid w:val="5E112B99"/>
    <w:rsid w:val="5E1A2E17"/>
    <w:rsid w:val="5E3853B8"/>
    <w:rsid w:val="5E6D26EB"/>
    <w:rsid w:val="5E752EB0"/>
    <w:rsid w:val="5EA26F25"/>
    <w:rsid w:val="5EED1381"/>
    <w:rsid w:val="5F3F65D9"/>
    <w:rsid w:val="5F444E91"/>
    <w:rsid w:val="5F471D50"/>
    <w:rsid w:val="5F483B6D"/>
    <w:rsid w:val="5F5E3324"/>
    <w:rsid w:val="5F755735"/>
    <w:rsid w:val="5F78788C"/>
    <w:rsid w:val="5F93612F"/>
    <w:rsid w:val="5F97575E"/>
    <w:rsid w:val="5FA171DD"/>
    <w:rsid w:val="5FA33C0E"/>
    <w:rsid w:val="5FBE556B"/>
    <w:rsid w:val="5FF96F7D"/>
    <w:rsid w:val="6043701A"/>
    <w:rsid w:val="60B4429D"/>
    <w:rsid w:val="60C70BEC"/>
    <w:rsid w:val="60C8752E"/>
    <w:rsid w:val="610C3E8D"/>
    <w:rsid w:val="610D7B62"/>
    <w:rsid w:val="614F46E5"/>
    <w:rsid w:val="61590BE1"/>
    <w:rsid w:val="61766993"/>
    <w:rsid w:val="617C6ABD"/>
    <w:rsid w:val="61901317"/>
    <w:rsid w:val="619C1A31"/>
    <w:rsid w:val="61AA0550"/>
    <w:rsid w:val="61C20CB2"/>
    <w:rsid w:val="61CE04BE"/>
    <w:rsid w:val="61CF0D58"/>
    <w:rsid w:val="61E41877"/>
    <w:rsid w:val="61F244DC"/>
    <w:rsid w:val="61F4410D"/>
    <w:rsid w:val="61F44796"/>
    <w:rsid w:val="6215253C"/>
    <w:rsid w:val="623F4A1A"/>
    <w:rsid w:val="62402850"/>
    <w:rsid w:val="627F31B9"/>
    <w:rsid w:val="628A1EAD"/>
    <w:rsid w:val="62957B28"/>
    <w:rsid w:val="629B0541"/>
    <w:rsid w:val="629D4D8B"/>
    <w:rsid w:val="62B42906"/>
    <w:rsid w:val="62CC79F5"/>
    <w:rsid w:val="62D56C60"/>
    <w:rsid w:val="62D600E4"/>
    <w:rsid w:val="62EE2096"/>
    <w:rsid w:val="6331209D"/>
    <w:rsid w:val="63422AA3"/>
    <w:rsid w:val="63687757"/>
    <w:rsid w:val="63784872"/>
    <w:rsid w:val="638F34DF"/>
    <w:rsid w:val="63AC45B2"/>
    <w:rsid w:val="63B54C73"/>
    <w:rsid w:val="63BB04F2"/>
    <w:rsid w:val="63BC335F"/>
    <w:rsid w:val="63C51241"/>
    <w:rsid w:val="64066510"/>
    <w:rsid w:val="642006E9"/>
    <w:rsid w:val="642A2E4C"/>
    <w:rsid w:val="645C0807"/>
    <w:rsid w:val="64617A45"/>
    <w:rsid w:val="6475356B"/>
    <w:rsid w:val="6475605D"/>
    <w:rsid w:val="64874607"/>
    <w:rsid w:val="648C68FA"/>
    <w:rsid w:val="649E090D"/>
    <w:rsid w:val="64E921C1"/>
    <w:rsid w:val="64FA09BF"/>
    <w:rsid w:val="65011ABA"/>
    <w:rsid w:val="65097486"/>
    <w:rsid w:val="653A2520"/>
    <w:rsid w:val="655737E6"/>
    <w:rsid w:val="655F4979"/>
    <w:rsid w:val="65605B41"/>
    <w:rsid w:val="6576592C"/>
    <w:rsid w:val="657A1BB8"/>
    <w:rsid w:val="657A3431"/>
    <w:rsid w:val="65A57542"/>
    <w:rsid w:val="65A57914"/>
    <w:rsid w:val="65AD5EA2"/>
    <w:rsid w:val="65C51BF5"/>
    <w:rsid w:val="65C70B3B"/>
    <w:rsid w:val="65DE1617"/>
    <w:rsid w:val="65EB7563"/>
    <w:rsid w:val="66154A00"/>
    <w:rsid w:val="663F6B25"/>
    <w:rsid w:val="667B514E"/>
    <w:rsid w:val="66985016"/>
    <w:rsid w:val="669B6540"/>
    <w:rsid w:val="66A55390"/>
    <w:rsid w:val="66BD79F0"/>
    <w:rsid w:val="66C70E85"/>
    <w:rsid w:val="66CE4FDD"/>
    <w:rsid w:val="66D45E83"/>
    <w:rsid w:val="66EF79EB"/>
    <w:rsid w:val="67117A8B"/>
    <w:rsid w:val="671F79CA"/>
    <w:rsid w:val="674531EB"/>
    <w:rsid w:val="674E52C9"/>
    <w:rsid w:val="67556D60"/>
    <w:rsid w:val="6756543D"/>
    <w:rsid w:val="676B7D7B"/>
    <w:rsid w:val="67734D7E"/>
    <w:rsid w:val="67AA3632"/>
    <w:rsid w:val="67D92E5E"/>
    <w:rsid w:val="67DF57DC"/>
    <w:rsid w:val="67E260DB"/>
    <w:rsid w:val="67E61C31"/>
    <w:rsid w:val="67E934CF"/>
    <w:rsid w:val="680B349C"/>
    <w:rsid w:val="68441AEF"/>
    <w:rsid w:val="68527515"/>
    <w:rsid w:val="685A2CD0"/>
    <w:rsid w:val="6867390A"/>
    <w:rsid w:val="687C0CE9"/>
    <w:rsid w:val="68A05E03"/>
    <w:rsid w:val="68A408BA"/>
    <w:rsid w:val="68A96AB8"/>
    <w:rsid w:val="68B377BE"/>
    <w:rsid w:val="68C178DC"/>
    <w:rsid w:val="68D85DED"/>
    <w:rsid w:val="693C18B9"/>
    <w:rsid w:val="69615A73"/>
    <w:rsid w:val="69677866"/>
    <w:rsid w:val="69730ABD"/>
    <w:rsid w:val="698C60DB"/>
    <w:rsid w:val="69985DE2"/>
    <w:rsid w:val="69A0197D"/>
    <w:rsid w:val="69A12D90"/>
    <w:rsid w:val="69AA47CC"/>
    <w:rsid w:val="69E339A1"/>
    <w:rsid w:val="69F76CE7"/>
    <w:rsid w:val="6A110DF4"/>
    <w:rsid w:val="6A157F8A"/>
    <w:rsid w:val="6A1B5438"/>
    <w:rsid w:val="6A2733A1"/>
    <w:rsid w:val="6A3C0BD3"/>
    <w:rsid w:val="6A480A1A"/>
    <w:rsid w:val="6A7F3E3E"/>
    <w:rsid w:val="6A99742E"/>
    <w:rsid w:val="6A9B3C50"/>
    <w:rsid w:val="6A9E26D0"/>
    <w:rsid w:val="6AD5560E"/>
    <w:rsid w:val="6AD6026A"/>
    <w:rsid w:val="6ADF4E89"/>
    <w:rsid w:val="6AF1726A"/>
    <w:rsid w:val="6AF36AB9"/>
    <w:rsid w:val="6B1E20F8"/>
    <w:rsid w:val="6B2F16FA"/>
    <w:rsid w:val="6B480E55"/>
    <w:rsid w:val="6B9366F7"/>
    <w:rsid w:val="6BAD087B"/>
    <w:rsid w:val="6BD54034"/>
    <w:rsid w:val="6BF47790"/>
    <w:rsid w:val="6BFA7C0B"/>
    <w:rsid w:val="6C141C7E"/>
    <w:rsid w:val="6C5B58C8"/>
    <w:rsid w:val="6C692849"/>
    <w:rsid w:val="6C8752B1"/>
    <w:rsid w:val="6CC17069"/>
    <w:rsid w:val="6CD32CC7"/>
    <w:rsid w:val="6CF25141"/>
    <w:rsid w:val="6D13189E"/>
    <w:rsid w:val="6D31494C"/>
    <w:rsid w:val="6D5A0504"/>
    <w:rsid w:val="6D5F2DA9"/>
    <w:rsid w:val="6D6C00A8"/>
    <w:rsid w:val="6D8A1896"/>
    <w:rsid w:val="6DB00916"/>
    <w:rsid w:val="6DB12CE1"/>
    <w:rsid w:val="6E155718"/>
    <w:rsid w:val="6E3F1298"/>
    <w:rsid w:val="6E503ECB"/>
    <w:rsid w:val="6EA5545B"/>
    <w:rsid w:val="6EB57C57"/>
    <w:rsid w:val="6EDF4CA9"/>
    <w:rsid w:val="6EFE2C63"/>
    <w:rsid w:val="6F12510C"/>
    <w:rsid w:val="6F286854"/>
    <w:rsid w:val="6F302D5C"/>
    <w:rsid w:val="6F370661"/>
    <w:rsid w:val="6F6F5E03"/>
    <w:rsid w:val="6F976C0C"/>
    <w:rsid w:val="6FA05B34"/>
    <w:rsid w:val="6FA81EAF"/>
    <w:rsid w:val="6FAE6318"/>
    <w:rsid w:val="6FB579E6"/>
    <w:rsid w:val="6FD20CED"/>
    <w:rsid w:val="6FD9338F"/>
    <w:rsid w:val="6FED7DEC"/>
    <w:rsid w:val="6FEE6B40"/>
    <w:rsid w:val="701F0A66"/>
    <w:rsid w:val="7023220A"/>
    <w:rsid w:val="702D43A0"/>
    <w:rsid w:val="70324E9C"/>
    <w:rsid w:val="70624D86"/>
    <w:rsid w:val="708C052C"/>
    <w:rsid w:val="70A44137"/>
    <w:rsid w:val="70AC7790"/>
    <w:rsid w:val="70B34FC2"/>
    <w:rsid w:val="70BE64A9"/>
    <w:rsid w:val="70C867C3"/>
    <w:rsid w:val="70E02AE9"/>
    <w:rsid w:val="70EB1FE4"/>
    <w:rsid w:val="70F10B01"/>
    <w:rsid w:val="70FC1472"/>
    <w:rsid w:val="71021CC5"/>
    <w:rsid w:val="710E4444"/>
    <w:rsid w:val="71131C41"/>
    <w:rsid w:val="71180460"/>
    <w:rsid w:val="71187E18"/>
    <w:rsid w:val="711F6B21"/>
    <w:rsid w:val="713B3F5B"/>
    <w:rsid w:val="715E11B3"/>
    <w:rsid w:val="7161057A"/>
    <w:rsid w:val="71652874"/>
    <w:rsid w:val="71693A22"/>
    <w:rsid w:val="7194055A"/>
    <w:rsid w:val="7197530F"/>
    <w:rsid w:val="7199497E"/>
    <w:rsid w:val="719D5991"/>
    <w:rsid w:val="719E65C0"/>
    <w:rsid w:val="71A84817"/>
    <w:rsid w:val="71AA59D8"/>
    <w:rsid w:val="71AE37DD"/>
    <w:rsid w:val="71C60812"/>
    <w:rsid w:val="71C94D0C"/>
    <w:rsid w:val="71CA7F29"/>
    <w:rsid w:val="71D35E01"/>
    <w:rsid w:val="71DF1931"/>
    <w:rsid w:val="71F3764F"/>
    <w:rsid w:val="720C0A94"/>
    <w:rsid w:val="722918C7"/>
    <w:rsid w:val="724C4B27"/>
    <w:rsid w:val="72563E57"/>
    <w:rsid w:val="72782748"/>
    <w:rsid w:val="727B3A2F"/>
    <w:rsid w:val="72930C07"/>
    <w:rsid w:val="729E1C08"/>
    <w:rsid w:val="72A94C76"/>
    <w:rsid w:val="72AE14BC"/>
    <w:rsid w:val="72E81400"/>
    <w:rsid w:val="72EF0E11"/>
    <w:rsid w:val="7324782C"/>
    <w:rsid w:val="73381413"/>
    <w:rsid w:val="733F16ED"/>
    <w:rsid w:val="736C1419"/>
    <w:rsid w:val="7379515C"/>
    <w:rsid w:val="739363B5"/>
    <w:rsid w:val="73A02682"/>
    <w:rsid w:val="73A67DEC"/>
    <w:rsid w:val="73CE0DE5"/>
    <w:rsid w:val="73D21C9B"/>
    <w:rsid w:val="73DA68C4"/>
    <w:rsid w:val="743471AD"/>
    <w:rsid w:val="746B64B2"/>
    <w:rsid w:val="74AA6D8C"/>
    <w:rsid w:val="750D1617"/>
    <w:rsid w:val="7510653F"/>
    <w:rsid w:val="753D2656"/>
    <w:rsid w:val="755E40D6"/>
    <w:rsid w:val="755E73D2"/>
    <w:rsid w:val="75672174"/>
    <w:rsid w:val="756B594D"/>
    <w:rsid w:val="756E0877"/>
    <w:rsid w:val="758B20DF"/>
    <w:rsid w:val="75904ECF"/>
    <w:rsid w:val="75A26F3E"/>
    <w:rsid w:val="75AF281E"/>
    <w:rsid w:val="75D21089"/>
    <w:rsid w:val="75E01120"/>
    <w:rsid w:val="75EE49DD"/>
    <w:rsid w:val="75F544CD"/>
    <w:rsid w:val="76042260"/>
    <w:rsid w:val="761A1D28"/>
    <w:rsid w:val="761F7032"/>
    <w:rsid w:val="76294598"/>
    <w:rsid w:val="762A3D1F"/>
    <w:rsid w:val="76353186"/>
    <w:rsid w:val="76BF48A8"/>
    <w:rsid w:val="76D334C0"/>
    <w:rsid w:val="76D34C50"/>
    <w:rsid w:val="76EC5C67"/>
    <w:rsid w:val="770A03DA"/>
    <w:rsid w:val="7726628B"/>
    <w:rsid w:val="773227F2"/>
    <w:rsid w:val="77540FAF"/>
    <w:rsid w:val="778A648B"/>
    <w:rsid w:val="77913282"/>
    <w:rsid w:val="779D4B79"/>
    <w:rsid w:val="77BD2AB1"/>
    <w:rsid w:val="77BE319D"/>
    <w:rsid w:val="77C03C48"/>
    <w:rsid w:val="77C81353"/>
    <w:rsid w:val="77D23442"/>
    <w:rsid w:val="77DC5D5F"/>
    <w:rsid w:val="77EA072E"/>
    <w:rsid w:val="7804648E"/>
    <w:rsid w:val="782C45C4"/>
    <w:rsid w:val="78315767"/>
    <w:rsid w:val="783D61F0"/>
    <w:rsid w:val="78656BA2"/>
    <w:rsid w:val="78801C2E"/>
    <w:rsid w:val="78896982"/>
    <w:rsid w:val="788D6578"/>
    <w:rsid w:val="788E1E72"/>
    <w:rsid w:val="78BD3C5A"/>
    <w:rsid w:val="7902067B"/>
    <w:rsid w:val="79101F7F"/>
    <w:rsid w:val="7913244B"/>
    <w:rsid w:val="79305DE5"/>
    <w:rsid w:val="79316DC3"/>
    <w:rsid w:val="79501D35"/>
    <w:rsid w:val="79545EAB"/>
    <w:rsid w:val="795F776C"/>
    <w:rsid w:val="79F56A28"/>
    <w:rsid w:val="7A2802A2"/>
    <w:rsid w:val="7A3948BE"/>
    <w:rsid w:val="7A3B4D7B"/>
    <w:rsid w:val="7A461715"/>
    <w:rsid w:val="7A512A5B"/>
    <w:rsid w:val="7A5A6C0E"/>
    <w:rsid w:val="7A5B1848"/>
    <w:rsid w:val="7ACC5E08"/>
    <w:rsid w:val="7ACD16D4"/>
    <w:rsid w:val="7ADA2B91"/>
    <w:rsid w:val="7B1351FE"/>
    <w:rsid w:val="7B155D5E"/>
    <w:rsid w:val="7B2F423E"/>
    <w:rsid w:val="7B307A21"/>
    <w:rsid w:val="7B322C0B"/>
    <w:rsid w:val="7B5641DA"/>
    <w:rsid w:val="7B5B342E"/>
    <w:rsid w:val="7B8374D3"/>
    <w:rsid w:val="7BC30955"/>
    <w:rsid w:val="7BEE5100"/>
    <w:rsid w:val="7C303A3C"/>
    <w:rsid w:val="7C3A4FFE"/>
    <w:rsid w:val="7C52619B"/>
    <w:rsid w:val="7C6147CD"/>
    <w:rsid w:val="7C8037C3"/>
    <w:rsid w:val="7C9016F2"/>
    <w:rsid w:val="7C9D15CC"/>
    <w:rsid w:val="7CB24CDF"/>
    <w:rsid w:val="7CC77903"/>
    <w:rsid w:val="7CEA186A"/>
    <w:rsid w:val="7D0E48B2"/>
    <w:rsid w:val="7D106639"/>
    <w:rsid w:val="7D2A03BA"/>
    <w:rsid w:val="7D2F586A"/>
    <w:rsid w:val="7D59469C"/>
    <w:rsid w:val="7D763D65"/>
    <w:rsid w:val="7D7D6F8B"/>
    <w:rsid w:val="7D817EAD"/>
    <w:rsid w:val="7D9404CA"/>
    <w:rsid w:val="7DBF4FA6"/>
    <w:rsid w:val="7DE8003E"/>
    <w:rsid w:val="7E170C78"/>
    <w:rsid w:val="7E194E30"/>
    <w:rsid w:val="7E385711"/>
    <w:rsid w:val="7E527BC8"/>
    <w:rsid w:val="7E5966E4"/>
    <w:rsid w:val="7EC548B1"/>
    <w:rsid w:val="7ECB3A5A"/>
    <w:rsid w:val="7EDE6211"/>
    <w:rsid w:val="7F180580"/>
    <w:rsid w:val="7F2E23E3"/>
    <w:rsid w:val="7F312DB6"/>
    <w:rsid w:val="7F3C6183"/>
    <w:rsid w:val="7F467665"/>
    <w:rsid w:val="7F4C75B4"/>
    <w:rsid w:val="7F5726A5"/>
    <w:rsid w:val="7F6672C3"/>
    <w:rsid w:val="7F6A6A16"/>
    <w:rsid w:val="7F782AAB"/>
    <w:rsid w:val="7F8568B5"/>
    <w:rsid w:val="7F873EFC"/>
    <w:rsid w:val="7FC97150"/>
    <w:rsid w:val="7FE36C08"/>
    <w:rsid w:val="7FEC5801"/>
    <w:rsid w:val="7FF16DB7"/>
    <w:rsid w:val="7FF5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adjustRightInd w:val="0"/>
      <w:snapToGrid w:val="0"/>
      <w:spacing w:line="360" w:lineRule="auto"/>
      <w:jc w:val="left"/>
      <w:outlineLvl w:val="1"/>
    </w:pPr>
    <w:rPr>
      <w:rFonts w:ascii="Arial" w:hAnsi="Arial"/>
      <w:b/>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qFormat/>
    <w:uiPriority w:val="9"/>
    <w:pPr>
      <w:keepNext/>
      <w:keepLines/>
      <w:spacing w:line="360" w:lineRule="auto"/>
      <w:jc w:val="left"/>
      <w:outlineLvl w:val="3"/>
    </w:pPr>
    <w:rPr>
      <w:rFonts w:ascii="Arial" w:hAnsi="Arial"/>
      <w:b/>
      <w:kern w:val="0"/>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4"/>
    <w:qFormat/>
    <w:uiPriority w:val="0"/>
    <w:pPr>
      <w:jc w:val="left"/>
    </w:pPr>
  </w:style>
  <w:style w:type="paragraph" w:styleId="7">
    <w:name w:val="Body Text"/>
    <w:basedOn w:val="1"/>
    <w:next w:val="1"/>
    <w:unhideWhenUsed/>
    <w:qFormat/>
    <w:uiPriority w:val="99"/>
    <w:pPr>
      <w:spacing w:after="120"/>
    </w:pPr>
    <w:rPr>
      <w:kern w:val="0"/>
      <w:sz w:val="20"/>
    </w:rPr>
  </w:style>
  <w:style w:type="paragraph" w:styleId="8">
    <w:name w:val="toc 3"/>
    <w:basedOn w:val="1"/>
    <w:next w:val="1"/>
    <w:qFormat/>
    <w:uiPriority w:val="0"/>
    <w:pPr>
      <w:ind w:left="840" w:leftChars="400"/>
    </w:pPr>
  </w:style>
  <w:style w:type="paragraph" w:styleId="9">
    <w:name w:val="Balloon Text"/>
    <w:basedOn w:val="1"/>
    <w:link w:val="46"/>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jc w:val="left"/>
    </w:pPr>
    <w:rPr>
      <w:rFonts w:cs="Times New Roman"/>
      <w:kern w:val="0"/>
      <w:sz w:val="24"/>
    </w:rPr>
  </w:style>
  <w:style w:type="paragraph" w:styleId="15">
    <w:name w:val="annotation subject"/>
    <w:basedOn w:val="6"/>
    <w:next w:val="6"/>
    <w:link w:val="45"/>
    <w:qFormat/>
    <w:uiPriority w:val="0"/>
    <w:rPr>
      <w:b/>
      <w:bCs/>
    </w:rPr>
  </w:style>
  <w:style w:type="paragraph" w:styleId="16">
    <w:name w:val="Body Text First Indent"/>
    <w:basedOn w:val="7"/>
    <w:unhideWhenUsed/>
    <w:qFormat/>
    <w:uiPriority w:val="99"/>
    <w:pPr>
      <w:ind w:firstLine="420"/>
    </w:pPr>
    <w:rPr>
      <w:kern w:val="2"/>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771CAA"/>
      <w:u w:val="none"/>
    </w:rPr>
  </w:style>
  <w:style w:type="character" w:styleId="22">
    <w:name w:val="Emphasis"/>
    <w:basedOn w:val="19"/>
    <w:qFormat/>
    <w:uiPriority w:val="0"/>
    <w:rPr>
      <w:color w:val="F73131"/>
    </w:rPr>
  </w:style>
  <w:style w:type="character" w:styleId="23">
    <w:name w:val="Hyperlink"/>
    <w:basedOn w:val="19"/>
    <w:qFormat/>
    <w:uiPriority w:val="0"/>
    <w:rPr>
      <w:color w:val="2440B3"/>
      <w:u w:val="none"/>
    </w:rPr>
  </w:style>
  <w:style w:type="character" w:styleId="24">
    <w:name w:val="annotation reference"/>
    <w:basedOn w:val="19"/>
    <w:qFormat/>
    <w:uiPriority w:val="0"/>
    <w:rPr>
      <w:sz w:val="21"/>
      <w:szCs w:val="21"/>
    </w:rPr>
  </w:style>
  <w:style w:type="character" w:styleId="25">
    <w:name w:val="HTML Cite"/>
    <w:basedOn w:val="19"/>
    <w:qFormat/>
    <w:uiPriority w:val="0"/>
    <w:rPr>
      <w:color w:val="008000"/>
    </w:rPr>
  </w:style>
  <w:style w:type="paragraph" w:customStyle="1" w:styleId="26">
    <w:name w:val="表格"/>
    <w:basedOn w:val="27"/>
    <w:qFormat/>
    <w:uiPriority w:val="0"/>
  </w:style>
  <w:style w:type="paragraph" w:customStyle="1" w:styleId="27">
    <w:name w:val="表格1"/>
    <w:basedOn w:val="28"/>
    <w:qFormat/>
    <w:uiPriority w:val="0"/>
    <w:pPr>
      <w:spacing w:before="31" w:after="31"/>
    </w:pPr>
    <w:rPr>
      <w:rFonts w:cs="Times New Roman"/>
      <w:sz w:val="21"/>
      <w:szCs w:val="21"/>
    </w:rPr>
  </w:style>
  <w:style w:type="paragraph" w:customStyle="1" w:styleId="28">
    <w:name w:val="表中ZG01"/>
    <w:basedOn w:val="1"/>
    <w:qFormat/>
    <w:uiPriority w:val="0"/>
    <w:pPr>
      <w:adjustRightInd w:val="0"/>
      <w:snapToGrid w:val="0"/>
      <w:spacing w:beforeLines="10" w:afterLines="10"/>
      <w:jc w:val="center"/>
      <w:textAlignment w:val="center"/>
    </w:pPr>
    <w:rPr>
      <w:rFonts w:cs="宋体"/>
      <w:snapToGrid w:val="0"/>
      <w:sz w:val="18"/>
      <w:szCs w:val="18"/>
    </w:rPr>
  </w:style>
  <w:style w:type="paragraph" w:customStyle="1" w:styleId="29">
    <w:name w:val="表格文字居中"/>
    <w:basedOn w:val="1"/>
    <w:qFormat/>
    <w:uiPriority w:val="0"/>
    <w:pPr>
      <w:adjustRightInd w:val="0"/>
      <w:snapToGrid w:val="0"/>
      <w:textAlignment w:val="center"/>
    </w:pPr>
    <w:rPr>
      <w:rFonts w:ascii="宋体" w:hAnsi="宋体"/>
      <w:snapToGrid w:val="0"/>
      <w:color w:val="000000"/>
      <w:spacing w:val="12"/>
      <w:kern w:val="0"/>
    </w:rPr>
  </w:style>
  <w:style w:type="paragraph" w:styleId="30">
    <w:name w:val="No Spacing"/>
    <w:qFormat/>
    <w:uiPriority w:val="1"/>
    <w:rPr>
      <w:rFonts w:ascii="Calibri" w:hAnsi="Calibri" w:eastAsia="宋体" w:cs="Times New Roman"/>
      <w:sz w:val="22"/>
      <w:szCs w:val="22"/>
      <w:lang w:val="en-US" w:eastAsia="zh-CN" w:bidi="ar-SA"/>
    </w:rPr>
  </w:style>
  <w:style w:type="paragraph" w:customStyle="1" w:styleId="31">
    <w:name w:val="正文1"/>
    <w:basedOn w:val="32"/>
    <w:qFormat/>
    <w:uiPriority w:val="0"/>
  </w:style>
  <w:style w:type="paragraph" w:customStyle="1" w:styleId="32">
    <w:name w:val="样式1"/>
    <w:basedOn w:val="1"/>
    <w:link w:val="39"/>
    <w:qFormat/>
    <w:uiPriority w:val="0"/>
    <w:pPr>
      <w:spacing w:line="360" w:lineRule="auto"/>
      <w:ind w:firstLine="480" w:firstLineChars="200"/>
    </w:pPr>
    <w:rPr>
      <w:sz w:val="24"/>
    </w:rPr>
  </w:style>
  <w:style w:type="character" w:customStyle="1" w:styleId="33">
    <w:name w:val="c-icon30"/>
    <w:basedOn w:val="19"/>
    <w:qFormat/>
    <w:uiPriority w:val="0"/>
  </w:style>
  <w:style w:type="character" w:customStyle="1" w:styleId="34">
    <w:name w:val="hover28"/>
    <w:basedOn w:val="19"/>
    <w:qFormat/>
    <w:uiPriority w:val="0"/>
  </w:style>
  <w:style w:type="character" w:customStyle="1" w:styleId="35">
    <w:name w:val="hover29"/>
    <w:basedOn w:val="19"/>
    <w:qFormat/>
    <w:uiPriority w:val="0"/>
    <w:rPr>
      <w:color w:val="315EFB"/>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9">
    <w:name w:val="样式1 Char"/>
    <w:basedOn w:val="19"/>
    <w:link w:val="32"/>
    <w:qFormat/>
    <w:uiPriority w:val="0"/>
    <w:rPr>
      <w:sz w:val="24"/>
      <w:szCs w:val="24"/>
    </w:rPr>
  </w:style>
  <w:style w:type="paragraph" w:customStyle="1" w:styleId="40">
    <w:name w:val="表头"/>
    <w:basedOn w:val="41"/>
    <w:qFormat/>
    <w:uiPriority w:val="0"/>
  </w:style>
  <w:style w:type="paragraph" w:customStyle="1" w:styleId="41">
    <w:name w:val="表头1"/>
    <w:basedOn w:val="42"/>
    <w:qFormat/>
    <w:uiPriority w:val="0"/>
    <w:pPr>
      <w:spacing w:before="120" w:after="156"/>
    </w:pPr>
    <w:rPr>
      <w:snapToGrid/>
      <w:color w:val="000000"/>
      <w:spacing w:val="0"/>
      <w:kern w:val="2"/>
      <w:szCs w:val="21"/>
    </w:rPr>
  </w:style>
  <w:style w:type="paragraph" w:customStyle="1" w:styleId="42">
    <w:name w:val="表名"/>
    <w:basedOn w:val="1"/>
    <w:qFormat/>
    <w:uiPriority w:val="0"/>
    <w:pPr>
      <w:adjustRightInd w:val="0"/>
      <w:snapToGrid w:val="0"/>
      <w:spacing w:before="240" w:afterLines="50" w:line="460" w:lineRule="atLeast"/>
      <w:jc w:val="center"/>
      <w:textAlignment w:val="center"/>
    </w:pPr>
    <w:rPr>
      <w:rFonts w:eastAsia="黑体"/>
      <w:snapToGrid w:val="0"/>
      <w:spacing w:val="12"/>
      <w:kern w:val="0"/>
    </w:rPr>
  </w:style>
  <w:style w:type="character" w:customStyle="1" w:styleId="43">
    <w:name w:val="unnamed11"/>
    <w:basedOn w:val="19"/>
    <w:qFormat/>
    <w:uiPriority w:val="0"/>
    <w:rPr>
      <w:rFonts w:hint="default" w:ascii="_x000B__x000C_" w:hAnsi="_x000B__x000C_"/>
      <w:sz w:val="20"/>
      <w:u w:val="none"/>
    </w:rPr>
  </w:style>
  <w:style w:type="character" w:customStyle="1" w:styleId="44">
    <w:name w:val="批注文字 字符"/>
    <w:basedOn w:val="19"/>
    <w:link w:val="6"/>
    <w:qFormat/>
    <w:uiPriority w:val="0"/>
    <w:rPr>
      <w:rFonts w:asciiTheme="minorHAnsi" w:hAnsiTheme="minorHAnsi" w:eastAsiaTheme="minorEastAsia" w:cstheme="minorBidi"/>
      <w:kern w:val="2"/>
      <w:sz w:val="21"/>
      <w:szCs w:val="24"/>
    </w:rPr>
  </w:style>
  <w:style w:type="character" w:customStyle="1" w:styleId="45">
    <w:name w:val="批注主题 字符"/>
    <w:basedOn w:val="44"/>
    <w:link w:val="15"/>
    <w:qFormat/>
    <w:uiPriority w:val="0"/>
    <w:rPr>
      <w:rFonts w:asciiTheme="minorHAnsi" w:hAnsiTheme="minorHAnsi" w:eastAsiaTheme="minorEastAsia" w:cstheme="minorBidi"/>
      <w:b/>
      <w:bCs/>
      <w:kern w:val="2"/>
      <w:sz w:val="21"/>
      <w:szCs w:val="24"/>
    </w:rPr>
  </w:style>
  <w:style w:type="character" w:customStyle="1" w:styleId="46">
    <w:name w:val="批注框文本 字符"/>
    <w:basedOn w:val="19"/>
    <w:link w:val="9"/>
    <w:qFormat/>
    <w:uiPriority w:val="0"/>
    <w:rPr>
      <w:rFonts w:asciiTheme="minorHAnsi" w:hAnsiTheme="minorHAnsi" w:eastAsiaTheme="minorEastAsia" w:cstheme="minorBidi"/>
      <w:kern w:val="2"/>
      <w:sz w:val="18"/>
      <w:szCs w:val="18"/>
    </w:rPr>
  </w:style>
  <w:style w:type="paragraph" w:customStyle="1" w:styleId="47">
    <w:name w:val="表格内容"/>
    <w:basedOn w:val="1"/>
    <w:qFormat/>
    <w:uiPriority w:val="0"/>
    <w:pPr>
      <w:snapToGrid w:val="0"/>
      <w:jc w:val="center"/>
    </w:pPr>
  </w:style>
  <w:style w:type="paragraph" w:customStyle="1" w:styleId="48">
    <w:name w:val="二级条标题"/>
    <w:basedOn w:val="49"/>
    <w:next w:val="1"/>
    <w:qFormat/>
    <w:uiPriority w:val="0"/>
    <w:pPr>
      <w:numPr>
        <w:ilvl w:val="2"/>
      </w:numPr>
      <w:spacing w:before="50" w:after="50"/>
      <w:outlineLvl w:val="3"/>
    </w:pPr>
  </w:style>
  <w:style w:type="paragraph" w:customStyle="1" w:styleId="49">
    <w:name w:val="一级条标题"/>
    <w:next w:val="50"/>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5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1">
    <w:name w:val="章标题"/>
    <w:next w:val="50"/>
    <w:qFormat/>
    <w:uiPriority w:val="0"/>
    <w:p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5328</Words>
  <Characters>7151</Characters>
  <Lines>241</Lines>
  <Paragraphs>68</Paragraphs>
  <TotalTime>0</TotalTime>
  <ScaleCrop>false</ScaleCrop>
  <LinksUpToDate>false</LinksUpToDate>
  <CharactersWithSpaces>7493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2021-07-31T08:43:00Z</dcterms:created>
  <dc:creator>Administrator</dc:creator>
  <cp:lastModifiedBy>杨鑫</cp:lastModifiedBy>
  <cp:lastPrinted>2021-08-21T10:41:00Z</cp:lastPrinted>
  <dcterms:modified xsi:type="dcterms:W3CDTF">2025-06-18T07:00:21Z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D6584A52529E4186A9373A609B6B19C0_13</vt:lpwstr>
  </property>
  <property fmtid="{D5CDD505-2E9C-101B-9397-08002B2CF9AE}" pid="4" name="KSOTemplateDocerSaveRecord">
    <vt:lpwstr>eyJoZGlkIjoiMzEwNTM5NzYwMDRjMzkwZTVkZjY2ODkwMGIxNGU0OTUiLCJ1c2VySWQiOiIzNTgxOTEwODgifQ==</vt:lpwstr>
  </property>
</Properties>
</file>