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简体"/>
          <w:sz w:val="44"/>
          <w:szCs w:val="44"/>
        </w:rPr>
      </w:pPr>
      <w:r>
        <w:rPr>
          <w:rFonts w:hint="eastAsia" w:eastAsia="方正小标宋简体"/>
          <w:sz w:val="44"/>
          <w:szCs w:val="44"/>
        </w:rPr>
        <w:t>202</w:t>
      </w:r>
      <w:r>
        <w:rPr>
          <w:rFonts w:hint="eastAsia" w:eastAsia="方正小标宋简体"/>
          <w:sz w:val="44"/>
          <w:szCs w:val="44"/>
          <w:lang w:val="en-US" w:eastAsia="zh-CN"/>
        </w:rPr>
        <w:t>4</w:t>
      </w:r>
      <w:r>
        <w:rPr>
          <w:rFonts w:hint="eastAsia" w:eastAsia="方正小标宋简体"/>
          <w:sz w:val="44"/>
          <w:szCs w:val="44"/>
        </w:rPr>
        <w:t>年度贵州省科学技术奖推荐公示内容</w:t>
      </w:r>
    </w:p>
    <w:p>
      <w:pPr>
        <w:rPr>
          <w:rFonts w:ascii="宋体" w:hAnsi="宋体"/>
          <w:b/>
          <w:bCs/>
          <w:sz w:val="28"/>
          <w:szCs w:val="28"/>
        </w:rPr>
      </w:pP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脱硫橡胶和废旧塑料复合改性沥青关键技术及工程应用</w:t>
      </w:r>
    </w:p>
    <w:p>
      <w:pPr>
        <w:spacing w:line="240" w:lineRule="auto"/>
        <w:ind w:firstLine="640" w:firstLineChars="200"/>
        <w:rPr>
          <w:rFonts w:ascii="黑体" w:hAnsi="黑体" w:eastAsia="黑体" w:cs="黑体"/>
          <w:sz w:val="32"/>
          <w:szCs w:val="32"/>
          <w:highlight w:val="none"/>
        </w:rPr>
      </w:pPr>
      <w:r>
        <w:rPr>
          <w:rFonts w:ascii="黑体" w:hAnsi="黑体" w:eastAsia="黑体" w:cs="黑体"/>
          <w:sz w:val="32"/>
          <w:szCs w:val="32"/>
          <w:highlight w:val="none"/>
        </w:rPr>
        <w:t>二、推荐单位</w:t>
      </w:r>
    </w:p>
    <w:p>
      <w:pPr>
        <w:spacing w:line="24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贵州省交通运输厅</w:t>
      </w:r>
    </w:p>
    <w:p>
      <w:pPr>
        <w:spacing w:line="240" w:lineRule="auto"/>
        <w:ind w:firstLine="640" w:firstLineChars="200"/>
        <w:rPr>
          <w:rFonts w:ascii="黑体" w:hAnsi="黑体" w:eastAsia="黑体" w:cs="黑体"/>
          <w:sz w:val="32"/>
          <w:szCs w:val="32"/>
          <w:highlight w:val="none"/>
        </w:rPr>
      </w:pPr>
      <w:r>
        <w:rPr>
          <w:rFonts w:ascii="黑体" w:hAnsi="黑体" w:eastAsia="黑体" w:cs="黑体"/>
          <w:sz w:val="32"/>
          <w:szCs w:val="32"/>
          <w:highlight w:val="none"/>
        </w:rPr>
        <w:t>三、推荐等级</w:t>
      </w:r>
    </w:p>
    <w:p>
      <w:pPr>
        <w:spacing w:line="24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贵州省科技进步奖二等奖、三等奖</w:t>
      </w:r>
    </w:p>
    <w:p>
      <w:pPr>
        <w:spacing w:line="240" w:lineRule="auto"/>
        <w:ind w:firstLine="640" w:firstLineChars="200"/>
        <w:rPr>
          <w:rFonts w:ascii="黑体" w:hAnsi="黑体" w:eastAsia="黑体" w:cs="黑体"/>
          <w:sz w:val="32"/>
          <w:szCs w:val="32"/>
          <w:highlight w:val="none"/>
        </w:rPr>
      </w:pPr>
      <w:r>
        <w:rPr>
          <w:rFonts w:ascii="黑体" w:hAnsi="黑体" w:eastAsia="黑体" w:cs="黑体"/>
          <w:sz w:val="32"/>
          <w:szCs w:val="32"/>
          <w:highlight w:val="none"/>
        </w:rPr>
        <w:t>四、</w:t>
      </w:r>
      <w:r>
        <w:rPr>
          <w:rFonts w:hint="eastAsia" w:ascii="黑体" w:hAnsi="黑体" w:eastAsia="黑体" w:cs="黑体"/>
          <w:sz w:val="32"/>
          <w:szCs w:val="32"/>
          <w:highlight w:val="none"/>
        </w:rPr>
        <w:t>主要完成人</w:t>
      </w:r>
    </w:p>
    <w:p>
      <w:pPr>
        <w:spacing w:line="240" w:lineRule="auto"/>
        <w:ind w:firstLine="640" w:firstLineChars="200"/>
        <w:rPr>
          <w:rFonts w:hint="eastAsia" w:ascii="仿宋_GB2312" w:eastAsia="仿宋_GB2312" w:cs="Times New Roman"/>
          <w:sz w:val="32"/>
          <w:szCs w:val="32"/>
          <w:highlight w:val="none"/>
          <w:lang w:val="en-US" w:eastAsia="zh-CN"/>
        </w:rPr>
      </w:pPr>
      <w:r>
        <w:rPr>
          <w:rFonts w:hint="eastAsia" w:ascii="仿宋_GB2312" w:eastAsia="仿宋_GB2312" w:cs="Times New Roman"/>
          <w:sz w:val="32"/>
          <w:szCs w:val="32"/>
          <w:highlight w:val="none"/>
          <w:lang w:val="en-US" w:eastAsia="zh-CN"/>
        </w:rPr>
        <w:t>林昌顺、杨万林、徐明进、周刚、唐乃膨、</w:t>
      </w:r>
      <w:r>
        <w:rPr>
          <w:rFonts w:hint="eastAsia" w:ascii="仿宋_GB2312" w:eastAsia="仿宋_GB2312" w:cs="Times New Roman"/>
          <w:sz w:val="32"/>
          <w:szCs w:val="32"/>
          <w:highlight w:val="none"/>
        </w:rPr>
        <w:t>梁茂然</w:t>
      </w:r>
      <w:r>
        <w:rPr>
          <w:rFonts w:hint="eastAsia" w:ascii="仿宋_GB2312" w:eastAsia="仿宋_GB2312" w:cs="Times New Roman"/>
          <w:sz w:val="32"/>
          <w:szCs w:val="32"/>
          <w:highlight w:val="none"/>
          <w:lang w:val="en-US" w:eastAsia="zh-CN"/>
        </w:rPr>
        <w:t>、杨择</w:t>
      </w:r>
    </w:p>
    <w:p>
      <w:pPr>
        <w:spacing w:line="240" w:lineRule="auto"/>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五</w:t>
      </w:r>
      <w:r>
        <w:rPr>
          <w:rFonts w:ascii="黑体" w:hAnsi="黑体" w:eastAsia="黑体" w:cs="黑体"/>
          <w:sz w:val="32"/>
          <w:szCs w:val="32"/>
          <w:highlight w:val="none"/>
        </w:rPr>
        <w:t>、</w:t>
      </w:r>
      <w:r>
        <w:rPr>
          <w:rFonts w:hint="eastAsia" w:ascii="黑体" w:hAnsi="黑体" w:eastAsia="黑体" w:cs="黑体"/>
          <w:sz w:val="32"/>
          <w:szCs w:val="32"/>
          <w:highlight w:val="none"/>
        </w:rPr>
        <w:t>主要完成单位</w:t>
      </w:r>
    </w:p>
    <w:p>
      <w:pPr>
        <w:spacing w:line="240" w:lineRule="auto"/>
        <w:ind w:firstLine="640" w:firstLineChars="200"/>
        <w:rPr>
          <w:rFonts w:hint="default"/>
          <w:highlight w:val="none"/>
          <w:lang w:val="en-US" w:eastAsia="zh-CN"/>
        </w:rPr>
      </w:pPr>
      <w:r>
        <w:rPr>
          <w:rFonts w:hint="eastAsia" w:ascii="仿宋_GB2312" w:eastAsia="仿宋_GB2312" w:cs="Times New Roman"/>
          <w:sz w:val="32"/>
          <w:szCs w:val="32"/>
          <w:highlight w:val="none"/>
          <w:lang w:val="en-US" w:eastAsia="zh-CN"/>
        </w:rPr>
        <w:t>贵阳市城市发展投资集团股份有限公司、贵州筑城恒创建设工程有限公司、重庆交通大学、贵州恒创建设工程有限公司</w:t>
      </w:r>
    </w:p>
    <w:p>
      <w:pPr>
        <w:spacing w:line="240" w:lineRule="auto"/>
        <w:ind w:firstLine="640" w:firstLineChars="200"/>
        <w:rPr>
          <w:rFonts w:ascii="黑体" w:hAnsi="黑体" w:eastAsia="黑体" w:cs="黑体"/>
          <w:sz w:val="32"/>
          <w:szCs w:val="32"/>
          <w:highlight w:val="none"/>
        </w:rPr>
      </w:pPr>
      <w:r>
        <w:rPr>
          <w:rFonts w:hint="eastAsia" w:ascii="黑体" w:hAnsi="黑体" w:eastAsia="黑体" w:cs="黑体"/>
          <w:sz w:val="32"/>
          <w:szCs w:val="32"/>
          <w:highlight w:val="none"/>
        </w:rPr>
        <w:t>六</w:t>
      </w:r>
      <w:r>
        <w:rPr>
          <w:rFonts w:ascii="黑体" w:hAnsi="黑体" w:eastAsia="黑体" w:cs="黑体"/>
          <w:sz w:val="32"/>
          <w:szCs w:val="32"/>
          <w:highlight w:val="none"/>
        </w:rPr>
        <w:t>、项目简介</w:t>
      </w:r>
      <w:r>
        <w:rPr>
          <w:rFonts w:hint="eastAsia" w:ascii="黑体" w:hAnsi="黑体" w:eastAsia="黑体" w:cs="黑体"/>
          <w:sz w:val="32"/>
          <w:szCs w:val="32"/>
          <w:highlight w:val="none"/>
        </w:rPr>
        <w:t>（不超过2000字）</w:t>
      </w:r>
    </w:p>
    <w:p>
      <w:pPr>
        <w:spacing w:line="24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本项目属于交通</w:t>
      </w:r>
      <w:r>
        <w:rPr>
          <w:rFonts w:hint="eastAsia" w:ascii="仿宋_GB2312" w:hAnsi="仿宋_GB2312" w:eastAsia="仿宋_GB2312" w:cs="仿宋_GB2312"/>
          <w:sz w:val="32"/>
          <w:szCs w:val="32"/>
          <w:highlight w:val="none"/>
          <w:lang w:eastAsia="zh-CN"/>
        </w:rPr>
        <w:t>运输</w:t>
      </w:r>
      <w:r>
        <w:rPr>
          <w:rFonts w:hint="eastAsia" w:ascii="仿宋_GB2312" w:hAnsi="仿宋_GB2312" w:eastAsia="仿宋_GB2312" w:cs="仿宋_GB2312"/>
          <w:sz w:val="32"/>
          <w:szCs w:val="32"/>
          <w:highlight w:val="none"/>
        </w:rPr>
        <w:t>工程领域</w:t>
      </w:r>
    </w:p>
    <w:p>
      <w:pPr>
        <w:spacing w:line="24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公路</w:t>
      </w:r>
      <w:r>
        <w:rPr>
          <w:rFonts w:hint="eastAsia" w:ascii="仿宋_GB2312" w:hAnsi="仿宋_GB2312" w:eastAsia="仿宋_GB2312" w:cs="仿宋_GB2312"/>
          <w:sz w:val="32"/>
          <w:szCs w:val="32"/>
          <w:highlight w:val="none"/>
        </w:rPr>
        <w:t>沥青路面普遍存在早期病害严重、耐久性能不足等问题，在通车</w:t>
      </w:r>
      <w:r>
        <w:rPr>
          <w:rFonts w:hint="eastAsia" w:ascii="仿宋_GB2312" w:hAnsi="仿宋_GB2312" w:eastAsia="仿宋_GB2312" w:cs="仿宋_GB2312"/>
          <w:sz w:val="32"/>
          <w:szCs w:val="32"/>
          <w:highlight w:val="none"/>
          <w:lang w:val="en-US" w:eastAsia="zh-CN"/>
        </w:rPr>
        <w:t>3-5</w:t>
      </w:r>
      <w:r>
        <w:rPr>
          <w:rFonts w:hint="eastAsia" w:ascii="仿宋_GB2312" w:hAnsi="仿宋_GB2312" w:eastAsia="仿宋_GB2312" w:cs="仿宋_GB2312"/>
          <w:sz w:val="32"/>
          <w:szCs w:val="32"/>
          <w:highlight w:val="none"/>
        </w:rPr>
        <w:t>年内便可能产生大量裂缝、车辙、坑槽、麻面等早期病害，导致沥青路面维修养护频繁、养护经费逐年增加</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尤其在重载、大交通量</w:t>
      </w:r>
      <w:r>
        <w:rPr>
          <w:rFonts w:hint="eastAsia" w:ascii="仿宋_GB2312" w:hAnsi="仿宋_GB2312" w:eastAsia="仿宋_GB2312" w:cs="仿宋_GB2312"/>
          <w:sz w:val="32"/>
          <w:szCs w:val="32"/>
          <w:highlight w:val="none"/>
          <w:lang w:val="en-US" w:eastAsia="zh-CN"/>
        </w:rPr>
        <w:t>等</w:t>
      </w:r>
      <w:r>
        <w:rPr>
          <w:rFonts w:hint="eastAsia" w:ascii="仿宋_GB2312" w:hAnsi="仿宋_GB2312" w:eastAsia="仿宋_GB2312" w:cs="仿宋_GB2312"/>
          <w:sz w:val="32"/>
          <w:szCs w:val="32"/>
          <w:highlight w:val="none"/>
        </w:rPr>
        <w:t>特殊地段由于沥青路面的破损，致使交通事故频发，造成巨大经济损失。同时随着工业化和城镇化的快速发展，环境问题日益凸显，其中，废旧橡胶和塑料不仅占据了大量土地资源，还带来了严重的土壤和水质污染问题。</w:t>
      </w:r>
    </w:p>
    <w:p>
      <w:pPr>
        <w:spacing w:line="24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为加快推进生态文明建设，实现绿色、循环、低碳发展，在国家自然科学基金青年项目</w:t>
      </w:r>
      <w:r>
        <w:rPr>
          <w:rFonts w:hint="eastAsia" w:ascii="仿宋_GB2312" w:hAnsi="仿宋_GB2312" w:eastAsia="仿宋_GB2312" w:cs="仿宋_GB2312"/>
          <w:sz w:val="32"/>
          <w:szCs w:val="32"/>
          <w:highlight w:val="none"/>
          <w:lang w:eastAsia="zh-CN"/>
        </w:rPr>
        <w:t>及</w:t>
      </w:r>
      <w:r>
        <w:rPr>
          <w:rFonts w:hint="eastAsia" w:ascii="仿宋_GB2312" w:hAnsi="仿宋_GB2312" w:eastAsia="仿宋_GB2312" w:cs="仿宋_GB2312"/>
          <w:sz w:val="32"/>
          <w:szCs w:val="32"/>
          <w:highlight w:val="none"/>
        </w:rPr>
        <w:t>贵阳市科学技术局科技项目的资助下，贵阳市城市发展投资集团股份有限公司联合贵州筑城恒创建设工程有限公司</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重庆交通大学</w:t>
      </w:r>
      <w:r>
        <w:rPr>
          <w:rFonts w:hint="eastAsia" w:ascii="仿宋_GB2312" w:hAnsi="仿宋_GB2312" w:eastAsia="仿宋_GB2312" w:cs="仿宋_GB2312"/>
          <w:sz w:val="32"/>
          <w:szCs w:val="32"/>
          <w:highlight w:val="none"/>
          <w:lang w:eastAsia="zh-CN"/>
        </w:rPr>
        <w:t>及贵州恒创建设工程有限公司</w:t>
      </w:r>
      <w:r>
        <w:rPr>
          <w:rFonts w:hint="eastAsia" w:ascii="仿宋_GB2312" w:hAnsi="仿宋_GB2312" w:eastAsia="仿宋_GB2312" w:cs="仿宋_GB2312"/>
          <w:sz w:val="32"/>
          <w:szCs w:val="32"/>
          <w:highlight w:val="none"/>
        </w:rPr>
        <w:t>进行了技术攻关，研究成果在理论、方法、应用等方面实现了重大突破，通过特殊工艺充分利用废旧轮胎和废旧塑料废弃物，制备出一种新型的高性能橡塑改性沥青，在具有普通橡胶沥青全部优点的基础上解决了普通橡胶沥青储存稳定性</w:t>
      </w:r>
      <w:r>
        <w:rPr>
          <w:rFonts w:hint="eastAsia" w:ascii="仿宋_GB2312" w:hAnsi="仿宋_GB2312" w:eastAsia="仿宋_GB2312" w:cs="仿宋_GB2312"/>
          <w:sz w:val="32"/>
          <w:szCs w:val="32"/>
          <w:highlight w:val="none"/>
          <w:lang w:eastAsia="zh-CN"/>
        </w:rPr>
        <w:t>及</w:t>
      </w:r>
      <w:r>
        <w:rPr>
          <w:rFonts w:hint="eastAsia" w:ascii="仿宋_GB2312" w:hAnsi="仿宋_GB2312" w:eastAsia="仿宋_GB2312" w:cs="仿宋_GB2312"/>
          <w:sz w:val="32"/>
          <w:szCs w:val="32"/>
          <w:highlight w:val="none"/>
        </w:rPr>
        <w:t>普通沥青路面早期病害严重、耐久性能不足等问题，为贵州公路沥青路面长寿命建设与发展</w:t>
      </w:r>
      <w:r>
        <w:rPr>
          <w:rFonts w:hint="eastAsia" w:ascii="仿宋_GB2312" w:hAnsi="仿宋_GB2312" w:eastAsia="仿宋_GB2312" w:cs="仿宋_GB2312"/>
          <w:sz w:val="32"/>
          <w:szCs w:val="32"/>
          <w:highlight w:val="none"/>
          <w:lang w:eastAsia="zh-CN"/>
        </w:rPr>
        <w:t>提供参考</w:t>
      </w:r>
      <w:r>
        <w:rPr>
          <w:rFonts w:hint="eastAsia" w:ascii="仿宋_GB2312" w:hAnsi="仿宋_GB2312" w:eastAsia="仿宋_GB2312" w:cs="仿宋_GB2312"/>
          <w:sz w:val="32"/>
          <w:szCs w:val="32"/>
          <w:highlight w:val="none"/>
        </w:rPr>
        <w:t>，主要创新成果如下：</w:t>
      </w:r>
    </w:p>
    <w:p>
      <w:pPr>
        <w:spacing w:line="240" w:lineRule="auto"/>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（一）提出了一种高导热橡胶复合改性沥青制备方法</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研究成果揭示了通过特殊工艺充分利用废旧轮胎和废旧塑料废弃物，制备出一种</w:t>
      </w:r>
      <w:r>
        <w:rPr>
          <w:rFonts w:hint="eastAsia" w:ascii="仿宋_GB2312" w:hAnsi="仿宋_GB2312" w:eastAsia="仿宋_GB2312" w:cs="仿宋_GB2312"/>
          <w:sz w:val="32"/>
          <w:szCs w:val="32"/>
          <w:lang w:val="en-US" w:eastAsia="zh-CN"/>
        </w:rPr>
        <w:t>绿色环保</w:t>
      </w:r>
      <w:r>
        <w:rPr>
          <w:rFonts w:hint="eastAsia" w:ascii="仿宋_GB2312" w:hAnsi="仿宋_GB2312" w:eastAsia="仿宋_GB2312" w:cs="仿宋_GB2312"/>
          <w:sz w:val="32"/>
          <w:szCs w:val="32"/>
        </w:rPr>
        <w:t>的新型高性能橡塑改性沥青。这项新技术不仅能充分利用废旧轮胎废弃物，还能解决橡胶沥青存在的施工离析问题、有效缓解施工过程中硫磺所致的异味问题</w:t>
      </w:r>
      <w:r>
        <w:rPr>
          <w:rFonts w:hint="eastAsia" w:ascii="仿宋_GB2312" w:hAnsi="仿宋_GB2312" w:eastAsia="仿宋_GB2312" w:cs="仿宋_GB2312"/>
          <w:sz w:val="32"/>
          <w:szCs w:val="32"/>
          <w:lang w:eastAsia="zh-CN"/>
        </w:rPr>
        <w:t>。</w:t>
      </w:r>
    </w:p>
    <w:p>
      <w:pPr>
        <w:spacing w:line="240" w:lineRule="auto"/>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（二）建立了胶粉改性沥青排放物的逃逸行为方程</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针对胶粉改性沥青的高温挥发问题，通过比较溶解性胶粉改性沥青、橡胶沥青、半脱硫胶粉改性沥青在制备方法、反应机理上的区别，并结合挥发物的化学组成分析，建立了胶粉改性沥青排放物的</w:t>
      </w:r>
      <w:r>
        <w:rPr>
          <w:rFonts w:hint="eastAsia" w:ascii="仿宋_GB2312" w:hAnsi="仿宋_GB2312" w:eastAsia="仿宋_GB2312" w:cs="仿宋_GB2312"/>
          <w:sz w:val="32"/>
          <w:szCs w:val="32"/>
          <w:lang w:val="en-US" w:eastAsia="zh-CN"/>
        </w:rPr>
        <w:t>快速-恒速两阶段</w:t>
      </w:r>
      <w:r>
        <w:rPr>
          <w:rFonts w:hint="eastAsia" w:ascii="仿宋_GB2312" w:hAnsi="仿宋_GB2312" w:eastAsia="仿宋_GB2312" w:cs="仿宋_GB2312"/>
          <w:sz w:val="32"/>
          <w:szCs w:val="32"/>
        </w:rPr>
        <w:t>逃逸行为方程</w:t>
      </w:r>
      <w:r>
        <w:rPr>
          <w:rFonts w:hint="eastAsia" w:ascii="仿宋_GB2312" w:hAnsi="仿宋_GB2312" w:eastAsia="仿宋_GB2312" w:cs="仿宋_GB2312"/>
          <w:sz w:val="32"/>
          <w:szCs w:val="32"/>
          <w:lang w:eastAsia="zh-CN"/>
        </w:rPr>
        <w:t>（</w:t>
      </w:r>
      <w:r>
        <w:drawing>
          <wp:inline distT="0" distB="0" distL="114300" distR="114300">
            <wp:extent cx="1402080" cy="245745"/>
            <wp:effectExtent l="0" t="0" r="762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1402080" cy="245745"/>
                    </a:xfrm>
                    <a:prstGeom prst="rect">
                      <a:avLst/>
                    </a:prstGeom>
                    <a:noFill/>
                    <a:ln>
                      <a:noFill/>
                    </a:ln>
                  </pic:spPr>
                </pic:pic>
              </a:graphicData>
            </a:graphic>
          </wp:inline>
        </w:drawing>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结合水-气界面通量理论阐明了胶粉改性沥青在使用过程的挥发物发生机理；重点对不同脱硫状态胶粉改性沥青在生产、存贮及施工阶段产生的有害挥发物进行量化研究，从有害挥发物的角度对不同的技术路线进行比较与选择，溶解性胶粉改性沥青较另外两种技术路线具有显著的环保优势；</w:t>
      </w:r>
      <w:r>
        <w:rPr>
          <w:rFonts w:hint="eastAsia" w:ascii="仿宋_GB2312" w:hAnsi="仿宋_GB2312" w:eastAsia="仿宋_GB2312" w:cs="仿宋_GB2312"/>
          <w:sz w:val="32"/>
          <w:szCs w:val="32"/>
          <w:highlight w:val="none"/>
        </w:rPr>
        <w:t>选择了两种醇类化合物、一种NaY型分子筛，开展了挥发物抑制研究，</w:t>
      </w:r>
      <w:r>
        <w:rPr>
          <w:rFonts w:hint="eastAsia" w:ascii="仿宋_GB2312" w:hAnsi="仿宋_GB2312" w:eastAsia="仿宋_GB2312" w:cs="仿宋_GB2312"/>
          <w:sz w:val="32"/>
          <w:szCs w:val="32"/>
        </w:rPr>
        <w:t>一定程度上减少了低沸点烷烃的排放。</w:t>
      </w:r>
    </w:p>
    <w:p>
      <w:pPr>
        <w:keepNext w:val="0"/>
        <w:keepLines w:val="0"/>
        <w:widowControl/>
        <w:suppressLineNumbers w:val="0"/>
        <w:spacing w:line="240" w:lineRule="auto"/>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w:t>
      </w:r>
      <w:r>
        <w:rPr>
          <w:rFonts w:hint="eastAsia" w:ascii="仿宋_GB2312" w:hAnsi="仿宋_GB2312" w:eastAsia="仿宋_GB2312" w:cs="仿宋_GB2312"/>
          <w:sz w:val="32"/>
          <w:szCs w:val="32"/>
          <w:lang w:eastAsia="zh-CN"/>
        </w:rPr>
        <w:t>科学技术部西南信息中心查新中心</w:t>
      </w:r>
      <w:r>
        <w:rPr>
          <w:rFonts w:hint="eastAsia" w:ascii="仿宋_GB2312" w:hAnsi="仿宋_GB2312" w:eastAsia="仿宋_GB2312" w:cs="仿宋_GB2312"/>
          <w:sz w:val="32"/>
          <w:szCs w:val="32"/>
        </w:rPr>
        <w:t>成果查新</w:t>
      </w:r>
      <w:r>
        <w:rPr>
          <w:rFonts w:hint="eastAsia" w:ascii="仿宋_GB2312" w:hAnsi="仿宋_GB2312" w:eastAsia="仿宋_GB2312" w:cs="仿宋_GB2312"/>
          <w:sz w:val="32"/>
          <w:szCs w:val="32"/>
          <w:lang w:eastAsia="zh-CN"/>
        </w:rPr>
        <w:t>显示：“</w:t>
      </w:r>
      <w:r>
        <w:rPr>
          <w:rFonts w:hint="eastAsia" w:ascii="仿宋_GB2312" w:hAnsi="仿宋_GB2312" w:eastAsia="仿宋_GB2312" w:cs="仿宋_GB2312"/>
          <w:sz w:val="32"/>
          <w:szCs w:val="32"/>
          <w:lang w:val="en-US" w:eastAsia="zh-CN"/>
        </w:rPr>
        <w:t>除本项目委托单位相关文献报道外，在所检文献以及时限范围内，国内外未见其他相同文献报道。本项目具有新颖性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。项目成果已发表学术论文5篇</w:t>
      </w:r>
      <w:r>
        <w:rPr>
          <w:rFonts w:hint="eastAsia" w:ascii="仿宋_GB2312" w:hAnsi="仿宋_GB2312" w:eastAsia="仿宋_GB2312" w:cs="仿宋_GB2312"/>
          <w:sz w:val="32"/>
          <w:szCs w:val="32"/>
          <w:lang w:eastAsia="zh-CN"/>
        </w:rPr>
        <w:t>，其中</w:t>
      </w:r>
      <w:r>
        <w:rPr>
          <w:rFonts w:hint="eastAsia" w:ascii="仿宋_GB2312" w:hAnsi="仿宋_GB2312" w:eastAsia="仿宋_GB2312" w:cs="仿宋_GB2312"/>
          <w:sz w:val="32"/>
          <w:szCs w:val="32"/>
          <w:lang w:val="en-US" w:eastAsia="zh-CN"/>
        </w:rPr>
        <w:t>SCI检索2篇</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其中</w:t>
      </w:r>
      <w:r>
        <w:rPr>
          <w:rFonts w:hint="eastAsia" w:ascii="仿宋_GB2312" w:hAnsi="仿宋_GB2312" w:eastAsia="仿宋_GB2312" w:cs="仿宋_GB2312"/>
          <w:sz w:val="32"/>
          <w:szCs w:val="32"/>
          <w:lang w:val="en-US" w:eastAsia="zh-CN"/>
        </w:rPr>
        <w:t>EI检索2篇</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中文核心论文</w:t>
      </w:r>
      <w:r>
        <w:rPr>
          <w:rFonts w:hint="eastAsia" w:ascii="仿宋_GB2312" w:hAnsi="仿宋_GB2312" w:eastAsia="仿宋_GB2312" w:cs="仿宋_GB2312"/>
          <w:sz w:val="32"/>
          <w:szCs w:val="32"/>
          <w:lang w:val="en-US" w:eastAsia="zh-CN"/>
        </w:rPr>
        <w:t>1篇，</w:t>
      </w:r>
      <w:r>
        <w:rPr>
          <w:rFonts w:hint="eastAsia" w:ascii="仿宋_GB2312" w:hAnsi="仿宋_GB2312" w:eastAsia="仿宋_GB2312" w:cs="仿宋_GB2312"/>
          <w:sz w:val="32"/>
          <w:szCs w:val="32"/>
        </w:rPr>
        <w:t>获得授权发明专利</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项。其成果成功应用于贵阳市花冠路南段道路工程，与典型的SBS改性沥青铺筑相比，噪音平均值车外减少了3.7dB</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车内</w:t>
      </w:r>
      <w:r>
        <w:rPr>
          <w:rFonts w:hint="eastAsia" w:ascii="仿宋_GB2312" w:hAnsi="仿宋_GB2312" w:eastAsia="仿宋_GB2312" w:cs="仿宋_GB2312"/>
          <w:sz w:val="32"/>
          <w:szCs w:val="32"/>
          <w:lang w:val="en-US" w:eastAsia="zh-CN"/>
        </w:rPr>
        <w:t>减少了</w:t>
      </w:r>
      <w:r>
        <w:rPr>
          <w:rFonts w:hint="eastAsia" w:ascii="仿宋_GB2312" w:hAnsi="仿宋_GB2312" w:eastAsia="仿宋_GB2312" w:cs="仿宋_GB2312"/>
          <w:sz w:val="32"/>
          <w:szCs w:val="32"/>
        </w:rPr>
        <w:t>2.8dB</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采用橡塑改性沥青铺筑SMA-13上面层（4cm）和GAC-20（6cm）中面层，每100公里可节约264.8万元（宽度23m），同时实现了废旧轮胎和废旧塑料的再生利用，废旧材料利用率不低于沥青质量的10%</w:t>
      </w:r>
      <w:r>
        <w:rPr>
          <w:rFonts w:hint="eastAsia" w:ascii="仿宋_GB2312" w:hAnsi="仿宋_GB2312" w:eastAsia="仿宋_GB2312" w:cs="仿宋_GB2312"/>
          <w:sz w:val="32"/>
          <w:szCs w:val="32"/>
          <w:lang w:eastAsia="zh-CN"/>
        </w:rPr>
        <w:t>。该工</w:t>
      </w:r>
      <w:r>
        <w:rPr>
          <w:rFonts w:hint="eastAsia" w:ascii="仿宋_GB2312" w:hAnsi="仿宋_GB2312" w:eastAsia="仿宋_GB2312" w:cs="仿宋_GB2312"/>
          <w:sz w:val="32"/>
          <w:szCs w:val="32"/>
        </w:rPr>
        <w:t>程应用项目经</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年时间运营，除路面抗滑性能指数SRI评定等级为“良”外，其他所检指标均评定为“优”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路面技术状况指数PQI为93.56，评定等级为“优”，PQI优等路率为100%。经济、社会和环境效益显著，推广应用前景极为广阔。</w:t>
      </w:r>
    </w:p>
    <w:p>
      <w:pPr>
        <w:rPr>
          <w:rFonts w:hint="eastAsia" w:ascii="黑体" w:hAnsi="黑体" w:eastAsia="黑体" w:cs="黑体"/>
          <w:sz w:val="32"/>
          <w:szCs w:val="32"/>
        </w:rPr>
      </w:pPr>
      <w:r>
        <w:rPr>
          <w:rFonts w:hint="eastAsia" w:ascii="黑体" w:hAnsi="黑体" w:eastAsia="黑体" w:cs="黑体"/>
          <w:sz w:val="32"/>
          <w:szCs w:val="32"/>
        </w:rPr>
        <w:br w:type="page"/>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w:t>
      </w:r>
      <w:r>
        <w:rPr>
          <w:rFonts w:ascii="黑体" w:hAnsi="黑体" w:eastAsia="黑体"/>
          <w:bCs/>
          <w:sz w:val="32"/>
          <w:szCs w:val="32"/>
        </w:rPr>
        <w:t>主要知识产权和标准规范等目录</w:t>
      </w:r>
      <w:r>
        <w:rPr>
          <w:rFonts w:hint="eastAsia" w:ascii="黑体" w:hAnsi="黑体" w:eastAsia="黑体"/>
          <w:bCs/>
          <w:sz w:val="32"/>
          <w:szCs w:val="32"/>
        </w:rPr>
        <w:t>（包括发明专利、标准、软件著作权等，不包括实用新型专利、外观设计专利等，不超过1</w:t>
      </w:r>
      <w:r>
        <w:rPr>
          <w:rFonts w:ascii="黑体" w:hAnsi="黑体" w:eastAsia="黑体"/>
          <w:bCs/>
          <w:sz w:val="32"/>
          <w:szCs w:val="32"/>
        </w:rPr>
        <w:t>0</w:t>
      </w:r>
      <w:r>
        <w:rPr>
          <w:rFonts w:hint="eastAsia" w:ascii="黑体" w:hAnsi="黑体" w:eastAsia="黑体"/>
          <w:bCs/>
          <w:sz w:val="32"/>
          <w:szCs w:val="32"/>
        </w:rPr>
        <w:t>件）</w:t>
      </w:r>
      <w:bookmarkStart w:id="0" w:name="_GoBack"/>
      <w:bookmarkEnd w:id="0"/>
    </w:p>
    <w:tbl>
      <w:tblPr>
        <w:tblStyle w:val="20"/>
        <w:tblpPr w:leftFromText="180" w:rightFromText="180" w:vertAnchor="text" w:horzAnchor="page" w:tblpXSpec="center" w:tblpY="309"/>
        <w:tblOverlap w:val="never"/>
        <w:tblW w:w="5874"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1497"/>
        <w:gridCol w:w="637"/>
        <w:gridCol w:w="1020"/>
        <w:gridCol w:w="798"/>
        <w:gridCol w:w="1271"/>
        <w:gridCol w:w="1138"/>
        <w:gridCol w:w="1385"/>
        <w:gridCol w:w="10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4" w:type="pct"/>
            <w:vAlign w:val="center"/>
          </w:tcPr>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知识产权（标准）类别</w:t>
            </w:r>
          </w:p>
        </w:tc>
        <w:tc>
          <w:tcPr>
            <w:tcW w:w="747" w:type="pct"/>
            <w:vAlign w:val="center"/>
          </w:tcPr>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知识产权（标准）具体名称</w:t>
            </w:r>
          </w:p>
        </w:tc>
        <w:tc>
          <w:tcPr>
            <w:tcW w:w="318" w:type="pct"/>
            <w:vAlign w:val="center"/>
          </w:tcPr>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国家</w:t>
            </w:r>
          </w:p>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（地区）</w:t>
            </w:r>
          </w:p>
        </w:tc>
        <w:tc>
          <w:tcPr>
            <w:tcW w:w="509" w:type="pct"/>
            <w:vAlign w:val="center"/>
          </w:tcPr>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授权号（标准编号）</w:t>
            </w:r>
          </w:p>
        </w:tc>
        <w:tc>
          <w:tcPr>
            <w:tcW w:w="398" w:type="pct"/>
            <w:vAlign w:val="center"/>
          </w:tcPr>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授权（标准发布）日期</w:t>
            </w:r>
          </w:p>
        </w:tc>
        <w:tc>
          <w:tcPr>
            <w:tcW w:w="634" w:type="pct"/>
            <w:vAlign w:val="center"/>
          </w:tcPr>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证书编号</w:t>
            </w:r>
          </w:p>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（标准批准发布部门）</w:t>
            </w:r>
          </w:p>
        </w:tc>
        <w:tc>
          <w:tcPr>
            <w:tcW w:w="568" w:type="pct"/>
            <w:vAlign w:val="center"/>
          </w:tcPr>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权利人（标准起草单位）</w:t>
            </w:r>
          </w:p>
        </w:tc>
        <w:tc>
          <w:tcPr>
            <w:tcW w:w="691" w:type="pct"/>
            <w:vAlign w:val="center"/>
          </w:tcPr>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发明人（标准起草人）</w:t>
            </w:r>
          </w:p>
        </w:tc>
        <w:tc>
          <w:tcPr>
            <w:tcW w:w="526" w:type="pct"/>
            <w:vAlign w:val="center"/>
          </w:tcPr>
          <w:p>
            <w:pPr>
              <w:pStyle w:val="10"/>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06" w:hRule="atLeast"/>
          <w:jc w:val="center"/>
        </w:trPr>
        <w:tc>
          <w:tcPr>
            <w:tcW w:w="604" w:type="pct"/>
            <w:vAlign w:val="center"/>
          </w:tcPr>
          <w:p>
            <w:pPr>
              <w:spacing w:line="390" w:lineRule="exact"/>
              <w:jc w:val="center"/>
              <w:rPr>
                <w:sz w:val="21"/>
                <w:szCs w:val="21"/>
              </w:rPr>
            </w:pPr>
            <w:r>
              <w:rPr>
                <w:rFonts w:hint="eastAsia" w:ascii="宋体" w:hAnsi="宋体"/>
                <w:color w:val="000000"/>
                <w:sz w:val="18"/>
                <w:szCs w:val="18"/>
              </w:rPr>
              <w:t>发明专利</w:t>
            </w:r>
          </w:p>
        </w:tc>
        <w:tc>
          <w:tcPr>
            <w:tcW w:w="747" w:type="pct"/>
            <w:vAlign w:val="center"/>
          </w:tcPr>
          <w:p>
            <w:pPr>
              <w:spacing w:line="390" w:lineRule="exact"/>
              <w:jc w:val="left"/>
              <w:rPr>
                <w:sz w:val="21"/>
                <w:szCs w:val="21"/>
              </w:rPr>
            </w:pPr>
            <w:r>
              <w:rPr>
                <w:rFonts w:hint="eastAsia"/>
                <w:color w:val="000000"/>
                <w:sz w:val="18"/>
                <w:szCs w:val="18"/>
              </w:rPr>
              <w:t>一种高导热橡胶复合改性沥青及其制备方法</w:t>
            </w:r>
          </w:p>
        </w:tc>
        <w:tc>
          <w:tcPr>
            <w:tcW w:w="318" w:type="pct"/>
            <w:vAlign w:val="center"/>
          </w:tcPr>
          <w:p>
            <w:pPr>
              <w:spacing w:line="390" w:lineRule="exact"/>
              <w:jc w:val="left"/>
              <w:rPr>
                <w:sz w:val="21"/>
                <w:szCs w:val="21"/>
              </w:rPr>
            </w:pPr>
            <w:r>
              <w:rPr>
                <w:rFonts w:hint="eastAsia"/>
                <w:color w:val="000000"/>
                <w:sz w:val="18"/>
                <w:szCs w:val="18"/>
              </w:rPr>
              <w:t>中国</w:t>
            </w:r>
          </w:p>
        </w:tc>
        <w:tc>
          <w:tcPr>
            <w:tcW w:w="509" w:type="pct"/>
            <w:vAlign w:val="center"/>
          </w:tcPr>
          <w:p>
            <w:pPr>
              <w:spacing w:line="390" w:lineRule="exact"/>
              <w:jc w:val="left"/>
              <w:rPr>
                <w:color w:val="000000"/>
                <w:sz w:val="18"/>
                <w:szCs w:val="18"/>
              </w:rPr>
            </w:pPr>
            <w:r>
              <w:rPr>
                <w:rFonts w:hint="eastAsia"/>
                <w:color w:val="000000"/>
                <w:sz w:val="18"/>
                <w:szCs w:val="18"/>
              </w:rPr>
              <w:t>CN 114539794 B</w:t>
            </w:r>
          </w:p>
          <w:p>
            <w:pPr>
              <w:spacing w:line="390" w:lineRule="exact"/>
              <w:jc w:val="left"/>
              <w:rPr>
                <w:sz w:val="21"/>
                <w:szCs w:val="21"/>
              </w:rPr>
            </w:pPr>
          </w:p>
        </w:tc>
        <w:tc>
          <w:tcPr>
            <w:tcW w:w="398" w:type="pct"/>
            <w:vAlign w:val="center"/>
          </w:tcPr>
          <w:p>
            <w:pPr>
              <w:spacing w:line="390" w:lineRule="exact"/>
              <w:jc w:val="left"/>
              <w:rPr>
                <w:rFonts w:hint="default" w:eastAsia="宋体"/>
                <w:sz w:val="21"/>
                <w:szCs w:val="21"/>
                <w:lang w:val="en-US" w:eastAsia="zh-CN"/>
              </w:rPr>
            </w:pPr>
            <w:r>
              <w:rPr>
                <w:rFonts w:hint="eastAsia" w:ascii="宋体" w:hAnsi="宋体"/>
                <w:color w:val="000000"/>
                <w:sz w:val="18"/>
                <w:szCs w:val="18"/>
              </w:rPr>
              <w:t>2023</w:t>
            </w:r>
            <w:r>
              <w:rPr>
                <w:rFonts w:ascii="宋体" w:hAnsi="宋体"/>
                <w:color w:val="000000"/>
                <w:sz w:val="18"/>
                <w:szCs w:val="18"/>
              </w:rPr>
              <w:t>年</w:t>
            </w:r>
            <w:r>
              <w:rPr>
                <w:rFonts w:hint="eastAsia" w:ascii="宋体" w:hAnsi="宋体"/>
                <w:color w:val="000000"/>
                <w:sz w:val="18"/>
                <w:szCs w:val="18"/>
              </w:rPr>
              <w:t>7月</w:t>
            </w:r>
            <w:r>
              <w:rPr>
                <w:rFonts w:hint="eastAsia" w:ascii="宋体" w:hAnsi="宋体"/>
                <w:color w:val="000000"/>
                <w:sz w:val="18"/>
                <w:szCs w:val="18"/>
                <w:lang w:val="en-US" w:eastAsia="zh-CN"/>
              </w:rPr>
              <w:t>14日</w:t>
            </w:r>
          </w:p>
        </w:tc>
        <w:tc>
          <w:tcPr>
            <w:tcW w:w="634" w:type="pct"/>
            <w:vAlign w:val="center"/>
          </w:tcPr>
          <w:p>
            <w:pPr>
              <w:spacing w:line="390" w:lineRule="exact"/>
              <w:jc w:val="left"/>
              <w:rPr>
                <w:sz w:val="21"/>
                <w:szCs w:val="21"/>
              </w:rPr>
            </w:pPr>
            <w:r>
              <w:rPr>
                <w:rFonts w:hint="eastAsia"/>
                <w:color w:val="000000"/>
                <w:sz w:val="18"/>
                <w:szCs w:val="18"/>
              </w:rPr>
              <w:t>ZL 202210179360.7</w:t>
            </w:r>
          </w:p>
        </w:tc>
        <w:tc>
          <w:tcPr>
            <w:tcW w:w="568" w:type="pct"/>
            <w:vAlign w:val="center"/>
          </w:tcPr>
          <w:p>
            <w:pPr>
              <w:spacing w:line="390" w:lineRule="exact"/>
              <w:jc w:val="left"/>
              <w:rPr>
                <w:color w:val="000000"/>
                <w:kern w:val="0"/>
                <w:sz w:val="21"/>
                <w:szCs w:val="21"/>
                <w:lang w:bidi="ar"/>
              </w:rPr>
            </w:pPr>
            <w:r>
              <w:rPr>
                <w:rFonts w:hint="eastAsia" w:ascii="宋体" w:hAnsi="宋体"/>
                <w:color w:val="000000"/>
                <w:sz w:val="18"/>
                <w:szCs w:val="18"/>
              </w:rPr>
              <w:t>贵阳市城市发展投资集团股份有限公司；贵州筑城恒创建设工程有限公司；重庆交通大学</w:t>
            </w:r>
          </w:p>
        </w:tc>
        <w:tc>
          <w:tcPr>
            <w:tcW w:w="691" w:type="pct"/>
            <w:vAlign w:val="center"/>
          </w:tcPr>
          <w:p>
            <w:pPr>
              <w:spacing w:line="390" w:lineRule="exact"/>
              <w:jc w:val="left"/>
              <w:rPr>
                <w:color w:val="000000"/>
                <w:kern w:val="0"/>
                <w:sz w:val="21"/>
                <w:szCs w:val="21"/>
                <w:lang w:bidi="ar"/>
              </w:rPr>
            </w:pPr>
            <w:r>
              <w:rPr>
                <w:rFonts w:hint="eastAsia" w:ascii="宋体" w:hAnsi="宋体"/>
                <w:color w:val="000000"/>
                <w:sz w:val="18"/>
                <w:szCs w:val="18"/>
              </w:rPr>
              <w:t>林昌顺</w:t>
            </w:r>
            <w:r>
              <w:rPr>
                <w:rFonts w:hint="eastAsia" w:ascii="宋体" w:hAnsi="宋体"/>
                <w:color w:val="000000"/>
                <w:sz w:val="18"/>
                <w:szCs w:val="18"/>
                <w:lang w:eastAsia="zh-CN"/>
              </w:rPr>
              <w:t>、</w:t>
            </w:r>
            <w:r>
              <w:rPr>
                <w:rFonts w:hint="eastAsia" w:ascii="宋体" w:hAnsi="宋体"/>
                <w:color w:val="000000"/>
                <w:sz w:val="18"/>
                <w:szCs w:val="18"/>
              </w:rPr>
              <w:t>杨万林</w:t>
            </w:r>
            <w:r>
              <w:rPr>
                <w:rFonts w:hint="eastAsia" w:ascii="宋体" w:hAnsi="宋体"/>
                <w:color w:val="000000"/>
                <w:sz w:val="18"/>
                <w:szCs w:val="18"/>
                <w:lang w:eastAsia="zh-CN"/>
              </w:rPr>
              <w:t>、</w:t>
            </w:r>
            <w:r>
              <w:rPr>
                <w:rFonts w:hint="eastAsia" w:ascii="宋体" w:hAnsi="宋体"/>
                <w:color w:val="000000"/>
                <w:sz w:val="18"/>
                <w:szCs w:val="18"/>
              </w:rPr>
              <w:t>周刚</w:t>
            </w:r>
            <w:r>
              <w:rPr>
                <w:rFonts w:hint="eastAsia" w:ascii="宋体" w:hAnsi="宋体"/>
                <w:color w:val="000000"/>
                <w:sz w:val="18"/>
                <w:szCs w:val="18"/>
                <w:lang w:eastAsia="zh-CN"/>
              </w:rPr>
              <w:t>、</w:t>
            </w:r>
            <w:r>
              <w:rPr>
                <w:rFonts w:hint="eastAsia" w:ascii="宋体" w:hAnsi="宋体"/>
                <w:color w:val="000000"/>
                <w:sz w:val="18"/>
                <w:szCs w:val="18"/>
              </w:rPr>
              <w:t>徐明进</w:t>
            </w:r>
            <w:r>
              <w:rPr>
                <w:rFonts w:hint="eastAsia" w:ascii="宋体" w:hAnsi="宋体"/>
                <w:color w:val="000000"/>
                <w:sz w:val="18"/>
                <w:szCs w:val="18"/>
                <w:lang w:eastAsia="zh-CN"/>
              </w:rPr>
              <w:t>、</w:t>
            </w:r>
            <w:r>
              <w:rPr>
                <w:rFonts w:hint="eastAsia" w:ascii="宋体" w:hAnsi="宋体"/>
                <w:color w:val="000000"/>
                <w:sz w:val="18"/>
                <w:szCs w:val="18"/>
              </w:rPr>
              <w:t>罗继鸿</w:t>
            </w:r>
            <w:r>
              <w:rPr>
                <w:rFonts w:hint="eastAsia" w:ascii="宋体" w:hAnsi="宋体"/>
                <w:color w:val="000000"/>
                <w:sz w:val="18"/>
                <w:szCs w:val="18"/>
                <w:lang w:eastAsia="zh-CN"/>
              </w:rPr>
              <w:t>、</w:t>
            </w:r>
            <w:r>
              <w:rPr>
                <w:rFonts w:hint="eastAsia" w:ascii="宋体" w:hAnsi="宋体"/>
                <w:color w:val="000000"/>
                <w:sz w:val="18"/>
                <w:szCs w:val="18"/>
              </w:rPr>
              <w:t>梁茂然</w:t>
            </w:r>
            <w:r>
              <w:rPr>
                <w:rFonts w:hint="eastAsia" w:ascii="宋体" w:hAnsi="宋体"/>
                <w:color w:val="000000"/>
                <w:sz w:val="18"/>
                <w:szCs w:val="18"/>
                <w:lang w:eastAsia="zh-CN"/>
              </w:rPr>
              <w:t>、</w:t>
            </w:r>
            <w:r>
              <w:rPr>
                <w:rFonts w:hint="eastAsia" w:ascii="宋体" w:hAnsi="宋体"/>
                <w:color w:val="000000"/>
                <w:sz w:val="18"/>
                <w:szCs w:val="18"/>
              </w:rPr>
              <w:t>张丽</w:t>
            </w:r>
            <w:r>
              <w:rPr>
                <w:rFonts w:hint="eastAsia" w:ascii="宋体" w:hAnsi="宋体"/>
                <w:color w:val="000000"/>
                <w:sz w:val="18"/>
                <w:szCs w:val="18"/>
                <w:lang w:eastAsia="zh-CN"/>
              </w:rPr>
              <w:t>、</w:t>
            </w:r>
            <w:r>
              <w:rPr>
                <w:rFonts w:hint="eastAsia" w:ascii="宋体" w:hAnsi="宋体"/>
                <w:color w:val="000000"/>
                <w:sz w:val="18"/>
                <w:szCs w:val="18"/>
              </w:rPr>
              <w:t>陈恩茂</w:t>
            </w:r>
            <w:r>
              <w:rPr>
                <w:rFonts w:hint="eastAsia" w:ascii="宋体" w:hAnsi="宋体"/>
                <w:color w:val="000000"/>
                <w:sz w:val="18"/>
                <w:szCs w:val="18"/>
                <w:lang w:eastAsia="zh-CN"/>
              </w:rPr>
              <w:t>、</w:t>
            </w:r>
            <w:r>
              <w:rPr>
                <w:rFonts w:hint="eastAsia" w:ascii="宋体" w:hAnsi="宋体"/>
                <w:color w:val="000000"/>
                <w:sz w:val="18"/>
                <w:szCs w:val="18"/>
              </w:rPr>
              <w:t>刘叶叶</w:t>
            </w:r>
            <w:r>
              <w:rPr>
                <w:rFonts w:hint="eastAsia" w:ascii="宋体" w:hAnsi="宋体"/>
                <w:color w:val="000000"/>
                <w:sz w:val="18"/>
                <w:szCs w:val="18"/>
                <w:lang w:eastAsia="zh-CN"/>
              </w:rPr>
              <w:t>、</w:t>
            </w:r>
            <w:r>
              <w:rPr>
                <w:rFonts w:hint="eastAsia" w:ascii="宋体" w:hAnsi="宋体"/>
                <w:color w:val="000000"/>
                <w:sz w:val="18"/>
                <w:szCs w:val="18"/>
              </w:rPr>
              <w:t>吴才平</w:t>
            </w:r>
            <w:r>
              <w:rPr>
                <w:rFonts w:hint="eastAsia" w:ascii="宋体" w:hAnsi="宋体"/>
                <w:color w:val="000000"/>
                <w:sz w:val="18"/>
                <w:szCs w:val="18"/>
                <w:lang w:eastAsia="zh-CN"/>
              </w:rPr>
              <w:t>、</w:t>
            </w:r>
            <w:r>
              <w:rPr>
                <w:rFonts w:hint="eastAsia" w:ascii="宋体" w:hAnsi="宋体"/>
                <w:color w:val="000000"/>
                <w:sz w:val="18"/>
                <w:szCs w:val="18"/>
              </w:rPr>
              <w:t>杨择</w:t>
            </w:r>
            <w:r>
              <w:rPr>
                <w:rFonts w:hint="eastAsia" w:ascii="宋体" w:hAnsi="宋体"/>
                <w:color w:val="000000"/>
                <w:sz w:val="18"/>
                <w:szCs w:val="18"/>
                <w:lang w:eastAsia="zh-CN"/>
              </w:rPr>
              <w:t>、</w:t>
            </w:r>
            <w:r>
              <w:rPr>
                <w:rFonts w:hint="eastAsia" w:ascii="宋体" w:hAnsi="宋体"/>
                <w:color w:val="000000"/>
                <w:sz w:val="18"/>
                <w:szCs w:val="18"/>
              </w:rPr>
              <w:t>韩清岭</w:t>
            </w:r>
          </w:p>
        </w:tc>
        <w:tc>
          <w:tcPr>
            <w:tcW w:w="526" w:type="pct"/>
            <w:vAlign w:val="center"/>
          </w:tcPr>
          <w:p>
            <w:pPr>
              <w:spacing w:line="390" w:lineRule="exact"/>
              <w:jc w:val="center"/>
              <w:rPr>
                <w:sz w:val="21"/>
                <w:szCs w:val="21"/>
              </w:rPr>
            </w:pPr>
            <w:r>
              <w:rPr>
                <w:rFonts w:hint="eastAsia" w:ascii="宋体" w:hAnsi="宋体"/>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04" w:type="pct"/>
            <w:vAlign w:val="center"/>
          </w:tcPr>
          <w:p>
            <w:pPr>
              <w:spacing w:line="390" w:lineRule="exact"/>
              <w:jc w:val="center"/>
              <w:rPr>
                <w:rFonts w:hint="eastAsia" w:ascii="宋体" w:hAnsi="宋体"/>
                <w:color w:val="000000"/>
                <w:sz w:val="18"/>
                <w:szCs w:val="18"/>
                <w:lang w:eastAsia="zh-CN"/>
              </w:rPr>
            </w:pPr>
            <w:r>
              <w:rPr>
                <w:rFonts w:hint="eastAsia" w:ascii="宋体" w:hAnsi="宋体"/>
                <w:color w:val="000000"/>
                <w:sz w:val="18"/>
                <w:szCs w:val="18"/>
                <w:lang w:val="en-US" w:eastAsia="zh-CN"/>
              </w:rPr>
              <w:t>SCI</w:t>
            </w:r>
            <w:r>
              <w:rPr>
                <w:rFonts w:hint="eastAsia" w:ascii="宋体" w:hAnsi="宋体"/>
                <w:color w:val="000000"/>
                <w:sz w:val="18"/>
                <w:szCs w:val="18"/>
              </w:rPr>
              <w:t>论文</w:t>
            </w:r>
          </w:p>
        </w:tc>
        <w:tc>
          <w:tcPr>
            <w:tcW w:w="747" w:type="pct"/>
            <w:vAlign w:val="center"/>
          </w:tcPr>
          <w:p>
            <w:pPr>
              <w:spacing w:line="390" w:lineRule="exact"/>
              <w:jc w:val="left"/>
              <w:rPr>
                <w:rFonts w:hint="eastAsia"/>
                <w:color w:val="000000"/>
                <w:sz w:val="18"/>
                <w:szCs w:val="18"/>
              </w:rPr>
            </w:pPr>
            <w:r>
              <w:rPr>
                <w:rFonts w:cs="Times New Roman"/>
                <w:color w:val="000000"/>
                <w:kern w:val="0"/>
                <w:sz w:val="18"/>
                <w:szCs w:val="18"/>
              </w:rPr>
              <w:t>Sustainable production of eco-friendly rubberized asphalt binders through chemically crosslinking with polymer modifier</w:t>
            </w:r>
          </w:p>
        </w:tc>
        <w:tc>
          <w:tcPr>
            <w:tcW w:w="318" w:type="pct"/>
            <w:vAlign w:val="center"/>
          </w:tcPr>
          <w:p>
            <w:pPr>
              <w:spacing w:line="390" w:lineRule="exact"/>
              <w:jc w:val="left"/>
              <w:rPr>
                <w:rFonts w:hint="eastAsia" w:ascii="宋体" w:hAnsi="宋体" w:eastAsia="宋体"/>
                <w:color w:val="000000"/>
                <w:sz w:val="18"/>
                <w:szCs w:val="18"/>
                <w:lang w:eastAsia="zh-CN"/>
              </w:rPr>
            </w:pPr>
            <w:r>
              <w:rPr>
                <w:rFonts w:hint="eastAsia"/>
                <w:color w:val="000000"/>
                <w:sz w:val="18"/>
                <w:szCs w:val="18"/>
                <w:lang w:val="en-US" w:eastAsia="zh-CN"/>
              </w:rPr>
              <w:t>美国</w:t>
            </w:r>
          </w:p>
        </w:tc>
        <w:tc>
          <w:tcPr>
            <w:tcW w:w="509" w:type="pct"/>
            <w:vAlign w:val="center"/>
          </w:tcPr>
          <w:p>
            <w:pPr>
              <w:spacing w:line="390" w:lineRule="exact"/>
              <w:jc w:val="left"/>
              <w:rPr>
                <w:sz w:val="21"/>
                <w:szCs w:val="21"/>
              </w:rPr>
            </w:pPr>
          </w:p>
        </w:tc>
        <w:tc>
          <w:tcPr>
            <w:tcW w:w="398" w:type="pct"/>
            <w:vAlign w:val="center"/>
          </w:tcPr>
          <w:p>
            <w:pPr>
              <w:spacing w:line="390" w:lineRule="exact"/>
              <w:jc w:val="left"/>
              <w:rPr>
                <w:rFonts w:hint="default" w:ascii="宋体" w:hAnsi="宋体" w:eastAsia="宋体" w:cs="Times New Roman"/>
                <w:color w:val="000000"/>
                <w:sz w:val="18"/>
                <w:szCs w:val="18"/>
                <w:lang w:val="en-US" w:eastAsia="zh-CN"/>
              </w:rPr>
            </w:pPr>
            <w:r>
              <w:rPr>
                <w:rFonts w:hint="eastAsia"/>
                <w:color w:val="000000"/>
                <w:sz w:val="18"/>
                <w:szCs w:val="18"/>
              </w:rPr>
              <w:t>2023年</w:t>
            </w:r>
            <w:r>
              <w:rPr>
                <w:rFonts w:hint="eastAsia"/>
                <w:color w:val="000000"/>
                <w:sz w:val="18"/>
                <w:szCs w:val="18"/>
                <w:lang w:val="en-US" w:eastAsia="zh-CN"/>
              </w:rPr>
              <w:t>10月</w:t>
            </w:r>
          </w:p>
        </w:tc>
        <w:tc>
          <w:tcPr>
            <w:tcW w:w="634" w:type="pct"/>
            <w:vAlign w:val="center"/>
          </w:tcPr>
          <w:p>
            <w:pPr>
              <w:spacing w:line="390" w:lineRule="exact"/>
              <w:jc w:val="left"/>
              <w:rPr>
                <w:rFonts w:hint="eastAsia"/>
                <w:color w:val="000000"/>
                <w:sz w:val="18"/>
                <w:szCs w:val="18"/>
              </w:rPr>
            </w:pPr>
            <w:r>
              <w:rPr>
                <w:rFonts w:cs="Times New Roman"/>
                <w:color w:val="000000"/>
                <w:kern w:val="0"/>
                <w:sz w:val="18"/>
                <w:szCs w:val="18"/>
              </w:rPr>
              <w:t>Journal of Cleaner Production</w:t>
            </w:r>
          </w:p>
        </w:tc>
        <w:tc>
          <w:tcPr>
            <w:tcW w:w="568" w:type="pct"/>
            <w:vAlign w:val="center"/>
          </w:tcPr>
          <w:p>
            <w:pPr>
              <w:spacing w:line="390" w:lineRule="exact"/>
              <w:jc w:val="left"/>
              <w:rPr>
                <w:rFonts w:hint="eastAsia" w:ascii="宋体" w:hAnsi="宋体"/>
                <w:color w:val="000000"/>
                <w:sz w:val="18"/>
                <w:szCs w:val="18"/>
              </w:rPr>
            </w:pPr>
            <w:r>
              <w:rPr>
                <w:rFonts w:hint="eastAsia"/>
                <w:color w:val="000000"/>
                <w:sz w:val="18"/>
                <w:szCs w:val="18"/>
              </w:rPr>
              <w:t>重庆交通大学</w:t>
            </w:r>
          </w:p>
        </w:tc>
        <w:tc>
          <w:tcPr>
            <w:tcW w:w="691" w:type="pct"/>
            <w:vAlign w:val="center"/>
          </w:tcPr>
          <w:p>
            <w:pPr>
              <w:spacing w:line="390" w:lineRule="exact"/>
              <w:jc w:val="left"/>
              <w:rPr>
                <w:rFonts w:hint="eastAsia" w:ascii="宋体" w:hAnsi="宋体"/>
                <w:color w:val="000000"/>
                <w:sz w:val="18"/>
                <w:szCs w:val="18"/>
              </w:rPr>
            </w:pPr>
            <w:r>
              <w:rPr>
                <w:rFonts w:cs="Times New Roman"/>
                <w:color w:val="000000"/>
                <w:kern w:val="0"/>
                <w:sz w:val="18"/>
                <w:szCs w:val="18"/>
              </w:rPr>
              <w:t>Naipeng Tang</w:t>
            </w:r>
            <w:r>
              <w:rPr>
                <w:rFonts w:hint="eastAsia" w:cs="Times New Roman"/>
                <w:color w:val="000000"/>
                <w:kern w:val="0"/>
                <w:sz w:val="18"/>
                <w:szCs w:val="18"/>
                <w:lang w:eastAsia="zh-CN"/>
              </w:rPr>
              <w:t>、</w:t>
            </w:r>
            <w:r>
              <w:rPr>
                <w:rFonts w:cs="Times New Roman"/>
                <w:color w:val="000000"/>
                <w:kern w:val="0"/>
                <w:sz w:val="18"/>
                <w:szCs w:val="18"/>
              </w:rPr>
              <w:t>Chenyang Xue</w:t>
            </w:r>
            <w:r>
              <w:rPr>
                <w:rFonts w:hint="eastAsia" w:cs="Times New Roman"/>
                <w:color w:val="000000"/>
                <w:kern w:val="0"/>
                <w:sz w:val="18"/>
                <w:szCs w:val="18"/>
                <w:lang w:eastAsia="zh-CN"/>
              </w:rPr>
              <w:t>、</w:t>
            </w:r>
            <w:r>
              <w:rPr>
                <w:rFonts w:cs="Times New Roman"/>
                <w:color w:val="000000"/>
                <w:kern w:val="0"/>
                <w:sz w:val="18"/>
                <w:szCs w:val="18"/>
              </w:rPr>
              <w:t>Gengren Hao</w:t>
            </w:r>
          </w:p>
        </w:tc>
        <w:tc>
          <w:tcPr>
            <w:tcW w:w="526" w:type="pct"/>
            <w:vAlign w:val="center"/>
          </w:tcPr>
          <w:p>
            <w:pPr>
              <w:spacing w:line="390" w:lineRule="exact"/>
              <w:jc w:val="center"/>
              <w:rPr>
                <w:rFonts w:hint="eastAsia" w:ascii="宋体" w:hAnsi="宋体"/>
                <w:color w:val="000000"/>
                <w:sz w:val="18"/>
                <w:szCs w:val="18"/>
              </w:rPr>
            </w:pPr>
            <w:r>
              <w:rPr>
                <w:rFonts w:hint="eastAsia" w:ascii="宋体" w:hAnsi="宋体"/>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04" w:type="pct"/>
            <w:vAlign w:val="center"/>
          </w:tcPr>
          <w:p>
            <w:pPr>
              <w:spacing w:line="390" w:lineRule="exact"/>
              <w:jc w:val="center"/>
              <w:rPr>
                <w:rFonts w:hint="eastAsia" w:ascii="宋体" w:hAnsi="宋体"/>
                <w:color w:val="000000"/>
                <w:sz w:val="18"/>
                <w:szCs w:val="18"/>
                <w:lang w:eastAsia="zh-CN"/>
              </w:rPr>
            </w:pPr>
            <w:r>
              <w:rPr>
                <w:rFonts w:hint="eastAsia" w:ascii="宋体" w:hAnsi="宋体"/>
                <w:color w:val="000000"/>
                <w:sz w:val="18"/>
                <w:szCs w:val="18"/>
                <w:lang w:val="en-US" w:eastAsia="zh-CN"/>
              </w:rPr>
              <w:t>SCI</w:t>
            </w:r>
            <w:r>
              <w:rPr>
                <w:rFonts w:hint="eastAsia" w:ascii="宋体" w:hAnsi="宋体"/>
                <w:color w:val="000000"/>
                <w:sz w:val="18"/>
                <w:szCs w:val="18"/>
              </w:rPr>
              <w:t>论文</w:t>
            </w:r>
          </w:p>
        </w:tc>
        <w:tc>
          <w:tcPr>
            <w:tcW w:w="747" w:type="pct"/>
            <w:vAlign w:val="center"/>
          </w:tcPr>
          <w:p>
            <w:pPr>
              <w:spacing w:line="390" w:lineRule="exact"/>
              <w:jc w:val="left"/>
              <w:rPr>
                <w:rFonts w:hint="eastAsia"/>
                <w:color w:val="000000"/>
                <w:sz w:val="18"/>
                <w:szCs w:val="18"/>
              </w:rPr>
            </w:pPr>
            <w:r>
              <w:rPr>
                <w:rFonts w:cs="Times New Roman"/>
                <w:color w:val="000000"/>
                <w:kern w:val="0"/>
                <w:szCs w:val="24"/>
              </w:rPr>
              <w:t>Emission behavior of crumb rubber modified asphalt in the production process</w:t>
            </w:r>
          </w:p>
        </w:tc>
        <w:tc>
          <w:tcPr>
            <w:tcW w:w="318" w:type="pct"/>
            <w:vAlign w:val="center"/>
          </w:tcPr>
          <w:p>
            <w:pPr>
              <w:spacing w:line="390" w:lineRule="exact"/>
              <w:jc w:val="left"/>
              <w:rPr>
                <w:rFonts w:hint="eastAsia" w:ascii="宋体" w:hAnsi="宋体" w:eastAsia="宋体"/>
                <w:color w:val="000000"/>
                <w:sz w:val="18"/>
                <w:szCs w:val="18"/>
                <w:lang w:eastAsia="zh-CN"/>
              </w:rPr>
            </w:pPr>
            <w:r>
              <w:rPr>
                <w:rFonts w:hint="eastAsia"/>
                <w:color w:val="000000"/>
                <w:sz w:val="18"/>
                <w:szCs w:val="18"/>
                <w:lang w:val="en-US" w:eastAsia="zh-CN"/>
              </w:rPr>
              <w:t>美国</w:t>
            </w:r>
          </w:p>
        </w:tc>
        <w:tc>
          <w:tcPr>
            <w:tcW w:w="509" w:type="pct"/>
            <w:vAlign w:val="center"/>
          </w:tcPr>
          <w:p>
            <w:pPr>
              <w:spacing w:line="390" w:lineRule="exact"/>
              <w:jc w:val="left"/>
              <w:rPr>
                <w:sz w:val="21"/>
                <w:szCs w:val="21"/>
              </w:rPr>
            </w:pPr>
          </w:p>
        </w:tc>
        <w:tc>
          <w:tcPr>
            <w:tcW w:w="398" w:type="pct"/>
            <w:vAlign w:val="center"/>
          </w:tcPr>
          <w:p>
            <w:pPr>
              <w:spacing w:line="390" w:lineRule="exact"/>
              <w:jc w:val="left"/>
              <w:rPr>
                <w:rFonts w:hint="default" w:ascii="宋体" w:hAnsi="宋体" w:eastAsia="宋体" w:cs="Times New Roman"/>
                <w:color w:val="000000"/>
                <w:sz w:val="18"/>
                <w:szCs w:val="18"/>
                <w:lang w:val="en-US" w:eastAsia="zh-CN"/>
              </w:rPr>
            </w:pPr>
            <w:r>
              <w:rPr>
                <w:rFonts w:hint="eastAsia"/>
                <w:color w:val="000000"/>
                <w:sz w:val="18"/>
                <w:szCs w:val="18"/>
              </w:rPr>
              <w:t>2022年</w:t>
            </w:r>
            <w:r>
              <w:rPr>
                <w:rFonts w:hint="eastAsia"/>
                <w:color w:val="000000"/>
                <w:sz w:val="18"/>
                <w:szCs w:val="18"/>
                <w:lang w:val="en-US" w:eastAsia="zh-CN"/>
              </w:rPr>
              <w:t>2月</w:t>
            </w:r>
          </w:p>
        </w:tc>
        <w:tc>
          <w:tcPr>
            <w:tcW w:w="634" w:type="pct"/>
            <w:vAlign w:val="center"/>
          </w:tcPr>
          <w:p>
            <w:pPr>
              <w:spacing w:line="390" w:lineRule="exact"/>
              <w:jc w:val="left"/>
              <w:rPr>
                <w:rFonts w:hint="eastAsia"/>
                <w:color w:val="000000"/>
                <w:sz w:val="18"/>
                <w:szCs w:val="18"/>
              </w:rPr>
            </w:pPr>
            <w:r>
              <w:rPr>
                <w:rFonts w:cs="Times New Roman"/>
                <w:color w:val="000000"/>
                <w:kern w:val="0"/>
                <w:sz w:val="18"/>
                <w:szCs w:val="18"/>
              </w:rPr>
              <w:t>Journal of Cleaner Production</w:t>
            </w:r>
          </w:p>
        </w:tc>
        <w:tc>
          <w:tcPr>
            <w:tcW w:w="568" w:type="pct"/>
            <w:vAlign w:val="center"/>
          </w:tcPr>
          <w:p>
            <w:pPr>
              <w:spacing w:line="390" w:lineRule="exact"/>
              <w:jc w:val="left"/>
              <w:rPr>
                <w:rFonts w:hint="eastAsia" w:ascii="宋体" w:hAnsi="宋体"/>
                <w:color w:val="000000"/>
                <w:sz w:val="18"/>
                <w:szCs w:val="18"/>
              </w:rPr>
            </w:pPr>
            <w:r>
              <w:rPr>
                <w:rFonts w:hint="eastAsia"/>
                <w:color w:val="000000"/>
                <w:sz w:val="18"/>
                <w:szCs w:val="18"/>
              </w:rPr>
              <w:t>重庆交通大学</w:t>
            </w:r>
          </w:p>
        </w:tc>
        <w:tc>
          <w:tcPr>
            <w:tcW w:w="691" w:type="pct"/>
            <w:vAlign w:val="center"/>
          </w:tcPr>
          <w:p>
            <w:pPr>
              <w:spacing w:line="390" w:lineRule="exact"/>
              <w:jc w:val="left"/>
              <w:rPr>
                <w:rFonts w:hint="eastAsia" w:ascii="宋体" w:hAnsi="宋体"/>
                <w:color w:val="000000"/>
                <w:sz w:val="18"/>
                <w:szCs w:val="18"/>
              </w:rPr>
            </w:pPr>
            <w:r>
              <w:rPr>
                <w:rFonts w:cs="Times New Roman"/>
                <w:color w:val="000000"/>
                <w:kern w:val="0"/>
                <w:szCs w:val="24"/>
              </w:rPr>
              <w:t>Naipeng Tang</w:t>
            </w:r>
            <w:r>
              <w:rPr>
                <w:rFonts w:hint="eastAsia" w:cs="Times New Roman"/>
                <w:color w:val="000000"/>
                <w:kern w:val="0"/>
                <w:szCs w:val="24"/>
                <w:lang w:eastAsia="zh-CN"/>
              </w:rPr>
              <w:t>、</w:t>
            </w:r>
            <w:r>
              <w:rPr>
                <w:rFonts w:cs="Times New Roman"/>
                <w:color w:val="000000"/>
                <w:kern w:val="0"/>
                <w:szCs w:val="24"/>
              </w:rPr>
              <w:t>Zhiyu Zhang</w:t>
            </w:r>
            <w:r>
              <w:rPr>
                <w:rFonts w:hint="eastAsia" w:cs="Times New Roman"/>
                <w:color w:val="000000"/>
                <w:kern w:val="0"/>
                <w:szCs w:val="24"/>
                <w:lang w:eastAsia="zh-CN"/>
              </w:rPr>
              <w:t>、</w:t>
            </w:r>
            <w:r>
              <w:rPr>
                <w:rFonts w:cs="Times New Roman"/>
                <w:color w:val="000000"/>
                <w:kern w:val="0"/>
                <w:szCs w:val="24"/>
              </w:rPr>
              <w:t>Ruikun Dong</w:t>
            </w:r>
          </w:p>
        </w:tc>
        <w:tc>
          <w:tcPr>
            <w:tcW w:w="526" w:type="pct"/>
            <w:vAlign w:val="center"/>
          </w:tcPr>
          <w:p>
            <w:pPr>
              <w:spacing w:line="390" w:lineRule="exact"/>
              <w:jc w:val="center"/>
              <w:rPr>
                <w:rFonts w:hint="eastAsia" w:ascii="宋体" w:hAnsi="宋体"/>
                <w:color w:val="000000"/>
                <w:sz w:val="18"/>
                <w:szCs w:val="18"/>
              </w:rPr>
            </w:pPr>
            <w:r>
              <w:rPr>
                <w:rFonts w:hint="eastAsia" w:ascii="宋体" w:hAnsi="宋体"/>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04" w:type="pct"/>
            <w:vAlign w:val="center"/>
          </w:tcPr>
          <w:p>
            <w:pPr>
              <w:spacing w:line="390" w:lineRule="exact"/>
              <w:jc w:val="center"/>
              <w:rPr>
                <w:sz w:val="21"/>
                <w:szCs w:val="21"/>
              </w:rPr>
            </w:pPr>
            <w:r>
              <w:rPr>
                <w:rFonts w:hint="eastAsia" w:ascii="宋体" w:hAnsi="宋体"/>
                <w:color w:val="000000"/>
                <w:sz w:val="18"/>
                <w:szCs w:val="18"/>
                <w:lang w:val="en-US" w:eastAsia="zh-CN"/>
              </w:rPr>
              <w:t>EI</w:t>
            </w:r>
            <w:r>
              <w:rPr>
                <w:rFonts w:hint="eastAsia" w:ascii="宋体" w:hAnsi="宋体"/>
                <w:color w:val="000000"/>
                <w:sz w:val="18"/>
                <w:szCs w:val="18"/>
              </w:rPr>
              <w:t>论文</w:t>
            </w:r>
          </w:p>
        </w:tc>
        <w:tc>
          <w:tcPr>
            <w:tcW w:w="747" w:type="pct"/>
            <w:vAlign w:val="center"/>
          </w:tcPr>
          <w:p>
            <w:pPr>
              <w:spacing w:line="390" w:lineRule="exact"/>
              <w:jc w:val="left"/>
              <w:rPr>
                <w:sz w:val="21"/>
                <w:szCs w:val="21"/>
              </w:rPr>
            </w:pPr>
            <w:r>
              <w:rPr>
                <w:rFonts w:hint="eastAsia"/>
                <w:color w:val="000000"/>
                <w:sz w:val="18"/>
                <w:szCs w:val="18"/>
              </w:rPr>
              <w:t>胶粉改性沥青老化机理及表征评价研究综述</w:t>
            </w:r>
          </w:p>
        </w:tc>
        <w:tc>
          <w:tcPr>
            <w:tcW w:w="318" w:type="pct"/>
            <w:vAlign w:val="center"/>
          </w:tcPr>
          <w:p>
            <w:pPr>
              <w:spacing w:line="390" w:lineRule="exact"/>
              <w:jc w:val="left"/>
              <w:rPr>
                <w:sz w:val="21"/>
                <w:szCs w:val="21"/>
              </w:rPr>
            </w:pPr>
            <w:r>
              <w:rPr>
                <w:rFonts w:hint="eastAsia"/>
                <w:color w:val="000000"/>
                <w:sz w:val="18"/>
                <w:szCs w:val="18"/>
              </w:rPr>
              <w:t>中国</w:t>
            </w:r>
          </w:p>
        </w:tc>
        <w:tc>
          <w:tcPr>
            <w:tcW w:w="509" w:type="pct"/>
            <w:vAlign w:val="center"/>
          </w:tcPr>
          <w:p>
            <w:pPr>
              <w:spacing w:line="390" w:lineRule="exact"/>
              <w:jc w:val="left"/>
              <w:rPr>
                <w:sz w:val="21"/>
                <w:szCs w:val="21"/>
              </w:rPr>
            </w:pPr>
          </w:p>
        </w:tc>
        <w:tc>
          <w:tcPr>
            <w:tcW w:w="398" w:type="pct"/>
            <w:vAlign w:val="center"/>
          </w:tcPr>
          <w:p>
            <w:pPr>
              <w:spacing w:line="390" w:lineRule="exact"/>
              <w:jc w:val="left"/>
              <w:rPr>
                <w:rFonts w:hint="eastAsia" w:eastAsia="宋体"/>
                <w:sz w:val="21"/>
                <w:szCs w:val="21"/>
                <w:lang w:val="en-US" w:eastAsia="zh-CN"/>
              </w:rPr>
            </w:pPr>
            <w:r>
              <w:rPr>
                <w:rFonts w:hint="eastAsia"/>
                <w:color w:val="000000"/>
                <w:sz w:val="18"/>
                <w:szCs w:val="18"/>
              </w:rPr>
              <w:t>202</w:t>
            </w:r>
            <w:r>
              <w:rPr>
                <w:rFonts w:hint="eastAsia"/>
                <w:color w:val="000000"/>
                <w:sz w:val="18"/>
                <w:szCs w:val="18"/>
                <w:lang w:val="en-US" w:eastAsia="zh-CN"/>
              </w:rPr>
              <w:t>4年</w:t>
            </w:r>
            <w:r>
              <w:rPr>
                <w:rFonts w:hint="eastAsia"/>
                <w:color w:val="000000"/>
                <w:sz w:val="18"/>
                <w:szCs w:val="18"/>
              </w:rPr>
              <w:t>1</w:t>
            </w:r>
            <w:r>
              <w:rPr>
                <w:rFonts w:hint="eastAsia"/>
                <w:color w:val="000000"/>
                <w:sz w:val="18"/>
                <w:szCs w:val="18"/>
                <w:lang w:val="en-US" w:eastAsia="zh-CN"/>
              </w:rPr>
              <w:t>月</w:t>
            </w:r>
          </w:p>
        </w:tc>
        <w:tc>
          <w:tcPr>
            <w:tcW w:w="634" w:type="pct"/>
            <w:vAlign w:val="center"/>
          </w:tcPr>
          <w:p>
            <w:pPr>
              <w:spacing w:line="390" w:lineRule="exact"/>
              <w:jc w:val="left"/>
              <w:rPr>
                <w:sz w:val="21"/>
                <w:szCs w:val="21"/>
              </w:rPr>
            </w:pPr>
            <w:r>
              <w:rPr>
                <w:rFonts w:hint="eastAsia"/>
                <w:color w:val="000000"/>
                <w:sz w:val="18"/>
                <w:szCs w:val="18"/>
              </w:rPr>
              <w:t>吉林大学学报</w:t>
            </w:r>
            <w:r>
              <w:rPr>
                <w:rFonts w:hint="eastAsia"/>
                <w:color w:val="000000"/>
                <w:sz w:val="18"/>
                <w:szCs w:val="18"/>
                <w:lang w:eastAsia="zh-CN"/>
              </w:rPr>
              <w:t>（</w:t>
            </w:r>
            <w:r>
              <w:rPr>
                <w:rFonts w:hint="eastAsia"/>
                <w:color w:val="000000"/>
                <w:sz w:val="18"/>
                <w:szCs w:val="18"/>
              </w:rPr>
              <w:t>工学版)</w:t>
            </w:r>
          </w:p>
        </w:tc>
        <w:tc>
          <w:tcPr>
            <w:tcW w:w="568" w:type="pct"/>
            <w:vAlign w:val="center"/>
          </w:tcPr>
          <w:p>
            <w:pPr>
              <w:spacing w:line="390" w:lineRule="exact"/>
              <w:jc w:val="left"/>
              <w:rPr>
                <w:color w:val="000000"/>
                <w:kern w:val="0"/>
                <w:sz w:val="21"/>
                <w:szCs w:val="21"/>
                <w:lang w:bidi="ar"/>
              </w:rPr>
            </w:pPr>
            <w:r>
              <w:rPr>
                <w:rFonts w:hint="eastAsia"/>
                <w:color w:val="000000"/>
                <w:sz w:val="18"/>
                <w:szCs w:val="18"/>
              </w:rPr>
              <w:t>重庆交通大学</w:t>
            </w:r>
          </w:p>
        </w:tc>
        <w:tc>
          <w:tcPr>
            <w:tcW w:w="691" w:type="pct"/>
            <w:vAlign w:val="center"/>
          </w:tcPr>
          <w:p>
            <w:pPr>
              <w:spacing w:line="390" w:lineRule="exact"/>
              <w:jc w:val="left"/>
              <w:rPr>
                <w:color w:val="000000"/>
                <w:kern w:val="0"/>
                <w:sz w:val="21"/>
                <w:szCs w:val="21"/>
                <w:lang w:bidi="ar"/>
              </w:rPr>
            </w:pPr>
            <w:r>
              <w:rPr>
                <w:rFonts w:hint="eastAsia"/>
                <w:color w:val="000000"/>
                <w:sz w:val="18"/>
                <w:szCs w:val="18"/>
              </w:rPr>
              <w:t>唐乃膨</w:t>
            </w:r>
            <w:r>
              <w:rPr>
                <w:rFonts w:hint="eastAsia"/>
                <w:color w:val="000000"/>
                <w:sz w:val="18"/>
                <w:szCs w:val="18"/>
                <w:lang w:eastAsia="zh-CN"/>
              </w:rPr>
              <w:t>、</w:t>
            </w:r>
            <w:r>
              <w:rPr>
                <w:rFonts w:hint="eastAsia"/>
                <w:color w:val="000000"/>
                <w:sz w:val="18"/>
                <w:szCs w:val="18"/>
              </w:rPr>
              <w:t>薛晨阳</w:t>
            </w:r>
            <w:r>
              <w:rPr>
                <w:rFonts w:hint="eastAsia"/>
                <w:color w:val="000000"/>
                <w:sz w:val="18"/>
                <w:szCs w:val="18"/>
                <w:lang w:eastAsia="zh-CN"/>
              </w:rPr>
              <w:t>、</w:t>
            </w:r>
            <w:r>
              <w:rPr>
                <w:rFonts w:hint="eastAsia"/>
                <w:color w:val="000000"/>
                <w:sz w:val="18"/>
                <w:szCs w:val="18"/>
              </w:rPr>
              <w:t>刘少鹏</w:t>
            </w:r>
            <w:r>
              <w:rPr>
                <w:rFonts w:hint="eastAsia"/>
                <w:color w:val="000000"/>
                <w:sz w:val="18"/>
                <w:szCs w:val="18"/>
                <w:lang w:eastAsia="zh-CN"/>
              </w:rPr>
              <w:t>、</w:t>
            </w:r>
            <w:r>
              <w:rPr>
                <w:rFonts w:hint="eastAsia"/>
                <w:color w:val="000000"/>
                <w:sz w:val="18"/>
                <w:szCs w:val="18"/>
              </w:rPr>
              <w:t>朱洪洲</w:t>
            </w:r>
            <w:r>
              <w:rPr>
                <w:rFonts w:hint="eastAsia"/>
                <w:color w:val="000000"/>
                <w:sz w:val="18"/>
                <w:szCs w:val="18"/>
                <w:lang w:eastAsia="zh-CN"/>
              </w:rPr>
              <w:t>、</w:t>
            </w:r>
            <w:r>
              <w:rPr>
                <w:rFonts w:hint="eastAsia"/>
                <w:color w:val="000000"/>
                <w:sz w:val="18"/>
                <w:szCs w:val="18"/>
              </w:rPr>
              <w:t>李睿</w:t>
            </w:r>
          </w:p>
        </w:tc>
        <w:tc>
          <w:tcPr>
            <w:tcW w:w="526" w:type="pct"/>
            <w:vAlign w:val="center"/>
          </w:tcPr>
          <w:p>
            <w:pPr>
              <w:spacing w:line="390" w:lineRule="exact"/>
              <w:jc w:val="center"/>
              <w:rPr>
                <w:sz w:val="21"/>
                <w:szCs w:val="21"/>
              </w:rPr>
            </w:pPr>
            <w:r>
              <w:rPr>
                <w:rFonts w:hint="eastAsia"/>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04" w:type="pct"/>
            <w:vAlign w:val="center"/>
          </w:tcPr>
          <w:p>
            <w:pPr>
              <w:spacing w:line="390" w:lineRule="exact"/>
              <w:jc w:val="center"/>
              <w:rPr>
                <w:sz w:val="21"/>
                <w:szCs w:val="21"/>
              </w:rPr>
            </w:pPr>
            <w:r>
              <w:rPr>
                <w:rFonts w:hint="eastAsia" w:ascii="宋体" w:hAnsi="宋体"/>
                <w:color w:val="000000"/>
                <w:sz w:val="18"/>
                <w:szCs w:val="18"/>
                <w:lang w:val="en-US" w:eastAsia="zh-CN"/>
              </w:rPr>
              <w:t>EI</w:t>
            </w:r>
            <w:r>
              <w:rPr>
                <w:rFonts w:hint="eastAsia" w:ascii="宋体" w:hAnsi="宋体"/>
                <w:color w:val="000000"/>
                <w:sz w:val="18"/>
                <w:szCs w:val="18"/>
              </w:rPr>
              <w:t>论文</w:t>
            </w:r>
          </w:p>
        </w:tc>
        <w:tc>
          <w:tcPr>
            <w:tcW w:w="747" w:type="pct"/>
            <w:vAlign w:val="center"/>
          </w:tcPr>
          <w:p>
            <w:pPr>
              <w:spacing w:line="390" w:lineRule="exact"/>
              <w:jc w:val="left"/>
              <w:rPr>
                <w:sz w:val="21"/>
                <w:szCs w:val="21"/>
              </w:rPr>
            </w:pPr>
            <w:r>
              <w:rPr>
                <w:rFonts w:hint="eastAsia"/>
                <w:color w:val="000000"/>
                <w:sz w:val="18"/>
                <w:szCs w:val="18"/>
              </w:rPr>
              <w:t>胶粉改性沥青排放物采样及定量分析方法研究</w:t>
            </w:r>
          </w:p>
        </w:tc>
        <w:tc>
          <w:tcPr>
            <w:tcW w:w="318" w:type="pct"/>
            <w:vAlign w:val="center"/>
          </w:tcPr>
          <w:p>
            <w:pPr>
              <w:spacing w:line="390" w:lineRule="exact"/>
              <w:jc w:val="left"/>
              <w:rPr>
                <w:sz w:val="21"/>
                <w:szCs w:val="21"/>
              </w:rPr>
            </w:pPr>
            <w:r>
              <w:rPr>
                <w:rFonts w:hint="eastAsia"/>
                <w:color w:val="000000"/>
                <w:sz w:val="18"/>
                <w:szCs w:val="18"/>
              </w:rPr>
              <w:t>中国</w:t>
            </w:r>
          </w:p>
        </w:tc>
        <w:tc>
          <w:tcPr>
            <w:tcW w:w="509" w:type="pct"/>
            <w:vAlign w:val="center"/>
          </w:tcPr>
          <w:p>
            <w:pPr>
              <w:spacing w:line="390" w:lineRule="exact"/>
              <w:jc w:val="left"/>
              <w:rPr>
                <w:sz w:val="21"/>
                <w:szCs w:val="21"/>
              </w:rPr>
            </w:pPr>
          </w:p>
        </w:tc>
        <w:tc>
          <w:tcPr>
            <w:tcW w:w="398" w:type="pct"/>
            <w:vAlign w:val="center"/>
          </w:tcPr>
          <w:p>
            <w:pPr>
              <w:spacing w:line="390" w:lineRule="exact"/>
              <w:jc w:val="left"/>
              <w:rPr>
                <w:rFonts w:hint="default" w:eastAsia="宋体"/>
                <w:sz w:val="21"/>
                <w:szCs w:val="21"/>
                <w:lang w:val="en-US" w:eastAsia="zh-CN"/>
              </w:rPr>
            </w:pPr>
            <w:r>
              <w:rPr>
                <w:rFonts w:hint="eastAsia"/>
                <w:color w:val="000000"/>
                <w:sz w:val="18"/>
                <w:szCs w:val="18"/>
              </w:rPr>
              <w:t>2023年</w:t>
            </w:r>
            <w:r>
              <w:rPr>
                <w:rFonts w:hint="eastAsia"/>
                <w:color w:val="000000"/>
                <w:sz w:val="18"/>
                <w:szCs w:val="18"/>
                <w:lang w:val="en-US" w:eastAsia="zh-CN"/>
              </w:rPr>
              <w:t>3月</w:t>
            </w:r>
          </w:p>
        </w:tc>
        <w:tc>
          <w:tcPr>
            <w:tcW w:w="634" w:type="pct"/>
            <w:vAlign w:val="center"/>
          </w:tcPr>
          <w:p>
            <w:pPr>
              <w:spacing w:line="390" w:lineRule="exact"/>
              <w:jc w:val="left"/>
              <w:rPr>
                <w:sz w:val="21"/>
                <w:szCs w:val="21"/>
              </w:rPr>
            </w:pPr>
            <w:r>
              <w:rPr>
                <w:rFonts w:hint="eastAsia"/>
                <w:color w:val="000000"/>
                <w:sz w:val="18"/>
                <w:szCs w:val="18"/>
              </w:rPr>
              <w:t>吉林大学学报</w:t>
            </w:r>
            <w:r>
              <w:rPr>
                <w:rFonts w:hint="eastAsia"/>
                <w:color w:val="000000"/>
                <w:sz w:val="18"/>
                <w:szCs w:val="18"/>
                <w:lang w:eastAsia="zh-CN"/>
              </w:rPr>
              <w:t>（</w:t>
            </w:r>
            <w:r>
              <w:rPr>
                <w:rFonts w:hint="eastAsia"/>
                <w:color w:val="000000"/>
                <w:sz w:val="18"/>
                <w:szCs w:val="18"/>
              </w:rPr>
              <w:t>工学版</w:t>
            </w:r>
            <w:r>
              <w:rPr>
                <w:rFonts w:hint="eastAsia"/>
                <w:color w:val="000000"/>
                <w:sz w:val="18"/>
                <w:szCs w:val="18"/>
                <w:lang w:eastAsia="zh-CN"/>
              </w:rPr>
              <w:t>）</w:t>
            </w:r>
          </w:p>
        </w:tc>
        <w:tc>
          <w:tcPr>
            <w:tcW w:w="568" w:type="pct"/>
            <w:vAlign w:val="center"/>
          </w:tcPr>
          <w:p>
            <w:pPr>
              <w:spacing w:line="390" w:lineRule="exact"/>
              <w:jc w:val="left"/>
              <w:rPr>
                <w:sz w:val="21"/>
                <w:szCs w:val="21"/>
              </w:rPr>
            </w:pPr>
            <w:r>
              <w:rPr>
                <w:rFonts w:hint="eastAsia"/>
                <w:color w:val="000000"/>
                <w:sz w:val="18"/>
                <w:szCs w:val="18"/>
              </w:rPr>
              <w:t>重庆交通大学</w:t>
            </w:r>
          </w:p>
        </w:tc>
        <w:tc>
          <w:tcPr>
            <w:tcW w:w="691" w:type="pct"/>
            <w:vAlign w:val="center"/>
          </w:tcPr>
          <w:p>
            <w:pPr>
              <w:spacing w:line="390" w:lineRule="exact"/>
              <w:jc w:val="left"/>
              <w:rPr>
                <w:rFonts w:hint="eastAsia" w:eastAsia="宋体"/>
                <w:sz w:val="21"/>
                <w:szCs w:val="21"/>
                <w:lang w:eastAsia="zh-CN"/>
              </w:rPr>
            </w:pPr>
            <w:r>
              <w:rPr>
                <w:rFonts w:hint="eastAsia"/>
                <w:color w:val="000000"/>
                <w:sz w:val="18"/>
                <w:szCs w:val="18"/>
              </w:rPr>
              <w:t>朱洪洲</w:t>
            </w:r>
            <w:r>
              <w:rPr>
                <w:rFonts w:hint="eastAsia"/>
                <w:color w:val="000000"/>
                <w:sz w:val="18"/>
                <w:szCs w:val="18"/>
                <w:lang w:eastAsia="zh-CN"/>
              </w:rPr>
              <w:t>、</w:t>
            </w:r>
            <w:r>
              <w:rPr>
                <w:rFonts w:hint="eastAsia"/>
                <w:color w:val="000000"/>
                <w:sz w:val="18"/>
                <w:szCs w:val="18"/>
              </w:rPr>
              <w:t>苏春力</w:t>
            </w:r>
            <w:r>
              <w:rPr>
                <w:rFonts w:hint="eastAsia"/>
                <w:color w:val="000000"/>
                <w:sz w:val="18"/>
                <w:szCs w:val="18"/>
                <w:lang w:eastAsia="zh-CN"/>
              </w:rPr>
              <w:t>、</w:t>
            </w:r>
            <w:r>
              <w:rPr>
                <w:rFonts w:hint="eastAsia"/>
                <w:color w:val="000000"/>
                <w:sz w:val="18"/>
                <w:szCs w:val="18"/>
              </w:rPr>
              <w:t>唐乃膨</w:t>
            </w:r>
            <w:r>
              <w:rPr>
                <w:rFonts w:hint="eastAsia"/>
                <w:color w:val="000000"/>
                <w:sz w:val="18"/>
                <w:szCs w:val="18"/>
                <w:lang w:eastAsia="zh-CN"/>
              </w:rPr>
              <w:t>、魏俊尧、孙宏军</w:t>
            </w:r>
          </w:p>
        </w:tc>
        <w:tc>
          <w:tcPr>
            <w:tcW w:w="526" w:type="pct"/>
            <w:vAlign w:val="center"/>
          </w:tcPr>
          <w:p>
            <w:pPr>
              <w:spacing w:line="390" w:lineRule="exact"/>
              <w:jc w:val="center"/>
              <w:rPr>
                <w:sz w:val="21"/>
                <w:szCs w:val="21"/>
              </w:rPr>
            </w:pPr>
            <w:r>
              <w:rPr>
                <w:rFonts w:hint="eastAsia"/>
                <w:color w:val="000000"/>
                <w:sz w:val="18"/>
                <w:szCs w:val="18"/>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04" w:type="pct"/>
            <w:vAlign w:val="center"/>
          </w:tcPr>
          <w:p>
            <w:pPr>
              <w:spacing w:line="390" w:lineRule="exact"/>
              <w:jc w:val="center"/>
              <w:rPr>
                <w:sz w:val="21"/>
                <w:szCs w:val="21"/>
              </w:rPr>
            </w:pPr>
            <w:r>
              <w:rPr>
                <w:rFonts w:hint="eastAsia" w:ascii="宋体" w:hAnsi="宋体"/>
                <w:color w:val="000000"/>
                <w:sz w:val="18"/>
                <w:szCs w:val="18"/>
                <w:lang w:eastAsia="zh-CN"/>
              </w:rPr>
              <w:t>中文核心</w:t>
            </w:r>
            <w:r>
              <w:rPr>
                <w:rFonts w:hint="eastAsia" w:ascii="宋体" w:hAnsi="宋体"/>
                <w:color w:val="000000"/>
                <w:sz w:val="18"/>
                <w:szCs w:val="18"/>
              </w:rPr>
              <w:t>论文</w:t>
            </w:r>
          </w:p>
        </w:tc>
        <w:tc>
          <w:tcPr>
            <w:tcW w:w="747" w:type="pct"/>
            <w:vAlign w:val="center"/>
          </w:tcPr>
          <w:p>
            <w:pPr>
              <w:spacing w:line="390" w:lineRule="exact"/>
              <w:jc w:val="left"/>
              <w:rPr>
                <w:sz w:val="21"/>
                <w:szCs w:val="21"/>
              </w:rPr>
            </w:pPr>
            <w:r>
              <w:rPr>
                <w:rFonts w:hint="eastAsia"/>
                <w:color w:val="000000"/>
                <w:sz w:val="18"/>
                <w:szCs w:val="18"/>
              </w:rPr>
              <w:t>温拌橡塑复合改性沥青性能及应用研究</w:t>
            </w:r>
          </w:p>
        </w:tc>
        <w:tc>
          <w:tcPr>
            <w:tcW w:w="318" w:type="pct"/>
            <w:vAlign w:val="center"/>
          </w:tcPr>
          <w:p>
            <w:pPr>
              <w:spacing w:line="390" w:lineRule="exact"/>
              <w:jc w:val="left"/>
              <w:rPr>
                <w:sz w:val="21"/>
                <w:szCs w:val="21"/>
              </w:rPr>
            </w:pPr>
            <w:r>
              <w:rPr>
                <w:rFonts w:hint="eastAsia" w:ascii="宋体" w:hAnsi="宋体"/>
                <w:color w:val="000000"/>
                <w:sz w:val="18"/>
                <w:szCs w:val="18"/>
              </w:rPr>
              <w:t>中国</w:t>
            </w:r>
          </w:p>
        </w:tc>
        <w:tc>
          <w:tcPr>
            <w:tcW w:w="509" w:type="pct"/>
            <w:vAlign w:val="center"/>
          </w:tcPr>
          <w:p>
            <w:pPr>
              <w:spacing w:line="390" w:lineRule="exact"/>
              <w:jc w:val="left"/>
              <w:rPr>
                <w:sz w:val="21"/>
                <w:szCs w:val="21"/>
              </w:rPr>
            </w:pPr>
          </w:p>
        </w:tc>
        <w:tc>
          <w:tcPr>
            <w:tcW w:w="398" w:type="pct"/>
            <w:vAlign w:val="center"/>
          </w:tcPr>
          <w:p>
            <w:pPr>
              <w:spacing w:line="390" w:lineRule="exact"/>
              <w:jc w:val="left"/>
              <w:rPr>
                <w:rFonts w:hint="default" w:eastAsia="宋体"/>
                <w:sz w:val="21"/>
                <w:szCs w:val="21"/>
                <w:lang w:val="en-US" w:eastAsia="zh-CN"/>
              </w:rPr>
            </w:pPr>
            <w:r>
              <w:rPr>
                <w:rFonts w:ascii="宋体" w:hAnsi="宋体" w:cs="Times New Roman"/>
                <w:color w:val="000000"/>
                <w:sz w:val="18"/>
                <w:szCs w:val="18"/>
              </w:rPr>
              <w:t>20</w:t>
            </w:r>
            <w:r>
              <w:rPr>
                <w:rFonts w:hint="eastAsia" w:ascii="宋体" w:hAnsi="宋体" w:cs="Times New Roman"/>
                <w:color w:val="000000"/>
                <w:sz w:val="18"/>
                <w:szCs w:val="18"/>
              </w:rPr>
              <w:t>22</w:t>
            </w:r>
            <w:r>
              <w:rPr>
                <w:rFonts w:ascii="宋体" w:hAnsi="宋体" w:cs="Times New Roman"/>
                <w:color w:val="000000"/>
                <w:sz w:val="18"/>
                <w:szCs w:val="18"/>
              </w:rPr>
              <w:t>年</w:t>
            </w:r>
            <w:r>
              <w:rPr>
                <w:rFonts w:hint="eastAsia" w:ascii="宋体" w:hAnsi="宋体" w:cs="Times New Roman"/>
                <w:color w:val="000000"/>
                <w:sz w:val="18"/>
                <w:szCs w:val="18"/>
              </w:rPr>
              <w:t>9月</w:t>
            </w:r>
          </w:p>
        </w:tc>
        <w:tc>
          <w:tcPr>
            <w:tcW w:w="634" w:type="pct"/>
            <w:vAlign w:val="center"/>
          </w:tcPr>
          <w:p>
            <w:pPr>
              <w:spacing w:line="390" w:lineRule="exact"/>
              <w:jc w:val="left"/>
              <w:rPr>
                <w:sz w:val="21"/>
                <w:szCs w:val="21"/>
              </w:rPr>
            </w:pPr>
            <w:r>
              <w:rPr>
                <w:rFonts w:hint="eastAsia"/>
                <w:color w:val="000000"/>
                <w:sz w:val="18"/>
                <w:szCs w:val="18"/>
              </w:rPr>
              <w:t>《化学与粘合》</w:t>
            </w:r>
          </w:p>
        </w:tc>
        <w:tc>
          <w:tcPr>
            <w:tcW w:w="568" w:type="pct"/>
            <w:vAlign w:val="center"/>
          </w:tcPr>
          <w:p>
            <w:pPr>
              <w:spacing w:line="390" w:lineRule="exact"/>
              <w:jc w:val="left"/>
              <w:rPr>
                <w:sz w:val="21"/>
                <w:szCs w:val="21"/>
              </w:rPr>
            </w:pPr>
            <w:r>
              <w:rPr>
                <w:rFonts w:hint="eastAsia" w:ascii="宋体" w:hAnsi="宋体"/>
                <w:color w:val="000000"/>
                <w:sz w:val="18"/>
                <w:szCs w:val="18"/>
              </w:rPr>
              <w:t>贵阳市城市发展投资集团股份有限公司</w:t>
            </w:r>
          </w:p>
        </w:tc>
        <w:tc>
          <w:tcPr>
            <w:tcW w:w="691" w:type="pct"/>
            <w:vAlign w:val="center"/>
          </w:tcPr>
          <w:p>
            <w:pPr>
              <w:spacing w:line="390" w:lineRule="exact"/>
              <w:jc w:val="left"/>
              <w:rPr>
                <w:sz w:val="21"/>
                <w:szCs w:val="21"/>
              </w:rPr>
            </w:pPr>
            <w:r>
              <w:rPr>
                <w:rFonts w:hint="eastAsia" w:ascii="宋体" w:hAnsi="宋体"/>
                <w:color w:val="000000"/>
                <w:sz w:val="18"/>
                <w:szCs w:val="18"/>
              </w:rPr>
              <w:t>林昌顺</w:t>
            </w:r>
          </w:p>
        </w:tc>
        <w:tc>
          <w:tcPr>
            <w:tcW w:w="526" w:type="pct"/>
            <w:vAlign w:val="center"/>
          </w:tcPr>
          <w:p>
            <w:pPr>
              <w:spacing w:line="390" w:lineRule="exact"/>
              <w:jc w:val="center"/>
              <w:rPr>
                <w:sz w:val="21"/>
                <w:szCs w:val="21"/>
              </w:rPr>
            </w:pPr>
            <w:r>
              <w:rPr>
                <w:rFonts w:hint="eastAsia" w:ascii="宋体" w:hAnsi="宋体"/>
                <w:color w:val="000000"/>
                <w:sz w:val="18"/>
                <w:szCs w:val="18"/>
              </w:rPr>
              <w:t>有效</w:t>
            </w:r>
          </w:p>
        </w:tc>
      </w:tr>
    </w:tbl>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w:t>
      </w:r>
      <w:r>
        <w:rPr>
          <w:rFonts w:hint="eastAsia" w:ascii="仿宋_GB2312" w:eastAsia="仿宋_GB2312"/>
          <w:sz w:val="32"/>
          <w:szCs w:val="32"/>
          <w:lang w:val="en-US" w:eastAsia="zh-CN"/>
        </w:rPr>
        <w:t>3</w:t>
      </w:r>
      <w:r>
        <w:rPr>
          <w:rFonts w:hint="eastAsia" w:ascii="仿宋_GB2312" w:eastAsia="仿宋_GB2312"/>
          <w:sz w:val="32"/>
          <w:szCs w:val="32"/>
        </w:rPr>
        <w:t>年度省科学技术奖励评审但未授奖。</w:t>
      </w:r>
    </w:p>
    <w:p>
      <w:pPr>
        <w:ind w:firstLine="640" w:firstLineChars="200"/>
        <w:rPr>
          <w:rFonts w:hint="default" w:ascii="仿宋_GB2312" w:eastAsia="仿宋_GB2312"/>
          <w:sz w:val="32"/>
          <w:szCs w:val="32"/>
          <w:lang w:val="en-US" w:eastAsia="zh-CN"/>
        </w:rPr>
      </w:pPr>
      <w:r>
        <w:rPr>
          <w:rFonts w:hint="eastAsia" w:ascii="仿宋_GB2312" w:eastAsia="仿宋_GB2312"/>
          <w:sz w:val="32"/>
          <w:szCs w:val="32"/>
        </w:rPr>
        <w:t>共有知识产权已征得未列入项目主要完成人的权利人同意。</w:t>
      </w: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06088C9-4721-4CA8-81D1-651F851A143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53DC288B-F4D5-4ECC-A290-954244FD53BE}"/>
  </w:font>
  <w:font w:name="仿宋_GB2312">
    <w:panose1 w:val="02010609030101010101"/>
    <w:charset w:val="86"/>
    <w:family w:val="modern"/>
    <w:pitch w:val="default"/>
    <w:sig w:usb0="00000001" w:usb1="080E0000" w:usb2="00000000" w:usb3="00000000" w:csb0="00040000" w:csb1="00000000"/>
    <w:embedRegular r:id="rId3" w:fontKey="{A5ECF2DF-7165-4376-AD31-590C9258C3AB}"/>
  </w:font>
  <w:font w:name="楷体_GB2312">
    <w:panose1 w:val="02010609030101010101"/>
    <w:charset w:val="86"/>
    <w:family w:val="auto"/>
    <w:pitch w:val="default"/>
    <w:sig w:usb0="00000001" w:usb1="080E0000" w:usb2="00000000" w:usb3="00000000" w:csb0="00040000" w:csb1="00000000"/>
    <w:embedRegular r:id="rId4" w:fontKey="{B7C5E772-0A4F-41FD-B7D7-E3973CDFA7B3}"/>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ZGY5MDU1OTJhNzk0NmRhMDI1MGYyNDBlNGUzYTEifQ=="/>
  </w:docVars>
  <w:rsids>
    <w:rsidRoot w:val="75D36234"/>
    <w:rsid w:val="00017627"/>
    <w:rsid w:val="000B7A62"/>
    <w:rsid w:val="0013735F"/>
    <w:rsid w:val="0024603D"/>
    <w:rsid w:val="003902F4"/>
    <w:rsid w:val="003D0768"/>
    <w:rsid w:val="00554AA5"/>
    <w:rsid w:val="005D3157"/>
    <w:rsid w:val="006031E4"/>
    <w:rsid w:val="006A7BF0"/>
    <w:rsid w:val="006C4EF9"/>
    <w:rsid w:val="00715D86"/>
    <w:rsid w:val="00731C9B"/>
    <w:rsid w:val="00775B18"/>
    <w:rsid w:val="008513AF"/>
    <w:rsid w:val="00910F49"/>
    <w:rsid w:val="009F5A50"/>
    <w:rsid w:val="00A97E87"/>
    <w:rsid w:val="00B56311"/>
    <w:rsid w:val="00BF5602"/>
    <w:rsid w:val="00CB4667"/>
    <w:rsid w:val="00EC41A1"/>
    <w:rsid w:val="00FD6A21"/>
    <w:rsid w:val="00FD7C7E"/>
    <w:rsid w:val="00FF6079"/>
    <w:rsid w:val="012C6E29"/>
    <w:rsid w:val="016415F8"/>
    <w:rsid w:val="017E0BA9"/>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A7804"/>
    <w:rsid w:val="0D874C6E"/>
    <w:rsid w:val="0EE67E01"/>
    <w:rsid w:val="0F643ECF"/>
    <w:rsid w:val="0FF1019B"/>
    <w:rsid w:val="1022799E"/>
    <w:rsid w:val="103B02C3"/>
    <w:rsid w:val="11E459D1"/>
    <w:rsid w:val="124A7C53"/>
    <w:rsid w:val="128444E2"/>
    <w:rsid w:val="129F0029"/>
    <w:rsid w:val="12C71DD8"/>
    <w:rsid w:val="13313DF9"/>
    <w:rsid w:val="1388399D"/>
    <w:rsid w:val="13A23A82"/>
    <w:rsid w:val="13C1524A"/>
    <w:rsid w:val="140E1654"/>
    <w:rsid w:val="141F006B"/>
    <w:rsid w:val="14362F46"/>
    <w:rsid w:val="15CA7450"/>
    <w:rsid w:val="16282C90"/>
    <w:rsid w:val="16805122"/>
    <w:rsid w:val="16B357FA"/>
    <w:rsid w:val="16D52CED"/>
    <w:rsid w:val="17EF6528"/>
    <w:rsid w:val="188D1AB0"/>
    <w:rsid w:val="19072254"/>
    <w:rsid w:val="19113AE5"/>
    <w:rsid w:val="193949DB"/>
    <w:rsid w:val="199D5DAC"/>
    <w:rsid w:val="1ABB5BFE"/>
    <w:rsid w:val="1AE8259D"/>
    <w:rsid w:val="1C3D446E"/>
    <w:rsid w:val="1C4330F0"/>
    <w:rsid w:val="1CA4021B"/>
    <w:rsid w:val="1CC87F2F"/>
    <w:rsid w:val="1D3816E6"/>
    <w:rsid w:val="1D9447A6"/>
    <w:rsid w:val="1D950CA3"/>
    <w:rsid w:val="1DE87474"/>
    <w:rsid w:val="1E324FC2"/>
    <w:rsid w:val="1FBA7265"/>
    <w:rsid w:val="206441C0"/>
    <w:rsid w:val="222F31C8"/>
    <w:rsid w:val="2279225F"/>
    <w:rsid w:val="230C3692"/>
    <w:rsid w:val="232D3928"/>
    <w:rsid w:val="236E0599"/>
    <w:rsid w:val="2372476C"/>
    <w:rsid w:val="23AA74DC"/>
    <w:rsid w:val="240625FF"/>
    <w:rsid w:val="259E1E3D"/>
    <w:rsid w:val="27217AC1"/>
    <w:rsid w:val="27273A5D"/>
    <w:rsid w:val="276B105A"/>
    <w:rsid w:val="27C77BEA"/>
    <w:rsid w:val="28963FC6"/>
    <w:rsid w:val="28E5268D"/>
    <w:rsid w:val="298B7113"/>
    <w:rsid w:val="2A60149F"/>
    <w:rsid w:val="2AA1022C"/>
    <w:rsid w:val="2AD21399"/>
    <w:rsid w:val="2B477ECC"/>
    <w:rsid w:val="2BE53E33"/>
    <w:rsid w:val="2BEE541D"/>
    <w:rsid w:val="2C8358A4"/>
    <w:rsid w:val="2CB11BE3"/>
    <w:rsid w:val="2DCF500B"/>
    <w:rsid w:val="2E154B57"/>
    <w:rsid w:val="2E31003C"/>
    <w:rsid w:val="300E21B8"/>
    <w:rsid w:val="302E2DCC"/>
    <w:rsid w:val="303A3BE6"/>
    <w:rsid w:val="306227BE"/>
    <w:rsid w:val="30782365"/>
    <w:rsid w:val="30955AF3"/>
    <w:rsid w:val="318850D4"/>
    <w:rsid w:val="32566F94"/>
    <w:rsid w:val="329575C1"/>
    <w:rsid w:val="337F23F7"/>
    <w:rsid w:val="34775871"/>
    <w:rsid w:val="34FA2224"/>
    <w:rsid w:val="35F33357"/>
    <w:rsid w:val="36BBB3B4"/>
    <w:rsid w:val="36D03D22"/>
    <w:rsid w:val="36EB1356"/>
    <w:rsid w:val="372375D2"/>
    <w:rsid w:val="37CB7F0A"/>
    <w:rsid w:val="384D4DBB"/>
    <w:rsid w:val="385702A2"/>
    <w:rsid w:val="38776E25"/>
    <w:rsid w:val="388324F3"/>
    <w:rsid w:val="38C904AC"/>
    <w:rsid w:val="39B36A2C"/>
    <w:rsid w:val="39B408CC"/>
    <w:rsid w:val="39F84847"/>
    <w:rsid w:val="3A3E21CB"/>
    <w:rsid w:val="3A834D93"/>
    <w:rsid w:val="3B6F3313"/>
    <w:rsid w:val="3B7609D8"/>
    <w:rsid w:val="3BA57024"/>
    <w:rsid w:val="3BA96372"/>
    <w:rsid w:val="3BB369EC"/>
    <w:rsid w:val="3CDE5BAF"/>
    <w:rsid w:val="3D10537F"/>
    <w:rsid w:val="3D7776DE"/>
    <w:rsid w:val="3E5466E2"/>
    <w:rsid w:val="3EB42DAD"/>
    <w:rsid w:val="3ED709D0"/>
    <w:rsid w:val="3EFB147E"/>
    <w:rsid w:val="3F1261E7"/>
    <w:rsid w:val="402658E6"/>
    <w:rsid w:val="40AB040F"/>
    <w:rsid w:val="40F71EBC"/>
    <w:rsid w:val="41BE146A"/>
    <w:rsid w:val="43173539"/>
    <w:rsid w:val="442946B2"/>
    <w:rsid w:val="44877682"/>
    <w:rsid w:val="45CE0D4F"/>
    <w:rsid w:val="45D52AB3"/>
    <w:rsid w:val="45F538D3"/>
    <w:rsid w:val="46217315"/>
    <w:rsid w:val="475B1DFE"/>
    <w:rsid w:val="479E4295"/>
    <w:rsid w:val="481905D8"/>
    <w:rsid w:val="487C1EE1"/>
    <w:rsid w:val="49232D77"/>
    <w:rsid w:val="49713B77"/>
    <w:rsid w:val="4A3C7E3F"/>
    <w:rsid w:val="4AB5304A"/>
    <w:rsid w:val="4B863A94"/>
    <w:rsid w:val="4C1D7622"/>
    <w:rsid w:val="4CA91F02"/>
    <w:rsid w:val="4D0534BD"/>
    <w:rsid w:val="4D1E6489"/>
    <w:rsid w:val="4E1A050E"/>
    <w:rsid w:val="4E887DAB"/>
    <w:rsid w:val="4E992229"/>
    <w:rsid w:val="4EA01BE8"/>
    <w:rsid w:val="511A24BA"/>
    <w:rsid w:val="51AC5467"/>
    <w:rsid w:val="51C42BB3"/>
    <w:rsid w:val="5255681F"/>
    <w:rsid w:val="52A251C4"/>
    <w:rsid w:val="52D03DD1"/>
    <w:rsid w:val="52D067A0"/>
    <w:rsid w:val="539B2C3C"/>
    <w:rsid w:val="53A10F15"/>
    <w:rsid w:val="53A40CC6"/>
    <w:rsid w:val="53C3128B"/>
    <w:rsid w:val="54F57816"/>
    <w:rsid w:val="55943242"/>
    <w:rsid w:val="55AD379F"/>
    <w:rsid w:val="55AF3892"/>
    <w:rsid w:val="569B3556"/>
    <w:rsid w:val="56F07EE6"/>
    <w:rsid w:val="571614AB"/>
    <w:rsid w:val="573922E9"/>
    <w:rsid w:val="575B36A7"/>
    <w:rsid w:val="57624F69"/>
    <w:rsid w:val="578124C6"/>
    <w:rsid w:val="57C371A6"/>
    <w:rsid w:val="59D0231A"/>
    <w:rsid w:val="5A4153C2"/>
    <w:rsid w:val="5AC06835"/>
    <w:rsid w:val="5B526FD6"/>
    <w:rsid w:val="5C7F5534"/>
    <w:rsid w:val="5E6464F6"/>
    <w:rsid w:val="5E7C7495"/>
    <w:rsid w:val="60565A87"/>
    <w:rsid w:val="61B71E75"/>
    <w:rsid w:val="61C01EA7"/>
    <w:rsid w:val="62D844D6"/>
    <w:rsid w:val="62D955DA"/>
    <w:rsid w:val="6362248D"/>
    <w:rsid w:val="63637D4F"/>
    <w:rsid w:val="64670722"/>
    <w:rsid w:val="64C44DA2"/>
    <w:rsid w:val="65044D94"/>
    <w:rsid w:val="659C7F6C"/>
    <w:rsid w:val="663F0B50"/>
    <w:rsid w:val="66E63FD5"/>
    <w:rsid w:val="671F43C4"/>
    <w:rsid w:val="67880EC5"/>
    <w:rsid w:val="67CF3DD4"/>
    <w:rsid w:val="682415D2"/>
    <w:rsid w:val="68AA71AB"/>
    <w:rsid w:val="69286FA4"/>
    <w:rsid w:val="692F326B"/>
    <w:rsid w:val="69BF176D"/>
    <w:rsid w:val="69D177BC"/>
    <w:rsid w:val="69D9608F"/>
    <w:rsid w:val="6A6510D3"/>
    <w:rsid w:val="6AB07920"/>
    <w:rsid w:val="6AE00EF4"/>
    <w:rsid w:val="6AE436B8"/>
    <w:rsid w:val="6BF477F3"/>
    <w:rsid w:val="6CB757B3"/>
    <w:rsid w:val="6D017F3E"/>
    <w:rsid w:val="6F2E022C"/>
    <w:rsid w:val="6F750034"/>
    <w:rsid w:val="6FD45285"/>
    <w:rsid w:val="708E6300"/>
    <w:rsid w:val="71463B43"/>
    <w:rsid w:val="71743425"/>
    <w:rsid w:val="7203031A"/>
    <w:rsid w:val="735B195D"/>
    <w:rsid w:val="743A2165"/>
    <w:rsid w:val="754D2A92"/>
    <w:rsid w:val="757E446B"/>
    <w:rsid w:val="75884346"/>
    <w:rsid w:val="75D36234"/>
    <w:rsid w:val="767A6AAF"/>
    <w:rsid w:val="76A27E8D"/>
    <w:rsid w:val="76AA79E1"/>
    <w:rsid w:val="775C296F"/>
    <w:rsid w:val="77FB110E"/>
    <w:rsid w:val="784C1B55"/>
    <w:rsid w:val="78757EF0"/>
    <w:rsid w:val="7892482B"/>
    <w:rsid w:val="78B17899"/>
    <w:rsid w:val="78FD72FA"/>
    <w:rsid w:val="79876365"/>
    <w:rsid w:val="79D85537"/>
    <w:rsid w:val="7A2A3677"/>
    <w:rsid w:val="7AB55C42"/>
    <w:rsid w:val="7B5B1641"/>
    <w:rsid w:val="7C334C50"/>
    <w:rsid w:val="7C6704C2"/>
    <w:rsid w:val="7E015BB4"/>
    <w:rsid w:val="7E5A5BD8"/>
    <w:rsid w:val="7E80620C"/>
    <w:rsid w:val="7F3D7105"/>
    <w:rsid w:val="7F7B4AA1"/>
    <w:rsid w:val="7FDF31B0"/>
    <w:rsid w:val="7FEC6089"/>
    <w:rsid w:val="B11DD116"/>
    <w:rsid w:val="CDFF590F"/>
    <w:rsid w:val="EDF7F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2">
    <w:name w:val="heading 1"/>
    <w:basedOn w:val="1"/>
    <w:next w:val="1"/>
    <w:link w:val="31"/>
    <w:autoRedefine/>
    <w:qFormat/>
    <w:uiPriority w:val="0"/>
    <w:pPr>
      <w:keepNext/>
      <w:jc w:val="center"/>
      <w:outlineLvl w:val="0"/>
    </w:pPr>
    <w:rPr>
      <w:b/>
      <w:sz w:val="36"/>
    </w:rPr>
  </w:style>
  <w:style w:type="paragraph" w:styleId="3">
    <w:name w:val="heading 2"/>
    <w:basedOn w:val="1"/>
    <w:next w:val="1"/>
    <w:link w:val="29"/>
    <w:autoRedefine/>
    <w:semiHidden/>
    <w:unhideWhenUsed/>
    <w:qFormat/>
    <w:uiPriority w:val="0"/>
    <w:pPr>
      <w:keepNext/>
      <w:keepLines/>
      <w:jc w:val="center"/>
      <w:outlineLvl w:val="1"/>
    </w:pPr>
    <w:rPr>
      <w:b/>
      <w:bCs/>
      <w:sz w:val="28"/>
      <w:szCs w:val="30"/>
    </w:rPr>
  </w:style>
  <w:style w:type="paragraph" w:styleId="4">
    <w:name w:val="heading 3"/>
    <w:basedOn w:val="1"/>
    <w:next w:val="1"/>
    <w:link w:val="28"/>
    <w:autoRedefine/>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5">
    <w:name w:val="heading 4"/>
    <w:basedOn w:val="1"/>
    <w:next w:val="1"/>
    <w:link w:val="30"/>
    <w:autoRedefine/>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6">
    <w:name w:val="heading 5"/>
    <w:basedOn w:val="1"/>
    <w:next w:val="1"/>
    <w:autoRedefine/>
    <w:semiHidden/>
    <w:unhideWhenUsed/>
    <w:qFormat/>
    <w:uiPriority w:val="0"/>
    <w:pPr>
      <w:keepNext/>
      <w:keepLines/>
      <w:spacing w:before="280" w:after="290" w:line="372" w:lineRule="auto"/>
      <w:outlineLvl w:val="4"/>
    </w:pPr>
    <w:rPr>
      <w:rFonts w:eastAsia="黑体"/>
      <w:b/>
    </w:rPr>
  </w:style>
  <w:style w:type="character" w:default="1" w:styleId="21">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7">
    <w:name w:val="caption"/>
    <w:basedOn w:val="1"/>
    <w:next w:val="1"/>
    <w:autoRedefine/>
    <w:semiHidden/>
    <w:unhideWhenUsed/>
    <w:qFormat/>
    <w:uiPriority w:val="0"/>
    <w:pPr>
      <w:jc w:val="center"/>
    </w:pPr>
    <w:rPr>
      <w:b/>
      <w:sz w:val="21"/>
      <w:szCs w:val="22"/>
    </w:rPr>
  </w:style>
  <w:style w:type="paragraph" w:styleId="8">
    <w:name w:val="Body Text Indent"/>
    <w:basedOn w:val="1"/>
    <w:link w:val="32"/>
    <w:autoRedefine/>
    <w:qFormat/>
    <w:uiPriority w:val="0"/>
    <w:pPr>
      <w:ind w:left="420" w:leftChars="200"/>
    </w:pPr>
    <w:rPr>
      <w:rFonts w:cs="Times New Roman"/>
    </w:rPr>
  </w:style>
  <w:style w:type="paragraph" w:styleId="9">
    <w:name w:val="toc 3"/>
    <w:basedOn w:val="1"/>
    <w:next w:val="1"/>
    <w:autoRedefine/>
    <w:qFormat/>
    <w:uiPriority w:val="0"/>
    <w:pPr>
      <w:ind w:left="560" w:leftChars="200"/>
    </w:pPr>
  </w:style>
  <w:style w:type="paragraph" w:styleId="10">
    <w:name w:val="Plain Text"/>
    <w:basedOn w:val="1"/>
    <w:link w:val="38"/>
    <w:autoRedefine/>
    <w:qFormat/>
    <w:uiPriority w:val="0"/>
  </w:style>
  <w:style w:type="paragraph" w:styleId="11">
    <w:name w:val="endnote text"/>
    <w:basedOn w:val="1"/>
    <w:autoRedefine/>
    <w:qFormat/>
    <w:uiPriority w:val="0"/>
    <w:pPr>
      <w:snapToGrid w:val="0"/>
    </w:pPr>
    <w:rPr>
      <w:sz w:val="21"/>
    </w:rPr>
  </w:style>
  <w:style w:type="paragraph" w:styleId="12">
    <w:name w:val="Balloon Text"/>
    <w:basedOn w:val="1"/>
    <w:link w:val="35"/>
    <w:autoRedefine/>
    <w:qFormat/>
    <w:uiPriority w:val="0"/>
    <w:pPr>
      <w:spacing w:line="240" w:lineRule="auto"/>
    </w:pPr>
    <w:rPr>
      <w:sz w:val="18"/>
      <w:szCs w:val="18"/>
    </w:rPr>
  </w:style>
  <w:style w:type="paragraph" w:styleId="13">
    <w:name w:val="footer"/>
    <w:basedOn w:val="1"/>
    <w:link w:val="37"/>
    <w:autoRedefine/>
    <w:qFormat/>
    <w:uiPriority w:val="99"/>
    <w:pPr>
      <w:tabs>
        <w:tab w:val="center" w:pos="4153"/>
        <w:tab w:val="right" w:pos="8306"/>
      </w:tabs>
      <w:snapToGrid w:val="0"/>
      <w:spacing w:line="480" w:lineRule="auto"/>
      <w:jc w:val="left"/>
    </w:pPr>
    <w:rPr>
      <w:sz w:val="18"/>
      <w:szCs w:val="18"/>
    </w:rPr>
  </w:style>
  <w:style w:type="paragraph" w:styleId="14">
    <w:name w:val="header"/>
    <w:basedOn w:val="1"/>
    <w:link w:val="36"/>
    <w:autoRedefine/>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5">
    <w:name w:val="toc 1"/>
    <w:basedOn w:val="1"/>
    <w:next w:val="1"/>
    <w:autoRedefine/>
    <w:qFormat/>
    <w:uiPriority w:val="0"/>
    <w:pPr>
      <w:tabs>
        <w:tab w:val="right" w:leader="dot" w:pos="8296"/>
      </w:tabs>
    </w:pPr>
    <w:rPr>
      <w:sz w:val="28"/>
      <w:szCs w:val="28"/>
    </w:rPr>
  </w:style>
  <w:style w:type="paragraph" w:styleId="16">
    <w:name w:val="toc 4"/>
    <w:basedOn w:val="1"/>
    <w:next w:val="1"/>
    <w:autoRedefine/>
    <w:qFormat/>
    <w:uiPriority w:val="0"/>
    <w:pPr>
      <w:ind w:left="960" w:leftChars="400"/>
    </w:pPr>
  </w:style>
  <w:style w:type="paragraph" w:styleId="17">
    <w:name w:val="toc 2"/>
    <w:basedOn w:val="1"/>
    <w:next w:val="1"/>
    <w:autoRedefine/>
    <w:qFormat/>
    <w:uiPriority w:val="0"/>
    <w:pPr>
      <w:ind w:left="420" w:leftChars="200"/>
    </w:pPr>
  </w:style>
  <w:style w:type="paragraph" w:styleId="18">
    <w:name w:val="Title"/>
    <w:basedOn w:val="1"/>
    <w:next w:val="1"/>
    <w:link w:val="33"/>
    <w:autoRedefine/>
    <w:qFormat/>
    <w:uiPriority w:val="0"/>
    <w:pPr>
      <w:jc w:val="center"/>
      <w:outlineLvl w:val="0"/>
    </w:pPr>
    <w:rPr>
      <w:b/>
      <w:bCs/>
      <w:sz w:val="28"/>
      <w:szCs w:val="32"/>
    </w:rPr>
  </w:style>
  <w:style w:type="paragraph" w:styleId="19">
    <w:name w:val="Body Text First Indent 2"/>
    <w:basedOn w:val="8"/>
    <w:autoRedefine/>
    <w:qFormat/>
    <w:uiPriority w:val="0"/>
    <w:pPr>
      <w:ind w:firstLine="420" w:firstLineChars="200"/>
    </w:pPr>
  </w:style>
  <w:style w:type="paragraph" w:customStyle="1" w:styleId="22">
    <w:name w:val="表格内"/>
    <w:basedOn w:val="1"/>
    <w:autoRedefine/>
    <w:qFormat/>
    <w:uiPriority w:val="0"/>
    <w:pPr>
      <w:snapToGrid w:val="0"/>
      <w:jc w:val="center"/>
    </w:pPr>
  </w:style>
  <w:style w:type="paragraph" w:customStyle="1" w:styleId="23">
    <w:name w:val="段落"/>
    <w:basedOn w:val="1"/>
    <w:autoRedefine/>
    <w:qFormat/>
    <w:uiPriority w:val="0"/>
    <w:pPr>
      <w:snapToGrid w:val="0"/>
      <w:spacing w:before="50" w:beforeLines="50" w:after="50" w:afterLines="50"/>
      <w:ind w:firstLine="883" w:firstLineChars="200"/>
    </w:pPr>
    <w:rPr>
      <w:sz w:val="21"/>
      <w:szCs w:val="22"/>
    </w:rPr>
  </w:style>
  <w:style w:type="paragraph" w:customStyle="1" w:styleId="24">
    <w:name w:val="样式1"/>
    <w:basedOn w:val="1"/>
    <w:autoRedefine/>
    <w:qFormat/>
    <w:uiPriority w:val="0"/>
  </w:style>
  <w:style w:type="paragraph" w:customStyle="1" w:styleId="25">
    <w:name w:val="常规"/>
    <w:basedOn w:val="1"/>
    <w:autoRedefine/>
    <w:qFormat/>
    <w:uiPriority w:val="0"/>
  </w:style>
  <w:style w:type="paragraph" w:customStyle="1" w:styleId="26">
    <w:name w:val="表格"/>
    <w:basedOn w:val="1"/>
    <w:autoRedefine/>
    <w:qFormat/>
    <w:uiPriority w:val="0"/>
    <w:pPr>
      <w:spacing w:line="260" w:lineRule="auto"/>
      <w:jc w:val="center"/>
    </w:pPr>
    <w:rPr>
      <w:rFonts w:asciiTheme="minorHAnsi" w:hAnsiTheme="minorHAnsi" w:eastAsiaTheme="minorEastAsia"/>
      <w:sz w:val="21"/>
      <w:szCs w:val="24"/>
    </w:rPr>
  </w:style>
  <w:style w:type="paragraph" w:customStyle="1" w:styleId="27">
    <w:name w:val="支撑材料"/>
    <w:basedOn w:val="1"/>
    <w:autoRedefine/>
    <w:qFormat/>
    <w:uiPriority w:val="0"/>
    <w:pPr>
      <w:spacing w:before="50" w:beforeLines="50" w:after="50" w:afterLines="50"/>
    </w:pPr>
    <w:rPr>
      <w:rFonts w:cs="Times New Roman"/>
      <w:color w:val="000000"/>
      <w:kern w:val="0"/>
      <w:szCs w:val="21"/>
    </w:rPr>
  </w:style>
  <w:style w:type="character" w:customStyle="1" w:styleId="28">
    <w:name w:val="标题 3 字符"/>
    <w:link w:val="4"/>
    <w:autoRedefine/>
    <w:qFormat/>
    <w:uiPriority w:val="0"/>
    <w:rPr>
      <w:rFonts w:hint="default" w:ascii="Times New Roman" w:hAnsi="Times New Roman" w:eastAsia="宋体" w:cs="Times New Roman"/>
      <w:b/>
      <w:bCs/>
      <w:spacing w:val="-4"/>
      <w:kern w:val="2"/>
      <w:sz w:val="28"/>
      <w:szCs w:val="32"/>
    </w:rPr>
  </w:style>
  <w:style w:type="character" w:customStyle="1" w:styleId="29">
    <w:name w:val="标题 2 字符"/>
    <w:basedOn w:val="21"/>
    <w:link w:val="3"/>
    <w:autoRedefine/>
    <w:qFormat/>
    <w:uiPriority w:val="9"/>
    <w:rPr>
      <w:rFonts w:ascii="Times New Roman" w:hAnsi="Times New Roman" w:eastAsia="宋体" w:cstheme="majorBidi"/>
      <w:b/>
      <w:bCs/>
      <w:spacing w:val="-4"/>
      <w:kern w:val="2"/>
      <w:sz w:val="28"/>
      <w:szCs w:val="32"/>
    </w:rPr>
  </w:style>
  <w:style w:type="character" w:customStyle="1" w:styleId="30">
    <w:name w:val="标题 4 字符"/>
    <w:basedOn w:val="21"/>
    <w:link w:val="5"/>
    <w:autoRedefine/>
    <w:qFormat/>
    <w:uiPriority w:val="0"/>
    <w:rPr>
      <w:rFonts w:ascii="Times New Roman" w:hAnsi="Times New Roman" w:eastAsia="宋体" w:cs="Times New Roman"/>
      <w:b/>
      <w:bCs/>
      <w:kern w:val="2"/>
      <w:sz w:val="28"/>
      <w:szCs w:val="28"/>
    </w:rPr>
  </w:style>
  <w:style w:type="character" w:customStyle="1" w:styleId="31">
    <w:name w:val="标题 1 字符"/>
    <w:link w:val="2"/>
    <w:autoRedefine/>
    <w:qFormat/>
    <w:uiPriority w:val="9"/>
    <w:rPr>
      <w:rFonts w:ascii="Times New Roman" w:hAnsi="Times New Roman" w:eastAsia="宋体"/>
      <w:b/>
      <w:kern w:val="2"/>
      <w:sz w:val="36"/>
    </w:rPr>
  </w:style>
  <w:style w:type="character" w:customStyle="1" w:styleId="32">
    <w:name w:val="正文文本缩进 字符"/>
    <w:basedOn w:val="21"/>
    <w:link w:val="8"/>
    <w:autoRedefine/>
    <w:qFormat/>
    <w:uiPriority w:val="0"/>
    <w:rPr>
      <w:rFonts w:ascii="Times New Roman" w:hAnsi="Times New Roman" w:eastAsia="宋体" w:cs="Times New Roman"/>
      <w:kern w:val="2"/>
      <w:sz w:val="28"/>
      <w:szCs w:val="24"/>
    </w:rPr>
  </w:style>
  <w:style w:type="character" w:customStyle="1" w:styleId="33">
    <w:name w:val="标题 字符"/>
    <w:link w:val="18"/>
    <w:autoRedefine/>
    <w:qFormat/>
    <w:uiPriority w:val="0"/>
    <w:rPr>
      <w:rFonts w:ascii="Times New Roman" w:hAnsi="Times New Roman" w:eastAsia="宋体"/>
      <w:b/>
      <w:bCs/>
      <w:sz w:val="28"/>
      <w:szCs w:val="32"/>
    </w:rPr>
  </w:style>
  <w:style w:type="character" w:customStyle="1" w:styleId="34">
    <w:name w:val="font11"/>
    <w:basedOn w:val="21"/>
    <w:autoRedefine/>
    <w:qFormat/>
    <w:uiPriority w:val="0"/>
    <w:rPr>
      <w:rFonts w:hint="eastAsia" w:ascii="宋体" w:hAnsi="宋体" w:eastAsia="宋体" w:cs="宋体"/>
      <w:color w:val="000000"/>
      <w:sz w:val="20"/>
      <w:szCs w:val="20"/>
      <w:u w:val="none"/>
    </w:rPr>
  </w:style>
  <w:style w:type="character" w:customStyle="1" w:styleId="35">
    <w:name w:val="批注框文本 字符"/>
    <w:basedOn w:val="21"/>
    <w:link w:val="12"/>
    <w:autoRedefine/>
    <w:qFormat/>
    <w:uiPriority w:val="0"/>
    <w:rPr>
      <w:rFonts w:ascii="Times New Roman" w:hAnsi="Times New Roman" w:eastAsia="宋体"/>
      <w:kern w:val="2"/>
      <w:sz w:val="18"/>
      <w:szCs w:val="18"/>
    </w:rPr>
  </w:style>
  <w:style w:type="character" w:customStyle="1" w:styleId="36">
    <w:name w:val="页眉 字符"/>
    <w:basedOn w:val="21"/>
    <w:link w:val="14"/>
    <w:autoRedefine/>
    <w:qFormat/>
    <w:uiPriority w:val="0"/>
    <w:rPr>
      <w:rFonts w:ascii="Times New Roman" w:hAnsi="Times New Roman" w:eastAsia="宋体"/>
      <w:kern w:val="2"/>
      <w:sz w:val="18"/>
      <w:szCs w:val="18"/>
    </w:rPr>
  </w:style>
  <w:style w:type="character" w:customStyle="1" w:styleId="37">
    <w:name w:val="页脚 字符"/>
    <w:basedOn w:val="21"/>
    <w:link w:val="13"/>
    <w:autoRedefine/>
    <w:qFormat/>
    <w:uiPriority w:val="99"/>
    <w:rPr>
      <w:rFonts w:ascii="Times New Roman" w:hAnsi="Times New Roman" w:eastAsia="宋体"/>
      <w:kern w:val="2"/>
      <w:sz w:val="18"/>
      <w:szCs w:val="18"/>
    </w:rPr>
  </w:style>
  <w:style w:type="character" w:customStyle="1" w:styleId="38">
    <w:name w:val="纯文本 字符"/>
    <w:basedOn w:val="21"/>
    <w:link w:val="10"/>
    <w:autoRedefine/>
    <w:qFormat/>
    <w:uiPriority w:val="0"/>
    <w:rPr>
      <w:rFonts w:ascii="Times New Roman" w:hAnsi="Times New Roman" w:eastAsia="宋体"/>
      <w:kern w:val="2"/>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2262</Words>
  <Characters>2644</Characters>
  <Lines>21</Lines>
  <Paragraphs>5</Paragraphs>
  <TotalTime>72</TotalTime>
  <ScaleCrop>false</ScaleCrop>
  <LinksUpToDate>false</LinksUpToDate>
  <CharactersWithSpaces>2684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2022-05-06T07:01:00Z</dcterms:created>
  <dc:creator>w</dc:creator>
  <cp:lastModifiedBy>谯林波</cp:lastModifiedBy>
  <cp:lastPrinted>2024-04-01T10:57:00Z</cp:lastPrinted>
  <dcterms:modified xsi:type="dcterms:W3CDTF">2024-05-10T08:54:44Z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101A4388E28D4F62A6306D9E9B5672C3_13</vt:lpwstr>
  </property>
</Properties>
</file>