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方正小标宋简体" w:hAnsi="方正小标宋简体" w:eastAsia="方正小标宋简体" w:cs="方正小标宋简体"/>
          <w:sz w:val="44"/>
          <w:szCs w:val="44"/>
        </w:rPr>
      </w:pPr>
      <w:bookmarkStart w:id="0" w:name="_GoBack"/>
      <w:bookmarkEnd w:id="0"/>
    </w:p>
    <w:p>
      <w:pPr>
        <w:spacing w:line="560" w:lineRule="exact"/>
        <w:jc w:val="center"/>
        <w:rPr>
          <w:rFonts w:eastAsia="方正小标宋简体"/>
          <w:sz w:val="44"/>
          <w:szCs w:val="44"/>
        </w:rPr>
      </w:pPr>
      <w:r>
        <w:rPr>
          <w:rFonts w:hint="eastAsia" w:eastAsia="方正小标宋简体"/>
          <w:sz w:val="44"/>
          <w:szCs w:val="44"/>
        </w:rPr>
        <w:t>2024年度贵州省科学技术奖推荐公示内容</w:t>
      </w:r>
    </w:p>
    <w:p>
      <w:pPr>
        <w:rPr>
          <w:rFonts w:ascii="宋体" w:hAnsi="宋体"/>
          <w:b/>
          <w:bCs/>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高速公路基础设施运营安全双重预防关键技术研究及应用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贵州省科技进步奖二等奖、三等奖</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四、</w:t>
      </w:r>
      <w:r>
        <w:rPr>
          <w:rFonts w:hint="eastAsia" w:ascii="黑体" w:hAnsi="黑体" w:eastAsia="黑体" w:cs="黑体"/>
          <w:sz w:val="32"/>
          <w:szCs w:val="32"/>
        </w:rPr>
        <w:t>主要完成人</w:t>
      </w:r>
    </w:p>
    <w:p>
      <w:pPr>
        <w:spacing w:line="240" w:lineRule="auto"/>
        <w:ind w:firstLine="640" w:firstLineChars="200"/>
        <w:rPr>
          <w:rFonts w:ascii="仿宋_GB2312" w:eastAsia="仿宋_GB2312" w:cs="Times New Roman"/>
          <w:sz w:val="32"/>
          <w:szCs w:val="32"/>
        </w:rPr>
      </w:pPr>
      <w:r>
        <w:rPr>
          <w:rFonts w:hint="eastAsia" w:ascii="仿宋_GB2312" w:eastAsia="仿宋_GB2312" w:cs="Times New Roman"/>
          <w:sz w:val="32"/>
          <w:szCs w:val="32"/>
        </w:rPr>
        <w:t>王维利、肖殿良、李然、朱本成、李昌龙、郭云鹏、李凯伦</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五</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pPr>
      <w:r>
        <w:rPr>
          <w:rFonts w:hint="eastAsia" w:ascii="仿宋_GB2312" w:eastAsia="仿宋_GB2312" w:cs="Times New Roman"/>
          <w:sz w:val="32"/>
          <w:szCs w:val="32"/>
        </w:rPr>
        <w:t>贵州省交通规划勘察设计研究院股份有限公司、交通运输部科学研究院</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六</w:t>
      </w:r>
      <w:r>
        <w:rPr>
          <w:rFonts w:ascii="黑体" w:hAnsi="黑体" w:eastAsia="黑体" w:cs="黑体"/>
          <w:sz w:val="32"/>
          <w:szCs w:val="32"/>
        </w:rPr>
        <w:t>、项目简介</w:t>
      </w:r>
      <w:r>
        <w:rPr>
          <w:rFonts w:hint="eastAsia" w:ascii="黑体" w:hAnsi="黑体" w:eastAsia="黑体" w:cs="黑体"/>
          <w:sz w:val="32"/>
          <w:szCs w:val="32"/>
        </w:rPr>
        <w:t>（不超过2000字）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2023年底，贵州省建成高速公路总里程达8784公里，加之特殊的地形地貌与气候条件，导致我省高速公路基础设施面临着巨大的运营安全压力。2016年10月，国务院安委会办公室印发了《关于实施遏制重特大事故工作指南构建双重预防机制的意见》（安委办〔2016〕11号），首次提出构建安全风险分级管控和隐患排查治理双重预防机制的要求，后续国家和行业层面的一系列文件也强调了安全生产风险管理和隐患治理机制建设在今后一段时期安全生产工作中的重要地位。然而，高速公路运营领域相关的双控技术尚未成熟，制约我省高速公路基础设施运营安全的深层次矛盾和问题仍未改观。2016年以来，依托交通运输部行业重点科技清单项目、贵州省交通运输厅科技计划项目以及中央级公益性科研院所基本科研业务费项目，结合我省实际，项目组织产研用多家单位联合攻关，形成了适合我省的高速公路基础设施运营安全双重预防机制、风险分级管控与隐患排查治理成套技术，以及双重预防集成管控平台，取得了如下主要科技创新成果。</w:t>
      </w:r>
    </w:p>
    <w:p>
      <w:pPr>
        <w:spacing w:line="240" w:lineRule="auto"/>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（一）提出了高速公路基础设施运营安全风险分级管控和隐患排查治理双重预防模型与机制。</w:t>
      </w:r>
    </w:p>
    <w:p>
      <w:pPr>
        <w:spacing w:line="240" w:lineRule="auto"/>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基于风险管控和隐患排查治理的基本理论和实际需求，将两者有机结合，构建了高速公路基础设施运营安全双重预防模型；从风险分级管控和隐患排查治理关系入手建立了高速公路基础设施运营安全双重预防机制，提出了双重预防运行流程和内容，明确了高速公路基础设施运营安全双重预防实施的三阶段14个方面的具体内容。</w:t>
      </w:r>
    </w:p>
    <w:p>
      <w:pPr>
        <w:spacing w:line="240" w:lineRule="auto"/>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（二）创建了高速公路基础设施运营安全风险分级管控成套技术。</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首次建立了高速公路基础设施运营安全事故集，提出了高速公路基础设运营安全事故致因模型；提出了高速公路运营安全综合要素风险辨识模型和分析方法，建立了高速公路运营安全风险事件库；首次提出了基于风险矩阵法、K-Modes聚类和多层感知器神经网络融合的高速公路运营安全风险评估算法；基于系统安全工程理论，提出了“4E”安全风险管控对策，构建了高速公路基础设施运营安全风险控制策略和控制技术。</w:t>
      </w:r>
    </w:p>
    <w:p>
      <w:pPr>
        <w:spacing w:line="240" w:lineRule="auto"/>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（三）创建了高速公路基础设施运营安全隐患排查治理成套技术。</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于风险与隐患转化机理，利用风险分级管控清单，建立系统的隐患排查标准，完善运营单位隐患排查清单，建立了基础管理类典型隐患排查清单以及8大类、35小类现场管理类典型隐患排查清单，做到隐患排查不遗漏；基于模糊TOPSIS方法，建立了高速公路基础设施事故隐患分级标准；基于隐患导致事故后果的严重度以及隐患整改所需要的资源，对安全隐患分级，综合考虑安全隐患治理等级的影响因素，提出隐患防治一体化的框架，创建了方式多样、管理有序、闭环留痕的安全隐患治理模式。</w:t>
      </w:r>
    </w:p>
    <w:p>
      <w:pPr>
        <w:spacing w:line="240" w:lineRule="auto"/>
        <w:ind w:firstLine="640" w:firstLineChars="200"/>
        <w:rPr>
          <w:rFonts w:ascii="楷体_GB2312" w:hAnsi="仿宋_GB2312" w:eastAsia="楷体_GB2312" w:cs="仿宋_GB2312"/>
          <w:sz w:val="32"/>
          <w:szCs w:val="32"/>
        </w:rPr>
      </w:pPr>
      <w:r>
        <w:rPr>
          <w:rFonts w:hint="eastAsia" w:ascii="楷体_GB2312" w:hAnsi="仿宋_GB2312" w:eastAsia="楷体_GB2312" w:cs="仿宋_GB2312"/>
          <w:sz w:val="32"/>
          <w:szCs w:val="32"/>
        </w:rPr>
        <w:t>（四）研发了高速公路基础设施运营安全双重预防集成技术与管控平台。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合贵州省实际，编制了《贵州山区营运高速公路路基路面安全隐患评价与风险管理技术指南》；将高速公路基础设施运营安全风险分级管控技术和隐患排查治理技术进行集成，研发了高速公路基础设施运营安全双重预防管控平台，以及手机端双控宝（运营版）。该平台包含高速公路运营安全风险分级管控移动终端子系统、事故隐患排查治理子系统两大核心子系统。为高速公路运营管理单位开展运营安全风险分级管控和隐患排查治理工作提供信息化手段，推动实现运营安全管理工作的系统化、规范化和精细化。</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本项目共获授权发明专利</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项，计算机软件著作权</w:t>
      </w:r>
      <w:r>
        <w:rPr>
          <w:rFonts w:ascii="仿宋_GB2312" w:hAnsi="仿宋_GB2312" w:eastAsia="仿宋_GB2312" w:cs="仿宋_GB2312"/>
          <w:sz w:val="32"/>
          <w:szCs w:val="32"/>
        </w:rPr>
        <w:t>13</w:t>
      </w:r>
      <w:r>
        <w:rPr>
          <w:rFonts w:hint="eastAsia" w:ascii="仿宋_GB2312" w:hAnsi="仿宋_GB2312" w:eastAsia="仿宋_GB2312" w:cs="仿宋_GB2312"/>
          <w:sz w:val="32"/>
          <w:szCs w:val="32"/>
        </w:rPr>
        <w:t>项，发布行业标准1部、技术指南1部，发表学术论文12篇，其中SCI/EI检索8篇。项目成果总体达到国际先进水平，其中高速公路基础设施运营安全风险管控技术达到国际领先水平。成果全面支撑了贵州贵阳环城高速、桐梓至新蒲高速、沿河经印江至松桃高速以及广东广贺高速、河北延庆至崇礼高速等近1000公里的高速公路工程应用，指导了省内外多条高速公路的风险管控和隐患排查工作。</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多年攻关，本项目解决了高速公路运营安全双重预防机制与模型、风险分级管控与隐患排查治理双重预防成套技术与双重预防管控平台等一系列重大技术难题，形成了高速公路基础设施运营安全双重预防模型机制、关键技术、标准指南与系统平台。本项目成果为我省开展高速公路基础设施运营安全风险分级管控和隐患排查治理工作提供了技术支撑，推动我省高速公路运营安全管理向“系统化、规范化、精细化”转变，实现了高速公路运营安全双重预防技术的跨越式发展。</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rPr>
        <w:t>七</w:t>
      </w:r>
      <w:r>
        <w:rPr>
          <w:rFonts w:ascii="黑体" w:hAnsi="黑体" w:eastAsia="黑体" w:cs="黑体"/>
          <w:sz w:val="32"/>
          <w:szCs w:val="32"/>
        </w:rPr>
        <w:t>、</w:t>
      </w:r>
      <w:r>
        <w:rPr>
          <w:rFonts w:ascii="黑体" w:hAnsi="黑体" w:eastAsia="黑体"/>
          <w:bCs/>
          <w:sz w:val="32"/>
          <w:szCs w:val="32"/>
        </w:rPr>
        <w:t>主要知识产权和标准规范等目录</w:t>
      </w:r>
      <w:r>
        <w:rPr>
          <w:rFonts w:hint="eastAsia" w:ascii="黑体" w:hAnsi="黑体" w:eastAsia="黑体"/>
          <w:bCs/>
          <w:sz w:val="32"/>
          <w:szCs w:val="32"/>
        </w:rPr>
        <w:t>（包括发明专利、标准、软件著作权等，不包括实用新型专利、外观设计专利等，不超过1</w:t>
      </w:r>
      <w:r>
        <w:rPr>
          <w:rFonts w:ascii="黑体" w:hAnsi="黑体" w:eastAsia="黑体"/>
          <w:bCs/>
          <w:sz w:val="32"/>
          <w:szCs w:val="32"/>
        </w:rPr>
        <w:t>0</w:t>
      </w:r>
      <w:r>
        <w:rPr>
          <w:rFonts w:hint="eastAsia" w:ascii="黑体" w:hAnsi="黑体" w:eastAsia="黑体"/>
          <w:bCs/>
          <w:sz w:val="32"/>
          <w:szCs w:val="32"/>
        </w:rPr>
        <w:t>件）</w:t>
      </w:r>
    </w:p>
    <w:tbl>
      <w:tblPr>
        <w:tblStyle w:val="21"/>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649"/>
        <w:gridCol w:w="903"/>
        <w:gridCol w:w="850"/>
        <w:gridCol w:w="851"/>
        <w:gridCol w:w="992"/>
        <w:gridCol w:w="1251"/>
        <w:gridCol w:w="1159"/>
        <w:gridCol w:w="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99" w:type="dxa"/>
            <w:vAlign w:val="center"/>
          </w:tcPr>
          <w:p>
            <w:pPr>
              <w:pStyle w:val="12"/>
              <w:spacing w:line="360" w:lineRule="exact"/>
              <w:jc w:val="center"/>
              <w:rPr>
                <w:rFonts w:ascii="仿宋_GB2312" w:eastAsia="仿宋_GB2312" w:cs="Times New Roman"/>
                <w:b/>
                <w:bCs/>
                <w:sz w:val="21"/>
                <w:szCs w:val="21"/>
              </w:rPr>
            </w:pPr>
            <w:r>
              <w:rPr>
                <w:rFonts w:ascii="仿宋_GB2312" w:eastAsia="仿宋_GB2312" w:cs="Times New Roman"/>
                <w:b/>
                <w:bCs/>
                <w:sz w:val="21"/>
                <w:szCs w:val="21"/>
              </w:rPr>
              <w:t>知识产权</w:t>
            </w:r>
            <w:r>
              <w:rPr>
                <w:rFonts w:hint="eastAsia" w:ascii="仿宋_GB2312" w:eastAsia="仿宋_GB2312" w:cs="Times New Roman"/>
                <w:b/>
                <w:bCs/>
                <w:sz w:val="21"/>
                <w:szCs w:val="21"/>
              </w:rPr>
              <w:t>（标准）</w:t>
            </w:r>
            <w:r>
              <w:rPr>
                <w:rFonts w:ascii="仿宋_GB2312" w:eastAsia="仿宋_GB2312" w:cs="Times New Roman"/>
                <w:b/>
                <w:bCs/>
                <w:sz w:val="21"/>
                <w:szCs w:val="21"/>
              </w:rPr>
              <w:t>类别</w:t>
            </w:r>
          </w:p>
        </w:tc>
        <w:tc>
          <w:tcPr>
            <w:tcW w:w="1649"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知识产权（标准）具体</w:t>
            </w:r>
            <w:r>
              <w:rPr>
                <w:rFonts w:ascii="仿宋_GB2312" w:eastAsia="仿宋_GB2312" w:cs="Times New Roman"/>
                <w:b/>
                <w:bCs/>
                <w:sz w:val="21"/>
                <w:szCs w:val="21"/>
              </w:rPr>
              <w:t>名称</w:t>
            </w:r>
          </w:p>
        </w:tc>
        <w:tc>
          <w:tcPr>
            <w:tcW w:w="903" w:type="dxa"/>
            <w:vAlign w:val="center"/>
          </w:tcPr>
          <w:p>
            <w:pPr>
              <w:pStyle w:val="12"/>
              <w:spacing w:line="360" w:lineRule="exact"/>
              <w:jc w:val="center"/>
              <w:rPr>
                <w:rFonts w:ascii="仿宋_GB2312" w:eastAsia="仿宋_GB2312" w:cs="Times New Roman"/>
                <w:b/>
                <w:bCs/>
                <w:sz w:val="21"/>
                <w:szCs w:val="21"/>
              </w:rPr>
            </w:pPr>
            <w:r>
              <w:rPr>
                <w:rFonts w:ascii="仿宋_GB2312" w:eastAsia="仿宋_GB2312" w:cs="Times New Roman"/>
                <w:b/>
                <w:bCs/>
                <w:sz w:val="21"/>
                <w:szCs w:val="21"/>
              </w:rPr>
              <w:t>国</w:t>
            </w:r>
            <w:r>
              <w:rPr>
                <w:rFonts w:hint="eastAsia" w:ascii="仿宋_GB2312" w:eastAsia="仿宋_GB2312" w:cs="Times New Roman"/>
                <w:b/>
                <w:bCs/>
                <w:sz w:val="21"/>
                <w:szCs w:val="21"/>
              </w:rPr>
              <w:t>家</w:t>
            </w:r>
            <w:r>
              <w:rPr>
                <w:rFonts w:ascii="仿宋_GB2312" w:eastAsia="仿宋_GB2312" w:cs="Times New Roman"/>
                <w:b/>
                <w:bCs/>
                <w:sz w:val="21"/>
                <w:szCs w:val="21"/>
              </w:rPr>
              <w:t>（</w:t>
            </w:r>
            <w:r>
              <w:rPr>
                <w:rFonts w:hint="eastAsia" w:ascii="仿宋_GB2312" w:eastAsia="仿宋_GB2312" w:cs="Times New Roman"/>
                <w:b/>
                <w:bCs/>
                <w:sz w:val="21"/>
                <w:szCs w:val="21"/>
              </w:rPr>
              <w:t>地</w:t>
            </w:r>
            <w:r>
              <w:rPr>
                <w:rFonts w:ascii="仿宋_GB2312" w:eastAsia="仿宋_GB2312" w:cs="Times New Roman"/>
                <w:b/>
                <w:bCs/>
                <w:sz w:val="21"/>
                <w:szCs w:val="21"/>
              </w:rPr>
              <w:t>区）</w:t>
            </w:r>
          </w:p>
        </w:tc>
        <w:tc>
          <w:tcPr>
            <w:tcW w:w="850"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授权号（标准编号）</w:t>
            </w:r>
          </w:p>
        </w:tc>
        <w:tc>
          <w:tcPr>
            <w:tcW w:w="851"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授权（标准发布）日期</w:t>
            </w:r>
          </w:p>
        </w:tc>
        <w:tc>
          <w:tcPr>
            <w:tcW w:w="992"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证书编号</w:t>
            </w:r>
          </w:p>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（标准批准发布</w:t>
            </w:r>
            <w:r>
              <w:rPr>
                <w:rFonts w:ascii="仿宋_GB2312" w:eastAsia="仿宋_GB2312" w:cs="Times New Roman"/>
                <w:b/>
                <w:bCs/>
                <w:sz w:val="21"/>
                <w:szCs w:val="21"/>
              </w:rPr>
              <w:t>部门</w:t>
            </w:r>
            <w:r>
              <w:rPr>
                <w:rFonts w:hint="eastAsia" w:ascii="仿宋_GB2312" w:eastAsia="仿宋_GB2312" w:cs="Times New Roman"/>
                <w:b/>
                <w:bCs/>
                <w:sz w:val="21"/>
                <w:szCs w:val="21"/>
              </w:rPr>
              <w:t>）</w:t>
            </w:r>
          </w:p>
        </w:tc>
        <w:tc>
          <w:tcPr>
            <w:tcW w:w="1251"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权利人（标准起草单位）</w:t>
            </w:r>
          </w:p>
        </w:tc>
        <w:tc>
          <w:tcPr>
            <w:tcW w:w="1159"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发明人（标准起草人）</w:t>
            </w:r>
          </w:p>
        </w:tc>
        <w:tc>
          <w:tcPr>
            <w:tcW w:w="875" w:type="dxa"/>
            <w:vAlign w:val="center"/>
          </w:tcPr>
          <w:p>
            <w:pPr>
              <w:pStyle w:val="12"/>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发明专利</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能提升驾驶员安全性的高速公路避险车道</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CN114481732B</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2023.4.14</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ZL 2022 1 0186355.9</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贵州省交通规划勘察设计研究院股份有限公司</w:t>
            </w:r>
          </w:p>
        </w:tc>
        <w:tc>
          <w:tcPr>
            <w:tcW w:w="1159" w:type="dxa"/>
            <w:vAlign w:val="center"/>
          </w:tcPr>
          <w:p>
            <w:pPr>
              <w:pStyle w:val="12"/>
              <w:spacing w:line="360" w:lineRule="exact"/>
              <w:jc w:val="both"/>
              <w:rPr>
                <w:rFonts w:ascii="仿宋_GB2312" w:eastAsia="仿宋_GB2312" w:cs="Times New Roman"/>
                <w:sz w:val="21"/>
                <w:szCs w:val="21"/>
              </w:rPr>
            </w:pPr>
            <w:r>
              <w:fldChar w:fldCharType="begin"/>
            </w:r>
            <w:r>
              <w:instrText xml:space="preserve"> HYPERLINK "https://kns.cnki.net/kcms2/author/detail?v=C_qHzaiysLVJc4NLzhB7sUgi8nx1G-nLdema9l_oVJnAB5HBA9IsT_s7KvAW85rNxeVznCQNgB9jxwV_swbaBLt2sOVyEZoh_vm9Ihxp8YU=&amp;uniplatform=NZKPT" \t "https://kns.cnki.net/kcms2/article/_blank" </w:instrText>
            </w:r>
            <w:r>
              <w:fldChar w:fldCharType="separate"/>
            </w:r>
            <w:r>
              <w:rPr>
                <w:rFonts w:hint="eastAsia" w:ascii="仿宋_GB2312" w:eastAsia="仿宋_GB2312" w:cs="Times New Roman"/>
                <w:sz w:val="21"/>
                <w:szCs w:val="21"/>
              </w:rPr>
              <w:t>刘国盼</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"https://kns.cnki.net/kcms2/author/detail?v=C_qHzaiysLVJc4NLzhB7sUgi8nx1G-nLjyifxt3JrT1xkG4oAyCkSRxhmJvS8Rq9RmehZWGLkEarr295-jyA5Rsmk8uEtbia7WUGWIFqM_Y=&amp;uniplatform=NZKPT" \t "https://kns.cnki.net/kcms2/article/_blank" </w:instrText>
            </w:r>
            <w:r>
              <w:fldChar w:fldCharType="separate"/>
            </w:r>
            <w:r>
              <w:rPr>
                <w:rFonts w:hint="eastAsia" w:ascii="仿宋_GB2312" w:eastAsia="仿宋_GB2312" w:cs="Times New Roman"/>
                <w:sz w:val="21"/>
                <w:szCs w:val="21"/>
              </w:rPr>
              <w:t>王维利</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"https://kns.cnki.net/kcms2/author/detail?v=C_qHzaiysLVJc4NLzhB7sUgi8nx1G-nLQf6Q2ye11pT2rd0vntP7m3zT5QnSdqT2RuLzs7uIBCOYfKoM_MxEQf4k0NawOCQzMC3c0ignLFk=&amp;uniplatform=NZKPT" \t "https://kns.cnki.net/kcms2/article/_blank" </w:instrText>
            </w:r>
            <w:r>
              <w:fldChar w:fldCharType="separate"/>
            </w:r>
            <w:r>
              <w:rPr>
                <w:rFonts w:hint="eastAsia" w:ascii="仿宋_GB2312" w:eastAsia="仿宋_GB2312" w:cs="Times New Roman"/>
                <w:sz w:val="21"/>
                <w:szCs w:val="21"/>
              </w:rPr>
              <w:t>徐向东</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"https://kns.cnki.net/kcms2/author/detail?v=C_qHzaiysLVJc4NLzhB7sUgi8nx1G-nLcG9Ijs42F_AKKr1S5dCwyRpmuJP-Ym_Yxyg51EAj2RIVJOQvXfzYDx3hqGsQguvf87guwClhFeE=&amp;uniplatform=NZKPT" \t "https://kns.cnki.net/kcms2/article/_blank" </w:instrText>
            </w:r>
            <w:r>
              <w:fldChar w:fldCharType="separate"/>
            </w:r>
            <w:r>
              <w:rPr>
                <w:rFonts w:hint="eastAsia" w:ascii="仿宋_GB2312" w:eastAsia="仿宋_GB2312" w:cs="Times New Roman"/>
                <w:sz w:val="21"/>
                <w:szCs w:val="21"/>
              </w:rPr>
              <w:t>刘易鑫</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"https://kns.cnki.net/kcms2/author/detail?v=C_qHzaiysLVJc4NLzhB7sUgi8nx1G-nLgHPMwBqq7LcNBpnYKVoX3cL4-iemtntQZgzcFL1JE86t5xkdxm2qVB3AvUCApOiqpVBVSCoA0Jc=&amp;uniplatform=NZKPT" \t "https://kns.cnki.net/kcms2/article/_blank" </w:instrText>
            </w:r>
            <w:r>
              <w:fldChar w:fldCharType="separate"/>
            </w:r>
            <w:r>
              <w:rPr>
                <w:rFonts w:hint="eastAsia" w:ascii="仿宋_GB2312" w:eastAsia="仿宋_GB2312" w:cs="Times New Roman"/>
                <w:sz w:val="21"/>
                <w:szCs w:val="21"/>
              </w:rPr>
              <w:t>曹德国</w:t>
            </w:r>
            <w:r>
              <w:rPr>
                <w:rFonts w:hint="eastAsia" w:ascii="仿宋_GB2312" w:eastAsia="仿宋_GB2312" w:cs="Times New Roman"/>
                <w:sz w:val="21"/>
                <w:szCs w:val="21"/>
              </w:rPr>
              <w:fldChar w:fldCharType="end"/>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发明专利</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适用于缓堵路况下的车辆引导系统及装置</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CN114512010B</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2023.4.7</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ZL 2021 1 1384133.X</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贵州省交通规划勘察设计研究院股份有限公司</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刘国盼、</w:t>
            </w:r>
            <w:r>
              <w:fldChar w:fldCharType="begin"/>
            </w:r>
            <w:r>
              <w:instrText xml:space="preserve"> HYPERLINK "https://kns.cnki.net/kcms2/author/detail?v=C_qHzaiysLUfN1no8xZ4EFjOkljcBAWyXOi8qoa4wyZ7ImRs4JPHic1Vmo_oLHTTbytCEeZWxt-5bx3bnhsGlS6J5o3Au1Gkr_KNVjn_Xe4=&amp;uniplatform=NZKPT" \t "https://kns.cnki.net/kcms2/article/_blank" </w:instrText>
            </w:r>
            <w:r>
              <w:fldChar w:fldCharType="separate"/>
            </w:r>
            <w:r>
              <w:rPr>
                <w:rFonts w:hint="eastAsia" w:ascii="仿宋_GB2312" w:eastAsia="仿宋_GB2312" w:cs="Times New Roman"/>
                <w:sz w:val="21"/>
                <w:szCs w:val="21"/>
              </w:rPr>
              <w:t>王维利</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"https://kns.cnki.net/kcms2/author/detail?v=C_qHzaiysLUfN1no8xZ4EFjOkljcBAWytT6lTSmkaKybU_KwqTEtiggC7yp9ukPd3UIRo9y9kYpQ_dwsqC30rA9JHiFhWLmTaYrdzfgYcZI=&amp;uniplatform=NZKPT" \t "https://kns.cnki.net/kcms2/article/_blank" </w:instrText>
            </w:r>
            <w:r>
              <w:fldChar w:fldCharType="separate"/>
            </w:r>
            <w:r>
              <w:rPr>
                <w:rFonts w:hint="eastAsia" w:ascii="仿宋_GB2312" w:eastAsia="仿宋_GB2312" w:cs="Times New Roman"/>
                <w:sz w:val="21"/>
                <w:szCs w:val="21"/>
              </w:rPr>
              <w:t>徐向东</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"https://kns.cnki.net/kcms2/author/detail?v=C_qHzaiysLUfN1no8xZ4EFjOkljcBAWyl-T5rfAAh7rdHMshj8mkjMItCaVK-b7fEJxS_mM64RhPCJ8dKvpyvlo9e6AuH3bwAzXbEcgEoME=&amp;uniplatform=NZKPT" \t "https://kns.cnki.net/kcms2/article/_blank" </w:instrText>
            </w:r>
            <w:r>
              <w:fldChar w:fldCharType="separate"/>
            </w:r>
            <w:r>
              <w:rPr>
                <w:rFonts w:hint="eastAsia" w:ascii="仿宋_GB2312" w:eastAsia="仿宋_GB2312" w:cs="Times New Roman"/>
                <w:sz w:val="21"/>
                <w:szCs w:val="21"/>
              </w:rPr>
              <w:t>邹琳</w:t>
            </w:r>
            <w:r>
              <w:rPr>
                <w:rFonts w:hint="eastAsia" w:ascii="仿宋_GB2312" w:eastAsia="仿宋_GB2312" w:cs="Times New Roman"/>
                <w:sz w:val="21"/>
                <w:szCs w:val="21"/>
              </w:rPr>
              <w:fldChar w:fldCharType="end"/>
            </w:r>
            <w:r>
              <w:rPr>
                <w:rFonts w:hint="eastAsia" w:ascii="仿宋_GB2312" w:eastAsia="仿宋_GB2312" w:cs="Times New Roman"/>
                <w:sz w:val="21"/>
                <w:szCs w:val="21"/>
              </w:rPr>
              <w:t>、</w:t>
            </w:r>
            <w:r>
              <w:fldChar w:fldCharType="begin"/>
            </w:r>
            <w:r>
              <w:instrText xml:space="preserve"> HYPERLINK "https://kns.cnki.net/kcms2/author/detail?v=C_qHzaiysLUfN1no8xZ4EFjOkljcBAWyS0TeeJuSEOqvzElZLzMHekk-TRwGNg-XaO_Kj-MNXkx0M_Wp-CaJJwQruVHKTlQHwWmhsJi7MQk=&amp;uniplatform=NZKPT" \t "https://kns.cnki.net/kcms2/article/_blank" </w:instrText>
            </w:r>
            <w:r>
              <w:fldChar w:fldCharType="separate"/>
            </w:r>
            <w:r>
              <w:rPr>
                <w:rFonts w:hint="eastAsia" w:ascii="仿宋_GB2312" w:eastAsia="仿宋_GB2312" w:cs="Times New Roman"/>
                <w:sz w:val="21"/>
                <w:szCs w:val="21"/>
              </w:rPr>
              <w:t>朱丹丹</w:t>
            </w:r>
            <w:r>
              <w:rPr>
                <w:rFonts w:hint="eastAsia" w:ascii="仿宋_GB2312" w:eastAsia="仿宋_GB2312" w:cs="Times New Roman"/>
                <w:sz w:val="21"/>
                <w:szCs w:val="21"/>
              </w:rPr>
              <w:fldChar w:fldCharType="end"/>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56"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发明专利</w:t>
            </w:r>
          </w:p>
        </w:tc>
        <w:tc>
          <w:tcPr>
            <w:tcW w:w="1649" w:type="dxa"/>
            <w:vAlign w:val="center"/>
          </w:tcPr>
          <w:p>
            <w:pPr>
              <w:pStyle w:val="12"/>
              <w:spacing w:line="360" w:lineRule="exact"/>
              <w:jc w:val="both"/>
              <w:rPr>
                <w:rFonts w:ascii="仿宋_GB2312" w:eastAsia="仿宋_GB2312" w:cs="Times New Roman"/>
                <w:sz w:val="21"/>
                <w:szCs w:val="21"/>
              </w:rPr>
            </w:pPr>
            <w:r>
              <w:fldChar w:fldCharType="begin"/>
            </w:r>
            <w:r>
              <w:instrText xml:space="preserve"> HYPERLINK "https://kns.cnki.net/kcms2/article/abstract?v=C_qHzaiysLVgBnywDE8IYSETiiqaqYvgiQGLZwoHLhvhKW5U5adS3JnxEVY23KSvWiBuS-ZPd-Pjdl2q5aL_W3BFQa75BH1K7E5v6NcVAQnw8WYZVrbA7_CQLLcLxrHrnfxvVRkCpaQ=&amp;uniplatform=NZKPT&amp;language=CHS" \t "https://kns.cnki.net/kns8s/defaultresult/_blank" </w:instrText>
            </w:r>
            <w:r>
              <w:fldChar w:fldCharType="separate"/>
            </w:r>
            <w:r>
              <w:rPr>
                <w:rFonts w:hint="eastAsia" w:ascii="仿宋_GB2312" w:eastAsia="仿宋_GB2312" w:cs="Times New Roman"/>
                <w:sz w:val="21"/>
                <w:szCs w:val="21"/>
              </w:rPr>
              <w:t>一种确定长大纵坡路段车辆安全运行速度标准的方法</w:t>
            </w:r>
            <w:r>
              <w:rPr>
                <w:rFonts w:hint="eastAsia" w:ascii="仿宋_GB2312" w:eastAsia="仿宋_GB2312" w:cs="Times New Roman"/>
                <w:sz w:val="21"/>
                <w:szCs w:val="21"/>
              </w:rPr>
              <w:fldChar w:fldCharType="end"/>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CN114611202B</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2024.3.22</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 xml:space="preserve">ZL 2020 1 1432227.5 </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贵州省交通规划勘察设计研究院股份有限公司</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陈建龙、王维利、康可心、黄婷</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发明专利</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一种隧道安全巡检机器</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CN113733120B</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2022.8.26</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ZL202111075630.1</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宋浩然、 肖殿良、 郭鹏、文明等</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发明专利</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一种桥梁安全检测装置</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CN113846556B</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2023.4.11</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ZL202111186150.2</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王玉倩、 肖殿良、 李然、张伟、李凯伦</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行业标准</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公路水运工程施工安全风险评估指南</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ascii="仿宋_GB2312" w:eastAsia="仿宋_GB2312" w:cs="Times New Roman"/>
                <w:sz w:val="21"/>
                <w:szCs w:val="21"/>
              </w:rPr>
              <w:t>JT</w:t>
            </w:r>
            <w:r>
              <w:rPr>
                <w:rFonts w:hint="eastAsia" w:ascii="仿宋_GB2312" w:eastAsia="仿宋_GB2312" w:cs="Times New Roman"/>
                <w:sz w:val="21"/>
                <w:szCs w:val="21"/>
              </w:rPr>
              <w:t>/</w:t>
            </w:r>
            <w:r>
              <w:rPr>
                <w:rFonts w:ascii="仿宋_GB2312" w:eastAsia="仿宋_GB2312" w:cs="Times New Roman"/>
                <w:sz w:val="21"/>
                <w:szCs w:val="21"/>
              </w:rPr>
              <w:t>T 1375-2022</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2022.1.13</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交通运输部科学研究院、福建省交通建设质量安全中心、交通运输部公路科学研究院等</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彭建华、程李凯、王立强、肖殿良、蔡杰、李伟、李同飞、郭鹏、陈磊、孙建伟、王瑜、宋浩然等</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99"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S</w:t>
            </w:r>
            <w:r>
              <w:rPr>
                <w:rFonts w:ascii="仿宋_GB2312" w:eastAsia="仿宋_GB2312" w:cs="Times New Roman"/>
                <w:sz w:val="21"/>
                <w:szCs w:val="21"/>
              </w:rPr>
              <w:t>CI</w:t>
            </w:r>
            <w:r>
              <w:rPr>
                <w:rFonts w:hint="eastAsia" w:ascii="仿宋_GB2312" w:eastAsia="仿宋_GB2312" w:cs="Times New Roman"/>
                <w:sz w:val="21"/>
                <w:szCs w:val="21"/>
              </w:rPr>
              <w:t>论文</w:t>
            </w:r>
          </w:p>
        </w:tc>
        <w:tc>
          <w:tcPr>
            <w:tcW w:w="1649" w:type="dxa"/>
            <w:vAlign w:val="center"/>
          </w:tcPr>
          <w:p>
            <w:pPr>
              <w:pStyle w:val="12"/>
              <w:spacing w:line="360" w:lineRule="exact"/>
              <w:jc w:val="both"/>
              <w:rPr>
                <w:rFonts w:ascii="仿宋_GB2312" w:eastAsia="仿宋_GB2312" w:cs="Times New Roman"/>
                <w:sz w:val="21"/>
                <w:szCs w:val="21"/>
              </w:rPr>
            </w:pPr>
            <w:r>
              <w:rPr>
                <w:rFonts w:ascii="仿宋_GB2312" w:eastAsia="仿宋_GB2312" w:cs="Times New Roman"/>
                <w:sz w:val="21"/>
                <w:szCs w:val="21"/>
              </w:rPr>
              <w:t>Safety Monitoring of Expressway Construction Based on Multisource Data Fusion</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美国</w:t>
            </w:r>
          </w:p>
        </w:tc>
        <w:tc>
          <w:tcPr>
            <w:tcW w:w="850" w:type="dxa"/>
            <w:vAlign w:val="center"/>
          </w:tcPr>
          <w:p>
            <w:pPr>
              <w:pStyle w:val="12"/>
              <w:spacing w:line="360" w:lineRule="exact"/>
              <w:jc w:val="both"/>
              <w:rPr>
                <w:rFonts w:ascii="仿宋_GB2312" w:eastAsia="仿宋_GB2312" w:cs="Times New Roman"/>
                <w:sz w:val="21"/>
                <w:szCs w:val="21"/>
              </w:rPr>
            </w:pPr>
            <w:r>
              <w:rPr>
                <w:rFonts w:ascii="仿宋_GB2312" w:eastAsia="仿宋_GB2312" w:cs="Times New Roman"/>
                <w:sz w:val="21"/>
                <w:szCs w:val="21"/>
              </w:rPr>
              <w:t>doi.org/10.1155/2020/8856360</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w:t>
            </w:r>
            <w:r>
              <w:rPr>
                <w:rFonts w:ascii="仿宋_GB2312" w:eastAsia="仿宋_GB2312" w:cs="Times New Roman"/>
                <w:sz w:val="21"/>
                <w:szCs w:val="21"/>
              </w:rPr>
              <w:t>020.9.1</w:t>
            </w:r>
          </w:p>
        </w:tc>
        <w:tc>
          <w:tcPr>
            <w:tcW w:w="992" w:type="dxa"/>
            <w:vAlign w:val="center"/>
          </w:tcPr>
          <w:p>
            <w:pPr>
              <w:pStyle w:val="12"/>
              <w:spacing w:line="360" w:lineRule="exact"/>
              <w:jc w:val="both"/>
              <w:rPr>
                <w:rFonts w:ascii="仿宋_GB2312" w:eastAsia="仿宋_GB2312" w:cs="Times New Roman"/>
                <w:sz w:val="21"/>
                <w:szCs w:val="21"/>
              </w:rPr>
            </w:pPr>
            <w:r>
              <w:rPr>
                <w:rFonts w:ascii="仿宋_GB2312" w:eastAsia="仿宋_GB2312" w:cs="Times New Roman"/>
                <w:sz w:val="21"/>
                <w:szCs w:val="21"/>
              </w:rPr>
              <w:t>Journal of Advanced Transportation</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w:t>
            </w:r>
          </w:p>
        </w:tc>
        <w:tc>
          <w:tcPr>
            <w:tcW w:w="1159" w:type="dxa"/>
            <w:vAlign w:val="center"/>
          </w:tcPr>
          <w:p>
            <w:pPr>
              <w:pStyle w:val="12"/>
              <w:spacing w:line="360" w:lineRule="exact"/>
              <w:jc w:val="both"/>
              <w:rPr>
                <w:rFonts w:ascii="仿宋_GB2312" w:eastAsia="仿宋_GB2312" w:cs="Times New Roman"/>
                <w:sz w:val="21"/>
                <w:szCs w:val="21"/>
              </w:rPr>
            </w:pPr>
            <w:r>
              <w:rPr>
                <w:rFonts w:ascii="仿宋_GB2312" w:eastAsia="仿宋_GB2312" w:cs="Times New Roman"/>
                <w:sz w:val="21"/>
                <w:szCs w:val="21"/>
              </w:rPr>
              <w:t>Dianliang Xiao</w:t>
            </w:r>
            <w:r>
              <w:rPr>
                <w:rFonts w:hint="eastAsia" w:ascii="仿宋_GB2312" w:eastAsia="仿宋_GB2312" w:cs="Times New Roman"/>
                <w:sz w:val="21"/>
                <w:szCs w:val="21"/>
              </w:rPr>
              <w:t>、</w:t>
            </w:r>
            <w:r>
              <w:rPr>
                <w:rFonts w:ascii="仿宋_GB2312" w:eastAsia="仿宋_GB2312" w:cs="Times New Roman"/>
                <w:sz w:val="21"/>
                <w:szCs w:val="21"/>
              </w:rPr>
              <w:t>Tiantao Zhang</w:t>
            </w:r>
            <w:r>
              <w:rPr>
                <w:rFonts w:hint="eastAsia" w:ascii="仿宋_GB2312" w:eastAsia="仿宋_GB2312" w:cs="Times New Roman"/>
                <w:sz w:val="21"/>
                <w:szCs w:val="21"/>
              </w:rPr>
              <w:t>、</w:t>
            </w:r>
            <w:r>
              <w:rPr>
                <w:rFonts w:ascii="仿宋_GB2312" w:eastAsia="仿宋_GB2312" w:cs="Times New Roman"/>
                <w:sz w:val="21"/>
                <w:szCs w:val="21"/>
              </w:rPr>
              <w:t xml:space="preserve"> Xudong Zhou, </w:t>
            </w:r>
            <w:r>
              <w:rPr>
                <w:rFonts w:hint="eastAsia" w:ascii="仿宋_GB2312" w:eastAsia="仿宋_GB2312" w:cs="Times New Roman"/>
                <w:sz w:val="21"/>
                <w:szCs w:val="21"/>
              </w:rPr>
              <w:t>et</w:t>
            </w:r>
            <w:r>
              <w:rPr>
                <w:rFonts w:ascii="仿宋_GB2312" w:eastAsia="仿宋_GB2312" w:cs="Times New Roman"/>
                <w:sz w:val="21"/>
                <w:szCs w:val="21"/>
              </w:rPr>
              <w:t xml:space="preserve"> al.</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已发表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计算机软件著作权</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公路运营安全双重预防控制云平台V1.0</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2020SR0724056</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2020.7.6</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5602752</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交通运输部科学研究院、北京闪耀银河科技有限公司</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肖殿良、 李然、李凯伦、郭鹏、宋浩然</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79"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计算机软件著作权</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公路运营安全小程序客户端软件[简称：双控宝（运营版）]V1.0</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2020SR0727234</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2020.7.6</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5605930</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交通运输部科学研究院; 北京闪耀银河科技有限公司</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李然、肖殿良、李凯伦、郭鹏、宋浩然</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69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技术指南</w:t>
            </w:r>
          </w:p>
        </w:tc>
        <w:tc>
          <w:tcPr>
            <w:tcW w:w="164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贵州山区营运高速公路路基路面安全隐患评价与风险管控技术指南(试行)</w:t>
            </w:r>
          </w:p>
        </w:tc>
        <w:tc>
          <w:tcPr>
            <w:tcW w:w="903"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中国</w:t>
            </w:r>
          </w:p>
        </w:tc>
        <w:tc>
          <w:tcPr>
            <w:tcW w:w="850"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JTT52/07-2021</w:t>
            </w:r>
          </w:p>
        </w:tc>
        <w:tc>
          <w:tcPr>
            <w:tcW w:w="8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2021.9.3</w:t>
            </w:r>
          </w:p>
        </w:tc>
        <w:tc>
          <w:tcPr>
            <w:tcW w:w="992"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贵州省交通运输厅</w:t>
            </w:r>
          </w:p>
        </w:tc>
        <w:tc>
          <w:tcPr>
            <w:tcW w:w="1251"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贵州省高速公路管理局；贵州省交通规划勘察设计研究院股份有限公司</w:t>
            </w:r>
          </w:p>
        </w:tc>
        <w:tc>
          <w:tcPr>
            <w:tcW w:w="1159" w:type="dxa"/>
            <w:vAlign w:val="center"/>
          </w:tcPr>
          <w:p>
            <w:pPr>
              <w:pStyle w:val="12"/>
              <w:spacing w:line="360" w:lineRule="exact"/>
              <w:jc w:val="both"/>
              <w:rPr>
                <w:rFonts w:ascii="仿宋_GB2312" w:eastAsia="仿宋_GB2312" w:cs="Times New Roman"/>
                <w:sz w:val="21"/>
                <w:szCs w:val="21"/>
              </w:rPr>
            </w:pPr>
            <w:r>
              <w:rPr>
                <w:rFonts w:hint="eastAsia" w:ascii="仿宋_GB2312" w:eastAsia="仿宋_GB2312" w:cs="Times New Roman"/>
                <w:sz w:val="21"/>
                <w:szCs w:val="21"/>
              </w:rPr>
              <w:t>许明雷、 杜镔、魏小楠、李昌龙等</w:t>
            </w:r>
          </w:p>
        </w:tc>
        <w:tc>
          <w:tcPr>
            <w:tcW w:w="875" w:type="dxa"/>
            <w:vAlign w:val="center"/>
          </w:tcPr>
          <w:p>
            <w:pPr>
              <w:pStyle w:val="12"/>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bl>
    <w:p>
      <w:pPr>
        <w:pStyle w:val="2"/>
        <w:ind w:left="0" w:leftChars="0" w:firstLine="0" w:firstLineChars="0"/>
      </w:pPr>
    </w:p>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表列专利、标准等为本项目独有，未在已获省科学技术奖励项目或本年度其他推荐项目中使用，未曾提交2023年度省科学技术奖励评审但未授奖。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sectPr>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mYmM1YjI4ZWRhZWJmYzUzOTNhZmQ4YmM0NWIxMjIifQ=="/>
  </w:docVars>
  <w:rsids>
    <w:rsidRoot w:val="75D36234"/>
    <w:rsid w:val="00016DCA"/>
    <w:rsid w:val="00017627"/>
    <w:rsid w:val="00022D8F"/>
    <w:rsid w:val="00024740"/>
    <w:rsid w:val="0003666B"/>
    <w:rsid w:val="000427DB"/>
    <w:rsid w:val="000B7A62"/>
    <w:rsid w:val="001003B7"/>
    <w:rsid w:val="00114E08"/>
    <w:rsid w:val="00135087"/>
    <w:rsid w:val="00135DB2"/>
    <w:rsid w:val="0013735F"/>
    <w:rsid w:val="001608FA"/>
    <w:rsid w:val="001727D4"/>
    <w:rsid w:val="001E1073"/>
    <w:rsid w:val="002111D9"/>
    <w:rsid w:val="00221A9D"/>
    <w:rsid w:val="00245882"/>
    <w:rsid w:val="0024603D"/>
    <w:rsid w:val="0026092B"/>
    <w:rsid w:val="0028560B"/>
    <w:rsid w:val="002A45FA"/>
    <w:rsid w:val="002B1186"/>
    <w:rsid w:val="002C0DC2"/>
    <w:rsid w:val="00364033"/>
    <w:rsid w:val="0036647A"/>
    <w:rsid w:val="003902F4"/>
    <w:rsid w:val="003A4587"/>
    <w:rsid w:val="003B03D6"/>
    <w:rsid w:val="003C28DB"/>
    <w:rsid w:val="003D0768"/>
    <w:rsid w:val="003F08E1"/>
    <w:rsid w:val="00417373"/>
    <w:rsid w:val="004219CB"/>
    <w:rsid w:val="00456281"/>
    <w:rsid w:val="00457DA6"/>
    <w:rsid w:val="0046086C"/>
    <w:rsid w:val="004879DA"/>
    <w:rsid w:val="00487B49"/>
    <w:rsid w:val="004C651F"/>
    <w:rsid w:val="004E1AD7"/>
    <w:rsid w:val="00532452"/>
    <w:rsid w:val="0053434A"/>
    <w:rsid w:val="005355B8"/>
    <w:rsid w:val="00554AA5"/>
    <w:rsid w:val="00567D86"/>
    <w:rsid w:val="00590857"/>
    <w:rsid w:val="005C5A4A"/>
    <w:rsid w:val="005D3157"/>
    <w:rsid w:val="005F2B1D"/>
    <w:rsid w:val="006031E4"/>
    <w:rsid w:val="0068237F"/>
    <w:rsid w:val="006840F0"/>
    <w:rsid w:val="006A7BF0"/>
    <w:rsid w:val="006B4BF3"/>
    <w:rsid w:val="006C4EF9"/>
    <w:rsid w:val="006E2CC4"/>
    <w:rsid w:val="0070317D"/>
    <w:rsid w:val="00712026"/>
    <w:rsid w:val="00712A50"/>
    <w:rsid w:val="00715D86"/>
    <w:rsid w:val="00731C9B"/>
    <w:rsid w:val="00775B18"/>
    <w:rsid w:val="007762B0"/>
    <w:rsid w:val="007C1CFC"/>
    <w:rsid w:val="007E5AF8"/>
    <w:rsid w:val="008513AF"/>
    <w:rsid w:val="00874BD3"/>
    <w:rsid w:val="008A0F63"/>
    <w:rsid w:val="008C02DE"/>
    <w:rsid w:val="00910F49"/>
    <w:rsid w:val="0096657F"/>
    <w:rsid w:val="009B7D57"/>
    <w:rsid w:val="009E1A61"/>
    <w:rsid w:val="009F5A50"/>
    <w:rsid w:val="00A00DC9"/>
    <w:rsid w:val="00A03A91"/>
    <w:rsid w:val="00A11BE1"/>
    <w:rsid w:val="00A30DCB"/>
    <w:rsid w:val="00A50204"/>
    <w:rsid w:val="00A86ACF"/>
    <w:rsid w:val="00A9255E"/>
    <w:rsid w:val="00A97E87"/>
    <w:rsid w:val="00AB0EE3"/>
    <w:rsid w:val="00AD756B"/>
    <w:rsid w:val="00B11903"/>
    <w:rsid w:val="00B40910"/>
    <w:rsid w:val="00B56311"/>
    <w:rsid w:val="00BA5652"/>
    <w:rsid w:val="00BB029D"/>
    <w:rsid w:val="00BC1C8D"/>
    <w:rsid w:val="00BF5602"/>
    <w:rsid w:val="00C27288"/>
    <w:rsid w:val="00C52CB2"/>
    <w:rsid w:val="00C57562"/>
    <w:rsid w:val="00C9256F"/>
    <w:rsid w:val="00C942CA"/>
    <w:rsid w:val="00CA29BF"/>
    <w:rsid w:val="00CB4667"/>
    <w:rsid w:val="00CD1B6D"/>
    <w:rsid w:val="00D00AC7"/>
    <w:rsid w:val="00D22AA4"/>
    <w:rsid w:val="00D67A0D"/>
    <w:rsid w:val="00D84692"/>
    <w:rsid w:val="00D95585"/>
    <w:rsid w:val="00DB2D5C"/>
    <w:rsid w:val="00DB6007"/>
    <w:rsid w:val="00DF2E54"/>
    <w:rsid w:val="00E146D4"/>
    <w:rsid w:val="00E44D3B"/>
    <w:rsid w:val="00EB4990"/>
    <w:rsid w:val="00EB79A1"/>
    <w:rsid w:val="00EC41A1"/>
    <w:rsid w:val="00ED7F84"/>
    <w:rsid w:val="00F061D9"/>
    <w:rsid w:val="00F112E5"/>
    <w:rsid w:val="00F37EB9"/>
    <w:rsid w:val="00F43672"/>
    <w:rsid w:val="00F653FA"/>
    <w:rsid w:val="00F71AC8"/>
    <w:rsid w:val="00F7520F"/>
    <w:rsid w:val="00F95A66"/>
    <w:rsid w:val="00FA7AE1"/>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3D2494"/>
    <w:rsid w:val="0B7C0359"/>
    <w:rsid w:val="0CDA7804"/>
    <w:rsid w:val="0D874C6E"/>
    <w:rsid w:val="0EE67E01"/>
    <w:rsid w:val="0F643ECF"/>
    <w:rsid w:val="0FF1019B"/>
    <w:rsid w:val="1022799E"/>
    <w:rsid w:val="103B02C3"/>
    <w:rsid w:val="11E459D1"/>
    <w:rsid w:val="124A7C53"/>
    <w:rsid w:val="128444E2"/>
    <w:rsid w:val="129F0029"/>
    <w:rsid w:val="12C71DD8"/>
    <w:rsid w:val="1388399D"/>
    <w:rsid w:val="13C1524A"/>
    <w:rsid w:val="140E1654"/>
    <w:rsid w:val="141F006B"/>
    <w:rsid w:val="14362F46"/>
    <w:rsid w:val="15CA7450"/>
    <w:rsid w:val="16282C90"/>
    <w:rsid w:val="16805122"/>
    <w:rsid w:val="16B357FA"/>
    <w:rsid w:val="188D1AB0"/>
    <w:rsid w:val="19072254"/>
    <w:rsid w:val="19113AE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7217AC1"/>
    <w:rsid w:val="27273A5D"/>
    <w:rsid w:val="276B105A"/>
    <w:rsid w:val="27C77BEA"/>
    <w:rsid w:val="28963FC6"/>
    <w:rsid w:val="298B7113"/>
    <w:rsid w:val="2A60149F"/>
    <w:rsid w:val="2AA1022C"/>
    <w:rsid w:val="2AD21399"/>
    <w:rsid w:val="2B477ECC"/>
    <w:rsid w:val="2BE53E33"/>
    <w:rsid w:val="2BEE541D"/>
    <w:rsid w:val="2C8358A4"/>
    <w:rsid w:val="2CB11BE3"/>
    <w:rsid w:val="2DCF500B"/>
    <w:rsid w:val="2E154B57"/>
    <w:rsid w:val="300E21B8"/>
    <w:rsid w:val="303A3BE6"/>
    <w:rsid w:val="306227BE"/>
    <w:rsid w:val="30782365"/>
    <w:rsid w:val="30955AF3"/>
    <w:rsid w:val="32566F94"/>
    <w:rsid w:val="329575C1"/>
    <w:rsid w:val="337F23F7"/>
    <w:rsid w:val="34775871"/>
    <w:rsid w:val="34FA2224"/>
    <w:rsid w:val="35F33357"/>
    <w:rsid w:val="36BBB3B4"/>
    <w:rsid w:val="36D03D22"/>
    <w:rsid w:val="36EB1356"/>
    <w:rsid w:val="372375D2"/>
    <w:rsid w:val="37CB7F0A"/>
    <w:rsid w:val="384D4DBB"/>
    <w:rsid w:val="385702A2"/>
    <w:rsid w:val="38776E25"/>
    <w:rsid w:val="388324F3"/>
    <w:rsid w:val="39B36A2C"/>
    <w:rsid w:val="39B408CC"/>
    <w:rsid w:val="39F84847"/>
    <w:rsid w:val="3A3E21CB"/>
    <w:rsid w:val="3A834D93"/>
    <w:rsid w:val="3B6F3313"/>
    <w:rsid w:val="3B7609D8"/>
    <w:rsid w:val="3BA96372"/>
    <w:rsid w:val="3BB369EC"/>
    <w:rsid w:val="3BC231A4"/>
    <w:rsid w:val="3CDE5BAF"/>
    <w:rsid w:val="3D10537F"/>
    <w:rsid w:val="3D7776DE"/>
    <w:rsid w:val="3E5466E2"/>
    <w:rsid w:val="3EB42DAD"/>
    <w:rsid w:val="3ED709D0"/>
    <w:rsid w:val="3EFB147E"/>
    <w:rsid w:val="3F1261E7"/>
    <w:rsid w:val="402658E6"/>
    <w:rsid w:val="40AB040F"/>
    <w:rsid w:val="40F71EBC"/>
    <w:rsid w:val="41BE146A"/>
    <w:rsid w:val="43173539"/>
    <w:rsid w:val="442946B2"/>
    <w:rsid w:val="44877682"/>
    <w:rsid w:val="45CE0D4F"/>
    <w:rsid w:val="45D52AB3"/>
    <w:rsid w:val="45F538D3"/>
    <w:rsid w:val="46217315"/>
    <w:rsid w:val="475B1DFE"/>
    <w:rsid w:val="479E4295"/>
    <w:rsid w:val="481905D8"/>
    <w:rsid w:val="49232D77"/>
    <w:rsid w:val="49713B77"/>
    <w:rsid w:val="4A3C7E3F"/>
    <w:rsid w:val="4B863A94"/>
    <w:rsid w:val="4C1D7622"/>
    <w:rsid w:val="4CA91F02"/>
    <w:rsid w:val="4D0534BD"/>
    <w:rsid w:val="4D1E6489"/>
    <w:rsid w:val="4E1A050E"/>
    <w:rsid w:val="4E887DAB"/>
    <w:rsid w:val="4E992229"/>
    <w:rsid w:val="4EA01BE8"/>
    <w:rsid w:val="511A24BA"/>
    <w:rsid w:val="51AC5467"/>
    <w:rsid w:val="51AD28D9"/>
    <w:rsid w:val="51C42BB3"/>
    <w:rsid w:val="5255681F"/>
    <w:rsid w:val="52A251C4"/>
    <w:rsid w:val="52D067A0"/>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7F5534"/>
    <w:rsid w:val="5E6464F6"/>
    <w:rsid w:val="5E7C7495"/>
    <w:rsid w:val="60565A87"/>
    <w:rsid w:val="61C01EA7"/>
    <w:rsid w:val="62D844D6"/>
    <w:rsid w:val="62D955DA"/>
    <w:rsid w:val="6362248D"/>
    <w:rsid w:val="63637D4F"/>
    <w:rsid w:val="63E9331F"/>
    <w:rsid w:val="64670722"/>
    <w:rsid w:val="64C44DA2"/>
    <w:rsid w:val="65044D94"/>
    <w:rsid w:val="659C7F6C"/>
    <w:rsid w:val="663F0B50"/>
    <w:rsid w:val="66E63FD5"/>
    <w:rsid w:val="671F43C4"/>
    <w:rsid w:val="67880EC5"/>
    <w:rsid w:val="67CF3DD4"/>
    <w:rsid w:val="682415D2"/>
    <w:rsid w:val="68AA71AB"/>
    <w:rsid w:val="69286FA4"/>
    <w:rsid w:val="692F326B"/>
    <w:rsid w:val="69BF176D"/>
    <w:rsid w:val="69D177BC"/>
    <w:rsid w:val="69D9608F"/>
    <w:rsid w:val="6AB07920"/>
    <w:rsid w:val="6AE00EF4"/>
    <w:rsid w:val="6AE436B8"/>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FB110E"/>
    <w:rsid w:val="784C1B55"/>
    <w:rsid w:val="78757EF0"/>
    <w:rsid w:val="7892482B"/>
    <w:rsid w:val="78B17899"/>
    <w:rsid w:val="78FD72FA"/>
    <w:rsid w:val="79D85537"/>
    <w:rsid w:val="7A2A3677"/>
    <w:rsid w:val="7AB55C42"/>
    <w:rsid w:val="7B5B1641"/>
    <w:rsid w:val="7C6704C2"/>
    <w:rsid w:val="7E015BB4"/>
    <w:rsid w:val="7E5A5BD8"/>
    <w:rsid w:val="7E80620C"/>
    <w:rsid w:val="7F3D7105"/>
    <w:rsid w:val="7F7B4AA1"/>
    <w:rsid w:val="7FDF31B0"/>
    <w:rsid w:val="7FEC6089"/>
    <w:rsid w:val="B11DD116"/>
    <w:rsid w:val="CDFF590F"/>
    <w:rsid w:val="EDF7F79A"/>
    <w:rsid w:val="FDDFCCA3"/>
    <w:rsid w:val="FEDB3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3"/>
    <w:qFormat/>
    <w:uiPriority w:val="0"/>
    <w:pPr>
      <w:keepNext/>
      <w:jc w:val="center"/>
      <w:outlineLvl w:val="0"/>
    </w:pPr>
    <w:rPr>
      <w:b/>
      <w:sz w:val="36"/>
    </w:rPr>
  </w:style>
  <w:style w:type="paragraph" w:styleId="5">
    <w:name w:val="heading 2"/>
    <w:basedOn w:val="1"/>
    <w:next w:val="1"/>
    <w:link w:val="31"/>
    <w:semiHidden/>
    <w:unhideWhenUsed/>
    <w:qFormat/>
    <w:uiPriority w:val="0"/>
    <w:pPr>
      <w:keepNext/>
      <w:keepLines/>
      <w:jc w:val="center"/>
      <w:outlineLvl w:val="1"/>
    </w:pPr>
    <w:rPr>
      <w:b/>
      <w:bCs/>
      <w:sz w:val="28"/>
      <w:szCs w:val="30"/>
    </w:rPr>
  </w:style>
  <w:style w:type="paragraph" w:styleId="6">
    <w:name w:val="heading 3"/>
    <w:basedOn w:val="1"/>
    <w:next w:val="1"/>
    <w:link w:val="30"/>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2"/>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4"/>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annotation text"/>
    <w:basedOn w:val="1"/>
    <w:qFormat/>
    <w:uiPriority w:val="0"/>
    <w:pPr>
      <w:jc w:val="left"/>
    </w:pPr>
  </w:style>
  <w:style w:type="paragraph" w:styleId="11">
    <w:name w:val="toc 3"/>
    <w:basedOn w:val="1"/>
    <w:next w:val="1"/>
    <w:qFormat/>
    <w:uiPriority w:val="0"/>
    <w:pPr>
      <w:ind w:left="560" w:leftChars="200"/>
    </w:pPr>
  </w:style>
  <w:style w:type="paragraph" w:styleId="12">
    <w:name w:val="Plain Text"/>
    <w:basedOn w:val="1"/>
    <w:link w:val="40"/>
    <w:qFormat/>
    <w:uiPriority w:val="0"/>
    <w:pPr>
      <w:spacing w:line="240" w:lineRule="auto"/>
      <w:jc w:val="left"/>
    </w:pPr>
  </w:style>
  <w:style w:type="paragraph" w:styleId="13">
    <w:name w:val="endnote text"/>
    <w:basedOn w:val="1"/>
    <w:qFormat/>
    <w:uiPriority w:val="0"/>
    <w:pPr>
      <w:snapToGrid w:val="0"/>
    </w:pPr>
    <w:rPr>
      <w:sz w:val="21"/>
    </w:rPr>
  </w:style>
  <w:style w:type="paragraph" w:styleId="14">
    <w:name w:val="Balloon Text"/>
    <w:basedOn w:val="1"/>
    <w:link w:val="37"/>
    <w:qFormat/>
    <w:uiPriority w:val="0"/>
    <w:pPr>
      <w:spacing w:line="240" w:lineRule="auto"/>
    </w:pPr>
    <w:rPr>
      <w:sz w:val="18"/>
      <w:szCs w:val="18"/>
    </w:rPr>
  </w:style>
  <w:style w:type="paragraph" w:styleId="15">
    <w:name w:val="footer"/>
    <w:basedOn w:val="1"/>
    <w:link w:val="39"/>
    <w:qFormat/>
    <w:uiPriority w:val="99"/>
    <w:pPr>
      <w:tabs>
        <w:tab w:val="center" w:pos="4153"/>
        <w:tab w:val="right" w:pos="8306"/>
      </w:tabs>
      <w:snapToGrid w:val="0"/>
      <w:spacing w:line="480" w:lineRule="auto"/>
      <w:jc w:val="left"/>
    </w:pPr>
    <w:rPr>
      <w:sz w:val="18"/>
      <w:szCs w:val="18"/>
    </w:rPr>
  </w:style>
  <w:style w:type="paragraph" w:styleId="16">
    <w:name w:val="header"/>
    <w:basedOn w:val="1"/>
    <w:link w:val="3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0"/>
    <w:pPr>
      <w:tabs>
        <w:tab w:val="right" w:leader="dot" w:pos="8296"/>
      </w:tabs>
    </w:pPr>
    <w:rPr>
      <w:sz w:val="28"/>
      <w:szCs w:val="28"/>
    </w:rPr>
  </w:style>
  <w:style w:type="paragraph" w:styleId="18">
    <w:name w:val="toc 4"/>
    <w:basedOn w:val="1"/>
    <w:next w:val="1"/>
    <w:qFormat/>
    <w:uiPriority w:val="0"/>
    <w:pPr>
      <w:ind w:left="960" w:leftChars="400"/>
    </w:pPr>
  </w:style>
  <w:style w:type="paragraph" w:styleId="19">
    <w:name w:val="toc 2"/>
    <w:basedOn w:val="1"/>
    <w:next w:val="1"/>
    <w:qFormat/>
    <w:uiPriority w:val="0"/>
    <w:pPr>
      <w:ind w:left="420" w:leftChars="200"/>
    </w:pPr>
  </w:style>
  <w:style w:type="paragraph" w:styleId="20">
    <w:name w:val="Title"/>
    <w:basedOn w:val="1"/>
    <w:next w:val="1"/>
    <w:link w:val="35"/>
    <w:qFormat/>
    <w:uiPriority w:val="0"/>
    <w:pPr>
      <w:jc w:val="center"/>
      <w:outlineLvl w:val="0"/>
    </w:pPr>
    <w:rPr>
      <w:b/>
      <w:bCs/>
      <w:sz w:val="28"/>
      <w:szCs w:val="32"/>
    </w:rPr>
  </w:style>
  <w:style w:type="character" w:styleId="23">
    <w:name w:val="annotation reference"/>
    <w:basedOn w:val="22"/>
    <w:qFormat/>
    <w:uiPriority w:val="0"/>
    <w:rPr>
      <w:sz w:val="21"/>
      <w:szCs w:val="21"/>
    </w:rPr>
  </w:style>
  <w:style w:type="paragraph" w:customStyle="1" w:styleId="24">
    <w:name w:val="表格内"/>
    <w:basedOn w:val="1"/>
    <w:qFormat/>
    <w:uiPriority w:val="0"/>
    <w:pPr>
      <w:snapToGrid w:val="0"/>
      <w:jc w:val="center"/>
    </w:pPr>
  </w:style>
  <w:style w:type="paragraph" w:customStyle="1" w:styleId="25">
    <w:name w:val="段落"/>
    <w:basedOn w:val="1"/>
    <w:qFormat/>
    <w:uiPriority w:val="0"/>
    <w:pPr>
      <w:snapToGrid w:val="0"/>
      <w:spacing w:before="50" w:beforeLines="50" w:after="50" w:afterLines="50"/>
      <w:ind w:firstLine="883" w:firstLineChars="200"/>
    </w:pPr>
    <w:rPr>
      <w:sz w:val="21"/>
      <w:szCs w:val="22"/>
    </w:rPr>
  </w:style>
  <w:style w:type="paragraph" w:customStyle="1" w:styleId="26">
    <w:name w:val="样式1"/>
    <w:basedOn w:val="1"/>
    <w:qFormat/>
    <w:uiPriority w:val="0"/>
  </w:style>
  <w:style w:type="paragraph" w:customStyle="1" w:styleId="27">
    <w:name w:val="常规"/>
    <w:basedOn w:val="1"/>
    <w:qFormat/>
    <w:uiPriority w:val="0"/>
  </w:style>
  <w:style w:type="paragraph" w:customStyle="1" w:styleId="28">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9">
    <w:name w:val="支撑材料"/>
    <w:basedOn w:val="1"/>
    <w:qFormat/>
    <w:uiPriority w:val="0"/>
    <w:pPr>
      <w:spacing w:before="50" w:beforeLines="50" w:after="50" w:afterLines="50"/>
    </w:pPr>
    <w:rPr>
      <w:rFonts w:cs="Times New Roman"/>
      <w:color w:val="000000"/>
      <w:kern w:val="0"/>
      <w:szCs w:val="21"/>
    </w:rPr>
  </w:style>
  <w:style w:type="character" w:customStyle="1" w:styleId="30">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31">
    <w:name w:val="标题 2 字符"/>
    <w:basedOn w:val="22"/>
    <w:link w:val="5"/>
    <w:qFormat/>
    <w:uiPriority w:val="9"/>
    <w:rPr>
      <w:rFonts w:ascii="Times New Roman" w:hAnsi="Times New Roman" w:eastAsia="宋体" w:cstheme="majorBidi"/>
      <w:b/>
      <w:bCs/>
      <w:spacing w:val="-4"/>
      <w:kern w:val="2"/>
      <w:sz w:val="28"/>
      <w:szCs w:val="32"/>
    </w:rPr>
  </w:style>
  <w:style w:type="character" w:customStyle="1" w:styleId="32">
    <w:name w:val="标题 4 字符"/>
    <w:basedOn w:val="22"/>
    <w:link w:val="7"/>
    <w:qFormat/>
    <w:uiPriority w:val="0"/>
    <w:rPr>
      <w:rFonts w:ascii="Times New Roman" w:hAnsi="Times New Roman" w:eastAsia="宋体" w:cs="Times New Roman"/>
      <w:b/>
      <w:bCs/>
      <w:kern w:val="2"/>
      <w:sz w:val="28"/>
      <w:szCs w:val="28"/>
    </w:rPr>
  </w:style>
  <w:style w:type="character" w:customStyle="1" w:styleId="33">
    <w:name w:val="标题 1 字符"/>
    <w:link w:val="4"/>
    <w:qFormat/>
    <w:uiPriority w:val="9"/>
    <w:rPr>
      <w:rFonts w:ascii="Times New Roman" w:hAnsi="Times New Roman" w:eastAsia="宋体"/>
      <w:b/>
      <w:kern w:val="2"/>
      <w:sz w:val="36"/>
    </w:rPr>
  </w:style>
  <w:style w:type="character" w:customStyle="1" w:styleId="34">
    <w:name w:val="正文文本缩进 字符"/>
    <w:basedOn w:val="22"/>
    <w:link w:val="3"/>
    <w:qFormat/>
    <w:uiPriority w:val="0"/>
    <w:rPr>
      <w:rFonts w:ascii="Times New Roman" w:hAnsi="Times New Roman" w:eastAsia="宋体" w:cs="Times New Roman"/>
      <w:kern w:val="2"/>
      <w:sz w:val="28"/>
      <w:szCs w:val="24"/>
    </w:rPr>
  </w:style>
  <w:style w:type="character" w:customStyle="1" w:styleId="35">
    <w:name w:val="标题 字符"/>
    <w:link w:val="20"/>
    <w:qFormat/>
    <w:uiPriority w:val="0"/>
    <w:rPr>
      <w:rFonts w:ascii="Times New Roman" w:hAnsi="Times New Roman" w:eastAsia="宋体"/>
      <w:b/>
      <w:bCs/>
      <w:sz w:val="28"/>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批注框文本 字符"/>
    <w:basedOn w:val="22"/>
    <w:link w:val="14"/>
    <w:qFormat/>
    <w:uiPriority w:val="0"/>
    <w:rPr>
      <w:rFonts w:ascii="Times New Roman" w:hAnsi="Times New Roman" w:eastAsia="宋体"/>
      <w:kern w:val="2"/>
      <w:sz w:val="18"/>
      <w:szCs w:val="18"/>
    </w:rPr>
  </w:style>
  <w:style w:type="character" w:customStyle="1" w:styleId="38">
    <w:name w:val="页眉 字符"/>
    <w:basedOn w:val="22"/>
    <w:link w:val="16"/>
    <w:qFormat/>
    <w:uiPriority w:val="0"/>
    <w:rPr>
      <w:rFonts w:ascii="Times New Roman" w:hAnsi="Times New Roman" w:eastAsia="宋体"/>
      <w:kern w:val="2"/>
      <w:sz w:val="18"/>
      <w:szCs w:val="18"/>
    </w:rPr>
  </w:style>
  <w:style w:type="character" w:customStyle="1" w:styleId="39">
    <w:name w:val="页脚 字符"/>
    <w:basedOn w:val="22"/>
    <w:link w:val="15"/>
    <w:qFormat/>
    <w:uiPriority w:val="99"/>
    <w:rPr>
      <w:rFonts w:ascii="Times New Roman" w:hAnsi="Times New Roman" w:eastAsia="宋体"/>
      <w:kern w:val="2"/>
      <w:sz w:val="18"/>
      <w:szCs w:val="18"/>
    </w:rPr>
  </w:style>
  <w:style w:type="character" w:customStyle="1" w:styleId="40">
    <w:name w:val="纯文本 字符"/>
    <w:basedOn w:val="22"/>
    <w:link w:val="12"/>
    <w:qFormat/>
    <w:uiPriority w:val="0"/>
    <w:rPr>
      <w:rFonts w:ascii="Times New Roman" w:hAnsi="Times New Roman" w:eastAsia="宋体"/>
      <w:kern w:val="2"/>
      <w:sz w:val="24"/>
    </w:rPr>
  </w:style>
  <w:style w:type="paragraph" w:customStyle="1" w:styleId="41">
    <w:name w:val="修订1"/>
    <w:hidden/>
    <w:semiHidden/>
    <w:qFormat/>
    <w:uiPriority w:val="99"/>
    <w:rPr>
      <w:rFonts w:ascii="Times New Roman" w:hAnsi="Times New Roman" w:eastAsia="宋体" w:cstheme="minorBidi"/>
      <w:kern w:val="2"/>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875</Words>
  <Characters>4994</Characters>
  <Lines>41</Lines>
  <Paragraphs>11</Paragraphs>
  <TotalTime>20</TotalTime>
  <ScaleCrop>false</ScaleCrop>
  <LinksUpToDate>false</LinksUpToDate>
  <CharactersWithSpaces>5858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2024-05-11T00:53:00Z</dcterms:created>
  <dc:creator>w</dc:creator>
  <cp:lastModifiedBy>ysgz</cp:lastModifiedBy>
  <cp:lastPrinted>2024-05-11T19:12:00Z</cp:lastPrinted>
  <dcterms:modified xsi:type="dcterms:W3CDTF">2024-05-11T15:08:42Z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D9D6FC20D9FF4AD09C29ED0F35DE8886_13</vt:lpwstr>
  </property>
</Properties>
</file>