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399AD">
      <w:pPr>
        <w:rPr>
          <w:rFonts w:hint="eastAsia" w:ascii="黑体" w:hAnsi="黑体" w:eastAsia="黑体" w:cs="黑体"/>
          <w:color w:val="000000"/>
          <w:kern w:val="0"/>
          <w:sz w:val="32"/>
          <w:szCs w:val="32"/>
          <w:lang w:val="en-US" w:eastAsia="zh-CN" w:bidi="ar"/>
        </w:rPr>
      </w:pPr>
      <w:bookmarkStart w:id="12" w:name="_GoBack"/>
      <w:bookmarkEnd w:id="12"/>
      <w:r>
        <w:rPr>
          <w:rFonts w:hint="eastAsia" w:ascii="黑体" w:hAnsi="黑体" w:eastAsia="黑体" w:cs="黑体"/>
          <w:color w:val="000000"/>
          <w:kern w:val="0"/>
          <w:sz w:val="32"/>
          <w:szCs w:val="32"/>
          <w:lang w:val="en-US" w:eastAsia="zh-CN" w:bidi="ar"/>
        </w:rPr>
        <w:t>附件1</w:t>
      </w:r>
    </w:p>
    <w:p w14:paraId="52DC4731">
      <w:pPr>
        <w:jc w:val="center"/>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实地布置参考图</w:t>
      </w:r>
    </w:p>
    <w:p w14:paraId="31DAA5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kern w:val="0"/>
          <w:sz w:val="32"/>
          <w:szCs w:val="32"/>
          <w:lang w:val="en-US" w:eastAsia="zh-CN" w:bidi="ar"/>
        </w:rPr>
      </w:pPr>
    </w:p>
    <w:p w14:paraId="6FAEA85A">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drawing>
          <wp:inline distT="0" distB="0" distL="114300" distR="114300">
            <wp:extent cx="5266690" cy="6768465"/>
            <wp:effectExtent l="0" t="0" r="10160" b="13335"/>
            <wp:docPr id="1" name="图片 1" descr="4b0fd2ac05a96d6b040dae7cdfb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b0fd2ac05a96d6b040dae7cdfb7446"/>
                    <pic:cNvPicPr>
                      <a:picLocks noChangeAspect="1"/>
                    </pic:cNvPicPr>
                  </pic:nvPicPr>
                  <pic:blipFill>
                    <a:blip r:embed="rId6"/>
                    <a:stretch>
                      <a:fillRect/>
                    </a:stretch>
                  </pic:blipFill>
                  <pic:spPr>
                    <a:xfrm>
                      <a:off x="0" y="0"/>
                      <a:ext cx="5266690" cy="6768465"/>
                    </a:xfrm>
                    <a:prstGeom prst="rect">
                      <a:avLst/>
                    </a:prstGeom>
                    <a:noFill/>
                    <a:ln>
                      <a:noFill/>
                    </a:ln>
                  </pic:spPr>
                </pic:pic>
              </a:graphicData>
            </a:graphic>
          </wp:inline>
        </w:drawing>
      </w:r>
    </w:p>
    <w:p w14:paraId="343FFDD6">
      <w:pP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附件2</w:t>
      </w:r>
    </w:p>
    <w:p w14:paraId="5EA4C088">
      <w:pPr>
        <w:jc w:val="center"/>
        <w:rPr>
          <w:rFonts w:hint="eastAsia" w:ascii="方正小标宋简体" w:hAnsi="方正小标宋简体" w:eastAsia="方正小标宋简体" w:cs="方正小标宋简体"/>
          <w:color w:val="000000"/>
          <w:kern w:val="0"/>
          <w:sz w:val="36"/>
          <w:szCs w:val="36"/>
          <w:lang w:val="en-US" w:eastAsia="zh-CN" w:bidi="ar"/>
        </w:rPr>
      </w:pPr>
      <w:bookmarkStart w:id="0" w:name="_Toc30043"/>
      <w:bookmarkStart w:id="1" w:name="_Toc8303_WPSOffice_Level1"/>
      <w:r>
        <w:rPr>
          <w:rFonts w:hint="eastAsia" w:ascii="方正小标宋简体" w:hAnsi="方正小标宋简体" w:eastAsia="方正小标宋简体" w:cs="方正小标宋简体"/>
          <w:color w:val="000000"/>
          <w:kern w:val="0"/>
          <w:sz w:val="36"/>
          <w:szCs w:val="36"/>
          <w:lang w:val="en-US" w:eastAsia="zh-CN" w:bidi="ar"/>
        </w:rPr>
        <w:t>报 价 函</w:t>
      </w:r>
      <w:bookmarkEnd w:id="0"/>
      <w:bookmarkEnd w:id="1"/>
    </w:p>
    <w:p w14:paraId="7830DC4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sz w:val="32"/>
          <w:szCs w:val="32"/>
          <w:u w:val="single"/>
        </w:rPr>
      </w:pPr>
      <w:bookmarkStart w:id="2" w:name="_Toc4003_WPSOffice_Level2"/>
      <w:bookmarkStart w:id="3" w:name="_Toc8371_WPSOffice_Level2"/>
      <w:r>
        <w:rPr>
          <w:rFonts w:hint="eastAsia" w:ascii="黑体" w:hAnsi="黑体" w:eastAsia="黑体" w:cs="黑体"/>
          <w:sz w:val="32"/>
          <w:szCs w:val="32"/>
        </w:rPr>
        <w:t>一、报价</w:t>
      </w:r>
      <w:bookmarkEnd w:id="2"/>
      <w:bookmarkEnd w:id="3"/>
    </w:p>
    <w:p w14:paraId="3EFB956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1.我公司就</w:t>
      </w:r>
      <w:r>
        <w:rPr>
          <w:rFonts w:hint="eastAsia" w:ascii="仿宋" w:hAnsi="仿宋" w:eastAsia="仿宋" w:cs="仿宋"/>
          <w:b w:val="0"/>
          <w:bCs w:val="0"/>
          <w:color w:val="auto"/>
          <w:sz w:val="32"/>
          <w:szCs w:val="32"/>
          <w:lang w:val="en-US" w:eastAsia="zh-CN"/>
        </w:rPr>
        <w:t>建立派驻省交通运输厅纪检监察组相关档案室采购项目</w:t>
      </w:r>
      <w:r>
        <w:rPr>
          <w:rFonts w:hint="eastAsia" w:ascii="仿宋" w:hAnsi="仿宋" w:eastAsia="仿宋" w:cs="仿宋"/>
          <w:b w:val="0"/>
          <w:bCs w:val="0"/>
          <w:color w:val="auto"/>
          <w:kern w:val="2"/>
          <w:sz w:val="32"/>
          <w:szCs w:val="32"/>
          <w:lang w:val="en-US" w:eastAsia="zh-CN" w:bidi="ar-SA"/>
        </w:rPr>
        <w:t>的询价报价为：按报价明细表单价据实计算。响应报价为验收合格并交付使用价。包括但不限于人员劳务费、设备及耗材购置或租赁费、交通费、工伤保险、利润、税金及其他不可预见的费用等一切成本费用。本报价在响应有效期内固定不变，并在合同有效期内不受利率波动的影响。</w:t>
      </w:r>
    </w:p>
    <w:p w14:paraId="69926B7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2.服务期： 60个工作日 。</w:t>
      </w:r>
    </w:p>
    <w:p w14:paraId="48EC242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sz w:val="32"/>
          <w:szCs w:val="32"/>
        </w:rPr>
      </w:pPr>
      <w:bookmarkStart w:id="4" w:name="_Toc20672_WPSOffice_Level2"/>
      <w:bookmarkStart w:id="5" w:name="_Toc24319"/>
      <w:bookmarkStart w:id="6" w:name="_Toc18626_WPSOffice_Level2"/>
      <w:r>
        <w:rPr>
          <w:rFonts w:hint="eastAsia" w:ascii="黑体" w:hAnsi="黑体" w:eastAsia="黑体" w:cs="黑体"/>
          <w:sz w:val="32"/>
          <w:szCs w:val="32"/>
        </w:rPr>
        <w:t>二、递交资料</w:t>
      </w:r>
      <w:bookmarkEnd w:id="4"/>
      <w:bookmarkEnd w:id="5"/>
      <w:bookmarkEnd w:id="6"/>
    </w:p>
    <w:p w14:paraId="55518873">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响应</w:t>
      </w:r>
      <w:r>
        <w:rPr>
          <w:rFonts w:hint="eastAsia" w:ascii="仿宋" w:hAnsi="仿宋" w:eastAsia="仿宋" w:cs="仿宋"/>
          <w:sz w:val="32"/>
          <w:szCs w:val="32"/>
        </w:rPr>
        <w:t>文件</w:t>
      </w:r>
      <w:r>
        <w:rPr>
          <w:rFonts w:hint="eastAsia" w:ascii="仿宋" w:hAnsi="仿宋" w:eastAsia="仿宋" w:cs="仿宋"/>
          <w:sz w:val="32"/>
          <w:szCs w:val="32"/>
          <w:u w:val="single"/>
        </w:rPr>
        <w:t xml:space="preserve">  1  </w:t>
      </w:r>
      <w:r>
        <w:rPr>
          <w:rFonts w:hint="eastAsia" w:ascii="仿宋" w:hAnsi="仿宋" w:eastAsia="仿宋" w:cs="仿宋"/>
          <w:sz w:val="32"/>
          <w:szCs w:val="32"/>
        </w:rPr>
        <w:t>份。</w:t>
      </w:r>
    </w:p>
    <w:p w14:paraId="1294E39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黑体" w:hAnsi="黑体" w:eastAsia="黑体" w:cs="黑体"/>
          <w:sz w:val="32"/>
          <w:szCs w:val="32"/>
        </w:rPr>
      </w:pPr>
      <w:bookmarkStart w:id="7" w:name="_Toc15848_WPSOffice_Level2"/>
      <w:bookmarkStart w:id="8" w:name="_Toc14576_WPSOffice_Level2"/>
      <w:bookmarkStart w:id="9" w:name="_Toc13852"/>
      <w:r>
        <w:rPr>
          <w:rFonts w:hint="eastAsia" w:ascii="黑体" w:hAnsi="黑体" w:eastAsia="黑体" w:cs="黑体"/>
          <w:sz w:val="32"/>
          <w:szCs w:val="32"/>
        </w:rPr>
        <w:t>三、相关承诺</w:t>
      </w:r>
      <w:bookmarkEnd w:id="7"/>
      <w:bookmarkEnd w:id="8"/>
      <w:bookmarkEnd w:id="9"/>
    </w:p>
    <w:p w14:paraId="67A5ED83">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1.我方不是采购人的附属机构；在获知本项目采购信息后，与采购人聘请的为此项目提供咨询服务的公司及其附属机构没有任何联系。</w:t>
      </w:r>
    </w:p>
    <w:p w14:paraId="1EDB2E86">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2.我公司已详细审查全部</w:t>
      </w:r>
      <w:r>
        <w:rPr>
          <w:rFonts w:hint="eastAsia" w:ascii="仿宋" w:hAnsi="仿宋" w:eastAsia="仿宋" w:cs="仿宋"/>
          <w:sz w:val="32"/>
          <w:szCs w:val="32"/>
          <w:lang w:val="en-US" w:eastAsia="zh-CN"/>
        </w:rPr>
        <w:t>询价</w:t>
      </w:r>
      <w:r>
        <w:rPr>
          <w:rFonts w:hint="eastAsia" w:ascii="仿宋" w:hAnsi="仿宋" w:eastAsia="仿宋" w:cs="仿宋"/>
          <w:sz w:val="32"/>
          <w:szCs w:val="32"/>
        </w:rPr>
        <w:t>文件及有关的澄清/修改文件，完全理解和同意，并保证遵守</w:t>
      </w:r>
      <w:r>
        <w:rPr>
          <w:rFonts w:hint="eastAsia" w:ascii="仿宋" w:hAnsi="仿宋" w:eastAsia="仿宋" w:cs="仿宋"/>
          <w:sz w:val="32"/>
          <w:szCs w:val="32"/>
          <w:lang w:val="en-US" w:eastAsia="zh-CN"/>
        </w:rPr>
        <w:t>询价</w:t>
      </w:r>
      <w:r>
        <w:rPr>
          <w:rFonts w:hint="eastAsia" w:ascii="仿宋" w:hAnsi="仿宋" w:eastAsia="仿宋" w:cs="仿宋"/>
          <w:sz w:val="32"/>
          <w:szCs w:val="32"/>
        </w:rPr>
        <w:t>文件有关条款规定。</w:t>
      </w:r>
    </w:p>
    <w:p w14:paraId="43011D4E">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3.保证在中标后忠实地执行与采购人所签署的合同，并承担合同规定的责任义务。</w:t>
      </w:r>
    </w:p>
    <w:p w14:paraId="3172B44F">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4.承诺应贵方要求提供任何与该项目投标有关的数据、情况和技术资料。</w:t>
      </w:r>
    </w:p>
    <w:p w14:paraId="75EA36CD">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textAlignment w:val="auto"/>
        <w:rPr>
          <w:rFonts w:hint="eastAsia" w:ascii="仿宋" w:hAnsi="仿宋" w:eastAsia="仿宋" w:cs="仿宋"/>
          <w:sz w:val="32"/>
          <w:szCs w:val="32"/>
        </w:rPr>
      </w:pPr>
      <w:r>
        <w:rPr>
          <w:rFonts w:hint="eastAsia" w:ascii="仿宋" w:hAnsi="仿宋" w:eastAsia="仿宋" w:cs="仿宋"/>
          <w:sz w:val="32"/>
          <w:szCs w:val="32"/>
        </w:rPr>
        <w:t>5.本</w:t>
      </w:r>
      <w:r>
        <w:rPr>
          <w:rFonts w:hint="eastAsia" w:ascii="仿宋" w:hAnsi="仿宋" w:eastAsia="仿宋" w:cs="仿宋"/>
          <w:sz w:val="32"/>
          <w:szCs w:val="32"/>
          <w:lang w:val="en-US" w:eastAsia="zh-CN"/>
        </w:rPr>
        <w:t>响应</w:t>
      </w:r>
      <w:r>
        <w:rPr>
          <w:rFonts w:hint="eastAsia" w:ascii="仿宋" w:hAnsi="仿宋" w:eastAsia="仿宋" w:cs="仿宋"/>
          <w:sz w:val="32"/>
          <w:szCs w:val="32"/>
        </w:rPr>
        <w:t>文件提供的报价、资格、技术、商务等文件均真实、有效、准确。若有违背，我方愿意承担由此而产生的一切后果。</w:t>
      </w:r>
    </w:p>
    <w:p w14:paraId="79275D07">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480"/>
        <w:textAlignment w:val="auto"/>
        <w:rPr>
          <w:rFonts w:hint="eastAsia" w:ascii="仿宋" w:hAnsi="仿宋" w:eastAsia="仿宋" w:cs="仿宋"/>
          <w:sz w:val="32"/>
          <w:szCs w:val="32"/>
        </w:rPr>
      </w:pPr>
    </w:p>
    <w:p w14:paraId="2B8C3BCC">
      <w:pPr>
        <w:rPr>
          <w:rFonts w:hint="eastAsia" w:ascii="仿宋" w:hAnsi="仿宋" w:eastAsia="仿宋" w:cs="仿宋"/>
          <w:sz w:val="32"/>
          <w:szCs w:val="32"/>
        </w:rPr>
      </w:pPr>
    </w:p>
    <w:p w14:paraId="7E16741A">
      <w:pPr>
        <w:pStyle w:val="2"/>
        <w:rPr>
          <w:rFonts w:hint="eastAsia"/>
        </w:rPr>
      </w:pPr>
    </w:p>
    <w:p w14:paraId="0D48284B">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jc w:val="left"/>
        <w:textAlignment w:val="auto"/>
        <w:outlineLvl w:val="1"/>
        <w:rPr>
          <w:rFonts w:hint="eastAsia" w:ascii="仿宋" w:hAnsi="仿宋" w:eastAsia="仿宋" w:cs="仿宋"/>
          <w:sz w:val="32"/>
          <w:szCs w:val="32"/>
        </w:rPr>
      </w:pPr>
      <w:bookmarkStart w:id="10" w:name="_Toc32595"/>
      <w:r>
        <w:rPr>
          <w:rFonts w:hint="eastAsia" w:ascii="仿宋" w:hAnsi="仿宋" w:eastAsia="仿宋" w:cs="仿宋"/>
          <w:sz w:val="32"/>
          <w:szCs w:val="32"/>
          <w:lang w:val="en-US" w:eastAsia="zh-CN"/>
        </w:rPr>
        <w:t xml:space="preserve">                    </w:t>
      </w:r>
      <w:bookmarkStart w:id="11" w:name="_Toc6621"/>
      <w:r>
        <w:rPr>
          <w:rFonts w:hint="eastAsia" w:ascii="仿宋" w:hAnsi="仿宋" w:eastAsia="仿宋" w:cs="仿宋"/>
          <w:sz w:val="32"/>
          <w:szCs w:val="32"/>
        </w:rPr>
        <w:t>供应商名称（盖章）：</w:t>
      </w:r>
      <w:bookmarkEnd w:id="10"/>
      <w:bookmarkEnd w:id="11"/>
    </w:p>
    <w:p w14:paraId="6ACEAC43">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法定代表人或授权</w:t>
      </w:r>
      <w:r>
        <w:rPr>
          <w:rFonts w:hint="eastAsia" w:ascii="仿宋" w:hAnsi="仿宋" w:eastAsia="仿宋" w:cs="仿宋"/>
          <w:b w:val="0"/>
          <w:bCs w:val="0"/>
          <w:color w:val="auto"/>
          <w:kern w:val="2"/>
          <w:sz w:val="32"/>
          <w:szCs w:val="32"/>
          <w:lang w:val="en-US" w:eastAsia="zh-CN" w:bidi="ar-SA"/>
        </w:rPr>
        <w:t>代表</w:t>
      </w:r>
      <w:r>
        <w:rPr>
          <w:rFonts w:hint="eastAsia" w:ascii="仿宋" w:hAnsi="仿宋" w:eastAsia="仿宋" w:cs="仿宋"/>
          <w:sz w:val="32"/>
          <w:szCs w:val="32"/>
        </w:rPr>
        <w:t xml:space="preserve">（签字）：                </w:t>
      </w:r>
    </w:p>
    <w:p w14:paraId="72A5234F">
      <w:pPr>
        <w:keepNext w:val="0"/>
        <w:keepLines w:val="0"/>
        <w:pageBreakBefore w:val="0"/>
        <w:widowControl w:val="0"/>
        <w:kinsoku/>
        <w:wordWrap/>
        <w:overflowPunct/>
        <w:topLinePunct w:val="0"/>
        <w:autoSpaceDE/>
        <w:autoSpaceDN/>
        <w:bidi w:val="0"/>
        <w:adjustRightInd/>
        <w:snapToGrid/>
        <w:spacing w:line="560" w:lineRule="exact"/>
        <w:ind w:left="-15" w:leftChars="-5" w:firstLine="648" w:firstLineChars="205"/>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响应</w:t>
      </w:r>
      <w:r>
        <w:rPr>
          <w:rFonts w:hint="eastAsia" w:ascii="仿宋" w:hAnsi="仿宋" w:eastAsia="仿宋" w:cs="仿宋"/>
          <w:sz w:val="32"/>
          <w:szCs w:val="32"/>
        </w:rPr>
        <w:t>日期：</w:t>
      </w:r>
      <w:r>
        <w:rPr>
          <w:rFonts w:hint="eastAsia" w:ascii="仿宋" w:hAnsi="仿宋" w:eastAsia="仿宋" w:cs="仿宋"/>
          <w:sz w:val="32"/>
          <w:szCs w:val="32"/>
          <w:lang w:val="en-US" w:eastAsia="zh-CN"/>
        </w:rPr>
        <w:t>年  月   日</w:t>
      </w:r>
    </w:p>
    <w:p w14:paraId="68B6BD71">
      <w:pPr>
        <w:pStyle w:val="4"/>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14:paraId="311CF791">
      <w:pPr>
        <w:rPr>
          <w:rFonts w:hint="eastAsia" w:ascii="宋体" w:hAnsi="宋体" w:eastAsia="宋体" w:cs="宋体"/>
          <w:lang w:val="en-US" w:eastAsia="zh-CN"/>
        </w:rPr>
      </w:pPr>
    </w:p>
    <w:p w14:paraId="7FDA5F48">
      <w:pPr>
        <w:rPr>
          <w:rFonts w:hint="eastAsia" w:ascii="宋体" w:hAnsi="宋体" w:eastAsia="宋体" w:cs="宋体"/>
          <w:lang w:val="en-US" w:eastAsia="zh-CN"/>
        </w:rPr>
      </w:pPr>
    </w:p>
    <w:p w14:paraId="1C19B802">
      <w:pPr>
        <w:rPr>
          <w:rFonts w:hint="eastAsia" w:ascii="宋体" w:hAnsi="宋体" w:eastAsia="宋体" w:cs="宋体"/>
          <w:lang w:val="en-US" w:eastAsia="zh-CN"/>
        </w:rPr>
      </w:pPr>
    </w:p>
    <w:p w14:paraId="4D8F646D">
      <w:pPr>
        <w:pStyle w:val="3"/>
        <w:spacing w:line="360" w:lineRule="auto"/>
        <w:ind w:left="0" w:leftChars="0" w:firstLine="0" w:firstLineChars="0"/>
        <w:jc w:val="both"/>
        <w:rPr>
          <w:rFonts w:hint="eastAsia" w:eastAsia="宋体" w:cs="宋体"/>
          <w:sz w:val="22"/>
          <w:szCs w:val="28"/>
          <w:lang w:val="en-US" w:eastAsia="zh-CN"/>
        </w:rPr>
      </w:pPr>
    </w:p>
    <w:p w14:paraId="15F08F91">
      <w:pPr>
        <w:pStyle w:val="3"/>
        <w:spacing w:line="360" w:lineRule="auto"/>
        <w:ind w:left="0" w:leftChars="0" w:firstLine="0" w:firstLineChars="0"/>
        <w:jc w:val="both"/>
        <w:rPr>
          <w:rFonts w:hint="eastAsia" w:eastAsia="宋体" w:cs="宋体"/>
          <w:sz w:val="22"/>
          <w:szCs w:val="28"/>
          <w:lang w:val="en-US" w:eastAsia="zh-CN"/>
        </w:rPr>
      </w:pPr>
    </w:p>
    <w:p w14:paraId="1B48D40E">
      <w:pPr>
        <w:pStyle w:val="3"/>
        <w:spacing w:line="360" w:lineRule="auto"/>
        <w:ind w:left="0" w:leftChars="0" w:firstLine="0" w:firstLineChars="0"/>
        <w:jc w:val="both"/>
        <w:rPr>
          <w:rFonts w:hint="eastAsia" w:eastAsia="宋体" w:cs="宋体"/>
          <w:sz w:val="22"/>
          <w:szCs w:val="28"/>
          <w:lang w:val="en-US" w:eastAsia="zh-CN"/>
        </w:rPr>
      </w:pPr>
    </w:p>
    <w:p w14:paraId="6B28DE0E">
      <w:pPr>
        <w:pStyle w:val="3"/>
        <w:spacing w:line="360" w:lineRule="auto"/>
        <w:ind w:left="0" w:leftChars="0" w:firstLine="0" w:firstLineChars="0"/>
        <w:jc w:val="both"/>
        <w:rPr>
          <w:rFonts w:hint="eastAsia" w:eastAsia="宋体" w:cs="宋体"/>
          <w:sz w:val="22"/>
          <w:szCs w:val="28"/>
          <w:lang w:val="en-US" w:eastAsia="zh-CN"/>
        </w:rPr>
      </w:pPr>
    </w:p>
    <w:p w14:paraId="7EE36B9E">
      <w:pPr>
        <w:pStyle w:val="3"/>
        <w:spacing w:line="360" w:lineRule="auto"/>
        <w:ind w:left="0" w:leftChars="0" w:firstLine="0" w:firstLineChars="0"/>
        <w:jc w:val="both"/>
        <w:rPr>
          <w:rFonts w:hint="eastAsia" w:eastAsia="宋体" w:cs="宋体"/>
          <w:sz w:val="22"/>
          <w:szCs w:val="28"/>
          <w:lang w:val="en-US" w:eastAsia="zh-CN"/>
        </w:rPr>
      </w:pPr>
    </w:p>
    <w:p w14:paraId="29B1F8AE">
      <w:pPr>
        <w:pStyle w:val="3"/>
        <w:spacing w:line="360" w:lineRule="auto"/>
        <w:ind w:left="0" w:leftChars="0" w:firstLine="0" w:firstLineChars="0"/>
        <w:jc w:val="both"/>
        <w:rPr>
          <w:rFonts w:hint="eastAsia" w:eastAsia="宋体" w:cs="宋体"/>
          <w:sz w:val="22"/>
          <w:szCs w:val="28"/>
          <w:lang w:val="en-US" w:eastAsia="zh-CN"/>
        </w:rPr>
      </w:pPr>
    </w:p>
    <w:p w14:paraId="5282F163">
      <w:pPr>
        <w:rPr>
          <w:rFonts w:hint="eastAsia" w:ascii="仿宋_GB2312" w:hAnsi="仿宋_GB2312" w:eastAsia="仿宋_GB2312" w:cs="仿宋_GB2312"/>
          <w:color w:val="000000"/>
          <w:kern w:val="0"/>
          <w:sz w:val="32"/>
          <w:szCs w:val="32"/>
          <w:lang w:val="en-US" w:eastAsia="zh-CN" w:bidi="ar"/>
        </w:rPr>
      </w:pPr>
    </w:p>
    <w:p w14:paraId="24D92765">
      <w:pPr>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6C63E73F">
      <w:pPr>
        <w:pStyle w:val="3"/>
        <w:spacing w:line="360" w:lineRule="auto"/>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报价明细表</w:t>
      </w:r>
    </w:p>
    <w:p w14:paraId="3CE60261">
      <w:pPr>
        <w:pStyle w:val="3"/>
        <w:spacing w:line="360" w:lineRule="auto"/>
        <w:ind w:left="0" w:leftChars="0" w:firstLine="0" w:firstLineChars="0"/>
        <w:jc w:val="left"/>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b/>
          <w:bCs/>
          <w:sz w:val="32"/>
          <w:szCs w:val="32"/>
          <w:u w:val="none"/>
          <w:lang w:val="en-US" w:eastAsia="zh-CN"/>
        </w:rPr>
        <w:t>项目名称：</w:t>
      </w:r>
      <w:r>
        <w:rPr>
          <w:rFonts w:hint="eastAsia" w:ascii="仿宋_GB2312" w:hAnsi="仿宋_GB2312" w:eastAsia="仿宋_GB2312" w:cs="仿宋_GB2312"/>
          <w:b w:val="0"/>
          <w:bCs w:val="0"/>
          <w:color w:val="auto"/>
          <w:sz w:val="30"/>
          <w:szCs w:val="30"/>
          <w:u w:val="single"/>
          <w:lang w:val="en-US" w:eastAsia="zh-CN"/>
        </w:rPr>
        <w:t>建立派驻省交通运输厅纪检监察组相关档案室采购项目</w:t>
      </w:r>
    </w:p>
    <w:tbl>
      <w:tblPr>
        <w:tblStyle w:val="8"/>
        <w:tblW w:w="93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115"/>
        <w:gridCol w:w="3847"/>
        <w:gridCol w:w="953"/>
        <w:gridCol w:w="1393"/>
        <w:gridCol w:w="1376"/>
      </w:tblGrid>
      <w:tr w14:paraId="214D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401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E9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服务名称</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服务内容</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71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单价</w:t>
            </w: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2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总价</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E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备注</w:t>
            </w:r>
          </w:p>
        </w:tc>
      </w:tr>
      <w:tr w14:paraId="064D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8"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380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8C7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eastAsia="zh-CN"/>
              </w:rPr>
            </w:pPr>
            <w:r>
              <w:rPr>
                <w:rFonts w:hint="eastAsia" w:ascii="仿宋_GB2312" w:hAnsi="仿宋_GB2312" w:eastAsia="仿宋_GB2312" w:cs="仿宋_GB2312"/>
                <w:i w:val="0"/>
                <w:iCs w:val="0"/>
                <w:color w:val="000000"/>
                <w:sz w:val="28"/>
                <w:szCs w:val="28"/>
                <w:u w:val="none"/>
                <w:lang w:eastAsia="zh-CN"/>
              </w:rPr>
              <w:t>档案架</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80AA">
            <w:pPr>
              <w:keepNext w:val="0"/>
              <w:keepLines w:val="0"/>
              <w:pageBreakBefore w:val="0"/>
              <w:widowControl/>
              <w:suppressLineNumbers w:val="0"/>
              <w:kinsoku/>
              <w:wordWrap/>
              <w:overflowPunct/>
              <w:topLinePunct w:val="0"/>
              <w:autoSpaceDE/>
              <w:autoSpaceDN/>
              <w:bidi w:val="0"/>
              <w:adjustRightInd/>
              <w:snapToGrid/>
              <w:spacing w:line="360" w:lineRule="exact"/>
              <w:ind w:firstLine="552" w:firstLineChars="200"/>
              <w:jc w:val="both"/>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color w:val="000000"/>
                <w:kern w:val="0"/>
                <w:sz w:val="28"/>
                <w:szCs w:val="28"/>
                <w:lang w:val="en-US" w:eastAsia="zh-CN" w:bidi="ar"/>
              </w:rPr>
              <w:t>案件卷宗档案架和廉政档案架要5层钢制档案架，每层高350mm，总体长度参照场地布局图尺寸进行设置，高度顶满层高，案件卷宗档案架共计4个，廉政档案架共计2个。</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60B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659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CC2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679B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AB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EBC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文件保密柜</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D11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1900mm*900mm*430mm尺寸设计4层式双开门保密柜2个，每个重量不低于75公斤，底部带脚轮。</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748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3C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35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27BF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126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064E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隔断</w:t>
            </w:r>
          </w:p>
        </w:tc>
        <w:tc>
          <w:tcPr>
            <w:tcW w:w="3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3D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val="0"/>
                <w:bCs w:val="0"/>
                <w:sz w:val="28"/>
                <w:szCs w:val="28"/>
                <w:lang w:val="en-US" w:eastAsia="zh-CN"/>
              </w:rPr>
              <w:t>轻钢龙骨隔断，份腻子，</w:t>
            </w:r>
            <w:r>
              <w:rPr>
                <w:rFonts w:hint="eastAsia" w:ascii="仿宋_GB2312" w:hAnsi="仿宋_GB2312" w:eastAsia="仿宋_GB2312" w:cs="仿宋_GB2312"/>
                <w:color w:val="000000"/>
                <w:kern w:val="0"/>
                <w:sz w:val="28"/>
                <w:szCs w:val="28"/>
                <w:lang w:val="en-US" w:eastAsia="zh-CN" w:bidi="ar"/>
              </w:rPr>
              <w:t>粉乳胶漆。</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611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96B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1AE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75DDE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BB6F8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558CE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窗帘</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73F63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color w:val="000000"/>
                <w:kern w:val="0"/>
                <w:sz w:val="28"/>
                <w:szCs w:val="28"/>
                <w:lang w:val="en-US" w:eastAsia="zh-CN" w:bidi="ar"/>
              </w:rPr>
              <w:t>遮光阻燃窗帘12米。</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6E633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9480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26BBC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532C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73AA8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A1B25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防盗门</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535EB9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甲级防火防盗门2樘。</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C360E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AC0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16C0DF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036C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08AE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5D9FE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监控摄像头</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CE4AAA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摄像监控设备2台及安装。</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0151B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9DBF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313B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7506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8F811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61A1AC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温湿度计</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81B01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档案专用温湿度计3台，可同时显示温度和湿度情况。</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CC397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8E0E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E4EDA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6E74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6C7CE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88662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防虫、防潮剂</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3D4A8CF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档案专用防虫、防潮剂各2箱。</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3FFF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F9E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026E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2D78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55267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5D076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碎纸机</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4CA8ABB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30L碎纸机。</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9BB52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773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DAD4F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445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8B1CBD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0B3E5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kern w:val="0"/>
                <w:sz w:val="28"/>
                <w:szCs w:val="28"/>
                <w:lang w:val="en-US" w:eastAsia="zh-CN" w:bidi="ar"/>
              </w:rPr>
              <w:t>手持灭火器</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2415928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七氟丙烷手持灭火器（4KG）4台。</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E08C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03B5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据实计算</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2D5F9A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总价包含人工、材料等费用</w:t>
            </w:r>
          </w:p>
        </w:tc>
      </w:tr>
      <w:tr w14:paraId="0CCD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52FC32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1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1664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color w:val="000000"/>
                <w:kern w:val="0"/>
                <w:sz w:val="28"/>
                <w:szCs w:val="28"/>
                <w:lang w:val="en-US" w:eastAsia="zh-CN" w:bidi="ar"/>
              </w:rPr>
              <w:t>其他</w:t>
            </w:r>
          </w:p>
        </w:tc>
        <w:tc>
          <w:tcPr>
            <w:tcW w:w="384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F0B43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552" w:firstLineChars="200"/>
              <w:jc w:val="both"/>
              <w:textAlignment w:val="center"/>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包括装修过程中所产生的人工、运输、垃圾清运、安装、地面保护等一切费用都不在单独结算。</w:t>
            </w:r>
          </w:p>
        </w:tc>
        <w:tc>
          <w:tcPr>
            <w:tcW w:w="95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19B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BCD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3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9C202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r>
      <w:tr w14:paraId="5F06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758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868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B461">
            <w:pPr>
              <w:keepNext w:val="0"/>
              <w:keepLines w:val="0"/>
              <w:pageBreakBefore w:val="0"/>
              <w:widowControl/>
              <w:numPr>
                <w:ilvl w:val="0"/>
                <w:numId w:val="0"/>
              </w:numPr>
              <w:suppressLineNumbers w:val="0"/>
              <w:tabs>
                <w:tab w:val="left" w:pos="2217"/>
              </w:tabs>
              <w:kinsoku/>
              <w:wordWrap/>
              <w:overflowPunct/>
              <w:topLinePunct w:val="0"/>
              <w:autoSpaceDE/>
              <w:autoSpaceDN/>
              <w:bidi w:val="0"/>
              <w:adjustRightInd/>
              <w:snapToGrid/>
              <w:spacing w:line="360" w:lineRule="exact"/>
              <w:ind w:firstLine="1380" w:firstLineChars="500"/>
              <w:jc w:val="both"/>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结算最高限价5万元（含税）</w:t>
            </w:r>
          </w:p>
        </w:tc>
      </w:tr>
    </w:tbl>
    <w:p w14:paraId="26237445">
      <w:pPr>
        <w:pStyle w:val="3"/>
        <w:spacing w:line="360" w:lineRule="auto"/>
        <w:ind w:left="0" w:leftChars="0" w:firstLine="0" w:firstLineChars="0"/>
        <w:jc w:val="both"/>
        <w:rPr>
          <w:rFonts w:hint="eastAsia" w:ascii="仿宋_GB2312" w:hAnsi="仿宋_GB2312" w:eastAsia="仿宋_GB2312" w:cs="仿宋_GB2312"/>
          <w:sz w:val="32"/>
          <w:szCs w:val="32"/>
          <w:lang w:val="en-US" w:eastAsia="zh-CN"/>
        </w:rPr>
      </w:pPr>
    </w:p>
    <w:p w14:paraId="57983050">
      <w:pPr>
        <w:rPr>
          <w:rFonts w:hint="eastAsia"/>
          <w:lang w:val="en-US" w:eastAsia="zh-CN"/>
        </w:rPr>
      </w:pPr>
    </w:p>
    <w:p w14:paraId="3866E636">
      <w:pPr>
        <w:pStyle w:val="3"/>
        <w:keepNext w:val="0"/>
        <w:keepLines w:val="0"/>
        <w:pageBreakBefore w:val="0"/>
        <w:widowControl w:val="0"/>
        <w:kinsoku/>
        <w:wordWrap/>
        <w:overflowPunct/>
        <w:topLinePunct w:val="0"/>
        <w:autoSpaceDE/>
        <w:autoSpaceDN/>
        <w:bidi w:val="0"/>
        <w:adjustRightInd/>
        <w:snapToGrid/>
        <w:spacing w:line="560" w:lineRule="exact"/>
        <w:ind w:firstLine="3561" w:firstLineChars="112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响应单位</w:t>
      </w:r>
      <w:r>
        <w:rPr>
          <w:rFonts w:hint="eastAsia" w:ascii="仿宋_GB2312" w:hAnsi="仿宋_GB2312" w:eastAsia="仿宋_GB2312" w:cs="仿宋_GB2312"/>
          <w:sz w:val="32"/>
          <w:szCs w:val="32"/>
        </w:rPr>
        <w:t>（公章）：</w:t>
      </w:r>
    </w:p>
    <w:p w14:paraId="7D4D18BB">
      <w:pPr>
        <w:pStyle w:val="3"/>
        <w:keepNext w:val="0"/>
        <w:keepLines w:val="0"/>
        <w:pageBreakBefore w:val="0"/>
        <w:widowControl w:val="0"/>
        <w:kinsoku/>
        <w:wordWrap/>
        <w:overflowPunct/>
        <w:topLinePunct w:val="0"/>
        <w:autoSpaceDE/>
        <w:autoSpaceDN/>
        <w:bidi w:val="0"/>
        <w:adjustRightInd/>
        <w:snapToGrid/>
        <w:spacing w:line="560" w:lineRule="exact"/>
        <w:ind w:firstLine="3561" w:firstLineChars="1127"/>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代表人（签字或盖章）： </w:t>
      </w:r>
    </w:p>
    <w:p w14:paraId="304E4B88">
      <w:pPr>
        <w:pStyle w:val="3"/>
        <w:keepNext w:val="0"/>
        <w:keepLines w:val="0"/>
        <w:pageBreakBefore w:val="0"/>
        <w:widowControl w:val="0"/>
        <w:kinsoku/>
        <w:wordWrap/>
        <w:overflowPunct/>
        <w:topLinePunct w:val="0"/>
        <w:autoSpaceDE/>
        <w:autoSpaceDN/>
        <w:bidi w:val="0"/>
        <w:adjustRightInd/>
        <w:snapToGrid/>
        <w:spacing w:line="560" w:lineRule="exact"/>
        <w:ind w:firstLine="3561" w:firstLineChars="1127"/>
        <w:jc w:val="both"/>
        <w:textAlignment w:val="auto"/>
        <w:rPr>
          <w:rFonts w:hint="eastAsia" w:ascii="仿宋" w:hAnsi="仿宋" w:eastAsia="仿宋" w:cs="仿宋"/>
          <w:sz w:val="28"/>
          <w:szCs w:val="28"/>
        </w:rPr>
      </w:pPr>
      <w:r>
        <w:rPr>
          <w:rFonts w:hint="eastAsia" w:ascii="仿宋_GB2312" w:hAnsi="仿宋_GB2312" w:eastAsia="仿宋_GB2312" w:cs="仿宋_GB2312"/>
          <w:sz w:val="32"/>
          <w:szCs w:val="32"/>
          <w:lang w:val="en-US" w:eastAsia="zh-CN"/>
        </w:rPr>
        <w:t>日期：    年    月     日</w:t>
      </w:r>
    </w:p>
    <w:sectPr>
      <w:footerReference r:id="rId3" w:type="default"/>
      <w:footerReference r:id="rId4" w:type="even"/>
      <w:pgSz w:w="11906" w:h="16838"/>
      <w:pgMar w:top="2098" w:right="1474" w:bottom="1984" w:left="1588" w:header="851" w:footer="1587" w:gutter="0"/>
      <w:cols w:space="720" w:num="1"/>
      <w:docGrid w:type="linesAndChars" w:linePitch="57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B58F">
    <w:pPr>
      <w:pStyle w:val="6"/>
      <w:jc w:val="center"/>
      <w:rPr>
        <w:rFonts w:hint="eastAsia"/>
        <w:sz w:val="28"/>
        <w:szCs w:val="28"/>
      </w:rPr>
    </w:pPr>
    <w:r>
      <w:rPr>
        <w:rFonts w:hint="eastAsia"/>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5C4B2">
    <w:pPr>
      <w:pStyle w:val="6"/>
      <w:jc w:val="both"/>
      <w:rPr>
        <w:rFonts w:hint="eastAsia"/>
        <w:sz w:val="28"/>
        <w:szCs w:val="28"/>
      </w:rPr>
    </w:pPr>
    <w:r>
      <w:rPr>
        <w:rFonts w:hint="eastAsia"/>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57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35AA9"/>
    <w:rsid w:val="00014710"/>
    <w:rsid w:val="00025DF8"/>
    <w:rsid w:val="00037B81"/>
    <w:rsid w:val="000435CC"/>
    <w:rsid w:val="00052370"/>
    <w:rsid w:val="000E72A8"/>
    <w:rsid w:val="000F12BC"/>
    <w:rsid w:val="0010609F"/>
    <w:rsid w:val="00111E20"/>
    <w:rsid w:val="001B32E2"/>
    <w:rsid w:val="002236A8"/>
    <w:rsid w:val="002422CA"/>
    <w:rsid w:val="00246646"/>
    <w:rsid w:val="00254516"/>
    <w:rsid w:val="002A5B7A"/>
    <w:rsid w:val="002F1E10"/>
    <w:rsid w:val="0030570A"/>
    <w:rsid w:val="0035199D"/>
    <w:rsid w:val="00357737"/>
    <w:rsid w:val="00466D9A"/>
    <w:rsid w:val="00484DE0"/>
    <w:rsid w:val="00486D80"/>
    <w:rsid w:val="005E4B19"/>
    <w:rsid w:val="006572FC"/>
    <w:rsid w:val="00693A7E"/>
    <w:rsid w:val="0069496A"/>
    <w:rsid w:val="006C10BC"/>
    <w:rsid w:val="006F406F"/>
    <w:rsid w:val="0072286B"/>
    <w:rsid w:val="00733FAB"/>
    <w:rsid w:val="00774ABA"/>
    <w:rsid w:val="00787335"/>
    <w:rsid w:val="007E74E0"/>
    <w:rsid w:val="00863596"/>
    <w:rsid w:val="008803A8"/>
    <w:rsid w:val="009063AE"/>
    <w:rsid w:val="00917A27"/>
    <w:rsid w:val="00964D5C"/>
    <w:rsid w:val="00983ADB"/>
    <w:rsid w:val="00A2003E"/>
    <w:rsid w:val="00A324C4"/>
    <w:rsid w:val="00A338EB"/>
    <w:rsid w:val="00AA32C8"/>
    <w:rsid w:val="00AB4B3D"/>
    <w:rsid w:val="00B46033"/>
    <w:rsid w:val="00B7170D"/>
    <w:rsid w:val="00B93486"/>
    <w:rsid w:val="00BA4DF5"/>
    <w:rsid w:val="00BC2014"/>
    <w:rsid w:val="00C14147"/>
    <w:rsid w:val="00C9588D"/>
    <w:rsid w:val="00CA3141"/>
    <w:rsid w:val="00CF7F66"/>
    <w:rsid w:val="00D917AD"/>
    <w:rsid w:val="00D93E84"/>
    <w:rsid w:val="00DA4792"/>
    <w:rsid w:val="00DE0A64"/>
    <w:rsid w:val="00E0678D"/>
    <w:rsid w:val="00E32313"/>
    <w:rsid w:val="00E45A57"/>
    <w:rsid w:val="00E85A81"/>
    <w:rsid w:val="00F024DB"/>
    <w:rsid w:val="00F13552"/>
    <w:rsid w:val="01F919E1"/>
    <w:rsid w:val="058479D1"/>
    <w:rsid w:val="0B470947"/>
    <w:rsid w:val="0C034856"/>
    <w:rsid w:val="0C166CFF"/>
    <w:rsid w:val="1FB35AA9"/>
    <w:rsid w:val="223B7BAE"/>
    <w:rsid w:val="230B76CA"/>
    <w:rsid w:val="25B10921"/>
    <w:rsid w:val="32235036"/>
    <w:rsid w:val="3DF55226"/>
    <w:rsid w:val="449A34EB"/>
    <w:rsid w:val="49895712"/>
    <w:rsid w:val="4AD76044"/>
    <w:rsid w:val="53A64B8C"/>
    <w:rsid w:val="5BF9D3C2"/>
    <w:rsid w:val="69FD1868"/>
    <w:rsid w:val="6BB753DB"/>
    <w:rsid w:val="CA97F16D"/>
    <w:rsid w:val="F35702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qFormat/>
    <w:uiPriority w:val="0"/>
    <w:pPr>
      <w:spacing w:line="380" w:lineRule="exact"/>
      <w:ind w:firstLine="480"/>
    </w:pPr>
    <w:rPr>
      <w:rFonts w:eastAsia="方正书宋简体"/>
      <w:szCs w:val="20"/>
    </w:rPr>
  </w:style>
  <w:style w:type="paragraph" w:styleId="4">
    <w:name w:val="Body Text"/>
    <w:basedOn w:val="1"/>
    <w:next w:val="1"/>
    <w:qFormat/>
    <w:uiPriority w:val="0"/>
    <w:pPr>
      <w:spacing w:after="120" w:afterLines="0" w:afterAutospacing="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sgz\C:\Users\Administrator\Desktop\&#40660;&#20132;202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黔交2023.wpt</Template>
  <Pages>5</Pages>
  <Words>2437</Words>
  <Characters>2549</Characters>
  <Lines>1</Lines>
  <Paragraphs>1</Paragraphs>
  <TotalTime>5</TotalTime>
  <ScaleCrop>false</ScaleCrop>
  <LinksUpToDate>false</LinksUpToDate>
  <CharactersWithSpaces>2734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2025-12-20T06:09:00Z</dcterms:created>
  <dc:creator>张涛</dc:creator>
  <cp:lastModifiedBy>交通厅</cp:lastModifiedBy>
  <dcterms:modified xsi:type="dcterms:W3CDTF">2025-12-25T03:01:29Z</dcterms:modified>
  <dc:title>黔路发〔〕号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eyJoZGlkIjoiNDc3N2E0YmMxZmUzYmIyNmYyYjc5Yjk4MDNjMDYxMzQiLCJ1c2VySWQiOiI5NzA4NTE0NzUifQ==</vt:lpwstr>
  </property>
  <property fmtid="{D5CDD505-2E9C-101B-9397-08002B2CF9AE}" pid="4" name="ICV">
    <vt:lpwstr>64132028EB2A4A858DF45F4AEABB26E0_13</vt:lpwstr>
  </property>
</Properties>
</file>