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rPr>
          <w:rFonts w:hint="eastAsia" w:eastAsia="仿宋_GB2312"/>
          <w:lang w:val="en-US" w:eastAsia="zh-CN"/>
        </w:rPr>
      </w:pPr>
      <w:r>
        <w:rPr>
          <w:rFonts w:hint="eastAsia"/>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
    <w:p>
      <w:pPr>
        <w:jc w:val="center"/>
      </w:pPr>
      <w:r>
        <w:rPr>
          <w:rFonts w:hint="eastAsia" w:ascii="方正小标宋简体" w:hAnsi="方正小标宋简体" w:eastAsia="方正小标宋简体" w:cs="方正小标宋简体"/>
          <w:color w:val="FF0000"/>
          <w:sz w:val="80"/>
          <w:szCs w:val="80"/>
        </w:rPr>
        <w:t>贵州省交通运输厅文件</w:t>
      </w:r>
    </w:p>
    <w:p>
      <w:pPr>
        <w:pStyle w:val="12"/>
        <w:keepNext w:val="0"/>
        <w:keepLines w:val="0"/>
        <w:pageBreakBefore w:val="0"/>
        <w:widowControl/>
        <w:kinsoku/>
        <w:wordWrap/>
        <w:overflowPunct w:val="0"/>
        <w:topLinePunct w:val="0"/>
        <w:autoSpaceDE w:val="0"/>
        <w:autoSpaceDN w:val="0"/>
        <w:bidi w:val="0"/>
        <w:adjustRightInd/>
        <w:snapToGrid/>
        <w:spacing w:line="540" w:lineRule="exact"/>
        <w:ind w:left="0" w:leftChars="0" w:right="0" w:rightChars="0" w:firstLine="316" w:firstLineChars="100"/>
        <w:jc w:val="both"/>
        <w:textAlignment w:val="center"/>
        <w:outlineLvl w:val="9"/>
        <w:rPr>
          <w:rFonts w:hint="eastAsia" w:ascii="仿宋" w:hAnsi="仿宋" w:eastAsia="仿宋" w:cs="仿宋"/>
          <w:sz w:val="32"/>
        </w:rPr>
      </w:pPr>
    </w:p>
    <w:p>
      <w:pPr>
        <w:pStyle w:val="12"/>
        <w:keepNext w:val="0"/>
        <w:keepLines w:val="0"/>
        <w:pageBreakBefore w:val="0"/>
        <w:widowControl/>
        <w:kinsoku/>
        <w:wordWrap/>
        <w:overflowPunct w:val="0"/>
        <w:topLinePunct w:val="0"/>
        <w:autoSpaceDE w:val="0"/>
        <w:autoSpaceDN w:val="0"/>
        <w:bidi w:val="0"/>
        <w:adjustRightInd/>
        <w:snapToGrid/>
        <w:spacing w:line="560" w:lineRule="exact"/>
        <w:ind w:left="0" w:leftChars="0" w:right="0" w:rightChars="0" w:firstLine="439" w:firstLineChars="139"/>
        <w:jc w:val="both"/>
        <w:textAlignment w:val="center"/>
        <w:outlineLvl w:val="9"/>
        <w:rPr>
          <w:rFonts w:ascii="楷体" w:hAnsi="楷体" w:eastAsia="楷体" w:cs="楷体"/>
          <w:sz w:val="32"/>
        </w:rPr>
      </w:pPr>
      <w:r>
        <w:rPr>
          <w:rFonts w:hint="eastAsia" w:ascii="仿宋" w:hAnsi="仿宋" w:eastAsia="仿宋" w:cs="仿宋"/>
          <w:sz w:val="32"/>
        </w:rPr>
        <w:t>黔交议复字〔2018〕</w:t>
      </w:r>
      <w:r>
        <w:rPr>
          <w:rFonts w:hint="eastAsia" w:ascii="仿宋" w:hAnsi="仿宋" w:eastAsia="仿宋" w:cs="仿宋"/>
          <w:sz w:val="32"/>
          <w:lang w:val="en-US" w:eastAsia="zh-CN"/>
        </w:rPr>
        <w:t>117</w:t>
      </w:r>
      <w:r>
        <w:rPr>
          <w:rFonts w:hint="eastAsia" w:ascii="仿宋" w:hAnsi="仿宋" w:eastAsia="仿宋" w:cs="仿宋"/>
          <w:sz w:val="32"/>
        </w:rPr>
        <w:t>号              签发人：</w:t>
      </w:r>
      <w:r>
        <w:rPr>
          <w:rFonts w:hint="eastAsia" w:ascii="楷体" w:hAnsi="楷体" w:eastAsia="楷体" w:cs="楷体"/>
          <w:sz w:val="32"/>
        </w:rPr>
        <w:t>高卫东</w:t>
      </w: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601335" cy="10795"/>
                <wp:effectExtent l="0" t="0" r="0" b="0"/>
                <wp:wrapNone/>
                <wp:docPr id="5" name="直线 20"/>
                <wp:cNvGraphicFramePr/>
                <a:graphic xmlns:a="http://schemas.openxmlformats.org/drawingml/2006/main">
                  <a:graphicData uri="http://schemas.microsoft.com/office/word/2010/wordprocessingShape">
                    <wps:wsp>
                      <wps:cNvCnPr/>
                      <wps:spPr>
                        <a:xfrm>
                          <a:off x="0" y="0"/>
                          <a:ext cx="5601335" cy="1079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0pt;margin-top:2.1pt;height:0.85pt;width:441.05pt;z-index:251669504;mso-width-relative:page;mso-height-relative:page;" filled="f" stroked="t" coordsize="21600,21600" o:gfxdata="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kkEtQAAAAEAQAADwAAAAAAAAABACAA&#10;AAAiAAAAZHJzL2Rvd25yZXYueG1sUEsBAhQAFAAAAAgAh07iQHo+s0fYAQAAoQMAAA4AAAAAAAAA&#10;AQAgAAAAIwEAAGRycy9lMm9Eb2MueG1sUEsFBgAAAAAGAAYAWQEAAG0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省交通运输厅关于省十三届人大一次会议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第309号建议的答复</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val="0"/>
        <w:snapToGrid w:val="0"/>
        <w:spacing w:line="650" w:lineRule="exact"/>
        <w:ind w:left="0" w:leftChars="0" w:right="0" w:rightChars="0"/>
        <w:jc w:val="both"/>
        <w:textAlignment w:val="auto"/>
        <w:outlineLvl w:val="9"/>
        <w:rPr>
          <w:rFonts w:hint="eastAsia" w:ascii="仿宋" w:hAnsi="仿宋" w:eastAsia="仿宋" w:cs="仿宋"/>
          <w:b w:val="0"/>
          <w:bCs w:val="0"/>
          <w:szCs w:val="32"/>
        </w:rPr>
      </w:pPr>
      <w:r>
        <w:rPr>
          <w:rFonts w:hint="eastAsia" w:ascii="仿宋" w:hAnsi="仿宋" w:eastAsia="仿宋" w:cs="仿宋"/>
          <w:b w:val="0"/>
          <w:bCs w:val="0"/>
          <w:szCs w:val="32"/>
        </w:rPr>
        <w:t>席龙海代表：</w:t>
      </w:r>
    </w:p>
    <w:p>
      <w:pPr>
        <w:keepNext w:val="0"/>
        <w:keepLines w:val="0"/>
        <w:pageBreakBefore w:val="0"/>
        <w:widowControl w:val="0"/>
        <w:kinsoku/>
        <w:wordWrap/>
        <w:overflowPunct/>
        <w:topLinePunct w:val="0"/>
        <w:autoSpaceDE/>
        <w:autoSpaceDN/>
        <w:bidi w:val="0"/>
        <w:adjustRightInd w:val="0"/>
        <w:snapToGrid w:val="0"/>
        <w:spacing w:line="650" w:lineRule="exact"/>
        <w:ind w:left="0" w:leftChars="0" w:right="0" w:rightChars="0" w:firstLine="632" w:firstLineChars="200"/>
        <w:jc w:val="both"/>
        <w:textAlignment w:val="auto"/>
        <w:outlineLvl w:val="9"/>
        <w:rPr>
          <w:rFonts w:hint="eastAsia" w:ascii="仿宋" w:hAnsi="仿宋" w:eastAsia="仿宋" w:cs="仿宋"/>
          <w:b w:val="0"/>
          <w:bCs w:val="0"/>
          <w:szCs w:val="32"/>
        </w:rPr>
      </w:pPr>
      <w:r>
        <w:rPr>
          <w:rFonts w:hint="eastAsia" w:ascii="仿宋" w:hAnsi="仿宋" w:eastAsia="仿宋" w:cs="仿宋"/>
          <w:b w:val="0"/>
          <w:bCs w:val="0"/>
          <w:szCs w:val="32"/>
        </w:rPr>
        <w:t>您提出的《关于将乌江通航能力从500吨级提高到10</w:t>
      </w:r>
      <w:bookmarkStart w:id="0" w:name="_GoBack"/>
      <w:bookmarkEnd w:id="0"/>
      <w:r>
        <w:rPr>
          <w:rFonts w:hint="eastAsia" w:ascii="仿宋" w:hAnsi="仿宋" w:eastAsia="仿宋" w:cs="仿宋"/>
          <w:b w:val="0"/>
          <w:bCs w:val="0"/>
          <w:szCs w:val="32"/>
        </w:rPr>
        <w:t>00吨级的建议》收悉。感谢您对我省交通工作的关心和支持。经我厅与省发展改革委会商，现就建议提出的有关问题答复如下：</w:t>
      </w:r>
    </w:p>
    <w:p>
      <w:pPr>
        <w:keepNext w:val="0"/>
        <w:keepLines w:val="0"/>
        <w:pageBreakBefore w:val="0"/>
        <w:widowControl w:val="0"/>
        <w:kinsoku/>
        <w:wordWrap/>
        <w:overflowPunct/>
        <w:topLinePunct w:val="0"/>
        <w:autoSpaceDE/>
        <w:autoSpaceDN/>
        <w:bidi w:val="0"/>
        <w:adjustRightInd w:val="0"/>
        <w:snapToGrid w:val="0"/>
        <w:spacing w:line="650" w:lineRule="exact"/>
        <w:ind w:left="0" w:leftChars="0" w:right="0" w:rightChars="0" w:firstLine="632" w:firstLineChars="200"/>
        <w:jc w:val="both"/>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一、关于乌江航道提等扩能工程规划</w:t>
      </w:r>
    </w:p>
    <w:p>
      <w:pPr>
        <w:keepNext w:val="0"/>
        <w:keepLines w:val="0"/>
        <w:pageBreakBefore w:val="0"/>
        <w:widowControl w:val="0"/>
        <w:kinsoku/>
        <w:wordWrap/>
        <w:overflowPunct/>
        <w:topLinePunct w:val="0"/>
        <w:autoSpaceDE/>
        <w:autoSpaceDN/>
        <w:bidi w:val="0"/>
        <w:adjustRightInd w:val="0"/>
        <w:snapToGrid w:val="0"/>
        <w:spacing w:line="650" w:lineRule="exact"/>
        <w:ind w:left="0" w:leftChars="0" w:right="0" w:rightChars="0" w:firstLine="632" w:firstLineChars="200"/>
        <w:jc w:val="both"/>
        <w:textAlignment w:val="auto"/>
        <w:outlineLvl w:val="9"/>
        <w:rPr>
          <w:rFonts w:hint="eastAsia" w:ascii="仿宋" w:hAnsi="仿宋" w:eastAsia="仿宋" w:cs="仿宋"/>
          <w:b w:val="0"/>
          <w:bCs w:val="0"/>
          <w:szCs w:val="32"/>
        </w:rPr>
      </w:pPr>
      <w:r>
        <w:rPr>
          <w:rFonts w:hint="eastAsia" w:ascii="仿宋" w:hAnsi="仿宋" w:eastAsia="仿宋" w:cs="仿宋"/>
          <w:b w:val="0"/>
          <w:bCs w:val="0"/>
          <w:szCs w:val="32"/>
        </w:rPr>
        <w:t>省委、省政府高度重视乌江航道升级改造，在《贵州省国民经济和社会发展第十三个五年规划纲要》和《贵州省交通运输“十三五”发展总规划》中将乌江航道提等扩能工程列为我省重点水运项目，2017年4月，贵州省第十二次党代会又作出打通北上长江、南下珠江的水运通道，促进多式联运、互联互通，加快推进以乌江航道能力提升为重点的出省水运通道建设，助推全省决胜脱贫攻坚、同步全面小康、开创多彩贵州新未来。2017年8月，我厅报请交通运输部将乌江航道提等扩能工程纳入部“十三五”规划中期评估范畴，现交通运输部在“十三五”中期评估报告征求意见稿中已将该项目纳入调整范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50" w:lineRule="exact"/>
        <w:ind w:left="0" w:leftChars="0" w:right="0" w:rightChars="0" w:firstLine="632" w:firstLineChars="200"/>
        <w:jc w:val="both"/>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关于乌江提等升级工作推进情况</w:t>
      </w:r>
    </w:p>
    <w:p>
      <w:pPr>
        <w:keepNext w:val="0"/>
        <w:keepLines w:val="0"/>
        <w:pageBreakBefore w:val="0"/>
        <w:widowControl w:val="0"/>
        <w:kinsoku/>
        <w:wordWrap/>
        <w:overflowPunct/>
        <w:topLinePunct w:val="0"/>
        <w:autoSpaceDE/>
        <w:autoSpaceDN/>
        <w:bidi w:val="0"/>
        <w:adjustRightInd w:val="0"/>
        <w:snapToGrid w:val="0"/>
        <w:spacing w:line="650" w:lineRule="exact"/>
        <w:ind w:left="0" w:leftChars="0" w:right="0" w:rightChars="0" w:firstLine="632" w:firstLineChars="200"/>
        <w:jc w:val="both"/>
        <w:textAlignment w:val="auto"/>
        <w:outlineLvl w:val="9"/>
        <w:rPr>
          <w:rFonts w:hint="eastAsia" w:ascii="仿宋" w:hAnsi="仿宋" w:eastAsia="仿宋" w:cs="仿宋"/>
          <w:b w:val="0"/>
          <w:bCs w:val="0"/>
          <w:szCs w:val="32"/>
        </w:rPr>
      </w:pPr>
      <w:r>
        <w:rPr>
          <w:rFonts w:hint="eastAsia" w:ascii="仿宋" w:hAnsi="仿宋" w:eastAsia="仿宋" w:cs="仿宋"/>
          <w:b w:val="0"/>
          <w:bCs w:val="0"/>
          <w:szCs w:val="32"/>
        </w:rPr>
        <w:t>乌江航道提等扩能工程主要建设规模和内容为按三级航道标准建设594公里航道，建设构皮滩、思林、沙沱、彭水四级水电站第二线1000吨级通航设施，项目估算总投资246.4亿元，其中贵州境195.3亿元，重庆境51.1亿元。考虑到项目投资大、工期长，我省已启动了工可编制工作，并按照“总体规划、分步实施，先下后上、先易后难”的建设时序，准备分两期实施，一期建设思林、沙沱水电站第二线1000吨级通航设施和各水电站库尾回水变动段航道整治，估算投资105.6亿元，二期建设构皮滩水电站第二线1000吨级通航设施，估算投资89.7亿元。现正在加快一期工程工可报告编制及相关工可审批前置专题编制工作，计划2020年前开工建设。</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仿宋_GB2312" w:hAnsi="Calibri"/>
          <w:szCs w:val="32"/>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仿宋_GB2312" w:hAnsi="Calibri"/>
          <w:szCs w:val="32"/>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仿宋_GB2312" w:hAnsi="Calibri"/>
          <w:szCs w:val="32"/>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32"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贵州省交通运输厅</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 w:firstLineChars="2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2018年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textAlignment w:val="auto"/>
        <w:rPr>
          <w:rFonts w:hint="eastAsia" w:ascii="仿宋" w:hAnsi="仿宋" w:eastAsia="仿宋" w:cs="仿宋"/>
          <w:szCs w:val="32"/>
          <w:lang w:eastAsia="zh-CN"/>
        </w:rPr>
      </w:pPr>
      <w:r>
        <w:rPr>
          <w:rFonts w:hint="eastAsia" w:ascii="仿宋" w:hAnsi="仿宋" w:eastAsia="仿宋" w:cs="仿宋"/>
          <w:szCs w:val="32"/>
          <w:lang w:val="en-US" w:eastAsia="zh-CN"/>
        </w:rPr>
        <w:t xml:space="preserve">    </w:t>
      </w:r>
      <w:r>
        <w:rPr>
          <w:rFonts w:hint="eastAsia" w:ascii="仿宋" w:hAnsi="仿宋" w:eastAsia="仿宋" w:cs="仿宋"/>
          <w:szCs w:val="32"/>
          <w:lang w:eastAsia="zh-CN"/>
        </w:rPr>
        <w:t>（附注：此件公开发布）</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r>
        <w:rPr>
          <w:rFonts w:hint="eastAsia" w:ascii="仿宋" w:hAnsi="仿宋" w:eastAsia="仿宋" w:cs="仿宋"/>
          <w:spacing w:val="0"/>
          <w:szCs w:val="32"/>
          <w:lang w:eastAsia="zh-CN"/>
        </w:rPr>
        <w:t>（联</w:t>
      </w:r>
      <w:r>
        <w:rPr>
          <w:rFonts w:hint="eastAsia" w:ascii="仿宋" w:hAnsi="仿宋" w:eastAsia="仿宋" w:cs="仿宋"/>
          <w:spacing w:val="-9"/>
          <w:szCs w:val="32"/>
          <w:lang w:eastAsia="zh-CN"/>
        </w:rPr>
        <w:t>系人：</w:t>
      </w:r>
      <w:r>
        <w:rPr>
          <w:rFonts w:hint="eastAsia"/>
        </w:rPr>
        <w:t>赵</w:t>
      </w:r>
      <w:r>
        <w:rPr>
          <w:rFonts w:hint="eastAsia"/>
          <w:lang w:val="en-US" w:eastAsia="zh-CN"/>
        </w:rPr>
        <w:t xml:space="preserve">  </w:t>
      </w:r>
      <w:r>
        <w:rPr>
          <w:rFonts w:hint="eastAsia"/>
        </w:rPr>
        <w:t>威</w:t>
      </w:r>
      <w:r>
        <w:rPr>
          <w:rFonts w:hint="eastAsia" w:ascii="仿宋" w:hAnsi="仿宋" w:eastAsia="仿宋" w:cs="仿宋"/>
          <w:spacing w:val="-9"/>
          <w:szCs w:val="32"/>
          <w:lang w:val="en-US" w:eastAsia="zh-CN"/>
        </w:rPr>
        <w:t>,联系电</w:t>
      </w:r>
      <w:r>
        <w:rPr>
          <w:rFonts w:hint="eastAsia" w:ascii="仿宋" w:hAnsi="仿宋" w:eastAsia="仿宋" w:cs="仿宋"/>
          <w:spacing w:val="-6"/>
          <w:szCs w:val="32"/>
          <w:lang w:val="en-US" w:eastAsia="zh-CN"/>
        </w:rPr>
        <w:t>话：0</w:t>
      </w:r>
      <w:r>
        <w:rPr>
          <w:rFonts w:hint="eastAsia" w:ascii="仿宋" w:hAnsi="仿宋" w:eastAsia="仿宋" w:cs="仿宋"/>
          <w:spacing w:val="-9"/>
          <w:szCs w:val="32"/>
          <w:lang w:val="en-US" w:eastAsia="zh-CN"/>
        </w:rPr>
        <w:t>851-85973133。）</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sectPr>
          <w:headerReference r:id="rId3" w:type="default"/>
          <w:footerReference r:id="rId5" w:type="default"/>
          <w:headerReference r:id="rId4" w:type="even"/>
          <w:footerReference r:id="rId6" w:type="even"/>
          <w:pgSz w:w="11906" w:h="16838"/>
          <w:pgMar w:top="2041" w:right="1474" w:bottom="1928" w:left="1588" w:header="851" w:footer="1587" w:gutter="0"/>
          <w:paperSrc/>
          <w:pgNumType w:fmt="numberInDash"/>
          <w:cols w:space="0" w:num="1"/>
          <w:rtlGutter w:val="0"/>
          <w:docGrid w:type="linesAndChars" w:linePitch="577" w:charSpace="-849"/>
        </w:sect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860" w:lineRule="exact"/>
        <w:ind w:left="0" w:leftChars="0" w:right="0" w:rightChars="0" w:firstLine="0" w:firstLineChars="0"/>
        <w:jc w:val="both"/>
        <w:textAlignment w:val="auto"/>
        <w:outlineLvl w:val="9"/>
        <w:rPr>
          <w:rFonts w:hint="eastAsia" w:ascii="仿宋" w:hAnsi="仿宋" w:eastAsia="仿宋" w:cs="仿宋"/>
          <w:spacing w:val="-9"/>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31" w:firstLineChars="0"/>
        <w:jc w:val="both"/>
        <w:textAlignment w:val="auto"/>
        <w:outlineLvl w:val="9"/>
        <w:rPr>
          <w:rFonts w:hint="eastAsia" w:ascii="仿宋" w:hAnsi="仿宋" w:eastAsia="仿宋" w:cs="仿宋"/>
          <w:spacing w:val="0"/>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抄送：省人大选举任免联络委员会，省人民政府办公厅。</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铜仁市人大常委会</w:t>
      </w:r>
      <w:r>
        <w:rPr>
          <w:rFonts w:hint="eastAsia" w:ascii="仿宋" w:hAnsi="仿宋" w:eastAsia="仿宋" w:cs="仿宋"/>
          <w:spacing w:val="0"/>
          <w:sz w:val="28"/>
          <w:szCs w:val="28"/>
          <w:lang w:eastAsia="zh-CN"/>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省发展改革委委</w:t>
      </w:r>
      <w:r>
        <w:rPr>
          <w:rFonts w:hint="eastAsia" w:ascii="仿宋" w:hAnsi="仿宋" w:eastAsia="仿宋" w:cs="仿宋"/>
          <w:spacing w:val="0"/>
          <w:sz w:val="28"/>
          <w:szCs w:val="28"/>
          <w:lang w:eastAsia="zh-CN"/>
        </w:rPr>
        <w:t>。</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贵州省交通运输厅办公室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2018年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20"/>
        <w:jc w:val="both"/>
        <w:textAlignment w:val="auto"/>
        <w:outlineLvl w:val="9"/>
        <w:rPr>
          <w:rFonts w:ascii="仿宋" w:hAnsi="仿宋" w:eastAsia="仿宋" w:cs="仿宋"/>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5</w:t>
      </w:r>
      <w:r>
        <w:rPr>
          <w:rFonts w:hint="eastAsia" w:ascii="仿宋" w:hAnsi="仿宋" w:eastAsia="仿宋" w:cs="仿宋"/>
          <w:sz w:val="28"/>
          <w:szCs w:val="28"/>
        </w:rPr>
        <w:t>份</w:t>
      </w:r>
    </w:p>
    <w:sectPr>
      <w:footerReference r:id="rId7" w:type="default"/>
      <w:pgSz w:w="11906" w:h="16838"/>
      <w:pgMar w:top="2098" w:right="1474" w:bottom="1984" w:left="1588" w:header="851" w:footer="1587" w:gutter="0"/>
      <w:paperSrc/>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Utsaah">
    <w:panose1 w:val="020B0604020202020204"/>
    <w:charset w:val="00"/>
    <w:family w:val="auto"/>
    <w:pitch w:val="default"/>
    <w:sig w:usb0="00008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简隶书">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迷你简隶书">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bertus Extra Bold">
    <w:panose1 w:val="020E0802040304020204"/>
    <w:charset w:val="00"/>
    <w:family w:val="auto"/>
    <w:pitch w:val="default"/>
    <w:sig w:usb0="00000007" w:usb1="00000000" w:usb2="00000000" w:usb3="00000000" w:csb0="00000093" w:csb1="00000000"/>
  </w:font>
  <w:font w:name="Albertus Medium">
    <w:panose1 w:val="020E0602030304020304"/>
    <w:charset w:val="00"/>
    <w:family w:val="auto"/>
    <w:pitch w:val="default"/>
    <w:sig w:usb0="00000007" w:usb1="00000000" w:usb2="00000000" w:usb3="00000000" w:csb0="00000093"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Theme="minorEastAsia" w:hAnsiTheme="minorEastAsia" w:eastAsiaTheme="minorEastAsia" w:cstheme="minorEastAsia"/>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651EC"/>
    <w:multiLevelType w:val="singleLevel"/>
    <w:tmpl w:val="80F651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2935"/>
    <w:rsid w:val="00014710"/>
    <w:rsid w:val="00025DF8"/>
    <w:rsid w:val="00037B81"/>
    <w:rsid w:val="000435CC"/>
    <w:rsid w:val="00052370"/>
    <w:rsid w:val="000E72A8"/>
    <w:rsid w:val="000F12BC"/>
    <w:rsid w:val="0010609F"/>
    <w:rsid w:val="00111E20"/>
    <w:rsid w:val="001B32E2"/>
    <w:rsid w:val="002236A8"/>
    <w:rsid w:val="002422CA"/>
    <w:rsid w:val="00246646"/>
    <w:rsid w:val="00254516"/>
    <w:rsid w:val="002A5B7A"/>
    <w:rsid w:val="002C22EC"/>
    <w:rsid w:val="002C73F0"/>
    <w:rsid w:val="002F1E10"/>
    <w:rsid w:val="0030570A"/>
    <w:rsid w:val="0035199D"/>
    <w:rsid w:val="00357737"/>
    <w:rsid w:val="00466D9A"/>
    <w:rsid w:val="00484DE0"/>
    <w:rsid w:val="00486D80"/>
    <w:rsid w:val="005E4B19"/>
    <w:rsid w:val="00693A7E"/>
    <w:rsid w:val="0069496A"/>
    <w:rsid w:val="006F406F"/>
    <w:rsid w:val="0072286B"/>
    <w:rsid w:val="00733FAB"/>
    <w:rsid w:val="00774ABA"/>
    <w:rsid w:val="00787335"/>
    <w:rsid w:val="007E74E0"/>
    <w:rsid w:val="00863596"/>
    <w:rsid w:val="008803A8"/>
    <w:rsid w:val="008F4F50"/>
    <w:rsid w:val="009063AE"/>
    <w:rsid w:val="00917A27"/>
    <w:rsid w:val="00964D5C"/>
    <w:rsid w:val="00983ADB"/>
    <w:rsid w:val="00A2003E"/>
    <w:rsid w:val="00A324C4"/>
    <w:rsid w:val="00A338EB"/>
    <w:rsid w:val="00AA32C8"/>
    <w:rsid w:val="00AB4B3D"/>
    <w:rsid w:val="00B46033"/>
    <w:rsid w:val="00B70428"/>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2934F52"/>
    <w:rsid w:val="03F949E6"/>
    <w:rsid w:val="056A58E3"/>
    <w:rsid w:val="0C034856"/>
    <w:rsid w:val="0D5D626A"/>
    <w:rsid w:val="0E045022"/>
    <w:rsid w:val="0FC3550D"/>
    <w:rsid w:val="11913363"/>
    <w:rsid w:val="12BD182C"/>
    <w:rsid w:val="137606A2"/>
    <w:rsid w:val="13A857DA"/>
    <w:rsid w:val="13E43693"/>
    <w:rsid w:val="15691A82"/>
    <w:rsid w:val="184A2414"/>
    <w:rsid w:val="1B583460"/>
    <w:rsid w:val="21DB54C3"/>
    <w:rsid w:val="224B67BB"/>
    <w:rsid w:val="22BB4449"/>
    <w:rsid w:val="23DB435D"/>
    <w:rsid w:val="257F52A5"/>
    <w:rsid w:val="27C31719"/>
    <w:rsid w:val="28B93980"/>
    <w:rsid w:val="2A54305C"/>
    <w:rsid w:val="2B331DC9"/>
    <w:rsid w:val="2B4F32B3"/>
    <w:rsid w:val="2DDE4186"/>
    <w:rsid w:val="2E9613D6"/>
    <w:rsid w:val="310E64E6"/>
    <w:rsid w:val="334E78F5"/>
    <w:rsid w:val="33707C06"/>
    <w:rsid w:val="33F71405"/>
    <w:rsid w:val="35D1613B"/>
    <w:rsid w:val="370C5C95"/>
    <w:rsid w:val="38012822"/>
    <w:rsid w:val="38B01DF0"/>
    <w:rsid w:val="38D25D7E"/>
    <w:rsid w:val="39976CD5"/>
    <w:rsid w:val="39E97309"/>
    <w:rsid w:val="3A7E7186"/>
    <w:rsid w:val="3ADF1869"/>
    <w:rsid w:val="3CFD2A28"/>
    <w:rsid w:val="3D1A3F64"/>
    <w:rsid w:val="430B760B"/>
    <w:rsid w:val="435451F5"/>
    <w:rsid w:val="446F2F11"/>
    <w:rsid w:val="44B32935"/>
    <w:rsid w:val="45510B10"/>
    <w:rsid w:val="46AD43A2"/>
    <w:rsid w:val="475F45F7"/>
    <w:rsid w:val="49546E3F"/>
    <w:rsid w:val="49973B1B"/>
    <w:rsid w:val="4A1C4791"/>
    <w:rsid w:val="4A8F4B71"/>
    <w:rsid w:val="4B1805A3"/>
    <w:rsid w:val="4B7A526D"/>
    <w:rsid w:val="4D1E26B7"/>
    <w:rsid w:val="4DFB1F40"/>
    <w:rsid w:val="5140642A"/>
    <w:rsid w:val="52BC1C6B"/>
    <w:rsid w:val="52CE1745"/>
    <w:rsid w:val="53065292"/>
    <w:rsid w:val="55702A82"/>
    <w:rsid w:val="56345B5B"/>
    <w:rsid w:val="5678757B"/>
    <w:rsid w:val="56FC23E9"/>
    <w:rsid w:val="57716113"/>
    <w:rsid w:val="590B1D28"/>
    <w:rsid w:val="5A7C2083"/>
    <w:rsid w:val="5AF56ABB"/>
    <w:rsid w:val="5C244ED9"/>
    <w:rsid w:val="5C4777CB"/>
    <w:rsid w:val="5C5C2BCE"/>
    <w:rsid w:val="5C815E2C"/>
    <w:rsid w:val="5C842170"/>
    <w:rsid w:val="5E584161"/>
    <w:rsid w:val="621D6E8D"/>
    <w:rsid w:val="62CA6111"/>
    <w:rsid w:val="644F3D15"/>
    <w:rsid w:val="64506310"/>
    <w:rsid w:val="668E2C16"/>
    <w:rsid w:val="67461BBF"/>
    <w:rsid w:val="676C34C6"/>
    <w:rsid w:val="67D22E53"/>
    <w:rsid w:val="6944665A"/>
    <w:rsid w:val="69A35A0E"/>
    <w:rsid w:val="6B1A1836"/>
    <w:rsid w:val="6BB753DB"/>
    <w:rsid w:val="6BDF2755"/>
    <w:rsid w:val="6C133236"/>
    <w:rsid w:val="6C9B3991"/>
    <w:rsid w:val="6CA27FB9"/>
    <w:rsid w:val="6D7965C0"/>
    <w:rsid w:val="6DE44147"/>
    <w:rsid w:val="6E364AD7"/>
    <w:rsid w:val="737345C0"/>
    <w:rsid w:val="770F2743"/>
    <w:rsid w:val="78AA0CF5"/>
    <w:rsid w:val="7ACA2505"/>
    <w:rsid w:val="7B1A4E2F"/>
    <w:rsid w:val="7BCD2199"/>
    <w:rsid w:val="7BD20889"/>
    <w:rsid w:val="7C1D37A5"/>
    <w:rsid w:val="7C1E5FFB"/>
    <w:rsid w:val="7DAC38C0"/>
    <w:rsid w:val="7DD97DAA"/>
    <w:rsid w:val="7EA15869"/>
    <w:rsid w:val="7F294DF3"/>
    <w:rsid w:val="7F7E4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2">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3">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4">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24314;&#35758;&#12289;&#25552;&#26696;\&#27169;&#29256;\2-&#20250;&#21150;&#24314;&#35758;&#2716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2-会办建议模版.dotx</Template>
  <Pages>2</Pages>
  <Words>180</Words>
  <Characters>239</Characters>
  <Lines>1</Lines>
  <Paragraphs>1</Paragraphs>
  <ScaleCrop>false</ScaleCrop>
  <LinksUpToDate>false</LinksUpToDate>
  <CharactersWithSpaces>358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Administrator</cp:lastModifiedBy>
  <dcterms:modified xsi:type="dcterms:W3CDTF">2018-07-02T02:45:14Z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