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b/>
          <w:lang w:val="en-US" w:eastAsia="zh-CN"/>
        </w:rPr>
        <w:t>A</w:t>
      </w:r>
    </w:p>
    <w:p/>
    <w:p/>
    <w:p>
      <w:pPr>
        <w:tabs>
          <w:tab w:val="left" w:pos="8190"/>
        </w:tabs>
      </w:pPr>
    </w:p>
    <w:p/>
    <w:p/>
    <w:p>
      <w:pPr>
        <w:spacing w:line="200" w:lineRule="exact"/>
        <w:rPr>
          <w:sz w:val="18"/>
          <w:szCs w:val="18"/>
        </w:rPr>
      </w:pPr>
    </w:p>
    <w:p>
      <w:pPr>
        <w:spacing w:line="100" w:lineRule="exact"/>
        <w:rPr>
          <w:sz w:val="18"/>
          <w:szCs w:val="18"/>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sz w:val="18"/>
          <w:szCs w:val="18"/>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ascii="仿宋" w:hAnsi="仿宋" w:eastAsia="仿宋" w:cs="仿宋"/>
          <w:sz w:val="18"/>
          <w:szCs w:val="18"/>
        </w:rPr>
      </w:pPr>
    </w:p>
    <w:p>
      <w:pPr>
        <w:keepNext w:val="0"/>
        <w:keepLines w:val="0"/>
        <w:pageBreakBefore w:val="0"/>
        <w:widowControl w:val="0"/>
        <w:tabs>
          <w:tab w:val="left" w:pos="0"/>
          <w:tab w:val="left" w:pos="315"/>
          <w:tab w:val="left" w:pos="8190"/>
        </w:tabs>
        <w:kinsoku/>
        <w:wordWrap/>
        <w:overflowPunct/>
        <w:topLinePunct w:val="0"/>
        <w:autoSpaceDE/>
        <w:autoSpaceDN/>
        <w:bidi w:val="0"/>
        <w:adjustRightInd/>
        <w:snapToGrid/>
        <w:spacing w:line="240" w:lineRule="auto"/>
        <w:ind w:left="0" w:leftChars="0" w:right="0" w:rightChars="0" w:firstLine="64" w:firstLineChars="20"/>
        <w:jc w:val="both"/>
        <w:textAlignment w:val="auto"/>
        <w:outlineLvl w:val="9"/>
        <w:rPr>
          <w:rFonts w:ascii="仿宋" w:hAnsi="仿宋" w:eastAsia="仿宋" w:cs="仿宋"/>
        </w:rPr>
      </w:pPr>
      <w:r>
        <w:rPr>
          <w:rFonts w:hint="eastAsia" w:ascii="仿宋" w:hAnsi="仿宋" w:eastAsia="仿宋" w:cs="仿宋"/>
          <w:sz w:val="32"/>
          <w:lang w:val="en-US" w:eastAsia="zh-CN"/>
        </w:rPr>
        <w:t xml:space="preserve">  </w:t>
      </w:r>
      <w:r>
        <w:rPr>
          <w:rFonts w:hint="eastAsia" w:ascii="仿宋" w:hAnsi="仿宋" w:eastAsia="仿宋" w:cs="仿宋"/>
          <w:sz w:val="32"/>
        </w:rPr>
        <w:t>黔交议复</w:t>
      </w:r>
      <w:r>
        <w:rPr>
          <w:rFonts w:hint="eastAsia" w:ascii="仿宋" w:hAnsi="仿宋" w:eastAsia="仿宋" w:cs="仿宋"/>
          <w:sz w:val="32"/>
          <w:lang w:eastAsia="zh-CN"/>
        </w:rPr>
        <w:t>字</w:t>
      </w:r>
      <w:r>
        <w:rPr>
          <w:rFonts w:hint="eastAsia"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w:t>
      </w:r>
      <w:r>
        <w:rPr>
          <w:rFonts w:hint="eastAsia" w:ascii="仿宋" w:hAnsi="仿宋" w:eastAsia="仿宋" w:cs="仿宋"/>
          <w:sz w:val="32"/>
          <w:lang w:val="en-US" w:eastAsia="zh-CN"/>
        </w:rPr>
        <w:t>85</w:t>
      </w:r>
      <w:r>
        <w:rPr>
          <w:rFonts w:hint="eastAsia" w:ascii="仿宋" w:hAnsi="仿宋" w:eastAsia="仿宋" w:cs="仿宋"/>
          <w:sz w:val="32"/>
        </w:rPr>
        <w:t>号</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签发人：</w:t>
      </w:r>
      <w:r>
        <w:rPr>
          <w:rFonts w:hint="eastAsia" w:ascii="楷体" w:hAnsi="楷体" w:eastAsia="楷体"/>
        </w:rPr>
        <w:t>高卫东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方正小标宋简体"/>
          <w:sz w:val="44"/>
        </w:rPr>
      </w:pPr>
    </w:p>
    <w:p>
      <w:pPr>
        <w:spacing w:line="0" w:lineRule="atLeast"/>
        <w:jc w:val="center"/>
        <w:rPr>
          <w:rFonts w:hint="eastAsia" w:ascii="方正小标宋简体" w:eastAsia="方正小标宋简体"/>
          <w:spacing w:val="0"/>
          <w:sz w:val="44"/>
          <w:szCs w:val="44"/>
        </w:rPr>
      </w:pPr>
      <w:r>
        <w:rPr>
          <w:rFonts w:hint="eastAsia" w:ascii="方正小标宋简体" w:eastAsia="方正小标宋简体"/>
          <w:spacing w:val="0"/>
          <w:sz w:val="44"/>
          <w:szCs w:val="44"/>
        </w:rPr>
        <w:t>省交通运输厅关于省十三届人大</w:t>
      </w:r>
      <w:r>
        <w:rPr>
          <w:rFonts w:hint="eastAsia" w:ascii="方正小标宋简体" w:eastAsia="方正小标宋简体"/>
          <w:spacing w:val="0"/>
          <w:sz w:val="44"/>
          <w:szCs w:val="44"/>
          <w:lang w:eastAsia="zh-CN"/>
        </w:rPr>
        <w:t>二次</w:t>
      </w:r>
      <w:r>
        <w:rPr>
          <w:rFonts w:hint="eastAsia" w:ascii="方正小标宋简体" w:eastAsia="方正小标宋简体"/>
          <w:spacing w:val="0"/>
          <w:sz w:val="44"/>
          <w:szCs w:val="44"/>
        </w:rPr>
        <w:t>会议</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eastAsia="方正小标宋简体"/>
          <w:spacing w:val="0"/>
          <w:sz w:val="44"/>
          <w:szCs w:val="44"/>
        </w:rPr>
      </w:pPr>
      <w:r>
        <w:rPr>
          <w:rFonts w:hint="eastAsia" w:ascii="方正小标宋简体" w:eastAsia="方正小标宋简体"/>
          <w:spacing w:val="0"/>
          <w:sz w:val="44"/>
          <w:szCs w:val="44"/>
        </w:rPr>
        <w:t>第</w:t>
      </w:r>
      <w:r>
        <w:rPr>
          <w:rFonts w:hint="eastAsia" w:ascii="方正小标宋简体" w:eastAsia="方正小标宋简体"/>
          <w:spacing w:val="0"/>
          <w:sz w:val="44"/>
          <w:szCs w:val="44"/>
          <w:lang w:val="en-US" w:eastAsia="zh-CN"/>
        </w:rPr>
        <w:t>191</w:t>
      </w:r>
      <w:r>
        <w:rPr>
          <w:rFonts w:hint="eastAsia" w:ascii="方正小标宋简体" w:eastAsia="方正小标宋简体"/>
          <w:spacing w:val="0"/>
          <w:sz w:val="44"/>
          <w:szCs w:val="44"/>
        </w:rPr>
        <w:t>号建议的答复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薛朝萍代表：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sz w:val="32"/>
          <w:szCs w:val="32"/>
        </w:rPr>
        <w:t>您提出的《</w:t>
      </w:r>
      <w:r>
        <w:rPr>
          <w:rFonts w:hint="eastAsia" w:ascii="仿宋" w:hAnsi="仿宋" w:eastAsia="仿宋" w:cs="仿宋"/>
          <w:sz w:val="32"/>
          <w:szCs w:val="32"/>
          <w:lang w:eastAsia="zh-CN"/>
        </w:rPr>
        <w:t>关于打造低碳公交体系</w:t>
      </w:r>
      <w:r>
        <w:rPr>
          <w:rFonts w:hint="eastAsia" w:ascii="仿宋" w:hAnsi="仿宋" w:eastAsia="仿宋" w:cs="仿宋"/>
          <w:sz w:val="32"/>
          <w:szCs w:val="32"/>
          <w:lang w:val="en-US" w:eastAsia="zh-CN"/>
        </w:rPr>
        <w:t>，助力生态城市发展的建议</w:t>
      </w:r>
      <w:r>
        <w:rPr>
          <w:rFonts w:hint="eastAsia" w:ascii="仿宋" w:hAnsi="仿宋" w:eastAsia="仿宋" w:cs="仿宋"/>
          <w:sz w:val="32"/>
          <w:szCs w:val="32"/>
        </w:rPr>
        <w:t>》收悉。感谢您对我省公共交通</w:t>
      </w:r>
      <w:r>
        <w:rPr>
          <w:rFonts w:hint="eastAsia" w:ascii="仿宋" w:hAnsi="仿宋" w:eastAsia="仿宋" w:cs="仿宋"/>
          <w:sz w:val="32"/>
          <w:szCs w:val="32"/>
          <w:lang w:eastAsia="zh-CN"/>
        </w:rPr>
        <w:t>绿色出行</w:t>
      </w:r>
      <w:r>
        <w:rPr>
          <w:rFonts w:hint="eastAsia" w:ascii="仿宋" w:hAnsi="仿宋" w:eastAsia="仿宋" w:cs="仿宋"/>
          <w:sz w:val="32"/>
          <w:szCs w:val="32"/>
        </w:rPr>
        <w:t>的关心和支持。</w:t>
      </w:r>
      <w:r>
        <w:rPr>
          <w:rFonts w:hint="eastAsia" w:ascii="仿宋" w:hAnsi="仿宋" w:eastAsia="仿宋" w:cs="仿宋"/>
          <w:sz w:val="32"/>
          <w:szCs w:val="32"/>
          <w:lang w:eastAsia="zh-CN"/>
        </w:rPr>
        <w:t>经我厅与省住房城乡建设厅、省能源局会商，现</w:t>
      </w:r>
      <w:r>
        <w:rPr>
          <w:rFonts w:hint="eastAsia" w:ascii="仿宋" w:hAnsi="仿宋" w:eastAsia="仿宋" w:cs="仿宋"/>
          <w:sz w:val="32"/>
          <w:szCs w:val="32"/>
        </w:rPr>
        <w:t>就</w:t>
      </w:r>
      <w:r>
        <w:rPr>
          <w:rFonts w:hint="eastAsia" w:ascii="仿宋" w:hAnsi="仿宋" w:eastAsia="仿宋" w:cs="仿宋"/>
          <w:sz w:val="32"/>
          <w:szCs w:val="32"/>
          <w:lang w:eastAsia="zh-CN"/>
        </w:rPr>
        <w:t>建议</w:t>
      </w:r>
      <w:r>
        <w:rPr>
          <w:rFonts w:hint="eastAsia" w:ascii="仿宋" w:hAnsi="仿宋" w:eastAsia="仿宋" w:cs="仿宋"/>
          <w:sz w:val="32"/>
          <w:szCs w:val="32"/>
        </w:rPr>
        <w:t>提出的有关问题答复如下：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一、关于“优化公交线网，引导公众低碳出行”的建议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（一）完善法规政策，保障公交优先发展</w:t>
      </w:r>
      <w:r>
        <w:rPr>
          <w:rFonts w:hint="eastAsia" w:ascii="仿宋" w:hAnsi="仿宋" w:eastAsia="仿宋" w:cs="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2012年12月，国务院印发《关于城市优先发展公共交通的指导意见》（国发〔2012〕64号）文件，明确提出优先发展公共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交通战略，要求构建以公共交通为主的城市机动化出行系统，发展多种形式的大容量公共交通工具，建设综合交通枢纽，优化换乘中心功能和布局，提高站点覆盖率，提升公共交通出行分担比例。交通运输部也提出进一步落实城市优先发展公共交通战略，以绿色发展为原则，使公共交通成为群众出行首选。2013年3月，我省施行的《贵州省城市公共交通条例》明确规定，要按照公交优先原则，鼓励城市公共交通经营者规模化经营，推广应用新技术、新设备，为公众提供安全可靠、方便快捷、经济舒适、节能环保的服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（二）积极引导支持，提升公交服务能力</w:t>
      </w:r>
      <w:r>
        <w:rPr>
          <w:rFonts w:hint="eastAsia" w:ascii="楷体" w:hAnsi="楷体" w:eastAsia="楷体" w:cs="楷体"/>
          <w:sz w:val="32"/>
          <w:szCs w:val="32"/>
          <w:lang w:val="en-US" w:eastAsia="zh-CN"/>
        </w:rPr>
        <w:br w:type="textWrapping"/>
      </w:r>
      <w:r>
        <w:rPr>
          <w:rFonts w:hint="eastAsia" w:ascii="仿宋" w:hAnsi="仿宋" w:eastAsia="仿宋" w:cs="仿宋"/>
          <w:sz w:val="32"/>
          <w:szCs w:val="32"/>
          <w:lang w:val="en-US" w:eastAsia="zh-CN"/>
        </w:rPr>
        <w:t xml:space="preserve">    近年，贵州省大力推进全域公交发展，全省88个市（县、区）均开通了公交，“县县通公交”工程划上圆满句号。截止2016年底，全省公交经营企业169户，运营公交车8195辆，运营线路13207公里，2016年运营里程53150万公里，客运量达18.02亿人次。</w:t>
      </w:r>
      <w:r>
        <w:rPr>
          <w:rFonts w:hint="eastAsia" w:ascii="仿宋" w:hAnsi="仿宋" w:eastAsia="仿宋" w:cs="仿宋"/>
          <w:sz w:val="32"/>
          <w:szCs w:val="32"/>
          <w:lang w:val="en-US" w:eastAsia="zh-CN"/>
        </w:rPr>
        <w:br w:type="textWrapping"/>
      </w: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二、关于“加快新能源公交车的新增、更换，完善充电桩和充电站建设”的建议</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厅与省能源局等多家单位联合印发的《贵州省电动汽车充电基础设施建设运营管理办法（暂行）（黔能源电力[2016]155号），《办法》规定城市客运企业建立充电站的，只需增加工商执照的经营项目，无需按照注册资本要求进行增项。企业自建的充电设施在满足本企业的需求下，可以对外开展充电运营。该工作的开展为我省城市客运企业降低运营成本起到了作用。</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据省能源局统计，目前，全省累计建成充电桩13066个，其中贵阳市建成3785个；遵义市建成2816个；六盘水市建成835个；安顺市建成1046个；毕节市建成317个；铜仁市建成537个；黔东南州建成656个；黔南州建成1205个；黔西南州建成1643个；贵安新区建成226个。</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2016年以来，我省充电基础设施的建设主要做了以下工作：</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一是编制规划。组织编制《贵州省电动汽车充电基础设施专项规划（2016-2020）》，制定《贵州省充电基础设施建设三年行动计划（2016-2018 年》，提出充电基础设施进机关、进住宅小区、进公共区域、进人口聚集区、进产业园区、进旅游景区、上高速公路“六进一上”。二是制定政策。牵头制定全国第一个省级综合性政策措施《贵州省支持电动汽车充电基础设施加快建设若干政策措施》（黔府办发〔2017〕45号），起草《贵州省电动汽车充电基础设施建设运营管理办法（暂行）》《贵州省新能源汽车充电基础设施示范项目管理办法》，明确了准入政策、电价政策、财政奖补政策、用地支持政策、电力接入政策等、为我省充电设施建设提供政策支撑。2018年省发改委出台了《关于利用电价支持政策助推我省部分特色和新兴产业加快发展有关事项的通知》，明确到2025年年底前免收电动汽车集中式充换电设施基本电费，对电动汽车集中式充换电设施实行峰谷分时电价，峰段、谷段电度电价暂按对应电压等级目录电价（不含政府性基金及附加）上、下浮动30%。三是搭建平台。组织开展充电基础设施建设信息服务平台，于2017年5月正式上线运行，开通了服务热线，提升了服务质量。积极争取各方面支持，组建全国第一个省级充电基础设施建设促进会，组织专家设计了全省充电基础设施统一标识标志。全省统一的贵州省电动汽车充电设施运营监控与服务平台已建成投运（电话：4001185959），配套的“电动贵州·绿色出行”APP手机应用程序系统（可在手机应用程序市场下载）也同步上线，实现统一监管。现已有36家企业共3692个充电桩接入平台，累计充电量9155MWh，相当于减少二氧化碳排放9127吨，减少原油消耗787吨，减少汽油消耗760吨，相当于植树1035万棵。四是完善机制。建立了厅际联席会议制度，完善了充电基础设施建设的推进机制，制定了《贵州省电动汽车充电基础设施建设调度督查制度（试行）》，实行周调度、月通报、季督查、年考核，组织督查组到各市州、部分县区、高速公路服务区等开展督查调研。国家能源局对我省充电基础设施建设给予充分肯定，江苏、上海、广东、山西、广西等省市先后前来考察交流。我省对充电基础设施建设高度重视，写进了2019年政府工作报告，1月18日在全省能源工作会议上，省能源局与各市（州）能源主管部门签订了目标责任书，其中充电桩建设是重要项目之一。省能源局近期拟召开全省充电基础设施建设工作推进会，大力推进《贵州省政府办公厅支持加快电动汽车充电基础设施建设若干政策措施》落地，扎实推进“六进一上”计划，通过召开充电基础设施建设工作推进会、组织参加全省数博会展览，到各市（州）并举办充电基础设施建设相关工作培训及宣传活动，确保完成全年目标任务。</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val="0"/>
          <w:bCs w:val="0"/>
          <w:color w:val="auto"/>
          <w:sz w:val="32"/>
          <w:lang w:eastAsia="zh-CN"/>
        </w:rPr>
        <w:t>同时，省住建厅按要求有序推进城市</w:t>
      </w:r>
      <w:r>
        <w:rPr>
          <w:rFonts w:hint="eastAsia" w:ascii="仿宋" w:hAnsi="仿宋" w:eastAsia="仿宋" w:cs="仿宋"/>
          <w:b w:val="0"/>
          <w:bCs w:val="0"/>
          <w:color w:val="auto"/>
          <w:sz w:val="32"/>
          <w:lang w:val="en-US" w:eastAsia="zh-CN"/>
        </w:rPr>
        <w:t>社会公共停车场建设工作，2017年全省共建设53819个，2018年全省共建设37380个，都</w:t>
      </w:r>
      <w:r>
        <w:rPr>
          <w:rFonts w:hint="eastAsia" w:ascii="仿宋" w:hAnsi="仿宋" w:eastAsia="仿宋" w:cs="仿宋"/>
          <w:b w:val="0"/>
          <w:bCs w:val="0"/>
          <w:color w:val="auto"/>
          <w:spacing w:val="-6"/>
          <w:sz w:val="32"/>
          <w:lang w:val="en-US" w:eastAsia="zh-CN"/>
        </w:rPr>
        <w:t>超额完成既定任务目标。2019年截至目前已开工建设12576个，并要求按规划比例配套建设充电桩，不断完善建设充电桩基础设施</w:t>
      </w:r>
      <w:r>
        <w:rPr>
          <w:rFonts w:hint="eastAsia" w:ascii="仿宋" w:hAnsi="仿宋" w:eastAsia="仿宋" w:cs="仿宋"/>
          <w:b w:val="0"/>
          <w:bCs w:val="0"/>
          <w:color w:val="auto"/>
          <w:sz w:val="32"/>
          <w:lang w:val="en-US" w:eastAsia="zh-CN"/>
        </w:rPr>
        <w:t>。</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三、关于“大力发展慢行交通，提倡公交+步行，公交+自行车绿色出行方式”的建议</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公安厅、贵州省精神文明办、贵州省住房城乡建设厅、贵州省交通运输厅、贵州省自然资源厅、贵州省邮政管理局于今年年初联合下发了《关于深入推进2019年全省城市道路交通文明畅通提升工程工作的通知》（黔公交〔2019〕8号）文件，根据文件精神，专门组建了专家组，将在今年内对各地存在的问题进行调研，并对调研出来存在的问题进行及时的整改。</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文件强调发展绿色交通</w:t>
      </w:r>
      <w:bookmarkStart w:id="0" w:name="_GoBack"/>
      <w:bookmarkEnd w:id="0"/>
      <w:r>
        <w:rPr>
          <w:rFonts w:hint="eastAsia" w:ascii="仿宋" w:hAnsi="仿宋" w:eastAsia="仿宋" w:cs="仿宋"/>
          <w:sz w:val="32"/>
          <w:szCs w:val="32"/>
          <w:lang w:val="en-US" w:eastAsia="zh-CN"/>
        </w:rPr>
        <w:t>，全面保障公交通行。提出了加强慢行系统建设，持续发展公共交通，发展绿色物流运输配送等相关要求。实施分类评价，将城市道路交通文明畅通提升工程特别是堵点治理工作纳入“文明在行动，满意在贵州”以及文明城市创建活动的重要内容。</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关于“不断提升公交服务水平，提供新颖、个性化公交出行服务，提高公交分担率”的建议</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31"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省道路运输局已在2017年委托第三方技术单位（交通运输部规划研究院）针对我省公交出行特点专门研发了“贵州省公交优先示范城市创建管理系统”，目前已将贵阳、遵义等5个公交优先示范创建城市的公交运行相关数据导入，可实现科学智能调度。现阶段，该系统正在进一步研发中，完成后可免费提供给全省各市县使用。现贵阳市公交公司现已和第三方联合推出了网络公交APP，并在市区的站台设置了公交车辆到站电子提示牌，我们将把这些好的技术逐步推广到全省。</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0" w:firstLineChars="0"/>
        <w:jc w:val="both"/>
        <w:textAlignment w:val="auto"/>
        <w:outlineLvl w:val="9"/>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0" w:firstLineChars="0"/>
        <w:jc w:val="both"/>
        <w:textAlignment w:val="auto"/>
        <w:outlineLvl w:val="9"/>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leftChars="0" w:right="0" w:rightChars="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贵州省交通运输厅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leftChars="0" w:right="0" w:rightChars="0" w:firstLine="680" w:firstLineChars="215"/>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25</w:t>
      </w:r>
      <w:r>
        <w:rPr>
          <w:rFonts w:hint="eastAsia" w:ascii="仿宋" w:hAnsi="仿宋" w:eastAsia="仿宋" w:cs="仿宋"/>
          <w:color w:val="000000"/>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leftChars="0" w:right="0" w:rightChars="0" w:firstLine="63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（附注：</w:t>
      </w:r>
      <w:r>
        <w:rPr>
          <w:rFonts w:hint="eastAsia" w:ascii="仿宋" w:hAnsi="仿宋" w:eastAsia="仿宋" w:cs="仿宋"/>
          <w:color w:val="000000"/>
          <w:kern w:val="0"/>
          <w:sz w:val="32"/>
          <w:szCs w:val="32"/>
          <w:lang w:eastAsia="zh-CN"/>
        </w:rPr>
        <w:t>此件</w:t>
      </w:r>
      <w:r>
        <w:rPr>
          <w:rFonts w:hint="eastAsia" w:ascii="仿宋" w:hAnsi="仿宋" w:eastAsia="仿宋" w:cs="仿宋"/>
          <w:color w:val="000000"/>
          <w:kern w:val="0"/>
          <w:sz w:val="32"/>
          <w:szCs w:val="32"/>
        </w:rPr>
        <w:t>公开发布）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leftChars="0" w:right="0" w:rightChars="0" w:firstLine="632"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32"/>
          <w:szCs w:val="32"/>
        </w:rPr>
        <w:t>（联</w:t>
      </w:r>
      <w:r>
        <w:rPr>
          <w:rFonts w:hint="eastAsia" w:ascii="仿宋" w:hAnsi="仿宋" w:eastAsia="仿宋" w:cs="仿宋"/>
          <w:color w:val="000000"/>
          <w:spacing w:val="-6"/>
          <w:kern w:val="0"/>
          <w:sz w:val="32"/>
          <w:szCs w:val="32"/>
        </w:rPr>
        <w:t>系人：省交通运输厅</w:t>
      </w:r>
      <w:r>
        <w:rPr>
          <w:rFonts w:hint="eastAsia" w:ascii="仿宋" w:hAnsi="仿宋" w:eastAsia="仿宋" w:cs="仿宋"/>
          <w:color w:val="000000"/>
          <w:spacing w:val="-6"/>
          <w:kern w:val="0"/>
          <w:sz w:val="32"/>
          <w:szCs w:val="32"/>
          <w:lang w:val="en-US" w:eastAsia="zh-CN"/>
        </w:rPr>
        <w:t xml:space="preserve">  浦通</w:t>
      </w:r>
      <w:r>
        <w:rPr>
          <w:rFonts w:hint="eastAsia" w:ascii="仿宋" w:hAnsi="仿宋" w:eastAsia="仿宋" w:cs="仿宋"/>
          <w:spacing w:val="-6"/>
          <w:lang w:val="en-US" w:eastAsia="zh-CN"/>
        </w:rPr>
        <w:t>;</w:t>
      </w:r>
      <w:r>
        <w:rPr>
          <w:rFonts w:hint="eastAsia" w:ascii="仿宋" w:hAnsi="仿宋" w:eastAsia="仿宋" w:cs="仿宋"/>
          <w:spacing w:val="-6"/>
        </w:rPr>
        <w:t>联系电话：</w:t>
      </w:r>
      <w:r>
        <w:rPr>
          <w:rFonts w:hint="eastAsia" w:ascii="仿宋" w:hAnsi="仿宋" w:eastAsia="仿宋" w:cs="仿宋"/>
          <w:spacing w:val="-6"/>
          <w:lang w:val="en-US" w:eastAsia="zh-CN"/>
        </w:rPr>
        <w:t>0851-85964579</w:t>
      </w:r>
      <w:r>
        <w:rPr>
          <w:rFonts w:hint="eastAsia" w:ascii="仿宋" w:hAnsi="仿宋" w:eastAsia="仿宋" w:cs="仿宋"/>
          <w:lang w:eastAsia="zh-CN"/>
        </w:rPr>
        <w:t>。</w:t>
      </w:r>
      <w:r>
        <w:rPr>
          <w:rFonts w:hint="eastAsia" w:ascii="仿宋" w:hAnsi="仿宋" w:eastAsia="仿宋" w:cs="仿宋"/>
          <w:color w:val="00000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16" w:firstLineChars="100"/>
        <w:jc w:val="both"/>
        <w:textAlignment w:val="auto"/>
        <w:outlineLvl w:val="9"/>
        <w:rPr>
          <w:rFonts w:hint="eastAsia" w:ascii="仿宋" w:hAnsi="仿宋" w:eastAsia="仿宋" w:cs="仿宋"/>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抄送：省人大选举任免联络委员会</w:t>
      </w:r>
      <w:r>
        <w:rPr>
          <w:rFonts w:hint="eastAsia" w:ascii="仿宋" w:hAnsi="仿宋" w:eastAsia="仿宋" w:cs="仿宋"/>
          <w:sz w:val="28"/>
          <w:szCs w:val="28"/>
          <w:lang w:val="en-US" w:eastAsia="zh-CN"/>
        </w:rPr>
        <w:t>，省人民政府办公厅</w:t>
      </w:r>
      <w:r>
        <w:rPr>
          <w:rFonts w:hint="eastAsia" w:ascii="仿宋" w:hAnsi="仿宋" w:eastAsia="仿宋" w:cs="仿宋"/>
          <w:sz w:val="28"/>
          <w:szCs w:val="28"/>
          <w:lang w:eastAsia="zh-CN"/>
        </w:rPr>
        <w:t>。</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left="0" w:leftChars="0" w:right="0" w:rightChars="0" w:firstLine="276" w:firstLineChars="1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毕节市人大常委会。  </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left="0" w:leftChars="0" w:right="0" w:rightChars="0" w:firstLine="1104" w:firstLineChars="4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省住房城乡建设厅、省能源局</w:t>
      </w:r>
      <w:r>
        <w:rPr>
          <w:rFonts w:hint="eastAsia" w:ascii="仿宋" w:hAnsi="仿宋" w:eastAsia="仿宋" w:cs="仿宋"/>
          <w:sz w:val="28"/>
          <w:szCs w:val="28"/>
        </w:rPr>
        <w:t>。</w:t>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adjustRightInd/>
        <w:snapToGrid/>
        <w:spacing w:line="500" w:lineRule="exact"/>
        <w:ind w:left="0" w:leftChars="0" w:right="0" w:rightChars="0" w:firstLine="276" w:firstLineChars="1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贵州省交通运输厅办公室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201</w:t>
      </w:r>
      <w:r>
        <w:rPr>
          <w:rFonts w:hint="eastAsia" w:ascii="仿宋" w:hAnsi="仿宋" w:eastAsia="仿宋" w:cs="仿宋"/>
          <w:sz w:val="28"/>
          <w:szCs w:val="28"/>
          <w:lang w:val="en-US" w:eastAsia="zh-CN"/>
        </w:rPr>
        <w:t>9</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日印发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1" w:firstLineChars="225"/>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共印</w:t>
      </w:r>
      <w:r>
        <w:rPr>
          <w:rFonts w:hint="eastAsia" w:ascii="仿宋" w:hAnsi="仿宋" w:eastAsia="仿宋" w:cs="仿宋"/>
          <w:sz w:val="28"/>
          <w:szCs w:val="28"/>
          <w:lang w:val="en-US" w:eastAsia="zh-CN"/>
        </w:rPr>
        <w:t>6</w:t>
      </w:r>
      <w:r>
        <w:rPr>
          <w:rFonts w:hint="eastAsia" w:ascii="仿宋" w:hAnsi="仿宋" w:eastAsia="仿宋" w:cs="仿宋"/>
          <w:sz w:val="28"/>
          <w:szCs w:val="28"/>
        </w:rPr>
        <w:t>份</w:t>
      </w:r>
    </w:p>
    <w:sectPr>
      <w:footerReference r:id="rId3" w:type="default"/>
      <w:footerReference r:id="rId4" w:type="even"/>
      <w:pgSz w:w="11906" w:h="16838"/>
      <w:pgMar w:top="2041" w:right="1474" w:bottom="1984" w:left="1588" w:header="851" w:footer="1587" w:gutter="0"/>
      <w:cols w:space="0" w:num="1"/>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9"/>
        <w:rFonts w:ascii="宋体" w:hAnsi="宋体" w:eastAsia="宋体"/>
        <w:sz w:val="28"/>
        <w:szCs w:val="28"/>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2</w:t>
    </w:r>
    <w:r>
      <w:rPr>
        <w:rFonts w:ascii="宋体" w:hAnsi="宋体" w:eastAsia="宋体"/>
        <w:sz w:val="28"/>
        <w:szCs w:val="28"/>
      </w:rPr>
      <w:fldChar w:fldCharType="end"/>
    </w:r>
    <w:r>
      <w:rPr>
        <w:rStyle w:val="9"/>
        <w:rFonts w:hint="eastAsia" w:ascii="宋体" w:hAnsi="宋体" w:eastAsia="宋体"/>
        <w:sz w:val="28"/>
        <w:szCs w:val="28"/>
      </w:rPr>
      <w:t xml:space="preserve"> —</w:t>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62B"/>
    <w:multiLevelType w:val="singleLevel"/>
    <w:tmpl w:val="000F562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21CDD"/>
    <w:rsid w:val="00014710"/>
    <w:rsid w:val="00025DF8"/>
    <w:rsid w:val="00037B81"/>
    <w:rsid w:val="000435CC"/>
    <w:rsid w:val="00052370"/>
    <w:rsid w:val="000A7305"/>
    <w:rsid w:val="000E72A8"/>
    <w:rsid w:val="000F12BC"/>
    <w:rsid w:val="0010609F"/>
    <w:rsid w:val="00111E20"/>
    <w:rsid w:val="001B32E2"/>
    <w:rsid w:val="002236A8"/>
    <w:rsid w:val="002422CA"/>
    <w:rsid w:val="00246646"/>
    <w:rsid w:val="00254516"/>
    <w:rsid w:val="002A5B7A"/>
    <w:rsid w:val="002F1E10"/>
    <w:rsid w:val="0030570A"/>
    <w:rsid w:val="0035199D"/>
    <w:rsid w:val="00357737"/>
    <w:rsid w:val="00466D9A"/>
    <w:rsid w:val="00484DE0"/>
    <w:rsid w:val="00486D80"/>
    <w:rsid w:val="005E4B19"/>
    <w:rsid w:val="00640798"/>
    <w:rsid w:val="00691818"/>
    <w:rsid w:val="00693A7E"/>
    <w:rsid w:val="0069496A"/>
    <w:rsid w:val="006F406F"/>
    <w:rsid w:val="0072286B"/>
    <w:rsid w:val="00733FAB"/>
    <w:rsid w:val="00765B40"/>
    <w:rsid w:val="00774ABA"/>
    <w:rsid w:val="00787335"/>
    <w:rsid w:val="007E74E0"/>
    <w:rsid w:val="00863596"/>
    <w:rsid w:val="008727E4"/>
    <w:rsid w:val="008803A8"/>
    <w:rsid w:val="009063AE"/>
    <w:rsid w:val="00917A27"/>
    <w:rsid w:val="00964D5C"/>
    <w:rsid w:val="0098067F"/>
    <w:rsid w:val="00983ADB"/>
    <w:rsid w:val="00A2003E"/>
    <w:rsid w:val="00A324C4"/>
    <w:rsid w:val="00A338EB"/>
    <w:rsid w:val="00AA32C8"/>
    <w:rsid w:val="00AB4B3D"/>
    <w:rsid w:val="00B46033"/>
    <w:rsid w:val="00B7170D"/>
    <w:rsid w:val="00B93486"/>
    <w:rsid w:val="00BA4DF5"/>
    <w:rsid w:val="00BC2014"/>
    <w:rsid w:val="00C14147"/>
    <w:rsid w:val="00C9588D"/>
    <w:rsid w:val="00CA3141"/>
    <w:rsid w:val="00CF7F66"/>
    <w:rsid w:val="00D917AD"/>
    <w:rsid w:val="00D93E84"/>
    <w:rsid w:val="00DA4792"/>
    <w:rsid w:val="00DE0A64"/>
    <w:rsid w:val="00E0678D"/>
    <w:rsid w:val="00E32313"/>
    <w:rsid w:val="00E45A57"/>
    <w:rsid w:val="00E85A81"/>
    <w:rsid w:val="00F024DB"/>
    <w:rsid w:val="00F13552"/>
    <w:rsid w:val="011C462C"/>
    <w:rsid w:val="0223737B"/>
    <w:rsid w:val="02F52FE5"/>
    <w:rsid w:val="072F5908"/>
    <w:rsid w:val="08842FC4"/>
    <w:rsid w:val="09194AFF"/>
    <w:rsid w:val="09994D3F"/>
    <w:rsid w:val="0AB35A4C"/>
    <w:rsid w:val="0C034856"/>
    <w:rsid w:val="1135121B"/>
    <w:rsid w:val="14432AFA"/>
    <w:rsid w:val="15D111D6"/>
    <w:rsid w:val="170553B6"/>
    <w:rsid w:val="170E5934"/>
    <w:rsid w:val="177C4C6C"/>
    <w:rsid w:val="19EE76C3"/>
    <w:rsid w:val="1A322867"/>
    <w:rsid w:val="1CE83047"/>
    <w:rsid w:val="1D040C69"/>
    <w:rsid w:val="21BF13BC"/>
    <w:rsid w:val="22D45FF5"/>
    <w:rsid w:val="23974F9F"/>
    <w:rsid w:val="23C2530A"/>
    <w:rsid w:val="23D12BBB"/>
    <w:rsid w:val="25325582"/>
    <w:rsid w:val="25B94E2A"/>
    <w:rsid w:val="27844290"/>
    <w:rsid w:val="27A62666"/>
    <w:rsid w:val="284A441A"/>
    <w:rsid w:val="2967689E"/>
    <w:rsid w:val="2BC547BF"/>
    <w:rsid w:val="2C421CDD"/>
    <w:rsid w:val="2F39708B"/>
    <w:rsid w:val="30DB5681"/>
    <w:rsid w:val="31BA09CF"/>
    <w:rsid w:val="32432632"/>
    <w:rsid w:val="33436A0D"/>
    <w:rsid w:val="33544A41"/>
    <w:rsid w:val="336D2772"/>
    <w:rsid w:val="338D4C63"/>
    <w:rsid w:val="357E4442"/>
    <w:rsid w:val="377767CE"/>
    <w:rsid w:val="37875420"/>
    <w:rsid w:val="3C5A3D74"/>
    <w:rsid w:val="3FC062B4"/>
    <w:rsid w:val="40AA1B16"/>
    <w:rsid w:val="458027D4"/>
    <w:rsid w:val="46A469AB"/>
    <w:rsid w:val="49AB2F67"/>
    <w:rsid w:val="4B661507"/>
    <w:rsid w:val="4CA40B3D"/>
    <w:rsid w:val="4F3967DA"/>
    <w:rsid w:val="50C21B70"/>
    <w:rsid w:val="54325DE7"/>
    <w:rsid w:val="54BC6055"/>
    <w:rsid w:val="55A31FF9"/>
    <w:rsid w:val="55BE02E7"/>
    <w:rsid w:val="598D081C"/>
    <w:rsid w:val="59BA58AA"/>
    <w:rsid w:val="5DB000C7"/>
    <w:rsid w:val="5E24077A"/>
    <w:rsid w:val="5E636ADC"/>
    <w:rsid w:val="5F993B28"/>
    <w:rsid w:val="5FAB3A31"/>
    <w:rsid w:val="636364AD"/>
    <w:rsid w:val="647F3CB0"/>
    <w:rsid w:val="65F83686"/>
    <w:rsid w:val="6759724F"/>
    <w:rsid w:val="67CE3229"/>
    <w:rsid w:val="680108E1"/>
    <w:rsid w:val="6814066F"/>
    <w:rsid w:val="6BB753DB"/>
    <w:rsid w:val="6C034717"/>
    <w:rsid w:val="6C123E4D"/>
    <w:rsid w:val="6F97585C"/>
    <w:rsid w:val="72256E7F"/>
    <w:rsid w:val="736411BA"/>
    <w:rsid w:val="748D5C06"/>
    <w:rsid w:val="74DA7B7B"/>
    <w:rsid w:val="76B821D1"/>
    <w:rsid w:val="76EA59E1"/>
    <w:rsid w:val="79867CEC"/>
    <w:rsid w:val="79987A68"/>
    <w:rsid w:val="79FE6059"/>
    <w:rsid w:val="7CFE5F3F"/>
    <w:rsid w:val="7D3B1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jc w:val="right"/>
      <w:outlineLvl w:val="0"/>
    </w:p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1">
    <w:name w:val="文号"/>
    <w:qFormat/>
    <w:uiPriority w:val="0"/>
    <w:pPr>
      <w:overflowPunct w:val="0"/>
      <w:autoSpaceDE w:val="0"/>
      <w:autoSpaceDN w:val="0"/>
      <w:jc w:val="center"/>
    </w:pPr>
    <w:rPr>
      <w:rFonts w:ascii="Times New Roman" w:hAnsi="Times New Roman" w:eastAsia="仿宋_GB2312" w:cs="Times New Roman"/>
      <w:sz w:val="30"/>
      <w:szCs w:val="22"/>
      <w:lang w:val="en-US" w:eastAsia="zh-CN" w:bidi="ar-SA"/>
    </w:rPr>
  </w:style>
  <w:style w:type="paragraph" w:customStyle="1" w:styleId="12">
    <w:name w:val="发文日期"/>
    <w:qFormat/>
    <w:uiPriority w:val="0"/>
    <w:pPr>
      <w:overflowPunct w:val="0"/>
      <w:autoSpaceDE w:val="0"/>
      <w:autoSpaceDN w:val="0"/>
      <w:ind w:right="851"/>
      <w:jc w:val="right"/>
    </w:pPr>
    <w:rPr>
      <w:rFonts w:ascii="Times New Roman" w:hAnsi="Times New Roman" w:eastAsia="仿宋_GB2312" w:cs="Times New Roman"/>
      <w:sz w:val="32"/>
      <w:szCs w:val="22"/>
      <w:lang w:val="en-US" w:eastAsia="zh-CN" w:bidi="ar-SA"/>
    </w:rPr>
  </w:style>
  <w:style w:type="paragraph" w:customStyle="1" w:styleId="13">
    <w:name w:val="主题词"/>
    <w:qFormat/>
    <w:uiPriority w:val="0"/>
    <w:pPr>
      <w:pBdr>
        <w:bottom w:val="single" w:color="auto" w:sz="6" w:space="1"/>
      </w:pBdr>
      <w:overflowPunct w:val="0"/>
      <w:autoSpaceDE w:val="0"/>
      <w:autoSpaceDN w:val="0"/>
      <w:jc w:val="both"/>
    </w:pPr>
    <w:rPr>
      <w:rFonts w:ascii="Times New Roman" w:hAnsi="Times New Roman" w:eastAsia="黑体" w:cs="Times New Roman"/>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9992;&#27169;&#29256;deng\1&#40660;&#201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1黔交</Template>
  <Pages>2</Pages>
  <Words>149</Words>
  <Characters>851</Characters>
  <Lines>7</Lines>
  <Paragraphs>1</Paragraphs>
  <ScaleCrop>false</ScaleCrop>
  <LinksUpToDate>false</LinksUpToDate>
  <CharactersWithSpaces>999</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2018-05-16T01:52:00Z</dcterms:created>
  <dc:creator>Administrator</dc:creator>
  <cp:lastModifiedBy>Administrator</cp:lastModifiedBy>
  <cp:lastPrinted>2019-05-20T08:36:00Z</cp:lastPrinted>
  <dcterms:modified xsi:type="dcterms:W3CDTF">2019-06-26T02:43:51Z</dcterms:modified>
  <dc:title>黔路发〔〕号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