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E92D3">
      <w:pPr>
        <w:spacing w:line="360" w:lineRule="auto"/>
        <w:jc w:val="center"/>
        <w:rPr>
          <w:rFonts w:hint="default" w:ascii="Times New Roman" w:hAnsi="Times New Roman" w:eastAsia="仿宋_GB2312" w:cs="Times New Roman"/>
          <w:b/>
          <w:snapToGrid w:val="0"/>
          <w:kern w:val="0"/>
          <w:position w:val="6"/>
          <w:sz w:val="52"/>
          <w:szCs w:val="52"/>
        </w:rPr>
      </w:pPr>
    </w:p>
    <w:p w14:paraId="5111C6B3">
      <w:pPr>
        <w:spacing w:line="360" w:lineRule="auto"/>
        <w:jc w:val="center"/>
        <w:rPr>
          <w:rFonts w:hint="default" w:ascii="Times New Roman" w:hAnsi="Times New Roman" w:eastAsia="仿宋_GB2312" w:cs="Times New Roman"/>
          <w:b/>
          <w:snapToGrid w:val="0"/>
          <w:kern w:val="0"/>
          <w:position w:val="6"/>
          <w:sz w:val="52"/>
          <w:szCs w:val="52"/>
        </w:rPr>
      </w:pPr>
    </w:p>
    <w:p w14:paraId="6F69523B">
      <w:pPr>
        <w:spacing w:line="360" w:lineRule="auto"/>
        <w:jc w:val="center"/>
        <w:rPr>
          <w:rFonts w:hint="eastAsia" w:eastAsia="仿宋_GB2312" w:cs="Times New Roman"/>
          <w:b/>
          <w:snapToGrid w:val="0"/>
          <w:kern w:val="0"/>
          <w:position w:val="6"/>
          <w:sz w:val="44"/>
          <w:szCs w:val="44"/>
          <w:u w:val="none"/>
          <w:lang w:val="en-US" w:eastAsia="zh-CN"/>
        </w:rPr>
      </w:pPr>
      <w:r>
        <w:rPr>
          <w:rFonts w:hint="eastAsia" w:eastAsia="仿宋_GB2312" w:cs="Times New Roman"/>
          <w:b/>
          <w:snapToGrid w:val="0"/>
          <w:kern w:val="0"/>
          <w:position w:val="6"/>
          <w:sz w:val="44"/>
          <w:szCs w:val="44"/>
          <w:u w:val="none"/>
          <w:lang w:val="en-US" w:eastAsia="zh-CN"/>
        </w:rPr>
        <w:t>贵州省交通运输厅技术指南</w:t>
      </w:r>
    </w:p>
    <w:p w14:paraId="53DB7036">
      <w:pPr>
        <w:spacing w:line="360" w:lineRule="auto"/>
        <w:jc w:val="center"/>
        <w:rPr>
          <w:rFonts w:hint="eastAsia" w:eastAsia="仿宋_GB2312" w:cs="Times New Roman"/>
          <w:b/>
          <w:snapToGrid w:val="0"/>
          <w:kern w:val="0"/>
          <w:position w:val="6"/>
          <w:sz w:val="44"/>
          <w:szCs w:val="44"/>
          <w:u w:val="single"/>
          <w:lang w:val="en-US" w:eastAsia="zh-CN"/>
        </w:rPr>
      </w:pPr>
      <w:r>
        <w:rPr>
          <w:rFonts w:hint="eastAsia" w:eastAsia="仿宋_GB2312" w:cs="Times New Roman"/>
          <w:b/>
          <w:snapToGrid w:val="0"/>
          <w:kern w:val="0"/>
          <w:position w:val="6"/>
          <w:sz w:val="44"/>
          <w:szCs w:val="44"/>
          <w:u w:val="single"/>
          <w:lang w:val="en-US" w:eastAsia="zh-CN"/>
        </w:rPr>
        <w:t xml:space="preserve">                       </w:t>
      </w:r>
    </w:p>
    <w:p w14:paraId="64C4195F">
      <w:pPr>
        <w:spacing w:line="360" w:lineRule="auto"/>
        <w:jc w:val="center"/>
        <w:rPr>
          <w:rFonts w:hint="default" w:eastAsia="仿宋_GB2312" w:cs="Times New Roman"/>
          <w:b/>
          <w:snapToGrid w:val="0"/>
          <w:kern w:val="0"/>
          <w:position w:val="6"/>
          <w:sz w:val="44"/>
          <w:szCs w:val="44"/>
          <w:u w:val="single"/>
          <w:lang w:val="en-US" w:eastAsia="zh-CN"/>
        </w:rPr>
      </w:pPr>
      <w:r>
        <w:rPr>
          <w:rFonts w:hint="eastAsia" w:eastAsia="仿宋_GB2312" w:cs="Times New Roman"/>
          <w:b/>
          <w:snapToGrid w:val="0"/>
          <w:kern w:val="0"/>
          <w:position w:val="6"/>
          <w:sz w:val="36"/>
          <w:szCs w:val="36"/>
          <w:u w:val="single"/>
          <w:lang w:val="en-US" w:eastAsia="zh-CN"/>
        </w:rPr>
        <w:t xml:space="preserve">                            JTZN****—2025</w:t>
      </w:r>
      <w:r>
        <w:rPr>
          <w:rFonts w:hint="eastAsia" w:eastAsia="仿宋_GB2312" w:cs="Times New Roman"/>
          <w:b/>
          <w:snapToGrid w:val="0"/>
          <w:kern w:val="0"/>
          <w:position w:val="6"/>
          <w:sz w:val="44"/>
          <w:szCs w:val="44"/>
          <w:u w:val="single"/>
          <w:lang w:val="en-US" w:eastAsia="zh-CN"/>
        </w:rPr>
        <w:t xml:space="preserve">  </w:t>
      </w:r>
    </w:p>
    <w:p w14:paraId="59DE3673">
      <w:pPr>
        <w:spacing w:line="360" w:lineRule="auto"/>
        <w:jc w:val="center"/>
        <w:rPr>
          <w:rFonts w:hint="default" w:eastAsia="仿宋_GB2312" w:cs="Times New Roman"/>
          <w:b/>
          <w:snapToGrid w:val="0"/>
          <w:kern w:val="0"/>
          <w:position w:val="6"/>
          <w:sz w:val="44"/>
          <w:szCs w:val="44"/>
          <w:u w:val="single"/>
          <w:lang w:val="en-US" w:eastAsia="zh-CN"/>
        </w:rPr>
      </w:pPr>
    </w:p>
    <w:p w14:paraId="3F412247">
      <w:pPr>
        <w:spacing w:line="360" w:lineRule="auto"/>
        <w:jc w:val="center"/>
        <w:rPr>
          <w:rFonts w:hint="default" w:ascii="Times New Roman" w:hAnsi="Times New Roman" w:eastAsia="仿宋_GB2312" w:cs="Times New Roman"/>
          <w:b/>
          <w:snapToGrid w:val="0"/>
          <w:kern w:val="0"/>
          <w:position w:val="6"/>
          <w:sz w:val="52"/>
          <w:szCs w:val="52"/>
        </w:rPr>
      </w:pPr>
    </w:p>
    <w:p w14:paraId="6BCBDD43">
      <w:pPr>
        <w:spacing w:line="360" w:lineRule="auto"/>
        <w:jc w:val="center"/>
        <w:rPr>
          <w:rFonts w:hint="default" w:ascii="Times New Roman" w:hAnsi="Times New Roman" w:eastAsia="仿宋_GB2312" w:cs="Times New Roman"/>
          <w:b/>
          <w:snapToGrid w:val="0"/>
          <w:kern w:val="0"/>
          <w:position w:val="6"/>
          <w:sz w:val="52"/>
          <w:szCs w:val="52"/>
        </w:rPr>
      </w:pPr>
    </w:p>
    <w:p w14:paraId="39A26D1C">
      <w:pPr>
        <w:spacing w:line="360" w:lineRule="auto"/>
        <w:jc w:val="center"/>
        <w:rPr>
          <w:rFonts w:hint="default" w:ascii="Times New Roman" w:hAnsi="Times New Roman" w:eastAsia="仿宋_GB2312" w:cs="Times New Roman"/>
          <w:b/>
          <w:snapToGrid w:val="0"/>
          <w:kern w:val="0"/>
          <w:position w:val="6"/>
          <w:sz w:val="52"/>
          <w:szCs w:val="52"/>
        </w:rPr>
      </w:pPr>
      <w:r>
        <w:rPr>
          <w:rFonts w:hint="default" w:ascii="Times New Roman" w:hAnsi="Times New Roman" w:eastAsia="仿宋_GB2312" w:cs="Times New Roman"/>
          <w:b/>
          <w:snapToGrid w:val="0"/>
          <w:kern w:val="0"/>
          <w:position w:val="6"/>
          <w:sz w:val="52"/>
          <w:szCs w:val="52"/>
        </w:rPr>
        <w:t>高延弹超薄罩面施工技术指南</w:t>
      </w:r>
    </w:p>
    <w:p w14:paraId="274095CD">
      <w:pPr>
        <w:spacing w:line="360" w:lineRule="auto"/>
        <w:jc w:val="center"/>
        <w:rPr>
          <w:rFonts w:hint="default" w:ascii="Times New Roman" w:hAnsi="Times New Roman" w:eastAsia="仿宋_GB2312" w:cs="Times New Roman"/>
          <w:b/>
          <w:snapToGrid w:val="0"/>
          <w:kern w:val="0"/>
          <w:position w:val="6"/>
          <w:sz w:val="52"/>
          <w:szCs w:val="52"/>
        </w:rPr>
      </w:pPr>
    </w:p>
    <w:p w14:paraId="4389D013">
      <w:pPr>
        <w:pStyle w:val="4"/>
        <w:jc w:val="center"/>
        <w:rPr>
          <w:rFonts w:hint="default" w:ascii="Times New Roman" w:hAnsi="Times New Roman" w:cs="Times New Roman"/>
          <w:sz w:val="34"/>
        </w:rPr>
      </w:pPr>
      <w:r>
        <w:rPr>
          <w:rFonts w:hint="default" w:ascii="Times New Roman" w:hAnsi="Times New Roman" w:eastAsia="仿宋_GB2312" w:cs="Times New Roman"/>
          <w:b/>
          <w:snapToGrid w:val="0"/>
          <w:kern w:val="0"/>
          <w:position w:val="6"/>
          <w:sz w:val="52"/>
          <w:szCs w:val="52"/>
        </w:rPr>
        <w:t>（</w:t>
      </w:r>
      <w:r>
        <w:rPr>
          <w:rFonts w:hint="default" w:ascii="Times New Roman" w:hAnsi="Times New Roman" w:eastAsia="仿宋_GB2312" w:cs="Times New Roman"/>
          <w:b/>
          <w:snapToGrid w:val="0"/>
          <w:kern w:val="0"/>
          <w:position w:val="6"/>
          <w:sz w:val="52"/>
          <w:szCs w:val="52"/>
          <w:lang w:val="en-US" w:eastAsia="zh-CN"/>
        </w:rPr>
        <w:t>试行</w:t>
      </w:r>
      <w:r>
        <w:rPr>
          <w:rFonts w:hint="default" w:ascii="Times New Roman" w:hAnsi="Times New Roman" w:eastAsia="仿宋_GB2312" w:cs="Times New Roman"/>
          <w:b/>
          <w:snapToGrid w:val="0"/>
          <w:kern w:val="0"/>
          <w:position w:val="6"/>
          <w:sz w:val="52"/>
          <w:szCs w:val="52"/>
        </w:rPr>
        <w:t>）</w:t>
      </w:r>
    </w:p>
    <w:p w14:paraId="19004BF6">
      <w:pPr>
        <w:pStyle w:val="4"/>
        <w:rPr>
          <w:rFonts w:hint="default" w:ascii="Times New Roman" w:hAnsi="Times New Roman" w:cs="Times New Roman"/>
          <w:sz w:val="34"/>
        </w:rPr>
      </w:pPr>
    </w:p>
    <w:p w14:paraId="00DC9DED">
      <w:pPr>
        <w:pStyle w:val="4"/>
        <w:rPr>
          <w:rFonts w:hint="default" w:ascii="Times New Roman" w:hAnsi="Times New Roman" w:cs="Times New Roman"/>
          <w:sz w:val="34"/>
        </w:rPr>
      </w:pPr>
    </w:p>
    <w:p w14:paraId="6D84D03F">
      <w:pPr>
        <w:pStyle w:val="4"/>
        <w:rPr>
          <w:rFonts w:hint="default" w:ascii="Times New Roman" w:hAnsi="Times New Roman" w:cs="Times New Roman"/>
          <w:sz w:val="34"/>
        </w:rPr>
      </w:pPr>
    </w:p>
    <w:p w14:paraId="1735E615">
      <w:pPr>
        <w:pStyle w:val="4"/>
        <w:rPr>
          <w:rFonts w:hint="default" w:ascii="Times New Roman" w:hAnsi="Times New Roman" w:cs="Times New Roman"/>
          <w:sz w:val="34"/>
        </w:rPr>
      </w:pPr>
    </w:p>
    <w:p w14:paraId="17E36C66">
      <w:pPr>
        <w:pStyle w:val="4"/>
        <w:rPr>
          <w:rFonts w:hint="default" w:ascii="Times New Roman" w:hAnsi="Times New Roman" w:cs="Times New Roman"/>
          <w:sz w:val="34"/>
        </w:rPr>
      </w:pPr>
    </w:p>
    <w:p w14:paraId="595E011E">
      <w:pPr>
        <w:jc w:val="center"/>
        <w:rPr>
          <w:rFonts w:hint="eastAsia" w:ascii="宋体" w:hAnsi="宋体" w:eastAsia="宋体" w:cs="宋体"/>
          <w:sz w:val="28"/>
          <w:szCs w:val="36"/>
          <w:u w:val="thick"/>
          <w:lang w:val="en-US" w:eastAsia="zh-CN"/>
        </w:rPr>
      </w:pP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highlight w:val="none"/>
          <w:u w:val="thick"/>
          <w:lang w:val="en-US" w:eastAsia="zh-CN"/>
        </w:rPr>
        <w:t>**</w:t>
      </w:r>
      <w:r>
        <w:rPr>
          <w:rFonts w:hint="eastAsia" w:ascii="宋体" w:hAnsi="宋体" w:eastAsia="宋体" w:cs="宋体"/>
          <w:sz w:val="28"/>
          <w:szCs w:val="36"/>
          <w:u w:val="thick"/>
          <w:lang w:val="en-US" w:eastAsia="zh-CN"/>
        </w:rPr>
        <w:t xml:space="preserve">发布                            </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highlight w:val="none"/>
          <w:u w:val="thick"/>
          <w:lang w:val="en-US" w:eastAsia="zh-CN"/>
        </w:rPr>
        <w:t>**</w:t>
      </w:r>
      <w:r>
        <w:rPr>
          <w:rFonts w:hint="eastAsia" w:ascii="宋体" w:hAnsi="宋体" w:eastAsia="宋体" w:cs="宋体"/>
          <w:sz w:val="28"/>
          <w:szCs w:val="36"/>
          <w:u w:val="thick"/>
          <w:lang w:val="en-US" w:eastAsia="zh-CN"/>
        </w:rPr>
        <w:t>实施</w:t>
      </w:r>
    </w:p>
    <w:p w14:paraId="040A67D7">
      <w:pPr>
        <w:jc w:val="both"/>
        <w:rPr>
          <w:rFonts w:hint="default" w:ascii="Times New Roman" w:hAnsi="Times New Roman" w:eastAsia="仿宋_GB2312" w:cs="Times New Roman"/>
          <w:u w:val="single"/>
          <w:lang w:val="en-US" w:eastAsia="zh-CN"/>
        </w:rPr>
      </w:pPr>
      <w:r>
        <w:rPr>
          <w:rFonts w:hint="eastAsia" w:ascii="Times New Roman" w:hAnsi="Times New Roman" w:eastAsia="仿宋_GB2312" w:cs="Times New Roman"/>
          <w:u w:val="thick"/>
          <w:lang w:val="en-US" w:eastAsia="zh-CN"/>
        </w:rPr>
        <w:t xml:space="preserve">                                                                                          </w:t>
      </w:r>
      <w:r>
        <w:rPr>
          <w:rFonts w:hint="eastAsia" w:ascii="Times New Roman" w:hAnsi="Times New Roman" w:eastAsia="仿宋_GB2312" w:cs="Times New Roman"/>
          <w:u w:val="single"/>
          <w:lang w:val="en-US" w:eastAsia="zh-CN"/>
        </w:rPr>
        <w:t xml:space="preserve"> </w:t>
      </w:r>
    </w:p>
    <w:p w14:paraId="186D0859">
      <w:pPr>
        <w:jc w:val="center"/>
        <w:rPr>
          <w:rFonts w:hint="default" w:ascii="Times New Roman" w:hAnsi="Times New Roman" w:eastAsia="仿宋_GB2312" w:cs="Times New Roman"/>
        </w:rPr>
      </w:pPr>
    </w:p>
    <w:p w14:paraId="2C19E17C">
      <w:pPr>
        <w:jc w:val="center"/>
        <w:rPr>
          <w:rFonts w:hint="default" w:ascii="Times New Roman" w:hAnsi="Times New Roman" w:eastAsia="仿宋_GB2312" w:cs="Times New Roman"/>
        </w:rPr>
      </w:pPr>
    </w:p>
    <w:p w14:paraId="5ACFDD2E">
      <w:pPr>
        <w:jc w:val="cente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贵州省交通运输厅        发布</w:t>
      </w:r>
    </w:p>
    <w:p w14:paraId="4B877021">
      <w:pPr>
        <w:widowControl/>
        <w:jc w:val="left"/>
        <w:rPr>
          <w:rFonts w:hint="default" w:ascii="Times New Roman" w:hAnsi="Times New Roman" w:cs="Times New Roman"/>
          <w:sz w:val="34"/>
        </w:rPr>
      </w:pPr>
    </w:p>
    <w:p w14:paraId="6457D22E">
      <w:pPr>
        <w:widowControl/>
        <w:jc w:val="left"/>
        <w:rPr>
          <w:rFonts w:hint="default" w:ascii="Times New Roman" w:hAnsi="Times New Roman" w:cs="Times New Roman"/>
          <w:sz w:val="34"/>
        </w:rPr>
      </w:pPr>
    </w:p>
    <w:p w14:paraId="646D78B5">
      <w:pPr>
        <w:jc w:val="center"/>
        <w:rPr>
          <w:rFonts w:hint="default" w:ascii="Times New Roman" w:hAnsi="Times New Roman" w:cs="Times New Roman"/>
          <w:kern w:val="0"/>
          <w:sz w:val="32"/>
          <w:szCs w:val="32"/>
        </w:rPr>
      </w:pPr>
      <w:r>
        <w:rPr>
          <w:rFonts w:hint="default" w:ascii="Times New Roman" w:hAnsi="Times New Roman" w:cs="Times New Roman"/>
          <w:bCs/>
          <w:kern w:val="0"/>
          <w:sz w:val="32"/>
          <w:szCs w:val="32"/>
        </w:rPr>
        <w:t>前  言</w:t>
      </w:r>
    </w:p>
    <w:p w14:paraId="6E0B7110">
      <w:pPr>
        <w:spacing w:line="348" w:lineRule="auto"/>
        <w:ind w:firstLine="480" w:firstLineChars="200"/>
        <w:rPr>
          <w:rFonts w:hint="default" w:ascii="Times New Roman" w:hAnsi="Times New Roman" w:cs="Times New Roman"/>
          <w:color w:val="000000" w:themeColor="text1"/>
          <w:sz w:val="24"/>
          <w:szCs w:val="40"/>
          <w14:textFill>
            <w14:solidFill>
              <w14:schemeClr w14:val="tx1"/>
            </w14:solidFill>
          </w14:textFill>
        </w:rPr>
      </w:pPr>
      <w:r>
        <w:rPr>
          <w:rFonts w:hint="default" w:ascii="Times New Roman" w:hAnsi="Times New Roman" w:cs="Times New Roman"/>
          <w:color w:val="000000" w:themeColor="text1"/>
          <w:sz w:val="24"/>
          <w:szCs w:val="40"/>
          <w14:textFill>
            <w14:solidFill>
              <w14:schemeClr w14:val="tx1"/>
            </w14:solidFill>
          </w14:textFill>
        </w:rPr>
        <w:t>为推进“双碳”目标的实现，提升贵州省公路沥青路面的养护水平，编写组经广泛调查研究，查阅了大量相关文献资料，参考了国内外先进标准与科研成果，并在广泛征求意见的基础上，特制定《高延弹超薄罩面施工技术指南》，以下简称《指南》。此指南在现有相关行业标准与指南的基础上，结合了贵州省的实际情况和地方工程经验， 提出了符合高延弹超薄罩面养护技术的设计、施工质量控制及验收方法，进一步规范了高延弹超薄罩面养护技术的施工质量与验收标准，为高延弹超薄罩面养护技术提供技术支撑。</w:t>
      </w:r>
    </w:p>
    <w:p w14:paraId="4A30D266">
      <w:pPr>
        <w:spacing w:line="348" w:lineRule="auto"/>
        <w:ind w:firstLine="480" w:firstLineChars="200"/>
        <w:rPr>
          <w:rFonts w:hint="default" w:ascii="Times New Roman" w:hAnsi="Times New Roman" w:cs="Times New Roman"/>
          <w:color w:val="000000" w:themeColor="text1"/>
          <w:sz w:val="24"/>
          <w:szCs w:val="40"/>
          <w14:textFill>
            <w14:solidFill>
              <w14:schemeClr w14:val="tx1"/>
            </w14:solidFill>
          </w14:textFill>
        </w:rPr>
      </w:pPr>
      <w:r>
        <w:rPr>
          <w:rFonts w:hint="default" w:ascii="Times New Roman" w:hAnsi="Times New Roman" w:cs="Times New Roman"/>
          <w:color w:val="000000" w:themeColor="text1"/>
          <w:sz w:val="24"/>
          <w:szCs w:val="40"/>
          <w14:textFill>
            <w14:solidFill>
              <w14:schemeClr w14:val="tx1"/>
            </w14:solidFill>
          </w14:textFill>
        </w:rPr>
        <w:t>本标准由 1 总则，2 规范性引用文件，3 术语和符号，4 基本规定，5 材料，6 高延弹超薄罩面设计，7 施工，8 施工质量控制与检查验收构成。</w:t>
      </w:r>
    </w:p>
    <w:p w14:paraId="1896589A">
      <w:pPr>
        <w:spacing w:line="348" w:lineRule="auto"/>
        <w:ind w:firstLine="480" w:firstLineChars="200"/>
        <w:rPr>
          <w:rFonts w:hint="default" w:ascii="Times New Roman" w:hAnsi="Times New Roman" w:cs="Times New Roman"/>
          <w:color w:val="000000" w:themeColor="text1"/>
          <w:sz w:val="24"/>
          <w:szCs w:val="40"/>
          <w14:textFill>
            <w14:solidFill>
              <w14:schemeClr w14:val="tx1"/>
            </w14:solidFill>
          </w14:textFill>
        </w:rPr>
      </w:pPr>
      <w:r>
        <w:rPr>
          <w:rFonts w:hint="default" w:ascii="Times New Roman" w:hAnsi="Times New Roman" w:cs="Times New Roman"/>
          <w:color w:val="000000" w:themeColor="text1"/>
          <w:sz w:val="24"/>
          <w:szCs w:val="40"/>
          <w14:textFill>
            <w14:solidFill>
              <w14:schemeClr w14:val="tx1"/>
            </w14:solidFill>
          </w14:textFill>
        </w:rPr>
        <w:t>请各有关单位在使用本标准过程中，将发现的问题和意见，函告本标准日常管理组，联系人：吕泉（地址：上海市嘉定区曹安公路4800号，同济大学嘉定校区，邮编：200092，电话：18317152095，电子邮箱：100026787@qq.com），以便下次修订时参考。</w:t>
      </w:r>
    </w:p>
    <w:p w14:paraId="4AD5A494">
      <w:pPr>
        <w:spacing w:line="348" w:lineRule="auto"/>
        <w:ind w:firstLine="480" w:firstLineChars="2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eastAsia" w:cs="Times New Roman"/>
          <w:color w:val="000000" w:themeColor="text1"/>
          <w:sz w:val="24"/>
          <w:szCs w:val="40"/>
          <w:lang w:val="en-US" w:eastAsia="zh-CN"/>
          <w14:textFill>
            <w14:solidFill>
              <w14:schemeClr w14:val="tx1"/>
            </w14:solidFill>
          </w14:textFill>
        </w:rPr>
        <w:t>批准单位：贵州省交通运输厅</w:t>
      </w:r>
    </w:p>
    <w:p w14:paraId="7E99ADE2">
      <w:pPr>
        <w:spacing w:line="348" w:lineRule="auto"/>
        <w:ind w:firstLine="480" w:firstLineChars="2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主编单位：贵州高速公路实业有限公司</w:t>
      </w:r>
    </w:p>
    <w:p w14:paraId="6CE1C78A">
      <w:pPr>
        <w:spacing w:line="348" w:lineRule="auto"/>
        <w:ind w:firstLine="1680" w:firstLineChars="7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贵州高速公路集团有限公司</w:t>
      </w:r>
    </w:p>
    <w:p w14:paraId="2456C64C">
      <w:pPr>
        <w:spacing w:line="348" w:lineRule="auto"/>
        <w:ind w:firstLine="480" w:firstLineChars="2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参编单位：同济大学</w:t>
      </w:r>
    </w:p>
    <w:p w14:paraId="5C2DECC0">
      <w:pPr>
        <w:spacing w:line="348" w:lineRule="auto"/>
        <w:ind w:firstLine="1680" w:firstLineChars="7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贵州黔和物流有限公司</w:t>
      </w:r>
    </w:p>
    <w:p w14:paraId="284CC8AA">
      <w:pPr>
        <w:spacing w:line="348" w:lineRule="auto"/>
        <w:ind w:firstLine="1680" w:firstLineChars="7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eastAsia" w:cs="Times New Roman"/>
          <w:color w:val="000000" w:themeColor="text1"/>
          <w:sz w:val="24"/>
          <w:szCs w:val="40"/>
          <w:lang w:val="en-US" w:eastAsia="zh-CN"/>
          <w14:textFill>
            <w14:solidFill>
              <w14:schemeClr w14:val="tx1"/>
            </w14:solidFill>
          </w14:textFill>
        </w:rPr>
        <w:t>贵州高速公路集团有限公司兴义营运管理中心</w:t>
      </w:r>
    </w:p>
    <w:p w14:paraId="60F6D616">
      <w:pPr>
        <w:spacing w:line="348" w:lineRule="auto"/>
        <w:ind w:firstLine="480" w:firstLineChars="200"/>
        <w:rPr>
          <w:rFonts w:hint="default" w:ascii="Times New Roman" w:hAnsi="Times New Roman" w:eastAsia="宋体"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14:textFill>
            <w14:solidFill>
              <w14:schemeClr w14:val="tx1"/>
            </w14:solidFill>
          </w14:textFill>
        </w:rPr>
        <w:t>主要审查人员：</w:t>
      </w:r>
    </w:p>
    <w:p w14:paraId="30C85C65">
      <w:pPr>
        <w:spacing w:line="348" w:lineRule="auto"/>
        <w:ind w:left="2399" w:leftChars="228" w:hanging="1920" w:hangingChars="800"/>
        <w:rPr>
          <w:rFonts w:hint="default" w:ascii="Times New Roman" w:hAnsi="Times New Roman" w:eastAsia="宋体"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14:textFill>
            <w14:solidFill>
              <w14:schemeClr w14:val="tx1"/>
            </w14:solidFill>
          </w14:textFill>
        </w:rPr>
        <w:t>主要参编人员：</w:t>
      </w:r>
      <w:bookmarkStart w:id="85" w:name="_GoBack"/>
      <w:bookmarkEnd w:id="85"/>
    </w:p>
    <w:p w14:paraId="78034082">
      <w:pPr>
        <w:widowControl/>
        <w:jc w:val="left"/>
        <w:rPr>
          <w:rFonts w:hint="default" w:ascii="Times New Roman" w:hAnsi="Times New Roman" w:cs="Times New Roman"/>
          <w:sz w:val="24"/>
        </w:rPr>
      </w:pPr>
    </w:p>
    <w:p w14:paraId="256CE594">
      <w:pPr>
        <w:rPr>
          <w:rFonts w:hint="default" w:ascii="Times New Roman" w:hAnsi="Times New Roman" w:cs="Times New Roman"/>
          <w:sz w:val="24"/>
        </w:rPr>
      </w:pPr>
    </w:p>
    <w:p w14:paraId="47623E91">
      <w:pPr>
        <w:rPr>
          <w:rFonts w:hint="default" w:ascii="Times New Roman" w:hAnsi="Times New Roman" w:cs="Times New Roman"/>
          <w:sz w:val="24"/>
        </w:rPr>
      </w:pPr>
    </w:p>
    <w:p w14:paraId="6C8E82C6">
      <w:pPr>
        <w:rPr>
          <w:rFonts w:hint="default" w:ascii="Times New Roman" w:hAnsi="Times New Roman" w:cs="Times New Roman"/>
          <w:sz w:val="24"/>
        </w:rPr>
      </w:pPr>
    </w:p>
    <w:p w14:paraId="3A77CC09">
      <w:pPr>
        <w:rPr>
          <w:rFonts w:hint="default" w:ascii="Times New Roman" w:hAnsi="Times New Roman" w:cs="Times New Roman"/>
          <w:sz w:val="24"/>
        </w:rPr>
      </w:pPr>
    </w:p>
    <w:p w14:paraId="152C7CBD">
      <w:pPr>
        <w:rPr>
          <w:rFonts w:hint="default" w:ascii="Times New Roman" w:hAnsi="Times New Roman" w:cs="Times New Roman"/>
          <w:sz w:val="24"/>
        </w:rPr>
      </w:pPr>
    </w:p>
    <w:p w14:paraId="034E87D4">
      <w:pPr>
        <w:tabs>
          <w:tab w:val="center" w:pos="4153"/>
        </w:tabs>
        <w:rPr>
          <w:rFonts w:hint="default" w:ascii="Times New Roman" w:hAnsi="Times New Roman" w:cs="Times New Roman"/>
          <w:sz w:val="24"/>
        </w:rPr>
        <w:sectPr>
          <w:pgSz w:w="11906" w:h="16838"/>
          <w:pgMar w:top="1440" w:right="1800" w:bottom="1440" w:left="1800" w:header="850" w:footer="992" w:gutter="0"/>
          <w:pgNumType w:start="1"/>
          <w:cols w:space="425" w:num="1"/>
          <w:docGrid w:type="lines" w:linePitch="312" w:charSpace="0"/>
        </w:sectPr>
      </w:pPr>
      <w:r>
        <w:rPr>
          <w:rFonts w:hint="default" w:ascii="Times New Roman" w:hAnsi="Times New Roman" w:cs="Times New Roman"/>
          <w:sz w:val="24"/>
        </w:rPr>
        <w:tab/>
      </w:r>
    </w:p>
    <w:sdt>
      <w:sdtPr>
        <w:rPr>
          <w:rFonts w:hint="default" w:ascii="Times New Roman" w:hAnsi="Times New Roman" w:eastAsia="宋体" w:cs="Times New Roman"/>
          <w:color w:val="auto"/>
          <w:kern w:val="2"/>
          <w:sz w:val="21"/>
          <w:szCs w:val="24"/>
          <w:lang w:val="zh-CN"/>
        </w:rPr>
        <w:id w:val="721032219"/>
        <w:docPartObj>
          <w:docPartGallery w:val="Table of Contents"/>
          <w:docPartUnique/>
        </w:docPartObj>
      </w:sdtPr>
      <w:sdtEndPr>
        <w:rPr>
          <w:rFonts w:hint="default" w:ascii="Times New Roman" w:hAnsi="Times New Roman" w:eastAsia="宋体" w:cs="Times New Roman"/>
          <w:b/>
          <w:bCs/>
          <w:color w:val="auto"/>
          <w:kern w:val="2"/>
          <w:sz w:val="21"/>
          <w:szCs w:val="24"/>
          <w:lang w:val="zh-CN"/>
        </w:rPr>
      </w:sdtEndPr>
      <w:sdtContent>
        <w:p w14:paraId="0C6BB26D">
          <w:pPr>
            <w:pStyle w:val="195"/>
            <w:spacing w:before="156" w:after="156"/>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lang w:val="zh-CN"/>
            </w:rPr>
            <w:t>目 录</w:t>
          </w:r>
        </w:p>
        <w:p w14:paraId="3C003D3E">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TOC \o "1-3" \h \z \u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Cs w:val="24"/>
            </w:rPr>
            <w:fldChar w:fldCharType="begin"/>
          </w:r>
          <w:r>
            <w:rPr>
              <w:rFonts w:hint="default" w:ascii="Times New Roman" w:hAnsi="Times New Roman" w:cs="Times New Roman" w:eastAsiaTheme="minorEastAsia"/>
              <w:szCs w:val="24"/>
            </w:rPr>
            <w:instrText xml:space="preserve"> HYPERLINK \l _Toc16865 </w:instrText>
          </w:r>
          <w:r>
            <w:rPr>
              <w:rFonts w:hint="default" w:ascii="Times New Roman" w:hAnsi="Times New Roman" w:cs="Times New Roman" w:eastAsiaTheme="minorEastAsia"/>
              <w:szCs w:val="24"/>
            </w:rPr>
            <w:fldChar w:fldCharType="separate"/>
          </w:r>
          <w:r>
            <w:rPr>
              <w:rFonts w:hint="default" w:ascii="Times New Roman" w:hAnsi="Times New Roman" w:cs="Times New Roman" w:eastAsiaTheme="minorEastAsia"/>
              <w:bCs w:val="0"/>
              <w:i w:val="0"/>
              <w:szCs w:val="32"/>
            </w:rPr>
            <w:t xml:space="preserve">1 </w:t>
          </w:r>
          <w:r>
            <w:rPr>
              <w:rFonts w:hint="default" w:ascii="Times New Roman" w:hAnsi="Times New Roman" w:cs="Times New Roman" w:eastAsiaTheme="minorEastAsia"/>
              <w:bCs/>
              <w:szCs w:val="22"/>
            </w:rPr>
            <w:t>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_Toc16865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eastAsiaTheme="minorEastAsia"/>
              <w:szCs w:val="24"/>
            </w:rPr>
            <w:fldChar w:fldCharType="end"/>
          </w:r>
        </w:p>
        <w:p w14:paraId="43F9E941">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_Toc5043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2 </w:t>
          </w:r>
          <w:r>
            <w:rPr>
              <w:rFonts w:hint="default" w:ascii="Times New Roman" w:hAnsi="Times New Roman" w:cs="Times New Roman" w:eastAsiaTheme="minorEastAsia"/>
              <w:bCs/>
              <w:szCs w:val="22"/>
            </w:rPr>
            <w:t>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_Toc5043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4831C665">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_Toc154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3 </w:t>
          </w:r>
          <w:r>
            <w:rPr>
              <w:rFonts w:hint="default" w:ascii="Times New Roman" w:hAnsi="Times New Roman" w:cs="Times New Roman" w:eastAsiaTheme="minorEastAsia"/>
              <w:bCs/>
              <w:szCs w:val="22"/>
            </w:rPr>
            <w:t>术语与符号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_Toc154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3E39D92C">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_Toc6723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3.1 </w:t>
          </w:r>
          <w:r>
            <w:rPr>
              <w:rFonts w:hint="default" w:ascii="Times New Roman" w:hAnsi="Times New Roman" w:cs="Times New Roman"/>
            </w:rPr>
            <w:t>术语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_Toc6723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4E023AAC">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_Toc21981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3.2 </w:t>
          </w:r>
          <w:r>
            <w:rPr>
              <w:rFonts w:hint="default" w:ascii="Times New Roman" w:hAnsi="Times New Roman" w:cs="Times New Roman"/>
            </w:rPr>
            <w:t>符号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_Toc21981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05A497B8">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_Toc19523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4 </w:t>
          </w:r>
          <w:r>
            <w:rPr>
              <w:rFonts w:hint="default" w:ascii="Times New Roman" w:hAnsi="Times New Roman" w:cs="Times New Roman" w:eastAsiaTheme="minorEastAsia"/>
              <w:bCs/>
              <w:szCs w:val="22"/>
            </w:rPr>
            <w:t>基本规定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_Toc19523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00E5F6E4">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_Toc25763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4.1 </w:t>
          </w:r>
          <w:r>
            <w:rPr>
              <w:rFonts w:hint="default" w:ascii="Times New Roman" w:hAnsi="Times New Roman" w:cs="Times New Roman"/>
            </w:rPr>
            <w:t>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_Toc25763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067CE50F">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_Toc824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4.2 </w:t>
          </w:r>
          <w:r>
            <w:rPr>
              <w:rFonts w:hint="default" w:ascii="Times New Roman" w:hAnsi="Times New Roman" w:cs="Times New Roman"/>
            </w:rPr>
            <w:t>原路面技术状况要求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_Toc824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3F46DE59">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_Toc8459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4.3 </w:t>
          </w:r>
          <w:r>
            <w:rPr>
              <w:rFonts w:hint="default" w:ascii="Times New Roman" w:hAnsi="Times New Roman" w:cs="Times New Roman"/>
            </w:rPr>
            <w:t>原路面处置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_Toc8459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38EBCEAE">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_Toc2251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4.4 </w:t>
          </w:r>
          <w:r>
            <w:rPr>
              <w:rFonts w:hint="default" w:ascii="Times New Roman" w:hAnsi="Times New Roman" w:cs="Times New Roman"/>
            </w:rPr>
            <w:t>厚度设计与材料选择</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_Toc2251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230141A5">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_Toc17427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5 </w:t>
          </w:r>
          <w:r>
            <w:rPr>
              <w:rFonts w:hint="default" w:ascii="Times New Roman" w:hAnsi="Times New Roman" w:cs="Times New Roman" w:eastAsiaTheme="minorEastAsia"/>
              <w:bCs/>
              <w:szCs w:val="22"/>
            </w:rPr>
            <w:t>材料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_Toc17427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23D4CE18">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_Toc22547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5.1 </w:t>
          </w:r>
          <w:r>
            <w:rPr>
              <w:rFonts w:hint="default" w:ascii="Times New Roman" w:hAnsi="Times New Roman" w:cs="Times New Roman"/>
            </w:rPr>
            <w:t>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_Toc22547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7E8BB120">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_Toc12863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5.2 </w:t>
          </w:r>
          <w:r>
            <w:rPr>
              <w:rFonts w:hint="default" w:ascii="Times New Roman" w:hAnsi="Times New Roman" w:cs="Times New Roman"/>
            </w:rPr>
            <w:t>高延弹改性沥青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_Toc12863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6568DBAC">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_Toc27169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5.3 </w:t>
          </w:r>
          <w:r>
            <w:rPr>
              <w:rFonts w:hint="default" w:ascii="Times New Roman" w:hAnsi="Times New Roman" w:cs="Times New Roman"/>
            </w:rPr>
            <w:t>高黏度改性乳化沥青黏层材料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_Toc27169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19B16D6D">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_Toc5237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5.4 </w:t>
          </w:r>
          <w:r>
            <w:rPr>
              <w:rFonts w:hint="default" w:ascii="Times New Roman" w:hAnsi="Times New Roman" w:cs="Times New Roman"/>
            </w:rPr>
            <w:t>集料及填料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_Toc5237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104359EE">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_Toc28671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5.5 </w:t>
          </w:r>
          <w:r>
            <w:rPr>
              <w:rFonts w:hint="default" w:ascii="Times New Roman" w:hAnsi="Times New Roman" w:cs="Times New Roman"/>
            </w:rPr>
            <w:t>灌缝胶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_Toc28671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08974E80">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_Toc11642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6 </w:t>
          </w:r>
          <w:r>
            <w:rPr>
              <w:rFonts w:hint="default" w:ascii="Times New Roman" w:hAnsi="Times New Roman" w:cs="Times New Roman" w:eastAsiaTheme="minorEastAsia"/>
              <w:bCs/>
              <w:szCs w:val="22"/>
            </w:rPr>
            <w:t>高延弹沥青混合料配合比设计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_Toc11642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2A6AB328">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_Toc31549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6.1 </w:t>
          </w:r>
          <w:r>
            <w:rPr>
              <w:rFonts w:hint="default" w:ascii="Times New Roman" w:hAnsi="Times New Roman" w:cs="Times New Roman"/>
            </w:rPr>
            <w:t>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_Toc31549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75CB6F40">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_Toc881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6.2 </w:t>
          </w:r>
          <w:r>
            <w:rPr>
              <w:rFonts w:hint="default" w:ascii="Times New Roman" w:hAnsi="Times New Roman" w:cs="Times New Roman"/>
            </w:rPr>
            <w:t>混合料技术指标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_Toc881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465C017C">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_Toc31755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7 </w:t>
          </w:r>
          <w:r>
            <w:rPr>
              <w:rFonts w:hint="default" w:ascii="Times New Roman" w:hAnsi="Times New Roman" w:cs="Times New Roman" w:eastAsiaTheme="minorEastAsia"/>
              <w:bCs/>
              <w:szCs w:val="22"/>
            </w:rPr>
            <w:t>施工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_Toc31755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49BCE266">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_Toc28042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7.1 </w:t>
          </w:r>
          <w:r>
            <w:rPr>
              <w:rFonts w:hint="default" w:ascii="Times New Roman" w:hAnsi="Times New Roman" w:cs="Times New Roman"/>
            </w:rPr>
            <w:t>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_Toc28042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649081EB">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_Toc6748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7.2 </w:t>
          </w:r>
          <w:r>
            <w:rPr>
              <w:rFonts w:hint="default" w:ascii="Times New Roman" w:hAnsi="Times New Roman" w:cs="Times New Roman"/>
            </w:rPr>
            <w:t>混合料拌和与运输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_Toc6748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76CEF271">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_Toc5737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7.3 </w:t>
          </w:r>
          <w:r>
            <w:rPr>
              <w:rFonts w:hint="default" w:ascii="Times New Roman" w:hAnsi="Times New Roman" w:cs="Times New Roman"/>
            </w:rPr>
            <w:t>黏层材料喷洒与摊铺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_Toc5737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6D8184B9">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_Toc18279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7.4 </w:t>
          </w:r>
          <w:r>
            <w:rPr>
              <w:rFonts w:hint="default" w:ascii="Times New Roman" w:hAnsi="Times New Roman" w:cs="Times New Roman"/>
            </w:rPr>
            <w:t>碾压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_Toc18279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0EC048BB">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_Toc32492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7.5 </w:t>
          </w:r>
          <w:r>
            <w:rPr>
              <w:rFonts w:hint="default" w:ascii="Times New Roman" w:hAnsi="Times New Roman" w:cs="Times New Roman"/>
            </w:rPr>
            <w:t>接缝</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_Toc32492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2007E6A1">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_Toc2834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7.6 </w:t>
          </w:r>
          <w:r>
            <w:rPr>
              <w:rFonts w:hint="default" w:ascii="Times New Roman" w:hAnsi="Times New Roman" w:cs="Times New Roman"/>
            </w:rPr>
            <w:t>养护与开放交通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_Toc2834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56E2399E">
          <w:pPr>
            <w:pStyle w:val="2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_Toc22517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eastAsiaTheme="minorEastAsia"/>
              <w:bCs w:val="0"/>
              <w:i w:val="0"/>
              <w:szCs w:val="32"/>
            </w:rPr>
            <w:t xml:space="preserve">8 </w:t>
          </w:r>
          <w:r>
            <w:rPr>
              <w:rFonts w:hint="default" w:ascii="Times New Roman" w:hAnsi="Times New Roman" w:cs="Times New Roman" w:eastAsiaTheme="minorEastAsia"/>
              <w:bCs/>
              <w:szCs w:val="22"/>
            </w:rPr>
            <w:t>施工质量控制与检查验收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_Toc22517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6746BF16">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_Toc16636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8.1 </w:t>
          </w:r>
          <w:r>
            <w:rPr>
              <w:rFonts w:hint="default" w:ascii="Times New Roman" w:hAnsi="Times New Roman" w:cs="Times New Roman"/>
            </w:rPr>
            <w:t>原材料质量控制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_Toc16636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6D83C759">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_Toc27587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8.2 </w:t>
          </w:r>
          <w:r>
            <w:rPr>
              <w:rFonts w:hint="default" w:ascii="Times New Roman" w:hAnsi="Times New Roman" w:cs="Times New Roman"/>
            </w:rPr>
            <w:t>施工过程中质量控制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_Toc27587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4722FDE6">
          <w:pPr>
            <w:pStyle w:val="35"/>
            <w:tabs>
              <w:tab w:val="right" w:leader="dot" w:pos="8306"/>
              <w:tab w:val="clear" w:pos="9242"/>
            </w:tabs>
            <w:rPr>
              <w:rFonts w:hint="default" w:ascii="Times New Roman" w:hAnsi="Times New Roman" w:cs="Times New Roman"/>
            </w:rPr>
          </w:pPr>
          <w:r>
            <w:rPr>
              <w:rFonts w:hint="default" w:ascii="Times New Roman" w:hAnsi="Times New Roman" w:cs="Times New Roman" w:eastAsiaTheme="minorEastAsia"/>
              <w:lang w:val="zh-CN"/>
            </w:rPr>
            <w:fldChar w:fldCharType="begin"/>
          </w:r>
          <w:r>
            <w:rPr>
              <w:rFonts w:hint="default" w:ascii="Times New Roman" w:hAnsi="Times New Roman" w:cs="Times New Roman" w:eastAsiaTheme="minorEastAsia"/>
              <w:lang w:val="zh-CN"/>
            </w:rPr>
            <w:instrText xml:space="preserve"> HYPERLINK \l _Toc31491 </w:instrText>
          </w:r>
          <w:r>
            <w:rPr>
              <w:rFonts w:hint="default" w:ascii="Times New Roman" w:hAnsi="Times New Roman" w:cs="Times New Roman" w:eastAsiaTheme="minorEastAsia"/>
              <w:lang w:val="zh-CN"/>
            </w:rPr>
            <w:fldChar w:fldCharType="separate"/>
          </w:r>
          <w:r>
            <w:rPr>
              <w:rFonts w:hint="default" w:ascii="Times New Roman" w:hAnsi="Times New Roman" w:cs="Times New Roman"/>
              <w:bCs/>
              <w:i w:val="0"/>
              <w:iCs w:val="0"/>
              <w:caps w:val="0"/>
              <w:strike w:val="0"/>
              <w:dstrike w:val="0"/>
              <w:vanish w:val="0"/>
              <w:spacing w:val="0"/>
              <w:kern w:val="0"/>
              <w:position w:val="0"/>
              <w:szCs w:val="24"/>
              <w:vertAlign w:val="baseline"/>
              <w14:shadow w14:blurRad="0" w14:dist="0" w14:dir="0" w14:sx="0" w14:sy="0" w14:kx="0" w14:ky="0" w14:algn="none">
                <w14:srgbClr w14:val="000000"/>
              </w14:shadow>
            </w:rPr>
            <w:t xml:space="preserve">8.3 </w:t>
          </w:r>
          <w:r>
            <w:rPr>
              <w:rFonts w:hint="default" w:ascii="Times New Roman" w:hAnsi="Times New Roman" w:cs="Times New Roman"/>
            </w:rPr>
            <w:t>工程验收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_Toc31491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eastAsiaTheme="minorEastAsia"/>
              <w:lang w:val="zh-CN"/>
            </w:rPr>
            <w:fldChar w:fldCharType="end"/>
          </w:r>
        </w:p>
        <w:p w14:paraId="1AA8B4A6">
          <w:pPr>
            <w:tabs>
              <w:tab w:val="left" w:pos="426"/>
              <w:tab w:val="left" w:pos="567"/>
            </w:tabs>
            <w:rPr>
              <w:rFonts w:hint="default" w:ascii="Times New Roman" w:hAnsi="Times New Roman" w:cs="Times New Roman"/>
            </w:rPr>
          </w:pPr>
          <w:r>
            <w:rPr>
              <w:rFonts w:hint="default" w:ascii="Times New Roman" w:hAnsi="Times New Roman" w:cs="Times New Roman" w:eastAsiaTheme="minorEastAsia"/>
              <w:lang w:val="zh-CN"/>
            </w:rPr>
            <w:fldChar w:fldCharType="end"/>
          </w:r>
        </w:p>
      </w:sdtContent>
    </w:sdt>
    <w:p w14:paraId="0661E6EA">
      <w:pPr>
        <w:pStyle w:val="29"/>
        <w:tabs>
          <w:tab w:val="center" w:pos="0"/>
          <w:tab w:val="clear" w:pos="4201"/>
          <w:tab w:val="clear" w:pos="9298"/>
        </w:tabs>
        <w:spacing w:line="360" w:lineRule="auto"/>
        <w:ind w:firstLine="0" w:firstLineChars="0"/>
        <w:rPr>
          <w:rFonts w:hint="default" w:ascii="Times New Roman" w:hAnsi="Times New Roman" w:cs="Times New Roman"/>
          <w:sz w:val="24"/>
          <w:szCs w:val="21"/>
        </w:rPr>
      </w:pPr>
    </w:p>
    <w:p w14:paraId="62BC2278">
      <w:pPr>
        <w:tabs>
          <w:tab w:val="left" w:pos="666"/>
        </w:tabs>
        <w:rPr>
          <w:rFonts w:hint="default" w:ascii="Times New Roman" w:hAnsi="Times New Roman" w:cs="Times New Roman"/>
        </w:rPr>
        <w:sectPr>
          <w:footerReference r:id="rId3" w:type="default"/>
          <w:pgSz w:w="11906" w:h="16838"/>
          <w:pgMar w:top="1440" w:right="1800" w:bottom="1440" w:left="1800" w:header="1418" w:footer="1134" w:gutter="0"/>
          <w:pgNumType w:start="0"/>
          <w:cols w:space="425" w:num="1"/>
          <w:formProt w:val="0"/>
          <w:titlePg/>
          <w:docGrid w:type="lines" w:linePitch="312" w:charSpace="0"/>
        </w:sectPr>
      </w:pPr>
      <w:r>
        <w:rPr>
          <w:rFonts w:hint="default" w:ascii="Times New Roman" w:hAnsi="Times New Roman" w:cs="Times New Roman"/>
        </w:rPr>
        <w:tab/>
      </w:r>
    </w:p>
    <w:p w14:paraId="520763C3">
      <w:pPr>
        <w:pStyle w:val="52"/>
        <w:numPr>
          <w:ilvl w:val="0"/>
          <w:numId w:val="17"/>
        </w:numPr>
        <w:spacing w:beforeLines="0" w:afterLines="0" w:line="360" w:lineRule="auto"/>
        <w:ind w:hanging="283"/>
        <w:outlineLvl w:val="0"/>
        <w:rPr>
          <w:rFonts w:hint="default" w:ascii="Times New Roman" w:hAnsi="Times New Roman" w:cs="Times New Roman" w:eastAsiaTheme="minorEastAsia"/>
          <w:b/>
          <w:bCs/>
          <w:sz w:val="32"/>
          <w:szCs w:val="22"/>
        </w:rPr>
      </w:pPr>
      <w:bookmarkStart w:id="0" w:name="_Toc179636646"/>
      <w:bookmarkStart w:id="1" w:name="_Toc16865"/>
      <w:r>
        <w:rPr>
          <w:rFonts w:hint="default" w:ascii="Times New Roman" w:hAnsi="Times New Roman" w:cs="Times New Roman" w:eastAsiaTheme="minorEastAsia"/>
          <w:b/>
          <w:bCs/>
          <w:sz w:val="32"/>
          <w:szCs w:val="22"/>
        </w:rPr>
        <w:t>总则</w:t>
      </w:r>
      <w:bookmarkEnd w:id="0"/>
      <w:bookmarkEnd w:id="1"/>
      <w:bookmarkStart w:id="2" w:name="_Toc447282095"/>
    </w:p>
    <w:p w14:paraId="22CB2890">
      <w:pPr>
        <w:pStyle w:val="49"/>
        <w:numPr>
          <w:ilvl w:val="2"/>
          <w:numId w:val="18"/>
        </w:numPr>
        <w:tabs>
          <w:tab w:val="left" w:pos="1134"/>
        </w:tabs>
        <w:spacing w:beforeLines="0" w:afterLines="0" w:line="360" w:lineRule="auto"/>
        <w:ind w:left="0" w:firstLine="426"/>
        <w:jc w:val="both"/>
        <w:outlineLvl w:val="9"/>
        <w:rPr>
          <w:rFonts w:hint="default" w:ascii="Times New Roman" w:hAnsi="Times New Roman" w:eastAsia="宋体" w:cs="Times New Roman"/>
          <w:sz w:val="24"/>
        </w:rPr>
      </w:pPr>
      <w:r>
        <w:rPr>
          <w:rFonts w:hint="default" w:ascii="Times New Roman" w:hAnsi="Times New Roman" w:eastAsia="宋体" w:cs="Times New Roman"/>
          <w:sz w:val="24"/>
        </w:rPr>
        <w:t>为指导贵州公路超薄罩面的设计、施工、验收，保证工程质量，制定本指南。</w:t>
      </w:r>
    </w:p>
    <w:p w14:paraId="0FD4D401">
      <w:pPr>
        <w:pStyle w:val="49"/>
        <w:numPr>
          <w:ilvl w:val="2"/>
          <w:numId w:val="18"/>
        </w:numPr>
        <w:tabs>
          <w:tab w:val="left" w:pos="1134"/>
        </w:tabs>
        <w:spacing w:beforeLines="0" w:afterLines="0" w:line="360" w:lineRule="auto"/>
        <w:ind w:left="0" w:firstLine="426"/>
        <w:jc w:val="both"/>
        <w:outlineLvl w:val="9"/>
        <w:rPr>
          <w:rFonts w:hint="default" w:ascii="Times New Roman" w:hAnsi="Times New Roman" w:eastAsia="宋体" w:cs="Times New Roman"/>
          <w:sz w:val="24"/>
        </w:rPr>
      </w:pPr>
      <w:r>
        <w:rPr>
          <w:rFonts w:hint="default" w:ascii="Times New Roman" w:hAnsi="Times New Roman" w:eastAsia="宋体" w:cs="Times New Roman"/>
          <w:sz w:val="24"/>
        </w:rPr>
        <w:t>本指南适用于各等级公路沥青路面、水泥混凝土路面养护工程。</w:t>
      </w:r>
    </w:p>
    <w:p w14:paraId="23981DDA">
      <w:pPr>
        <w:pStyle w:val="49"/>
        <w:numPr>
          <w:ilvl w:val="2"/>
          <w:numId w:val="18"/>
        </w:numPr>
        <w:tabs>
          <w:tab w:val="left" w:pos="1134"/>
        </w:tabs>
        <w:spacing w:beforeLines="0" w:afterLines="0" w:line="360" w:lineRule="auto"/>
        <w:ind w:left="0" w:firstLine="426"/>
        <w:jc w:val="both"/>
        <w:outlineLvl w:val="9"/>
        <w:rPr>
          <w:rFonts w:hint="default" w:ascii="Times New Roman" w:hAnsi="Times New Roman" w:eastAsia="宋体" w:cs="Times New Roman"/>
          <w:sz w:val="24"/>
        </w:rPr>
      </w:pPr>
      <w:r>
        <w:rPr>
          <w:rFonts w:hint="default" w:ascii="Times New Roman" w:hAnsi="Times New Roman" w:eastAsia="宋体" w:cs="Times New Roman"/>
          <w:sz w:val="24"/>
        </w:rPr>
        <w:t>等外公路及城镇道路路面养护工程可参照执行。</w:t>
      </w:r>
      <w:r>
        <w:rPr>
          <w:rFonts w:hint="default" w:ascii="Times New Roman" w:hAnsi="Times New Roman" w:eastAsia="宋体" w:cs="Times New Roman"/>
          <w:sz w:val="24"/>
        </w:rPr>
        <w:tab/>
      </w:r>
    </w:p>
    <w:p w14:paraId="51BC478A">
      <w:pPr>
        <w:widowControl/>
        <w:jc w:val="left"/>
        <w:rPr>
          <w:rFonts w:hint="default" w:ascii="Times New Roman" w:hAnsi="Times New Roman" w:cs="Times New Roman"/>
          <w:sz w:val="24"/>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hint="default" w:ascii="Times New Roman" w:hAnsi="Times New Roman" w:cs="Times New Roman"/>
          <w:sz w:val="24"/>
        </w:rPr>
        <w:br w:type="page"/>
      </w:r>
    </w:p>
    <w:bookmarkEnd w:id="2"/>
    <w:p w14:paraId="2F4A8526">
      <w:pPr>
        <w:pStyle w:val="52"/>
        <w:numPr>
          <w:ilvl w:val="0"/>
          <w:numId w:val="17"/>
        </w:numPr>
        <w:spacing w:beforeLines="0" w:afterLines="0" w:line="360" w:lineRule="auto"/>
        <w:ind w:hanging="283"/>
        <w:outlineLvl w:val="0"/>
        <w:rPr>
          <w:rFonts w:hint="default" w:ascii="Times New Roman" w:hAnsi="Times New Roman" w:cs="Times New Roman" w:eastAsiaTheme="minorEastAsia"/>
          <w:b/>
          <w:bCs/>
          <w:sz w:val="32"/>
          <w:szCs w:val="22"/>
        </w:rPr>
      </w:pPr>
      <w:bookmarkStart w:id="3" w:name="_Toc5043"/>
      <w:bookmarkStart w:id="4" w:name="_Toc126742831"/>
      <w:bookmarkStart w:id="5" w:name="_Toc179636650"/>
      <w:r>
        <w:rPr>
          <w:rFonts w:hint="default" w:ascii="Times New Roman" w:hAnsi="Times New Roman" w:cs="Times New Roman" w:eastAsiaTheme="minorEastAsia"/>
          <w:b/>
          <w:bCs/>
          <w:sz w:val="32"/>
          <w:szCs w:val="22"/>
        </w:rPr>
        <w:t>规范性引用文件</w:t>
      </w:r>
      <w:bookmarkEnd w:id="3"/>
      <w:bookmarkEnd w:id="4"/>
      <w:bookmarkEnd w:id="5"/>
    </w:p>
    <w:p w14:paraId="58E2DEBE">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下列文件对于本指南的应用是必不可少的。凡是注日期的引用文件，仅注日期的版本适用于本指南。凡是不注日期的引用文件，其最新版本（包括所有的修改单）适用于本指南。</w:t>
      </w:r>
    </w:p>
    <w:p w14:paraId="110862BD">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JTG D50公路沥青路面设计规范</w:t>
      </w:r>
    </w:p>
    <w:p w14:paraId="2B97116D">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JTG E20公路工程沥青及沥青混合料试验规程</w:t>
      </w:r>
    </w:p>
    <w:p w14:paraId="09C0B724">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JTG 3432公路工程集料试验规程</w:t>
      </w:r>
    </w:p>
    <w:p w14:paraId="1BDA1BCA">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JTG F40公路沥青路面施工技术规范</w:t>
      </w:r>
    </w:p>
    <w:p w14:paraId="1968E289">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 xml:space="preserve">JTG F80/1公路工程质量检验评定标准 </w:t>
      </w:r>
    </w:p>
    <w:p w14:paraId="2318E690">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JTG 5110公路养护技术标准</w:t>
      </w:r>
    </w:p>
    <w:p w14:paraId="67C7668D">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JTG 5142公路沥青路面养护技术规范</w:t>
      </w:r>
    </w:p>
    <w:p w14:paraId="67B625AF">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JTG 5210公路技术状况评定标准</w:t>
      </w:r>
    </w:p>
    <w:p w14:paraId="6DFDCDBF">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JTT 740路面加热型灌缝胶</w:t>
      </w:r>
    </w:p>
    <w:p w14:paraId="57F8115E">
      <w:pPr>
        <w:widowControl/>
        <w:jc w:val="left"/>
        <w:rPr>
          <w:rFonts w:hint="default" w:ascii="Times New Roman" w:hAnsi="Times New Roman" w:cs="Times New Roman"/>
          <w:sz w:val="24"/>
        </w:rPr>
        <w:sectPr>
          <w:headerReference r:id="rId6" w:type="even"/>
          <w:type w:val="continuous"/>
          <w:pgSz w:w="11906" w:h="16838"/>
          <w:pgMar w:top="1440" w:right="1800" w:bottom="1440" w:left="1800" w:header="851" w:footer="992" w:gutter="0"/>
          <w:cols w:space="425" w:num="1"/>
          <w:docGrid w:type="lines" w:linePitch="312" w:charSpace="0"/>
        </w:sectPr>
      </w:pPr>
      <w:r>
        <w:rPr>
          <w:rFonts w:hint="default" w:ascii="Times New Roman" w:hAnsi="Times New Roman" w:cs="Times New Roman"/>
          <w:sz w:val="24"/>
        </w:rPr>
        <w:br w:type="page"/>
      </w:r>
    </w:p>
    <w:p w14:paraId="5BC793A0">
      <w:pPr>
        <w:pStyle w:val="52"/>
        <w:numPr>
          <w:ilvl w:val="0"/>
          <w:numId w:val="17"/>
        </w:numPr>
        <w:spacing w:beforeLines="0" w:afterLines="0" w:line="360" w:lineRule="auto"/>
        <w:ind w:hanging="283"/>
        <w:outlineLvl w:val="0"/>
        <w:rPr>
          <w:rFonts w:hint="default" w:ascii="Times New Roman" w:hAnsi="Times New Roman" w:cs="Times New Roman" w:eastAsiaTheme="minorEastAsia"/>
          <w:b/>
          <w:bCs/>
          <w:sz w:val="32"/>
          <w:szCs w:val="22"/>
        </w:rPr>
      </w:pPr>
      <w:bookmarkStart w:id="6" w:name="_Toc126742832"/>
      <w:bookmarkStart w:id="7" w:name="_Toc154"/>
      <w:bookmarkStart w:id="8" w:name="_Toc179636647"/>
      <w:bookmarkStart w:id="9" w:name="_Toc179636651"/>
      <w:r>
        <w:rPr>
          <w:rFonts w:hint="default" w:ascii="Times New Roman" w:hAnsi="Times New Roman" w:cs="Times New Roman" w:eastAsiaTheme="minorEastAsia"/>
          <w:b/>
          <w:bCs/>
          <w:sz w:val="32"/>
          <w:szCs w:val="22"/>
        </w:rPr>
        <w:t>术语与符号</w:t>
      </w:r>
      <w:bookmarkEnd w:id="6"/>
      <w:bookmarkEnd w:id="7"/>
      <w:bookmarkEnd w:id="8"/>
    </w:p>
    <w:p w14:paraId="12774468">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10" w:name="_Toc6723"/>
      <w:bookmarkStart w:id="11" w:name="_Toc179636648"/>
      <w:bookmarkStart w:id="12" w:name="_Toc126742833"/>
      <w:r>
        <w:rPr>
          <w:rFonts w:hint="default" w:ascii="Times New Roman" w:hAnsi="Times New Roman" w:cs="Times New Roman"/>
          <w:sz w:val="24"/>
        </w:rPr>
        <w:t>术语</w:t>
      </w:r>
      <w:bookmarkEnd w:id="10"/>
      <w:bookmarkEnd w:id="11"/>
      <w:bookmarkEnd w:id="12"/>
      <w:r>
        <w:rPr>
          <w:rFonts w:hint="default" w:ascii="Times New Roman" w:hAnsi="Times New Roman" w:cs="Times New Roman"/>
          <w:sz w:val="24"/>
        </w:rPr>
        <w:t xml:space="preserve"> </w:t>
      </w:r>
    </w:p>
    <w:p w14:paraId="3D11CE69">
      <w:pPr>
        <w:pStyle w:val="29"/>
        <w:numPr>
          <w:ilvl w:val="2"/>
          <w:numId w:val="17"/>
        </w:numPr>
        <w:tabs>
          <w:tab w:val="center" w:pos="1134"/>
          <w:tab w:val="clear" w:pos="4201"/>
        </w:tabs>
        <w:spacing w:line="360" w:lineRule="auto"/>
        <w:ind w:left="0" w:firstLine="426" w:firstLineChars="0"/>
        <w:rPr>
          <w:rFonts w:hint="default" w:ascii="Times New Roman" w:hAnsi="Times New Roman" w:cs="Times New Roman"/>
          <w:sz w:val="24"/>
        </w:rPr>
      </w:pPr>
      <w:r>
        <w:rPr>
          <w:rFonts w:hint="default" w:ascii="Times New Roman" w:hAnsi="Times New Roman" w:cs="Times New Roman"/>
          <w:sz w:val="24"/>
        </w:rPr>
        <w:t>高延弹改性剂 highly-ductility Additive</w:t>
      </w:r>
    </w:p>
    <w:p w14:paraId="11DE1C51">
      <w:pPr>
        <w:pStyle w:val="29"/>
        <w:tabs>
          <w:tab w:val="center" w:pos="1134"/>
        </w:tabs>
        <w:spacing w:line="360" w:lineRule="auto"/>
        <w:ind w:firstLineChars="0"/>
        <w:rPr>
          <w:rFonts w:hint="default" w:ascii="Times New Roman" w:hAnsi="Times New Roman" w:cs="Times New Roman"/>
          <w:sz w:val="24"/>
        </w:rPr>
      </w:pPr>
      <w:r>
        <w:rPr>
          <w:rFonts w:hint="default" w:ascii="Times New Roman" w:hAnsi="Times New Roman" w:cs="Times New Roman"/>
          <w:sz w:val="24"/>
        </w:rPr>
        <w:t>以高分子聚合物为主要成分、以增强沥青动力粘度与弹性恢复为目的的改性材料。</w:t>
      </w:r>
    </w:p>
    <w:p w14:paraId="0488171C">
      <w:pPr>
        <w:pStyle w:val="29"/>
        <w:numPr>
          <w:ilvl w:val="2"/>
          <w:numId w:val="17"/>
        </w:numPr>
        <w:tabs>
          <w:tab w:val="center" w:pos="1134"/>
          <w:tab w:val="clear" w:pos="4201"/>
        </w:tabs>
        <w:spacing w:line="360" w:lineRule="auto"/>
        <w:ind w:left="0" w:firstLine="426" w:firstLineChars="0"/>
        <w:rPr>
          <w:rFonts w:hint="default" w:ascii="Times New Roman" w:hAnsi="Times New Roman" w:cs="Times New Roman"/>
          <w:sz w:val="24"/>
        </w:rPr>
      </w:pPr>
      <w:r>
        <w:rPr>
          <w:rFonts w:hint="default" w:ascii="Times New Roman" w:hAnsi="Times New Roman" w:cs="Times New Roman"/>
          <w:sz w:val="24"/>
        </w:rPr>
        <w:t>高延弹改性沥青  high-ductility modified asphalt</w:t>
      </w:r>
    </w:p>
    <w:p w14:paraId="73EB5207">
      <w:pPr>
        <w:pStyle w:val="29"/>
        <w:spacing w:line="360" w:lineRule="auto"/>
        <w:ind w:firstLineChars="0"/>
        <w:rPr>
          <w:rFonts w:hint="default" w:ascii="Times New Roman" w:hAnsi="Times New Roman" w:cs="Times New Roman"/>
          <w:sz w:val="24"/>
        </w:rPr>
      </w:pPr>
      <w:r>
        <w:rPr>
          <w:rFonts w:hint="default" w:ascii="Times New Roman" w:hAnsi="Times New Roman" w:cs="Times New Roman"/>
          <w:sz w:val="24"/>
        </w:rPr>
        <w:t>向普通改性沥青中添加一定量的高延弹改性剂制备的，具有60℃动力黏度不小于200000 Pa·s，25℃弹性恢复不小于98%等技术指标要求的改性沥青。</w:t>
      </w:r>
    </w:p>
    <w:p w14:paraId="25B6D3FA">
      <w:pPr>
        <w:pStyle w:val="29"/>
        <w:numPr>
          <w:ilvl w:val="2"/>
          <w:numId w:val="17"/>
        </w:numPr>
        <w:tabs>
          <w:tab w:val="center" w:pos="1134"/>
          <w:tab w:val="clear" w:pos="4201"/>
        </w:tabs>
        <w:spacing w:line="360" w:lineRule="auto"/>
        <w:ind w:left="0" w:firstLine="426" w:firstLineChars="0"/>
        <w:rPr>
          <w:rFonts w:hint="default" w:ascii="Times New Roman" w:hAnsi="Times New Roman" w:cs="Times New Roman"/>
          <w:sz w:val="24"/>
        </w:rPr>
      </w:pPr>
      <w:r>
        <w:rPr>
          <w:rFonts w:hint="default" w:ascii="Times New Roman" w:hAnsi="Times New Roman" w:cs="Times New Roman"/>
          <w:sz w:val="24"/>
        </w:rPr>
        <w:t>高延弹超薄罩面 high-ductility ultra-thin overlay</w:t>
      </w:r>
    </w:p>
    <w:p w14:paraId="71EED3FE">
      <w:pPr>
        <w:pStyle w:val="29"/>
        <w:spacing w:line="360" w:lineRule="auto"/>
        <w:ind w:firstLine="480"/>
        <w:rPr>
          <w:rFonts w:hint="default" w:ascii="Times New Roman" w:hAnsi="Times New Roman" w:cs="Times New Roman"/>
          <w:sz w:val="24"/>
        </w:rPr>
      </w:pPr>
      <w:bookmarkStart w:id="13" w:name="_Hlk92640402"/>
      <w:r>
        <w:rPr>
          <w:rFonts w:hint="default" w:ascii="Times New Roman" w:hAnsi="Times New Roman" w:cs="Times New Roman"/>
          <w:sz w:val="24"/>
        </w:rPr>
        <w:t>采用同步高黏度改性乳化沥青黏层材料，并采</w:t>
      </w:r>
      <w:bookmarkEnd w:id="13"/>
      <w:r>
        <w:rPr>
          <w:rFonts w:hint="default" w:ascii="Times New Roman" w:hAnsi="Times New Roman" w:cs="Times New Roman"/>
          <w:sz w:val="24"/>
        </w:rPr>
        <w:t>用具有高粘、高弹特点的高延弹改性沥青混合料，铺筑出的厚度为1.2cm-2.5cm的超薄沥青罩面。</w:t>
      </w:r>
    </w:p>
    <w:p w14:paraId="72479D9F">
      <w:pPr>
        <w:pStyle w:val="29"/>
        <w:numPr>
          <w:ilvl w:val="2"/>
          <w:numId w:val="17"/>
        </w:numPr>
        <w:tabs>
          <w:tab w:val="center" w:pos="1134"/>
          <w:tab w:val="clear" w:pos="4201"/>
        </w:tabs>
        <w:spacing w:line="360" w:lineRule="auto"/>
        <w:ind w:left="0" w:firstLine="426" w:firstLineChars="0"/>
        <w:rPr>
          <w:rFonts w:hint="default" w:ascii="Times New Roman" w:hAnsi="Times New Roman" w:cs="Times New Roman"/>
          <w:sz w:val="24"/>
        </w:rPr>
      </w:pPr>
      <w:r>
        <w:rPr>
          <w:rFonts w:hint="default" w:ascii="Times New Roman" w:hAnsi="Times New Roman" w:cs="Times New Roman"/>
          <w:sz w:val="24"/>
        </w:rPr>
        <w:t>空隙型高延弹超薄罩面 porous high-ductility ultra-thin overlay</w:t>
      </w:r>
    </w:p>
    <w:p w14:paraId="4076E1C2">
      <w:pPr>
        <w:pStyle w:val="29"/>
        <w:spacing w:line="360" w:lineRule="auto"/>
        <w:ind w:firstLine="424" w:firstLineChars="177"/>
        <w:rPr>
          <w:rFonts w:hint="default" w:ascii="Times New Roman" w:hAnsi="Times New Roman" w:cs="Times New Roman"/>
          <w:sz w:val="24"/>
        </w:rPr>
      </w:pPr>
      <w:r>
        <w:rPr>
          <w:rFonts w:hint="default" w:ascii="Times New Roman" w:hAnsi="Times New Roman" w:cs="Times New Roman"/>
          <w:sz w:val="24"/>
        </w:rPr>
        <w:t>空隙率大于10%，且具有排水、抗滑、降噪等特点的高延弹超薄罩面。</w:t>
      </w:r>
    </w:p>
    <w:p w14:paraId="2BBFB934">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14" w:name="_Toc21981"/>
      <w:bookmarkStart w:id="15" w:name="_Toc179636649"/>
      <w:bookmarkStart w:id="16" w:name="_Toc126742834"/>
      <w:r>
        <w:rPr>
          <w:rFonts w:hint="default" w:ascii="Times New Roman" w:hAnsi="Times New Roman" w:cs="Times New Roman"/>
          <w:sz w:val="24"/>
        </w:rPr>
        <w:t>符号</w:t>
      </w:r>
      <w:bookmarkEnd w:id="14"/>
      <w:bookmarkEnd w:id="15"/>
      <w:bookmarkEnd w:id="16"/>
      <w:r>
        <w:rPr>
          <w:rFonts w:hint="default" w:ascii="Times New Roman" w:hAnsi="Times New Roman" w:cs="Times New Roman"/>
          <w:sz w:val="24"/>
        </w:rPr>
        <w:t xml:space="preserve"> </w:t>
      </w:r>
    </w:p>
    <w:p w14:paraId="7530BEAD">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PCI——路面损坏状况指数；</w:t>
      </w:r>
    </w:p>
    <w:p w14:paraId="6A0FFB4A">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RQI——路面行驶质量指数；</w:t>
      </w:r>
    </w:p>
    <w:p w14:paraId="02283D3F">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RDI——路面车辙深度指数；</w:t>
      </w:r>
    </w:p>
    <w:p w14:paraId="5CC25AEC">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DBL——水泥混凝土路面断板率；</w:t>
      </w:r>
    </w:p>
    <w:p w14:paraId="2727030E">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DTO——高延弹超薄罩面；</w:t>
      </w:r>
    </w:p>
    <w:p w14:paraId="1F434B43">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DTO-5——最大公称粒径为5mm的高延弹超薄沥青混合料；</w:t>
      </w:r>
    </w:p>
    <w:p w14:paraId="06B54C68">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DTO-10——最大公称粒径为10mm的高延弹超薄沥青混合料；</w:t>
      </w:r>
    </w:p>
    <w:p w14:paraId="1EACE91C">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RTFOT——旋转薄膜加热试验；</w:t>
      </w:r>
    </w:p>
    <w:p w14:paraId="6A779369">
      <w:pPr>
        <w:pStyle w:val="29"/>
        <w:spacing w:line="360" w:lineRule="auto"/>
        <w:ind w:firstLine="480"/>
        <w:rPr>
          <w:rFonts w:hint="default" w:ascii="Times New Roman" w:hAnsi="Times New Roman" w:cs="Times New Roman"/>
          <w:sz w:val="24"/>
        </w:rPr>
      </w:pPr>
      <w:r>
        <w:rPr>
          <w:rFonts w:hint="default" w:ascii="Times New Roman" w:hAnsi="Times New Roman" w:cs="Times New Roman"/>
          <w:sz w:val="24"/>
        </w:rPr>
        <w:t>IRI——国际平整度指数；</w:t>
      </w:r>
    </w:p>
    <w:p w14:paraId="6ED576DA">
      <w:pPr>
        <w:widowControl/>
        <w:jc w:val="left"/>
        <w:rPr>
          <w:rFonts w:hint="default" w:ascii="Times New Roman" w:hAnsi="Times New Roman" w:cs="Times New Roman"/>
          <w:sz w:val="24"/>
        </w:rPr>
        <w:sectPr>
          <w:headerReference r:id="rId7" w:type="even"/>
          <w:type w:val="continuous"/>
          <w:pgSz w:w="11906" w:h="16838"/>
          <w:pgMar w:top="1440" w:right="1800" w:bottom="1440" w:left="1800" w:header="851" w:footer="992" w:gutter="0"/>
          <w:cols w:space="425" w:num="1"/>
          <w:docGrid w:type="lines" w:linePitch="312" w:charSpace="0"/>
        </w:sectPr>
      </w:pPr>
      <w:r>
        <w:rPr>
          <w:rFonts w:hint="default" w:ascii="Times New Roman" w:hAnsi="Times New Roman" w:cs="Times New Roman"/>
          <w:sz w:val="24"/>
        </w:rPr>
        <w:br w:type="page"/>
      </w:r>
    </w:p>
    <w:p w14:paraId="64F0F354">
      <w:pPr>
        <w:pStyle w:val="52"/>
        <w:numPr>
          <w:ilvl w:val="0"/>
          <w:numId w:val="17"/>
        </w:numPr>
        <w:spacing w:beforeLines="0" w:afterLines="0" w:line="360" w:lineRule="auto"/>
        <w:ind w:hanging="283"/>
        <w:outlineLvl w:val="0"/>
        <w:rPr>
          <w:rFonts w:hint="default" w:ascii="Times New Roman" w:hAnsi="Times New Roman" w:cs="Times New Roman" w:eastAsiaTheme="minorEastAsia"/>
          <w:b/>
          <w:bCs/>
          <w:sz w:val="32"/>
          <w:szCs w:val="22"/>
        </w:rPr>
      </w:pPr>
      <w:bookmarkStart w:id="17" w:name="_Toc19523"/>
      <w:r>
        <w:rPr>
          <w:rFonts w:hint="default" w:ascii="Times New Roman" w:hAnsi="Times New Roman" w:cs="Times New Roman" w:eastAsiaTheme="minorEastAsia"/>
          <w:b/>
          <w:bCs/>
          <w:sz w:val="32"/>
          <w:szCs w:val="22"/>
        </w:rPr>
        <w:t>基本规定</w:t>
      </w:r>
      <w:bookmarkEnd w:id="9"/>
      <w:bookmarkEnd w:id="17"/>
    </w:p>
    <w:p w14:paraId="73CBC4A1">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18" w:name="OLE_LINK2"/>
      <w:r>
        <w:rPr>
          <w:rFonts w:hint="default" w:ascii="Times New Roman" w:hAnsi="Times New Roman" w:cs="Times New Roman"/>
          <w:sz w:val="24"/>
        </w:rPr>
        <w:t xml:space="preserve"> </w:t>
      </w:r>
      <w:bookmarkStart w:id="19" w:name="_Toc179636652"/>
      <w:bookmarkStart w:id="20" w:name="_Toc25763"/>
      <w:r>
        <w:rPr>
          <w:rFonts w:hint="default" w:ascii="Times New Roman" w:hAnsi="Times New Roman" w:cs="Times New Roman"/>
          <w:sz w:val="24"/>
        </w:rPr>
        <w:t>一般规定</w:t>
      </w:r>
      <w:bookmarkEnd w:id="19"/>
      <w:bookmarkEnd w:id="20"/>
    </w:p>
    <w:p w14:paraId="112543CB">
      <w:pPr>
        <w:pStyle w:val="29"/>
        <w:numPr>
          <w:ilvl w:val="2"/>
          <w:numId w:val="19"/>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高延弹超薄罩面可用于沥青路面或水泥路面非结构性损坏的预防养护及路面功能修复，不应作为结构补强层。</w:t>
      </w:r>
    </w:p>
    <w:p w14:paraId="233A59E8">
      <w:pPr>
        <w:pStyle w:val="29"/>
        <w:numPr>
          <w:ilvl w:val="2"/>
          <w:numId w:val="19"/>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高延弹超薄罩面类型、厚度应结合使用要求、原路面状况、交通量、气候条件等因素进行选择。重载交通情况下，宜选用2cm-2.5cm厚的高延弹超薄罩面。</w:t>
      </w:r>
    </w:p>
    <w:p w14:paraId="4019D261">
      <w:pPr>
        <w:pStyle w:val="29"/>
        <w:numPr>
          <w:ilvl w:val="2"/>
          <w:numId w:val="19"/>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高延弹超薄罩面沥青混合料应采用高延弹改性沥青，黏层材料应采用高黏度改性乳化沥青。</w:t>
      </w:r>
    </w:p>
    <w:p w14:paraId="40D90BE8">
      <w:pPr>
        <w:pStyle w:val="29"/>
        <w:numPr>
          <w:ilvl w:val="2"/>
          <w:numId w:val="19"/>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基于贵州省自然条件和路面功能性要求，贵州省公路超薄罩面养护工程宜选用空隙型高延弹超薄罩面。</w:t>
      </w:r>
    </w:p>
    <w:p w14:paraId="24DB90AD">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21" w:name="_Toc179636653"/>
      <w:bookmarkStart w:id="22" w:name="_Toc824"/>
      <w:r>
        <w:rPr>
          <w:rFonts w:hint="default" w:ascii="Times New Roman" w:hAnsi="Times New Roman" w:cs="Times New Roman"/>
          <w:sz w:val="24"/>
        </w:rPr>
        <w:t>原路面技术状况要求</w:t>
      </w:r>
      <w:bookmarkEnd w:id="21"/>
      <w:bookmarkEnd w:id="22"/>
    </w:p>
    <w:p w14:paraId="06BC7A40">
      <w:pPr>
        <w:pStyle w:val="29"/>
        <w:numPr>
          <w:ilvl w:val="2"/>
          <w:numId w:val="17"/>
        </w:numPr>
        <w:tabs>
          <w:tab w:val="center" w:pos="993"/>
          <w:tab w:val="clear" w:pos="4201"/>
        </w:tabs>
        <w:spacing w:line="360" w:lineRule="auto"/>
        <w:ind w:left="993" w:firstLineChars="0"/>
        <w:rPr>
          <w:rFonts w:hint="default" w:ascii="Times New Roman" w:hAnsi="Times New Roman" w:cs="Times New Roman"/>
          <w:sz w:val="24"/>
        </w:rPr>
      </w:pPr>
      <w:r>
        <w:rPr>
          <w:rFonts w:hint="default" w:ascii="Times New Roman" w:hAnsi="Times New Roman" w:cs="Times New Roman"/>
          <w:sz w:val="24"/>
        </w:rPr>
        <w:t>高延弹超薄罩面在使用时应对原路面进行技术状况检查评定。</w:t>
      </w:r>
    </w:p>
    <w:p w14:paraId="5D665F00">
      <w:pPr>
        <w:pStyle w:val="29"/>
        <w:numPr>
          <w:ilvl w:val="2"/>
          <w:numId w:val="17"/>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高延弹超薄罩面适用的各等级公路路面技术状况或处置后的路面宜符合表4.2.2的规定。</w:t>
      </w:r>
    </w:p>
    <w:p w14:paraId="3B575C2A">
      <w:pPr>
        <w:pStyle w:val="190"/>
        <w:ind w:left="360"/>
        <w:rPr>
          <w:rStyle w:val="180"/>
          <w:rFonts w:hint="default" w:ascii="Times New Roman" w:hAnsi="Times New Roman" w:eastAsia="黑体" w:cs="Times New Roman"/>
          <w:sz w:val="21"/>
          <w:szCs w:val="21"/>
        </w:rPr>
      </w:pPr>
      <w:r>
        <w:rPr>
          <w:rStyle w:val="180"/>
          <w:rFonts w:hint="default" w:ascii="Times New Roman" w:hAnsi="Times New Roman" w:eastAsia="黑体" w:cs="Times New Roman"/>
          <w:sz w:val="21"/>
          <w:szCs w:val="21"/>
        </w:rPr>
        <w:t>表4.2.2 高延弹超薄罩面适用的各等级公路路面路况水平</w:t>
      </w:r>
    </w:p>
    <w:tbl>
      <w:tblPr>
        <w:tblStyle w:val="189"/>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67"/>
        <w:gridCol w:w="1667"/>
        <w:gridCol w:w="1507"/>
        <w:gridCol w:w="1713"/>
        <w:gridCol w:w="1780"/>
      </w:tblGrid>
      <w:tr w14:paraId="2EC20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000" w:type="pct"/>
          </w:tcPr>
          <w:p w14:paraId="217796F2">
            <w:pPr>
              <w:pStyle w:val="192"/>
              <w:rPr>
                <w:rFonts w:hint="default" w:ascii="Times New Roman" w:hAnsi="Times New Roman" w:cs="Times New Roman"/>
                <w:spacing w:val="-2"/>
                <w:sz w:val="24"/>
              </w:rPr>
            </w:pPr>
            <w:r>
              <w:rPr>
                <w:rFonts w:hint="default" w:ascii="Times New Roman" w:hAnsi="Times New Roman" w:cs="Times New Roman"/>
                <w:spacing w:val="-2"/>
                <w:sz w:val="24"/>
              </w:rPr>
              <w:t>原路面类型</w:t>
            </w:r>
          </w:p>
        </w:tc>
        <w:tc>
          <w:tcPr>
            <w:tcW w:w="1000" w:type="pct"/>
          </w:tcPr>
          <w:p w14:paraId="03E673AC">
            <w:pPr>
              <w:pStyle w:val="192"/>
              <w:rPr>
                <w:rFonts w:hint="default" w:ascii="Times New Roman" w:hAnsi="Times New Roman" w:cs="Times New Roman"/>
                <w:spacing w:val="-2"/>
                <w:sz w:val="24"/>
              </w:rPr>
            </w:pPr>
            <w:r>
              <w:rPr>
                <w:rFonts w:hint="default" w:ascii="Times New Roman" w:hAnsi="Times New Roman" w:cs="Times New Roman"/>
                <w:spacing w:val="-2"/>
                <w:sz w:val="24"/>
              </w:rPr>
              <w:t>路况指数</w:t>
            </w:r>
          </w:p>
        </w:tc>
        <w:tc>
          <w:tcPr>
            <w:tcW w:w="904" w:type="pct"/>
          </w:tcPr>
          <w:p w14:paraId="3AF031FA">
            <w:pPr>
              <w:pStyle w:val="192"/>
              <w:rPr>
                <w:rFonts w:hint="default" w:ascii="Times New Roman" w:hAnsi="Times New Roman" w:cs="Times New Roman"/>
                <w:spacing w:val="-2"/>
                <w:sz w:val="24"/>
              </w:rPr>
            </w:pPr>
            <w:r>
              <w:rPr>
                <w:rFonts w:hint="default" w:ascii="Times New Roman" w:hAnsi="Times New Roman" w:cs="Times New Roman"/>
                <w:spacing w:val="-2"/>
                <w:sz w:val="24"/>
              </w:rPr>
              <w:t>高速公路</w:t>
            </w:r>
          </w:p>
        </w:tc>
        <w:tc>
          <w:tcPr>
            <w:tcW w:w="1028" w:type="pct"/>
          </w:tcPr>
          <w:p w14:paraId="2BBA08E8">
            <w:pPr>
              <w:pStyle w:val="192"/>
              <w:rPr>
                <w:rFonts w:hint="default" w:ascii="Times New Roman" w:hAnsi="Times New Roman" w:cs="Times New Roman"/>
                <w:spacing w:val="-2"/>
                <w:sz w:val="24"/>
              </w:rPr>
            </w:pPr>
            <w:r>
              <w:rPr>
                <w:rFonts w:hint="default" w:ascii="Times New Roman" w:hAnsi="Times New Roman" w:cs="Times New Roman"/>
                <w:spacing w:val="-2"/>
                <w:sz w:val="24"/>
              </w:rPr>
              <w:t>一级及二级公路</w:t>
            </w:r>
          </w:p>
        </w:tc>
        <w:tc>
          <w:tcPr>
            <w:tcW w:w="1068" w:type="pct"/>
          </w:tcPr>
          <w:p w14:paraId="1AF471E4">
            <w:pPr>
              <w:pStyle w:val="192"/>
              <w:rPr>
                <w:rFonts w:hint="default" w:ascii="Times New Roman" w:hAnsi="Times New Roman" w:cs="Times New Roman"/>
                <w:spacing w:val="-2"/>
                <w:sz w:val="24"/>
              </w:rPr>
            </w:pPr>
            <w:r>
              <w:rPr>
                <w:rFonts w:hint="default" w:ascii="Times New Roman" w:hAnsi="Times New Roman" w:cs="Times New Roman"/>
                <w:spacing w:val="-2"/>
                <w:sz w:val="24"/>
              </w:rPr>
              <w:t>三级及四级公路</w:t>
            </w:r>
          </w:p>
        </w:tc>
      </w:tr>
      <w:tr w14:paraId="4FA0C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000" w:type="pct"/>
            <w:vMerge w:val="restart"/>
            <w:vAlign w:val="center"/>
          </w:tcPr>
          <w:p w14:paraId="64B40FBC">
            <w:pPr>
              <w:pStyle w:val="192"/>
              <w:rPr>
                <w:rFonts w:hint="default" w:ascii="Times New Roman" w:hAnsi="Times New Roman" w:cs="Times New Roman"/>
                <w:spacing w:val="-2"/>
                <w:sz w:val="24"/>
              </w:rPr>
            </w:pPr>
            <w:r>
              <w:rPr>
                <w:rFonts w:hint="default" w:ascii="Times New Roman" w:hAnsi="Times New Roman" w:cs="Times New Roman"/>
                <w:spacing w:val="-2"/>
                <w:sz w:val="24"/>
              </w:rPr>
              <w:t>沥青路面</w:t>
            </w:r>
          </w:p>
        </w:tc>
        <w:tc>
          <w:tcPr>
            <w:tcW w:w="1000" w:type="pct"/>
          </w:tcPr>
          <w:p w14:paraId="6ACC7B75">
            <w:pPr>
              <w:pStyle w:val="192"/>
              <w:rPr>
                <w:rFonts w:hint="default" w:ascii="Times New Roman" w:hAnsi="Times New Roman" w:cs="Times New Roman"/>
                <w:spacing w:val="-2"/>
                <w:sz w:val="24"/>
              </w:rPr>
            </w:pPr>
            <w:r>
              <w:rPr>
                <w:rFonts w:hint="default" w:ascii="Times New Roman" w:hAnsi="Times New Roman" w:cs="Times New Roman"/>
                <w:spacing w:val="-2"/>
                <w:sz w:val="24"/>
              </w:rPr>
              <w:t>PCI、RQI</w:t>
            </w:r>
          </w:p>
        </w:tc>
        <w:tc>
          <w:tcPr>
            <w:tcW w:w="904" w:type="pct"/>
          </w:tcPr>
          <w:p w14:paraId="41A92161">
            <w:pPr>
              <w:pStyle w:val="192"/>
              <w:rPr>
                <w:rFonts w:hint="default" w:ascii="Times New Roman" w:hAnsi="Times New Roman" w:cs="Times New Roman"/>
                <w:spacing w:val="-2"/>
                <w:sz w:val="24"/>
              </w:rPr>
            </w:pPr>
            <w:r>
              <w:rPr>
                <w:rFonts w:hint="default" w:ascii="Times New Roman" w:hAnsi="Times New Roman" w:cs="Times New Roman"/>
                <w:spacing w:val="-2"/>
                <w:sz w:val="24"/>
              </w:rPr>
              <w:t>≥85</w:t>
            </w:r>
          </w:p>
        </w:tc>
        <w:tc>
          <w:tcPr>
            <w:tcW w:w="1028" w:type="pct"/>
          </w:tcPr>
          <w:p w14:paraId="1072530B">
            <w:pPr>
              <w:pStyle w:val="192"/>
              <w:rPr>
                <w:rFonts w:hint="default" w:ascii="Times New Roman" w:hAnsi="Times New Roman" w:cs="Times New Roman"/>
                <w:spacing w:val="-2"/>
                <w:sz w:val="24"/>
              </w:rPr>
            </w:pPr>
            <w:r>
              <w:rPr>
                <w:rFonts w:hint="default" w:ascii="Times New Roman" w:hAnsi="Times New Roman" w:cs="Times New Roman"/>
                <w:spacing w:val="-2"/>
                <w:sz w:val="24"/>
              </w:rPr>
              <w:t>≥80</w:t>
            </w:r>
          </w:p>
        </w:tc>
        <w:tc>
          <w:tcPr>
            <w:tcW w:w="1068" w:type="pct"/>
          </w:tcPr>
          <w:p w14:paraId="0CE88772">
            <w:pPr>
              <w:pStyle w:val="192"/>
              <w:rPr>
                <w:rFonts w:hint="default" w:ascii="Times New Roman" w:hAnsi="Times New Roman" w:cs="Times New Roman"/>
                <w:spacing w:val="-2"/>
                <w:sz w:val="24"/>
              </w:rPr>
            </w:pPr>
            <w:r>
              <w:rPr>
                <w:rFonts w:hint="default" w:ascii="Times New Roman" w:hAnsi="Times New Roman" w:cs="Times New Roman"/>
                <w:spacing w:val="-2"/>
                <w:sz w:val="24"/>
              </w:rPr>
              <w:t>≥75</w:t>
            </w:r>
          </w:p>
        </w:tc>
      </w:tr>
      <w:tr w14:paraId="0AD9E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000" w:type="pct"/>
            <w:vMerge w:val="continue"/>
          </w:tcPr>
          <w:p w14:paraId="661638B5">
            <w:pPr>
              <w:pStyle w:val="192"/>
              <w:rPr>
                <w:rFonts w:hint="default" w:ascii="Times New Roman" w:hAnsi="Times New Roman" w:cs="Times New Roman"/>
                <w:spacing w:val="-2"/>
                <w:sz w:val="24"/>
              </w:rPr>
            </w:pPr>
          </w:p>
        </w:tc>
        <w:tc>
          <w:tcPr>
            <w:tcW w:w="1000" w:type="pct"/>
          </w:tcPr>
          <w:p w14:paraId="7D8A68D1">
            <w:pPr>
              <w:pStyle w:val="192"/>
              <w:rPr>
                <w:rFonts w:hint="default" w:ascii="Times New Roman" w:hAnsi="Times New Roman" w:cs="Times New Roman"/>
                <w:spacing w:val="-2"/>
                <w:sz w:val="24"/>
              </w:rPr>
            </w:pPr>
            <w:r>
              <w:rPr>
                <w:rFonts w:hint="default" w:ascii="Times New Roman" w:hAnsi="Times New Roman" w:cs="Times New Roman"/>
                <w:spacing w:val="-2"/>
                <w:sz w:val="24"/>
              </w:rPr>
              <w:t>RDI</w:t>
            </w:r>
          </w:p>
        </w:tc>
        <w:tc>
          <w:tcPr>
            <w:tcW w:w="904" w:type="pct"/>
          </w:tcPr>
          <w:p w14:paraId="41E41DCD">
            <w:pPr>
              <w:pStyle w:val="192"/>
              <w:rPr>
                <w:rFonts w:hint="default" w:ascii="Times New Roman" w:hAnsi="Times New Roman" w:cs="Times New Roman"/>
                <w:spacing w:val="-2"/>
                <w:sz w:val="24"/>
              </w:rPr>
            </w:pPr>
            <w:r>
              <w:rPr>
                <w:rFonts w:hint="default" w:ascii="Times New Roman" w:hAnsi="Times New Roman" w:cs="Times New Roman"/>
                <w:spacing w:val="-2"/>
                <w:sz w:val="24"/>
              </w:rPr>
              <w:t>≥80</w:t>
            </w:r>
          </w:p>
        </w:tc>
        <w:tc>
          <w:tcPr>
            <w:tcW w:w="1028" w:type="pct"/>
          </w:tcPr>
          <w:p w14:paraId="67580F52">
            <w:pPr>
              <w:pStyle w:val="192"/>
              <w:rPr>
                <w:rFonts w:hint="default" w:ascii="Times New Roman" w:hAnsi="Times New Roman" w:cs="Times New Roman"/>
                <w:spacing w:val="-2"/>
                <w:sz w:val="24"/>
              </w:rPr>
            </w:pPr>
            <w:r>
              <w:rPr>
                <w:rFonts w:hint="default" w:ascii="Times New Roman" w:hAnsi="Times New Roman" w:cs="Times New Roman"/>
                <w:spacing w:val="-2"/>
                <w:sz w:val="24"/>
              </w:rPr>
              <w:t>≥75</w:t>
            </w:r>
          </w:p>
        </w:tc>
        <w:tc>
          <w:tcPr>
            <w:tcW w:w="1068" w:type="pct"/>
          </w:tcPr>
          <w:p w14:paraId="3850B26D">
            <w:pPr>
              <w:pStyle w:val="192"/>
              <w:rPr>
                <w:rFonts w:hint="default" w:ascii="Times New Roman" w:hAnsi="Times New Roman" w:cs="Times New Roman"/>
                <w:spacing w:val="-2"/>
                <w:sz w:val="24"/>
              </w:rPr>
            </w:pPr>
            <w:r>
              <w:rPr>
                <w:rFonts w:hint="default" w:ascii="Times New Roman" w:hAnsi="Times New Roman" w:cs="Times New Roman"/>
                <w:spacing w:val="-2"/>
                <w:sz w:val="24"/>
              </w:rPr>
              <w:t>≥70</w:t>
            </w:r>
          </w:p>
        </w:tc>
      </w:tr>
      <w:tr w14:paraId="383FD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 w:hRule="atLeast"/>
        </w:trPr>
        <w:tc>
          <w:tcPr>
            <w:tcW w:w="1000" w:type="pct"/>
            <w:vMerge w:val="restart"/>
            <w:vAlign w:val="center"/>
          </w:tcPr>
          <w:p w14:paraId="637A23B8">
            <w:pPr>
              <w:pStyle w:val="192"/>
              <w:rPr>
                <w:rFonts w:hint="default" w:ascii="Times New Roman" w:hAnsi="Times New Roman" w:cs="Times New Roman"/>
                <w:spacing w:val="-2"/>
                <w:sz w:val="24"/>
              </w:rPr>
            </w:pPr>
            <w:r>
              <w:rPr>
                <w:rFonts w:hint="default" w:ascii="Times New Roman" w:hAnsi="Times New Roman" w:cs="Times New Roman"/>
                <w:spacing w:val="-2"/>
                <w:sz w:val="24"/>
              </w:rPr>
              <w:t>水泥路面</w:t>
            </w:r>
          </w:p>
        </w:tc>
        <w:tc>
          <w:tcPr>
            <w:tcW w:w="1000" w:type="pct"/>
          </w:tcPr>
          <w:p w14:paraId="5FB92FF8">
            <w:pPr>
              <w:pStyle w:val="192"/>
              <w:rPr>
                <w:rFonts w:hint="default" w:ascii="Times New Roman" w:hAnsi="Times New Roman" w:cs="Times New Roman"/>
                <w:spacing w:val="-2"/>
                <w:sz w:val="24"/>
              </w:rPr>
            </w:pPr>
            <w:r>
              <w:rPr>
                <w:rFonts w:hint="default" w:ascii="Times New Roman" w:hAnsi="Times New Roman" w:cs="Times New Roman"/>
                <w:spacing w:val="-2"/>
                <w:sz w:val="24"/>
              </w:rPr>
              <w:t>PCI、RQI</w:t>
            </w:r>
          </w:p>
        </w:tc>
        <w:tc>
          <w:tcPr>
            <w:tcW w:w="904" w:type="pct"/>
          </w:tcPr>
          <w:p w14:paraId="5E722D09">
            <w:pPr>
              <w:pStyle w:val="192"/>
              <w:rPr>
                <w:rFonts w:hint="default" w:ascii="Times New Roman" w:hAnsi="Times New Roman" w:cs="Times New Roman"/>
                <w:spacing w:val="-2"/>
                <w:sz w:val="24"/>
              </w:rPr>
            </w:pPr>
            <w:r>
              <w:rPr>
                <w:rFonts w:hint="default" w:ascii="Times New Roman" w:hAnsi="Times New Roman" w:cs="Times New Roman"/>
                <w:spacing w:val="-2"/>
                <w:sz w:val="24"/>
              </w:rPr>
              <w:t>≥85</w:t>
            </w:r>
          </w:p>
        </w:tc>
        <w:tc>
          <w:tcPr>
            <w:tcW w:w="1028" w:type="pct"/>
          </w:tcPr>
          <w:p w14:paraId="5D369A58">
            <w:pPr>
              <w:pStyle w:val="192"/>
              <w:rPr>
                <w:rFonts w:hint="default" w:ascii="Times New Roman" w:hAnsi="Times New Roman" w:cs="Times New Roman"/>
                <w:spacing w:val="-2"/>
                <w:sz w:val="24"/>
              </w:rPr>
            </w:pPr>
            <w:r>
              <w:rPr>
                <w:rFonts w:hint="default" w:ascii="Times New Roman" w:hAnsi="Times New Roman" w:cs="Times New Roman"/>
                <w:spacing w:val="-2"/>
                <w:sz w:val="24"/>
              </w:rPr>
              <w:t>≥80</w:t>
            </w:r>
          </w:p>
        </w:tc>
        <w:tc>
          <w:tcPr>
            <w:tcW w:w="1068" w:type="pct"/>
          </w:tcPr>
          <w:p w14:paraId="12CC0746">
            <w:pPr>
              <w:pStyle w:val="192"/>
              <w:rPr>
                <w:rFonts w:hint="default" w:ascii="Times New Roman" w:hAnsi="Times New Roman" w:cs="Times New Roman"/>
                <w:spacing w:val="-2"/>
                <w:sz w:val="24"/>
              </w:rPr>
            </w:pPr>
            <w:r>
              <w:rPr>
                <w:rFonts w:hint="default" w:ascii="Times New Roman" w:hAnsi="Times New Roman" w:cs="Times New Roman"/>
                <w:spacing w:val="-2"/>
                <w:sz w:val="24"/>
              </w:rPr>
              <w:t>≥75</w:t>
            </w:r>
          </w:p>
        </w:tc>
      </w:tr>
      <w:tr w14:paraId="423F0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000" w:type="pct"/>
            <w:vMerge w:val="continue"/>
          </w:tcPr>
          <w:p w14:paraId="036B5EAD">
            <w:pPr>
              <w:pStyle w:val="192"/>
              <w:rPr>
                <w:rFonts w:hint="default" w:ascii="Times New Roman" w:hAnsi="Times New Roman" w:cs="Times New Roman"/>
                <w:spacing w:val="-2"/>
                <w:sz w:val="24"/>
              </w:rPr>
            </w:pPr>
          </w:p>
        </w:tc>
        <w:tc>
          <w:tcPr>
            <w:tcW w:w="1000" w:type="pct"/>
          </w:tcPr>
          <w:p w14:paraId="491BCDAB">
            <w:pPr>
              <w:pStyle w:val="192"/>
              <w:rPr>
                <w:rFonts w:hint="default" w:ascii="Times New Roman" w:hAnsi="Times New Roman" w:cs="Times New Roman"/>
                <w:spacing w:val="-2"/>
                <w:sz w:val="24"/>
              </w:rPr>
            </w:pPr>
            <w:r>
              <w:rPr>
                <w:rFonts w:hint="default" w:ascii="Times New Roman" w:hAnsi="Times New Roman" w:cs="Times New Roman"/>
                <w:spacing w:val="-2"/>
                <w:sz w:val="24"/>
              </w:rPr>
              <w:t>DBL（%）</w:t>
            </w:r>
          </w:p>
        </w:tc>
        <w:tc>
          <w:tcPr>
            <w:tcW w:w="904" w:type="pct"/>
          </w:tcPr>
          <w:p w14:paraId="4AADE326">
            <w:pPr>
              <w:pStyle w:val="192"/>
              <w:rPr>
                <w:rFonts w:hint="default" w:ascii="Times New Roman" w:hAnsi="Times New Roman" w:cs="Times New Roman"/>
                <w:spacing w:val="-2"/>
                <w:sz w:val="24"/>
                <w:szCs w:val="17"/>
              </w:rPr>
            </w:pPr>
            <w:r>
              <w:rPr>
                <w:rFonts w:hint="default" w:ascii="Times New Roman" w:hAnsi="Times New Roman" w:cs="Times New Roman"/>
                <w:spacing w:val="-2"/>
                <w:sz w:val="24"/>
              </w:rPr>
              <w:t>≤3</w:t>
            </w:r>
          </w:p>
        </w:tc>
        <w:tc>
          <w:tcPr>
            <w:tcW w:w="1028" w:type="pct"/>
          </w:tcPr>
          <w:p w14:paraId="0BF01455">
            <w:pPr>
              <w:pStyle w:val="192"/>
              <w:rPr>
                <w:rFonts w:hint="default" w:ascii="Times New Roman" w:hAnsi="Times New Roman" w:cs="Times New Roman"/>
                <w:spacing w:val="-2"/>
                <w:sz w:val="24"/>
              </w:rPr>
            </w:pPr>
            <w:r>
              <w:rPr>
                <w:rFonts w:hint="default" w:ascii="Times New Roman" w:hAnsi="Times New Roman" w:cs="Times New Roman"/>
                <w:spacing w:val="-2"/>
                <w:sz w:val="24"/>
              </w:rPr>
              <w:t>≤5</w:t>
            </w:r>
          </w:p>
        </w:tc>
        <w:tc>
          <w:tcPr>
            <w:tcW w:w="1068" w:type="pct"/>
          </w:tcPr>
          <w:p w14:paraId="1448A718">
            <w:pPr>
              <w:pStyle w:val="192"/>
              <w:rPr>
                <w:rFonts w:hint="default" w:ascii="Times New Roman" w:hAnsi="Times New Roman" w:cs="Times New Roman"/>
                <w:spacing w:val="-2"/>
                <w:sz w:val="24"/>
              </w:rPr>
            </w:pPr>
            <w:r>
              <w:rPr>
                <w:rFonts w:hint="default" w:ascii="Times New Roman" w:hAnsi="Times New Roman" w:cs="Times New Roman"/>
                <w:spacing w:val="-2"/>
                <w:sz w:val="24"/>
              </w:rPr>
              <w:t>≤7</w:t>
            </w:r>
          </w:p>
        </w:tc>
      </w:tr>
    </w:tbl>
    <w:p w14:paraId="0F75521B">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23" w:name="_Toc8459"/>
      <w:r>
        <w:rPr>
          <w:rFonts w:hint="default" w:ascii="Times New Roman" w:hAnsi="Times New Roman" w:cs="Times New Roman"/>
          <w:sz w:val="24"/>
        </w:rPr>
        <w:t>原路面处置</w:t>
      </w:r>
      <w:bookmarkEnd w:id="23"/>
    </w:p>
    <w:p w14:paraId="1649F798">
      <w:pPr>
        <w:pStyle w:val="29"/>
        <w:numPr>
          <w:ilvl w:val="2"/>
          <w:numId w:val="17"/>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高延弹超薄罩面用于沥青路面养护工程时，在罩面前应完成翻浆、坑槽、严重裂缝、沉陷、拥包、松散、车辙等病害的修复工作，并清除路面上的泥土杂物。</w:t>
      </w:r>
    </w:p>
    <w:p w14:paraId="2EAC4548">
      <w:pPr>
        <w:pStyle w:val="29"/>
        <w:numPr>
          <w:ilvl w:val="2"/>
          <w:numId w:val="17"/>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高延弹超薄罩面用于水泥路面的养护工程时，应对面板进行修整和处理。对板底脱空可采用板下封堵的方法进行压浆处理。对板块破碎、板角断裂、沉陷、掉边、缺角等病害，应予以凿除。清除碎屑后，应整平基层并夯压密实，铺筑与旧板块相同强度等级的水泥混凝土，其板面高程应与旧板面齐平。</w:t>
      </w:r>
    </w:p>
    <w:p w14:paraId="273E4AE3">
      <w:pPr>
        <w:pStyle w:val="29"/>
        <w:numPr>
          <w:ilvl w:val="2"/>
          <w:numId w:val="17"/>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对板底脱空采用板下封堵的注浆修复后，应对水泥板块弯沉进行检测，水泥板块板角弯沉应不大于20（0.01㎜），相邻板块裂缝间弯沉差应不大于6（0.01㎜）。</w:t>
      </w:r>
    </w:p>
    <w:p w14:paraId="123DE6F8">
      <w:pPr>
        <w:pStyle w:val="29"/>
        <w:numPr>
          <w:ilvl w:val="2"/>
          <w:numId w:val="17"/>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原路面裂缝，各种宽度的裂缝均需进行灌缝处理。且需要对原水泥路面的横缝、纵缝进行灌缝处理。</w:t>
      </w:r>
    </w:p>
    <w:p w14:paraId="3F6F2CFD">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24" w:name="_Toc179636654"/>
      <w:bookmarkStart w:id="25" w:name="_Toc2251"/>
      <w:r>
        <w:rPr>
          <w:rFonts w:hint="default" w:ascii="Times New Roman" w:hAnsi="Times New Roman" w:cs="Times New Roman"/>
          <w:sz w:val="24"/>
        </w:rPr>
        <w:t>厚度设计与材料选择</w:t>
      </w:r>
      <w:bookmarkEnd w:id="24"/>
      <w:bookmarkEnd w:id="25"/>
    </w:p>
    <w:p w14:paraId="26CC16F1">
      <w:pPr>
        <w:pStyle w:val="29"/>
        <w:numPr>
          <w:ilvl w:val="2"/>
          <w:numId w:val="17"/>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根据原路面的平整度情况，宜按照表4.4.1确定超薄罩面的最小厚度。</w:t>
      </w:r>
    </w:p>
    <w:p w14:paraId="549BC982">
      <w:pPr>
        <w:pStyle w:val="29"/>
        <w:tabs>
          <w:tab w:val="center" w:pos="993"/>
          <w:tab w:val="clear" w:pos="4201"/>
        </w:tabs>
        <w:spacing w:line="360" w:lineRule="auto"/>
        <w:ind w:firstLine="0" w:firstLineChars="0"/>
        <w:jc w:val="center"/>
        <w:rPr>
          <w:rFonts w:hint="default" w:ascii="Times New Roman" w:hAnsi="Times New Roman" w:eastAsia="黑体" w:cs="Times New Roman"/>
          <w:szCs w:val="21"/>
        </w:rPr>
      </w:pPr>
      <w:r>
        <w:rPr>
          <w:rFonts w:hint="default" w:ascii="Times New Roman" w:hAnsi="Times New Roman" w:eastAsia="黑体" w:cs="Times New Roman"/>
          <w:szCs w:val="21"/>
        </w:rPr>
        <w:t>表4.4.1 超薄罩面最小厚度</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984"/>
        <w:gridCol w:w="2576"/>
        <w:gridCol w:w="2776"/>
      </w:tblGrid>
      <w:tr w14:paraId="5A8B7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790" w:type="pct"/>
            <w:shd w:val="clear" w:color="auto" w:fill="auto"/>
          </w:tcPr>
          <w:p w14:paraId="7F807FBB">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平整度</w:t>
            </w:r>
          </w:p>
          <w:p w14:paraId="7FB120D1">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（平均最大间隙δ</w:t>
            </w:r>
            <w:r>
              <w:rPr>
                <w:rFonts w:hint="default" w:ascii="Times New Roman" w:hAnsi="Times New Roman" w:cs="Times New Roman" w:eastAsiaTheme="minorEastAsia"/>
                <w:spacing w:val="-2"/>
                <w:vertAlign w:val="subscript"/>
              </w:rPr>
              <w:t>m</w:t>
            </w:r>
            <w:r>
              <w:rPr>
                <w:rFonts w:hint="default" w:ascii="Times New Roman" w:hAnsi="Times New Roman" w:cs="Times New Roman" w:eastAsiaTheme="minorEastAsia"/>
                <w:spacing w:val="-2"/>
              </w:rPr>
              <w:t>）</w:t>
            </w:r>
          </w:p>
        </w:tc>
        <w:tc>
          <w:tcPr>
            <w:tcW w:w="1545" w:type="pct"/>
            <w:vAlign w:val="center"/>
          </w:tcPr>
          <w:p w14:paraId="4944E3BE">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最小厚度</w:t>
            </w:r>
          </w:p>
        </w:tc>
        <w:tc>
          <w:tcPr>
            <w:tcW w:w="1665" w:type="pct"/>
            <w:shd w:val="clear" w:color="auto" w:fill="auto"/>
            <w:vAlign w:val="center"/>
          </w:tcPr>
          <w:p w14:paraId="72E1C690">
            <w:pPr>
              <w:pStyle w:val="192"/>
              <w:rPr>
                <w:rFonts w:hint="default" w:ascii="Times New Roman" w:hAnsi="Times New Roman" w:cs="Times New Roman"/>
                <w:spacing w:val="-2"/>
              </w:rPr>
            </w:pPr>
            <w:r>
              <w:rPr>
                <w:rFonts w:hint="default" w:ascii="Times New Roman" w:hAnsi="Times New Roman" w:cs="Times New Roman"/>
                <w:spacing w:val="-2"/>
              </w:rPr>
              <w:t>试验方法</w:t>
            </w:r>
          </w:p>
        </w:tc>
      </w:tr>
      <w:tr w14:paraId="6EDD4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 w:hRule="atLeast"/>
        </w:trPr>
        <w:tc>
          <w:tcPr>
            <w:tcW w:w="1790" w:type="pct"/>
            <w:shd w:val="clear" w:color="auto" w:fill="auto"/>
          </w:tcPr>
          <w:p w14:paraId="33ED015B">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＜5mm</w:t>
            </w:r>
          </w:p>
        </w:tc>
        <w:tc>
          <w:tcPr>
            <w:tcW w:w="1545" w:type="pct"/>
          </w:tcPr>
          <w:p w14:paraId="2659CBBD">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12mm</w:t>
            </w:r>
          </w:p>
        </w:tc>
        <w:tc>
          <w:tcPr>
            <w:tcW w:w="1665" w:type="pct"/>
            <w:vMerge w:val="restart"/>
            <w:shd w:val="clear" w:color="auto" w:fill="auto"/>
            <w:vAlign w:val="center"/>
          </w:tcPr>
          <w:p w14:paraId="5DE9D6AB">
            <w:pPr>
              <w:pStyle w:val="192"/>
              <w:rPr>
                <w:rFonts w:hint="default" w:ascii="Times New Roman" w:hAnsi="Times New Roman" w:cs="Times New Roman"/>
                <w:spacing w:val="-2"/>
              </w:rPr>
            </w:pPr>
            <w:r>
              <w:rPr>
                <w:rFonts w:hint="default" w:ascii="Times New Roman" w:hAnsi="Times New Roman" w:cs="Times New Roman"/>
                <w:spacing w:val="-2"/>
              </w:rPr>
              <w:t>T0931</w:t>
            </w:r>
          </w:p>
        </w:tc>
      </w:tr>
      <w:tr w14:paraId="7816B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790" w:type="pct"/>
            <w:shd w:val="clear" w:color="auto" w:fill="auto"/>
          </w:tcPr>
          <w:p w14:paraId="3964F6C5">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＜7mm</w:t>
            </w:r>
          </w:p>
        </w:tc>
        <w:tc>
          <w:tcPr>
            <w:tcW w:w="1545" w:type="pct"/>
          </w:tcPr>
          <w:p w14:paraId="715BBCCE">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15mm</w:t>
            </w:r>
          </w:p>
        </w:tc>
        <w:tc>
          <w:tcPr>
            <w:tcW w:w="1665" w:type="pct"/>
            <w:vMerge w:val="continue"/>
            <w:shd w:val="clear" w:color="auto" w:fill="auto"/>
          </w:tcPr>
          <w:p w14:paraId="6767117C">
            <w:pPr>
              <w:pStyle w:val="192"/>
              <w:rPr>
                <w:rFonts w:hint="default" w:ascii="Times New Roman" w:hAnsi="Times New Roman" w:cs="Times New Roman"/>
                <w:spacing w:val="-2"/>
                <w:sz w:val="24"/>
                <w:szCs w:val="17"/>
              </w:rPr>
            </w:pPr>
          </w:p>
        </w:tc>
      </w:tr>
      <w:tr w14:paraId="1FDD88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790" w:type="pct"/>
            <w:shd w:val="clear" w:color="auto" w:fill="auto"/>
          </w:tcPr>
          <w:p w14:paraId="1B4C6CC1">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＜12mm</w:t>
            </w:r>
          </w:p>
        </w:tc>
        <w:tc>
          <w:tcPr>
            <w:tcW w:w="1545" w:type="pct"/>
          </w:tcPr>
          <w:p w14:paraId="5DF4E195">
            <w:pPr>
              <w:pStyle w:val="192"/>
              <w:rPr>
                <w:rFonts w:hint="default" w:ascii="Times New Roman" w:hAnsi="Times New Roman" w:cs="Times New Roman" w:eastAsiaTheme="minorEastAsia"/>
                <w:spacing w:val="-2"/>
              </w:rPr>
            </w:pPr>
            <w:r>
              <w:rPr>
                <w:rFonts w:hint="default" w:ascii="Times New Roman" w:hAnsi="Times New Roman" w:cs="Times New Roman" w:eastAsiaTheme="minorEastAsia"/>
                <w:spacing w:val="-2"/>
              </w:rPr>
              <w:t>20mm</w:t>
            </w:r>
          </w:p>
        </w:tc>
        <w:tc>
          <w:tcPr>
            <w:tcW w:w="1665" w:type="pct"/>
            <w:vMerge w:val="continue"/>
            <w:shd w:val="clear" w:color="auto" w:fill="auto"/>
          </w:tcPr>
          <w:p w14:paraId="167EF72F">
            <w:pPr>
              <w:pStyle w:val="192"/>
              <w:rPr>
                <w:rFonts w:hint="default" w:ascii="Times New Roman" w:hAnsi="Times New Roman" w:cs="Times New Roman"/>
                <w:spacing w:val="-2"/>
                <w:sz w:val="24"/>
                <w:szCs w:val="17"/>
              </w:rPr>
            </w:pPr>
          </w:p>
        </w:tc>
      </w:tr>
    </w:tbl>
    <w:p w14:paraId="39B65B3E">
      <w:pPr>
        <w:pStyle w:val="29"/>
        <w:numPr>
          <w:ilvl w:val="2"/>
          <w:numId w:val="17"/>
        </w:numPr>
        <w:tabs>
          <w:tab w:val="center" w:pos="993"/>
          <w:tab w:val="clear" w:pos="4201"/>
        </w:tabs>
        <w:spacing w:line="360" w:lineRule="auto"/>
        <w:ind w:left="0" w:firstLine="424" w:firstLineChars="177"/>
        <w:rPr>
          <w:rFonts w:hint="default" w:ascii="Times New Roman" w:hAnsi="Times New Roman" w:cs="Times New Roman"/>
          <w:sz w:val="24"/>
        </w:rPr>
      </w:pPr>
      <w:r>
        <w:rPr>
          <w:rFonts w:hint="default" w:ascii="Times New Roman" w:hAnsi="Times New Roman" w:cs="Times New Roman"/>
          <w:sz w:val="24"/>
        </w:rPr>
        <w:t>不同厚度下混合料类型宜按照表4.4.2进行选择。</w:t>
      </w:r>
    </w:p>
    <w:p w14:paraId="42E1474C">
      <w:pPr>
        <w:pStyle w:val="29"/>
        <w:tabs>
          <w:tab w:val="center" w:pos="993"/>
          <w:tab w:val="clear" w:pos="4201"/>
        </w:tabs>
        <w:spacing w:line="360" w:lineRule="auto"/>
        <w:ind w:firstLine="0" w:firstLineChars="0"/>
        <w:jc w:val="center"/>
        <w:rPr>
          <w:rFonts w:hint="default" w:ascii="Times New Roman" w:hAnsi="Times New Roman" w:eastAsia="黑体" w:cs="Times New Roman"/>
          <w:szCs w:val="21"/>
        </w:rPr>
      </w:pPr>
      <w:r>
        <w:rPr>
          <w:rFonts w:hint="default" w:ascii="Times New Roman" w:hAnsi="Times New Roman" w:eastAsia="黑体" w:cs="Times New Roman"/>
          <w:szCs w:val="21"/>
        </w:rPr>
        <w:t>表4.4.2 不同厚度下混合料类型</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168"/>
        <w:gridCol w:w="4168"/>
      </w:tblGrid>
      <w:tr w14:paraId="08066F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4" w:hRule="atLeast"/>
        </w:trPr>
        <w:tc>
          <w:tcPr>
            <w:tcW w:w="2500" w:type="pct"/>
            <w:vAlign w:val="center"/>
          </w:tcPr>
          <w:p w14:paraId="446F8328">
            <w:pPr>
              <w:pStyle w:val="192"/>
              <w:rPr>
                <w:rFonts w:hint="default" w:ascii="Times New Roman" w:hAnsi="Times New Roman" w:cs="Times New Roman"/>
                <w:spacing w:val="-2"/>
                <w:szCs w:val="18"/>
              </w:rPr>
            </w:pPr>
            <w:r>
              <w:rPr>
                <w:rFonts w:hint="default" w:ascii="Times New Roman" w:hAnsi="Times New Roman" w:cs="Times New Roman"/>
                <w:spacing w:val="-2"/>
                <w:szCs w:val="18"/>
              </w:rPr>
              <w:t>设计厚度（mm）</w:t>
            </w:r>
          </w:p>
        </w:tc>
        <w:tc>
          <w:tcPr>
            <w:tcW w:w="2500" w:type="pct"/>
            <w:vAlign w:val="center"/>
          </w:tcPr>
          <w:p w14:paraId="050766FB">
            <w:pPr>
              <w:pStyle w:val="192"/>
              <w:rPr>
                <w:rFonts w:hint="default" w:ascii="Times New Roman" w:hAnsi="Times New Roman" w:cs="Times New Roman"/>
                <w:spacing w:val="-2"/>
                <w:szCs w:val="18"/>
              </w:rPr>
            </w:pPr>
            <w:r>
              <w:rPr>
                <w:rFonts w:hint="default" w:ascii="Times New Roman" w:hAnsi="Times New Roman" w:cs="Times New Roman"/>
                <w:spacing w:val="-2"/>
                <w:szCs w:val="18"/>
              </w:rPr>
              <w:t>混合料类型选择</w:t>
            </w:r>
          </w:p>
        </w:tc>
      </w:tr>
      <w:tr w14:paraId="56373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2500" w:type="pct"/>
            <w:vAlign w:val="center"/>
          </w:tcPr>
          <w:p w14:paraId="79F6CDB5">
            <w:pPr>
              <w:pStyle w:val="192"/>
              <w:rPr>
                <w:rFonts w:hint="default" w:ascii="Times New Roman" w:hAnsi="Times New Roman" w:cs="Times New Roman"/>
                <w:spacing w:val="-2"/>
                <w:szCs w:val="18"/>
              </w:rPr>
            </w:pPr>
            <w:r>
              <w:rPr>
                <w:rFonts w:hint="default" w:ascii="Times New Roman" w:hAnsi="Times New Roman" w:cs="Times New Roman"/>
                <w:spacing w:val="-2"/>
                <w:szCs w:val="18"/>
              </w:rPr>
              <w:t>12~20</w:t>
            </w:r>
          </w:p>
        </w:tc>
        <w:tc>
          <w:tcPr>
            <w:tcW w:w="2500" w:type="pct"/>
            <w:vAlign w:val="center"/>
          </w:tcPr>
          <w:p w14:paraId="0C3E89C0">
            <w:pPr>
              <w:pStyle w:val="192"/>
              <w:rPr>
                <w:rFonts w:hint="default" w:ascii="Times New Roman" w:hAnsi="Times New Roman" w:cs="Times New Roman"/>
                <w:spacing w:val="-2"/>
                <w:szCs w:val="18"/>
              </w:rPr>
            </w:pPr>
            <w:r>
              <w:rPr>
                <w:rFonts w:hint="default" w:ascii="Times New Roman" w:hAnsi="Times New Roman" w:cs="Times New Roman"/>
                <w:spacing w:val="-2"/>
                <w:szCs w:val="18"/>
              </w:rPr>
              <w:t>DTO-5</w:t>
            </w:r>
          </w:p>
        </w:tc>
      </w:tr>
      <w:tr w14:paraId="1E8EF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2" w:hRule="atLeast"/>
        </w:trPr>
        <w:tc>
          <w:tcPr>
            <w:tcW w:w="2500" w:type="pct"/>
            <w:vAlign w:val="center"/>
          </w:tcPr>
          <w:p w14:paraId="1FDC8E6F">
            <w:pPr>
              <w:pStyle w:val="192"/>
              <w:rPr>
                <w:rFonts w:hint="default" w:ascii="Times New Roman" w:hAnsi="Times New Roman" w:cs="Times New Roman"/>
                <w:spacing w:val="-2"/>
                <w:szCs w:val="18"/>
              </w:rPr>
            </w:pPr>
            <w:r>
              <w:rPr>
                <w:rFonts w:hint="default" w:ascii="Times New Roman" w:hAnsi="Times New Roman" w:cs="Times New Roman"/>
                <w:spacing w:val="-2"/>
                <w:szCs w:val="18"/>
              </w:rPr>
              <w:t>20~25</w:t>
            </w:r>
          </w:p>
        </w:tc>
        <w:tc>
          <w:tcPr>
            <w:tcW w:w="2500" w:type="pct"/>
            <w:vAlign w:val="center"/>
          </w:tcPr>
          <w:p w14:paraId="6B510739">
            <w:pPr>
              <w:pStyle w:val="192"/>
              <w:rPr>
                <w:rFonts w:hint="default" w:ascii="Times New Roman" w:hAnsi="Times New Roman" w:cs="Times New Roman"/>
                <w:spacing w:val="-2"/>
                <w:szCs w:val="18"/>
              </w:rPr>
            </w:pPr>
            <w:r>
              <w:rPr>
                <w:rFonts w:hint="default" w:ascii="Times New Roman" w:hAnsi="Times New Roman" w:cs="Times New Roman"/>
                <w:spacing w:val="-2"/>
                <w:szCs w:val="18"/>
              </w:rPr>
              <w:t>DTO-10</w:t>
            </w:r>
          </w:p>
        </w:tc>
      </w:tr>
    </w:tbl>
    <w:p w14:paraId="614C9F74">
      <w:pPr>
        <w:pStyle w:val="52"/>
        <w:tabs>
          <w:tab w:val="left" w:pos="917"/>
        </w:tabs>
        <w:spacing w:beforeLines="0" w:afterLines="0" w:line="360" w:lineRule="auto"/>
        <w:ind w:left="425"/>
        <w:outlineLvl w:val="9"/>
        <w:rPr>
          <w:rFonts w:hint="default" w:ascii="Times New Roman" w:hAnsi="Times New Roman" w:cs="Times New Roman" w:eastAsiaTheme="minorEastAsia"/>
          <w:b/>
          <w:bCs/>
          <w:sz w:val="32"/>
          <w:szCs w:val="22"/>
        </w:rPr>
      </w:pPr>
      <w:bookmarkStart w:id="26" w:name="_Toc179636655"/>
      <w:bookmarkStart w:id="27" w:name="_Toc126742836"/>
      <w:r>
        <w:rPr>
          <w:rFonts w:hint="default" w:ascii="Times New Roman" w:hAnsi="Times New Roman" w:cs="Times New Roman" w:eastAsiaTheme="minorEastAsia"/>
          <w:b/>
          <w:bCs/>
          <w:sz w:val="32"/>
          <w:szCs w:val="22"/>
        </w:rPr>
        <w:tab/>
      </w:r>
    </w:p>
    <w:p w14:paraId="01532F4F">
      <w:pPr>
        <w:tabs>
          <w:tab w:val="left" w:pos="1561"/>
        </w:tabs>
        <w:rPr>
          <w:rFonts w:hint="default" w:ascii="Times New Roman" w:hAnsi="Times New Roman" w:cs="Times New Roman"/>
        </w:rPr>
        <w:sectPr>
          <w:type w:val="continuous"/>
          <w:pgSz w:w="11906" w:h="16838"/>
          <w:pgMar w:top="1440" w:right="1800" w:bottom="1440" w:left="1800" w:header="851" w:footer="992" w:gutter="0"/>
          <w:cols w:space="425" w:num="1"/>
          <w:docGrid w:type="lines" w:linePitch="312" w:charSpace="0"/>
        </w:sectPr>
      </w:pPr>
      <w:r>
        <w:rPr>
          <w:rFonts w:hint="default" w:ascii="Times New Roman" w:hAnsi="Times New Roman" w:cs="Times New Roman"/>
        </w:rPr>
        <w:tab/>
      </w:r>
    </w:p>
    <w:p w14:paraId="5629F36A">
      <w:pPr>
        <w:pStyle w:val="52"/>
        <w:spacing w:beforeLines="0" w:afterLines="0" w:line="360" w:lineRule="auto"/>
        <w:ind w:left="425"/>
        <w:outlineLvl w:val="9"/>
        <w:rPr>
          <w:rFonts w:hint="default" w:ascii="Times New Roman" w:hAnsi="Times New Roman" w:cs="Times New Roman" w:eastAsiaTheme="minorEastAsia"/>
          <w:b/>
          <w:bCs/>
          <w:sz w:val="32"/>
          <w:szCs w:val="22"/>
        </w:rPr>
      </w:pPr>
    </w:p>
    <w:p w14:paraId="7B8284D2">
      <w:pPr>
        <w:widowControl/>
        <w:jc w:val="left"/>
        <w:rPr>
          <w:rFonts w:hint="default" w:ascii="Times New Roman" w:hAnsi="Times New Roman" w:cs="Times New Roman" w:eastAsiaTheme="minorEastAsia"/>
          <w:b/>
          <w:bCs/>
          <w:kern w:val="0"/>
          <w:sz w:val="32"/>
          <w:szCs w:val="22"/>
        </w:rPr>
      </w:pPr>
      <w:r>
        <w:rPr>
          <w:rFonts w:hint="default" w:ascii="Times New Roman" w:hAnsi="Times New Roman" w:cs="Times New Roman" w:eastAsiaTheme="minorEastAsia"/>
          <w:b/>
          <w:bCs/>
          <w:sz w:val="32"/>
          <w:szCs w:val="22"/>
        </w:rPr>
        <w:br w:type="page"/>
      </w:r>
    </w:p>
    <w:p w14:paraId="7211E05C">
      <w:pPr>
        <w:pStyle w:val="52"/>
        <w:numPr>
          <w:ilvl w:val="0"/>
          <w:numId w:val="17"/>
        </w:numPr>
        <w:spacing w:beforeLines="0" w:afterLines="0" w:line="360" w:lineRule="auto"/>
        <w:ind w:hanging="283"/>
        <w:outlineLvl w:val="0"/>
        <w:rPr>
          <w:rFonts w:hint="default" w:ascii="Times New Roman" w:hAnsi="Times New Roman" w:cs="Times New Roman" w:eastAsiaTheme="minorEastAsia"/>
          <w:b/>
          <w:bCs/>
          <w:sz w:val="32"/>
          <w:szCs w:val="22"/>
        </w:rPr>
      </w:pPr>
      <w:bookmarkStart w:id="28" w:name="_Toc17427"/>
      <w:r>
        <w:rPr>
          <w:rFonts w:hint="default" w:ascii="Times New Roman" w:hAnsi="Times New Roman" w:cs="Times New Roman" w:eastAsiaTheme="minorEastAsia"/>
          <w:b/>
          <w:bCs/>
          <w:sz w:val="32"/>
          <w:szCs w:val="22"/>
        </w:rPr>
        <w:t>材料</w:t>
      </w:r>
      <w:bookmarkEnd w:id="26"/>
      <w:bookmarkEnd w:id="28"/>
    </w:p>
    <w:p w14:paraId="3563CD0C">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29" w:name="_Toc22547"/>
      <w:bookmarkStart w:id="30" w:name="_Toc8728646"/>
      <w:bookmarkStart w:id="31" w:name="_Toc171517472"/>
      <w:bookmarkStart w:id="32" w:name="_Toc179636656"/>
      <w:bookmarkStart w:id="33" w:name="_Toc101871664"/>
      <w:r>
        <w:rPr>
          <w:rFonts w:hint="default" w:ascii="Times New Roman" w:hAnsi="Times New Roman" w:cs="Times New Roman"/>
          <w:sz w:val="24"/>
        </w:rPr>
        <w:t>一般规定</w:t>
      </w:r>
      <w:bookmarkEnd w:id="29"/>
      <w:bookmarkEnd w:id="30"/>
      <w:bookmarkEnd w:id="31"/>
      <w:bookmarkEnd w:id="32"/>
      <w:bookmarkEnd w:id="33"/>
    </w:p>
    <w:p w14:paraId="0222F9D9">
      <w:pPr>
        <w:numPr>
          <w:ilvl w:val="2"/>
          <w:numId w:val="20"/>
        </w:numPr>
        <w:tabs>
          <w:tab w:val="left" w:pos="993"/>
        </w:tabs>
        <w:spacing w:line="360" w:lineRule="auto"/>
        <w:ind w:left="0" w:firstLine="425"/>
        <w:rPr>
          <w:rFonts w:hint="default" w:ascii="Times New Roman" w:hAnsi="Times New Roman" w:cs="Times New Roman"/>
          <w:kern w:val="0"/>
          <w:sz w:val="24"/>
          <w:szCs w:val="20"/>
        </w:rPr>
      </w:pPr>
      <w:r>
        <w:rPr>
          <w:rFonts w:hint="default" w:ascii="Times New Roman" w:hAnsi="Times New Roman" w:cs="Times New Roman"/>
          <w:kern w:val="0"/>
          <w:sz w:val="24"/>
          <w:szCs w:val="20"/>
        </w:rPr>
        <w:t>高延弹沥青超薄罩面使用的各种材料应按规定取样进行质量检验，检验合格后方可使用。</w:t>
      </w:r>
    </w:p>
    <w:p w14:paraId="29F34B5D">
      <w:pPr>
        <w:numPr>
          <w:ilvl w:val="2"/>
          <w:numId w:val="20"/>
        </w:numPr>
        <w:tabs>
          <w:tab w:val="left" w:pos="993"/>
          <w:tab w:val="left" w:pos="1418"/>
        </w:tabs>
        <w:spacing w:line="360" w:lineRule="auto"/>
        <w:ind w:left="0" w:firstLine="425"/>
        <w:rPr>
          <w:rFonts w:hint="default" w:ascii="Times New Roman" w:hAnsi="Times New Roman" w:cs="Times New Roman"/>
          <w:kern w:val="0"/>
          <w:sz w:val="24"/>
          <w:szCs w:val="20"/>
        </w:rPr>
      </w:pPr>
      <w:r>
        <w:rPr>
          <w:rFonts w:hint="default" w:ascii="Times New Roman" w:hAnsi="Times New Roman" w:cs="Times New Roman"/>
          <w:kern w:val="0"/>
          <w:sz w:val="24"/>
          <w:szCs w:val="20"/>
        </w:rPr>
        <w:t>各类原材料应单独存放，并注意覆盖防雨布，避免暴晒，不可与其它材料混杂存放。</w:t>
      </w:r>
    </w:p>
    <w:p w14:paraId="05D4557B">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34" w:name="_Toc12863"/>
      <w:r>
        <w:rPr>
          <w:rFonts w:hint="default" w:ascii="Times New Roman" w:hAnsi="Times New Roman" w:cs="Times New Roman"/>
          <w:sz w:val="24"/>
        </w:rPr>
        <w:t>高延弹改性沥青</w:t>
      </w:r>
      <w:bookmarkEnd w:id="34"/>
    </w:p>
    <w:p w14:paraId="3DDFF081">
      <w:pPr>
        <w:pStyle w:val="186"/>
        <w:numPr>
          <w:ilvl w:val="2"/>
          <w:numId w:val="17"/>
        </w:numPr>
        <w:spacing w:line="360" w:lineRule="auto"/>
        <w:ind w:left="993" w:firstLineChars="0"/>
        <w:rPr>
          <w:rFonts w:hint="default" w:ascii="Times New Roman" w:hAnsi="Times New Roman" w:cs="Times New Roman"/>
          <w:kern w:val="0"/>
          <w:sz w:val="24"/>
          <w:szCs w:val="20"/>
        </w:rPr>
      </w:pPr>
      <w:r>
        <w:rPr>
          <w:rFonts w:hint="default" w:ascii="Times New Roman" w:hAnsi="Times New Roman" w:cs="Times New Roman"/>
          <w:kern w:val="0"/>
          <w:sz w:val="24"/>
          <w:szCs w:val="20"/>
        </w:rPr>
        <w:t>高延弹改性沥青应满足表5.2.1所示的规定。</w:t>
      </w:r>
    </w:p>
    <w:p w14:paraId="531A4DC5">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表5.2.1 高延弹改性沥青技术指标</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273"/>
        <w:gridCol w:w="1489"/>
        <w:gridCol w:w="1340"/>
        <w:gridCol w:w="2234"/>
      </w:tblGrid>
      <w:tr w14:paraId="5262C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963" w:type="pct"/>
            <w:shd w:val="clear" w:color="auto" w:fill="auto"/>
            <w:vAlign w:val="center"/>
          </w:tcPr>
          <w:p w14:paraId="33264E4B">
            <w:pPr>
              <w:pStyle w:val="192"/>
              <w:rPr>
                <w:rFonts w:hint="default" w:ascii="Times New Roman" w:hAnsi="Times New Roman" w:cs="Times New Roman"/>
                <w:spacing w:val="-2"/>
              </w:rPr>
            </w:pPr>
            <w:bookmarkStart w:id="35" w:name="_Hlk179881809"/>
            <w:r>
              <w:rPr>
                <w:rFonts w:hint="default" w:ascii="Times New Roman" w:hAnsi="Times New Roman" w:cs="Times New Roman"/>
                <w:spacing w:val="-2"/>
              </w:rPr>
              <w:t>试验项目</w:t>
            </w:r>
          </w:p>
        </w:tc>
        <w:tc>
          <w:tcPr>
            <w:tcW w:w="893" w:type="pct"/>
            <w:shd w:val="clear" w:color="auto" w:fill="auto"/>
            <w:vAlign w:val="center"/>
          </w:tcPr>
          <w:p w14:paraId="5F9650E9">
            <w:pPr>
              <w:pStyle w:val="192"/>
              <w:rPr>
                <w:rFonts w:hint="default" w:ascii="Times New Roman" w:hAnsi="Times New Roman" w:cs="Times New Roman"/>
                <w:spacing w:val="-2"/>
              </w:rPr>
            </w:pPr>
            <w:r>
              <w:rPr>
                <w:rFonts w:hint="default" w:ascii="Times New Roman" w:hAnsi="Times New Roman" w:cs="Times New Roman"/>
                <w:spacing w:val="-2"/>
              </w:rPr>
              <w:t>单位</w:t>
            </w:r>
          </w:p>
        </w:tc>
        <w:tc>
          <w:tcPr>
            <w:tcW w:w="804" w:type="pct"/>
            <w:shd w:val="clear" w:color="auto" w:fill="auto"/>
            <w:vAlign w:val="center"/>
          </w:tcPr>
          <w:p w14:paraId="24AAE74B">
            <w:pPr>
              <w:pStyle w:val="192"/>
              <w:rPr>
                <w:rFonts w:hint="default" w:ascii="Times New Roman" w:hAnsi="Times New Roman" w:cs="Times New Roman"/>
                <w:spacing w:val="-2"/>
              </w:rPr>
            </w:pPr>
            <w:r>
              <w:rPr>
                <w:rFonts w:hint="default" w:ascii="Times New Roman" w:hAnsi="Times New Roman" w:cs="Times New Roman"/>
                <w:spacing w:val="-2"/>
              </w:rPr>
              <w:t>技术指标</w:t>
            </w:r>
          </w:p>
        </w:tc>
        <w:tc>
          <w:tcPr>
            <w:tcW w:w="1340" w:type="pct"/>
            <w:shd w:val="clear" w:color="auto" w:fill="auto"/>
            <w:vAlign w:val="center"/>
          </w:tcPr>
          <w:p w14:paraId="4B77EA42">
            <w:pPr>
              <w:pStyle w:val="192"/>
              <w:rPr>
                <w:rFonts w:hint="default" w:ascii="Times New Roman" w:hAnsi="Times New Roman" w:cs="Times New Roman"/>
                <w:spacing w:val="-2"/>
              </w:rPr>
            </w:pPr>
            <w:r>
              <w:rPr>
                <w:rFonts w:hint="default" w:ascii="Times New Roman" w:hAnsi="Times New Roman" w:cs="Times New Roman"/>
                <w:spacing w:val="-2"/>
              </w:rPr>
              <w:t>试验方法</w:t>
            </w:r>
          </w:p>
        </w:tc>
      </w:tr>
      <w:tr w14:paraId="45E46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963" w:type="pct"/>
            <w:shd w:val="clear" w:color="auto" w:fill="auto"/>
            <w:vAlign w:val="center"/>
          </w:tcPr>
          <w:p w14:paraId="318AE4EB">
            <w:pPr>
              <w:pStyle w:val="192"/>
              <w:rPr>
                <w:rFonts w:hint="default" w:ascii="Times New Roman" w:hAnsi="Times New Roman" w:cs="Times New Roman"/>
                <w:spacing w:val="-2"/>
              </w:rPr>
            </w:pPr>
            <w:r>
              <w:rPr>
                <w:rFonts w:hint="default" w:ascii="Times New Roman" w:hAnsi="Times New Roman" w:cs="Times New Roman"/>
                <w:spacing w:val="-2"/>
              </w:rPr>
              <w:t>针入度（25℃，100g，5s）</w:t>
            </w:r>
          </w:p>
        </w:tc>
        <w:tc>
          <w:tcPr>
            <w:tcW w:w="893" w:type="pct"/>
            <w:shd w:val="clear" w:color="auto" w:fill="auto"/>
            <w:vAlign w:val="center"/>
          </w:tcPr>
          <w:p w14:paraId="387CD58D">
            <w:pPr>
              <w:pStyle w:val="192"/>
              <w:rPr>
                <w:rFonts w:hint="default" w:ascii="Times New Roman" w:hAnsi="Times New Roman" w:cs="Times New Roman"/>
                <w:spacing w:val="-2"/>
              </w:rPr>
            </w:pPr>
            <w:r>
              <w:rPr>
                <w:rFonts w:hint="default" w:ascii="Times New Roman" w:hAnsi="Times New Roman" w:cs="Times New Roman"/>
                <w:spacing w:val="-2"/>
              </w:rPr>
              <w:t>0.1mm</w:t>
            </w:r>
          </w:p>
        </w:tc>
        <w:tc>
          <w:tcPr>
            <w:tcW w:w="804" w:type="pct"/>
            <w:shd w:val="clear" w:color="auto" w:fill="auto"/>
            <w:vAlign w:val="center"/>
          </w:tcPr>
          <w:p w14:paraId="28195552">
            <w:pPr>
              <w:pStyle w:val="192"/>
              <w:rPr>
                <w:rFonts w:hint="default" w:ascii="Times New Roman" w:hAnsi="Times New Roman" w:cs="Times New Roman"/>
                <w:spacing w:val="-2"/>
              </w:rPr>
            </w:pPr>
            <w:r>
              <w:rPr>
                <w:rFonts w:hint="default" w:ascii="Times New Roman" w:hAnsi="Times New Roman" w:cs="Times New Roman"/>
                <w:spacing w:val="-2"/>
              </w:rPr>
              <w:t>40~70</w:t>
            </w:r>
          </w:p>
        </w:tc>
        <w:tc>
          <w:tcPr>
            <w:tcW w:w="1340" w:type="pct"/>
            <w:shd w:val="clear" w:color="auto" w:fill="auto"/>
            <w:vAlign w:val="center"/>
          </w:tcPr>
          <w:p w14:paraId="6EEAEF1F">
            <w:pPr>
              <w:pStyle w:val="192"/>
              <w:rPr>
                <w:rFonts w:hint="default" w:ascii="Times New Roman" w:hAnsi="Times New Roman" w:cs="Times New Roman"/>
                <w:spacing w:val="-2"/>
              </w:rPr>
            </w:pPr>
            <w:r>
              <w:rPr>
                <w:rFonts w:hint="default" w:ascii="Times New Roman" w:hAnsi="Times New Roman" w:cs="Times New Roman"/>
                <w:spacing w:val="-2"/>
              </w:rPr>
              <w:t>T 0604</w:t>
            </w:r>
          </w:p>
        </w:tc>
      </w:tr>
      <w:tr w14:paraId="328BB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963" w:type="pct"/>
            <w:shd w:val="clear" w:color="auto" w:fill="auto"/>
            <w:vAlign w:val="center"/>
          </w:tcPr>
          <w:p w14:paraId="66F455BD">
            <w:pPr>
              <w:pStyle w:val="192"/>
              <w:rPr>
                <w:rFonts w:hint="default" w:ascii="Times New Roman" w:hAnsi="Times New Roman" w:cs="Times New Roman"/>
                <w:spacing w:val="-2"/>
              </w:rPr>
            </w:pPr>
            <w:r>
              <w:rPr>
                <w:rFonts w:hint="default" w:ascii="Times New Roman" w:hAnsi="Times New Roman" w:cs="Times New Roman"/>
                <w:spacing w:val="-2"/>
              </w:rPr>
              <w:t>软化点（T</w:t>
            </w:r>
            <w:r>
              <w:rPr>
                <w:rFonts w:hint="default" w:ascii="Times New Roman" w:hAnsi="Times New Roman" w:cs="Times New Roman"/>
                <w:spacing w:val="-2"/>
                <w:vertAlign w:val="subscript"/>
              </w:rPr>
              <w:t>R&amp;B</w:t>
            </w:r>
            <w:r>
              <w:rPr>
                <w:rFonts w:hint="default" w:ascii="Times New Roman" w:hAnsi="Times New Roman" w:cs="Times New Roman"/>
                <w:spacing w:val="-2"/>
              </w:rPr>
              <w:t>）</w:t>
            </w:r>
          </w:p>
        </w:tc>
        <w:tc>
          <w:tcPr>
            <w:tcW w:w="893" w:type="pct"/>
            <w:shd w:val="clear" w:color="auto" w:fill="auto"/>
            <w:vAlign w:val="center"/>
          </w:tcPr>
          <w:p w14:paraId="468A106C">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804" w:type="pct"/>
            <w:shd w:val="clear" w:color="auto" w:fill="auto"/>
            <w:vAlign w:val="center"/>
          </w:tcPr>
          <w:p w14:paraId="39A4D421">
            <w:pPr>
              <w:pStyle w:val="192"/>
              <w:rPr>
                <w:rFonts w:hint="default" w:ascii="Times New Roman" w:hAnsi="Times New Roman" w:cs="Times New Roman"/>
                <w:spacing w:val="-2"/>
              </w:rPr>
            </w:pPr>
            <w:r>
              <w:rPr>
                <w:rFonts w:hint="default" w:ascii="Times New Roman" w:hAnsi="Times New Roman" w:cs="Times New Roman"/>
                <w:spacing w:val="-2"/>
              </w:rPr>
              <w:t>≥85</w:t>
            </w:r>
          </w:p>
        </w:tc>
        <w:tc>
          <w:tcPr>
            <w:tcW w:w="1340" w:type="pct"/>
            <w:shd w:val="clear" w:color="auto" w:fill="auto"/>
            <w:vAlign w:val="center"/>
          </w:tcPr>
          <w:p w14:paraId="036AC81D">
            <w:pPr>
              <w:pStyle w:val="192"/>
              <w:rPr>
                <w:rFonts w:hint="default" w:ascii="Times New Roman" w:hAnsi="Times New Roman" w:cs="Times New Roman"/>
                <w:spacing w:val="-2"/>
              </w:rPr>
            </w:pPr>
            <w:r>
              <w:rPr>
                <w:rFonts w:hint="default" w:ascii="Times New Roman" w:hAnsi="Times New Roman" w:cs="Times New Roman"/>
                <w:spacing w:val="-2"/>
              </w:rPr>
              <w:t>T 0606</w:t>
            </w:r>
          </w:p>
        </w:tc>
      </w:tr>
      <w:tr w14:paraId="2DE84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963" w:type="pct"/>
            <w:shd w:val="clear" w:color="auto" w:fill="auto"/>
            <w:vAlign w:val="center"/>
          </w:tcPr>
          <w:p w14:paraId="34F8A397">
            <w:pPr>
              <w:pStyle w:val="192"/>
              <w:rPr>
                <w:rFonts w:hint="default" w:ascii="Times New Roman" w:hAnsi="Times New Roman" w:cs="Times New Roman"/>
                <w:spacing w:val="-2"/>
              </w:rPr>
            </w:pPr>
            <w:r>
              <w:rPr>
                <w:rFonts w:hint="default" w:ascii="Times New Roman" w:hAnsi="Times New Roman" w:cs="Times New Roman"/>
                <w:spacing w:val="-2"/>
              </w:rPr>
              <w:t>延度（5℃，5cm/min）</w:t>
            </w:r>
          </w:p>
        </w:tc>
        <w:tc>
          <w:tcPr>
            <w:tcW w:w="893" w:type="pct"/>
            <w:shd w:val="clear" w:color="auto" w:fill="auto"/>
            <w:vAlign w:val="center"/>
          </w:tcPr>
          <w:p w14:paraId="41A8A5DB">
            <w:pPr>
              <w:pStyle w:val="192"/>
              <w:rPr>
                <w:rFonts w:hint="default" w:ascii="Times New Roman" w:hAnsi="Times New Roman" w:cs="Times New Roman"/>
                <w:spacing w:val="-2"/>
              </w:rPr>
            </w:pPr>
            <w:r>
              <w:rPr>
                <w:rFonts w:hint="default" w:ascii="Times New Roman" w:hAnsi="Times New Roman" w:cs="Times New Roman"/>
                <w:spacing w:val="-2"/>
              </w:rPr>
              <w:t>cm</w:t>
            </w:r>
          </w:p>
        </w:tc>
        <w:tc>
          <w:tcPr>
            <w:tcW w:w="804" w:type="pct"/>
            <w:shd w:val="clear" w:color="auto" w:fill="auto"/>
            <w:vAlign w:val="center"/>
          </w:tcPr>
          <w:p w14:paraId="7DEF9FC4">
            <w:pPr>
              <w:pStyle w:val="192"/>
              <w:rPr>
                <w:rFonts w:hint="default" w:ascii="Times New Roman" w:hAnsi="Times New Roman" w:cs="Times New Roman"/>
                <w:spacing w:val="-2"/>
              </w:rPr>
            </w:pPr>
            <w:r>
              <w:rPr>
                <w:rFonts w:hint="default" w:ascii="Times New Roman" w:hAnsi="Times New Roman" w:cs="Times New Roman"/>
                <w:spacing w:val="-2"/>
              </w:rPr>
              <w:t>≥40</w:t>
            </w:r>
          </w:p>
        </w:tc>
        <w:tc>
          <w:tcPr>
            <w:tcW w:w="1340" w:type="pct"/>
            <w:shd w:val="clear" w:color="auto" w:fill="auto"/>
            <w:vAlign w:val="center"/>
          </w:tcPr>
          <w:p w14:paraId="6CD120E8">
            <w:pPr>
              <w:pStyle w:val="192"/>
              <w:rPr>
                <w:rFonts w:hint="default" w:ascii="Times New Roman" w:hAnsi="Times New Roman" w:cs="Times New Roman"/>
                <w:spacing w:val="-2"/>
              </w:rPr>
            </w:pPr>
            <w:r>
              <w:rPr>
                <w:rFonts w:hint="default" w:ascii="Times New Roman" w:hAnsi="Times New Roman" w:cs="Times New Roman"/>
                <w:spacing w:val="-2"/>
              </w:rPr>
              <w:t>T 0605</w:t>
            </w:r>
          </w:p>
        </w:tc>
      </w:tr>
      <w:tr w14:paraId="29A3F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963" w:type="pct"/>
            <w:shd w:val="clear" w:color="auto" w:fill="auto"/>
            <w:vAlign w:val="center"/>
          </w:tcPr>
          <w:p w14:paraId="4289F2AA">
            <w:pPr>
              <w:pStyle w:val="192"/>
              <w:rPr>
                <w:rFonts w:hint="default" w:ascii="Times New Roman" w:hAnsi="Times New Roman" w:cs="Times New Roman"/>
                <w:spacing w:val="-2"/>
              </w:rPr>
            </w:pPr>
            <w:r>
              <w:rPr>
                <w:rFonts w:hint="default" w:ascii="Times New Roman" w:hAnsi="Times New Roman" w:cs="Times New Roman"/>
                <w:spacing w:val="-2"/>
              </w:rPr>
              <w:t>60℃动力黏度</w:t>
            </w:r>
          </w:p>
        </w:tc>
        <w:tc>
          <w:tcPr>
            <w:tcW w:w="893" w:type="pct"/>
            <w:shd w:val="clear" w:color="auto" w:fill="auto"/>
            <w:vAlign w:val="center"/>
          </w:tcPr>
          <w:p w14:paraId="412F2D56">
            <w:pPr>
              <w:pStyle w:val="192"/>
              <w:rPr>
                <w:rFonts w:hint="default" w:ascii="Times New Roman" w:hAnsi="Times New Roman" w:cs="Times New Roman"/>
                <w:spacing w:val="-2"/>
              </w:rPr>
            </w:pPr>
            <w:r>
              <w:rPr>
                <w:rFonts w:hint="default" w:ascii="Times New Roman" w:hAnsi="Times New Roman" w:cs="Times New Roman"/>
                <w:spacing w:val="-2"/>
              </w:rPr>
              <w:t>Pa·s</w:t>
            </w:r>
          </w:p>
        </w:tc>
        <w:tc>
          <w:tcPr>
            <w:tcW w:w="804" w:type="pct"/>
            <w:shd w:val="clear" w:color="auto" w:fill="auto"/>
            <w:vAlign w:val="center"/>
          </w:tcPr>
          <w:p w14:paraId="49EB2451">
            <w:pPr>
              <w:pStyle w:val="192"/>
              <w:rPr>
                <w:rFonts w:hint="default" w:ascii="Times New Roman" w:hAnsi="Times New Roman" w:cs="Times New Roman"/>
                <w:spacing w:val="-2"/>
              </w:rPr>
            </w:pPr>
            <w:r>
              <w:rPr>
                <w:rFonts w:hint="default" w:ascii="Times New Roman" w:hAnsi="Times New Roman" w:cs="Times New Roman"/>
                <w:spacing w:val="-2"/>
              </w:rPr>
              <w:t>≥200000</w:t>
            </w:r>
          </w:p>
        </w:tc>
        <w:tc>
          <w:tcPr>
            <w:tcW w:w="1340" w:type="pct"/>
            <w:shd w:val="clear" w:color="auto" w:fill="auto"/>
            <w:vAlign w:val="center"/>
          </w:tcPr>
          <w:p w14:paraId="5CDD1CBA">
            <w:pPr>
              <w:pStyle w:val="192"/>
              <w:rPr>
                <w:rFonts w:hint="default" w:ascii="Times New Roman" w:hAnsi="Times New Roman" w:cs="Times New Roman"/>
                <w:spacing w:val="-2"/>
              </w:rPr>
            </w:pPr>
            <w:r>
              <w:rPr>
                <w:rFonts w:hint="default" w:ascii="Times New Roman" w:hAnsi="Times New Roman" w:cs="Times New Roman"/>
                <w:spacing w:val="-2"/>
              </w:rPr>
              <w:t>T 0620</w:t>
            </w:r>
          </w:p>
        </w:tc>
      </w:tr>
      <w:tr w14:paraId="132BC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963" w:type="pct"/>
            <w:shd w:val="clear" w:color="auto" w:fill="auto"/>
            <w:vAlign w:val="center"/>
          </w:tcPr>
          <w:p w14:paraId="12F7988A">
            <w:pPr>
              <w:pStyle w:val="192"/>
              <w:rPr>
                <w:rFonts w:hint="default" w:ascii="Times New Roman" w:hAnsi="Times New Roman" w:cs="Times New Roman"/>
                <w:spacing w:val="-2"/>
              </w:rPr>
            </w:pPr>
            <w:r>
              <w:rPr>
                <w:rFonts w:hint="default" w:ascii="Times New Roman" w:hAnsi="Times New Roman" w:cs="Times New Roman"/>
                <w:spacing w:val="-2"/>
              </w:rPr>
              <w:t>165℃运动黏度</w:t>
            </w:r>
          </w:p>
        </w:tc>
        <w:tc>
          <w:tcPr>
            <w:tcW w:w="893" w:type="pct"/>
            <w:shd w:val="clear" w:color="auto" w:fill="auto"/>
            <w:vAlign w:val="center"/>
          </w:tcPr>
          <w:p w14:paraId="3FA3A0F4">
            <w:pPr>
              <w:pStyle w:val="192"/>
              <w:rPr>
                <w:rFonts w:hint="default" w:ascii="Times New Roman" w:hAnsi="Times New Roman" w:cs="Times New Roman"/>
                <w:spacing w:val="-2"/>
              </w:rPr>
            </w:pPr>
            <w:r>
              <w:rPr>
                <w:rFonts w:hint="default" w:ascii="Times New Roman" w:hAnsi="Times New Roman" w:cs="Times New Roman"/>
                <w:spacing w:val="-2"/>
              </w:rPr>
              <w:t>Pa·s</w:t>
            </w:r>
          </w:p>
        </w:tc>
        <w:tc>
          <w:tcPr>
            <w:tcW w:w="804" w:type="pct"/>
            <w:shd w:val="clear" w:color="auto" w:fill="auto"/>
            <w:vAlign w:val="center"/>
          </w:tcPr>
          <w:p w14:paraId="03627AAC">
            <w:pPr>
              <w:pStyle w:val="192"/>
              <w:rPr>
                <w:rFonts w:hint="default" w:ascii="Times New Roman" w:hAnsi="Times New Roman" w:cs="Times New Roman"/>
                <w:spacing w:val="-2"/>
              </w:rPr>
            </w:pPr>
            <w:r>
              <w:rPr>
                <w:rFonts w:hint="default" w:ascii="Times New Roman" w:hAnsi="Times New Roman" w:cs="Times New Roman"/>
                <w:spacing w:val="-2"/>
              </w:rPr>
              <w:t>≤3.0</w:t>
            </w:r>
          </w:p>
        </w:tc>
        <w:tc>
          <w:tcPr>
            <w:tcW w:w="1340" w:type="pct"/>
            <w:shd w:val="clear" w:color="auto" w:fill="auto"/>
            <w:vAlign w:val="center"/>
          </w:tcPr>
          <w:p w14:paraId="7408DDA4">
            <w:pPr>
              <w:pStyle w:val="192"/>
              <w:rPr>
                <w:rFonts w:hint="default" w:ascii="Times New Roman" w:hAnsi="Times New Roman" w:cs="Times New Roman"/>
                <w:spacing w:val="-2"/>
              </w:rPr>
            </w:pPr>
            <w:r>
              <w:rPr>
                <w:rFonts w:hint="default" w:ascii="Times New Roman" w:hAnsi="Times New Roman" w:cs="Times New Roman"/>
                <w:spacing w:val="-2"/>
              </w:rPr>
              <w:t>T 0625</w:t>
            </w:r>
          </w:p>
        </w:tc>
      </w:tr>
      <w:tr w14:paraId="2997A6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963" w:type="pct"/>
            <w:shd w:val="clear" w:color="auto" w:fill="auto"/>
            <w:vAlign w:val="center"/>
          </w:tcPr>
          <w:p w14:paraId="12C4ED5F">
            <w:pPr>
              <w:pStyle w:val="192"/>
              <w:rPr>
                <w:rFonts w:hint="default" w:ascii="Times New Roman" w:hAnsi="Times New Roman" w:cs="Times New Roman"/>
                <w:spacing w:val="-2"/>
              </w:rPr>
            </w:pPr>
            <w:r>
              <w:rPr>
                <w:rFonts w:hint="default" w:ascii="Times New Roman" w:hAnsi="Times New Roman" w:cs="Times New Roman"/>
                <w:spacing w:val="-2"/>
              </w:rPr>
              <w:t>弹性恢复（25℃）</w:t>
            </w:r>
          </w:p>
        </w:tc>
        <w:tc>
          <w:tcPr>
            <w:tcW w:w="893" w:type="pct"/>
            <w:shd w:val="clear" w:color="auto" w:fill="auto"/>
            <w:vAlign w:val="center"/>
          </w:tcPr>
          <w:p w14:paraId="27D31700">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804" w:type="pct"/>
            <w:shd w:val="clear" w:color="auto" w:fill="auto"/>
            <w:vAlign w:val="center"/>
          </w:tcPr>
          <w:p w14:paraId="68262B65">
            <w:pPr>
              <w:pStyle w:val="192"/>
              <w:rPr>
                <w:rFonts w:hint="default" w:ascii="Times New Roman" w:hAnsi="Times New Roman" w:cs="Times New Roman"/>
                <w:spacing w:val="-2"/>
              </w:rPr>
            </w:pPr>
            <w:r>
              <w:rPr>
                <w:rFonts w:hint="default" w:ascii="Times New Roman" w:hAnsi="Times New Roman" w:cs="Times New Roman"/>
                <w:spacing w:val="-2"/>
              </w:rPr>
              <w:t>≥98</w:t>
            </w:r>
          </w:p>
        </w:tc>
        <w:tc>
          <w:tcPr>
            <w:tcW w:w="1340" w:type="pct"/>
            <w:shd w:val="clear" w:color="auto" w:fill="auto"/>
            <w:vAlign w:val="center"/>
          </w:tcPr>
          <w:p w14:paraId="1B5BBE13">
            <w:pPr>
              <w:pStyle w:val="192"/>
              <w:rPr>
                <w:rFonts w:hint="default" w:ascii="Times New Roman" w:hAnsi="Times New Roman" w:cs="Times New Roman"/>
                <w:spacing w:val="-2"/>
              </w:rPr>
            </w:pPr>
            <w:r>
              <w:rPr>
                <w:rFonts w:hint="default" w:ascii="Times New Roman" w:hAnsi="Times New Roman" w:cs="Times New Roman"/>
                <w:spacing w:val="-2"/>
              </w:rPr>
              <w:t>T 0662</w:t>
            </w:r>
          </w:p>
        </w:tc>
      </w:tr>
      <w:tr w14:paraId="1829B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963" w:type="pct"/>
            <w:shd w:val="clear" w:color="auto" w:fill="auto"/>
            <w:vAlign w:val="center"/>
          </w:tcPr>
          <w:p w14:paraId="39D9C240">
            <w:pPr>
              <w:pStyle w:val="192"/>
              <w:rPr>
                <w:rFonts w:hint="default" w:ascii="Times New Roman" w:hAnsi="Times New Roman" w:cs="Times New Roman"/>
                <w:spacing w:val="-2"/>
              </w:rPr>
            </w:pPr>
            <w:r>
              <w:rPr>
                <w:rFonts w:hint="default" w:ascii="Times New Roman" w:hAnsi="Times New Roman" w:cs="Times New Roman"/>
                <w:spacing w:val="-2"/>
              </w:rPr>
              <w:t>离析，48h软化点差*</w:t>
            </w:r>
          </w:p>
        </w:tc>
        <w:tc>
          <w:tcPr>
            <w:tcW w:w="893" w:type="pct"/>
            <w:shd w:val="clear" w:color="auto" w:fill="auto"/>
            <w:vAlign w:val="center"/>
          </w:tcPr>
          <w:p w14:paraId="71FDF2BB">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804" w:type="pct"/>
            <w:shd w:val="clear" w:color="auto" w:fill="auto"/>
            <w:vAlign w:val="center"/>
          </w:tcPr>
          <w:p w14:paraId="3655D5D6">
            <w:pPr>
              <w:pStyle w:val="192"/>
              <w:rPr>
                <w:rFonts w:hint="default" w:ascii="Times New Roman" w:hAnsi="Times New Roman" w:cs="Times New Roman"/>
                <w:spacing w:val="-2"/>
              </w:rPr>
            </w:pPr>
            <w:r>
              <w:rPr>
                <w:rFonts w:hint="default" w:ascii="Times New Roman" w:hAnsi="Times New Roman" w:cs="Times New Roman"/>
                <w:spacing w:val="-2"/>
              </w:rPr>
              <w:t>≤10</w:t>
            </w:r>
          </w:p>
        </w:tc>
        <w:tc>
          <w:tcPr>
            <w:tcW w:w="1340" w:type="pct"/>
            <w:shd w:val="clear" w:color="auto" w:fill="auto"/>
            <w:vAlign w:val="center"/>
          </w:tcPr>
          <w:p w14:paraId="15F94DC8">
            <w:pPr>
              <w:pStyle w:val="192"/>
              <w:rPr>
                <w:rFonts w:hint="default" w:ascii="Times New Roman" w:hAnsi="Times New Roman" w:cs="Times New Roman"/>
                <w:spacing w:val="-2"/>
              </w:rPr>
            </w:pPr>
            <w:r>
              <w:rPr>
                <w:rFonts w:hint="default" w:ascii="Times New Roman" w:hAnsi="Times New Roman" w:cs="Times New Roman"/>
                <w:spacing w:val="-2"/>
              </w:rPr>
              <w:t>T 0661</w:t>
            </w:r>
          </w:p>
        </w:tc>
      </w:tr>
      <w:tr w14:paraId="57742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00" w:type="pct"/>
            <w:gridSpan w:val="4"/>
            <w:shd w:val="clear" w:color="auto" w:fill="auto"/>
            <w:vAlign w:val="center"/>
          </w:tcPr>
          <w:p w14:paraId="14AD4D1E">
            <w:pPr>
              <w:pStyle w:val="192"/>
              <w:rPr>
                <w:rFonts w:hint="default" w:ascii="Times New Roman" w:hAnsi="Times New Roman" w:cs="Times New Roman"/>
                <w:spacing w:val="-2"/>
              </w:rPr>
            </w:pPr>
            <w:r>
              <w:rPr>
                <w:rFonts w:hint="default" w:ascii="Times New Roman" w:hAnsi="Times New Roman" w:cs="Times New Roman"/>
                <w:spacing w:val="-2"/>
              </w:rPr>
              <w:t>RTFOT 后残留物</w:t>
            </w:r>
          </w:p>
        </w:tc>
      </w:tr>
      <w:tr w14:paraId="490D0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963" w:type="pct"/>
            <w:shd w:val="clear" w:color="auto" w:fill="auto"/>
            <w:vAlign w:val="center"/>
          </w:tcPr>
          <w:p w14:paraId="1DD93D40">
            <w:pPr>
              <w:pStyle w:val="192"/>
              <w:rPr>
                <w:rFonts w:hint="default" w:ascii="Times New Roman" w:hAnsi="Times New Roman" w:cs="Times New Roman"/>
                <w:spacing w:val="-2"/>
              </w:rPr>
            </w:pPr>
            <w:r>
              <w:rPr>
                <w:rFonts w:hint="default" w:ascii="Times New Roman" w:hAnsi="Times New Roman" w:cs="Times New Roman"/>
                <w:spacing w:val="-2"/>
              </w:rPr>
              <w:t>质量变化</w:t>
            </w:r>
          </w:p>
        </w:tc>
        <w:tc>
          <w:tcPr>
            <w:tcW w:w="893" w:type="pct"/>
            <w:shd w:val="clear" w:color="auto" w:fill="auto"/>
            <w:vAlign w:val="center"/>
          </w:tcPr>
          <w:p w14:paraId="320F7573">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804" w:type="pct"/>
            <w:shd w:val="clear" w:color="auto" w:fill="auto"/>
            <w:vAlign w:val="center"/>
          </w:tcPr>
          <w:p w14:paraId="16199545">
            <w:pPr>
              <w:pStyle w:val="192"/>
              <w:rPr>
                <w:rFonts w:hint="default" w:ascii="Times New Roman" w:hAnsi="Times New Roman" w:cs="Times New Roman"/>
                <w:spacing w:val="-2"/>
              </w:rPr>
            </w:pPr>
            <w:r>
              <w:rPr>
                <w:rFonts w:hint="default" w:ascii="Times New Roman" w:hAnsi="Times New Roman" w:cs="Times New Roman"/>
                <w:spacing w:val="-2"/>
              </w:rPr>
              <w:t>±0.5</w:t>
            </w:r>
          </w:p>
        </w:tc>
        <w:tc>
          <w:tcPr>
            <w:tcW w:w="1340" w:type="pct"/>
            <w:shd w:val="clear" w:color="auto" w:fill="auto"/>
            <w:vAlign w:val="center"/>
          </w:tcPr>
          <w:p w14:paraId="6E803F65">
            <w:pPr>
              <w:pStyle w:val="192"/>
              <w:rPr>
                <w:rFonts w:hint="default" w:ascii="Times New Roman" w:hAnsi="Times New Roman" w:cs="Times New Roman"/>
                <w:spacing w:val="-2"/>
              </w:rPr>
            </w:pPr>
            <w:r>
              <w:rPr>
                <w:rFonts w:hint="default" w:ascii="Times New Roman" w:hAnsi="Times New Roman" w:cs="Times New Roman"/>
                <w:spacing w:val="-2"/>
              </w:rPr>
              <w:t>T 0609</w:t>
            </w:r>
          </w:p>
        </w:tc>
      </w:tr>
      <w:tr w14:paraId="6C0DD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963" w:type="pct"/>
            <w:shd w:val="clear" w:color="auto" w:fill="auto"/>
            <w:vAlign w:val="center"/>
          </w:tcPr>
          <w:p w14:paraId="1334F91D">
            <w:pPr>
              <w:pStyle w:val="192"/>
              <w:rPr>
                <w:rFonts w:hint="default" w:ascii="Times New Roman" w:hAnsi="Times New Roman" w:cs="Times New Roman"/>
                <w:spacing w:val="-2"/>
              </w:rPr>
            </w:pPr>
            <w:r>
              <w:rPr>
                <w:rFonts w:hint="default" w:ascii="Times New Roman" w:hAnsi="Times New Roman" w:cs="Times New Roman"/>
                <w:spacing w:val="-2"/>
              </w:rPr>
              <w:t>针入度比（25℃）</w:t>
            </w:r>
          </w:p>
        </w:tc>
        <w:tc>
          <w:tcPr>
            <w:tcW w:w="893" w:type="pct"/>
            <w:shd w:val="clear" w:color="auto" w:fill="auto"/>
            <w:vAlign w:val="center"/>
          </w:tcPr>
          <w:p w14:paraId="724592EA">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804" w:type="pct"/>
            <w:shd w:val="clear" w:color="auto" w:fill="auto"/>
            <w:vAlign w:val="center"/>
          </w:tcPr>
          <w:p w14:paraId="722222DA">
            <w:pPr>
              <w:pStyle w:val="192"/>
              <w:rPr>
                <w:rFonts w:hint="default" w:ascii="Times New Roman" w:hAnsi="Times New Roman" w:cs="Times New Roman"/>
                <w:spacing w:val="-2"/>
              </w:rPr>
            </w:pPr>
            <w:r>
              <w:rPr>
                <w:rFonts w:hint="default" w:ascii="Times New Roman" w:hAnsi="Times New Roman" w:cs="Times New Roman"/>
                <w:spacing w:val="-2"/>
              </w:rPr>
              <w:t>≥75</w:t>
            </w:r>
          </w:p>
        </w:tc>
        <w:tc>
          <w:tcPr>
            <w:tcW w:w="1340" w:type="pct"/>
            <w:shd w:val="clear" w:color="auto" w:fill="auto"/>
            <w:vAlign w:val="center"/>
          </w:tcPr>
          <w:p w14:paraId="229FEB2D">
            <w:pPr>
              <w:pStyle w:val="192"/>
              <w:rPr>
                <w:rFonts w:hint="default" w:ascii="Times New Roman" w:hAnsi="Times New Roman" w:cs="Times New Roman"/>
                <w:spacing w:val="-2"/>
              </w:rPr>
            </w:pPr>
            <w:r>
              <w:rPr>
                <w:rFonts w:hint="default" w:ascii="Times New Roman" w:hAnsi="Times New Roman" w:cs="Times New Roman"/>
                <w:spacing w:val="-2"/>
              </w:rPr>
              <w:t>T 0604</w:t>
            </w:r>
          </w:p>
        </w:tc>
      </w:tr>
      <w:tr w14:paraId="29DBF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963" w:type="pct"/>
            <w:shd w:val="clear" w:color="auto" w:fill="auto"/>
            <w:vAlign w:val="center"/>
          </w:tcPr>
          <w:p w14:paraId="6A4D3219">
            <w:pPr>
              <w:pStyle w:val="192"/>
              <w:rPr>
                <w:rFonts w:hint="default" w:ascii="Times New Roman" w:hAnsi="Times New Roman" w:cs="Times New Roman"/>
                <w:spacing w:val="-2"/>
              </w:rPr>
            </w:pPr>
            <w:r>
              <w:rPr>
                <w:rFonts w:hint="default" w:ascii="Times New Roman" w:hAnsi="Times New Roman" w:cs="Times New Roman"/>
                <w:spacing w:val="-2"/>
              </w:rPr>
              <w:t>延度（5℃，5cm/min）</w:t>
            </w:r>
          </w:p>
        </w:tc>
        <w:tc>
          <w:tcPr>
            <w:tcW w:w="893" w:type="pct"/>
            <w:shd w:val="clear" w:color="auto" w:fill="auto"/>
            <w:vAlign w:val="center"/>
          </w:tcPr>
          <w:p w14:paraId="2E87C984">
            <w:pPr>
              <w:pStyle w:val="192"/>
              <w:rPr>
                <w:rFonts w:hint="default" w:ascii="Times New Roman" w:hAnsi="Times New Roman" w:cs="Times New Roman"/>
                <w:spacing w:val="-2"/>
              </w:rPr>
            </w:pPr>
            <w:r>
              <w:rPr>
                <w:rFonts w:hint="default" w:ascii="Times New Roman" w:hAnsi="Times New Roman" w:cs="Times New Roman"/>
                <w:spacing w:val="-2"/>
              </w:rPr>
              <w:t>cm</w:t>
            </w:r>
          </w:p>
        </w:tc>
        <w:tc>
          <w:tcPr>
            <w:tcW w:w="804" w:type="pct"/>
            <w:shd w:val="clear" w:color="auto" w:fill="auto"/>
            <w:vAlign w:val="center"/>
          </w:tcPr>
          <w:p w14:paraId="2A4A9E07">
            <w:pPr>
              <w:pStyle w:val="192"/>
              <w:rPr>
                <w:rFonts w:hint="default" w:ascii="Times New Roman" w:hAnsi="Times New Roman" w:cs="Times New Roman"/>
                <w:spacing w:val="-2"/>
              </w:rPr>
            </w:pPr>
            <w:r>
              <w:rPr>
                <w:rFonts w:hint="default" w:ascii="Times New Roman" w:hAnsi="Times New Roman" w:cs="Times New Roman"/>
                <w:spacing w:val="-2"/>
              </w:rPr>
              <w:t>≥30</w:t>
            </w:r>
          </w:p>
        </w:tc>
        <w:tc>
          <w:tcPr>
            <w:tcW w:w="1340" w:type="pct"/>
            <w:shd w:val="clear" w:color="auto" w:fill="auto"/>
            <w:vAlign w:val="center"/>
          </w:tcPr>
          <w:p w14:paraId="0B9D3A8D">
            <w:pPr>
              <w:pStyle w:val="192"/>
              <w:rPr>
                <w:rFonts w:hint="default" w:ascii="Times New Roman" w:hAnsi="Times New Roman" w:cs="Times New Roman"/>
                <w:spacing w:val="-2"/>
              </w:rPr>
            </w:pPr>
            <w:r>
              <w:rPr>
                <w:rFonts w:hint="default" w:ascii="Times New Roman" w:hAnsi="Times New Roman" w:cs="Times New Roman"/>
                <w:spacing w:val="-2"/>
              </w:rPr>
              <w:t>T 0605</w:t>
            </w:r>
          </w:p>
        </w:tc>
      </w:tr>
      <w:bookmarkEnd w:id="35"/>
    </w:tbl>
    <w:p w14:paraId="76B4EC56">
      <w:pPr>
        <w:ind w:firstLine="482" w:firstLineChars="200"/>
        <w:rPr>
          <w:rFonts w:hint="default" w:ascii="Times New Roman" w:hAnsi="Times New Roman" w:eastAsia="楷体" w:cs="Times New Roman"/>
          <w:b/>
          <w:bCs/>
          <w:sz w:val="24"/>
        </w:rPr>
      </w:pPr>
      <w:bookmarkStart w:id="36" w:name="_Toc179636658"/>
      <w:r>
        <w:rPr>
          <w:rFonts w:hint="default" w:ascii="Times New Roman" w:hAnsi="Times New Roman" w:eastAsia="楷体" w:cs="Times New Roman"/>
          <w:b/>
          <w:bCs/>
          <w:sz w:val="24"/>
        </w:rPr>
        <w:t>条文说明</w:t>
      </w:r>
    </w:p>
    <w:p w14:paraId="4764CCC8">
      <w:pPr>
        <w:ind w:firstLine="480" w:firstLineChars="200"/>
        <w:rPr>
          <w:rFonts w:hint="default" w:ascii="Times New Roman" w:hAnsi="Times New Roman" w:eastAsia="楷体" w:cs="Times New Roman"/>
          <w:sz w:val="24"/>
        </w:rPr>
      </w:pPr>
      <w:r>
        <w:rPr>
          <w:rFonts w:hint="default" w:ascii="Times New Roman" w:hAnsi="Times New Roman" w:eastAsia="楷体" w:cs="Times New Roman"/>
          <w:sz w:val="24"/>
        </w:rPr>
        <w:t>JTG F40中规定SBS改性沥青的贮存稳定性：离析，48h软化点差不大于2.5℃，其代表的改性沥青为SBS掺量一般为4%左右的普通改性沥青。随着沥青改性技术的发展，高掺量SBS改性沥青技术逐渐成熟。对于SBS掺量达到7.5%的成品高粘改性沥青，其发生离析时测得的离析指标（48h软化点差）约为30℃，远超JTG F40中对普通SBS改性沥青贮存稳定性要求。本指南中的高延弹改性沥青性能指标与高粘改性沥青相近乃至更高，建议离析指标（48h软化点差）控制要求为不大于10℃，同时大量工程实践表明，离析（48h软化点差）在10℃以内时不影响混合料拌和质量。</w:t>
      </w:r>
    </w:p>
    <w:p w14:paraId="57B4A0F3">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37" w:name="_Toc27169"/>
      <w:r>
        <w:rPr>
          <w:rFonts w:hint="default" w:ascii="Times New Roman" w:hAnsi="Times New Roman" w:cs="Times New Roman"/>
          <w:sz w:val="24"/>
        </w:rPr>
        <w:t>高黏度改性乳化沥青</w:t>
      </w:r>
      <w:bookmarkEnd w:id="36"/>
      <w:r>
        <w:rPr>
          <w:rFonts w:hint="default" w:ascii="Times New Roman" w:hAnsi="Times New Roman" w:cs="Times New Roman"/>
          <w:sz w:val="24"/>
        </w:rPr>
        <w:t>黏层材料</w:t>
      </w:r>
      <w:bookmarkEnd w:id="37"/>
    </w:p>
    <w:p w14:paraId="28C935CD">
      <w:pPr>
        <w:numPr>
          <w:ilvl w:val="2"/>
          <w:numId w:val="17"/>
        </w:numPr>
        <w:spacing w:line="360" w:lineRule="auto"/>
        <w:ind w:left="0" w:firstLine="426"/>
        <w:rPr>
          <w:rFonts w:hint="default" w:ascii="Times New Roman" w:hAnsi="Times New Roman" w:cs="Times New Roman"/>
          <w:kern w:val="0"/>
          <w:sz w:val="24"/>
          <w:szCs w:val="20"/>
        </w:rPr>
      </w:pPr>
      <w:r>
        <w:rPr>
          <w:rFonts w:hint="default" w:ascii="Times New Roman" w:hAnsi="Times New Roman" w:cs="Times New Roman"/>
          <w:kern w:val="0"/>
          <w:sz w:val="24"/>
        </w:rPr>
        <w:t>高黏度改性乳化沥青黏层材料应</w:t>
      </w:r>
      <w:r>
        <w:rPr>
          <w:rFonts w:hint="default" w:ascii="Times New Roman" w:hAnsi="Times New Roman" w:cs="Times New Roman"/>
          <w:kern w:val="0"/>
          <w:sz w:val="24"/>
          <w:szCs w:val="20"/>
        </w:rPr>
        <w:t xml:space="preserve">符合表5.3.1的规定。 </w:t>
      </w:r>
    </w:p>
    <w:p w14:paraId="4A21BD5B">
      <w:pPr>
        <w:pStyle w:val="19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表5.3.1</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t>高黏度改性乳化沥青黏层材料技术指标</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03"/>
        <w:gridCol w:w="2961"/>
        <w:gridCol w:w="2693"/>
        <w:gridCol w:w="1079"/>
      </w:tblGrid>
      <w:tr w14:paraId="3DE083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9" w:hRule="atLeast"/>
          <w:jc w:val="center"/>
        </w:trPr>
        <w:tc>
          <w:tcPr>
            <w:tcW w:w="2738" w:type="pct"/>
            <w:gridSpan w:val="2"/>
            <w:shd w:val="clear" w:color="auto" w:fill="auto"/>
            <w:vAlign w:val="center"/>
          </w:tcPr>
          <w:p w14:paraId="0B6A3BA1">
            <w:pPr>
              <w:pStyle w:val="192"/>
              <w:rPr>
                <w:rFonts w:hint="default" w:ascii="Times New Roman" w:hAnsi="Times New Roman" w:cs="Times New Roman"/>
                <w:spacing w:val="-2"/>
              </w:rPr>
            </w:pPr>
            <w:r>
              <w:rPr>
                <w:rFonts w:hint="default" w:ascii="Times New Roman" w:hAnsi="Times New Roman" w:cs="Times New Roman"/>
                <w:spacing w:val="-2"/>
              </w:rPr>
              <w:t>项目</w:t>
            </w:r>
          </w:p>
        </w:tc>
        <w:tc>
          <w:tcPr>
            <w:tcW w:w="1615" w:type="pct"/>
            <w:shd w:val="clear" w:color="auto" w:fill="auto"/>
            <w:vAlign w:val="center"/>
          </w:tcPr>
          <w:p w14:paraId="057E54BA">
            <w:pPr>
              <w:pStyle w:val="192"/>
              <w:rPr>
                <w:rFonts w:hint="default" w:ascii="Times New Roman" w:hAnsi="Times New Roman" w:cs="Times New Roman"/>
                <w:spacing w:val="-2"/>
              </w:rPr>
            </w:pPr>
            <w:r>
              <w:rPr>
                <w:rFonts w:hint="default" w:ascii="Times New Roman" w:hAnsi="Times New Roman" w:cs="Times New Roman"/>
                <w:spacing w:val="-2"/>
              </w:rPr>
              <w:t>技术指标</w:t>
            </w:r>
          </w:p>
        </w:tc>
        <w:tc>
          <w:tcPr>
            <w:tcW w:w="647" w:type="pct"/>
            <w:shd w:val="clear" w:color="auto" w:fill="auto"/>
            <w:vAlign w:val="center"/>
          </w:tcPr>
          <w:p w14:paraId="5A8510C0">
            <w:pPr>
              <w:pStyle w:val="192"/>
              <w:rPr>
                <w:rFonts w:hint="default" w:ascii="Times New Roman" w:hAnsi="Times New Roman" w:cs="Times New Roman"/>
                <w:spacing w:val="-2"/>
              </w:rPr>
            </w:pPr>
            <w:r>
              <w:rPr>
                <w:rFonts w:hint="default" w:ascii="Times New Roman" w:hAnsi="Times New Roman" w:cs="Times New Roman"/>
                <w:spacing w:val="-2"/>
              </w:rPr>
              <w:t>试验方法</w:t>
            </w:r>
          </w:p>
        </w:tc>
      </w:tr>
      <w:tr w14:paraId="5C192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738" w:type="pct"/>
            <w:gridSpan w:val="2"/>
            <w:shd w:val="clear" w:color="auto" w:fill="auto"/>
            <w:vAlign w:val="center"/>
          </w:tcPr>
          <w:p w14:paraId="6930C27A">
            <w:pPr>
              <w:pStyle w:val="192"/>
              <w:rPr>
                <w:rFonts w:hint="default" w:ascii="Times New Roman" w:hAnsi="Times New Roman" w:cs="Times New Roman"/>
                <w:spacing w:val="-2"/>
              </w:rPr>
            </w:pPr>
            <w:r>
              <w:rPr>
                <w:rFonts w:hint="default" w:ascii="Times New Roman" w:hAnsi="Times New Roman" w:cs="Times New Roman"/>
                <w:spacing w:val="-2"/>
              </w:rPr>
              <w:t>破乳速度</w:t>
            </w:r>
          </w:p>
        </w:tc>
        <w:tc>
          <w:tcPr>
            <w:tcW w:w="1615" w:type="pct"/>
            <w:shd w:val="clear" w:color="auto" w:fill="auto"/>
            <w:vAlign w:val="center"/>
          </w:tcPr>
          <w:p w14:paraId="0EA1BDCE">
            <w:pPr>
              <w:pStyle w:val="192"/>
              <w:rPr>
                <w:rFonts w:hint="default" w:ascii="Times New Roman" w:hAnsi="Times New Roman" w:cs="Times New Roman"/>
                <w:spacing w:val="-2"/>
              </w:rPr>
            </w:pPr>
            <w:r>
              <w:rPr>
                <w:rFonts w:hint="default" w:ascii="Times New Roman" w:hAnsi="Times New Roman" w:cs="Times New Roman"/>
                <w:spacing w:val="-2"/>
              </w:rPr>
              <w:t>快裂</w:t>
            </w:r>
          </w:p>
        </w:tc>
        <w:tc>
          <w:tcPr>
            <w:tcW w:w="647" w:type="pct"/>
            <w:shd w:val="clear" w:color="auto" w:fill="auto"/>
            <w:vAlign w:val="center"/>
          </w:tcPr>
          <w:p w14:paraId="6DFB487F">
            <w:pPr>
              <w:pStyle w:val="192"/>
              <w:rPr>
                <w:rFonts w:hint="default" w:ascii="Times New Roman" w:hAnsi="Times New Roman" w:cs="Times New Roman"/>
                <w:spacing w:val="-2"/>
              </w:rPr>
            </w:pPr>
            <w:r>
              <w:rPr>
                <w:rFonts w:hint="default" w:ascii="Times New Roman" w:hAnsi="Times New Roman" w:cs="Times New Roman"/>
                <w:spacing w:val="-2"/>
              </w:rPr>
              <w:t>T0658</w:t>
            </w:r>
          </w:p>
        </w:tc>
      </w:tr>
      <w:tr w14:paraId="1BC73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2738" w:type="pct"/>
            <w:gridSpan w:val="2"/>
            <w:shd w:val="clear" w:color="auto" w:fill="auto"/>
            <w:vAlign w:val="center"/>
          </w:tcPr>
          <w:p w14:paraId="4BF8FB98">
            <w:pPr>
              <w:pStyle w:val="192"/>
              <w:rPr>
                <w:rFonts w:hint="default" w:ascii="Times New Roman" w:hAnsi="Times New Roman" w:cs="Times New Roman"/>
                <w:spacing w:val="-2"/>
              </w:rPr>
            </w:pPr>
            <w:r>
              <w:rPr>
                <w:rFonts w:hint="default" w:ascii="Times New Roman" w:hAnsi="Times New Roman" w:cs="Times New Roman"/>
                <w:spacing w:val="-2"/>
              </w:rPr>
              <w:t>粒子电荷</w:t>
            </w:r>
          </w:p>
        </w:tc>
        <w:tc>
          <w:tcPr>
            <w:tcW w:w="1615" w:type="pct"/>
            <w:shd w:val="clear" w:color="auto" w:fill="auto"/>
            <w:vAlign w:val="center"/>
          </w:tcPr>
          <w:p w14:paraId="29D8C798">
            <w:pPr>
              <w:pStyle w:val="192"/>
              <w:rPr>
                <w:rFonts w:hint="default" w:ascii="Times New Roman" w:hAnsi="Times New Roman" w:cs="Times New Roman"/>
                <w:spacing w:val="-2"/>
              </w:rPr>
            </w:pPr>
            <w:r>
              <w:rPr>
                <w:rFonts w:hint="default" w:ascii="Times New Roman" w:hAnsi="Times New Roman" w:cs="Times New Roman"/>
                <w:spacing w:val="-2"/>
              </w:rPr>
              <w:t>阳离子（＋）</w:t>
            </w:r>
          </w:p>
        </w:tc>
        <w:tc>
          <w:tcPr>
            <w:tcW w:w="647" w:type="pct"/>
            <w:shd w:val="clear" w:color="auto" w:fill="auto"/>
            <w:vAlign w:val="center"/>
          </w:tcPr>
          <w:p w14:paraId="7C6DCFBB">
            <w:pPr>
              <w:pStyle w:val="192"/>
              <w:rPr>
                <w:rFonts w:hint="default" w:ascii="Times New Roman" w:hAnsi="Times New Roman" w:cs="Times New Roman"/>
                <w:spacing w:val="-2"/>
              </w:rPr>
            </w:pPr>
            <w:r>
              <w:rPr>
                <w:rFonts w:hint="default" w:ascii="Times New Roman" w:hAnsi="Times New Roman" w:cs="Times New Roman"/>
                <w:spacing w:val="-2"/>
              </w:rPr>
              <w:t>T0653</w:t>
            </w:r>
          </w:p>
        </w:tc>
      </w:tr>
      <w:tr w14:paraId="22ADB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2738" w:type="pct"/>
            <w:gridSpan w:val="2"/>
            <w:shd w:val="clear" w:color="auto" w:fill="auto"/>
            <w:vAlign w:val="center"/>
          </w:tcPr>
          <w:p w14:paraId="45A29CFB">
            <w:pPr>
              <w:pStyle w:val="192"/>
              <w:rPr>
                <w:rFonts w:hint="default" w:ascii="Times New Roman" w:hAnsi="Times New Roman" w:cs="Times New Roman"/>
                <w:spacing w:val="-2"/>
              </w:rPr>
            </w:pPr>
            <w:r>
              <w:rPr>
                <w:rFonts w:hint="default" w:ascii="Times New Roman" w:hAnsi="Times New Roman" w:cs="Times New Roman"/>
                <w:spacing w:val="-2"/>
              </w:rPr>
              <w:t>筛上剩余量 （1.18mm） （%）</w:t>
            </w:r>
          </w:p>
        </w:tc>
        <w:tc>
          <w:tcPr>
            <w:tcW w:w="1615" w:type="pct"/>
            <w:shd w:val="clear" w:color="auto" w:fill="auto"/>
            <w:vAlign w:val="center"/>
          </w:tcPr>
          <w:p w14:paraId="0A6D2340">
            <w:pPr>
              <w:pStyle w:val="192"/>
              <w:rPr>
                <w:rFonts w:hint="default" w:ascii="Times New Roman" w:hAnsi="Times New Roman" w:cs="Times New Roman"/>
                <w:spacing w:val="-2"/>
              </w:rPr>
            </w:pPr>
            <w:r>
              <w:rPr>
                <w:rFonts w:hint="default" w:ascii="Times New Roman" w:hAnsi="Times New Roman" w:cs="Times New Roman"/>
                <w:spacing w:val="-2"/>
              </w:rPr>
              <w:t>≤0.1</w:t>
            </w:r>
          </w:p>
        </w:tc>
        <w:tc>
          <w:tcPr>
            <w:tcW w:w="647" w:type="pct"/>
            <w:shd w:val="clear" w:color="auto" w:fill="auto"/>
            <w:vAlign w:val="center"/>
          </w:tcPr>
          <w:p w14:paraId="17EE0E77">
            <w:pPr>
              <w:pStyle w:val="192"/>
              <w:rPr>
                <w:rFonts w:hint="default" w:ascii="Times New Roman" w:hAnsi="Times New Roman" w:cs="Times New Roman"/>
                <w:spacing w:val="-2"/>
              </w:rPr>
            </w:pPr>
            <w:r>
              <w:rPr>
                <w:rFonts w:hint="default" w:ascii="Times New Roman" w:hAnsi="Times New Roman" w:cs="Times New Roman"/>
                <w:spacing w:val="-2"/>
              </w:rPr>
              <w:t>T0652</w:t>
            </w:r>
          </w:p>
        </w:tc>
      </w:tr>
      <w:tr w14:paraId="196EC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pct"/>
            <w:vMerge w:val="restart"/>
            <w:shd w:val="clear" w:color="auto" w:fill="auto"/>
            <w:vAlign w:val="center"/>
          </w:tcPr>
          <w:p w14:paraId="7D828B52">
            <w:pPr>
              <w:pStyle w:val="192"/>
              <w:rPr>
                <w:rFonts w:hint="default" w:ascii="Times New Roman" w:hAnsi="Times New Roman" w:cs="Times New Roman"/>
                <w:spacing w:val="-2"/>
              </w:rPr>
            </w:pPr>
            <w:r>
              <w:rPr>
                <w:rFonts w:hint="default" w:ascii="Times New Roman" w:hAnsi="Times New Roman" w:cs="Times New Roman"/>
                <w:spacing w:val="-2"/>
              </w:rPr>
              <w:t>黏度</w:t>
            </w:r>
          </w:p>
        </w:tc>
        <w:tc>
          <w:tcPr>
            <w:tcW w:w="1776" w:type="pct"/>
            <w:shd w:val="clear" w:color="auto" w:fill="auto"/>
            <w:vAlign w:val="center"/>
          </w:tcPr>
          <w:p w14:paraId="1427D6B5">
            <w:pPr>
              <w:pStyle w:val="192"/>
              <w:rPr>
                <w:rFonts w:hint="default" w:ascii="Times New Roman" w:hAnsi="Times New Roman" w:cs="Times New Roman"/>
                <w:spacing w:val="-2"/>
              </w:rPr>
            </w:pPr>
            <w:r>
              <w:rPr>
                <w:rFonts w:hint="default" w:ascii="Times New Roman" w:hAnsi="Times New Roman" w:cs="Times New Roman"/>
                <w:spacing w:val="-2"/>
              </w:rPr>
              <w:t>恩格拉黏度E</w:t>
            </w:r>
            <w:r>
              <w:rPr>
                <w:rFonts w:hint="default" w:ascii="Times New Roman" w:hAnsi="Times New Roman" w:cs="Times New Roman"/>
                <w:spacing w:val="-2"/>
                <w:vertAlign w:val="subscript"/>
              </w:rPr>
              <w:t>25</w:t>
            </w:r>
          </w:p>
        </w:tc>
        <w:tc>
          <w:tcPr>
            <w:tcW w:w="1615" w:type="pct"/>
            <w:shd w:val="clear" w:color="auto" w:fill="auto"/>
            <w:vAlign w:val="center"/>
          </w:tcPr>
          <w:p w14:paraId="5764926D">
            <w:pPr>
              <w:pStyle w:val="192"/>
              <w:rPr>
                <w:rFonts w:hint="default" w:ascii="Times New Roman" w:hAnsi="Times New Roman" w:cs="Times New Roman"/>
                <w:spacing w:val="-2"/>
              </w:rPr>
            </w:pPr>
            <w:r>
              <w:rPr>
                <w:rFonts w:hint="default" w:ascii="Times New Roman" w:hAnsi="Times New Roman" w:cs="Times New Roman"/>
                <w:spacing w:val="-2"/>
              </w:rPr>
              <w:t>3~20</w:t>
            </w:r>
          </w:p>
        </w:tc>
        <w:tc>
          <w:tcPr>
            <w:tcW w:w="647" w:type="pct"/>
            <w:shd w:val="clear" w:color="auto" w:fill="auto"/>
            <w:vAlign w:val="center"/>
          </w:tcPr>
          <w:p w14:paraId="48525409">
            <w:pPr>
              <w:pStyle w:val="192"/>
              <w:rPr>
                <w:rFonts w:hint="default" w:ascii="Times New Roman" w:hAnsi="Times New Roman" w:cs="Times New Roman"/>
                <w:spacing w:val="-2"/>
              </w:rPr>
            </w:pPr>
            <w:r>
              <w:rPr>
                <w:rFonts w:hint="default" w:ascii="Times New Roman" w:hAnsi="Times New Roman" w:cs="Times New Roman"/>
                <w:spacing w:val="-2"/>
              </w:rPr>
              <w:t>T0622</w:t>
            </w:r>
          </w:p>
        </w:tc>
      </w:tr>
      <w:tr w14:paraId="4F7C1B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pct"/>
            <w:vMerge w:val="continue"/>
            <w:shd w:val="clear" w:color="auto" w:fill="auto"/>
            <w:vAlign w:val="center"/>
          </w:tcPr>
          <w:p w14:paraId="49002CFF">
            <w:pPr>
              <w:pStyle w:val="192"/>
              <w:rPr>
                <w:rFonts w:hint="default" w:ascii="Times New Roman" w:hAnsi="Times New Roman" w:cs="Times New Roman"/>
                <w:spacing w:val="-2"/>
              </w:rPr>
            </w:pPr>
          </w:p>
        </w:tc>
        <w:tc>
          <w:tcPr>
            <w:tcW w:w="1776" w:type="pct"/>
            <w:shd w:val="clear" w:color="auto" w:fill="auto"/>
            <w:vAlign w:val="center"/>
          </w:tcPr>
          <w:p w14:paraId="26CB12C6">
            <w:pPr>
              <w:pStyle w:val="192"/>
              <w:rPr>
                <w:rFonts w:hint="default" w:ascii="Times New Roman" w:hAnsi="Times New Roman" w:cs="Times New Roman"/>
                <w:spacing w:val="-2"/>
              </w:rPr>
            </w:pPr>
            <w:r>
              <w:rPr>
                <w:rFonts w:hint="default" w:ascii="Times New Roman" w:hAnsi="Times New Roman" w:cs="Times New Roman"/>
                <w:spacing w:val="-2"/>
              </w:rPr>
              <w:t>沥青标准黏度C</w:t>
            </w:r>
            <w:r>
              <w:rPr>
                <w:rFonts w:hint="default" w:ascii="Times New Roman" w:hAnsi="Times New Roman" w:cs="Times New Roman"/>
                <w:spacing w:val="-2"/>
                <w:vertAlign w:val="subscript"/>
              </w:rPr>
              <w:t>25，3</w:t>
            </w:r>
            <w:r>
              <w:rPr>
                <w:rFonts w:hint="default" w:ascii="Times New Roman" w:hAnsi="Times New Roman" w:cs="Times New Roman"/>
                <w:spacing w:val="-2"/>
              </w:rPr>
              <w:t>（s）</w:t>
            </w:r>
          </w:p>
        </w:tc>
        <w:tc>
          <w:tcPr>
            <w:tcW w:w="1615" w:type="pct"/>
            <w:shd w:val="clear" w:color="auto" w:fill="auto"/>
            <w:vAlign w:val="center"/>
          </w:tcPr>
          <w:p w14:paraId="579BEB21">
            <w:pPr>
              <w:pStyle w:val="192"/>
              <w:rPr>
                <w:rFonts w:hint="default" w:ascii="Times New Roman" w:hAnsi="Times New Roman" w:cs="Times New Roman"/>
                <w:spacing w:val="-2"/>
              </w:rPr>
            </w:pPr>
            <w:r>
              <w:rPr>
                <w:rFonts w:hint="default" w:ascii="Times New Roman" w:hAnsi="Times New Roman" w:cs="Times New Roman"/>
                <w:spacing w:val="-2"/>
              </w:rPr>
              <w:t>12~60</w:t>
            </w:r>
          </w:p>
        </w:tc>
        <w:tc>
          <w:tcPr>
            <w:tcW w:w="647" w:type="pct"/>
            <w:shd w:val="clear" w:color="auto" w:fill="auto"/>
            <w:vAlign w:val="center"/>
          </w:tcPr>
          <w:p w14:paraId="1398297B">
            <w:pPr>
              <w:pStyle w:val="192"/>
              <w:rPr>
                <w:rFonts w:hint="default" w:ascii="Times New Roman" w:hAnsi="Times New Roman" w:cs="Times New Roman"/>
                <w:spacing w:val="-2"/>
              </w:rPr>
            </w:pPr>
            <w:r>
              <w:rPr>
                <w:rFonts w:hint="default" w:ascii="Times New Roman" w:hAnsi="Times New Roman" w:cs="Times New Roman"/>
                <w:spacing w:val="-2"/>
              </w:rPr>
              <w:t>T0621</w:t>
            </w:r>
          </w:p>
        </w:tc>
      </w:tr>
      <w:tr w14:paraId="4129F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pct"/>
            <w:vMerge w:val="restart"/>
            <w:shd w:val="clear" w:color="auto" w:fill="auto"/>
            <w:vAlign w:val="center"/>
          </w:tcPr>
          <w:p w14:paraId="67253F4B">
            <w:pPr>
              <w:pStyle w:val="192"/>
              <w:rPr>
                <w:rFonts w:hint="default" w:ascii="Times New Roman" w:hAnsi="Times New Roman" w:cs="Times New Roman"/>
                <w:spacing w:val="-2"/>
              </w:rPr>
            </w:pPr>
            <w:r>
              <w:rPr>
                <w:rFonts w:hint="default" w:ascii="Times New Roman" w:hAnsi="Times New Roman" w:cs="Times New Roman"/>
                <w:spacing w:val="-2"/>
              </w:rPr>
              <w:t>蒸发残留物性能试验</w:t>
            </w:r>
          </w:p>
        </w:tc>
        <w:tc>
          <w:tcPr>
            <w:tcW w:w="1776" w:type="pct"/>
            <w:shd w:val="clear" w:color="auto" w:fill="auto"/>
            <w:vAlign w:val="center"/>
          </w:tcPr>
          <w:p w14:paraId="1AFA0E18">
            <w:pPr>
              <w:pStyle w:val="192"/>
              <w:rPr>
                <w:rFonts w:hint="default" w:ascii="Times New Roman" w:hAnsi="Times New Roman" w:cs="Times New Roman"/>
                <w:spacing w:val="-2"/>
              </w:rPr>
            </w:pPr>
            <w:r>
              <w:rPr>
                <w:rFonts w:hint="default" w:ascii="Times New Roman" w:hAnsi="Times New Roman" w:cs="Times New Roman"/>
                <w:spacing w:val="-2"/>
              </w:rPr>
              <w:t>含量（%）</w:t>
            </w:r>
          </w:p>
        </w:tc>
        <w:tc>
          <w:tcPr>
            <w:tcW w:w="1615" w:type="pct"/>
            <w:shd w:val="clear" w:color="auto" w:fill="auto"/>
            <w:vAlign w:val="center"/>
          </w:tcPr>
          <w:p w14:paraId="05FB6D23">
            <w:pPr>
              <w:pStyle w:val="192"/>
              <w:rPr>
                <w:rFonts w:hint="default" w:ascii="Times New Roman" w:hAnsi="Times New Roman" w:cs="Times New Roman"/>
                <w:spacing w:val="-2"/>
              </w:rPr>
            </w:pPr>
            <w:r>
              <w:rPr>
                <w:rFonts w:hint="default" w:ascii="Times New Roman" w:hAnsi="Times New Roman" w:cs="Times New Roman"/>
                <w:spacing w:val="-2"/>
              </w:rPr>
              <w:t>≥60</w:t>
            </w:r>
          </w:p>
        </w:tc>
        <w:tc>
          <w:tcPr>
            <w:tcW w:w="647" w:type="pct"/>
            <w:shd w:val="clear" w:color="auto" w:fill="auto"/>
            <w:vAlign w:val="center"/>
          </w:tcPr>
          <w:p w14:paraId="199696F5">
            <w:pPr>
              <w:pStyle w:val="192"/>
              <w:rPr>
                <w:rFonts w:hint="default" w:ascii="Times New Roman" w:hAnsi="Times New Roman" w:cs="Times New Roman"/>
                <w:spacing w:val="-2"/>
              </w:rPr>
            </w:pPr>
            <w:r>
              <w:rPr>
                <w:rFonts w:hint="default" w:ascii="Times New Roman" w:hAnsi="Times New Roman" w:cs="Times New Roman"/>
                <w:spacing w:val="-2"/>
              </w:rPr>
              <w:t>T0651</w:t>
            </w:r>
          </w:p>
        </w:tc>
      </w:tr>
      <w:tr w14:paraId="38B67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962" w:type="pct"/>
            <w:vMerge w:val="continue"/>
            <w:shd w:val="clear" w:color="auto" w:fill="auto"/>
            <w:vAlign w:val="center"/>
          </w:tcPr>
          <w:p w14:paraId="0188F42F">
            <w:pPr>
              <w:pStyle w:val="192"/>
              <w:rPr>
                <w:rFonts w:hint="default" w:ascii="Times New Roman" w:hAnsi="Times New Roman" w:cs="Times New Roman"/>
                <w:spacing w:val="-2"/>
              </w:rPr>
            </w:pPr>
          </w:p>
        </w:tc>
        <w:tc>
          <w:tcPr>
            <w:tcW w:w="1776" w:type="pct"/>
            <w:shd w:val="clear" w:color="auto" w:fill="auto"/>
            <w:vAlign w:val="center"/>
          </w:tcPr>
          <w:p w14:paraId="3D80BDA3">
            <w:pPr>
              <w:pStyle w:val="192"/>
              <w:rPr>
                <w:rFonts w:hint="default" w:ascii="Times New Roman" w:hAnsi="Times New Roman" w:cs="Times New Roman"/>
                <w:spacing w:val="-2"/>
              </w:rPr>
            </w:pPr>
            <w:r>
              <w:rPr>
                <w:rFonts w:hint="default" w:ascii="Times New Roman" w:hAnsi="Times New Roman" w:cs="Times New Roman"/>
                <w:spacing w:val="-2"/>
              </w:rPr>
              <w:t>针入度（25℃，100g， 5s） （0.1mm）</w:t>
            </w:r>
          </w:p>
        </w:tc>
        <w:tc>
          <w:tcPr>
            <w:tcW w:w="1615" w:type="pct"/>
            <w:shd w:val="clear" w:color="auto" w:fill="auto"/>
            <w:vAlign w:val="center"/>
          </w:tcPr>
          <w:p w14:paraId="0EF7E139">
            <w:pPr>
              <w:pStyle w:val="192"/>
              <w:rPr>
                <w:rFonts w:hint="default" w:ascii="Times New Roman" w:hAnsi="Times New Roman" w:cs="Times New Roman"/>
                <w:spacing w:val="-2"/>
              </w:rPr>
            </w:pPr>
            <w:r>
              <w:rPr>
                <w:rFonts w:hint="default" w:ascii="Times New Roman" w:hAnsi="Times New Roman" w:cs="Times New Roman"/>
                <w:spacing w:val="-2"/>
              </w:rPr>
              <w:t>60~100</w:t>
            </w:r>
          </w:p>
        </w:tc>
        <w:tc>
          <w:tcPr>
            <w:tcW w:w="647" w:type="pct"/>
            <w:shd w:val="clear" w:color="auto" w:fill="auto"/>
            <w:vAlign w:val="center"/>
          </w:tcPr>
          <w:p w14:paraId="5687F45D">
            <w:pPr>
              <w:pStyle w:val="192"/>
              <w:rPr>
                <w:rFonts w:hint="default" w:ascii="Times New Roman" w:hAnsi="Times New Roman" w:cs="Times New Roman"/>
                <w:spacing w:val="-2"/>
              </w:rPr>
            </w:pPr>
            <w:r>
              <w:rPr>
                <w:rFonts w:hint="default" w:ascii="Times New Roman" w:hAnsi="Times New Roman" w:cs="Times New Roman"/>
                <w:spacing w:val="-2"/>
              </w:rPr>
              <w:t>T0604</w:t>
            </w:r>
          </w:p>
        </w:tc>
      </w:tr>
      <w:tr w14:paraId="4E3B7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pct"/>
            <w:vMerge w:val="continue"/>
            <w:shd w:val="clear" w:color="auto" w:fill="auto"/>
            <w:vAlign w:val="center"/>
          </w:tcPr>
          <w:p w14:paraId="4B13D3BA">
            <w:pPr>
              <w:pStyle w:val="192"/>
              <w:rPr>
                <w:rFonts w:hint="default" w:ascii="Times New Roman" w:hAnsi="Times New Roman" w:cs="Times New Roman"/>
                <w:spacing w:val="-2"/>
              </w:rPr>
            </w:pPr>
          </w:p>
        </w:tc>
        <w:tc>
          <w:tcPr>
            <w:tcW w:w="1776" w:type="pct"/>
            <w:shd w:val="clear" w:color="auto" w:fill="auto"/>
            <w:vAlign w:val="center"/>
          </w:tcPr>
          <w:p w14:paraId="52AE5911">
            <w:pPr>
              <w:pStyle w:val="192"/>
              <w:rPr>
                <w:rFonts w:hint="default" w:ascii="Times New Roman" w:hAnsi="Times New Roman" w:cs="Times New Roman"/>
                <w:spacing w:val="-2"/>
              </w:rPr>
            </w:pPr>
            <w:r>
              <w:rPr>
                <w:rFonts w:hint="default" w:ascii="Times New Roman" w:hAnsi="Times New Roman" w:cs="Times New Roman"/>
                <w:spacing w:val="-2"/>
              </w:rPr>
              <w:t>软化点（℃）</w:t>
            </w:r>
          </w:p>
        </w:tc>
        <w:tc>
          <w:tcPr>
            <w:tcW w:w="1615" w:type="pct"/>
            <w:shd w:val="clear" w:color="auto" w:fill="auto"/>
            <w:vAlign w:val="center"/>
          </w:tcPr>
          <w:p w14:paraId="059BBA7F">
            <w:pPr>
              <w:pStyle w:val="192"/>
              <w:rPr>
                <w:rFonts w:hint="default" w:ascii="Times New Roman" w:hAnsi="Times New Roman" w:cs="Times New Roman"/>
                <w:spacing w:val="-2"/>
              </w:rPr>
            </w:pPr>
            <w:r>
              <w:rPr>
                <w:rFonts w:hint="default" w:ascii="Times New Roman" w:hAnsi="Times New Roman" w:cs="Times New Roman"/>
                <w:spacing w:val="-2"/>
              </w:rPr>
              <w:t>≥85</w:t>
            </w:r>
          </w:p>
        </w:tc>
        <w:tc>
          <w:tcPr>
            <w:tcW w:w="647" w:type="pct"/>
            <w:shd w:val="clear" w:color="auto" w:fill="auto"/>
            <w:vAlign w:val="center"/>
          </w:tcPr>
          <w:p w14:paraId="424E3B08">
            <w:pPr>
              <w:pStyle w:val="192"/>
              <w:rPr>
                <w:rFonts w:hint="default" w:ascii="Times New Roman" w:hAnsi="Times New Roman" w:cs="Times New Roman"/>
                <w:spacing w:val="-2"/>
              </w:rPr>
            </w:pPr>
            <w:r>
              <w:rPr>
                <w:rFonts w:hint="default" w:ascii="Times New Roman" w:hAnsi="Times New Roman" w:cs="Times New Roman"/>
                <w:spacing w:val="-2"/>
              </w:rPr>
              <w:t>T0606</w:t>
            </w:r>
          </w:p>
        </w:tc>
      </w:tr>
      <w:tr w14:paraId="7701E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962" w:type="pct"/>
            <w:vMerge w:val="continue"/>
            <w:shd w:val="clear" w:color="auto" w:fill="auto"/>
            <w:vAlign w:val="center"/>
          </w:tcPr>
          <w:p w14:paraId="5988D142">
            <w:pPr>
              <w:pStyle w:val="192"/>
              <w:rPr>
                <w:rFonts w:hint="default" w:ascii="Times New Roman" w:hAnsi="Times New Roman" w:cs="Times New Roman"/>
                <w:spacing w:val="-2"/>
              </w:rPr>
            </w:pPr>
          </w:p>
        </w:tc>
        <w:tc>
          <w:tcPr>
            <w:tcW w:w="1776" w:type="pct"/>
            <w:shd w:val="clear" w:color="auto" w:fill="auto"/>
            <w:vAlign w:val="center"/>
          </w:tcPr>
          <w:p w14:paraId="70D0B561">
            <w:pPr>
              <w:pStyle w:val="192"/>
              <w:rPr>
                <w:rFonts w:hint="default" w:ascii="Times New Roman" w:hAnsi="Times New Roman" w:cs="Times New Roman"/>
                <w:spacing w:val="-2"/>
              </w:rPr>
            </w:pPr>
            <w:r>
              <w:rPr>
                <w:rFonts w:hint="default" w:ascii="Times New Roman" w:hAnsi="Times New Roman" w:cs="Times New Roman"/>
                <w:spacing w:val="-2"/>
              </w:rPr>
              <w:t>延度（5℃，5cm/min）（cm）</w:t>
            </w:r>
          </w:p>
        </w:tc>
        <w:tc>
          <w:tcPr>
            <w:tcW w:w="1615" w:type="pct"/>
            <w:shd w:val="clear" w:color="auto" w:fill="auto"/>
            <w:vAlign w:val="center"/>
          </w:tcPr>
          <w:p w14:paraId="11CB335E">
            <w:pPr>
              <w:pStyle w:val="192"/>
              <w:rPr>
                <w:rFonts w:hint="default" w:ascii="Times New Roman" w:hAnsi="Times New Roman" w:cs="Times New Roman"/>
                <w:spacing w:val="-2"/>
              </w:rPr>
            </w:pPr>
            <w:r>
              <w:rPr>
                <w:rFonts w:hint="default" w:ascii="Times New Roman" w:hAnsi="Times New Roman" w:cs="Times New Roman"/>
                <w:spacing w:val="-2"/>
              </w:rPr>
              <w:t>≥45</w:t>
            </w:r>
          </w:p>
        </w:tc>
        <w:tc>
          <w:tcPr>
            <w:tcW w:w="647" w:type="pct"/>
            <w:shd w:val="clear" w:color="auto" w:fill="auto"/>
            <w:vAlign w:val="center"/>
          </w:tcPr>
          <w:p w14:paraId="3B7E4AA1">
            <w:pPr>
              <w:pStyle w:val="192"/>
              <w:rPr>
                <w:rFonts w:hint="default" w:ascii="Times New Roman" w:hAnsi="Times New Roman" w:cs="Times New Roman"/>
                <w:spacing w:val="-2"/>
              </w:rPr>
            </w:pPr>
            <w:r>
              <w:rPr>
                <w:rFonts w:hint="default" w:ascii="Times New Roman" w:hAnsi="Times New Roman" w:cs="Times New Roman"/>
                <w:spacing w:val="-2"/>
              </w:rPr>
              <w:t>T0605</w:t>
            </w:r>
          </w:p>
        </w:tc>
      </w:tr>
      <w:tr w14:paraId="0C9B2B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962" w:type="pct"/>
            <w:vMerge w:val="continue"/>
            <w:shd w:val="clear" w:color="auto" w:fill="auto"/>
            <w:vAlign w:val="center"/>
          </w:tcPr>
          <w:p w14:paraId="1EE6E340">
            <w:pPr>
              <w:pStyle w:val="192"/>
              <w:rPr>
                <w:rFonts w:hint="default" w:ascii="Times New Roman" w:hAnsi="Times New Roman" w:cs="Times New Roman"/>
                <w:spacing w:val="-2"/>
              </w:rPr>
            </w:pPr>
          </w:p>
        </w:tc>
        <w:tc>
          <w:tcPr>
            <w:tcW w:w="1776" w:type="pct"/>
            <w:shd w:val="clear" w:color="auto" w:fill="auto"/>
            <w:vAlign w:val="center"/>
          </w:tcPr>
          <w:p w14:paraId="1AA8BE95">
            <w:pPr>
              <w:pStyle w:val="192"/>
              <w:rPr>
                <w:rFonts w:hint="default" w:ascii="Times New Roman" w:hAnsi="Times New Roman" w:cs="Times New Roman"/>
                <w:spacing w:val="-2"/>
              </w:rPr>
            </w:pPr>
            <w:r>
              <w:rPr>
                <w:rFonts w:hint="default" w:ascii="Times New Roman" w:hAnsi="Times New Roman" w:cs="Times New Roman"/>
                <w:spacing w:val="-2"/>
              </w:rPr>
              <w:t>溶解度（三氯乙烯）（%）</w:t>
            </w:r>
          </w:p>
        </w:tc>
        <w:tc>
          <w:tcPr>
            <w:tcW w:w="1615" w:type="pct"/>
            <w:shd w:val="clear" w:color="auto" w:fill="auto"/>
            <w:vAlign w:val="center"/>
          </w:tcPr>
          <w:p w14:paraId="56A413AC">
            <w:pPr>
              <w:pStyle w:val="192"/>
              <w:rPr>
                <w:rFonts w:hint="default" w:ascii="Times New Roman" w:hAnsi="Times New Roman" w:cs="Times New Roman"/>
                <w:spacing w:val="-2"/>
              </w:rPr>
            </w:pPr>
            <w:r>
              <w:rPr>
                <w:rFonts w:hint="default" w:ascii="Times New Roman" w:hAnsi="Times New Roman" w:cs="Times New Roman"/>
                <w:spacing w:val="-2"/>
              </w:rPr>
              <w:t>≥97.5</w:t>
            </w:r>
          </w:p>
        </w:tc>
        <w:tc>
          <w:tcPr>
            <w:tcW w:w="647" w:type="pct"/>
            <w:shd w:val="clear" w:color="auto" w:fill="auto"/>
            <w:vAlign w:val="center"/>
          </w:tcPr>
          <w:p w14:paraId="6F939A81">
            <w:pPr>
              <w:pStyle w:val="192"/>
              <w:rPr>
                <w:rFonts w:hint="default" w:ascii="Times New Roman" w:hAnsi="Times New Roman" w:cs="Times New Roman"/>
                <w:spacing w:val="-2"/>
              </w:rPr>
            </w:pPr>
            <w:r>
              <w:rPr>
                <w:rFonts w:hint="default" w:ascii="Times New Roman" w:hAnsi="Times New Roman" w:cs="Times New Roman"/>
                <w:spacing w:val="-2"/>
              </w:rPr>
              <w:t>T0607</w:t>
            </w:r>
          </w:p>
        </w:tc>
      </w:tr>
      <w:tr w14:paraId="03526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pct"/>
            <w:vMerge w:val="continue"/>
            <w:shd w:val="clear" w:color="auto" w:fill="auto"/>
            <w:vAlign w:val="center"/>
          </w:tcPr>
          <w:p w14:paraId="37E8F834">
            <w:pPr>
              <w:pStyle w:val="192"/>
              <w:rPr>
                <w:rFonts w:hint="default" w:ascii="Times New Roman" w:hAnsi="Times New Roman" w:cs="Times New Roman"/>
                <w:spacing w:val="-2"/>
              </w:rPr>
            </w:pPr>
          </w:p>
        </w:tc>
        <w:tc>
          <w:tcPr>
            <w:tcW w:w="1776" w:type="pct"/>
            <w:shd w:val="clear" w:color="auto" w:fill="auto"/>
            <w:vAlign w:val="center"/>
          </w:tcPr>
          <w:p w14:paraId="7F86ABDE">
            <w:pPr>
              <w:pStyle w:val="192"/>
              <w:rPr>
                <w:rFonts w:hint="default" w:ascii="Times New Roman" w:hAnsi="Times New Roman" w:cs="Times New Roman"/>
                <w:spacing w:val="-2"/>
              </w:rPr>
            </w:pPr>
            <w:r>
              <w:rPr>
                <w:rFonts w:hint="default" w:ascii="Times New Roman" w:hAnsi="Times New Roman" w:cs="Times New Roman"/>
                <w:spacing w:val="-2"/>
              </w:rPr>
              <w:t>25℃弹性恢复 （%）</w:t>
            </w:r>
          </w:p>
        </w:tc>
        <w:tc>
          <w:tcPr>
            <w:tcW w:w="1615" w:type="pct"/>
            <w:shd w:val="clear" w:color="auto" w:fill="auto"/>
            <w:vAlign w:val="center"/>
          </w:tcPr>
          <w:p w14:paraId="6C7C60B4">
            <w:pPr>
              <w:pStyle w:val="192"/>
              <w:rPr>
                <w:rFonts w:hint="default" w:ascii="Times New Roman" w:hAnsi="Times New Roman" w:cs="Times New Roman"/>
                <w:spacing w:val="-2"/>
              </w:rPr>
            </w:pPr>
            <w:r>
              <w:rPr>
                <w:rFonts w:hint="default" w:ascii="Times New Roman" w:hAnsi="Times New Roman" w:cs="Times New Roman"/>
                <w:spacing w:val="-2"/>
              </w:rPr>
              <w:t>≥95</w:t>
            </w:r>
          </w:p>
        </w:tc>
        <w:tc>
          <w:tcPr>
            <w:tcW w:w="647" w:type="pct"/>
            <w:shd w:val="clear" w:color="auto" w:fill="auto"/>
            <w:vAlign w:val="center"/>
          </w:tcPr>
          <w:p w14:paraId="7A96B95F">
            <w:pPr>
              <w:pStyle w:val="192"/>
              <w:rPr>
                <w:rFonts w:hint="default" w:ascii="Times New Roman" w:hAnsi="Times New Roman" w:cs="Times New Roman"/>
                <w:spacing w:val="-2"/>
              </w:rPr>
            </w:pPr>
            <w:r>
              <w:rPr>
                <w:rFonts w:hint="default" w:ascii="Times New Roman" w:hAnsi="Times New Roman" w:cs="Times New Roman"/>
                <w:spacing w:val="-2"/>
              </w:rPr>
              <w:t>T0662</w:t>
            </w:r>
          </w:p>
        </w:tc>
      </w:tr>
      <w:tr w14:paraId="242AF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pct"/>
            <w:vMerge w:val="continue"/>
            <w:shd w:val="clear" w:color="auto" w:fill="auto"/>
            <w:vAlign w:val="center"/>
          </w:tcPr>
          <w:p w14:paraId="0B0FA02E">
            <w:pPr>
              <w:pStyle w:val="192"/>
              <w:rPr>
                <w:rFonts w:hint="default" w:ascii="Times New Roman" w:hAnsi="Times New Roman" w:cs="Times New Roman"/>
                <w:spacing w:val="-2"/>
              </w:rPr>
            </w:pPr>
          </w:p>
        </w:tc>
        <w:tc>
          <w:tcPr>
            <w:tcW w:w="1776" w:type="pct"/>
            <w:shd w:val="clear" w:color="auto" w:fill="auto"/>
            <w:vAlign w:val="center"/>
          </w:tcPr>
          <w:p w14:paraId="7180CE24">
            <w:pPr>
              <w:pStyle w:val="192"/>
              <w:rPr>
                <w:rFonts w:hint="default" w:ascii="Times New Roman" w:hAnsi="Times New Roman" w:cs="Times New Roman"/>
                <w:spacing w:val="-2"/>
              </w:rPr>
            </w:pPr>
            <w:r>
              <w:rPr>
                <w:rFonts w:hint="default" w:ascii="Times New Roman" w:hAnsi="Times New Roman" w:cs="Times New Roman"/>
                <w:spacing w:val="-2"/>
              </w:rPr>
              <w:t>60℃动力黏度（Pa·s）</w:t>
            </w:r>
          </w:p>
        </w:tc>
        <w:tc>
          <w:tcPr>
            <w:tcW w:w="1615" w:type="pct"/>
            <w:shd w:val="clear" w:color="auto" w:fill="auto"/>
            <w:vAlign w:val="center"/>
          </w:tcPr>
          <w:p w14:paraId="75712C35">
            <w:pPr>
              <w:pStyle w:val="192"/>
              <w:rPr>
                <w:rFonts w:hint="default" w:ascii="Times New Roman" w:hAnsi="Times New Roman" w:cs="Times New Roman"/>
                <w:spacing w:val="-2"/>
              </w:rPr>
            </w:pPr>
            <w:r>
              <w:rPr>
                <w:rFonts w:hint="default" w:ascii="Times New Roman" w:hAnsi="Times New Roman" w:cs="Times New Roman"/>
                <w:spacing w:val="-2"/>
              </w:rPr>
              <w:t>≥70000</w:t>
            </w:r>
          </w:p>
        </w:tc>
        <w:tc>
          <w:tcPr>
            <w:tcW w:w="647" w:type="pct"/>
            <w:shd w:val="clear" w:color="auto" w:fill="auto"/>
            <w:vAlign w:val="center"/>
          </w:tcPr>
          <w:p w14:paraId="11B9E8F7">
            <w:pPr>
              <w:pStyle w:val="192"/>
              <w:rPr>
                <w:rFonts w:hint="default" w:ascii="Times New Roman" w:hAnsi="Times New Roman" w:cs="Times New Roman"/>
                <w:spacing w:val="-2"/>
              </w:rPr>
            </w:pPr>
            <w:r>
              <w:rPr>
                <w:rFonts w:hint="default" w:ascii="Times New Roman" w:hAnsi="Times New Roman" w:cs="Times New Roman"/>
                <w:spacing w:val="-2"/>
              </w:rPr>
              <w:t>T0620</w:t>
            </w:r>
          </w:p>
        </w:tc>
      </w:tr>
      <w:tr w14:paraId="013C8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3" w:hRule="atLeast"/>
          <w:jc w:val="center"/>
        </w:trPr>
        <w:tc>
          <w:tcPr>
            <w:tcW w:w="962" w:type="pct"/>
            <w:vMerge w:val="restart"/>
            <w:shd w:val="clear" w:color="auto" w:fill="auto"/>
            <w:vAlign w:val="center"/>
          </w:tcPr>
          <w:p w14:paraId="1FEC6D2C">
            <w:pPr>
              <w:pStyle w:val="192"/>
              <w:rPr>
                <w:rFonts w:hint="default" w:ascii="Times New Roman" w:hAnsi="Times New Roman" w:cs="Times New Roman"/>
                <w:spacing w:val="-2"/>
              </w:rPr>
            </w:pPr>
            <w:r>
              <w:rPr>
                <w:rFonts w:hint="default" w:ascii="Times New Roman" w:hAnsi="Times New Roman" w:cs="Times New Roman"/>
                <w:spacing w:val="-2"/>
              </w:rPr>
              <w:t xml:space="preserve">储存稳定性 </w:t>
            </w:r>
          </w:p>
        </w:tc>
        <w:tc>
          <w:tcPr>
            <w:tcW w:w="1776" w:type="pct"/>
            <w:shd w:val="clear" w:color="auto" w:fill="auto"/>
            <w:vAlign w:val="center"/>
          </w:tcPr>
          <w:p w14:paraId="4C24E49C">
            <w:pPr>
              <w:pStyle w:val="192"/>
              <w:rPr>
                <w:rFonts w:hint="default" w:ascii="Times New Roman" w:hAnsi="Times New Roman" w:cs="Times New Roman"/>
                <w:spacing w:val="-2"/>
              </w:rPr>
            </w:pPr>
            <w:r>
              <w:rPr>
                <w:rFonts w:hint="default" w:ascii="Times New Roman" w:hAnsi="Times New Roman" w:cs="Times New Roman"/>
                <w:spacing w:val="-2"/>
              </w:rPr>
              <w:t>24h（%）</w:t>
            </w:r>
          </w:p>
        </w:tc>
        <w:tc>
          <w:tcPr>
            <w:tcW w:w="1615" w:type="pct"/>
            <w:shd w:val="clear" w:color="auto" w:fill="auto"/>
            <w:vAlign w:val="center"/>
          </w:tcPr>
          <w:p w14:paraId="3E631448">
            <w:pPr>
              <w:pStyle w:val="192"/>
              <w:rPr>
                <w:rFonts w:hint="default" w:ascii="Times New Roman" w:hAnsi="Times New Roman" w:cs="Times New Roman"/>
                <w:spacing w:val="-2"/>
              </w:rPr>
            </w:pPr>
            <w:r>
              <w:rPr>
                <w:rFonts w:hint="default" w:ascii="Times New Roman" w:hAnsi="Times New Roman" w:cs="Times New Roman"/>
                <w:spacing w:val="-2"/>
              </w:rPr>
              <w:t>≤1</w:t>
            </w:r>
          </w:p>
        </w:tc>
        <w:tc>
          <w:tcPr>
            <w:tcW w:w="647" w:type="pct"/>
            <w:shd w:val="clear" w:color="auto" w:fill="auto"/>
            <w:vAlign w:val="center"/>
          </w:tcPr>
          <w:p w14:paraId="7A0DDF4D">
            <w:pPr>
              <w:pStyle w:val="192"/>
              <w:rPr>
                <w:rFonts w:hint="default" w:ascii="Times New Roman" w:hAnsi="Times New Roman" w:cs="Times New Roman"/>
                <w:spacing w:val="-2"/>
              </w:rPr>
            </w:pPr>
            <w:r>
              <w:rPr>
                <w:rFonts w:hint="default" w:ascii="Times New Roman" w:hAnsi="Times New Roman" w:cs="Times New Roman"/>
                <w:spacing w:val="-2"/>
              </w:rPr>
              <w:t>T0655</w:t>
            </w:r>
          </w:p>
        </w:tc>
      </w:tr>
      <w:tr w14:paraId="063D6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62" w:type="pct"/>
            <w:vMerge w:val="continue"/>
            <w:shd w:val="clear" w:color="auto" w:fill="auto"/>
            <w:vAlign w:val="center"/>
          </w:tcPr>
          <w:p w14:paraId="095FFBED">
            <w:pPr>
              <w:pStyle w:val="192"/>
              <w:rPr>
                <w:rFonts w:hint="default" w:ascii="Times New Roman" w:hAnsi="Times New Roman" w:cs="Times New Roman"/>
                <w:spacing w:val="-2"/>
              </w:rPr>
            </w:pPr>
          </w:p>
        </w:tc>
        <w:tc>
          <w:tcPr>
            <w:tcW w:w="1776" w:type="pct"/>
            <w:shd w:val="clear" w:color="auto" w:fill="auto"/>
            <w:vAlign w:val="center"/>
          </w:tcPr>
          <w:p w14:paraId="425063CD">
            <w:pPr>
              <w:pStyle w:val="192"/>
              <w:rPr>
                <w:rFonts w:hint="default" w:ascii="Times New Roman" w:hAnsi="Times New Roman" w:cs="Times New Roman"/>
                <w:spacing w:val="-2"/>
              </w:rPr>
            </w:pPr>
            <w:r>
              <w:rPr>
                <w:rFonts w:hint="default" w:ascii="Times New Roman" w:hAnsi="Times New Roman" w:cs="Times New Roman"/>
                <w:spacing w:val="-2"/>
              </w:rPr>
              <w:t>5d（%）</w:t>
            </w:r>
          </w:p>
        </w:tc>
        <w:tc>
          <w:tcPr>
            <w:tcW w:w="1615" w:type="pct"/>
            <w:shd w:val="clear" w:color="auto" w:fill="auto"/>
            <w:vAlign w:val="center"/>
          </w:tcPr>
          <w:p w14:paraId="2111975D">
            <w:pPr>
              <w:pStyle w:val="192"/>
              <w:rPr>
                <w:rFonts w:hint="default" w:ascii="Times New Roman" w:hAnsi="Times New Roman" w:cs="Times New Roman"/>
                <w:spacing w:val="-2"/>
              </w:rPr>
            </w:pPr>
            <w:r>
              <w:rPr>
                <w:rFonts w:hint="default" w:ascii="Times New Roman" w:hAnsi="Times New Roman" w:cs="Times New Roman"/>
                <w:spacing w:val="-2"/>
              </w:rPr>
              <w:t>≤5</w:t>
            </w:r>
          </w:p>
        </w:tc>
        <w:tc>
          <w:tcPr>
            <w:tcW w:w="647" w:type="pct"/>
            <w:shd w:val="clear" w:color="auto" w:fill="auto"/>
            <w:vAlign w:val="center"/>
          </w:tcPr>
          <w:p w14:paraId="3AE88B86">
            <w:pPr>
              <w:pStyle w:val="192"/>
              <w:rPr>
                <w:rFonts w:hint="default" w:ascii="Times New Roman" w:hAnsi="Times New Roman" w:cs="Times New Roman"/>
                <w:spacing w:val="-2"/>
              </w:rPr>
            </w:pPr>
            <w:r>
              <w:rPr>
                <w:rFonts w:hint="default" w:ascii="Times New Roman" w:hAnsi="Times New Roman" w:cs="Times New Roman"/>
                <w:spacing w:val="-2"/>
              </w:rPr>
              <w:t>T0655</w:t>
            </w:r>
          </w:p>
        </w:tc>
      </w:tr>
    </w:tbl>
    <w:p w14:paraId="001D93C8">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38" w:name="_Toc179636659"/>
      <w:bookmarkStart w:id="39" w:name="_Toc171517475"/>
      <w:bookmarkStart w:id="40" w:name="_Toc5237"/>
      <w:r>
        <w:rPr>
          <w:rFonts w:hint="default" w:ascii="Times New Roman" w:hAnsi="Times New Roman" w:cs="Times New Roman"/>
          <w:sz w:val="24"/>
        </w:rPr>
        <w:t>集料及填料</w:t>
      </w:r>
      <w:bookmarkEnd w:id="38"/>
      <w:bookmarkEnd w:id="39"/>
      <w:bookmarkEnd w:id="40"/>
    </w:p>
    <w:p w14:paraId="09BB189B">
      <w:pPr>
        <w:pStyle w:val="186"/>
        <w:numPr>
          <w:ilvl w:val="2"/>
          <w:numId w:val="17"/>
        </w:numPr>
        <w:spacing w:line="360" w:lineRule="auto"/>
        <w:ind w:left="0" w:firstLine="424" w:firstLineChars="177"/>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粗集料宜采用质地坚硬、表面粗糙、形状接近立方体的玄武岩或辉绿岩等硬质石料加工而成，具有良好的耐磨耗与磨光性能。粗集料应符合表5.4.1的规定。</w:t>
      </w:r>
    </w:p>
    <w:p w14:paraId="69ABA795">
      <w:pPr>
        <w:pStyle w:val="190"/>
        <w:rPr>
          <w:rFonts w:hint="default" w:ascii="Times New Roman" w:hAnsi="Times New Roman" w:eastAsia="黑体" w:cs="Times New Roman"/>
          <w:b/>
          <w:sz w:val="21"/>
          <w:szCs w:val="21"/>
        </w:rPr>
      </w:pPr>
      <w:r>
        <w:rPr>
          <w:rFonts w:hint="default" w:ascii="Times New Roman" w:hAnsi="Times New Roman" w:eastAsia="黑体" w:cs="Times New Roman"/>
          <w:sz w:val="21"/>
          <w:szCs w:val="21"/>
        </w:rPr>
        <w:t>表5.4.1 粗集料技术指标</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539"/>
        <w:gridCol w:w="1232"/>
        <w:gridCol w:w="1687"/>
        <w:gridCol w:w="1878"/>
      </w:tblGrid>
      <w:tr w14:paraId="55126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7948ECF6">
            <w:pPr>
              <w:pStyle w:val="192"/>
              <w:rPr>
                <w:rFonts w:hint="default" w:ascii="Times New Roman" w:hAnsi="Times New Roman" w:cs="Times New Roman"/>
                <w:spacing w:val="-2"/>
              </w:rPr>
            </w:pPr>
            <w:r>
              <w:rPr>
                <w:rFonts w:hint="default" w:ascii="Times New Roman" w:hAnsi="Times New Roman" w:cs="Times New Roman"/>
                <w:spacing w:val="-2"/>
              </w:rPr>
              <w:t>试验项目</w:t>
            </w:r>
          </w:p>
        </w:tc>
        <w:tc>
          <w:tcPr>
            <w:tcW w:w="739" w:type="pct"/>
            <w:shd w:val="clear" w:color="auto" w:fill="auto"/>
            <w:vAlign w:val="center"/>
          </w:tcPr>
          <w:p w14:paraId="7DB79538">
            <w:pPr>
              <w:pStyle w:val="192"/>
              <w:rPr>
                <w:rFonts w:hint="default" w:ascii="Times New Roman" w:hAnsi="Times New Roman" w:cs="Times New Roman"/>
                <w:spacing w:val="-2"/>
              </w:rPr>
            </w:pPr>
            <w:r>
              <w:rPr>
                <w:rFonts w:hint="default" w:ascii="Times New Roman" w:hAnsi="Times New Roman" w:cs="Times New Roman"/>
                <w:spacing w:val="-2"/>
              </w:rPr>
              <w:t>单位</w:t>
            </w:r>
          </w:p>
        </w:tc>
        <w:tc>
          <w:tcPr>
            <w:tcW w:w="1012" w:type="pct"/>
            <w:shd w:val="clear" w:color="auto" w:fill="auto"/>
            <w:vAlign w:val="center"/>
          </w:tcPr>
          <w:p w14:paraId="06E48F4A">
            <w:pPr>
              <w:pStyle w:val="192"/>
              <w:rPr>
                <w:rFonts w:hint="default" w:ascii="Times New Roman" w:hAnsi="Times New Roman" w:cs="Times New Roman"/>
                <w:spacing w:val="-2"/>
              </w:rPr>
            </w:pPr>
            <w:r>
              <w:rPr>
                <w:rFonts w:hint="default" w:ascii="Times New Roman" w:hAnsi="Times New Roman" w:cs="Times New Roman"/>
                <w:spacing w:val="-2"/>
              </w:rPr>
              <w:t>技术指标</w:t>
            </w:r>
          </w:p>
        </w:tc>
        <w:tc>
          <w:tcPr>
            <w:tcW w:w="1126" w:type="pct"/>
            <w:shd w:val="clear" w:color="auto" w:fill="auto"/>
            <w:vAlign w:val="center"/>
          </w:tcPr>
          <w:p w14:paraId="0959CCCC">
            <w:pPr>
              <w:pStyle w:val="192"/>
              <w:rPr>
                <w:rFonts w:hint="default" w:ascii="Times New Roman" w:hAnsi="Times New Roman" w:cs="Times New Roman"/>
                <w:spacing w:val="-2"/>
              </w:rPr>
            </w:pPr>
            <w:r>
              <w:rPr>
                <w:rFonts w:hint="default" w:ascii="Times New Roman" w:hAnsi="Times New Roman" w:cs="Times New Roman"/>
                <w:spacing w:val="-2"/>
              </w:rPr>
              <w:t>试验方法</w:t>
            </w:r>
          </w:p>
        </w:tc>
      </w:tr>
      <w:tr w14:paraId="3AEFE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3E645B96">
            <w:pPr>
              <w:pStyle w:val="192"/>
              <w:rPr>
                <w:rFonts w:hint="default" w:ascii="Times New Roman" w:hAnsi="Times New Roman" w:cs="Times New Roman"/>
                <w:spacing w:val="-2"/>
              </w:rPr>
            </w:pPr>
            <w:r>
              <w:rPr>
                <w:rFonts w:hint="default" w:ascii="Times New Roman" w:hAnsi="Times New Roman" w:cs="Times New Roman"/>
                <w:spacing w:val="-2"/>
              </w:rPr>
              <w:t>石料压碎值</w:t>
            </w:r>
          </w:p>
        </w:tc>
        <w:tc>
          <w:tcPr>
            <w:tcW w:w="739" w:type="pct"/>
            <w:shd w:val="clear" w:color="auto" w:fill="auto"/>
            <w:vAlign w:val="center"/>
          </w:tcPr>
          <w:p w14:paraId="2B1A582B">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1012" w:type="pct"/>
            <w:shd w:val="clear" w:color="auto" w:fill="auto"/>
            <w:vAlign w:val="center"/>
          </w:tcPr>
          <w:p w14:paraId="2CB538D2">
            <w:pPr>
              <w:pStyle w:val="192"/>
              <w:rPr>
                <w:rFonts w:hint="default" w:ascii="Times New Roman" w:hAnsi="Times New Roman" w:cs="Times New Roman"/>
                <w:spacing w:val="-2"/>
              </w:rPr>
            </w:pPr>
            <w:r>
              <w:rPr>
                <w:rFonts w:hint="default" w:ascii="Times New Roman" w:hAnsi="Times New Roman" w:cs="Times New Roman"/>
                <w:spacing w:val="-2"/>
              </w:rPr>
              <w:t>≤18</w:t>
            </w:r>
          </w:p>
        </w:tc>
        <w:tc>
          <w:tcPr>
            <w:tcW w:w="1126" w:type="pct"/>
            <w:shd w:val="clear" w:color="auto" w:fill="auto"/>
            <w:vAlign w:val="center"/>
          </w:tcPr>
          <w:p w14:paraId="3F51A9E7">
            <w:pPr>
              <w:pStyle w:val="192"/>
              <w:rPr>
                <w:rFonts w:hint="default" w:ascii="Times New Roman" w:hAnsi="Times New Roman" w:cs="Times New Roman"/>
                <w:spacing w:val="-2"/>
              </w:rPr>
            </w:pPr>
            <w:r>
              <w:rPr>
                <w:rFonts w:hint="default" w:ascii="Times New Roman" w:hAnsi="Times New Roman" w:cs="Times New Roman"/>
                <w:spacing w:val="-2"/>
              </w:rPr>
              <w:t>T 0316</w:t>
            </w:r>
          </w:p>
        </w:tc>
      </w:tr>
      <w:tr w14:paraId="72EE3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2059401D">
            <w:pPr>
              <w:pStyle w:val="192"/>
              <w:rPr>
                <w:rFonts w:hint="default" w:ascii="Times New Roman" w:hAnsi="Times New Roman" w:cs="Times New Roman"/>
                <w:spacing w:val="-2"/>
              </w:rPr>
            </w:pPr>
            <w:r>
              <w:rPr>
                <w:rFonts w:hint="default" w:ascii="Times New Roman" w:hAnsi="Times New Roman" w:cs="Times New Roman"/>
                <w:spacing w:val="-2"/>
              </w:rPr>
              <w:t>洛杉矶磨耗损失</w:t>
            </w:r>
          </w:p>
        </w:tc>
        <w:tc>
          <w:tcPr>
            <w:tcW w:w="739" w:type="pct"/>
            <w:shd w:val="clear" w:color="auto" w:fill="auto"/>
            <w:vAlign w:val="center"/>
          </w:tcPr>
          <w:p w14:paraId="1AFD65A4">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1012" w:type="pct"/>
            <w:shd w:val="clear" w:color="auto" w:fill="auto"/>
            <w:vAlign w:val="center"/>
          </w:tcPr>
          <w:p w14:paraId="0630F489">
            <w:pPr>
              <w:pStyle w:val="192"/>
              <w:rPr>
                <w:rFonts w:hint="default" w:ascii="Times New Roman" w:hAnsi="Times New Roman" w:cs="Times New Roman"/>
                <w:spacing w:val="-2"/>
              </w:rPr>
            </w:pPr>
            <w:r>
              <w:rPr>
                <w:rFonts w:hint="default" w:ascii="Times New Roman" w:hAnsi="Times New Roman" w:cs="Times New Roman"/>
                <w:spacing w:val="-2"/>
              </w:rPr>
              <w:t>≤20</w:t>
            </w:r>
          </w:p>
        </w:tc>
        <w:tc>
          <w:tcPr>
            <w:tcW w:w="1126" w:type="pct"/>
            <w:shd w:val="clear" w:color="auto" w:fill="auto"/>
            <w:vAlign w:val="center"/>
          </w:tcPr>
          <w:p w14:paraId="1F21E8D7">
            <w:pPr>
              <w:pStyle w:val="192"/>
              <w:rPr>
                <w:rFonts w:hint="default" w:ascii="Times New Roman" w:hAnsi="Times New Roman" w:cs="Times New Roman"/>
                <w:spacing w:val="-2"/>
              </w:rPr>
            </w:pPr>
            <w:r>
              <w:rPr>
                <w:rFonts w:hint="default" w:ascii="Times New Roman" w:hAnsi="Times New Roman" w:cs="Times New Roman"/>
                <w:spacing w:val="-2"/>
              </w:rPr>
              <w:t>T 0317</w:t>
            </w:r>
          </w:p>
        </w:tc>
      </w:tr>
      <w:tr w14:paraId="78EC8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37744A58">
            <w:pPr>
              <w:pStyle w:val="192"/>
              <w:rPr>
                <w:rFonts w:hint="default" w:ascii="Times New Roman" w:hAnsi="Times New Roman" w:cs="Times New Roman"/>
                <w:spacing w:val="-2"/>
              </w:rPr>
            </w:pPr>
            <w:r>
              <w:rPr>
                <w:rFonts w:hint="default" w:ascii="Times New Roman" w:hAnsi="Times New Roman" w:cs="Times New Roman"/>
                <w:spacing w:val="-2"/>
              </w:rPr>
              <w:t>表观相对密度</w:t>
            </w:r>
          </w:p>
        </w:tc>
        <w:tc>
          <w:tcPr>
            <w:tcW w:w="739" w:type="pct"/>
            <w:shd w:val="clear" w:color="auto" w:fill="auto"/>
            <w:vAlign w:val="center"/>
          </w:tcPr>
          <w:p w14:paraId="0354E9DD">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1012" w:type="pct"/>
            <w:shd w:val="clear" w:color="auto" w:fill="auto"/>
            <w:vAlign w:val="center"/>
          </w:tcPr>
          <w:p w14:paraId="6B9C793B">
            <w:pPr>
              <w:pStyle w:val="192"/>
              <w:rPr>
                <w:rFonts w:hint="default" w:ascii="Times New Roman" w:hAnsi="Times New Roman" w:cs="Times New Roman"/>
                <w:spacing w:val="-2"/>
              </w:rPr>
            </w:pPr>
            <w:r>
              <w:rPr>
                <w:rFonts w:hint="default" w:ascii="Times New Roman" w:hAnsi="Times New Roman" w:cs="Times New Roman"/>
                <w:spacing w:val="-2"/>
              </w:rPr>
              <w:t>≥2.7</w:t>
            </w:r>
          </w:p>
        </w:tc>
        <w:tc>
          <w:tcPr>
            <w:tcW w:w="1126" w:type="pct"/>
            <w:shd w:val="clear" w:color="auto" w:fill="auto"/>
            <w:vAlign w:val="center"/>
          </w:tcPr>
          <w:p w14:paraId="6CE3C43E">
            <w:pPr>
              <w:pStyle w:val="192"/>
              <w:rPr>
                <w:rFonts w:hint="default" w:ascii="Times New Roman" w:hAnsi="Times New Roman" w:cs="Times New Roman"/>
                <w:spacing w:val="-2"/>
              </w:rPr>
            </w:pPr>
            <w:r>
              <w:rPr>
                <w:rFonts w:hint="default" w:ascii="Times New Roman" w:hAnsi="Times New Roman" w:cs="Times New Roman"/>
                <w:spacing w:val="-2"/>
              </w:rPr>
              <w:t>T 0304</w:t>
            </w:r>
          </w:p>
        </w:tc>
      </w:tr>
      <w:tr w14:paraId="1C80C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2405B479">
            <w:pPr>
              <w:pStyle w:val="192"/>
              <w:rPr>
                <w:rFonts w:hint="default" w:ascii="Times New Roman" w:hAnsi="Times New Roman" w:cs="Times New Roman"/>
                <w:spacing w:val="-2"/>
              </w:rPr>
            </w:pPr>
            <w:r>
              <w:rPr>
                <w:rFonts w:hint="default" w:ascii="Times New Roman" w:hAnsi="Times New Roman" w:cs="Times New Roman"/>
                <w:spacing w:val="-2"/>
              </w:rPr>
              <w:t>磨光值</w:t>
            </w:r>
          </w:p>
        </w:tc>
        <w:tc>
          <w:tcPr>
            <w:tcW w:w="739" w:type="pct"/>
            <w:shd w:val="clear" w:color="auto" w:fill="auto"/>
            <w:vAlign w:val="center"/>
          </w:tcPr>
          <w:p w14:paraId="09E95875">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1012" w:type="pct"/>
            <w:shd w:val="clear" w:color="auto" w:fill="auto"/>
            <w:vAlign w:val="center"/>
          </w:tcPr>
          <w:p w14:paraId="57F33374">
            <w:pPr>
              <w:pStyle w:val="192"/>
              <w:rPr>
                <w:rFonts w:hint="default" w:ascii="Times New Roman" w:hAnsi="Times New Roman" w:cs="Times New Roman"/>
                <w:spacing w:val="-2"/>
              </w:rPr>
            </w:pPr>
            <w:r>
              <w:rPr>
                <w:rFonts w:hint="default" w:ascii="Times New Roman" w:hAnsi="Times New Roman" w:cs="Times New Roman"/>
                <w:spacing w:val="-2"/>
              </w:rPr>
              <w:t>≥42</w:t>
            </w:r>
          </w:p>
        </w:tc>
        <w:tc>
          <w:tcPr>
            <w:tcW w:w="1126" w:type="pct"/>
            <w:shd w:val="clear" w:color="auto" w:fill="auto"/>
            <w:vAlign w:val="center"/>
          </w:tcPr>
          <w:p w14:paraId="2809D6C3">
            <w:pPr>
              <w:pStyle w:val="192"/>
              <w:rPr>
                <w:rFonts w:hint="default" w:ascii="Times New Roman" w:hAnsi="Times New Roman" w:cs="Times New Roman"/>
                <w:spacing w:val="-2"/>
              </w:rPr>
            </w:pPr>
            <w:r>
              <w:rPr>
                <w:rFonts w:hint="default" w:ascii="Times New Roman" w:hAnsi="Times New Roman" w:cs="Times New Roman"/>
                <w:spacing w:val="-2"/>
              </w:rPr>
              <w:t>T 0321</w:t>
            </w:r>
          </w:p>
        </w:tc>
      </w:tr>
      <w:tr w14:paraId="41002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13542616">
            <w:pPr>
              <w:pStyle w:val="192"/>
              <w:rPr>
                <w:rFonts w:hint="default" w:ascii="Times New Roman" w:hAnsi="Times New Roman" w:cs="Times New Roman"/>
                <w:spacing w:val="-2"/>
              </w:rPr>
            </w:pPr>
            <w:r>
              <w:rPr>
                <w:rFonts w:hint="default" w:ascii="Times New Roman" w:hAnsi="Times New Roman" w:cs="Times New Roman"/>
                <w:spacing w:val="-2"/>
              </w:rPr>
              <w:t>吸水率</w:t>
            </w:r>
          </w:p>
        </w:tc>
        <w:tc>
          <w:tcPr>
            <w:tcW w:w="739" w:type="pct"/>
            <w:shd w:val="clear" w:color="auto" w:fill="auto"/>
            <w:vAlign w:val="center"/>
          </w:tcPr>
          <w:p w14:paraId="1E45D809">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1012" w:type="pct"/>
            <w:shd w:val="clear" w:color="auto" w:fill="auto"/>
            <w:vAlign w:val="center"/>
          </w:tcPr>
          <w:p w14:paraId="787D9407">
            <w:pPr>
              <w:pStyle w:val="192"/>
              <w:rPr>
                <w:rFonts w:hint="default" w:ascii="Times New Roman" w:hAnsi="Times New Roman" w:cs="Times New Roman"/>
                <w:spacing w:val="-2"/>
              </w:rPr>
            </w:pPr>
            <w:r>
              <w:rPr>
                <w:rFonts w:hint="default" w:ascii="Times New Roman" w:hAnsi="Times New Roman" w:cs="Times New Roman"/>
                <w:spacing w:val="-2"/>
              </w:rPr>
              <w:t>≤1.5</w:t>
            </w:r>
          </w:p>
        </w:tc>
        <w:tc>
          <w:tcPr>
            <w:tcW w:w="1126" w:type="pct"/>
            <w:shd w:val="clear" w:color="auto" w:fill="auto"/>
            <w:vAlign w:val="center"/>
          </w:tcPr>
          <w:p w14:paraId="04A4CAAE">
            <w:pPr>
              <w:pStyle w:val="192"/>
              <w:rPr>
                <w:rFonts w:hint="default" w:ascii="Times New Roman" w:hAnsi="Times New Roman" w:cs="Times New Roman"/>
                <w:spacing w:val="-2"/>
              </w:rPr>
            </w:pPr>
            <w:r>
              <w:rPr>
                <w:rFonts w:hint="default" w:ascii="Times New Roman" w:hAnsi="Times New Roman" w:cs="Times New Roman"/>
                <w:spacing w:val="-2"/>
              </w:rPr>
              <w:t>T 0304</w:t>
            </w:r>
          </w:p>
        </w:tc>
      </w:tr>
      <w:tr w14:paraId="4FFD6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3E98B470">
            <w:pPr>
              <w:pStyle w:val="192"/>
              <w:rPr>
                <w:rFonts w:hint="default" w:ascii="Times New Roman" w:hAnsi="Times New Roman" w:cs="Times New Roman"/>
                <w:spacing w:val="-2"/>
              </w:rPr>
            </w:pPr>
            <w:r>
              <w:rPr>
                <w:rFonts w:hint="default" w:ascii="Times New Roman" w:hAnsi="Times New Roman" w:cs="Times New Roman"/>
                <w:snapToGrid w:val="0"/>
              </w:rPr>
              <w:t>与沥青的黏附性</w:t>
            </w:r>
          </w:p>
        </w:tc>
        <w:tc>
          <w:tcPr>
            <w:tcW w:w="739" w:type="pct"/>
            <w:shd w:val="clear" w:color="auto" w:fill="auto"/>
            <w:vAlign w:val="center"/>
          </w:tcPr>
          <w:p w14:paraId="034EFAB1">
            <w:pPr>
              <w:pStyle w:val="192"/>
              <w:rPr>
                <w:rFonts w:hint="default" w:ascii="Times New Roman" w:hAnsi="Times New Roman" w:cs="Times New Roman"/>
                <w:spacing w:val="-2"/>
              </w:rPr>
            </w:pPr>
            <w:r>
              <w:rPr>
                <w:rFonts w:hint="default" w:ascii="Times New Roman" w:hAnsi="Times New Roman" w:cs="Times New Roman"/>
                <w:snapToGrid w:val="0"/>
                <w:lang w:val="pt-PT"/>
              </w:rPr>
              <w:t>级</w:t>
            </w:r>
          </w:p>
        </w:tc>
        <w:tc>
          <w:tcPr>
            <w:tcW w:w="1012" w:type="pct"/>
            <w:shd w:val="clear" w:color="auto" w:fill="auto"/>
            <w:vAlign w:val="center"/>
          </w:tcPr>
          <w:p w14:paraId="07F40F27">
            <w:pPr>
              <w:pStyle w:val="192"/>
              <w:rPr>
                <w:rFonts w:hint="default" w:ascii="Times New Roman" w:hAnsi="Times New Roman" w:cs="Times New Roman"/>
                <w:spacing w:val="-2"/>
              </w:rPr>
            </w:pPr>
            <w:r>
              <w:rPr>
                <w:rFonts w:hint="default" w:ascii="Times New Roman" w:hAnsi="Times New Roman" w:cs="Times New Roman"/>
                <w:snapToGrid w:val="0"/>
              </w:rPr>
              <w:t>5</w:t>
            </w:r>
          </w:p>
        </w:tc>
        <w:tc>
          <w:tcPr>
            <w:tcW w:w="1126" w:type="pct"/>
            <w:shd w:val="clear" w:color="auto" w:fill="auto"/>
            <w:vAlign w:val="center"/>
          </w:tcPr>
          <w:p w14:paraId="38F5FD26">
            <w:pPr>
              <w:pStyle w:val="192"/>
              <w:rPr>
                <w:rFonts w:hint="default" w:ascii="Times New Roman" w:hAnsi="Times New Roman" w:cs="Times New Roman"/>
                <w:spacing w:val="-2"/>
              </w:rPr>
            </w:pPr>
            <w:r>
              <w:rPr>
                <w:rFonts w:hint="default" w:ascii="Times New Roman" w:hAnsi="Times New Roman" w:cs="Times New Roman"/>
                <w:snapToGrid w:val="0"/>
              </w:rPr>
              <w:t>T 0616</w:t>
            </w:r>
          </w:p>
        </w:tc>
      </w:tr>
      <w:tr w14:paraId="4BF216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480623E5">
            <w:pPr>
              <w:pStyle w:val="192"/>
              <w:rPr>
                <w:rFonts w:hint="default" w:ascii="Times New Roman" w:hAnsi="Times New Roman" w:cs="Times New Roman"/>
                <w:spacing w:val="-2"/>
              </w:rPr>
            </w:pPr>
            <w:r>
              <w:rPr>
                <w:rFonts w:hint="default" w:ascii="Times New Roman" w:hAnsi="Times New Roman" w:cs="Times New Roman"/>
                <w:spacing w:val="-2"/>
              </w:rPr>
              <w:t>针片状颗粒含量</w:t>
            </w:r>
          </w:p>
        </w:tc>
        <w:tc>
          <w:tcPr>
            <w:tcW w:w="739" w:type="pct"/>
            <w:shd w:val="clear" w:color="auto" w:fill="auto"/>
            <w:vAlign w:val="center"/>
          </w:tcPr>
          <w:p w14:paraId="2E9BF404">
            <w:pPr>
              <w:pStyle w:val="192"/>
              <w:rPr>
                <w:rFonts w:hint="default" w:ascii="Times New Roman" w:hAnsi="Times New Roman" w:cs="Times New Roman"/>
                <w:spacing w:val="-2"/>
                <w:lang w:val="fr-FR"/>
              </w:rPr>
            </w:pPr>
            <w:r>
              <w:rPr>
                <w:rFonts w:hint="default" w:ascii="Times New Roman" w:hAnsi="Times New Roman" w:cs="Times New Roman"/>
                <w:spacing w:val="-2"/>
                <w:lang w:val="fr-FR"/>
              </w:rPr>
              <w:t>%</w:t>
            </w:r>
          </w:p>
        </w:tc>
        <w:tc>
          <w:tcPr>
            <w:tcW w:w="1012" w:type="pct"/>
            <w:shd w:val="clear" w:color="auto" w:fill="auto"/>
            <w:vAlign w:val="center"/>
          </w:tcPr>
          <w:p w14:paraId="2FECFF8B">
            <w:pPr>
              <w:pStyle w:val="192"/>
              <w:rPr>
                <w:rFonts w:hint="default" w:ascii="Times New Roman" w:hAnsi="Times New Roman" w:cs="Times New Roman"/>
                <w:spacing w:val="-2"/>
              </w:rPr>
            </w:pPr>
            <w:r>
              <w:rPr>
                <w:rFonts w:hint="default" w:ascii="Times New Roman" w:hAnsi="Times New Roman" w:cs="Times New Roman"/>
                <w:spacing w:val="-2"/>
              </w:rPr>
              <w:t>≤10</w:t>
            </w:r>
          </w:p>
        </w:tc>
        <w:tc>
          <w:tcPr>
            <w:tcW w:w="1126" w:type="pct"/>
            <w:shd w:val="clear" w:color="auto" w:fill="auto"/>
            <w:vAlign w:val="center"/>
          </w:tcPr>
          <w:p w14:paraId="321432EA">
            <w:pPr>
              <w:pStyle w:val="192"/>
              <w:rPr>
                <w:rFonts w:hint="default" w:ascii="Times New Roman" w:hAnsi="Times New Roman" w:cs="Times New Roman"/>
                <w:spacing w:val="-2"/>
                <w:lang w:val="fr-FR"/>
              </w:rPr>
            </w:pPr>
            <w:r>
              <w:rPr>
                <w:rFonts w:hint="default" w:ascii="Times New Roman" w:hAnsi="Times New Roman" w:cs="Times New Roman"/>
                <w:spacing w:val="-2"/>
                <w:lang w:val="fr-FR"/>
              </w:rPr>
              <w:t>T 0312</w:t>
            </w:r>
          </w:p>
        </w:tc>
      </w:tr>
      <w:tr w14:paraId="28AA1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2152F7CA">
            <w:pPr>
              <w:pStyle w:val="192"/>
              <w:rPr>
                <w:rFonts w:hint="default" w:ascii="Times New Roman" w:hAnsi="Times New Roman" w:cs="Times New Roman"/>
                <w:spacing w:val="-2"/>
              </w:rPr>
            </w:pPr>
            <w:r>
              <w:rPr>
                <w:rFonts w:hint="default" w:ascii="Times New Roman" w:hAnsi="Times New Roman" w:cs="Times New Roman"/>
                <w:spacing w:val="-2"/>
              </w:rPr>
              <w:t>坚固性</w:t>
            </w:r>
          </w:p>
        </w:tc>
        <w:tc>
          <w:tcPr>
            <w:tcW w:w="739" w:type="pct"/>
            <w:shd w:val="clear" w:color="auto" w:fill="auto"/>
            <w:vAlign w:val="center"/>
          </w:tcPr>
          <w:p w14:paraId="06F8CFF6">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1012" w:type="pct"/>
            <w:shd w:val="clear" w:color="auto" w:fill="auto"/>
            <w:vAlign w:val="center"/>
          </w:tcPr>
          <w:p w14:paraId="124EC01A">
            <w:pPr>
              <w:pStyle w:val="192"/>
              <w:rPr>
                <w:rFonts w:hint="default" w:ascii="Times New Roman" w:hAnsi="Times New Roman" w:cs="Times New Roman"/>
                <w:spacing w:val="-2"/>
              </w:rPr>
            </w:pPr>
            <w:r>
              <w:rPr>
                <w:rFonts w:hint="default" w:ascii="Times New Roman" w:hAnsi="Times New Roman" w:cs="Times New Roman"/>
                <w:spacing w:val="-2"/>
              </w:rPr>
              <w:t>≤12</w:t>
            </w:r>
          </w:p>
        </w:tc>
        <w:tc>
          <w:tcPr>
            <w:tcW w:w="1126" w:type="pct"/>
            <w:shd w:val="clear" w:color="auto" w:fill="auto"/>
            <w:vAlign w:val="center"/>
          </w:tcPr>
          <w:p w14:paraId="722C4D9B">
            <w:pPr>
              <w:pStyle w:val="192"/>
              <w:rPr>
                <w:rFonts w:hint="default" w:ascii="Times New Roman" w:hAnsi="Times New Roman" w:cs="Times New Roman"/>
                <w:spacing w:val="-2"/>
              </w:rPr>
            </w:pPr>
            <w:r>
              <w:rPr>
                <w:rFonts w:hint="default" w:ascii="Times New Roman" w:hAnsi="Times New Roman" w:cs="Times New Roman"/>
                <w:spacing w:val="-2"/>
              </w:rPr>
              <w:t>T 0314</w:t>
            </w:r>
          </w:p>
        </w:tc>
      </w:tr>
      <w:tr w14:paraId="0A66F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20D824C2">
            <w:pPr>
              <w:pStyle w:val="192"/>
              <w:rPr>
                <w:rFonts w:hint="default" w:ascii="Times New Roman" w:hAnsi="Times New Roman" w:cs="Times New Roman"/>
                <w:spacing w:val="-2"/>
              </w:rPr>
            </w:pPr>
            <w:r>
              <w:rPr>
                <w:rFonts w:hint="default" w:ascii="Times New Roman" w:hAnsi="Times New Roman" w:cs="Times New Roman"/>
                <w:spacing w:val="-2"/>
              </w:rPr>
              <w:t>小于0.075mm颗粒含量</w:t>
            </w:r>
          </w:p>
        </w:tc>
        <w:tc>
          <w:tcPr>
            <w:tcW w:w="739" w:type="pct"/>
            <w:shd w:val="clear" w:color="auto" w:fill="auto"/>
            <w:vAlign w:val="center"/>
          </w:tcPr>
          <w:p w14:paraId="1F06E977">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1012" w:type="pct"/>
            <w:shd w:val="clear" w:color="auto" w:fill="auto"/>
            <w:vAlign w:val="center"/>
          </w:tcPr>
          <w:p w14:paraId="67373C8A">
            <w:pPr>
              <w:pStyle w:val="192"/>
              <w:rPr>
                <w:rFonts w:hint="default" w:ascii="Times New Roman" w:hAnsi="Times New Roman" w:cs="Times New Roman"/>
                <w:spacing w:val="-2"/>
              </w:rPr>
            </w:pPr>
            <w:r>
              <w:rPr>
                <w:rFonts w:hint="default" w:ascii="Times New Roman" w:hAnsi="Times New Roman" w:cs="Times New Roman"/>
                <w:spacing w:val="-2"/>
              </w:rPr>
              <w:t>≤1</w:t>
            </w:r>
          </w:p>
        </w:tc>
        <w:tc>
          <w:tcPr>
            <w:tcW w:w="1126" w:type="pct"/>
            <w:shd w:val="clear" w:color="auto" w:fill="auto"/>
            <w:vAlign w:val="center"/>
          </w:tcPr>
          <w:p w14:paraId="4D1A70D2">
            <w:pPr>
              <w:pStyle w:val="192"/>
              <w:rPr>
                <w:rFonts w:hint="default" w:ascii="Times New Roman" w:hAnsi="Times New Roman" w:cs="Times New Roman"/>
                <w:spacing w:val="-2"/>
              </w:rPr>
            </w:pPr>
            <w:r>
              <w:rPr>
                <w:rFonts w:hint="default" w:ascii="Times New Roman" w:hAnsi="Times New Roman" w:cs="Times New Roman"/>
                <w:spacing w:val="-2"/>
              </w:rPr>
              <w:t>T 0310</w:t>
            </w:r>
          </w:p>
        </w:tc>
      </w:tr>
      <w:tr w14:paraId="3E318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123" w:type="pct"/>
            <w:shd w:val="clear" w:color="auto" w:fill="auto"/>
            <w:vAlign w:val="center"/>
          </w:tcPr>
          <w:p w14:paraId="2B2B9049">
            <w:pPr>
              <w:pStyle w:val="192"/>
              <w:rPr>
                <w:rFonts w:hint="default" w:ascii="Times New Roman" w:hAnsi="Times New Roman" w:cs="Times New Roman"/>
                <w:spacing w:val="-2"/>
              </w:rPr>
            </w:pPr>
            <w:r>
              <w:rPr>
                <w:rFonts w:hint="default" w:ascii="Times New Roman" w:hAnsi="Times New Roman" w:cs="Times New Roman"/>
                <w:spacing w:val="-2"/>
              </w:rPr>
              <w:t>软石含量</w:t>
            </w:r>
          </w:p>
        </w:tc>
        <w:tc>
          <w:tcPr>
            <w:tcW w:w="739" w:type="pct"/>
            <w:shd w:val="clear" w:color="auto" w:fill="auto"/>
            <w:vAlign w:val="center"/>
          </w:tcPr>
          <w:p w14:paraId="414B0587">
            <w:pPr>
              <w:pStyle w:val="192"/>
              <w:rPr>
                <w:rFonts w:hint="default" w:ascii="Times New Roman" w:hAnsi="Times New Roman" w:cs="Times New Roman"/>
                <w:spacing w:val="-2"/>
              </w:rPr>
            </w:pPr>
            <w:r>
              <w:rPr>
                <w:rFonts w:hint="default" w:ascii="Times New Roman" w:hAnsi="Times New Roman" w:cs="Times New Roman"/>
                <w:spacing w:val="-2"/>
              </w:rPr>
              <w:t>%</w:t>
            </w:r>
          </w:p>
        </w:tc>
        <w:tc>
          <w:tcPr>
            <w:tcW w:w="1012" w:type="pct"/>
            <w:shd w:val="clear" w:color="auto" w:fill="auto"/>
            <w:vAlign w:val="center"/>
          </w:tcPr>
          <w:p w14:paraId="761FF10B">
            <w:pPr>
              <w:pStyle w:val="192"/>
              <w:rPr>
                <w:rFonts w:hint="default" w:ascii="Times New Roman" w:hAnsi="Times New Roman" w:cs="Times New Roman"/>
                <w:spacing w:val="-2"/>
              </w:rPr>
            </w:pPr>
            <w:r>
              <w:rPr>
                <w:rFonts w:hint="default" w:ascii="Times New Roman" w:hAnsi="Times New Roman" w:cs="Times New Roman"/>
                <w:spacing w:val="-2"/>
              </w:rPr>
              <w:t>≤1</w:t>
            </w:r>
          </w:p>
        </w:tc>
        <w:tc>
          <w:tcPr>
            <w:tcW w:w="1126" w:type="pct"/>
            <w:shd w:val="clear" w:color="auto" w:fill="auto"/>
            <w:vAlign w:val="center"/>
          </w:tcPr>
          <w:p w14:paraId="426F2D81">
            <w:pPr>
              <w:pStyle w:val="192"/>
              <w:rPr>
                <w:rFonts w:hint="default" w:ascii="Times New Roman" w:hAnsi="Times New Roman" w:cs="Times New Roman"/>
                <w:spacing w:val="-2"/>
              </w:rPr>
            </w:pPr>
            <w:r>
              <w:rPr>
                <w:rFonts w:hint="default" w:ascii="Times New Roman" w:hAnsi="Times New Roman" w:cs="Times New Roman"/>
                <w:spacing w:val="-2"/>
              </w:rPr>
              <w:t>T 0320</w:t>
            </w:r>
          </w:p>
        </w:tc>
      </w:tr>
    </w:tbl>
    <w:p w14:paraId="0D18D71A">
      <w:pPr>
        <w:ind w:firstLine="482" w:firstLineChars="200"/>
        <w:rPr>
          <w:rFonts w:hint="default" w:ascii="Times New Roman" w:hAnsi="Times New Roman" w:eastAsia="楷体" w:cs="Times New Roman"/>
          <w:b/>
          <w:bCs/>
          <w:sz w:val="24"/>
        </w:rPr>
      </w:pPr>
      <w:r>
        <w:rPr>
          <w:rFonts w:hint="default" w:ascii="Times New Roman" w:hAnsi="Times New Roman" w:eastAsia="楷体" w:cs="Times New Roman"/>
          <w:b/>
          <w:bCs/>
          <w:sz w:val="24"/>
        </w:rPr>
        <w:t>条文说明</w:t>
      </w:r>
    </w:p>
    <w:p w14:paraId="0D00AE15">
      <w:pPr>
        <w:ind w:firstLine="480" w:firstLineChars="200"/>
        <w:rPr>
          <w:rFonts w:hint="default" w:ascii="Times New Roman" w:hAnsi="Times New Roman" w:eastAsia="楷体" w:cs="Times New Roman"/>
          <w:sz w:val="24"/>
        </w:rPr>
      </w:pPr>
      <w:r>
        <w:rPr>
          <w:rFonts w:hint="default" w:ascii="Times New Roman" w:hAnsi="Times New Roman" w:eastAsia="楷体" w:cs="Times New Roman"/>
          <w:sz w:val="24"/>
        </w:rPr>
        <w:t>T0316压碎值及T0321磨光值试验中要求使用9.5-13.2mm的集料，而超薄罩面主要使用5mm~10mm或3mm~5mm作为粗集料，应送同批次母岩的10mm~15mm规格集料进行相应试验。</w:t>
      </w:r>
    </w:p>
    <w:p w14:paraId="6E23007E">
      <w:pPr>
        <w:numPr>
          <w:ilvl w:val="2"/>
          <w:numId w:val="17"/>
        </w:numPr>
        <w:spacing w:line="360" w:lineRule="auto"/>
        <w:ind w:left="0"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粗集料的粒径规格应符合表5.4.2的规定。</w:t>
      </w:r>
    </w:p>
    <w:p w14:paraId="4FD6C9B3">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表5.4.2 粗集料粒径规格要求</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179"/>
        <w:gridCol w:w="1230"/>
        <w:gridCol w:w="1230"/>
        <w:gridCol w:w="1232"/>
        <w:gridCol w:w="1230"/>
        <w:gridCol w:w="1235"/>
      </w:tblGrid>
      <w:tr w14:paraId="00A9D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307" w:type="pct"/>
            <w:vMerge w:val="restart"/>
            <w:shd w:val="clear" w:color="auto" w:fill="auto"/>
            <w:vAlign w:val="center"/>
          </w:tcPr>
          <w:p w14:paraId="7E04AF77">
            <w:pPr>
              <w:pStyle w:val="192"/>
              <w:rPr>
                <w:rFonts w:hint="default" w:ascii="Times New Roman" w:hAnsi="Times New Roman" w:cs="Times New Roman"/>
                <w:spacing w:val="-2"/>
                <w:szCs w:val="18"/>
              </w:rPr>
            </w:pPr>
            <w:r>
              <w:rPr>
                <w:rFonts w:hint="default" w:ascii="Times New Roman" w:hAnsi="Times New Roman" w:cs="Times New Roman"/>
                <w:spacing w:val="-2"/>
                <w:szCs w:val="18"/>
              </w:rPr>
              <w:t>公称粒径（mm）</w:t>
            </w:r>
          </w:p>
        </w:tc>
        <w:tc>
          <w:tcPr>
            <w:tcW w:w="3693" w:type="pct"/>
            <w:gridSpan w:val="5"/>
            <w:shd w:val="clear" w:color="auto" w:fill="auto"/>
            <w:vAlign w:val="center"/>
          </w:tcPr>
          <w:p w14:paraId="14CC6776">
            <w:pPr>
              <w:pStyle w:val="192"/>
              <w:rPr>
                <w:rFonts w:hint="default" w:ascii="Times New Roman" w:hAnsi="Times New Roman" w:cs="Times New Roman"/>
                <w:spacing w:val="-2"/>
                <w:szCs w:val="18"/>
              </w:rPr>
            </w:pPr>
            <w:r>
              <w:rPr>
                <w:rFonts w:hint="default" w:ascii="Times New Roman" w:hAnsi="Times New Roman" w:cs="Times New Roman"/>
                <w:spacing w:val="-2"/>
                <w:szCs w:val="18"/>
              </w:rPr>
              <w:t>通过下列筛孔（方孔筛mm）的质量百分率（％）</w:t>
            </w:r>
          </w:p>
        </w:tc>
      </w:tr>
      <w:tr w14:paraId="4B7FC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307" w:type="pct"/>
            <w:vMerge w:val="continue"/>
            <w:shd w:val="clear" w:color="auto" w:fill="auto"/>
            <w:vAlign w:val="center"/>
          </w:tcPr>
          <w:p w14:paraId="0FAFDE31">
            <w:pPr>
              <w:pStyle w:val="192"/>
              <w:rPr>
                <w:rFonts w:hint="default" w:ascii="Times New Roman" w:hAnsi="Times New Roman" w:cs="Times New Roman"/>
                <w:spacing w:val="-2"/>
                <w:szCs w:val="18"/>
              </w:rPr>
            </w:pPr>
          </w:p>
        </w:tc>
        <w:tc>
          <w:tcPr>
            <w:tcW w:w="738" w:type="pct"/>
            <w:shd w:val="clear" w:color="auto" w:fill="auto"/>
            <w:vAlign w:val="center"/>
          </w:tcPr>
          <w:p w14:paraId="68EBBEEA">
            <w:pPr>
              <w:pStyle w:val="192"/>
              <w:rPr>
                <w:rFonts w:hint="default" w:ascii="Times New Roman" w:hAnsi="Times New Roman" w:cs="Times New Roman"/>
                <w:spacing w:val="-2"/>
                <w:szCs w:val="18"/>
              </w:rPr>
            </w:pPr>
            <w:r>
              <w:rPr>
                <w:rFonts w:hint="default" w:ascii="Times New Roman" w:hAnsi="Times New Roman" w:cs="Times New Roman"/>
                <w:spacing w:val="-2"/>
                <w:szCs w:val="18"/>
              </w:rPr>
              <w:t>13.2</w:t>
            </w:r>
          </w:p>
        </w:tc>
        <w:tc>
          <w:tcPr>
            <w:tcW w:w="738" w:type="pct"/>
            <w:shd w:val="clear" w:color="auto" w:fill="auto"/>
            <w:vAlign w:val="center"/>
          </w:tcPr>
          <w:p w14:paraId="3707F66E">
            <w:pPr>
              <w:pStyle w:val="192"/>
              <w:rPr>
                <w:rFonts w:hint="default" w:ascii="Times New Roman" w:hAnsi="Times New Roman" w:cs="Times New Roman"/>
                <w:spacing w:val="-2"/>
                <w:szCs w:val="18"/>
              </w:rPr>
            </w:pPr>
            <w:r>
              <w:rPr>
                <w:rFonts w:hint="default" w:ascii="Times New Roman" w:hAnsi="Times New Roman" w:cs="Times New Roman"/>
                <w:spacing w:val="-2"/>
                <w:szCs w:val="18"/>
              </w:rPr>
              <w:t>9.5</w:t>
            </w:r>
          </w:p>
        </w:tc>
        <w:tc>
          <w:tcPr>
            <w:tcW w:w="739" w:type="pct"/>
            <w:shd w:val="clear" w:color="auto" w:fill="auto"/>
            <w:vAlign w:val="center"/>
          </w:tcPr>
          <w:p w14:paraId="4785ACD5">
            <w:pPr>
              <w:pStyle w:val="192"/>
              <w:rPr>
                <w:rFonts w:hint="default" w:ascii="Times New Roman" w:hAnsi="Times New Roman" w:cs="Times New Roman"/>
                <w:spacing w:val="-2"/>
                <w:szCs w:val="18"/>
              </w:rPr>
            </w:pPr>
            <w:r>
              <w:rPr>
                <w:rFonts w:hint="default" w:ascii="Times New Roman" w:hAnsi="Times New Roman" w:cs="Times New Roman"/>
                <w:spacing w:val="-2"/>
                <w:szCs w:val="18"/>
              </w:rPr>
              <w:t>4.75</w:t>
            </w:r>
          </w:p>
        </w:tc>
        <w:tc>
          <w:tcPr>
            <w:tcW w:w="738" w:type="pct"/>
            <w:shd w:val="clear" w:color="auto" w:fill="auto"/>
            <w:vAlign w:val="center"/>
          </w:tcPr>
          <w:p w14:paraId="6E443D2B">
            <w:pPr>
              <w:pStyle w:val="192"/>
              <w:rPr>
                <w:rFonts w:hint="default" w:ascii="Times New Roman" w:hAnsi="Times New Roman" w:cs="Times New Roman"/>
                <w:spacing w:val="-2"/>
                <w:szCs w:val="18"/>
              </w:rPr>
            </w:pPr>
            <w:r>
              <w:rPr>
                <w:rFonts w:hint="default" w:ascii="Times New Roman" w:hAnsi="Times New Roman" w:cs="Times New Roman"/>
                <w:spacing w:val="-2"/>
                <w:szCs w:val="18"/>
              </w:rPr>
              <w:t>2.36</w:t>
            </w:r>
          </w:p>
        </w:tc>
        <w:tc>
          <w:tcPr>
            <w:tcW w:w="739" w:type="pct"/>
            <w:shd w:val="clear" w:color="auto" w:fill="auto"/>
            <w:vAlign w:val="center"/>
          </w:tcPr>
          <w:p w14:paraId="4AEB9A00">
            <w:pPr>
              <w:pStyle w:val="192"/>
              <w:rPr>
                <w:rFonts w:hint="default" w:ascii="Times New Roman" w:hAnsi="Times New Roman" w:cs="Times New Roman"/>
                <w:spacing w:val="-2"/>
                <w:szCs w:val="18"/>
              </w:rPr>
            </w:pPr>
            <w:r>
              <w:rPr>
                <w:rFonts w:hint="default" w:ascii="Times New Roman" w:hAnsi="Times New Roman" w:cs="Times New Roman"/>
                <w:spacing w:val="-2"/>
                <w:szCs w:val="18"/>
              </w:rPr>
              <w:t>0.6</w:t>
            </w:r>
          </w:p>
        </w:tc>
      </w:tr>
      <w:tr w14:paraId="31DA0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307" w:type="pct"/>
            <w:shd w:val="clear" w:color="auto" w:fill="auto"/>
            <w:vAlign w:val="center"/>
          </w:tcPr>
          <w:p w14:paraId="7F8556BE">
            <w:pPr>
              <w:pStyle w:val="192"/>
              <w:rPr>
                <w:rFonts w:hint="default" w:ascii="Times New Roman" w:hAnsi="Times New Roman" w:cs="Times New Roman"/>
                <w:spacing w:val="-2"/>
                <w:szCs w:val="18"/>
              </w:rPr>
            </w:pPr>
            <w:r>
              <w:rPr>
                <w:rFonts w:hint="default" w:ascii="Times New Roman" w:hAnsi="Times New Roman" w:cs="Times New Roman"/>
                <w:spacing w:val="-2"/>
                <w:szCs w:val="18"/>
              </w:rPr>
              <w:t>5~10</w:t>
            </w:r>
          </w:p>
        </w:tc>
        <w:tc>
          <w:tcPr>
            <w:tcW w:w="738" w:type="pct"/>
            <w:shd w:val="clear" w:color="auto" w:fill="auto"/>
            <w:vAlign w:val="center"/>
          </w:tcPr>
          <w:p w14:paraId="395DA77E">
            <w:pPr>
              <w:pStyle w:val="192"/>
              <w:rPr>
                <w:rFonts w:hint="default" w:ascii="Times New Roman" w:hAnsi="Times New Roman" w:cs="Times New Roman"/>
                <w:spacing w:val="-2"/>
                <w:szCs w:val="18"/>
              </w:rPr>
            </w:pPr>
            <w:r>
              <w:rPr>
                <w:rFonts w:hint="default" w:ascii="Times New Roman" w:hAnsi="Times New Roman" w:cs="Times New Roman"/>
                <w:spacing w:val="-2"/>
                <w:szCs w:val="18"/>
              </w:rPr>
              <w:t>100</w:t>
            </w:r>
          </w:p>
        </w:tc>
        <w:tc>
          <w:tcPr>
            <w:tcW w:w="738" w:type="pct"/>
            <w:shd w:val="clear" w:color="auto" w:fill="auto"/>
            <w:vAlign w:val="center"/>
          </w:tcPr>
          <w:p w14:paraId="58EF58F9">
            <w:pPr>
              <w:pStyle w:val="192"/>
              <w:rPr>
                <w:rFonts w:hint="default" w:ascii="Times New Roman" w:hAnsi="Times New Roman" w:cs="Times New Roman"/>
                <w:spacing w:val="-2"/>
                <w:szCs w:val="18"/>
              </w:rPr>
            </w:pPr>
            <w:r>
              <w:rPr>
                <w:rFonts w:hint="default" w:ascii="Times New Roman" w:hAnsi="Times New Roman" w:cs="Times New Roman"/>
                <w:spacing w:val="-2"/>
                <w:szCs w:val="18"/>
              </w:rPr>
              <w:t>90~100</w:t>
            </w:r>
          </w:p>
        </w:tc>
        <w:tc>
          <w:tcPr>
            <w:tcW w:w="739" w:type="pct"/>
            <w:shd w:val="clear" w:color="auto" w:fill="auto"/>
            <w:vAlign w:val="center"/>
          </w:tcPr>
          <w:p w14:paraId="71353E3E">
            <w:pPr>
              <w:pStyle w:val="192"/>
              <w:rPr>
                <w:rFonts w:hint="default" w:ascii="Times New Roman" w:hAnsi="Times New Roman" w:cs="Times New Roman"/>
                <w:spacing w:val="-2"/>
                <w:szCs w:val="18"/>
              </w:rPr>
            </w:pPr>
            <w:r>
              <w:rPr>
                <w:rFonts w:hint="default" w:ascii="Times New Roman" w:hAnsi="Times New Roman" w:cs="Times New Roman"/>
                <w:spacing w:val="-2"/>
                <w:szCs w:val="18"/>
              </w:rPr>
              <w:t>0~15</w:t>
            </w:r>
          </w:p>
        </w:tc>
        <w:tc>
          <w:tcPr>
            <w:tcW w:w="738" w:type="pct"/>
            <w:shd w:val="clear" w:color="auto" w:fill="auto"/>
            <w:vAlign w:val="center"/>
          </w:tcPr>
          <w:p w14:paraId="22A1BF0B">
            <w:pPr>
              <w:pStyle w:val="192"/>
              <w:rPr>
                <w:rFonts w:hint="default" w:ascii="Times New Roman" w:hAnsi="Times New Roman" w:cs="Times New Roman"/>
                <w:spacing w:val="-2"/>
                <w:szCs w:val="18"/>
              </w:rPr>
            </w:pPr>
            <w:r>
              <w:rPr>
                <w:rFonts w:hint="default" w:ascii="Times New Roman" w:hAnsi="Times New Roman" w:cs="Times New Roman"/>
                <w:spacing w:val="-2"/>
                <w:szCs w:val="18"/>
              </w:rPr>
              <w:t>0~5</w:t>
            </w:r>
          </w:p>
        </w:tc>
        <w:tc>
          <w:tcPr>
            <w:tcW w:w="739" w:type="pct"/>
            <w:shd w:val="clear" w:color="auto" w:fill="auto"/>
            <w:vAlign w:val="center"/>
          </w:tcPr>
          <w:p w14:paraId="322ADFD7">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r>
      <w:tr w14:paraId="224A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307" w:type="pct"/>
            <w:shd w:val="clear" w:color="auto" w:fill="auto"/>
            <w:vAlign w:val="center"/>
          </w:tcPr>
          <w:p w14:paraId="13A21946">
            <w:pPr>
              <w:pStyle w:val="192"/>
              <w:rPr>
                <w:rFonts w:hint="default" w:ascii="Times New Roman" w:hAnsi="Times New Roman" w:cs="Times New Roman"/>
                <w:spacing w:val="-2"/>
                <w:szCs w:val="18"/>
              </w:rPr>
            </w:pPr>
            <w:r>
              <w:rPr>
                <w:rFonts w:hint="default" w:ascii="Times New Roman" w:hAnsi="Times New Roman" w:cs="Times New Roman"/>
                <w:spacing w:val="-2"/>
                <w:szCs w:val="18"/>
              </w:rPr>
              <w:t>3~5</w:t>
            </w:r>
          </w:p>
        </w:tc>
        <w:tc>
          <w:tcPr>
            <w:tcW w:w="738" w:type="pct"/>
            <w:shd w:val="clear" w:color="auto" w:fill="auto"/>
            <w:vAlign w:val="center"/>
          </w:tcPr>
          <w:p w14:paraId="4CB051AB">
            <w:pPr>
              <w:pStyle w:val="192"/>
              <w:rPr>
                <w:rFonts w:hint="default" w:ascii="Times New Roman" w:hAnsi="Times New Roman" w:cs="Times New Roman"/>
                <w:spacing w:val="-2"/>
                <w:szCs w:val="18"/>
              </w:rPr>
            </w:pPr>
          </w:p>
        </w:tc>
        <w:tc>
          <w:tcPr>
            <w:tcW w:w="738" w:type="pct"/>
            <w:shd w:val="clear" w:color="auto" w:fill="auto"/>
            <w:vAlign w:val="center"/>
          </w:tcPr>
          <w:p w14:paraId="2339F2A7">
            <w:pPr>
              <w:pStyle w:val="192"/>
              <w:rPr>
                <w:rFonts w:hint="default" w:ascii="Times New Roman" w:hAnsi="Times New Roman" w:cs="Times New Roman"/>
                <w:spacing w:val="-2"/>
                <w:szCs w:val="18"/>
              </w:rPr>
            </w:pPr>
            <w:r>
              <w:rPr>
                <w:rFonts w:hint="default" w:ascii="Times New Roman" w:hAnsi="Times New Roman" w:cs="Times New Roman"/>
                <w:spacing w:val="-2"/>
                <w:szCs w:val="18"/>
              </w:rPr>
              <w:t>100</w:t>
            </w:r>
          </w:p>
        </w:tc>
        <w:tc>
          <w:tcPr>
            <w:tcW w:w="739" w:type="pct"/>
            <w:shd w:val="clear" w:color="auto" w:fill="auto"/>
            <w:vAlign w:val="center"/>
          </w:tcPr>
          <w:p w14:paraId="011EA8DE">
            <w:pPr>
              <w:pStyle w:val="192"/>
              <w:rPr>
                <w:rFonts w:hint="default" w:ascii="Times New Roman" w:hAnsi="Times New Roman" w:cs="Times New Roman"/>
                <w:spacing w:val="-2"/>
                <w:szCs w:val="18"/>
              </w:rPr>
            </w:pPr>
            <w:r>
              <w:rPr>
                <w:rFonts w:hint="default" w:ascii="Times New Roman" w:hAnsi="Times New Roman" w:cs="Times New Roman"/>
                <w:spacing w:val="-2"/>
                <w:szCs w:val="18"/>
              </w:rPr>
              <w:t>90~100</w:t>
            </w:r>
          </w:p>
        </w:tc>
        <w:tc>
          <w:tcPr>
            <w:tcW w:w="738" w:type="pct"/>
            <w:shd w:val="clear" w:color="auto" w:fill="auto"/>
            <w:vAlign w:val="center"/>
          </w:tcPr>
          <w:p w14:paraId="104108F8">
            <w:pPr>
              <w:pStyle w:val="192"/>
              <w:rPr>
                <w:rFonts w:hint="default" w:ascii="Times New Roman" w:hAnsi="Times New Roman" w:cs="Times New Roman"/>
                <w:spacing w:val="-2"/>
                <w:szCs w:val="18"/>
              </w:rPr>
            </w:pPr>
            <w:r>
              <w:rPr>
                <w:rFonts w:hint="default" w:ascii="Times New Roman" w:hAnsi="Times New Roman" w:cs="Times New Roman"/>
                <w:spacing w:val="-2"/>
                <w:szCs w:val="18"/>
              </w:rPr>
              <w:t>0~15</w:t>
            </w:r>
          </w:p>
        </w:tc>
        <w:tc>
          <w:tcPr>
            <w:tcW w:w="739" w:type="pct"/>
            <w:shd w:val="clear" w:color="auto" w:fill="auto"/>
            <w:vAlign w:val="center"/>
          </w:tcPr>
          <w:p w14:paraId="2A01CE0A">
            <w:pPr>
              <w:pStyle w:val="192"/>
              <w:rPr>
                <w:rFonts w:hint="default" w:ascii="Times New Roman" w:hAnsi="Times New Roman" w:cs="Times New Roman"/>
                <w:spacing w:val="-2"/>
                <w:szCs w:val="18"/>
              </w:rPr>
            </w:pPr>
            <w:r>
              <w:rPr>
                <w:rFonts w:hint="default" w:ascii="Times New Roman" w:hAnsi="Times New Roman" w:cs="Times New Roman"/>
                <w:spacing w:val="-2"/>
                <w:szCs w:val="18"/>
              </w:rPr>
              <w:t>0~4</w:t>
            </w:r>
          </w:p>
        </w:tc>
      </w:tr>
    </w:tbl>
    <w:p w14:paraId="406632AB">
      <w:pPr>
        <w:numPr>
          <w:ilvl w:val="2"/>
          <w:numId w:val="17"/>
        </w:numPr>
        <w:spacing w:line="360" w:lineRule="auto"/>
        <w:ind w:left="0"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细集料宜采用石灰岩或岩浆岩中的强基性岩石经制砂机破碎得到的的机制砂，与沥青具有良好的黏结能力。细集料应符合表5.4.3的规定。</w:t>
      </w:r>
    </w:p>
    <w:p w14:paraId="4DCE0C95">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表5.4.3 细集料技术指标</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024"/>
        <w:gridCol w:w="1327"/>
        <w:gridCol w:w="1897"/>
        <w:gridCol w:w="2088"/>
      </w:tblGrid>
      <w:tr w14:paraId="76DEA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814" w:type="pct"/>
            <w:shd w:val="clear" w:color="auto" w:fill="auto"/>
            <w:vAlign w:val="center"/>
          </w:tcPr>
          <w:p w14:paraId="74C580B6">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试验项目</w:t>
            </w:r>
          </w:p>
        </w:tc>
        <w:tc>
          <w:tcPr>
            <w:tcW w:w="796" w:type="pct"/>
            <w:shd w:val="clear" w:color="auto" w:fill="auto"/>
            <w:vAlign w:val="center"/>
          </w:tcPr>
          <w:p w14:paraId="57E7C0B3">
            <w:pPr>
              <w:pStyle w:val="192"/>
              <w:rPr>
                <w:rFonts w:hint="default" w:ascii="Times New Roman" w:hAnsi="Times New Roman" w:cs="Times New Roman"/>
                <w:spacing w:val="-2"/>
                <w:szCs w:val="18"/>
              </w:rPr>
            </w:pPr>
            <w:r>
              <w:rPr>
                <w:rFonts w:hint="default" w:ascii="Times New Roman" w:hAnsi="Times New Roman" w:cs="Times New Roman"/>
                <w:spacing w:val="-2"/>
                <w:szCs w:val="18"/>
              </w:rPr>
              <w:t>单位</w:t>
            </w:r>
          </w:p>
        </w:tc>
        <w:tc>
          <w:tcPr>
            <w:tcW w:w="1138" w:type="pct"/>
            <w:shd w:val="clear" w:color="auto" w:fill="auto"/>
            <w:vAlign w:val="center"/>
          </w:tcPr>
          <w:p w14:paraId="70D87328">
            <w:pPr>
              <w:pStyle w:val="192"/>
              <w:rPr>
                <w:rFonts w:hint="default" w:ascii="Times New Roman" w:hAnsi="Times New Roman" w:cs="Times New Roman"/>
                <w:spacing w:val="-2"/>
                <w:szCs w:val="18"/>
              </w:rPr>
            </w:pPr>
            <w:r>
              <w:rPr>
                <w:rFonts w:hint="default" w:ascii="Times New Roman" w:hAnsi="Times New Roman" w:cs="Times New Roman"/>
                <w:spacing w:val="-2"/>
                <w:szCs w:val="18"/>
              </w:rPr>
              <w:t>技术指标</w:t>
            </w:r>
          </w:p>
        </w:tc>
        <w:tc>
          <w:tcPr>
            <w:tcW w:w="1252" w:type="pct"/>
            <w:shd w:val="clear" w:color="auto" w:fill="auto"/>
            <w:vAlign w:val="center"/>
          </w:tcPr>
          <w:p w14:paraId="3AC6C775">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试验方法</w:t>
            </w:r>
          </w:p>
        </w:tc>
      </w:tr>
      <w:tr w14:paraId="1AD38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814" w:type="pct"/>
            <w:shd w:val="clear" w:color="auto" w:fill="auto"/>
            <w:vAlign w:val="center"/>
          </w:tcPr>
          <w:p w14:paraId="577EDCB5">
            <w:pPr>
              <w:pStyle w:val="192"/>
              <w:rPr>
                <w:rFonts w:hint="default" w:ascii="Times New Roman" w:hAnsi="Times New Roman" w:cs="Times New Roman"/>
                <w:spacing w:val="-2"/>
                <w:szCs w:val="18"/>
              </w:rPr>
            </w:pPr>
            <w:r>
              <w:rPr>
                <w:rFonts w:hint="default" w:ascii="Times New Roman" w:hAnsi="Times New Roman" w:cs="Times New Roman"/>
                <w:spacing w:val="-2"/>
                <w:szCs w:val="18"/>
              </w:rPr>
              <w:t>砂当量</w:t>
            </w:r>
          </w:p>
        </w:tc>
        <w:tc>
          <w:tcPr>
            <w:tcW w:w="796" w:type="pct"/>
            <w:shd w:val="clear" w:color="auto" w:fill="auto"/>
            <w:vAlign w:val="center"/>
          </w:tcPr>
          <w:p w14:paraId="38E600DE">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38" w:type="pct"/>
            <w:shd w:val="clear" w:color="auto" w:fill="auto"/>
            <w:vAlign w:val="center"/>
          </w:tcPr>
          <w:p w14:paraId="6ABC1AD0">
            <w:pPr>
              <w:pStyle w:val="192"/>
              <w:rPr>
                <w:rFonts w:hint="default" w:ascii="Times New Roman" w:hAnsi="Times New Roman" w:cs="Times New Roman"/>
                <w:spacing w:val="-2"/>
                <w:szCs w:val="18"/>
              </w:rPr>
            </w:pPr>
            <w:r>
              <w:rPr>
                <w:rFonts w:hint="default" w:ascii="Times New Roman" w:hAnsi="Times New Roman" w:cs="Times New Roman"/>
                <w:spacing w:val="-2"/>
                <w:szCs w:val="18"/>
              </w:rPr>
              <w:t>≥65</w:t>
            </w:r>
          </w:p>
        </w:tc>
        <w:tc>
          <w:tcPr>
            <w:tcW w:w="1252" w:type="pct"/>
            <w:shd w:val="clear" w:color="auto" w:fill="auto"/>
            <w:vAlign w:val="center"/>
          </w:tcPr>
          <w:p w14:paraId="4D5D996B">
            <w:pPr>
              <w:pStyle w:val="192"/>
              <w:rPr>
                <w:rFonts w:hint="default" w:ascii="Times New Roman" w:hAnsi="Times New Roman" w:cs="Times New Roman"/>
                <w:spacing w:val="-2"/>
                <w:szCs w:val="18"/>
                <w:lang w:val="fr-FR"/>
              </w:rPr>
            </w:pPr>
            <w:r>
              <w:rPr>
                <w:rFonts w:hint="default" w:ascii="Times New Roman" w:hAnsi="Times New Roman" w:cs="Times New Roman"/>
                <w:spacing w:val="-2"/>
                <w:szCs w:val="18"/>
                <w:lang w:val="fr-FR"/>
              </w:rPr>
              <w:t>T 0334</w:t>
            </w:r>
          </w:p>
        </w:tc>
      </w:tr>
      <w:tr w14:paraId="0E4A0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814" w:type="pct"/>
            <w:shd w:val="clear" w:color="auto" w:fill="auto"/>
            <w:vAlign w:val="center"/>
          </w:tcPr>
          <w:p w14:paraId="3F17221B">
            <w:pPr>
              <w:pStyle w:val="192"/>
              <w:rPr>
                <w:rFonts w:hint="default" w:ascii="Times New Roman" w:hAnsi="Times New Roman" w:cs="Times New Roman"/>
                <w:spacing w:val="-2"/>
                <w:szCs w:val="18"/>
              </w:rPr>
            </w:pPr>
            <w:r>
              <w:rPr>
                <w:rFonts w:hint="default" w:ascii="Times New Roman" w:hAnsi="Times New Roman" w:cs="Times New Roman"/>
                <w:spacing w:val="-2"/>
                <w:szCs w:val="18"/>
              </w:rPr>
              <w:t>细集料棱角性试验</w:t>
            </w:r>
          </w:p>
        </w:tc>
        <w:tc>
          <w:tcPr>
            <w:tcW w:w="796" w:type="pct"/>
            <w:shd w:val="clear" w:color="auto" w:fill="auto"/>
            <w:vAlign w:val="center"/>
          </w:tcPr>
          <w:p w14:paraId="758444AA">
            <w:pPr>
              <w:pStyle w:val="192"/>
              <w:rPr>
                <w:rFonts w:hint="default" w:ascii="Times New Roman" w:hAnsi="Times New Roman" w:cs="Times New Roman"/>
                <w:spacing w:val="-2"/>
                <w:szCs w:val="18"/>
              </w:rPr>
            </w:pPr>
            <w:r>
              <w:rPr>
                <w:rFonts w:hint="default" w:ascii="Times New Roman" w:hAnsi="Times New Roman" w:cs="Times New Roman"/>
                <w:spacing w:val="-2"/>
                <w:szCs w:val="18"/>
              </w:rPr>
              <w:t>s</w:t>
            </w:r>
          </w:p>
        </w:tc>
        <w:tc>
          <w:tcPr>
            <w:tcW w:w="1138" w:type="pct"/>
            <w:shd w:val="clear" w:color="auto" w:fill="auto"/>
            <w:vAlign w:val="center"/>
          </w:tcPr>
          <w:p w14:paraId="6E4B2C4F">
            <w:pPr>
              <w:pStyle w:val="192"/>
              <w:rPr>
                <w:rFonts w:hint="default" w:ascii="Times New Roman" w:hAnsi="Times New Roman" w:cs="Times New Roman"/>
                <w:spacing w:val="-2"/>
                <w:szCs w:val="18"/>
              </w:rPr>
            </w:pPr>
            <w:r>
              <w:rPr>
                <w:rFonts w:hint="default" w:ascii="Times New Roman" w:hAnsi="Times New Roman" w:cs="Times New Roman"/>
                <w:spacing w:val="-2"/>
                <w:szCs w:val="18"/>
              </w:rPr>
              <w:t>≥40</w:t>
            </w:r>
          </w:p>
        </w:tc>
        <w:tc>
          <w:tcPr>
            <w:tcW w:w="1252" w:type="pct"/>
            <w:shd w:val="clear" w:color="auto" w:fill="auto"/>
            <w:vAlign w:val="center"/>
          </w:tcPr>
          <w:p w14:paraId="54EFCAF5">
            <w:pPr>
              <w:pStyle w:val="192"/>
              <w:rPr>
                <w:rFonts w:hint="default" w:ascii="Times New Roman" w:hAnsi="Times New Roman" w:cs="Times New Roman"/>
                <w:spacing w:val="-2"/>
                <w:szCs w:val="18"/>
              </w:rPr>
            </w:pPr>
            <w:r>
              <w:rPr>
                <w:rFonts w:hint="default" w:ascii="Times New Roman" w:hAnsi="Times New Roman" w:cs="Times New Roman"/>
                <w:spacing w:val="-2"/>
                <w:szCs w:val="18"/>
              </w:rPr>
              <w:t>T 0344</w:t>
            </w:r>
          </w:p>
        </w:tc>
      </w:tr>
      <w:tr w14:paraId="4A6C0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814" w:type="pct"/>
            <w:shd w:val="clear" w:color="auto" w:fill="auto"/>
            <w:vAlign w:val="center"/>
          </w:tcPr>
          <w:p w14:paraId="4909B6B4">
            <w:pPr>
              <w:pStyle w:val="192"/>
              <w:rPr>
                <w:rFonts w:hint="default" w:ascii="Times New Roman" w:hAnsi="Times New Roman" w:cs="Times New Roman"/>
                <w:spacing w:val="-2"/>
                <w:szCs w:val="18"/>
              </w:rPr>
            </w:pPr>
            <w:r>
              <w:rPr>
                <w:rFonts w:hint="default" w:ascii="Times New Roman" w:hAnsi="Times New Roman" w:cs="Times New Roman"/>
                <w:spacing w:val="-2"/>
                <w:szCs w:val="18"/>
              </w:rPr>
              <w:t>表观相对密度</w:t>
            </w:r>
          </w:p>
        </w:tc>
        <w:tc>
          <w:tcPr>
            <w:tcW w:w="796" w:type="pct"/>
            <w:shd w:val="clear" w:color="auto" w:fill="auto"/>
            <w:vAlign w:val="center"/>
          </w:tcPr>
          <w:p w14:paraId="14B30683">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38" w:type="pct"/>
            <w:shd w:val="clear" w:color="auto" w:fill="auto"/>
            <w:vAlign w:val="center"/>
          </w:tcPr>
          <w:p w14:paraId="330D9161">
            <w:pPr>
              <w:pStyle w:val="192"/>
              <w:rPr>
                <w:rFonts w:hint="default" w:ascii="Times New Roman" w:hAnsi="Times New Roman" w:cs="Times New Roman"/>
                <w:spacing w:val="-2"/>
                <w:szCs w:val="18"/>
              </w:rPr>
            </w:pPr>
            <w:r>
              <w:rPr>
                <w:rFonts w:hint="default" w:ascii="Times New Roman" w:hAnsi="Times New Roman" w:cs="Times New Roman"/>
                <w:spacing w:val="-2"/>
                <w:szCs w:val="18"/>
              </w:rPr>
              <w:t>≥2.5</w:t>
            </w:r>
          </w:p>
        </w:tc>
        <w:tc>
          <w:tcPr>
            <w:tcW w:w="1252" w:type="pct"/>
            <w:shd w:val="clear" w:color="auto" w:fill="auto"/>
            <w:vAlign w:val="center"/>
          </w:tcPr>
          <w:p w14:paraId="2A8EFC26">
            <w:pPr>
              <w:pStyle w:val="192"/>
              <w:rPr>
                <w:rFonts w:hint="default" w:ascii="Times New Roman" w:hAnsi="Times New Roman" w:cs="Times New Roman"/>
                <w:spacing w:val="-2"/>
                <w:szCs w:val="18"/>
              </w:rPr>
            </w:pPr>
            <w:r>
              <w:rPr>
                <w:rFonts w:hint="default" w:ascii="Times New Roman" w:hAnsi="Times New Roman" w:cs="Times New Roman"/>
                <w:spacing w:val="-2"/>
                <w:szCs w:val="18"/>
              </w:rPr>
              <w:t>T 0328</w:t>
            </w:r>
          </w:p>
        </w:tc>
      </w:tr>
      <w:tr w14:paraId="77B03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814" w:type="pct"/>
            <w:shd w:val="clear" w:color="auto" w:fill="auto"/>
            <w:vAlign w:val="center"/>
          </w:tcPr>
          <w:p w14:paraId="2CC8E9A9">
            <w:pPr>
              <w:pStyle w:val="192"/>
              <w:rPr>
                <w:rFonts w:hint="default" w:ascii="Times New Roman" w:hAnsi="Times New Roman" w:cs="Times New Roman"/>
                <w:spacing w:val="-2"/>
                <w:szCs w:val="18"/>
              </w:rPr>
            </w:pPr>
            <w:r>
              <w:rPr>
                <w:rFonts w:hint="default" w:ascii="Times New Roman" w:hAnsi="Times New Roman" w:cs="Times New Roman"/>
                <w:spacing w:val="-2"/>
                <w:szCs w:val="18"/>
              </w:rPr>
              <w:t>亚甲蓝值</w:t>
            </w:r>
          </w:p>
        </w:tc>
        <w:tc>
          <w:tcPr>
            <w:tcW w:w="796" w:type="pct"/>
            <w:shd w:val="clear" w:color="auto" w:fill="auto"/>
            <w:vAlign w:val="center"/>
          </w:tcPr>
          <w:p w14:paraId="32B8D60E">
            <w:pPr>
              <w:pStyle w:val="192"/>
              <w:rPr>
                <w:rFonts w:hint="default" w:ascii="Times New Roman" w:hAnsi="Times New Roman" w:cs="Times New Roman"/>
                <w:spacing w:val="-2"/>
                <w:szCs w:val="18"/>
              </w:rPr>
            </w:pPr>
            <w:r>
              <w:rPr>
                <w:rFonts w:hint="default" w:ascii="Times New Roman" w:hAnsi="Times New Roman" w:cs="Times New Roman"/>
                <w:spacing w:val="-2"/>
                <w:szCs w:val="18"/>
              </w:rPr>
              <w:t>g/kg</w:t>
            </w:r>
          </w:p>
        </w:tc>
        <w:tc>
          <w:tcPr>
            <w:tcW w:w="1138" w:type="pct"/>
            <w:shd w:val="clear" w:color="auto" w:fill="auto"/>
            <w:vAlign w:val="center"/>
          </w:tcPr>
          <w:p w14:paraId="77F8B2DF">
            <w:pPr>
              <w:pStyle w:val="192"/>
              <w:rPr>
                <w:rFonts w:hint="default" w:ascii="Times New Roman" w:hAnsi="Times New Roman" w:cs="Times New Roman"/>
                <w:spacing w:val="-2"/>
                <w:szCs w:val="18"/>
              </w:rPr>
            </w:pPr>
            <w:r>
              <w:rPr>
                <w:rFonts w:hint="default" w:ascii="Times New Roman" w:hAnsi="Times New Roman" w:cs="Times New Roman"/>
                <w:spacing w:val="-2"/>
                <w:szCs w:val="18"/>
              </w:rPr>
              <w:t>≤25</w:t>
            </w:r>
          </w:p>
        </w:tc>
        <w:tc>
          <w:tcPr>
            <w:tcW w:w="1252" w:type="pct"/>
            <w:shd w:val="clear" w:color="auto" w:fill="auto"/>
            <w:vAlign w:val="center"/>
          </w:tcPr>
          <w:p w14:paraId="1AF30269">
            <w:pPr>
              <w:pStyle w:val="192"/>
              <w:rPr>
                <w:rFonts w:hint="default" w:ascii="Times New Roman" w:hAnsi="Times New Roman" w:cs="Times New Roman"/>
                <w:spacing w:val="-2"/>
                <w:szCs w:val="18"/>
              </w:rPr>
            </w:pPr>
            <w:r>
              <w:rPr>
                <w:rFonts w:hint="default" w:ascii="Times New Roman" w:hAnsi="Times New Roman" w:cs="Times New Roman"/>
                <w:spacing w:val="-2"/>
                <w:szCs w:val="18"/>
              </w:rPr>
              <w:t>T 0349</w:t>
            </w:r>
          </w:p>
        </w:tc>
      </w:tr>
      <w:tr w14:paraId="19C53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814" w:type="pct"/>
            <w:shd w:val="clear" w:color="auto" w:fill="auto"/>
            <w:vAlign w:val="center"/>
          </w:tcPr>
          <w:p w14:paraId="32DB78BF">
            <w:pPr>
              <w:pStyle w:val="192"/>
              <w:rPr>
                <w:rFonts w:hint="default" w:ascii="Times New Roman" w:hAnsi="Times New Roman" w:cs="Times New Roman"/>
                <w:spacing w:val="-2"/>
                <w:szCs w:val="18"/>
              </w:rPr>
            </w:pPr>
            <w:r>
              <w:rPr>
                <w:rFonts w:hint="default" w:ascii="Times New Roman" w:hAnsi="Times New Roman" w:cs="Times New Roman"/>
                <w:spacing w:val="-2"/>
                <w:szCs w:val="18"/>
              </w:rPr>
              <w:t>坚固性(大于0.3mm部分)</w:t>
            </w:r>
          </w:p>
        </w:tc>
        <w:tc>
          <w:tcPr>
            <w:tcW w:w="796" w:type="pct"/>
            <w:shd w:val="clear" w:color="auto" w:fill="auto"/>
            <w:vAlign w:val="center"/>
          </w:tcPr>
          <w:p w14:paraId="28B404DD">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38" w:type="pct"/>
            <w:shd w:val="clear" w:color="auto" w:fill="auto"/>
            <w:vAlign w:val="center"/>
          </w:tcPr>
          <w:p w14:paraId="1D2B6515">
            <w:pPr>
              <w:pStyle w:val="192"/>
              <w:rPr>
                <w:rFonts w:hint="default" w:ascii="Times New Roman" w:hAnsi="Times New Roman" w:cs="Times New Roman"/>
                <w:spacing w:val="-2"/>
                <w:szCs w:val="18"/>
              </w:rPr>
            </w:pPr>
            <w:r>
              <w:rPr>
                <w:rFonts w:hint="default" w:ascii="Times New Roman" w:hAnsi="Times New Roman" w:cs="Times New Roman"/>
                <w:spacing w:val="-2"/>
                <w:szCs w:val="18"/>
              </w:rPr>
              <w:t>≤12</w:t>
            </w:r>
          </w:p>
        </w:tc>
        <w:tc>
          <w:tcPr>
            <w:tcW w:w="1252" w:type="pct"/>
            <w:shd w:val="clear" w:color="auto" w:fill="auto"/>
            <w:vAlign w:val="center"/>
          </w:tcPr>
          <w:p w14:paraId="24D1A575">
            <w:pPr>
              <w:pStyle w:val="192"/>
              <w:rPr>
                <w:rFonts w:hint="default" w:ascii="Times New Roman" w:hAnsi="Times New Roman" w:cs="Times New Roman"/>
                <w:spacing w:val="-2"/>
                <w:szCs w:val="18"/>
              </w:rPr>
            </w:pPr>
            <w:r>
              <w:rPr>
                <w:rFonts w:hint="default" w:ascii="Times New Roman" w:hAnsi="Times New Roman" w:cs="Times New Roman"/>
                <w:spacing w:val="-2"/>
                <w:szCs w:val="18"/>
              </w:rPr>
              <w:t>T 0340</w:t>
            </w:r>
          </w:p>
        </w:tc>
      </w:tr>
    </w:tbl>
    <w:p w14:paraId="3D58FD80">
      <w:pPr>
        <w:numPr>
          <w:ilvl w:val="2"/>
          <w:numId w:val="17"/>
        </w:numPr>
        <w:spacing w:line="360" w:lineRule="auto"/>
        <w:ind w:left="0" w:firstLine="480" w:firstLineChars="200"/>
        <w:rPr>
          <w:rFonts w:hint="default" w:ascii="Times New Roman" w:hAnsi="Times New Roman" w:cs="Times New Roman"/>
          <w:bCs/>
          <w:sz w:val="24"/>
          <w:szCs w:val="32"/>
        </w:rPr>
      </w:pPr>
      <w:r>
        <w:rPr>
          <w:rFonts w:hint="default" w:ascii="Times New Roman" w:hAnsi="Times New Roman" w:cs="Times New Roman"/>
          <w:bCs/>
          <w:sz w:val="24"/>
          <w:szCs w:val="32"/>
        </w:rPr>
        <w:t>细集料规格应符合表5.4.4的规定。</w:t>
      </w:r>
    </w:p>
    <w:p w14:paraId="1A01FAEF">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表5.4.4细集料粒径规格要求</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63"/>
        <w:gridCol w:w="808"/>
        <w:gridCol w:w="858"/>
        <w:gridCol w:w="859"/>
        <w:gridCol w:w="809"/>
        <w:gridCol w:w="809"/>
        <w:gridCol w:w="809"/>
        <w:gridCol w:w="809"/>
        <w:gridCol w:w="812"/>
      </w:tblGrid>
      <w:tr w14:paraId="01A00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0" w:hRule="atLeast"/>
          <w:tblHeader/>
        </w:trPr>
        <w:tc>
          <w:tcPr>
            <w:tcW w:w="1058" w:type="pct"/>
            <w:vMerge w:val="restart"/>
            <w:shd w:val="clear" w:color="auto" w:fill="auto"/>
            <w:vAlign w:val="center"/>
          </w:tcPr>
          <w:p w14:paraId="590457B9">
            <w:pPr>
              <w:pStyle w:val="192"/>
              <w:rPr>
                <w:rFonts w:hint="default" w:ascii="Times New Roman" w:hAnsi="Times New Roman" w:cs="Times New Roman"/>
                <w:spacing w:val="-2"/>
                <w:szCs w:val="18"/>
              </w:rPr>
            </w:pPr>
            <w:r>
              <w:rPr>
                <w:rFonts w:hint="default" w:ascii="Times New Roman" w:hAnsi="Times New Roman" w:cs="Times New Roman"/>
                <w:spacing w:val="-2"/>
                <w:szCs w:val="18"/>
              </w:rPr>
              <w:t>公称粒径（mm）</w:t>
            </w:r>
          </w:p>
        </w:tc>
        <w:tc>
          <w:tcPr>
            <w:tcW w:w="3942" w:type="pct"/>
            <w:gridSpan w:val="8"/>
            <w:shd w:val="clear" w:color="auto" w:fill="auto"/>
          </w:tcPr>
          <w:p w14:paraId="16A63731">
            <w:pPr>
              <w:pStyle w:val="192"/>
              <w:rPr>
                <w:rFonts w:hint="default" w:ascii="Times New Roman" w:hAnsi="Times New Roman" w:cs="Times New Roman"/>
                <w:spacing w:val="-2"/>
                <w:szCs w:val="18"/>
              </w:rPr>
            </w:pPr>
            <w:r>
              <w:rPr>
                <w:rFonts w:hint="default" w:ascii="Times New Roman" w:hAnsi="Times New Roman" w:cs="Times New Roman"/>
                <w:spacing w:val="-2"/>
                <w:szCs w:val="18"/>
              </w:rPr>
              <w:t>通过下列筛孔（方孔筛mm）的质量百分率（％）</w:t>
            </w:r>
          </w:p>
        </w:tc>
      </w:tr>
      <w:tr w14:paraId="6D6CA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058" w:type="pct"/>
            <w:vMerge w:val="continue"/>
            <w:shd w:val="clear" w:color="auto" w:fill="auto"/>
          </w:tcPr>
          <w:p w14:paraId="72D006F4">
            <w:pPr>
              <w:pStyle w:val="192"/>
              <w:rPr>
                <w:rFonts w:hint="default" w:ascii="Times New Roman" w:hAnsi="Times New Roman" w:cs="Times New Roman"/>
                <w:spacing w:val="-2"/>
                <w:szCs w:val="18"/>
              </w:rPr>
            </w:pPr>
          </w:p>
        </w:tc>
        <w:tc>
          <w:tcPr>
            <w:tcW w:w="485" w:type="pct"/>
            <w:shd w:val="clear" w:color="auto" w:fill="auto"/>
          </w:tcPr>
          <w:p w14:paraId="31A7BA93">
            <w:pPr>
              <w:pStyle w:val="192"/>
              <w:rPr>
                <w:rFonts w:hint="default" w:ascii="Times New Roman" w:hAnsi="Times New Roman" w:cs="Times New Roman"/>
                <w:spacing w:val="-2"/>
                <w:szCs w:val="18"/>
              </w:rPr>
            </w:pPr>
            <w:r>
              <w:rPr>
                <w:rFonts w:hint="default" w:ascii="Times New Roman" w:hAnsi="Times New Roman" w:cs="Times New Roman"/>
                <w:spacing w:val="-2"/>
                <w:szCs w:val="18"/>
              </w:rPr>
              <w:t>9.5</w:t>
            </w:r>
          </w:p>
        </w:tc>
        <w:tc>
          <w:tcPr>
            <w:tcW w:w="515" w:type="pct"/>
            <w:shd w:val="clear" w:color="auto" w:fill="auto"/>
          </w:tcPr>
          <w:p w14:paraId="0AAD690E">
            <w:pPr>
              <w:pStyle w:val="192"/>
              <w:rPr>
                <w:rFonts w:hint="default" w:ascii="Times New Roman" w:hAnsi="Times New Roman" w:cs="Times New Roman"/>
                <w:spacing w:val="-2"/>
                <w:szCs w:val="18"/>
              </w:rPr>
            </w:pPr>
            <w:r>
              <w:rPr>
                <w:rFonts w:hint="default" w:ascii="Times New Roman" w:hAnsi="Times New Roman" w:cs="Times New Roman"/>
                <w:spacing w:val="-2"/>
                <w:szCs w:val="18"/>
              </w:rPr>
              <w:t>4.75</w:t>
            </w:r>
          </w:p>
        </w:tc>
        <w:tc>
          <w:tcPr>
            <w:tcW w:w="515" w:type="pct"/>
            <w:shd w:val="clear" w:color="auto" w:fill="auto"/>
          </w:tcPr>
          <w:p w14:paraId="39A3F4C9">
            <w:pPr>
              <w:pStyle w:val="192"/>
              <w:rPr>
                <w:rFonts w:hint="default" w:ascii="Times New Roman" w:hAnsi="Times New Roman" w:cs="Times New Roman"/>
                <w:spacing w:val="-2"/>
                <w:szCs w:val="18"/>
              </w:rPr>
            </w:pPr>
            <w:r>
              <w:rPr>
                <w:rFonts w:hint="default" w:ascii="Times New Roman" w:hAnsi="Times New Roman" w:cs="Times New Roman"/>
                <w:spacing w:val="-2"/>
                <w:szCs w:val="18"/>
              </w:rPr>
              <w:t>2.36</w:t>
            </w:r>
          </w:p>
        </w:tc>
        <w:tc>
          <w:tcPr>
            <w:tcW w:w="485" w:type="pct"/>
            <w:shd w:val="clear" w:color="auto" w:fill="auto"/>
          </w:tcPr>
          <w:p w14:paraId="61F28D6C">
            <w:pPr>
              <w:pStyle w:val="192"/>
              <w:rPr>
                <w:rFonts w:hint="default" w:ascii="Times New Roman" w:hAnsi="Times New Roman" w:cs="Times New Roman"/>
                <w:spacing w:val="-2"/>
                <w:szCs w:val="18"/>
              </w:rPr>
            </w:pPr>
            <w:r>
              <w:rPr>
                <w:rFonts w:hint="default" w:ascii="Times New Roman" w:hAnsi="Times New Roman" w:cs="Times New Roman"/>
                <w:spacing w:val="-2"/>
                <w:szCs w:val="18"/>
              </w:rPr>
              <w:t>1.18</w:t>
            </w:r>
          </w:p>
        </w:tc>
        <w:tc>
          <w:tcPr>
            <w:tcW w:w="485" w:type="pct"/>
            <w:shd w:val="clear" w:color="auto" w:fill="auto"/>
          </w:tcPr>
          <w:p w14:paraId="3128503C">
            <w:pPr>
              <w:pStyle w:val="192"/>
              <w:rPr>
                <w:rFonts w:hint="default" w:ascii="Times New Roman" w:hAnsi="Times New Roman" w:cs="Times New Roman"/>
                <w:spacing w:val="-2"/>
                <w:szCs w:val="18"/>
              </w:rPr>
            </w:pPr>
            <w:r>
              <w:rPr>
                <w:rFonts w:hint="default" w:ascii="Times New Roman" w:hAnsi="Times New Roman" w:cs="Times New Roman"/>
                <w:spacing w:val="-2"/>
                <w:szCs w:val="18"/>
              </w:rPr>
              <w:t>0.6</w:t>
            </w:r>
          </w:p>
        </w:tc>
        <w:tc>
          <w:tcPr>
            <w:tcW w:w="485" w:type="pct"/>
            <w:shd w:val="clear" w:color="auto" w:fill="auto"/>
          </w:tcPr>
          <w:p w14:paraId="729AEC21">
            <w:pPr>
              <w:pStyle w:val="192"/>
              <w:rPr>
                <w:rFonts w:hint="default" w:ascii="Times New Roman" w:hAnsi="Times New Roman" w:cs="Times New Roman"/>
                <w:spacing w:val="-2"/>
                <w:szCs w:val="18"/>
              </w:rPr>
            </w:pPr>
            <w:r>
              <w:rPr>
                <w:rFonts w:hint="default" w:ascii="Times New Roman" w:hAnsi="Times New Roman" w:cs="Times New Roman"/>
                <w:spacing w:val="-2"/>
                <w:szCs w:val="18"/>
              </w:rPr>
              <w:t>0.3</w:t>
            </w:r>
          </w:p>
        </w:tc>
        <w:tc>
          <w:tcPr>
            <w:tcW w:w="485" w:type="pct"/>
            <w:shd w:val="clear" w:color="auto" w:fill="auto"/>
          </w:tcPr>
          <w:p w14:paraId="3C61A221">
            <w:pPr>
              <w:pStyle w:val="192"/>
              <w:rPr>
                <w:rFonts w:hint="default" w:ascii="Times New Roman" w:hAnsi="Times New Roman" w:cs="Times New Roman"/>
                <w:spacing w:val="-2"/>
                <w:szCs w:val="18"/>
              </w:rPr>
            </w:pPr>
            <w:r>
              <w:rPr>
                <w:rFonts w:hint="default" w:ascii="Times New Roman" w:hAnsi="Times New Roman" w:cs="Times New Roman"/>
                <w:spacing w:val="-2"/>
                <w:szCs w:val="18"/>
              </w:rPr>
              <w:t>0.15</w:t>
            </w:r>
          </w:p>
        </w:tc>
        <w:tc>
          <w:tcPr>
            <w:tcW w:w="485" w:type="pct"/>
            <w:shd w:val="clear" w:color="auto" w:fill="auto"/>
          </w:tcPr>
          <w:p w14:paraId="08959473">
            <w:pPr>
              <w:pStyle w:val="192"/>
              <w:rPr>
                <w:rFonts w:hint="default" w:ascii="Times New Roman" w:hAnsi="Times New Roman" w:cs="Times New Roman"/>
                <w:spacing w:val="-2"/>
                <w:szCs w:val="18"/>
              </w:rPr>
            </w:pPr>
            <w:r>
              <w:rPr>
                <w:rFonts w:hint="default" w:ascii="Times New Roman" w:hAnsi="Times New Roman" w:cs="Times New Roman"/>
                <w:spacing w:val="-2"/>
                <w:szCs w:val="18"/>
              </w:rPr>
              <w:t>0.075</w:t>
            </w:r>
          </w:p>
        </w:tc>
      </w:tr>
      <w:tr w14:paraId="7E162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058" w:type="pct"/>
            <w:shd w:val="clear" w:color="auto" w:fill="auto"/>
          </w:tcPr>
          <w:p w14:paraId="7C1D4DB1">
            <w:pPr>
              <w:pStyle w:val="192"/>
              <w:rPr>
                <w:rFonts w:hint="default" w:ascii="Times New Roman" w:hAnsi="Times New Roman" w:cs="Times New Roman"/>
                <w:spacing w:val="-2"/>
                <w:szCs w:val="18"/>
              </w:rPr>
            </w:pPr>
            <w:r>
              <w:rPr>
                <w:rFonts w:hint="default" w:ascii="Times New Roman" w:hAnsi="Times New Roman" w:cs="Times New Roman"/>
                <w:spacing w:val="-2"/>
                <w:szCs w:val="18"/>
              </w:rPr>
              <w:t>0~5</w:t>
            </w:r>
          </w:p>
        </w:tc>
        <w:tc>
          <w:tcPr>
            <w:tcW w:w="485" w:type="pct"/>
            <w:shd w:val="clear" w:color="auto" w:fill="auto"/>
          </w:tcPr>
          <w:p w14:paraId="0B3A69C7">
            <w:pPr>
              <w:pStyle w:val="192"/>
              <w:rPr>
                <w:rFonts w:hint="default" w:ascii="Times New Roman" w:hAnsi="Times New Roman" w:cs="Times New Roman"/>
                <w:spacing w:val="-2"/>
                <w:szCs w:val="18"/>
              </w:rPr>
            </w:pPr>
            <w:r>
              <w:rPr>
                <w:rFonts w:hint="default" w:ascii="Times New Roman" w:hAnsi="Times New Roman" w:cs="Times New Roman"/>
                <w:spacing w:val="-2"/>
                <w:szCs w:val="18"/>
              </w:rPr>
              <w:t>100</w:t>
            </w:r>
          </w:p>
        </w:tc>
        <w:tc>
          <w:tcPr>
            <w:tcW w:w="515" w:type="pct"/>
            <w:shd w:val="clear" w:color="auto" w:fill="auto"/>
          </w:tcPr>
          <w:p w14:paraId="5AF8AF1D">
            <w:pPr>
              <w:pStyle w:val="192"/>
              <w:rPr>
                <w:rFonts w:hint="default" w:ascii="Times New Roman" w:hAnsi="Times New Roman" w:cs="Times New Roman"/>
                <w:spacing w:val="-2"/>
                <w:szCs w:val="18"/>
              </w:rPr>
            </w:pPr>
            <w:r>
              <w:rPr>
                <w:rFonts w:hint="default" w:ascii="Times New Roman" w:hAnsi="Times New Roman" w:cs="Times New Roman"/>
                <w:spacing w:val="-2"/>
                <w:szCs w:val="18"/>
              </w:rPr>
              <w:t>90~100</w:t>
            </w:r>
          </w:p>
        </w:tc>
        <w:tc>
          <w:tcPr>
            <w:tcW w:w="515" w:type="pct"/>
            <w:shd w:val="clear" w:color="auto" w:fill="auto"/>
          </w:tcPr>
          <w:p w14:paraId="1162D1BE">
            <w:pPr>
              <w:pStyle w:val="192"/>
              <w:rPr>
                <w:rFonts w:hint="default" w:ascii="Times New Roman" w:hAnsi="Times New Roman" w:cs="Times New Roman"/>
                <w:spacing w:val="-2"/>
                <w:szCs w:val="18"/>
              </w:rPr>
            </w:pPr>
            <w:r>
              <w:rPr>
                <w:rFonts w:hint="default" w:ascii="Times New Roman" w:hAnsi="Times New Roman" w:cs="Times New Roman"/>
                <w:spacing w:val="-2"/>
                <w:szCs w:val="18"/>
              </w:rPr>
              <w:t>60~90</w:t>
            </w:r>
          </w:p>
        </w:tc>
        <w:tc>
          <w:tcPr>
            <w:tcW w:w="485" w:type="pct"/>
            <w:shd w:val="clear" w:color="auto" w:fill="auto"/>
          </w:tcPr>
          <w:p w14:paraId="17151036">
            <w:pPr>
              <w:pStyle w:val="192"/>
              <w:rPr>
                <w:rFonts w:hint="default" w:ascii="Times New Roman" w:hAnsi="Times New Roman" w:cs="Times New Roman"/>
                <w:spacing w:val="-2"/>
                <w:szCs w:val="18"/>
              </w:rPr>
            </w:pPr>
            <w:r>
              <w:rPr>
                <w:rFonts w:hint="default" w:ascii="Times New Roman" w:hAnsi="Times New Roman" w:cs="Times New Roman"/>
                <w:spacing w:val="-2"/>
                <w:szCs w:val="18"/>
              </w:rPr>
              <w:t>40~75</w:t>
            </w:r>
          </w:p>
        </w:tc>
        <w:tc>
          <w:tcPr>
            <w:tcW w:w="485" w:type="pct"/>
            <w:shd w:val="clear" w:color="auto" w:fill="auto"/>
          </w:tcPr>
          <w:p w14:paraId="1E1BA536">
            <w:pPr>
              <w:pStyle w:val="192"/>
              <w:rPr>
                <w:rFonts w:hint="default" w:ascii="Times New Roman" w:hAnsi="Times New Roman" w:cs="Times New Roman"/>
                <w:spacing w:val="-2"/>
                <w:szCs w:val="18"/>
              </w:rPr>
            </w:pPr>
            <w:r>
              <w:rPr>
                <w:rFonts w:hint="default" w:ascii="Times New Roman" w:hAnsi="Times New Roman" w:cs="Times New Roman"/>
                <w:spacing w:val="-2"/>
                <w:szCs w:val="18"/>
              </w:rPr>
              <w:t>20~55</w:t>
            </w:r>
          </w:p>
        </w:tc>
        <w:tc>
          <w:tcPr>
            <w:tcW w:w="485" w:type="pct"/>
            <w:shd w:val="clear" w:color="auto" w:fill="auto"/>
          </w:tcPr>
          <w:p w14:paraId="259DC7EF">
            <w:pPr>
              <w:pStyle w:val="192"/>
              <w:rPr>
                <w:rFonts w:hint="default" w:ascii="Times New Roman" w:hAnsi="Times New Roman" w:cs="Times New Roman"/>
                <w:spacing w:val="-2"/>
                <w:szCs w:val="18"/>
              </w:rPr>
            </w:pPr>
            <w:r>
              <w:rPr>
                <w:rFonts w:hint="default" w:ascii="Times New Roman" w:hAnsi="Times New Roman" w:cs="Times New Roman"/>
                <w:spacing w:val="-2"/>
                <w:szCs w:val="18"/>
              </w:rPr>
              <w:t>7~40</w:t>
            </w:r>
          </w:p>
        </w:tc>
        <w:tc>
          <w:tcPr>
            <w:tcW w:w="485" w:type="pct"/>
            <w:shd w:val="clear" w:color="auto" w:fill="auto"/>
          </w:tcPr>
          <w:p w14:paraId="310BE1F5">
            <w:pPr>
              <w:pStyle w:val="192"/>
              <w:rPr>
                <w:rFonts w:hint="default" w:ascii="Times New Roman" w:hAnsi="Times New Roman" w:cs="Times New Roman"/>
                <w:spacing w:val="-2"/>
                <w:szCs w:val="18"/>
              </w:rPr>
            </w:pPr>
            <w:r>
              <w:rPr>
                <w:rFonts w:hint="default" w:ascii="Times New Roman" w:hAnsi="Times New Roman" w:cs="Times New Roman"/>
                <w:spacing w:val="-2"/>
                <w:szCs w:val="18"/>
              </w:rPr>
              <w:t>2~20</w:t>
            </w:r>
          </w:p>
        </w:tc>
        <w:tc>
          <w:tcPr>
            <w:tcW w:w="485" w:type="pct"/>
            <w:shd w:val="clear" w:color="auto" w:fill="auto"/>
          </w:tcPr>
          <w:p w14:paraId="2FE84E72">
            <w:pPr>
              <w:pStyle w:val="192"/>
              <w:rPr>
                <w:rFonts w:hint="default" w:ascii="Times New Roman" w:hAnsi="Times New Roman" w:cs="Times New Roman"/>
                <w:spacing w:val="-2"/>
                <w:szCs w:val="18"/>
              </w:rPr>
            </w:pPr>
            <w:r>
              <w:rPr>
                <w:rFonts w:hint="default" w:ascii="Times New Roman" w:hAnsi="Times New Roman" w:cs="Times New Roman"/>
                <w:spacing w:val="-2"/>
                <w:szCs w:val="18"/>
              </w:rPr>
              <w:t>0~10</w:t>
            </w:r>
          </w:p>
        </w:tc>
      </w:tr>
      <w:tr w14:paraId="54710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058" w:type="pct"/>
            <w:shd w:val="clear" w:color="auto" w:fill="auto"/>
          </w:tcPr>
          <w:p w14:paraId="330D7298">
            <w:pPr>
              <w:pStyle w:val="192"/>
              <w:rPr>
                <w:rFonts w:hint="default" w:ascii="Times New Roman" w:hAnsi="Times New Roman" w:cs="Times New Roman"/>
                <w:spacing w:val="-2"/>
                <w:szCs w:val="18"/>
              </w:rPr>
            </w:pPr>
            <w:r>
              <w:rPr>
                <w:rFonts w:hint="default" w:ascii="Times New Roman" w:hAnsi="Times New Roman" w:cs="Times New Roman"/>
                <w:spacing w:val="-2"/>
                <w:szCs w:val="18"/>
              </w:rPr>
              <w:t>0~3</w:t>
            </w:r>
          </w:p>
        </w:tc>
        <w:tc>
          <w:tcPr>
            <w:tcW w:w="485" w:type="pct"/>
            <w:shd w:val="clear" w:color="auto" w:fill="auto"/>
          </w:tcPr>
          <w:p w14:paraId="25F20285">
            <w:pPr>
              <w:pStyle w:val="192"/>
              <w:rPr>
                <w:rFonts w:hint="default" w:ascii="Times New Roman" w:hAnsi="Times New Roman" w:cs="Times New Roman"/>
                <w:spacing w:val="-2"/>
                <w:szCs w:val="18"/>
              </w:rPr>
            </w:pPr>
          </w:p>
        </w:tc>
        <w:tc>
          <w:tcPr>
            <w:tcW w:w="515" w:type="pct"/>
            <w:shd w:val="clear" w:color="auto" w:fill="auto"/>
          </w:tcPr>
          <w:p w14:paraId="50575EDD">
            <w:pPr>
              <w:pStyle w:val="192"/>
              <w:rPr>
                <w:rFonts w:hint="default" w:ascii="Times New Roman" w:hAnsi="Times New Roman" w:cs="Times New Roman"/>
                <w:spacing w:val="-2"/>
                <w:szCs w:val="18"/>
              </w:rPr>
            </w:pPr>
            <w:r>
              <w:rPr>
                <w:rFonts w:hint="default" w:ascii="Times New Roman" w:hAnsi="Times New Roman" w:cs="Times New Roman"/>
                <w:spacing w:val="-2"/>
                <w:szCs w:val="18"/>
              </w:rPr>
              <w:t>100</w:t>
            </w:r>
          </w:p>
        </w:tc>
        <w:tc>
          <w:tcPr>
            <w:tcW w:w="515" w:type="pct"/>
            <w:shd w:val="clear" w:color="auto" w:fill="auto"/>
          </w:tcPr>
          <w:p w14:paraId="42DF271E">
            <w:pPr>
              <w:pStyle w:val="192"/>
              <w:rPr>
                <w:rFonts w:hint="default" w:ascii="Times New Roman" w:hAnsi="Times New Roman" w:cs="Times New Roman"/>
                <w:spacing w:val="-2"/>
                <w:szCs w:val="18"/>
              </w:rPr>
            </w:pPr>
            <w:r>
              <w:rPr>
                <w:rFonts w:hint="default" w:ascii="Times New Roman" w:hAnsi="Times New Roman" w:cs="Times New Roman"/>
                <w:spacing w:val="-2"/>
                <w:szCs w:val="18"/>
              </w:rPr>
              <w:t>80~100</w:t>
            </w:r>
          </w:p>
        </w:tc>
        <w:tc>
          <w:tcPr>
            <w:tcW w:w="485" w:type="pct"/>
            <w:shd w:val="clear" w:color="auto" w:fill="auto"/>
          </w:tcPr>
          <w:p w14:paraId="05EC73C8">
            <w:pPr>
              <w:pStyle w:val="192"/>
              <w:rPr>
                <w:rFonts w:hint="default" w:ascii="Times New Roman" w:hAnsi="Times New Roman" w:cs="Times New Roman"/>
                <w:spacing w:val="-2"/>
                <w:szCs w:val="18"/>
              </w:rPr>
            </w:pPr>
            <w:r>
              <w:rPr>
                <w:rFonts w:hint="default" w:ascii="Times New Roman" w:hAnsi="Times New Roman" w:cs="Times New Roman"/>
                <w:spacing w:val="-2"/>
                <w:szCs w:val="18"/>
              </w:rPr>
              <w:t>50~80</w:t>
            </w:r>
          </w:p>
        </w:tc>
        <w:tc>
          <w:tcPr>
            <w:tcW w:w="485" w:type="pct"/>
            <w:shd w:val="clear" w:color="auto" w:fill="auto"/>
          </w:tcPr>
          <w:p w14:paraId="5B2276E1">
            <w:pPr>
              <w:pStyle w:val="192"/>
              <w:rPr>
                <w:rFonts w:hint="default" w:ascii="Times New Roman" w:hAnsi="Times New Roman" w:cs="Times New Roman"/>
                <w:spacing w:val="-2"/>
                <w:szCs w:val="18"/>
              </w:rPr>
            </w:pPr>
            <w:r>
              <w:rPr>
                <w:rFonts w:hint="default" w:ascii="Times New Roman" w:hAnsi="Times New Roman" w:cs="Times New Roman"/>
                <w:spacing w:val="-2"/>
                <w:szCs w:val="18"/>
              </w:rPr>
              <w:t>25~60</w:t>
            </w:r>
          </w:p>
        </w:tc>
        <w:tc>
          <w:tcPr>
            <w:tcW w:w="485" w:type="pct"/>
            <w:shd w:val="clear" w:color="auto" w:fill="auto"/>
          </w:tcPr>
          <w:p w14:paraId="54376A8E">
            <w:pPr>
              <w:pStyle w:val="192"/>
              <w:rPr>
                <w:rFonts w:hint="default" w:ascii="Times New Roman" w:hAnsi="Times New Roman" w:cs="Times New Roman"/>
                <w:spacing w:val="-2"/>
                <w:szCs w:val="18"/>
              </w:rPr>
            </w:pPr>
            <w:r>
              <w:rPr>
                <w:rFonts w:hint="default" w:ascii="Times New Roman" w:hAnsi="Times New Roman" w:cs="Times New Roman"/>
                <w:spacing w:val="-2"/>
                <w:szCs w:val="18"/>
              </w:rPr>
              <w:t>8~45</w:t>
            </w:r>
          </w:p>
        </w:tc>
        <w:tc>
          <w:tcPr>
            <w:tcW w:w="485" w:type="pct"/>
            <w:shd w:val="clear" w:color="auto" w:fill="auto"/>
          </w:tcPr>
          <w:p w14:paraId="6CFFBB1A">
            <w:pPr>
              <w:pStyle w:val="192"/>
              <w:rPr>
                <w:rFonts w:hint="default" w:ascii="Times New Roman" w:hAnsi="Times New Roman" w:cs="Times New Roman"/>
                <w:spacing w:val="-2"/>
                <w:szCs w:val="18"/>
              </w:rPr>
            </w:pPr>
            <w:r>
              <w:rPr>
                <w:rFonts w:hint="default" w:ascii="Times New Roman" w:hAnsi="Times New Roman" w:cs="Times New Roman"/>
                <w:spacing w:val="-2"/>
                <w:szCs w:val="18"/>
              </w:rPr>
              <w:t>0~25</w:t>
            </w:r>
          </w:p>
        </w:tc>
        <w:tc>
          <w:tcPr>
            <w:tcW w:w="485" w:type="pct"/>
            <w:shd w:val="clear" w:color="auto" w:fill="auto"/>
          </w:tcPr>
          <w:p w14:paraId="29B9B567">
            <w:pPr>
              <w:pStyle w:val="192"/>
              <w:rPr>
                <w:rFonts w:hint="default" w:ascii="Times New Roman" w:hAnsi="Times New Roman" w:cs="Times New Roman"/>
                <w:spacing w:val="-2"/>
                <w:szCs w:val="18"/>
              </w:rPr>
            </w:pPr>
            <w:r>
              <w:rPr>
                <w:rFonts w:hint="default" w:ascii="Times New Roman" w:hAnsi="Times New Roman" w:cs="Times New Roman"/>
                <w:spacing w:val="-2"/>
                <w:szCs w:val="18"/>
              </w:rPr>
              <w:t>0~10</w:t>
            </w:r>
          </w:p>
        </w:tc>
      </w:tr>
    </w:tbl>
    <w:p w14:paraId="0FE8548C">
      <w:pPr>
        <w:numPr>
          <w:ilvl w:val="2"/>
          <w:numId w:val="17"/>
        </w:numPr>
        <w:spacing w:line="360" w:lineRule="auto"/>
        <w:ind w:left="0" w:firstLine="480" w:firstLineChars="200"/>
        <w:rPr>
          <w:rFonts w:hint="default" w:ascii="Times New Roman" w:hAnsi="Times New Roman" w:cs="Times New Roman"/>
          <w:bCs/>
          <w:sz w:val="24"/>
          <w:szCs w:val="32"/>
        </w:rPr>
      </w:pPr>
      <w:bookmarkStart w:id="41" w:name="_Toc101871669"/>
      <w:r>
        <w:rPr>
          <w:rFonts w:hint="default" w:ascii="Times New Roman" w:hAnsi="Times New Roman" w:cs="Times New Roman"/>
          <w:bCs/>
          <w:sz w:val="24"/>
          <w:szCs w:val="32"/>
        </w:rPr>
        <w:t>填料宜采用石灰岩或岩浆岩中的强基性岩石经磨细得到的矿粉，应洁净、干燥，能自由地从矿粉仓中流出，不得使用回收粉。填料应符合表5.4.5的规定。</w:t>
      </w:r>
    </w:p>
    <w:p w14:paraId="5F004212">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表5.4.5填料技术指标</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69"/>
        <w:gridCol w:w="1569"/>
        <w:gridCol w:w="1110"/>
        <w:gridCol w:w="2044"/>
        <w:gridCol w:w="2044"/>
      </w:tblGrid>
      <w:tr w14:paraId="65D89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882" w:type="pct"/>
            <w:gridSpan w:val="2"/>
            <w:shd w:val="clear" w:color="auto" w:fill="auto"/>
          </w:tcPr>
          <w:p w14:paraId="27F383C2">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试验项目</w:t>
            </w:r>
          </w:p>
        </w:tc>
        <w:tc>
          <w:tcPr>
            <w:tcW w:w="666" w:type="pct"/>
            <w:shd w:val="clear" w:color="auto" w:fill="auto"/>
          </w:tcPr>
          <w:p w14:paraId="44126D70">
            <w:pPr>
              <w:pStyle w:val="192"/>
              <w:rPr>
                <w:rFonts w:hint="default" w:ascii="Times New Roman" w:hAnsi="Times New Roman" w:cs="Times New Roman"/>
                <w:spacing w:val="-2"/>
                <w:szCs w:val="18"/>
              </w:rPr>
            </w:pPr>
            <w:r>
              <w:rPr>
                <w:rFonts w:hint="default" w:ascii="Times New Roman" w:hAnsi="Times New Roman" w:cs="Times New Roman"/>
                <w:spacing w:val="-2"/>
                <w:szCs w:val="18"/>
              </w:rPr>
              <w:t>单位</w:t>
            </w:r>
          </w:p>
        </w:tc>
        <w:tc>
          <w:tcPr>
            <w:tcW w:w="1226" w:type="pct"/>
            <w:shd w:val="clear" w:color="auto" w:fill="auto"/>
          </w:tcPr>
          <w:p w14:paraId="11FD31DD">
            <w:pPr>
              <w:pStyle w:val="192"/>
              <w:rPr>
                <w:rFonts w:hint="default" w:ascii="Times New Roman" w:hAnsi="Times New Roman" w:cs="Times New Roman"/>
                <w:spacing w:val="-2"/>
                <w:szCs w:val="18"/>
              </w:rPr>
            </w:pPr>
            <w:r>
              <w:rPr>
                <w:rFonts w:hint="default" w:ascii="Times New Roman" w:hAnsi="Times New Roman" w:cs="Times New Roman"/>
                <w:spacing w:val="-2"/>
                <w:szCs w:val="18"/>
              </w:rPr>
              <w:t>技术指标</w:t>
            </w:r>
          </w:p>
        </w:tc>
        <w:tc>
          <w:tcPr>
            <w:tcW w:w="1226" w:type="pct"/>
            <w:shd w:val="clear" w:color="auto" w:fill="auto"/>
          </w:tcPr>
          <w:p w14:paraId="396EAC66">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试验方法</w:t>
            </w:r>
          </w:p>
        </w:tc>
      </w:tr>
      <w:tr w14:paraId="08AE9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882" w:type="pct"/>
            <w:gridSpan w:val="2"/>
            <w:shd w:val="clear" w:color="auto" w:fill="auto"/>
          </w:tcPr>
          <w:p w14:paraId="41717315">
            <w:pPr>
              <w:pStyle w:val="192"/>
              <w:rPr>
                <w:rFonts w:hint="default" w:ascii="Times New Roman" w:hAnsi="Times New Roman" w:cs="Times New Roman"/>
                <w:spacing w:val="-2"/>
                <w:szCs w:val="18"/>
              </w:rPr>
            </w:pPr>
            <w:r>
              <w:rPr>
                <w:rFonts w:hint="default" w:ascii="Times New Roman" w:hAnsi="Times New Roman" w:cs="Times New Roman"/>
                <w:spacing w:val="-2"/>
                <w:szCs w:val="18"/>
              </w:rPr>
              <w:t>外观</w:t>
            </w:r>
          </w:p>
        </w:tc>
        <w:tc>
          <w:tcPr>
            <w:tcW w:w="666" w:type="pct"/>
            <w:shd w:val="clear" w:color="auto" w:fill="auto"/>
          </w:tcPr>
          <w:p w14:paraId="3858B250">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226" w:type="pct"/>
            <w:shd w:val="clear" w:color="auto" w:fill="auto"/>
          </w:tcPr>
          <w:p w14:paraId="3DBD7E0E">
            <w:pPr>
              <w:pStyle w:val="192"/>
              <w:rPr>
                <w:rFonts w:hint="default" w:ascii="Times New Roman" w:hAnsi="Times New Roman" w:cs="Times New Roman"/>
                <w:spacing w:val="-2"/>
                <w:szCs w:val="18"/>
              </w:rPr>
            </w:pPr>
            <w:r>
              <w:rPr>
                <w:rFonts w:hint="default" w:ascii="Times New Roman" w:hAnsi="Times New Roman" w:cs="Times New Roman"/>
                <w:spacing w:val="-2"/>
                <w:szCs w:val="18"/>
              </w:rPr>
              <w:t>无团粒结块</w:t>
            </w:r>
          </w:p>
        </w:tc>
        <w:tc>
          <w:tcPr>
            <w:tcW w:w="1226" w:type="pct"/>
            <w:shd w:val="clear" w:color="auto" w:fill="auto"/>
          </w:tcPr>
          <w:p w14:paraId="2999B482">
            <w:pPr>
              <w:pStyle w:val="192"/>
              <w:rPr>
                <w:rFonts w:hint="default" w:ascii="Times New Roman" w:hAnsi="Times New Roman" w:cs="Times New Roman"/>
                <w:spacing w:val="-2"/>
                <w:szCs w:val="18"/>
                <w:lang w:val="fr-FR"/>
              </w:rPr>
            </w:pPr>
            <w:r>
              <w:rPr>
                <w:rFonts w:hint="default" w:ascii="Times New Roman" w:hAnsi="Times New Roman" w:cs="Times New Roman"/>
                <w:spacing w:val="-2"/>
                <w:szCs w:val="18"/>
              </w:rPr>
              <w:t>—</w:t>
            </w:r>
          </w:p>
        </w:tc>
      </w:tr>
      <w:tr w14:paraId="336F5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882" w:type="pct"/>
            <w:gridSpan w:val="2"/>
            <w:shd w:val="clear" w:color="auto" w:fill="auto"/>
          </w:tcPr>
          <w:p w14:paraId="2CA65069">
            <w:pPr>
              <w:pStyle w:val="192"/>
              <w:rPr>
                <w:rFonts w:hint="default" w:ascii="Times New Roman" w:hAnsi="Times New Roman" w:cs="Times New Roman"/>
                <w:spacing w:val="-2"/>
                <w:szCs w:val="18"/>
              </w:rPr>
            </w:pPr>
            <w:r>
              <w:rPr>
                <w:rFonts w:hint="default" w:ascii="Times New Roman" w:hAnsi="Times New Roman" w:cs="Times New Roman"/>
                <w:spacing w:val="-2"/>
                <w:szCs w:val="18"/>
              </w:rPr>
              <w:t>含水量</w:t>
            </w:r>
          </w:p>
        </w:tc>
        <w:tc>
          <w:tcPr>
            <w:tcW w:w="666" w:type="pct"/>
            <w:shd w:val="clear" w:color="auto" w:fill="auto"/>
          </w:tcPr>
          <w:p w14:paraId="03678445">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226" w:type="pct"/>
            <w:shd w:val="clear" w:color="auto" w:fill="auto"/>
          </w:tcPr>
          <w:p w14:paraId="354A006B">
            <w:pPr>
              <w:pStyle w:val="192"/>
              <w:rPr>
                <w:rFonts w:hint="default" w:ascii="Times New Roman" w:hAnsi="Times New Roman" w:cs="Times New Roman"/>
                <w:spacing w:val="-2"/>
                <w:szCs w:val="18"/>
              </w:rPr>
            </w:pPr>
            <w:r>
              <w:rPr>
                <w:rFonts w:hint="default" w:ascii="Times New Roman" w:hAnsi="Times New Roman" w:cs="Times New Roman"/>
                <w:spacing w:val="-2"/>
                <w:szCs w:val="18"/>
              </w:rPr>
              <w:t>≤1</w:t>
            </w:r>
          </w:p>
        </w:tc>
        <w:tc>
          <w:tcPr>
            <w:tcW w:w="1226" w:type="pct"/>
            <w:shd w:val="clear" w:color="auto" w:fill="auto"/>
          </w:tcPr>
          <w:p w14:paraId="72FEC8EF">
            <w:pPr>
              <w:pStyle w:val="192"/>
              <w:rPr>
                <w:rFonts w:hint="default" w:ascii="Times New Roman" w:hAnsi="Times New Roman" w:cs="Times New Roman"/>
                <w:spacing w:val="-2"/>
                <w:szCs w:val="18"/>
              </w:rPr>
            </w:pPr>
            <w:r>
              <w:rPr>
                <w:rFonts w:hint="default" w:ascii="Times New Roman" w:hAnsi="Times New Roman" w:cs="Times New Roman"/>
                <w:spacing w:val="-2"/>
                <w:szCs w:val="18"/>
              </w:rPr>
              <w:t>T 0103烘干法</w:t>
            </w:r>
          </w:p>
        </w:tc>
      </w:tr>
      <w:tr w14:paraId="78D88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882" w:type="pct"/>
            <w:gridSpan w:val="2"/>
            <w:shd w:val="clear" w:color="auto" w:fill="auto"/>
          </w:tcPr>
          <w:p w14:paraId="5280A188">
            <w:pPr>
              <w:pStyle w:val="192"/>
              <w:rPr>
                <w:rFonts w:hint="default" w:ascii="Times New Roman" w:hAnsi="Times New Roman" w:cs="Times New Roman"/>
                <w:spacing w:val="-2"/>
                <w:szCs w:val="18"/>
              </w:rPr>
            </w:pPr>
            <w:r>
              <w:rPr>
                <w:rFonts w:hint="default" w:ascii="Times New Roman" w:hAnsi="Times New Roman" w:cs="Times New Roman"/>
                <w:spacing w:val="-2"/>
                <w:szCs w:val="18"/>
              </w:rPr>
              <w:t>表观密度</w:t>
            </w:r>
          </w:p>
        </w:tc>
        <w:tc>
          <w:tcPr>
            <w:tcW w:w="666" w:type="pct"/>
            <w:shd w:val="clear" w:color="auto" w:fill="auto"/>
          </w:tcPr>
          <w:p w14:paraId="2BC1D325">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226" w:type="pct"/>
            <w:shd w:val="clear" w:color="auto" w:fill="auto"/>
          </w:tcPr>
          <w:p w14:paraId="45CE0C21">
            <w:pPr>
              <w:pStyle w:val="192"/>
              <w:rPr>
                <w:rFonts w:hint="default" w:ascii="Times New Roman" w:hAnsi="Times New Roman" w:cs="Times New Roman"/>
                <w:spacing w:val="-2"/>
                <w:szCs w:val="18"/>
              </w:rPr>
            </w:pPr>
            <w:r>
              <w:rPr>
                <w:rFonts w:hint="default" w:ascii="Times New Roman" w:hAnsi="Times New Roman" w:cs="Times New Roman"/>
                <w:spacing w:val="-2"/>
                <w:szCs w:val="18"/>
              </w:rPr>
              <w:t>≥2.5</w:t>
            </w:r>
          </w:p>
        </w:tc>
        <w:tc>
          <w:tcPr>
            <w:tcW w:w="1226" w:type="pct"/>
            <w:shd w:val="clear" w:color="auto" w:fill="auto"/>
          </w:tcPr>
          <w:p w14:paraId="0CB43817">
            <w:pPr>
              <w:pStyle w:val="192"/>
              <w:rPr>
                <w:rFonts w:hint="default" w:ascii="Times New Roman" w:hAnsi="Times New Roman" w:cs="Times New Roman"/>
                <w:spacing w:val="-2"/>
                <w:szCs w:val="18"/>
              </w:rPr>
            </w:pPr>
            <w:r>
              <w:rPr>
                <w:rFonts w:hint="default" w:ascii="Times New Roman" w:hAnsi="Times New Roman" w:cs="Times New Roman"/>
                <w:spacing w:val="-2"/>
                <w:szCs w:val="18"/>
              </w:rPr>
              <w:t>T 0352</w:t>
            </w:r>
          </w:p>
        </w:tc>
      </w:tr>
      <w:tr w14:paraId="461AA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882" w:type="pct"/>
            <w:gridSpan w:val="2"/>
            <w:shd w:val="clear" w:color="auto" w:fill="auto"/>
          </w:tcPr>
          <w:p w14:paraId="258B189A">
            <w:pPr>
              <w:pStyle w:val="192"/>
              <w:rPr>
                <w:rFonts w:hint="default" w:ascii="Times New Roman" w:hAnsi="Times New Roman" w:cs="Times New Roman"/>
                <w:spacing w:val="-2"/>
                <w:szCs w:val="18"/>
              </w:rPr>
            </w:pPr>
            <w:r>
              <w:rPr>
                <w:rFonts w:hint="default" w:ascii="Times New Roman" w:hAnsi="Times New Roman" w:cs="Times New Roman"/>
                <w:spacing w:val="-2"/>
                <w:szCs w:val="18"/>
              </w:rPr>
              <w:t>亲水系数</w:t>
            </w:r>
          </w:p>
        </w:tc>
        <w:tc>
          <w:tcPr>
            <w:tcW w:w="666" w:type="pct"/>
            <w:shd w:val="clear" w:color="auto" w:fill="auto"/>
          </w:tcPr>
          <w:p w14:paraId="643B9EE4">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226" w:type="pct"/>
            <w:shd w:val="clear" w:color="auto" w:fill="auto"/>
          </w:tcPr>
          <w:p w14:paraId="5E4B6D96">
            <w:pPr>
              <w:pStyle w:val="192"/>
              <w:rPr>
                <w:rFonts w:hint="default" w:ascii="Times New Roman" w:hAnsi="Times New Roman" w:cs="Times New Roman"/>
                <w:spacing w:val="-2"/>
                <w:szCs w:val="18"/>
              </w:rPr>
            </w:pPr>
            <w:r>
              <w:rPr>
                <w:rFonts w:hint="default" w:ascii="Times New Roman" w:hAnsi="Times New Roman" w:cs="Times New Roman"/>
                <w:spacing w:val="-2"/>
                <w:szCs w:val="18"/>
              </w:rPr>
              <w:t>≤1</w:t>
            </w:r>
          </w:p>
        </w:tc>
        <w:tc>
          <w:tcPr>
            <w:tcW w:w="1226" w:type="pct"/>
            <w:shd w:val="clear" w:color="auto" w:fill="auto"/>
          </w:tcPr>
          <w:p w14:paraId="0EB80EC1">
            <w:pPr>
              <w:pStyle w:val="192"/>
              <w:rPr>
                <w:rFonts w:hint="default" w:ascii="Times New Roman" w:hAnsi="Times New Roman" w:cs="Times New Roman"/>
                <w:spacing w:val="-2"/>
                <w:szCs w:val="18"/>
              </w:rPr>
            </w:pPr>
            <w:r>
              <w:rPr>
                <w:rFonts w:hint="default" w:ascii="Times New Roman" w:hAnsi="Times New Roman" w:cs="Times New Roman"/>
                <w:spacing w:val="-2"/>
                <w:szCs w:val="18"/>
              </w:rPr>
              <w:t>T 0353</w:t>
            </w:r>
          </w:p>
        </w:tc>
      </w:tr>
      <w:tr w14:paraId="03EE0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882" w:type="pct"/>
            <w:gridSpan w:val="2"/>
            <w:shd w:val="clear" w:color="auto" w:fill="auto"/>
          </w:tcPr>
          <w:p w14:paraId="088D20DA">
            <w:pPr>
              <w:pStyle w:val="192"/>
              <w:rPr>
                <w:rFonts w:hint="default" w:ascii="Times New Roman" w:hAnsi="Times New Roman" w:cs="Times New Roman"/>
                <w:spacing w:val="-2"/>
                <w:szCs w:val="18"/>
              </w:rPr>
            </w:pPr>
            <w:r>
              <w:rPr>
                <w:rFonts w:hint="default" w:ascii="Times New Roman" w:hAnsi="Times New Roman" w:cs="Times New Roman"/>
                <w:spacing w:val="-2"/>
                <w:szCs w:val="18"/>
              </w:rPr>
              <w:t>塑性指数</w:t>
            </w:r>
          </w:p>
        </w:tc>
        <w:tc>
          <w:tcPr>
            <w:tcW w:w="666" w:type="pct"/>
            <w:shd w:val="clear" w:color="auto" w:fill="auto"/>
          </w:tcPr>
          <w:p w14:paraId="293200B2">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226" w:type="pct"/>
            <w:shd w:val="clear" w:color="auto" w:fill="auto"/>
          </w:tcPr>
          <w:p w14:paraId="7E517AA9">
            <w:pPr>
              <w:pStyle w:val="192"/>
              <w:rPr>
                <w:rFonts w:hint="default" w:ascii="Times New Roman" w:hAnsi="Times New Roman" w:cs="Times New Roman"/>
                <w:spacing w:val="-2"/>
                <w:szCs w:val="18"/>
              </w:rPr>
            </w:pPr>
            <w:r>
              <w:rPr>
                <w:rFonts w:hint="default" w:ascii="Times New Roman" w:hAnsi="Times New Roman" w:cs="Times New Roman"/>
                <w:spacing w:val="-2"/>
                <w:szCs w:val="18"/>
              </w:rPr>
              <w:t>≤4</w:t>
            </w:r>
          </w:p>
        </w:tc>
        <w:tc>
          <w:tcPr>
            <w:tcW w:w="1226" w:type="pct"/>
            <w:shd w:val="clear" w:color="auto" w:fill="auto"/>
          </w:tcPr>
          <w:p w14:paraId="16DBA8F9">
            <w:pPr>
              <w:pStyle w:val="192"/>
              <w:rPr>
                <w:rFonts w:hint="default" w:ascii="Times New Roman" w:hAnsi="Times New Roman" w:cs="Times New Roman"/>
                <w:spacing w:val="-2"/>
                <w:szCs w:val="18"/>
              </w:rPr>
            </w:pPr>
            <w:r>
              <w:rPr>
                <w:rFonts w:hint="default" w:ascii="Times New Roman" w:hAnsi="Times New Roman" w:cs="Times New Roman"/>
                <w:spacing w:val="-2"/>
                <w:szCs w:val="18"/>
              </w:rPr>
              <w:t>T 0354</w:t>
            </w:r>
          </w:p>
        </w:tc>
      </w:tr>
      <w:tr w14:paraId="01505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941" w:type="pct"/>
            <w:shd w:val="clear" w:color="auto" w:fill="auto"/>
          </w:tcPr>
          <w:p w14:paraId="5E132415">
            <w:pPr>
              <w:pStyle w:val="192"/>
              <w:rPr>
                <w:rFonts w:hint="default" w:ascii="Times New Roman" w:hAnsi="Times New Roman" w:cs="Times New Roman"/>
                <w:spacing w:val="-2"/>
                <w:szCs w:val="18"/>
              </w:rPr>
            </w:pPr>
            <w:r>
              <w:rPr>
                <w:rFonts w:hint="default" w:ascii="Times New Roman" w:hAnsi="Times New Roman" w:cs="Times New Roman"/>
                <w:spacing w:val="-2"/>
                <w:szCs w:val="18"/>
              </w:rPr>
              <w:t>粒度范围</w:t>
            </w:r>
          </w:p>
        </w:tc>
        <w:tc>
          <w:tcPr>
            <w:tcW w:w="941" w:type="pct"/>
            <w:shd w:val="clear" w:color="auto" w:fill="auto"/>
          </w:tcPr>
          <w:p w14:paraId="1F5C18B7">
            <w:pPr>
              <w:pStyle w:val="192"/>
              <w:rPr>
                <w:rFonts w:hint="default" w:ascii="Times New Roman" w:hAnsi="Times New Roman" w:cs="Times New Roman"/>
                <w:spacing w:val="-2"/>
                <w:szCs w:val="18"/>
              </w:rPr>
            </w:pPr>
            <w:r>
              <w:rPr>
                <w:rFonts w:hint="default" w:ascii="Times New Roman" w:hAnsi="Times New Roman" w:cs="Times New Roman"/>
                <w:spacing w:val="-2"/>
                <w:szCs w:val="18"/>
              </w:rPr>
              <w:t>&lt;0.6mm</w:t>
            </w:r>
          </w:p>
        </w:tc>
        <w:tc>
          <w:tcPr>
            <w:tcW w:w="666" w:type="pct"/>
            <w:shd w:val="clear" w:color="auto" w:fill="auto"/>
          </w:tcPr>
          <w:p w14:paraId="2B2CEB37">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226" w:type="pct"/>
            <w:shd w:val="clear" w:color="auto" w:fill="auto"/>
          </w:tcPr>
          <w:p w14:paraId="75486270">
            <w:pPr>
              <w:pStyle w:val="192"/>
              <w:rPr>
                <w:rFonts w:hint="default" w:ascii="Times New Roman" w:hAnsi="Times New Roman" w:cs="Times New Roman"/>
                <w:spacing w:val="-2"/>
                <w:szCs w:val="18"/>
              </w:rPr>
            </w:pPr>
            <w:r>
              <w:rPr>
                <w:rFonts w:hint="default" w:ascii="Times New Roman" w:hAnsi="Times New Roman" w:cs="Times New Roman"/>
                <w:spacing w:val="-2"/>
                <w:szCs w:val="18"/>
              </w:rPr>
              <w:t>100</w:t>
            </w:r>
          </w:p>
        </w:tc>
        <w:tc>
          <w:tcPr>
            <w:tcW w:w="1226" w:type="pct"/>
            <w:shd w:val="clear" w:color="auto" w:fill="auto"/>
          </w:tcPr>
          <w:p w14:paraId="74F54B22">
            <w:pPr>
              <w:pStyle w:val="192"/>
              <w:rPr>
                <w:rFonts w:hint="default" w:ascii="Times New Roman" w:hAnsi="Times New Roman" w:cs="Times New Roman"/>
                <w:spacing w:val="-2"/>
                <w:szCs w:val="18"/>
              </w:rPr>
            </w:pPr>
            <w:r>
              <w:rPr>
                <w:rFonts w:hint="default" w:ascii="Times New Roman" w:hAnsi="Times New Roman" w:cs="Times New Roman"/>
                <w:spacing w:val="-2"/>
                <w:szCs w:val="18"/>
              </w:rPr>
              <w:t>T 0351</w:t>
            </w:r>
          </w:p>
        </w:tc>
      </w:tr>
      <w:bookmarkEnd w:id="41"/>
    </w:tbl>
    <w:p w14:paraId="0372265F">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42" w:name="_Toc28671"/>
      <w:r>
        <w:rPr>
          <w:rFonts w:hint="default" w:ascii="Times New Roman" w:hAnsi="Times New Roman" w:cs="Times New Roman"/>
          <w:sz w:val="24"/>
        </w:rPr>
        <w:t>灌缝胶</w:t>
      </w:r>
      <w:bookmarkEnd w:id="42"/>
    </w:p>
    <w:p w14:paraId="45A82CA9">
      <w:pPr>
        <w:keepNext/>
        <w:numPr>
          <w:ilvl w:val="2"/>
          <w:numId w:val="17"/>
        </w:numPr>
        <w:spacing w:line="360" w:lineRule="auto"/>
        <w:ind w:left="0"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原路面裂缝和横纵向接缝宜采用灌封胶进行处理，所采用的灌缝胶质量应符合表5.5.1</w:t>
      </w:r>
      <w:r>
        <w:rPr>
          <w:rFonts w:hint="default" w:ascii="Times New Roman" w:hAnsi="Times New Roman" w:cs="Times New Roman"/>
          <w:bCs/>
          <w:sz w:val="24"/>
          <w:szCs w:val="32"/>
        </w:rPr>
        <w:t>的规定。</w:t>
      </w:r>
    </w:p>
    <w:p w14:paraId="5FC625DC">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表5.5.1灌缝胶技术指标</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697"/>
        <w:gridCol w:w="1571"/>
        <w:gridCol w:w="1429"/>
        <w:gridCol w:w="1639"/>
      </w:tblGrid>
      <w:tr w14:paraId="16E66E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218" w:type="pct"/>
            <w:shd w:val="clear" w:color="auto" w:fill="auto"/>
            <w:vAlign w:val="center"/>
          </w:tcPr>
          <w:p w14:paraId="4FA75A4A">
            <w:pPr>
              <w:pStyle w:val="192"/>
              <w:rPr>
                <w:rFonts w:hint="default" w:ascii="Times New Roman" w:hAnsi="Times New Roman" w:cs="Times New Roman"/>
                <w:spacing w:val="-2"/>
                <w:szCs w:val="18"/>
              </w:rPr>
            </w:pPr>
            <w:r>
              <w:rPr>
                <w:rFonts w:hint="default" w:ascii="Times New Roman" w:hAnsi="Times New Roman" w:cs="Times New Roman"/>
                <w:spacing w:val="-2"/>
                <w:szCs w:val="18"/>
              </w:rPr>
              <w:t>项目</w:t>
            </w:r>
          </w:p>
        </w:tc>
        <w:tc>
          <w:tcPr>
            <w:tcW w:w="942" w:type="pct"/>
            <w:shd w:val="clear" w:color="auto" w:fill="auto"/>
          </w:tcPr>
          <w:p w14:paraId="623F9BE7">
            <w:pPr>
              <w:pStyle w:val="192"/>
              <w:rPr>
                <w:rFonts w:hint="default" w:ascii="Times New Roman" w:hAnsi="Times New Roman" w:cs="Times New Roman"/>
                <w:spacing w:val="-2"/>
                <w:szCs w:val="18"/>
              </w:rPr>
            </w:pPr>
            <w:r>
              <w:rPr>
                <w:rFonts w:hint="default" w:ascii="Times New Roman" w:hAnsi="Times New Roman" w:cs="Times New Roman"/>
                <w:spacing w:val="-2"/>
                <w:szCs w:val="18"/>
              </w:rPr>
              <w:t>单位</w:t>
            </w:r>
          </w:p>
        </w:tc>
        <w:tc>
          <w:tcPr>
            <w:tcW w:w="857" w:type="pct"/>
            <w:shd w:val="clear" w:color="auto" w:fill="auto"/>
            <w:vAlign w:val="center"/>
          </w:tcPr>
          <w:p w14:paraId="3D4CD0A6">
            <w:pPr>
              <w:pStyle w:val="192"/>
              <w:rPr>
                <w:rFonts w:hint="default" w:ascii="Times New Roman" w:hAnsi="Times New Roman" w:cs="Times New Roman"/>
                <w:spacing w:val="-2"/>
                <w:szCs w:val="18"/>
              </w:rPr>
            </w:pPr>
            <w:r>
              <w:rPr>
                <w:rFonts w:hint="default" w:ascii="Times New Roman" w:hAnsi="Times New Roman" w:cs="Times New Roman"/>
                <w:spacing w:val="-2"/>
                <w:szCs w:val="18"/>
              </w:rPr>
              <w:t>技术指标</w:t>
            </w:r>
          </w:p>
        </w:tc>
        <w:tc>
          <w:tcPr>
            <w:tcW w:w="983" w:type="pct"/>
            <w:shd w:val="clear" w:color="auto" w:fill="auto"/>
            <w:vAlign w:val="center"/>
          </w:tcPr>
          <w:p w14:paraId="46ED4114">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试验方法</w:t>
            </w:r>
          </w:p>
        </w:tc>
      </w:tr>
      <w:tr w14:paraId="6EA82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218" w:type="pct"/>
            <w:shd w:val="clear" w:color="auto" w:fill="auto"/>
            <w:vAlign w:val="center"/>
          </w:tcPr>
          <w:p w14:paraId="6A5FF1BE">
            <w:pPr>
              <w:pStyle w:val="192"/>
              <w:rPr>
                <w:rFonts w:hint="default" w:ascii="Times New Roman" w:hAnsi="Times New Roman" w:cs="Times New Roman"/>
                <w:spacing w:val="-2"/>
                <w:szCs w:val="18"/>
              </w:rPr>
            </w:pPr>
            <w:r>
              <w:rPr>
                <w:rFonts w:hint="default" w:ascii="Times New Roman" w:hAnsi="Times New Roman" w:cs="Times New Roman"/>
                <w:spacing w:val="-2"/>
                <w:szCs w:val="18"/>
              </w:rPr>
              <w:t>软化点（T</w:t>
            </w:r>
            <w:r>
              <w:rPr>
                <w:rFonts w:hint="default" w:ascii="Times New Roman" w:hAnsi="Times New Roman" w:cs="Times New Roman"/>
                <w:spacing w:val="-2"/>
                <w:szCs w:val="18"/>
                <w:vertAlign w:val="subscript"/>
              </w:rPr>
              <w:t>R&amp;B</w:t>
            </w:r>
            <w:r>
              <w:rPr>
                <w:rFonts w:hint="default" w:ascii="Times New Roman" w:hAnsi="Times New Roman" w:cs="Times New Roman"/>
                <w:spacing w:val="-2"/>
                <w:szCs w:val="18"/>
              </w:rPr>
              <w:t>）</w:t>
            </w:r>
          </w:p>
        </w:tc>
        <w:tc>
          <w:tcPr>
            <w:tcW w:w="942" w:type="pct"/>
            <w:shd w:val="clear" w:color="auto" w:fill="auto"/>
          </w:tcPr>
          <w:p w14:paraId="7DCA0027">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857" w:type="pct"/>
            <w:shd w:val="clear" w:color="auto" w:fill="auto"/>
            <w:vAlign w:val="center"/>
          </w:tcPr>
          <w:p w14:paraId="4974DB38">
            <w:pPr>
              <w:pStyle w:val="192"/>
              <w:rPr>
                <w:rFonts w:hint="default" w:ascii="Times New Roman" w:hAnsi="Times New Roman" w:cs="Times New Roman"/>
                <w:spacing w:val="-2"/>
                <w:szCs w:val="18"/>
              </w:rPr>
            </w:pPr>
            <w:r>
              <w:rPr>
                <w:rFonts w:hint="default" w:ascii="Times New Roman" w:hAnsi="Times New Roman" w:cs="Times New Roman"/>
                <w:spacing w:val="-2"/>
                <w:szCs w:val="18"/>
              </w:rPr>
              <w:t>≥90</w:t>
            </w:r>
          </w:p>
        </w:tc>
        <w:tc>
          <w:tcPr>
            <w:tcW w:w="983" w:type="pct"/>
            <w:shd w:val="clear" w:color="auto" w:fill="auto"/>
            <w:vAlign w:val="center"/>
          </w:tcPr>
          <w:p w14:paraId="230AC159">
            <w:pPr>
              <w:pStyle w:val="192"/>
              <w:rPr>
                <w:rFonts w:hint="default" w:ascii="Times New Roman" w:hAnsi="Times New Roman" w:cs="Times New Roman"/>
                <w:spacing w:val="-2"/>
                <w:szCs w:val="18"/>
              </w:rPr>
            </w:pPr>
            <w:r>
              <w:rPr>
                <w:rFonts w:hint="default" w:ascii="Times New Roman" w:hAnsi="Times New Roman" w:cs="Times New Roman"/>
                <w:spacing w:val="-2"/>
                <w:szCs w:val="18"/>
              </w:rPr>
              <w:t>T 0606</w:t>
            </w:r>
          </w:p>
        </w:tc>
      </w:tr>
      <w:tr w14:paraId="787FF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218" w:type="pct"/>
            <w:shd w:val="clear" w:color="auto" w:fill="auto"/>
            <w:vAlign w:val="center"/>
          </w:tcPr>
          <w:p w14:paraId="4466FF0D">
            <w:pPr>
              <w:pStyle w:val="192"/>
              <w:rPr>
                <w:rFonts w:hint="default" w:ascii="Times New Roman" w:hAnsi="Times New Roman" w:cs="Times New Roman"/>
                <w:spacing w:val="-2"/>
                <w:szCs w:val="18"/>
              </w:rPr>
            </w:pPr>
            <w:r>
              <w:rPr>
                <w:rFonts w:hint="default" w:ascii="Times New Roman" w:hAnsi="Times New Roman" w:cs="Times New Roman"/>
                <w:spacing w:val="-2"/>
                <w:szCs w:val="18"/>
              </w:rPr>
              <w:t xml:space="preserve">锥入度（150g,25℃,5s） </w:t>
            </w:r>
          </w:p>
        </w:tc>
        <w:tc>
          <w:tcPr>
            <w:tcW w:w="942" w:type="pct"/>
            <w:shd w:val="clear" w:color="auto" w:fill="auto"/>
            <w:vAlign w:val="center"/>
          </w:tcPr>
          <w:p w14:paraId="3E53758E">
            <w:pPr>
              <w:pStyle w:val="192"/>
              <w:rPr>
                <w:rFonts w:hint="default" w:ascii="Times New Roman" w:hAnsi="Times New Roman" w:cs="Times New Roman"/>
                <w:spacing w:val="-2"/>
                <w:szCs w:val="18"/>
              </w:rPr>
            </w:pPr>
            <w:r>
              <w:rPr>
                <w:rFonts w:hint="default" w:ascii="Times New Roman" w:hAnsi="Times New Roman" w:cs="Times New Roman"/>
                <w:spacing w:val="-2"/>
                <w:szCs w:val="18"/>
              </w:rPr>
              <w:t>0.1mm</w:t>
            </w:r>
          </w:p>
        </w:tc>
        <w:tc>
          <w:tcPr>
            <w:tcW w:w="857" w:type="pct"/>
            <w:shd w:val="clear" w:color="auto" w:fill="auto"/>
            <w:vAlign w:val="center"/>
          </w:tcPr>
          <w:p w14:paraId="22D1AEA4">
            <w:pPr>
              <w:pStyle w:val="192"/>
              <w:rPr>
                <w:rFonts w:hint="default" w:ascii="Times New Roman" w:hAnsi="Times New Roman" w:cs="Times New Roman"/>
                <w:spacing w:val="-2"/>
                <w:szCs w:val="18"/>
              </w:rPr>
            </w:pPr>
            <w:r>
              <w:rPr>
                <w:rFonts w:hint="default" w:ascii="Times New Roman" w:hAnsi="Times New Roman" w:cs="Times New Roman"/>
                <w:spacing w:val="-2"/>
                <w:szCs w:val="18"/>
              </w:rPr>
              <w:t>50-90</w:t>
            </w:r>
          </w:p>
        </w:tc>
        <w:tc>
          <w:tcPr>
            <w:tcW w:w="983" w:type="pct"/>
            <w:shd w:val="clear" w:color="auto" w:fill="auto"/>
            <w:vAlign w:val="center"/>
          </w:tcPr>
          <w:p w14:paraId="61258C30">
            <w:pPr>
              <w:pStyle w:val="192"/>
              <w:rPr>
                <w:rFonts w:hint="default" w:ascii="Times New Roman" w:hAnsi="Times New Roman" w:cs="Times New Roman"/>
                <w:spacing w:val="-2"/>
                <w:szCs w:val="18"/>
              </w:rPr>
            </w:pPr>
            <w:r>
              <w:rPr>
                <w:rFonts w:hint="default" w:ascii="Times New Roman" w:hAnsi="Times New Roman" w:cs="Times New Roman"/>
                <w:spacing w:val="-2"/>
                <w:szCs w:val="18"/>
              </w:rPr>
              <w:t>JT/T 740</w:t>
            </w:r>
          </w:p>
        </w:tc>
      </w:tr>
      <w:tr w14:paraId="614AA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218" w:type="pct"/>
            <w:shd w:val="clear" w:color="auto" w:fill="auto"/>
            <w:vAlign w:val="center"/>
          </w:tcPr>
          <w:p w14:paraId="699A0B63">
            <w:pPr>
              <w:pStyle w:val="192"/>
              <w:rPr>
                <w:rFonts w:hint="default" w:ascii="Times New Roman" w:hAnsi="Times New Roman" w:cs="Times New Roman"/>
                <w:spacing w:val="-2"/>
                <w:szCs w:val="18"/>
              </w:rPr>
            </w:pPr>
            <w:r>
              <w:rPr>
                <w:rFonts w:hint="default" w:ascii="Times New Roman" w:hAnsi="Times New Roman" w:cs="Times New Roman"/>
                <w:spacing w:val="-2"/>
                <w:szCs w:val="18"/>
              </w:rPr>
              <w:t>弹性恢复率 （75g，25℃）</w:t>
            </w:r>
          </w:p>
        </w:tc>
        <w:tc>
          <w:tcPr>
            <w:tcW w:w="942" w:type="pct"/>
            <w:shd w:val="clear" w:color="auto" w:fill="auto"/>
          </w:tcPr>
          <w:p w14:paraId="55B3D04C">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857" w:type="pct"/>
            <w:shd w:val="clear" w:color="auto" w:fill="auto"/>
            <w:vAlign w:val="center"/>
          </w:tcPr>
          <w:p w14:paraId="6E4ACCB2">
            <w:pPr>
              <w:pStyle w:val="192"/>
              <w:rPr>
                <w:rFonts w:hint="default" w:ascii="Times New Roman" w:hAnsi="Times New Roman" w:cs="Times New Roman"/>
                <w:spacing w:val="-2"/>
                <w:szCs w:val="18"/>
              </w:rPr>
            </w:pPr>
            <w:r>
              <w:rPr>
                <w:rFonts w:hint="default" w:ascii="Times New Roman" w:hAnsi="Times New Roman" w:cs="Times New Roman"/>
                <w:spacing w:val="-2"/>
                <w:szCs w:val="18"/>
              </w:rPr>
              <w:t>30~70</w:t>
            </w:r>
          </w:p>
        </w:tc>
        <w:tc>
          <w:tcPr>
            <w:tcW w:w="983" w:type="pct"/>
            <w:shd w:val="clear" w:color="auto" w:fill="auto"/>
            <w:vAlign w:val="center"/>
          </w:tcPr>
          <w:p w14:paraId="469BC7BE">
            <w:pPr>
              <w:pStyle w:val="192"/>
              <w:rPr>
                <w:rFonts w:hint="default" w:ascii="Times New Roman" w:hAnsi="Times New Roman" w:cs="Times New Roman"/>
                <w:spacing w:val="-2"/>
                <w:szCs w:val="18"/>
              </w:rPr>
            </w:pPr>
            <w:r>
              <w:rPr>
                <w:rFonts w:hint="default" w:ascii="Times New Roman" w:hAnsi="Times New Roman" w:cs="Times New Roman"/>
                <w:spacing w:val="-2"/>
                <w:szCs w:val="18"/>
              </w:rPr>
              <w:t>JT/T 740</w:t>
            </w:r>
          </w:p>
        </w:tc>
      </w:tr>
      <w:tr w14:paraId="315CC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218" w:type="pct"/>
            <w:shd w:val="clear" w:color="auto" w:fill="auto"/>
            <w:vAlign w:val="center"/>
          </w:tcPr>
          <w:p w14:paraId="06F2F4D3">
            <w:pPr>
              <w:pStyle w:val="192"/>
              <w:rPr>
                <w:rFonts w:hint="default" w:ascii="Times New Roman" w:hAnsi="Times New Roman" w:cs="Times New Roman"/>
                <w:spacing w:val="-2"/>
                <w:szCs w:val="18"/>
              </w:rPr>
            </w:pPr>
            <w:r>
              <w:rPr>
                <w:rFonts w:hint="default" w:ascii="Times New Roman" w:hAnsi="Times New Roman" w:cs="Times New Roman"/>
                <w:spacing w:val="-2"/>
                <w:szCs w:val="18"/>
              </w:rPr>
              <w:t>流动值</w:t>
            </w:r>
          </w:p>
        </w:tc>
        <w:tc>
          <w:tcPr>
            <w:tcW w:w="942" w:type="pct"/>
            <w:shd w:val="clear" w:color="auto" w:fill="auto"/>
          </w:tcPr>
          <w:p w14:paraId="31A6E4E5">
            <w:pPr>
              <w:pStyle w:val="192"/>
              <w:rPr>
                <w:rFonts w:hint="default" w:ascii="Times New Roman" w:hAnsi="Times New Roman" w:cs="Times New Roman"/>
                <w:spacing w:val="-2"/>
                <w:szCs w:val="18"/>
              </w:rPr>
            </w:pPr>
            <w:r>
              <w:rPr>
                <w:rFonts w:hint="default" w:ascii="Times New Roman" w:hAnsi="Times New Roman" w:cs="Times New Roman"/>
                <w:spacing w:val="-2"/>
                <w:szCs w:val="18"/>
              </w:rPr>
              <w:t>mm</w:t>
            </w:r>
          </w:p>
        </w:tc>
        <w:tc>
          <w:tcPr>
            <w:tcW w:w="857" w:type="pct"/>
            <w:shd w:val="clear" w:color="auto" w:fill="auto"/>
            <w:vAlign w:val="center"/>
          </w:tcPr>
          <w:p w14:paraId="6AA7FF67">
            <w:pPr>
              <w:pStyle w:val="192"/>
              <w:rPr>
                <w:rFonts w:hint="default" w:ascii="Times New Roman" w:hAnsi="Times New Roman" w:cs="Times New Roman"/>
                <w:spacing w:val="-2"/>
                <w:szCs w:val="18"/>
              </w:rPr>
            </w:pPr>
            <w:r>
              <w:rPr>
                <w:rFonts w:hint="default" w:ascii="Times New Roman" w:hAnsi="Times New Roman" w:cs="Times New Roman"/>
                <w:spacing w:val="-2"/>
                <w:szCs w:val="18"/>
              </w:rPr>
              <w:t>≤3</w:t>
            </w:r>
          </w:p>
        </w:tc>
        <w:tc>
          <w:tcPr>
            <w:tcW w:w="983" w:type="pct"/>
            <w:shd w:val="clear" w:color="auto" w:fill="auto"/>
            <w:vAlign w:val="center"/>
          </w:tcPr>
          <w:p w14:paraId="49FE06EE">
            <w:pPr>
              <w:pStyle w:val="192"/>
              <w:rPr>
                <w:rFonts w:hint="default" w:ascii="Times New Roman" w:hAnsi="Times New Roman" w:cs="Times New Roman"/>
                <w:spacing w:val="-2"/>
                <w:szCs w:val="18"/>
              </w:rPr>
            </w:pPr>
            <w:r>
              <w:rPr>
                <w:rFonts w:hint="default" w:ascii="Times New Roman" w:hAnsi="Times New Roman" w:cs="Times New Roman"/>
                <w:spacing w:val="-2"/>
                <w:szCs w:val="18"/>
              </w:rPr>
              <w:t>JTT 740</w:t>
            </w:r>
          </w:p>
        </w:tc>
      </w:tr>
      <w:tr w14:paraId="34B9F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218" w:type="pct"/>
            <w:shd w:val="clear" w:color="auto" w:fill="auto"/>
            <w:vAlign w:val="center"/>
          </w:tcPr>
          <w:p w14:paraId="4EC907C5">
            <w:pPr>
              <w:pStyle w:val="192"/>
              <w:rPr>
                <w:rFonts w:hint="default" w:ascii="Times New Roman" w:hAnsi="Times New Roman" w:cs="Times New Roman"/>
                <w:spacing w:val="-2"/>
                <w:szCs w:val="18"/>
              </w:rPr>
            </w:pPr>
            <w:r>
              <w:rPr>
                <w:rFonts w:hint="default" w:ascii="Times New Roman" w:hAnsi="Times New Roman" w:cs="Times New Roman"/>
                <w:spacing w:val="-2"/>
                <w:szCs w:val="18"/>
              </w:rPr>
              <w:t>低温拉伸(-10℃，50%，3次循环，)</w:t>
            </w:r>
          </w:p>
        </w:tc>
        <w:tc>
          <w:tcPr>
            <w:tcW w:w="942" w:type="pct"/>
            <w:shd w:val="clear" w:color="auto" w:fill="auto"/>
            <w:vAlign w:val="center"/>
          </w:tcPr>
          <w:p w14:paraId="113BF114">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857" w:type="pct"/>
            <w:shd w:val="clear" w:color="auto" w:fill="auto"/>
            <w:vAlign w:val="center"/>
          </w:tcPr>
          <w:p w14:paraId="439C3DF1">
            <w:pPr>
              <w:pStyle w:val="192"/>
              <w:rPr>
                <w:rFonts w:hint="default" w:ascii="Times New Roman" w:hAnsi="Times New Roman" w:cs="Times New Roman"/>
                <w:spacing w:val="-2"/>
                <w:szCs w:val="18"/>
              </w:rPr>
            </w:pPr>
            <w:r>
              <w:rPr>
                <w:rFonts w:hint="default" w:ascii="Times New Roman" w:hAnsi="Times New Roman" w:cs="Times New Roman"/>
                <w:spacing w:val="-2"/>
                <w:szCs w:val="18"/>
              </w:rPr>
              <w:t>通过</w:t>
            </w:r>
          </w:p>
        </w:tc>
        <w:tc>
          <w:tcPr>
            <w:tcW w:w="983" w:type="pct"/>
            <w:shd w:val="clear" w:color="auto" w:fill="auto"/>
            <w:vAlign w:val="center"/>
          </w:tcPr>
          <w:p w14:paraId="5C0130CC">
            <w:pPr>
              <w:pStyle w:val="192"/>
              <w:rPr>
                <w:rFonts w:hint="default" w:ascii="Times New Roman" w:hAnsi="Times New Roman" w:cs="Times New Roman"/>
                <w:spacing w:val="-2"/>
                <w:szCs w:val="18"/>
              </w:rPr>
            </w:pPr>
            <w:r>
              <w:rPr>
                <w:rFonts w:hint="default" w:ascii="Times New Roman" w:hAnsi="Times New Roman" w:cs="Times New Roman"/>
                <w:spacing w:val="-2"/>
                <w:szCs w:val="18"/>
              </w:rPr>
              <w:t>JTT 740</w:t>
            </w:r>
          </w:p>
        </w:tc>
      </w:tr>
    </w:tbl>
    <w:p w14:paraId="5C796571">
      <w:pPr>
        <w:pStyle w:val="2"/>
        <w:widowControl/>
        <w:numPr>
          <w:ilvl w:val="0"/>
          <w:numId w:val="17"/>
        </w:numPr>
        <w:spacing w:before="0" w:after="120" w:line="360" w:lineRule="auto"/>
        <w:ind w:left="0" w:firstLine="0"/>
        <w:jc w:val="left"/>
        <w:rPr>
          <w:rFonts w:hint="default" w:ascii="Times New Roman" w:hAnsi="Times New Roman" w:cs="Times New Roman"/>
        </w:rPr>
        <w:sectPr>
          <w:headerReference r:id="rId8" w:type="even"/>
          <w:type w:val="continuous"/>
          <w:pgSz w:w="11906" w:h="16838"/>
          <w:pgMar w:top="1440" w:right="1800" w:bottom="1440" w:left="1800" w:header="851" w:footer="992" w:gutter="0"/>
          <w:cols w:space="425" w:num="1"/>
          <w:docGrid w:type="lines" w:linePitch="312" w:charSpace="0"/>
        </w:sectPr>
      </w:pPr>
    </w:p>
    <w:p w14:paraId="620C4AF0">
      <w:pPr>
        <w:pStyle w:val="52"/>
        <w:numPr>
          <w:ilvl w:val="0"/>
          <w:numId w:val="17"/>
        </w:numPr>
        <w:spacing w:beforeLines="0" w:afterLines="0" w:line="360" w:lineRule="auto"/>
        <w:ind w:hanging="283"/>
        <w:outlineLvl w:val="0"/>
        <w:rPr>
          <w:rFonts w:hint="default" w:ascii="Times New Roman" w:hAnsi="Times New Roman" w:cs="Times New Roman" w:eastAsiaTheme="minorEastAsia"/>
          <w:b/>
          <w:bCs/>
          <w:sz w:val="32"/>
          <w:szCs w:val="22"/>
        </w:rPr>
      </w:pPr>
      <w:bookmarkStart w:id="43" w:name="_Toc11642"/>
      <w:bookmarkStart w:id="44" w:name="_Toc179636661"/>
      <w:r>
        <w:rPr>
          <w:rFonts w:hint="default" w:ascii="Times New Roman" w:hAnsi="Times New Roman" w:cs="Times New Roman" w:eastAsiaTheme="minorEastAsia"/>
          <w:b/>
          <w:bCs/>
          <w:sz w:val="32"/>
          <w:szCs w:val="22"/>
        </w:rPr>
        <w:t>高延弹沥青混合料配合比设计</w:t>
      </w:r>
      <w:bookmarkEnd w:id="27"/>
      <w:bookmarkEnd w:id="43"/>
      <w:bookmarkEnd w:id="44"/>
    </w:p>
    <w:bookmarkEnd w:id="18"/>
    <w:p w14:paraId="259693B6">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45" w:name="_Toc126742837"/>
      <w:r>
        <w:rPr>
          <w:rFonts w:hint="default" w:ascii="Times New Roman" w:hAnsi="Times New Roman" w:cs="Times New Roman"/>
          <w:sz w:val="24"/>
        </w:rPr>
        <w:t xml:space="preserve"> </w:t>
      </w:r>
      <w:bookmarkStart w:id="46" w:name="_Toc31549"/>
      <w:bookmarkStart w:id="47" w:name="_Toc179636662"/>
      <w:r>
        <w:rPr>
          <w:rFonts w:hint="default" w:ascii="Times New Roman" w:hAnsi="Times New Roman" w:cs="Times New Roman"/>
          <w:sz w:val="24"/>
        </w:rPr>
        <w:t>一般规定</w:t>
      </w:r>
      <w:bookmarkEnd w:id="45"/>
      <w:bookmarkEnd w:id="46"/>
      <w:bookmarkEnd w:id="47"/>
    </w:p>
    <w:p w14:paraId="45244DAD">
      <w:pPr>
        <w:pStyle w:val="29"/>
        <w:numPr>
          <w:ilvl w:val="2"/>
          <w:numId w:val="17"/>
        </w:numPr>
        <w:tabs>
          <w:tab w:val="center" w:pos="1134"/>
          <w:tab w:val="clear" w:pos="4201"/>
        </w:tabs>
        <w:spacing w:line="360" w:lineRule="auto"/>
        <w:ind w:left="0" w:firstLine="426" w:firstLineChars="0"/>
        <w:rPr>
          <w:rFonts w:hint="default" w:ascii="Times New Roman" w:hAnsi="Times New Roman" w:cs="Times New Roman"/>
          <w:sz w:val="24"/>
        </w:rPr>
      </w:pPr>
      <w:r>
        <w:rPr>
          <w:rFonts w:hint="default" w:ascii="Times New Roman" w:hAnsi="Times New Roman" w:cs="Times New Roman"/>
          <w:sz w:val="24"/>
        </w:rPr>
        <w:t>高延弹超薄罩面沥青混合料配合比设计应充分考虑使用需求、原路面状况、交通量、气候条件等因素，对混合料进行针对性的性能设计。</w:t>
      </w:r>
    </w:p>
    <w:p w14:paraId="1CC4D1F9">
      <w:pPr>
        <w:pStyle w:val="29"/>
        <w:numPr>
          <w:ilvl w:val="2"/>
          <w:numId w:val="17"/>
        </w:numPr>
        <w:tabs>
          <w:tab w:val="center" w:pos="1134"/>
          <w:tab w:val="clear" w:pos="4201"/>
        </w:tabs>
        <w:spacing w:line="360" w:lineRule="auto"/>
        <w:ind w:left="0" w:firstLine="426" w:firstLineChars="0"/>
        <w:rPr>
          <w:rFonts w:hint="default" w:ascii="Times New Roman" w:hAnsi="Times New Roman" w:cs="Times New Roman"/>
          <w:sz w:val="24"/>
        </w:rPr>
      </w:pPr>
      <w:r>
        <w:rPr>
          <w:rFonts w:hint="default" w:ascii="Times New Roman" w:hAnsi="Times New Roman" w:cs="Times New Roman"/>
          <w:sz w:val="24"/>
        </w:rPr>
        <w:t>高延弹超薄罩面混合料配合比设计应采用马歇尔设计方法，混合料参照《排水沥青路面设计与施工技术规范》（JTG/T 3350-03）的有关规定进行配合比设计。</w:t>
      </w:r>
    </w:p>
    <w:p w14:paraId="4E40CE9B">
      <w:pPr>
        <w:pStyle w:val="29"/>
        <w:numPr>
          <w:ilvl w:val="2"/>
          <w:numId w:val="17"/>
        </w:numPr>
        <w:tabs>
          <w:tab w:val="center" w:pos="1134"/>
          <w:tab w:val="clear" w:pos="4201"/>
        </w:tabs>
        <w:spacing w:line="360" w:lineRule="auto"/>
        <w:ind w:left="0" w:firstLine="426" w:firstLineChars="0"/>
        <w:rPr>
          <w:rFonts w:hint="default" w:ascii="Times New Roman" w:hAnsi="Times New Roman" w:cs="Times New Roman"/>
          <w:sz w:val="24"/>
        </w:rPr>
      </w:pPr>
      <w:r>
        <w:rPr>
          <w:rFonts w:hint="default" w:ascii="Times New Roman" w:hAnsi="Times New Roman" w:cs="Times New Roman"/>
          <w:sz w:val="24"/>
        </w:rPr>
        <w:t>高延弹超薄罩面的沥青混合料配合比设计，应按现行规范关于热拌沥青混合料配合比设计中“目标配合比、生产配合比和试拌试铺验证”三个阶段进行，确定矿料级配及最佳沥青用量。</w:t>
      </w:r>
    </w:p>
    <w:p w14:paraId="1A34E067">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48" w:name="_Toc179636663"/>
      <w:bookmarkStart w:id="49" w:name="_Toc881"/>
      <w:r>
        <w:rPr>
          <w:rFonts w:hint="default" w:ascii="Times New Roman" w:hAnsi="Times New Roman" w:cs="Times New Roman"/>
          <w:sz w:val="24"/>
        </w:rPr>
        <w:t>混合料技术指标</w:t>
      </w:r>
      <w:bookmarkEnd w:id="48"/>
      <w:bookmarkEnd w:id="49"/>
    </w:p>
    <w:p w14:paraId="2BDD6614">
      <w:pPr>
        <w:numPr>
          <w:ilvl w:val="2"/>
          <w:numId w:val="17"/>
        </w:numPr>
        <w:spacing w:line="360" w:lineRule="auto"/>
        <w:rPr>
          <w:rFonts w:hint="default" w:ascii="Times New Roman" w:hAnsi="Times New Roman" w:cs="Times New Roman"/>
          <w:sz w:val="24"/>
          <w:szCs w:val="32"/>
        </w:rPr>
      </w:pPr>
      <w:bookmarkStart w:id="50" w:name="_Hlk89790592"/>
      <w:r>
        <w:rPr>
          <w:rFonts w:hint="default" w:ascii="Times New Roman" w:hAnsi="Times New Roman" w:cs="Times New Roman"/>
          <w:sz w:val="24"/>
          <w:szCs w:val="32"/>
        </w:rPr>
        <w:t>高延弹超薄罩面混合料矿料级配范围应符合表6.2.1的规定。</w:t>
      </w:r>
    </w:p>
    <w:p w14:paraId="67A1E7A1">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表6.2.1高延弹超薄罩面混合料矿料级配范围</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03"/>
        <w:gridCol w:w="813"/>
        <w:gridCol w:w="814"/>
        <w:gridCol w:w="814"/>
        <w:gridCol w:w="815"/>
        <w:gridCol w:w="814"/>
        <w:gridCol w:w="814"/>
        <w:gridCol w:w="815"/>
        <w:gridCol w:w="814"/>
        <w:gridCol w:w="820"/>
      </w:tblGrid>
      <w:tr w14:paraId="2F3B08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602" w:type="pct"/>
            <w:vMerge w:val="restart"/>
            <w:shd w:val="clear" w:color="auto" w:fill="auto"/>
            <w:vAlign w:val="center"/>
          </w:tcPr>
          <w:p w14:paraId="493FE793">
            <w:pPr>
              <w:pStyle w:val="192"/>
              <w:rPr>
                <w:rFonts w:hint="default" w:ascii="Times New Roman" w:hAnsi="Times New Roman" w:cs="Times New Roman"/>
                <w:spacing w:val="-2"/>
                <w:szCs w:val="18"/>
              </w:rPr>
            </w:pPr>
            <w:bookmarkStart w:id="51" w:name="_Hlk102139498"/>
            <w:r>
              <w:rPr>
                <w:rFonts w:hint="default" w:ascii="Times New Roman" w:hAnsi="Times New Roman" w:cs="Times New Roman"/>
                <w:spacing w:val="-2"/>
                <w:szCs w:val="18"/>
              </w:rPr>
              <w:t>规格</w:t>
            </w:r>
          </w:p>
        </w:tc>
        <w:tc>
          <w:tcPr>
            <w:tcW w:w="4398" w:type="pct"/>
            <w:gridSpan w:val="9"/>
          </w:tcPr>
          <w:p w14:paraId="33A3D54F">
            <w:pPr>
              <w:pStyle w:val="192"/>
              <w:rPr>
                <w:rFonts w:hint="default" w:ascii="Times New Roman" w:hAnsi="Times New Roman" w:cs="Times New Roman"/>
                <w:spacing w:val="-2"/>
                <w:szCs w:val="18"/>
              </w:rPr>
            </w:pPr>
            <w:r>
              <w:rPr>
                <w:rFonts w:hint="default" w:ascii="Times New Roman" w:hAnsi="Times New Roman" w:cs="Times New Roman"/>
                <w:spacing w:val="-2"/>
                <w:szCs w:val="18"/>
              </w:rPr>
              <w:t>通过各个筛孔的质量百分率（％）</w:t>
            </w:r>
          </w:p>
        </w:tc>
      </w:tr>
      <w:tr w14:paraId="30F1B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02" w:type="pct"/>
            <w:vMerge w:val="continue"/>
            <w:shd w:val="clear" w:color="auto" w:fill="auto"/>
          </w:tcPr>
          <w:p w14:paraId="06C3BC54">
            <w:pPr>
              <w:pStyle w:val="192"/>
              <w:rPr>
                <w:rFonts w:hint="default" w:ascii="Times New Roman" w:hAnsi="Times New Roman" w:cs="Times New Roman"/>
                <w:spacing w:val="-2"/>
                <w:szCs w:val="18"/>
              </w:rPr>
            </w:pPr>
          </w:p>
        </w:tc>
        <w:tc>
          <w:tcPr>
            <w:tcW w:w="488" w:type="pct"/>
          </w:tcPr>
          <w:p w14:paraId="1E1C9159">
            <w:pPr>
              <w:pStyle w:val="192"/>
              <w:rPr>
                <w:rFonts w:hint="default" w:ascii="Times New Roman" w:hAnsi="Times New Roman" w:cs="Times New Roman"/>
                <w:spacing w:val="-2"/>
                <w:szCs w:val="18"/>
              </w:rPr>
            </w:pPr>
            <w:r>
              <w:rPr>
                <w:rFonts w:hint="default" w:ascii="Times New Roman" w:hAnsi="Times New Roman" w:cs="Times New Roman"/>
                <w:spacing w:val="-2"/>
                <w:szCs w:val="18"/>
              </w:rPr>
              <w:t>13.2</w:t>
            </w:r>
          </w:p>
        </w:tc>
        <w:tc>
          <w:tcPr>
            <w:tcW w:w="488" w:type="pct"/>
            <w:shd w:val="clear" w:color="auto" w:fill="auto"/>
          </w:tcPr>
          <w:p w14:paraId="4900CAF7">
            <w:pPr>
              <w:pStyle w:val="192"/>
              <w:rPr>
                <w:rFonts w:hint="default" w:ascii="Times New Roman" w:hAnsi="Times New Roman" w:cs="Times New Roman"/>
                <w:spacing w:val="-2"/>
                <w:szCs w:val="18"/>
              </w:rPr>
            </w:pPr>
            <w:r>
              <w:rPr>
                <w:rFonts w:hint="default" w:ascii="Times New Roman" w:hAnsi="Times New Roman" w:cs="Times New Roman"/>
                <w:spacing w:val="-2"/>
                <w:szCs w:val="18"/>
              </w:rPr>
              <w:t>9.5</w:t>
            </w:r>
          </w:p>
        </w:tc>
        <w:tc>
          <w:tcPr>
            <w:tcW w:w="488" w:type="pct"/>
            <w:shd w:val="clear" w:color="auto" w:fill="auto"/>
          </w:tcPr>
          <w:p w14:paraId="3E773215">
            <w:pPr>
              <w:pStyle w:val="192"/>
              <w:rPr>
                <w:rFonts w:hint="default" w:ascii="Times New Roman" w:hAnsi="Times New Roman" w:cs="Times New Roman"/>
                <w:spacing w:val="-2"/>
                <w:szCs w:val="18"/>
              </w:rPr>
            </w:pPr>
            <w:r>
              <w:rPr>
                <w:rFonts w:hint="default" w:ascii="Times New Roman" w:hAnsi="Times New Roman" w:cs="Times New Roman"/>
                <w:spacing w:val="-2"/>
                <w:szCs w:val="18"/>
              </w:rPr>
              <w:t>4.75</w:t>
            </w:r>
          </w:p>
        </w:tc>
        <w:tc>
          <w:tcPr>
            <w:tcW w:w="489" w:type="pct"/>
            <w:shd w:val="clear" w:color="auto" w:fill="auto"/>
          </w:tcPr>
          <w:p w14:paraId="7DC92CFC">
            <w:pPr>
              <w:pStyle w:val="192"/>
              <w:rPr>
                <w:rFonts w:hint="default" w:ascii="Times New Roman" w:hAnsi="Times New Roman" w:cs="Times New Roman"/>
                <w:spacing w:val="-2"/>
                <w:szCs w:val="18"/>
              </w:rPr>
            </w:pPr>
            <w:r>
              <w:rPr>
                <w:rFonts w:hint="default" w:ascii="Times New Roman" w:hAnsi="Times New Roman" w:cs="Times New Roman"/>
                <w:spacing w:val="-2"/>
                <w:szCs w:val="18"/>
              </w:rPr>
              <w:t>2.36</w:t>
            </w:r>
          </w:p>
        </w:tc>
        <w:tc>
          <w:tcPr>
            <w:tcW w:w="488" w:type="pct"/>
            <w:shd w:val="clear" w:color="auto" w:fill="auto"/>
          </w:tcPr>
          <w:p w14:paraId="29CFCC30">
            <w:pPr>
              <w:pStyle w:val="192"/>
              <w:rPr>
                <w:rFonts w:hint="default" w:ascii="Times New Roman" w:hAnsi="Times New Roman" w:cs="Times New Roman"/>
                <w:spacing w:val="-2"/>
                <w:szCs w:val="18"/>
              </w:rPr>
            </w:pPr>
            <w:r>
              <w:rPr>
                <w:rFonts w:hint="default" w:ascii="Times New Roman" w:hAnsi="Times New Roman" w:cs="Times New Roman"/>
                <w:spacing w:val="-2"/>
                <w:szCs w:val="18"/>
              </w:rPr>
              <w:t>1.18</w:t>
            </w:r>
          </w:p>
        </w:tc>
        <w:tc>
          <w:tcPr>
            <w:tcW w:w="488" w:type="pct"/>
            <w:shd w:val="clear" w:color="auto" w:fill="auto"/>
          </w:tcPr>
          <w:p w14:paraId="23D92508">
            <w:pPr>
              <w:pStyle w:val="192"/>
              <w:rPr>
                <w:rFonts w:hint="default" w:ascii="Times New Roman" w:hAnsi="Times New Roman" w:cs="Times New Roman"/>
                <w:spacing w:val="-2"/>
                <w:szCs w:val="18"/>
              </w:rPr>
            </w:pPr>
            <w:r>
              <w:rPr>
                <w:rFonts w:hint="default" w:ascii="Times New Roman" w:hAnsi="Times New Roman" w:cs="Times New Roman"/>
                <w:spacing w:val="-2"/>
                <w:szCs w:val="18"/>
              </w:rPr>
              <w:t>0.6</w:t>
            </w:r>
          </w:p>
        </w:tc>
        <w:tc>
          <w:tcPr>
            <w:tcW w:w="489" w:type="pct"/>
            <w:shd w:val="clear" w:color="auto" w:fill="auto"/>
          </w:tcPr>
          <w:p w14:paraId="5C6E6458">
            <w:pPr>
              <w:pStyle w:val="192"/>
              <w:rPr>
                <w:rFonts w:hint="default" w:ascii="Times New Roman" w:hAnsi="Times New Roman" w:cs="Times New Roman"/>
                <w:spacing w:val="-2"/>
                <w:szCs w:val="18"/>
              </w:rPr>
            </w:pPr>
            <w:r>
              <w:rPr>
                <w:rFonts w:hint="default" w:ascii="Times New Roman" w:hAnsi="Times New Roman" w:cs="Times New Roman"/>
                <w:spacing w:val="-2"/>
                <w:szCs w:val="18"/>
              </w:rPr>
              <w:t>0.3</w:t>
            </w:r>
          </w:p>
        </w:tc>
        <w:tc>
          <w:tcPr>
            <w:tcW w:w="488" w:type="pct"/>
            <w:shd w:val="clear" w:color="auto" w:fill="auto"/>
          </w:tcPr>
          <w:p w14:paraId="120C65E7">
            <w:pPr>
              <w:pStyle w:val="192"/>
              <w:rPr>
                <w:rFonts w:hint="default" w:ascii="Times New Roman" w:hAnsi="Times New Roman" w:cs="Times New Roman"/>
                <w:spacing w:val="-2"/>
                <w:szCs w:val="18"/>
              </w:rPr>
            </w:pPr>
            <w:r>
              <w:rPr>
                <w:rFonts w:hint="default" w:ascii="Times New Roman" w:hAnsi="Times New Roman" w:cs="Times New Roman"/>
                <w:spacing w:val="-2"/>
                <w:szCs w:val="18"/>
              </w:rPr>
              <w:t>0.15</w:t>
            </w:r>
          </w:p>
        </w:tc>
        <w:tc>
          <w:tcPr>
            <w:tcW w:w="492" w:type="pct"/>
            <w:shd w:val="clear" w:color="auto" w:fill="auto"/>
          </w:tcPr>
          <w:p w14:paraId="00AE11E8">
            <w:pPr>
              <w:pStyle w:val="192"/>
              <w:rPr>
                <w:rFonts w:hint="default" w:ascii="Times New Roman" w:hAnsi="Times New Roman" w:cs="Times New Roman"/>
                <w:spacing w:val="-2"/>
                <w:szCs w:val="18"/>
              </w:rPr>
            </w:pPr>
            <w:r>
              <w:rPr>
                <w:rFonts w:hint="default" w:ascii="Times New Roman" w:hAnsi="Times New Roman" w:cs="Times New Roman"/>
                <w:spacing w:val="-2"/>
                <w:szCs w:val="18"/>
              </w:rPr>
              <w:t>0.075</w:t>
            </w:r>
          </w:p>
        </w:tc>
      </w:tr>
      <w:tr w14:paraId="6211D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602" w:type="pct"/>
            <w:shd w:val="clear" w:color="auto" w:fill="auto"/>
          </w:tcPr>
          <w:p w14:paraId="43839E8B">
            <w:pPr>
              <w:pStyle w:val="192"/>
              <w:rPr>
                <w:rFonts w:hint="default" w:ascii="Times New Roman" w:hAnsi="Times New Roman" w:cs="Times New Roman"/>
                <w:spacing w:val="-2"/>
                <w:szCs w:val="18"/>
              </w:rPr>
            </w:pPr>
            <w:r>
              <w:rPr>
                <w:rFonts w:hint="default" w:ascii="Times New Roman" w:hAnsi="Times New Roman" w:cs="Times New Roman"/>
                <w:spacing w:val="-2"/>
                <w:szCs w:val="18"/>
              </w:rPr>
              <w:t>DTO-5</w:t>
            </w:r>
          </w:p>
        </w:tc>
        <w:tc>
          <w:tcPr>
            <w:tcW w:w="488" w:type="pct"/>
          </w:tcPr>
          <w:p w14:paraId="2B66150C">
            <w:pPr>
              <w:pStyle w:val="192"/>
              <w:rPr>
                <w:rFonts w:hint="default" w:ascii="Times New Roman" w:hAnsi="Times New Roman" w:cs="Times New Roman"/>
                <w:spacing w:val="-2"/>
                <w:szCs w:val="18"/>
              </w:rPr>
            </w:pPr>
          </w:p>
        </w:tc>
        <w:tc>
          <w:tcPr>
            <w:tcW w:w="488" w:type="pct"/>
            <w:shd w:val="clear" w:color="auto" w:fill="auto"/>
          </w:tcPr>
          <w:p w14:paraId="064247BA">
            <w:pPr>
              <w:pStyle w:val="192"/>
              <w:rPr>
                <w:rFonts w:hint="default" w:ascii="Times New Roman" w:hAnsi="Times New Roman" w:cs="Times New Roman"/>
                <w:spacing w:val="-2"/>
                <w:szCs w:val="18"/>
              </w:rPr>
            </w:pPr>
            <w:r>
              <w:rPr>
                <w:rFonts w:hint="default" w:ascii="Times New Roman" w:hAnsi="Times New Roman" w:cs="Times New Roman"/>
                <w:spacing w:val="-2"/>
                <w:szCs w:val="18"/>
              </w:rPr>
              <w:t>100</w:t>
            </w:r>
          </w:p>
        </w:tc>
        <w:tc>
          <w:tcPr>
            <w:tcW w:w="488" w:type="pct"/>
            <w:shd w:val="clear" w:color="auto" w:fill="auto"/>
          </w:tcPr>
          <w:p w14:paraId="37C6604B">
            <w:pPr>
              <w:pStyle w:val="192"/>
              <w:rPr>
                <w:rFonts w:hint="default" w:ascii="Times New Roman" w:hAnsi="Times New Roman" w:cs="Times New Roman"/>
                <w:spacing w:val="-2"/>
                <w:szCs w:val="18"/>
              </w:rPr>
            </w:pPr>
            <w:r>
              <w:rPr>
                <w:rFonts w:hint="default" w:ascii="Times New Roman" w:hAnsi="Times New Roman" w:cs="Times New Roman"/>
                <w:spacing w:val="-2"/>
                <w:szCs w:val="18"/>
              </w:rPr>
              <w:t>65~100</w:t>
            </w:r>
          </w:p>
        </w:tc>
        <w:tc>
          <w:tcPr>
            <w:tcW w:w="489" w:type="pct"/>
            <w:shd w:val="clear" w:color="auto" w:fill="auto"/>
          </w:tcPr>
          <w:p w14:paraId="50690027">
            <w:pPr>
              <w:pStyle w:val="192"/>
              <w:rPr>
                <w:rFonts w:hint="default" w:ascii="Times New Roman" w:hAnsi="Times New Roman" w:cs="Times New Roman"/>
                <w:spacing w:val="-2"/>
                <w:szCs w:val="18"/>
              </w:rPr>
            </w:pPr>
            <w:r>
              <w:rPr>
                <w:rFonts w:hint="default" w:ascii="Times New Roman" w:hAnsi="Times New Roman" w:cs="Times New Roman"/>
                <w:spacing w:val="-2"/>
                <w:szCs w:val="18"/>
              </w:rPr>
              <w:t>15~30</w:t>
            </w:r>
          </w:p>
        </w:tc>
        <w:tc>
          <w:tcPr>
            <w:tcW w:w="488" w:type="pct"/>
            <w:shd w:val="clear" w:color="auto" w:fill="auto"/>
          </w:tcPr>
          <w:p w14:paraId="6737A903">
            <w:pPr>
              <w:pStyle w:val="192"/>
              <w:rPr>
                <w:rFonts w:hint="default" w:ascii="Times New Roman" w:hAnsi="Times New Roman" w:cs="Times New Roman"/>
                <w:spacing w:val="-2"/>
                <w:szCs w:val="18"/>
              </w:rPr>
            </w:pPr>
            <w:r>
              <w:rPr>
                <w:rFonts w:hint="default" w:ascii="Times New Roman" w:hAnsi="Times New Roman" w:cs="Times New Roman"/>
                <w:spacing w:val="-2"/>
                <w:szCs w:val="18"/>
              </w:rPr>
              <w:t>5~20</w:t>
            </w:r>
          </w:p>
        </w:tc>
        <w:tc>
          <w:tcPr>
            <w:tcW w:w="488" w:type="pct"/>
            <w:shd w:val="clear" w:color="auto" w:fill="auto"/>
          </w:tcPr>
          <w:p w14:paraId="5D5BD7EB">
            <w:pPr>
              <w:pStyle w:val="192"/>
              <w:rPr>
                <w:rFonts w:hint="default" w:ascii="Times New Roman" w:hAnsi="Times New Roman" w:cs="Times New Roman"/>
                <w:spacing w:val="-2"/>
                <w:szCs w:val="18"/>
              </w:rPr>
            </w:pPr>
            <w:r>
              <w:rPr>
                <w:rFonts w:hint="default" w:ascii="Times New Roman" w:hAnsi="Times New Roman" w:cs="Times New Roman"/>
                <w:spacing w:val="-2"/>
                <w:szCs w:val="18"/>
              </w:rPr>
              <w:t>3~18</w:t>
            </w:r>
          </w:p>
        </w:tc>
        <w:tc>
          <w:tcPr>
            <w:tcW w:w="489" w:type="pct"/>
            <w:shd w:val="clear" w:color="auto" w:fill="auto"/>
          </w:tcPr>
          <w:p w14:paraId="27772791">
            <w:pPr>
              <w:pStyle w:val="192"/>
              <w:rPr>
                <w:rFonts w:hint="default" w:ascii="Times New Roman" w:hAnsi="Times New Roman" w:cs="Times New Roman"/>
                <w:spacing w:val="-2"/>
                <w:szCs w:val="18"/>
              </w:rPr>
            </w:pPr>
            <w:r>
              <w:rPr>
                <w:rFonts w:hint="default" w:ascii="Times New Roman" w:hAnsi="Times New Roman" w:cs="Times New Roman"/>
                <w:spacing w:val="-2"/>
                <w:szCs w:val="18"/>
              </w:rPr>
              <w:t>2~15</w:t>
            </w:r>
          </w:p>
        </w:tc>
        <w:tc>
          <w:tcPr>
            <w:tcW w:w="488" w:type="pct"/>
            <w:shd w:val="clear" w:color="auto" w:fill="auto"/>
          </w:tcPr>
          <w:p w14:paraId="2135AD4F">
            <w:pPr>
              <w:pStyle w:val="192"/>
              <w:rPr>
                <w:rFonts w:hint="default" w:ascii="Times New Roman" w:hAnsi="Times New Roman" w:cs="Times New Roman"/>
                <w:spacing w:val="-2"/>
                <w:szCs w:val="18"/>
              </w:rPr>
            </w:pPr>
            <w:r>
              <w:rPr>
                <w:rFonts w:hint="default" w:ascii="Times New Roman" w:hAnsi="Times New Roman" w:cs="Times New Roman"/>
                <w:spacing w:val="-2"/>
                <w:szCs w:val="18"/>
              </w:rPr>
              <w:t>2~10</w:t>
            </w:r>
          </w:p>
        </w:tc>
        <w:tc>
          <w:tcPr>
            <w:tcW w:w="492" w:type="pct"/>
            <w:shd w:val="clear" w:color="auto" w:fill="auto"/>
          </w:tcPr>
          <w:p w14:paraId="23467C0E">
            <w:pPr>
              <w:pStyle w:val="192"/>
              <w:rPr>
                <w:rFonts w:hint="default" w:ascii="Times New Roman" w:hAnsi="Times New Roman" w:cs="Times New Roman"/>
                <w:spacing w:val="-2"/>
                <w:szCs w:val="18"/>
              </w:rPr>
            </w:pPr>
            <w:r>
              <w:rPr>
                <w:rFonts w:hint="default" w:ascii="Times New Roman" w:hAnsi="Times New Roman" w:cs="Times New Roman"/>
                <w:spacing w:val="-2"/>
                <w:szCs w:val="18"/>
              </w:rPr>
              <w:t>0~7</w:t>
            </w:r>
          </w:p>
        </w:tc>
      </w:tr>
      <w:tr w14:paraId="2ACCC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02" w:type="pct"/>
            <w:shd w:val="clear" w:color="auto" w:fill="auto"/>
          </w:tcPr>
          <w:p w14:paraId="6234F7E7">
            <w:pPr>
              <w:pStyle w:val="192"/>
              <w:rPr>
                <w:rFonts w:hint="default" w:ascii="Times New Roman" w:hAnsi="Times New Roman" w:cs="Times New Roman"/>
                <w:spacing w:val="-2"/>
                <w:szCs w:val="18"/>
              </w:rPr>
            </w:pPr>
            <w:r>
              <w:rPr>
                <w:rFonts w:hint="default" w:ascii="Times New Roman" w:hAnsi="Times New Roman" w:cs="Times New Roman"/>
                <w:spacing w:val="-2"/>
                <w:szCs w:val="18"/>
              </w:rPr>
              <w:t>DTO-10</w:t>
            </w:r>
          </w:p>
        </w:tc>
        <w:tc>
          <w:tcPr>
            <w:tcW w:w="488" w:type="pct"/>
          </w:tcPr>
          <w:p w14:paraId="251756CD">
            <w:pPr>
              <w:pStyle w:val="192"/>
              <w:rPr>
                <w:rFonts w:hint="default" w:ascii="Times New Roman" w:hAnsi="Times New Roman" w:cs="Times New Roman"/>
                <w:spacing w:val="-2"/>
                <w:szCs w:val="18"/>
              </w:rPr>
            </w:pPr>
            <w:r>
              <w:rPr>
                <w:rFonts w:hint="default" w:ascii="Times New Roman" w:hAnsi="Times New Roman" w:cs="Times New Roman"/>
                <w:spacing w:val="-2"/>
                <w:szCs w:val="18"/>
              </w:rPr>
              <w:t>100</w:t>
            </w:r>
          </w:p>
        </w:tc>
        <w:tc>
          <w:tcPr>
            <w:tcW w:w="488" w:type="pct"/>
            <w:shd w:val="clear" w:color="auto" w:fill="auto"/>
          </w:tcPr>
          <w:p w14:paraId="0B69AFF2">
            <w:pPr>
              <w:pStyle w:val="192"/>
              <w:rPr>
                <w:rFonts w:hint="default" w:ascii="Times New Roman" w:hAnsi="Times New Roman" w:cs="Times New Roman"/>
                <w:spacing w:val="-2"/>
                <w:szCs w:val="18"/>
              </w:rPr>
            </w:pPr>
            <w:r>
              <w:rPr>
                <w:rFonts w:hint="default" w:ascii="Times New Roman" w:hAnsi="Times New Roman" w:cs="Times New Roman"/>
                <w:spacing w:val="-2"/>
                <w:szCs w:val="18"/>
              </w:rPr>
              <w:t>85~100</w:t>
            </w:r>
          </w:p>
        </w:tc>
        <w:tc>
          <w:tcPr>
            <w:tcW w:w="488" w:type="pct"/>
            <w:shd w:val="clear" w:color="auto" w:fill="auto"/>
          </w:tcPr>
          <w:p w14:paraId="708F969A">
            <w:pPr>
              <w:pStyle w:val="192"/>
              <w:rPr>
                <w:rFonts w:hint="default" w:ascii="Times New Roman" w:hAnsi="Times New Roman" w:cs="Times New Roman"/>
                <w:spacing w:val="-2"/>
                <w:szCs w:val="18"/>
              </w:rPr>
            </w:pPr>
            <w:r>
              <w:rPr>
                <w:rFonts w:hint="default" w:ascii="Times New Roman" w:hAnsi="Times New Roman" w:cs="Times New Roman"/>
                <w:spacing w:val="-2"/>
                <w:szCs w:val="18"/>
              </w:rPr>
              <w:t>35~60</w:t>
            </w:r>
          </w:p>
        </w:tc>
        <w:tc>
          <w:tcPr>
            <w:tcW w:w="489" w:type="pct"/>
            <w:shd w:val="clear" w:color="auto" w:fill="auto"/>
          </w:tcPr>
          <w:p w14:paraId="4F917AEB">
            <w:pPr>
              <w:pStyle w:val="192"/>
              <w:rPr>
                <w:rFonts w:hint="default" w:ascii="Times New Roman" w:hAnsi="Times New Roman" w:cs="Times New Roman"/>
                <w:spacing w:val="-2"/>
                <w:szCs w:val="18"/>
              </w:rPr>
            </w:pPr>
            <w:r>
              <w:rPr>
                <w:rFonts w:hint="default" w:ascii="Times New Roman" w:hAnsi="Times New Roman" w:cs="Times New Roman"/>
                <w:spacing w:val="-2"/>
                <w:szCs w:val="18"/>
              </w:rPr>
              <w:t>15~35</w:t>
            </w:r>
          </w:p>
        </w:tc>
        <w:tc>
          <w:tcPr>
            <w:tcW w:w="488" w:type="pct"/>
            <w:shd w:val="clear" w:color="auto" w:fill="auto"/>
          </w:tcPr>
          <w:p w14:paraId="1B2575A5">
            <w:pPr>
              <w:pStyle w:val="192"/>
              <w:rPr>
                <w:rFonts w:hint="default" w:ascii="Times New Roman" w:hAnsi="Times New Roman" w:cs="Times New Roman"/>
                <w:spacing w:val="-2"/>
                <w:szCs w:val="18"/>
              </w:rPr>
            </w:pPr>
            <w:r>
              <w:rPr>
                <w:rFonts w:hint="default" w:ascii="Times New Roman" w:hAnsi="Times New Roman" w:cs="Times New Roman"/>
                <w:spacing w:val="-2"/>
                <w:szCs w:val="18"/>
              </w:rPr>
              <w:t>8~25</w:t>
            </w:r>
          </w:p>
        </w:tc>
        <w:tc>
          <w:tcPr>
            <w:tcW w:w="488" w:type="pct"/>
            <w:shd w:val="clear" w:color="auto" w:fill="auto"/>
          </w:tcPr>
          <w:p w14:paraId="071F007B">
            <w:pPr>
              <w:pStyle w:val="192"/>
              <w:rPr>
                <w:rFonts w:hint="default" w:ascii="Times New Roman" w:hAnsi="Times New Roman" w:cs="Times New Roman"/>
                <w:spacing w:val="-2"/>
                <w:szCs w:val="18"/>
              </w:rPr>
            </w:pPr>
            <w:r>
              <w:rPr>
                <w:rFonts w:hint="default" w:ascii="Times New Roman" w:hAnsi="Times New Roman" w:cs="Times New Roman"/>
                <w:spacing w:val="-2"/>
                <w:szCs w:val="18"/>
              </w:rPr>
              <w:t>6~20</w:t>
            </w:r>
          </w:p>
        </w:tc>
        <w:tc>
          <w:tcPr>
            <w:tcW w:w="489" w:type="pct"/>
            <w:shd w:val="clear" w:color="auto" w:fill="auto"/>
          </w:tcPr>
          <w:p w14:paraId="4B621160">
            <w:pPr>
              <w:pStyle w:val="192"/>
              <w:rPr>
                <w:rFonts w:hint="default" w:ascii="Times New Roman" w:hAnsi="Times New Roman" w:cs="Times New Roman"/>
                <w:spacing w:val="-2"/>
                <w:szCs w:val="18"/>
              </w:rPr>
            </w:pPr>
            <w:r>
              <w:rPr>
                <w:rFonts w:hint="default" w:ascii="Times New Roman" w:hAnsi="Times New Roman" w:cs="Times New Roman"/>
                <w:spacing w:val="-2"/>
                <w:szCs w:val="18"/>
              </w:rPr>
              <w:t>5~15</w:t>
            </w:r>
          </w:p>
        </w:tc>
        <w:tc>
          <w:tcPr>
            <w:tcW w:w="488" w:type="pct"/>
            <w:shd w:val="clear" w:color="auto" w:fill="auto"/>
          </w:tcPr>
          <w:p w14:paraId="0C416D8A">
            <w:pPr>
              <w:pStyle w:val="192"/>
              <w:rPr>
                <w:rFonts w:hint="default" w:ascii="Times New Roman" w:hAnsi="Times New Roman" w:cs="Times New Roman"/>
                <w:spacing w:val="-2"/>
                <w:szCs w:val="18"/>
              </w:rPr>
            </w:pPr>
            <w:r>
              <w:rPr>
                <w:rFonts w:hint="default" w:ascii="Times New Roman" w:hAnsi="Times New Roman" w:cs="Times New Roman"/>
                <w:spacing w:val="-2"/>
                <w:szCs w:val="18"/>
              </w:rPr>
              <w:t>4~12</w:t>
            </w:r>
          </w:p>
        </w:tc>
        <w:tc>
          <w:tcPr>
            <w:tcW w:w="492" w:type="pct"/>
            <w:shd w:val="clear" w:color="auto" w:fill="auto"/>
          </w:tcPr>
          <w:p w14:paraId="4513FC8F">
            <w:pPr>
              <w:pStyle w:val="192"/>
              <w:rPr>
                <w:rFonts w:hint="default" w:ascii="Times New Roman" w:hAnsi="Times New Roman" w:cs="Times New Roman"/>
                <w:spacing w:val="-2"/>
                <w:szCs w:val="18"/>
              </w:rPr>
            </w:pPr>
            <w:r>
              <w:rPr>
                <w:rFonts w:hint="default" w:ascii="Times New Roman" w:hAnsi="Times New Roman" w:cs="Times New Roman"/>
                <w:spacing w:val="-2"/>
                <w:szCs w:val="18"/>
              </w:rPr>
              <w:t>3~8</w:t>
            </w:r>
          </w:p>
        </w:tc>
      </w:tr>
      <w:bookmarkEnd w:id="51"/>
    </w:tbl>
    <w:p w14:paraId="0C143E85">
      <w:pPr>
        <w:numPr>
          <w:ilvl w:val="2"/>
          <w:numId w:val="17"/>
        </w:numPr>
        <w:spacing w:line="360" w:lineRule="auto"/>
        <w:ind w:left="0" w:firstLine="708" w:firstLineChars="295"/>
        <w:rPr>
          <w:rFonts w:hint="default" w:ascii="Times New Roman" w:hAnsi="Times New Roman" w:cs="Times New Roman"/>
          <w:kern w:val="0"/>
          <w:sz w:val="24"/>
          <w:szCs w:val="20"/>
        </w:rPr>
      </w:pPr>
      <w:r>
        <w:rPr>
          <w:rFonts w:hint="default" w:ascii="Times New Roman" w:hAnsi="Times New Roman" w:cs="Times New Roman"/>
          <w:kern w:val="0"/>
          <w:sz w:val="24"/>
          <w:szCs w:val="20"/>
        </w:rPr>
        <w:t>高延弹超薄罩面矿料级配类型的沥青混合料应按表6.2.2规定进行性能试验验证。</w:t>
      </w:r>
    </w:p>
    <w:p w14:paraId="7FAF25EA">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表6.2.2 DTO混合料技术指标</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841"/>
        <w:gridCol w:w="1857"/>
        <w:gridCol w:w="1287"/>
        <w:gridCol w:w="1856"/>
        <w:gridCol w:w="1495"/>
      </w:tblGrid>
      <w:tr w14:paraId="2A4D11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7D4E8BA6">
            <w:pPr>
              <w:pStyle w:val="192"/>
              <w:rPr>
                <w:rFonts w:hint="default" w:ascii="Times New Roman" w:hAnsi="Times New Roman" w:cs="Times New Roman"/>
                <w:spacing w:val="-2"/>
                <w:szCs w:val="18"/>
              </w:rPr>
            </w:pPr>
            <w:r>
              <w:rPr>
                <w:rFonts w:hint="default" w:ascii="Times New Roman" w:hAnsi="Times New Roman" w:cs="Times New Roman"/>
                <w:spacing w:val="-2"/>
                <w:szCs w:val="18"/>
              </w:rPr>
              <w:t>指标</w:t>
            </w:r>
          </w:p>
        </w:tc>
        <w:tc>
          <w:tcPr>
            <w:tcW w:w="772" w:type="pct"/>
            <w:shd w:val="clear" w:color="auto" w:fill="auto"/>
          </w:tcPr>
          <w:p w14:paraId="49505312">
            <w:pPr>
              <w:pStyle w:val="192"/>
              <w:rPr>
                <w:rFonts w:hint="default" w:ascii="Times New Roman" w:hAnsi="Times New Roman" w:cs="Times New Roman"/>
                <w:spacing w:val="-2"/>
                <w:szCs w:val="18"/>
              </w:rPr>
            </w:pPr>
            <w:r>
              <w:rPr>
                <w:rFonts w:hint="default" w:ascii="Times New Roman" w:hAnsi="Times New Roman" w:cs="Times New Roman"/>
                <w:spacing w:val="-2"/>
                <w:szCs w:val="18"/>
              </w:rPr>
              <w:t>单位</w:t>
            </w:r>
          </w:p>
        </w:tc>
        <w:tc>
          <w:tcPr>
            <w:tcW w:w="1113" w:type="pct"/>
            <w:shd w:val="clear" w:color="auto" w:fill="auto"/>
          </w:tcPr>
          <w:p w14:paraId="298FA571">
            <w:pPr>
              <w:pStyle w:val="192"/>
              <w:rPr>
                <w:rFonts w:hint="default" w:ascii="Times New Roman" w:hAnsi="Times New Roman" w:cs="Times New Roman"/>
                <w:spacing w:val="-2"/>
                <w:szCs w:val="18"/>
              </w:rPr>
            </w:pPr>
            <w:r>
              <w:rPr>
                <w:rFonts w:hint="default" w:ascii="Times New Roman" w:hAnsi="Times New Roman" w:cs="Times New Roman"/>
                <w:spacing w:val="-2"/>
                <w:szCs w:val="18"/>
              </w:rPr>
              <w:t>技术指标</w:t>
            </w:r>
          </w:p>
        </w:tc>
        <w:tc>
          <w:tcPr>
            <w:tcW w:w="897" w:type="pct"/>
            <w:shd w:val="clear" w:color="auto" w:fill="auto"/>
          </w:tcPr>
          <w:p w14:paraId="06CAB9F8">
            <w:pPr>
              <w:pStyle w:val="192"/>
              <w:rPr>
                <w:rFonts w:hint="default" w:ascii="Times New Roman" w:hAnsi="Times New Roman" w:cs="Times New Roman"/>
                <w:spacing w:val="-2"/>
                <w:szCs w:val="18"/>
              </w:rPr>
            </w:pPr>
            <w:r>
              <w:rPr>
                <w:rFonts w:hint="default" w:ascii="Times New Roman" w:hAnsi="Times New Roman" w:cs="Times New Roman"/>
                <w:spacing w:val="-2"/>
                <w:szCs w:val="18"/>
              </w:rPr>
              <w:t>试验方法</w:t>
            </w:r>
          </w:p>
        </w:tc>
      </w:tr>
      <w:tr w14:paraId="4B312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69A03EC7">
            <w:pPr>
              <w:pStyle w:val="192"/>
              <w:rPr>
                <w:rFonts w:hint="default" w:ascii="Times New Roman" w:hAnsi="Times New Roman" w:cs="Times New Roman"/>
                <w:spacing w:val="-2"/>
                <w:szCs w:val="18"/>
              </w:rPr>
            </w:pPr>
            <w:r>
              <w:rPr>
                <w:rFonts w:hint="default" w:ascii="Times New Roman" w:hAnsi="Times New Roman" w:cs="Times New Roman"/>
                <w:spacing w:val="-2"/>
                <w:szCs w:val="18"/>
              </w:rPr>
              <w:t>马歇尔试件击实次数</w:t>
            </w:r>
          </w:p>
        </w:tc>
        <w:tc>
          <w:tcPr>
            <w:tcW w:w="772" w:type="pct"/>
            <w:shd w:val="clear" w:color="auto" w:fill="auto"/>
          </w:tcPr>
          <w:p w14:paraId="43954D42">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51C1A535">
            <w:pPr>
              <w:pStyle w:val="192"/>
              <w:rPr>
                <w:rFonts w:hint="default" w:ascii="Times New Roman" w:hAnsi="Times New Roman" w:cs="Times New Roman"/>
                <w:spacing w:val="-2"/>
                <w:szCs w:val="18"/>
              </w:rPr>
            </w:pPr>
            <w:r>
              <w:rPr>
                <w:rFonts w:hint="default" w:ascii="Times New Roman" w:hAnsi="Times New Roman" w:cs="Times New Roman"/>
                <w:spacing w:val="-2"/>
                <w:szCs w:val="18"/>
              </w:rPr>
              <w:t>双面击实75次</w:t>
            </w:r>
          </w:p>
        </w:tc>
        <w:tc>
          <w:tcPr>
            <w:tcW w:w="897" w:type="pct"/>
            <w:shd w:val="clear" w:color="auto" w:fill="auto"/>
          </w:tcPr>
          <w:p w14:paraId="0CEBBFFE">
            <w:pPr>
              <w:pStyle w:val="192"/>
              <w:rPr>
                <w:rFonts w:hint="default" w:ascii="Times New Roman" w:hAnsi="Times New Roman" w:cs="Times New Roman"/>
                <w:spacing w:val="-2"/>
                <w:szCs w:val="18"/>
              </w:rPr>
            </w:pPr>
            <w:r>
              <w:rPr>
                <w:rFonts w:hint="default" w:ascii="Times New Roman" w:hAnsi="Times New Roman" w:cs="Times New Roman"/>
                <w:spacing w:val="-2"/>
                <w:szCs w:val="18"/>
              </w:rPr>
              <w:t>T0702</w:t>
            </w:r>
          </w:p>
        </w:tc>
      </w:tr>
      <w:tr w14:paraId="4B812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4" w:type="pct"/>
            <w:vMerge w:val="restart"/>
            <w:shd w:val="clear" w:color="auto" w:fill="auto"/>
            <w:vAlign w:val="center"/>
          </w:tcPr>
          <w:p w14:paraId="38FE7608">
            <w:pPr>
              <w:pStyle w:val="192"/>
              <w:rPr>
                <w:rFonts w:hint="default" w:ascii="Times New Roman" w:hAnsi="Times New Roman" w:cs="Times New Roman"/>
                <w:spacing w:val="-2"/>
                <w:szCs w:val="18"/>
              </w:rPr>
            </w:pPr>
            <w:r>
              <w:rPr>
                <w:rFonts w:hint="default" w:ascii="Times New Roman" w:hAnsi="Times New Roman" w:cs="Times New Roman"/>
                <w:spacing w:val="-2"/>
                <w:szCs w:val="18"/>
              </w:rPr>
              <w:t>空隙率VV</w:t>
            </w:r>
          </w:p>
        </w:tc>
        <w:tc>
          <w:tcPr>
            <w:tcW w:w="1113" w:type="pct"/>
            <w:shd w:val="clear" w:color="auto" w:fill="auto"/>
          </w:tcPr>
          <w:p w14:paraId="1502F29E">
            <w:pPr>
              <w:pStyle w:val="192"/>
              <w:rPr>
                <w:rFonts w:hint="default" w:ascii="Times New Roman" w:hAnsi="Times New Roman" w:cs="Times New Roman"/>
                <w:spacing w:val="-2"/>
                <w:szCs w:val="18"/>
              </w:rPr>
            </w:pPr>
            <w:r>
              <w:rPr>
                <w:rFonts w:hint="default" w:ascii="Times New Roman" w:hAnsi="Times New Roman" w:cs="Times New Roman"/>
                <w:spacing w:val="-2"/>
                <w:szCs w:val="18"/>
              </w:rPr>
              <w:t>DTO-5</w:t>
            </w:r>
          </w:p>
        </w:tc>
        <w:tc>
          <w:tcPr>
            <w:tcW w:w="772" w:type="pct"/>
            <w:shd w:val="clear" w:color="auto" w:fill="auto"/>
          </w:tcPr>
          <w:p w14:paraId="2D22457B">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16D04E5C">
            <w:pPr>
              <w:pStyle w:val="192"/>
              <w:rPr>
                <w:rFonts w:hint="default" w:ascii="Times New Roman" w:hAnsi="Times New Roman" w:cs="Times New Roman"/>
                <w:spacing w:val="-2"/>
                <w:szCs w:val="18"/>
              </w:rPr>
            </w:pPr>
            <w:r>
              <w:rPr>
                <w:rFonts w:hint="default" w:ascii="Times New Roman" w:hAnsi="Times New Roman" w:cs="Times New Roman"/>
                <w:spacing w:val="-2"/>
                <w:szCs w:val="18"/>
              </w:rPr>
              <w:t>10~18</w:t>
            </w:r>
          </w:p>
        </w:tc>
        <w:tc>
          <w:tcPr>
            <w:tcW w:w="897" w:type="pct"/>
            <w:vMerge w:val="restart"/>
            <w:shd w:val="clear" w:color="auto" w:fill="auto"/>
            <w:vAlign w:val="center"/>
          </w:tcPr>
          <w:p w14:paraId="505AEE9F">
            <w:pPr>
              <w:pStyle w:val="192"/>
              <w:rPr>
                <w:rFonts w:hint="default" w:ascii="Times New Roman" w:hAnsi="Times New Roman" w:cs="Times New Roman"/>
                <w:spacing w:val="-2"/>
                <w:szCs w:val="18"/>
              </w:rPr>
            </w:pPr>
            <w:r>
              <w:rPr>
                <w:rFonts w:hint="default" w:ascii="Times New Roman" w:hAnsi="Times New Roman" w:cs="Times New Roman"/>
                <w:spacing w:val="-2"/>
                <w:szCs w:val="18"/>
              </w:rPr>
              <w:t>T0708</w:t>
            </w:r>
          </w:p>
        </w:tc>
      </w:tr>
      <w:tr w14:paraId="3E206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4" w:type="pct"/>
            <w:vMerge w:val="continue"/>
            <w:shd w:val="clear" w:color="auto" w:fill="auto"/>
          </w:tcPr>
          <w:p w14:paraId="3436FD02">
            <w:pPr>
              <w:pStyle w:val="192"/>
              <w:rPr>
                <w:rFonts w:hint="default" w:ascii="Times New Roman" w:hAnsi="Times New Roman" w:cs="Times New Roman"/>
                <w:spacing w:val="-2"/>
                <w:szCs w:val="18"/>
              </w:rPr>
            </w:pPr>
          </w:p>
        </w:tc>
        <w:tc>
          <w:tcPr>
            <w:tcW w:w="1113" w:type="pct"/>
            <w:shd w:val="clear" w:color="auto" w:fill="auto"/>
          </w:tcPr>
          <w:p w14:paraId="3C94F51E">
            <w:pPr>
              <w:pStyle w:val="192"/>
              <w:rPr>
                <w:rFonts w:hint="default" w:ascii="Times New Roman" w:hAnsi="Times New Roman" w:cs="Times New Roman"/>
                <w:spacing w:val="-2"/>
                <w:szCs w:val="18"/>
              </w:rPr>
            </w:pPr>
            <w:r>
              <w:rPr>
                <w:rFonts w:hint="default" w:ascii="Times New Roman" w:hAnsi="Times New Roman" w:cs="Times New Roman"/>
                <w:spacing w:val="-2"/>
                <w:szCs w:val="18"/>
              </w:rPr>
              <w:t>DTO-10</w:t>
            </w:r>
          </w:p>
        </w:tc>
        <w:tc>
          <w:tcPr>
            <w:tcW w:w="772" w:type="pct"/>
            <w:shd w:val="clear" w:color="auto" w:fill="auto"/>
          </w:tcPr>
          <w:p w14:paraId="398C4D00">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5672CF51">
            <w:pPr>
              <w:pStyle w:val="192"/>
              <w:rPr>
                <w:rFonts w:hint="default" w:ascii="Times New Roman" w:hAnsi="Times New Roman" w:cs="Times New Roman"/>
                <w:spacing w:val="-2"/>
                <w:szCs w:val="18"/>
              </w:rPr>
            </w:pPr>
            <w:r>
              <w:rPr>
                <w:rFonts w:hint="default" w:ascii="Times New Roman" w:hAnsi="Times New Roman" w:cs="Times New Roman"/>
                <w:spacing w:val="-2"/>
                <w:szCs w:val="18"/>
              </w:rPr>
              <w:t>8~16</w:t>
            </w:r>
          </w:p>
        </w:tc>
        <w:tc>
          <w:tcPr>
            <w:tcW w:w="897" w:type="pct"/>
            <w:vMerge w:val="continue"/>
            <w:shd w:val="clear" w:color="auto" w:fill="auto"/>
          </w:tcPr>
          <w:p w14:paraId="0D8839DC">
            <w:pPr>
              <w:pStyle w:val="192"/>
              <w:rPr>
                <w:rFonts w:hint="default" w:ascii="Times New Roman" w:hAnsi="Times New Roman" w:cs="Times New Roman"/>
                <w:spacing w:val="-2"/>
                <w:szCs w:val="18"/>
              </w:rPr>
            </w:pPr>
          </w:p>
        </w:tc>
      </w:tr>
      <w:tr w14:paraId="730B1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7B559844">
            <w:pPr>
              <w:pStyle w:val="192"/>
              <w:rPr>
                <w:rFonts w:hint="default" w:ascii="Times New Roman" w:hAnsi="Times New Roman" w:cs="Times New Roman"/>
                <w:spacing w:val="-2"/>
                <w:szCs w:val="18"/>
              </w:rPr>
            </w:pPr>
            <w:r>
              <w:rPr>
                <w:rFonts w:hint="default" w:ascii="Times New Roman" w:hAnsi="Times New Roman" w:cs="Times New Roman"/>
                <w:spacing w:val="-2"/>
                <w:szCs w:val="18"/>
              </w:rPr>
              <w:t>矿料间隙率VMA</w:t>
            </w:r>
          </w:p>
        </w:tc>
        <w:tc>
          <w:tcPr>
            <w:tcW w:w="772" w:type="pct"/>
            <w:shd w:val="clear" w:color="auto" w:fill="auto"/>
          </w:tcPr>
          <w:p w14:paraId="1DBF66E3">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52DAC172">
            <w:pPr>
              <w:pStyle w:val="192"/>
              <w:rPr>
                <w:rFonts w:hint="default" w:ascii="Times New Roman" w:hAnsi="Times New Roman" w:cs="Times New Roman"/>
                <w:spacing w:val="-2"/>
                <w:szCs w:val="18"/>
              </w:rPr>
            </w:pPr>
            <w:r>
              <w:rPr>
                <w:rFonts w:hint="default" w:ascii="Times New Roman" w:hAnsi="Times New Roman" w:cs="Times New Roman"/>
                <w:spacing w:val="-2"/>
                <w:szCs w:val="18"/>
              </w:rPr>
              <w:t>≥18</w:t>
            </w:r>
          </w:p>
        </w:tc>
        <w:tc>
          <w:tcPr>
            <w:tcW w:w="897" w:type="pct"/>
            <w:shd w:val="clear" w:color="auto" w:fill="auto"/>
          </w:tcPr>
          <w:p w14:paraId="2D3C07FC">
            <w:pPr>
              <w:pStyle w:val="192"/>
              <w:rPr>
                <w:rFonts w:hint="default" w:ascii="Times New Roman" w:hAnsi="Times New Roman" w:cs="Times New Roman"/>
                <w:spacing w:val="-2"/>
                <w:szCs w:val="18"/>
              </w:rPr>
            </w:pPr>
            <w:r>
              <w:rPr>
                <w:rFonts w:hint="default" w:ascii="Times New Roman" w:hAnsi="Times New Roman" w:cs="Times New Roman"/>
                <w:spacing w:val="-2"/>
                <w:szCs w:val="18"/>
              </w:rPr>
              <w:t>T0705</w:t>
            </w:r>
          </w:p>
        </w:tc>
      </w:tr>
      <w:tr w14:paraId="22CB4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0AD79525">
            <w:pPr>
              <w:pStyle w:val="192"/>
              <w:rPr>
                <w:rFonts w:hint="default" w:ascii="Times New Roman" w:hAnsi="Times New Roman" w:cs="Times New Roman"/>
                <w:spacing w:val="-2"/>
                <w:szCs w:val="18"/>
              </w:rPr>
            </w:pPr>
            <w:r>
              <w:rPr>
                <w:rFonts w:hint="default" w:ascii="Times New Roman" w:hAnsi="Times New Roman" w:cs="Times New Roman"/>
                <w:spacing w:val="-2"/>
                <w:szCs w:val="18"/>
              </w:rPr>
              <w:t>马歇尔稳定度</w:t>
            </w:r>
          </w:p>
        </w:tc>
        <w:tc>
          <w:tcPr>
            <w:tcW w:w="772" w:type="pct"/>
            <w:shd w:val="clear" w:color="auto" w:fill="auto"/>
          </w:tcPr>
          <w:p w14:paraId="0B816551">
            <w:pPr>
              <w:pStyle w:val="192"/>
              <w:rPr>
                <w:rFonts w:hint="default" w:ascii="Times New Roman" w:hAnsi="Times New Roman" w:cs="Times New Roman"/>
                <w:spacing w:val="-2"/>
                <w:szCs w:val="18"/>
              </w:rPr>
            </w:pPr>
            <w:r>
              <w:rPr>
                <w:rFonts w:hint="default" w:ascii="Times New Roman" w:hAnsi="Times New Roman" w:cs="Times New Roman"/>
                <w:spacing w:val="-2"/>
                <w:szCs w:val="18"/>
              </w:rPr>
              <w:t>kN</w:t>
            </w:r>
          </w:p>
        </w:tc>
        <w:tc>
          <w:tcPr>
            <w:tcW w:w="1113" w:type="pct"/>
            <w:shd w:val="clear" w:color="auto" w:fill="auto"/>
          </w:tcPr>
          <w:p w14:paraId="7E1882BA">
            <w:pPr>
              <w:pStyle w:val="192"/>
              <w:rPr>
                <w:rFonts w:hint="default" w:ascii="Times New Roman" w:hAnsi="Times New Roman" w:cs="Times New Roman"/>
                <w:spacing w:val="-2"/>
                <w:szCs w:val="18"/>
              </w:rPr>
            </w:pPr>
            <w:r>
              <w:rPr>
                <w:rFonts w:hint="default" w:ascii="Times New Roman" w:hAnsi="Times New Roman" w:cs="Times New Roman"/>
                <w:spacing w:val="-2"/>
                <w:szCs w:val="18"/>
              </w:rPr>
              <w:t>≥6</w:t>
            </w:r>
          </w:p>
        </w:tc>
        <w:tc>
          <w:tcPr>
            <w:tcW w:w="897" w:type="pct"/>
            <w:shd w:val="clear" w:color="auto" w:fill="auto"/>
          </w:tcPr>
          <w:p w14:paraId="0D5C2384">
            <w:pPr>
              <w:pStyle w:val="192"/>
              <w:rPr>
                <w:rFonts w:hint="default" w:ascii="Times New Roman" w:hAnsi="Times New Roman" w:cs="Times New Roman"/>
                <w:spacing w:val="-2"/>
                <w:szCs w:val="18"/>
              </w:rPr>
            </w:pPr>
            <w:r>
              <w:rPr>
                <w:rFonts w:hint="default" w:ascii="Times New Roman" w:hAnsi="Times New Roman" w:cs="Times New Roman"/>
                <w:spacing w:val="-2"/>
                <w:szCs w:val="18"/>
              </w:rPr>
              <w:t>T0709</w:t>
            </w:r>
          </w:p>
        </w:tc>
      </w:tr>
      <w:tr w14:paraId="43904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6AAA9CFD">
            <w:pPr>
              <w:pStyle w:val="192"/>
              <w:rPr>
                <w:rFonts w:hint="default" w:ascii="Times New Roman" w:hAnsi="Times New Roman" w:cs="Times New Roman"/>
                <w:spacing w:val="-2"/>
                <w:szCs w:val="18"/>
              </w:rPr>
            </w:pPr>
            <w:r>
              <w:rPr>
                <w:rFonts w:hint="default" w:ascii="Times New Roman" w:hAnsi="Times New Roman" w:cs="Times New Roman"/>
                <w:spacing w:val="-2"/>
                <w:szCs w:val="18"/>
              </w:rPr>
              <w:t>浸水马歇尔试验残留稳定度</w:t>
            </w:r>
          </w:p>
        </w:tc>
        <w:tc>
          <w:tcPr>
            <w:tcW w:w="772" w:type="pct"/>
            <w:shd w:val="clear" w:color="auto" w:fill="auto"/>
          </w:tcPr>
          <w:p w14:paraId="2E5590B8">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239DB185">
            <w:pPr>
              <w:pStyle w:val="192"/>
              <w:rPr>
                <w:rFonts w:hint="default" w:ascii="Times New Roman" w:hAnsi="Times New Roman" w:cs="Times New Roman"/>
                <w:spacing w:val="-2"/>
                <w:szCs w:val="18"/>
              </w:rPr>
            </w:pPr>
            <w:r>
              <w:rPr>
                <w:rFonts w:hint="default" w:ascii="Times New Roman" w:hAnsi="Times New Roman" w:cs="Times New Roman"/>
                <w:spacing w:val="-2"/>
                <w:szCs w:val="18"/>
              </w:rPr>
              <w:t>≥85</w:t>
            </w:r>
          </w:p>
        </w:tc>
        <w:tc>
          <w:tcPr>
            <w:tcW w:w="897" w:type="pct"/>
            <w:shd w:val="clear" w:color="auto" w:fill="auto"/>
          </w:tcPr>
          <w:p w14:paraId="73B00A83">
            <w:pPr>
              <w:pStyle w:val="192"/>
              <w:rPr>
                <w:rFonts w:hint="default" w:ascii="Times New Roman" w:hAnsi="Times New Roman" w:cs="Times New Roman"/>
                <w:spacing w:val="-2"/>
                <w:szCs w:val="18"/>
              </w:rPr>
            </w:pPr>
            <w:r>
              <w:rPr>
                <w:rFonts w:hint="default" w:ascii="Times New Roman" w:hAnsi="Times New Roman" w:cs="Times New Roman"/>
                <w:spacing w:val="-2"/>
                <w:szCs w:val="18"/>
              </w:rPr>
              <w:t>T0709</w:t>
            </w:r>
          </w:p>
        </w:tc>
      </w:tr>
      <w:tr w14:paraId="217B0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107CF4CF">
            <w:pPr>
              <w:pStyle w:val="192"/>
              <w:rPr>
                <w:rFonts w:hint="default" w:ascii="Times New Roman" w:hAnsi="Times New Roman" w:cs="Times New Roman"/>
                <w:spacing w:val="-2"/>
                <w:szCs w:val="18"/>
              </w:rPr>
            </w:pPr>
            <w:r>
              <w:rPr>
                <w:rFonts w:hint="default" w:ascii="Times New Roman" w:hAnsi="Times New Roman" w:cs="Times New Roman"/>
                <w:spacing w:val="-2"/>
                <w:szCs w:val="18"/>
              </w:rPr>
              <w:t>冻融劈裂试验残留强度比TSR</w:t>
            </w:r>
          </w:p>
        </w:tc>
        <w:tc>
          <w:tcPr>
            <w:tcW w:w="772" w:type="pct"/>
            <w:shd w:val="clear" w:color="auto" w:fill="auto"/>
          </w:tcPr>
          <w:p w14:paraId="24C86897">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376135F5">
            <w:pPr>
              <w:pStyle w:val="192"/>
              <w:rPr>
                <w:rFonts w:hint="default" w:ascii="Times New Roman" w:hAnsi="Times New Roman" w:cs="Times New Roman"/>
                <w:spacing w:val="-2"/>
                <w:szCs w:val="18"/>
              </w:rPr>
            </w:pPr>
            <w:r>
              <w:rPr>
                <w:rFonts w:hint="default" w:ascii="Times New Roman" w:hAnsi="Times New Roman" w:cs="Times New Roman"/>
                <w:spacing w:val="-2"/>
                <w:szCs w:val="18"/>
              </w:rPr>
              <w:t>≥80</w:t>
            </w:r>
          </w:p>
        </w:tc>
        <w:tc>
          <w:tcPr>
            <w:tcW w:w="897" w:type="pct"/>
            <w:shd w:val="clear" w:color="auto" w:fill="auto"/>
          </w:tcPr>
          <w:p w14:paraId="275FCE53">
            <w:pPr>
              <w:pStyle w:val="192"/>
              <w:rPr>
                <w:rFonts w:hint="default" w:ascii="Times New Roman" w:hAnsi="Times New Roman" w:cs="Times New Roman"/>
                <w:spacing w:val="-2"/>
                <w:szCs w:val="18"/>
              </w:rPr>
            </w:pPr>
            <w:r>
              <w:rPr>
                <w:rFonts w:hint="default" w:ascii="Times New Roman" w:hAnsi="Times New Roman" w:cs="Times New Roman"/>
                <w:spacing w:val="-2"/>
                <w:szCs w:val="18"/>
              </w:rPr>
              <w:t>T0729</w:t>
            </w:r>
          </w:p>
        </w:tc>
      </w:tr>
      <w:tr w14:paraId="6B16B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 w:hRule="atLeast"/>
        </w:trPr>
        <w:tc>
          <w:tcPr>
            <w:tcW w:w="2218" w:type="pct"/>
            <w:gridSpan w:val="2"/>
            <w:shd w:val="clear" w:color="auto" w:fill="auto"/>
          </w:tcPr>
          <w:p w14:paraId="0737569C">
            <w:pPr>
              <w:pStyle w:val="192"/>
              <w:rPr>
                <w:rFonts w:hint="default" w:ascii="Times New Roman" w:hAnsi="Times New Roman" w:cs="Times New Roman"/>
                <w:spacing w:val="-2"/>
                <w:szCs w:val="18"/>
              </w:rPr>
            </w:pPr>
            <w:r>
              <w:rPr>
                <w:rFonts w:hint="default" w:ascii="Times New Roman" w:hAnsi="Times New Roman" w:cs="Times New Roman"/>
                <w:spacing w:val="-2"/>
                <w:szCs w:val="18"/>
              </w:rPr>
              <w:t>车辙试验动稳定度</w:t>
            </w:r>
          </w:p>
        </w:tc>
        <w:tc>
          <w:tcPr>
            <w:tcW w:w="772" w:type="pct"/>
            <w:shd w:val="clear" w:color="auto" w:fill="auto"/>
          </w:tcPr>
          <w:p w14:paraId="71025B49">
            <w:pPr>
              <w:pStyle w:val="192"/>
              <w:rPr>
                <w:rFonts w:hint="default" w:ascii="Times New Roman" w:hAnsi="Times New Roman" w:cs="Times New Roman"/>
                <w:spacing w:val="-2"/>
                <w:szCs w:val="18"/>
              </w:rPr>
            </w:pPr>
            <w:r>
              <w:rPr>
                <w:rFonts w:hint="default" w:ascii="Times New Roman" w:hAnsi="Times New Roman" w:cs="Times New Roman"/>
                <w:spacing w:val="-2"/>
                <w:szCs w:val="18"/>
              </w:rPr>
              <w:t>次/mm</w:t>
            </w:r>
          </w:p>
        </w:tc>
        <w:tc>
          <w:tcPr>
            <w:tcW w:w="1113" w:type="pct"/>
            <w:shd w:val="clear" w:color="auto" w:fill="auto"/>
          </w:tcPr>
          <w:p w14:paraId="0274FDB4">
            <w:pPr>
              <w:pStyle w:val="192"/>
              <w:rPr>
                <w:rFonts w:hint="default" w:ascii="Times New Roman" w:hAnsi="Times New Roman" w:cs="Times New Roman"/>
                <w:spacing w:val="-2"/>
                <w:szCs w:val="18"/>
              </w:rPr>
            </w:pPr>
            <w:r>
              <w:rPr>
                <w:rFonts w:hint="default" w:ascii="Times New Roman" w:hAnsi="Times New Roman" w:cs="Times New Roman"/>
                <w:spacing w:val="-2"/>
                <w:szCs w:val="18"/>
              </w:rPr>
              <w:t>≥2500</w:t>
            </w:r>
          </w:p>
        </w:tc>
        <w:tc>
          <w:tcPr>
            <w:tcW w:w="897" w:type="pct"/>
            <w:shd w:val="clear" w:color="auto" w:fill="auto"/>
          </w:tcPr>
          <w:p w14:paraId="5D35915F">
            <w:pPr>
              <w:pStyle w:val="192"/>
              <w:rPr>
                <w:rFonts w:hint="default" w:ascii="Times New Roman" w:hAnsi="Times New Roman" w:cs="Times New Roman"/>
                <w:spacing w:val="-2"/>
                <w:szCs w:val="18"/>
              </w:rPr>
            </w:pPr>
            <w:r>
              <w:rPr>
                <w:rFonts w:hint="default" w:ascii="Times New Roman" w:hAnsi="Times New Roman" w:cs="Times New Roman"/>
                <w:spacing w:val="-2"/>
                <w:szCs w:val="18"/>
              </w:rPr>
              <w:t>T0719</w:t>
            </w:r>
          </w:p>
        </w:tc>
      </w:tr>
      <w:tr w14:paraId="2E2E4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62AD63BD">
            <w:pPr>
              <w:pStyle w:val="192"/>
              <w:rPr>
                <w:rFonts w:hint="default" w:ascii="Times New Roman" w:hAnsi="Times New Roman" w:cs="Times New Roman"/>
                <w:spacing w:val="-2"/>
                <w:szCs w:val="18"/>
              </w:rPr>
            </w:pPr>
            <w:r>
              <w:rPr>
                <w:rFonts w:hint="default" w:ascii="Times New Roman" w:hAnsi="Times New Roman" w:cs="Times New Roman"/>
                <w:spacing w:val="-2"/>
                <w:szCs w:val="18"/>
              </w:rPr>
              <w:t>谢伦堡沥青析漏损失率</w:t>
            </w:r>
          </w:p>
        </w:tc>
        <w:tc>
          <w:tcPr>
            <w:tcW w:w="772" w:type="pct"/>
            <w:shd w:val="clear" w:color="auto" w:fill="auto"/>
          </w:tcPr>
          <w:p w14:paraId="30D84511">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73DE7D3B">
            <w:pPr>
              <w:pStyle w:val="192"/>
              <w:rPr>
                <w:rFonts w:hint="default" w:ascii="Times New Roman" w:hAnsi="Times New Roman" w:cs="Times New Roman"/>
                <w:spacing w:val="-2"/>
                <w:szCs w:val="18"/>
              </w:rPr>
            </w:pPr>
            <w:r>
              <w:rPr>
                <w:rFonts w:hint="default" w:ascii="Times New Roman" w:hAnsi="Times New Roman" w:cs="Times New Roman"/>
                <w:spacing w:val="-2"/>
                <w:szCs w:val="18"/>
              </w:rPr>
              <w:t>＜0.3</w:t>
            </w:r>
          </w:p>
        </w:tc>
        <w:tc>
          <w:tcPr>
            <w:tcW w:w="897" w:type="pct"/>
            <w:shd w:val="clear" w:color="auto" w:fill="auto"/>
          </w:tcPr>
          <w:p w14:paraId="39773B64">
            <w:pPr>
              <w:pStyle w:val="192"/>
              <w:rPr>
                <w:rFonts w:hint="default" w:ascii="Times New Roman" w:hAnsi="Times New Roman" w:cs="Times New Roman"/>
                <w:spacing w:val="-2"/>
                <w:szCs w:val="18"/>
              </w:rPr>
            </w:pPr>
            <w:r>
              <w:rPr>
                <w:rFonts w:hint="default" w:ascii="Times New Roman" w:hAnsi="Times New Roman" w:cs="Times New Roman"/>
                <w:spacing w:val="-2"/>
                <w:szCs w:val="18"/>
              </w:rPr>
              <w:t>T0732</w:t>
            </w:r>
          </w:p>
        </w:tc>
      </w:tr>
      <w:tr w14:paraId="46658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408D8F61">
            <w:pPr>
              <w:pStyle w:val="192"/>
              <w:rPr>
                <w:rFonts w:hint="default" w:ascii="Times New Roman" w:hAnsi="Times New Roman" w:cs="Times New Roman"/>
                <w:spacing w:val="-2"/>
                <w:szCs w:val="18"/>
              </w:rPr>
            </w:pPr>
            <w:r>
              <w:rPr>
                <w:rFonts w:hint="default" w:ascii="Times New Roman" w:hAnsi="Times New Roman" w:cs="Times New Roman"/>
                <w:spacing w:val="-2"/>
                <w:szCs w:val="18"/>
              </w:rPr>
              <w:t>肯塔堡飞散损失率</w:t>
            </w:r>
          </w:p>
        </w:tc>
        <w:tc>
          <w:tcPr>
            <w:tcW w:w="772" w:type="pct"/>
            <w:shd w:val="clear" w:color="auto" w:fill="auto"/>
          </w:tcPr>
          <w:p w14:paraId="11C2527C">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13" w:type="pct"/>
            <w:shd w:val="clear" w:color="auto" w:fill="auto"/>
          </w:tcPr>
          <w:p w14:paraId="66E31525">
            <w:pPr>
              <w:pStyle w:val="192"/>
              <w:rPr>
                <w:rFonts w:hint="default" w:ascii="Times New Roman" w:hAnsi="Times New Roman" w:cs="Times New Roman"/>
                <w:spacing w:val="-2"/>
                <w:szCs w:val="18"/>
              </w:rPr>
            </w:pPr>
            <w:r>
              <w:rPr>
                <w:rFonts w:hint="default" w:ascii="Times New Roman" w:hAnsi="Times New Roman" w:cs="Times New Roman"/>
                <w:spacing w:val="-2"/>
                <w:szCs w:val="18"/>
              </w:rPr>
              <w:t>＜10</w:t>
            </w:r>
          </w:p>
        </w:tc>
        <w:tc>
          <w:tcPr>
            <w:tcW w:w="897" w:type="pct"/>
            <w:shd w:val="clear" w:color="auto" w:fill="auto"/>
          </w:tcPr>
          <w:p w14:paraId="30AF0BD4">
            <w:pPr>
              <w:pStyle w:val="192"/>
              <w:rPr>
                <w:rFonts w:hint="default" w:ascii="Times New Roman" w:hAnsi="Times New Roman" w:cs="Times New Roman"/>
                <w:spacing w:val="-2"/>
                <w:szCs w:val="18"/>
              </w:rPr>
            </w:pPr>
            <w:r>
              <w:rPr>
                <w:rFonts w:hint="default" w:ascii="Times New Roman" w:hAnsi="Times New Roman" w:cs="Times New Roman"/>
                <w:spacing w:val="-2"/>
                <w:szCs w:val="18"/>
              </w:rPr>
              <w:t>T0733</w:t>
            </w:r>
          </w:p>
        </w:tc>
      </w:tr>
      <w:tr w14:paraId="596CB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2218" w:type="pct"/>
            <w:gridSpan w:val="2"/>
            <w:shd w:val="clear" w:color="auto" w:fill="auto"/>
          </w:tcPr>
          <w:p w14:paraId="3EF63F51">
            <w:pPr>
              <w:pStyle w:val="192"/>
              <w:rPr>
                <w:rFonts w:hint="default" w:ascii="Times New Roman" w:hAnsi="Times New Roman" w:cs="Times New Roman"/>
                <w:spacing w:val="-2"/>
                <w:szCs w:val="18"/>
              </w:rPr>
            </w:pPr>
            <w:r>
              <w:rPr>
                <w:rFonts w:hint="default" w:ascii="Times New Roman" w:hAnsi="Times New Roman" w:cs="Times New Roman"/>
                <w:spacing w:val="-2"/>
                <w:szCs w:val="18"/>
              </w:rPr>
              <w:t>油膜厚度</w:t>
            </w:r>
          </w:p>
        </w:tc>
        <w:tc>
          <w:tcPr>
            <w:tcW w:w="772" w:type="pct"/>
            <w:shd w:val="clear" w:color="auto" w:fill="auto"/>
          </w:tcPr>
          <w:p w14:paraId="07E7CA04">
            <w:pPr>
              <w:pStyle w:val="192"/>
              <w:rPr>
                <w:rFonts w:hint="default" w:ascii="Times New Roman" w:hAnsi="Times New Roman" w:cs="Times New Roman"/>
                <w:spacing w:val="-2"/>
                <w:szCs w:val="18"/>
              </w:rPr>
            </w:pPr>
            <w:r>
              <w:rPr>
                <w:rFonts w:hint="default" w:ascii="Times New Roman" w:hAnsi="Times New Roman" w:cs="Times New Roman"/>
                <w:spacing w:val="-2"/>
                <w:szCs w:val="18"/>
              </w:rPr>
              <w:t>μm</w:t>
            </w:r>
          </w:p>
        </w:tc>
        <w:tc>
          <w:tcPr>
            <w:tcW w:w="1113" w:type="pct"/>
            <w:shd w:val="clear" w:color="auto" w:fill="auto"/>
          </w:tcPr>
          <w:p w14:paraId="623DA8C8">
            <w:pPr>
              <w:pStyle w:val="192"/>
              <w:rPr>
                <w:rFonts w:hint="default" w:ascii="Times New Roman" w:hAnsi="Times New Roman" w:cs="Times New Roman"/>
                <w:spacing w:val="-2"/>
                <w:szCs w:val="18"/>
              </w:rPr>
            </w:pPr>
            <w:r>
              <w:rPr>
                <w:rFonts w:hint="default" w:ascii="Times New Roman" w:hAnsi="Times New Roman" w:cs="Times New Roman"/>
                <w:spacing w:val="-2"/>
                <w:szCs w:val="18"/>
              </w:rPr>
              <w:t>≥10</w:t>
            </w:r>
          </w:p>
        </w:tc>
        <w:tc>
          <w:tcPr>
            <w:tcW w:w="897" w:type="pct"/>
            <w:shd w:val="clear" w:color="auto" w:fill="auto"/>
          </w:tcPr>
          <w:p w14:paraId="7280FCBC">
            <w:pPr>
              <w:pStyle w:val="192"/>
              <w:rPr>
                <w:rFonts w:hint="default" w:ascii="Times New Roman" w:hAnsi="Times New Roman" w:cs="Times New Roman"/>
                <w:spacing w:val="-2"/>
                <w:szCs w:val="18"/>
              </w:rPr>
            </w:pPr>
            <w:r>
              <w:rPr>
                <w:rFonts w:hint="default" w:ascii="Times New Roman" w:hAnsi="Times New Roman" w:cs="Times New Roman"/>
                <w:spacing w:val="-2"/>
                <w:szCs w:val="18"/>
              </w:rPr>
              <w:t>—</w:t>
            </w:r>
          </w:p>
        </w:tc>
      </w:tr>
      <w:bookmarkEnd w:id="50"/>
    </w:tbl>
    <w:p w14:paraId="39C3E5B3">
      <w:pPr>
        <w:pStyle w:val="52"/>
        <w:spacing w:beforeLines="0" w:afterLines="0" w:line="360" w:lineRule="auto"/>
        <w:ind w:left="425"/>
        <w:outlineLvl w:val="9"/>
        <w:rPr>
          <w:rFonts w:hint="default" w:ascii="Times New Roman" w:hAnsi="Times New Roman" w:cs="Times New Roman" w:eastAsiaTheme="minorEastAsia"/>
          <w:b/>
          <w:bCs/>
          <w:sz w:val="32"/>
          <w:szCs w:val="22"/>
        </w:rPr>
        <w:sectPr>
          <w:footerReference r:id="rId11" w:type="first"/>
          <w:footerReference r:id="rId10" w:type="default"/>
          <w:headerReference r:id="rId9" w:type="even"/>
          <w:pgSz w:w="11906" w:h="16838"/>
          <w:pgMar w:top="1440" w:right="1800" w:bottom="1440" w:left="1800" w:header="850" w:footer="992" w:gutter="0"/>
          <w:cols w:space="425" w:num="1"/>
          <w:formProt w:val="0"/>
          <w:docGrid w:type="lines" w:linePitch="312" w:charSpace="0"/>
        </w:sectPr>
      </w:pPr>
      <w:bookmarkStart w:id="52" w:name="_Toc179636664"/>
      <w:bookmarkStart w:id="53" w:name="_Toc126742843"/>
    </w:p>
    <w:p w14:paraId="04C6E5E3">
      <w:pPr>
        <w:pStyle w:val="52"/>
        <w:numPr>
          <w:ilvl w:val="0"/>
          <w:numId w:val="17"/>
        </w:numPr>
        <w:spacing w:beforeLines="0" w:afterLines="0" w:line="360" w:lineRule="auto"/>
        <w:ind w:hanging="283"/>
        <w:outlineLvl w:val="0"/>
        <w:rPr>
          <w:rFonts w:hint="default" w:ascii="Times New Roman" w:hAnsi="Times New Roman" w:cs="Times New Roman" w:eastAsiaTheme="minorEastAsia"/>
          <w:b/>
          <w:bCs/>
          <w:sz w:val="32"/>
          <w:szCs w:val="22"/>
        </w:rPr>
      </w:pPr>
      <w:bookmarkStart w:id="54" w:name="_Toc31755"/>
      <w:r>
        <w:rPr>
          <w:rFonts w:hint="default" w:ascii="Times New Roman" w:hAnsi="Times New Roman" w:cs="Times New Roman" w:eastAsiaTheme="minorEastAsia"/>
          <w:b/>
          <w:bCs/>
          <w:sz w:val="32"/>
          <w:szCs w:val="22"/>
        </w:rPr>
        <w:t>施工</w:t>
      </w:r>
      <w:bookmarkEnd w:id="52"/>
      <w:bookmarkEnd w:id="53"/>
      <w:bookmarkEnd w:id="54"/>
      <w:bookmarkStart w:id="55" w:name="DW"/>
      <w:bookmarkEnd w:id="55"/>
    </w:p>
    <w:p w14:paraId="2D5F416A">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56" w:name="_Toc28042"/>
      <w:bookmarkStart w:id="57" w:name="_Toc179636665"/>
      <w:bookmarkStart w:id="58" w:name="_Toc126742844"/>
      <w:r>
        <w:rPr>
          <w:rFonts w:hint="default" w:ascii="Times New Roman" w:hAnsi="Times New Roman" w:cs="Times New Roman"/>
          <w:sz w:val="24"/>
        </w:rPr>
        <w:t>一般规定</w:t>
      </w:r>
      <w:bookmarkEnd w:id="56"/>
      <w:bookmarkEnd w:id="57"/>
      <w:bookmarkEnd w:id="58"/>
    </w:p>
    <w:p w14:paraId="12B4E590">
      <w:pPr>
        <w:pStyle w:val="186"/>
        <w:numPr>
          <w:ilvl w:val="2"/>
          <w:numId w:val="21"/>
        </w:numPr>
        <w:spacing w:line="360" w:lineRule="auto"/>
        <w:ind w:left="0" w:firstLine="425" w:firstLineChars="0"/>
        <w:rPr>
          <w:rFonts w:hint="default" w:ascii="Times New Roman" w:hAnsi="Times New Roman" w:cs="Times New Roman"/>
          <w:sz w:val="24"/>
          <w:szCs w:val="32"/>
        </w:rPr>
      </w:pPr>
      <w:r>
        <w:rPr>
          <w:rFonts w:hint="default" w:ascii="Times New Roman" w:hAnsi="Times New Roman" w:cs="Times New Roman"/>
          <w:sz w:val="24"/>
          <w:szCs w:val="32"/>
        </w:rPr>
        <w:t>高延弹超薄罩面施工前，应按设计要求完成对原路面病害、标线等的处理。</w:t>
      </w:r>
    </w:p>
    <w:p w14:paraId="6A9BFAFA">
      <w:pPr>
        <w:pStyle w:val="186"/>
        <w:numPr>
          <w:ilvl w:val="2"/>
          <w:numId w:val="21"/>
        </w:numPr>
        <w:spacing w:line="360" w:lineRule="auto"/>
        <w:ind w:left="0" w:firstLine="425" w:firstLineChars="0"/>
        <w:rPr>
          <w:rFonts w:hint="default" w:ascii="Times New Roman" w:hAnsi="Times New Roman" w:cs="Times New Roman"/>
          <w:sz w:val="24"/>
          <w:szCs w:val="32"/>
        </w:rPr>
      </w:pPr>
      <w:r>
        <w:rPr>
          <w:rFonts w:hint="default" w:ascii="Times New Roman" w:hAnsi="Times New Roman" w:cs="Times New Roman"/>
          <w:sz w:val="24"/>
          <w:szCs w:val="32"/>
        </w:rPr>
        <w:t>高延弹超薄罩面应采用同步施工工艺，保证黏层与超薄罩面层用同一台施工设备同步喷洒和摊铺。</w:t>
      </w:r>
    </w:p>
    <w:p w14:paraId="794827FA">
      <w:pPr>
        <w:pStyle w:val="186"/>
        <w:numPr>
          <w:ilvl w:val="2"/>
          <w:numId w:val="21"/>
        </w:numPr>
        <w:spacing w:line="360" w:lineRule="auto"/>
        <w:ind w:left="0" w:firstLine="425" w:firstLineChars="0"/>
        <w:rPr>
          <w:rFonts w:hint="default" w:ascii="Times New Roman" w:hAnsi="Times New Roman" w:cs="Times New Roman"/>
          <w:sz w:val="24"/>
          <w:szCs w:val="32"/>
        </w:rPr>
      </w:pPr>
      <w:r>
        <w:rPr>
          <w:rFonts w:hint="default" w:ascii="Times New Roman" w:hAnsi="Times New Roman" w:cs="Times New Roman"/>
          <w:sz w:val="24"/>
          <w:szCs w:val="32"/>
        </w:rPr>
        <w:t>同步摊铺设备的关键装置及性能应符合表7.1.3的要求。</w:t>
      </w:r>
    </w:p>
    <w:p w14:paraId="017C587A">
      <w:pPr>
        <w:pStyle w:val="19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表7.1.3 同步摊铺设备关键装置</w:t>
      </w:r>
    </w:p>
    <w:tbl>
      <w:tblPr>
        <w:tblStyle w:val="40"/>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26"/>
        <w:gridCol w:w="1164"/>
        <w:gridCol w:w="1600"/>
        <w:gridCol w:w="3641"/>
        <w:gridCol w:w="1391"/>
      </w:tblGrid>
      <w:tr w14:paraId="36BE5E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 w:type="pct"/>
            <w:tcBorders>
              <w:top w:val="single" w:color="000000" w:sz="12" w:space="0"/>
              <w:bottom w:val="single" w:color="000000" w:sz="12" w:space="0"/>
            </w:tcBorders>
            <w:vAlign w:val="center"/>
          </w:tcPr>
          <w:p w14:paraId="3458FE81">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683" w:type="pct"/>
            <w:tcBorders>
              <w:top w:val="single" w:color="000000" w:sz="12" w:space="0"/>
              <w:bottom w:val="single" w:color="000000" w:sz="12" w:space="0"/>
            </w:tcBorders>
            <w:vAlign w:val="center"/>
          </w:tcPr>
          <w:p w14:paraId="55287048">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关键装置</w:t>
            </w:r>
          </w:p>
        </w:tc>
        <w:tc>
          <w:tcPr>
            <w:tcW w:w="939" w:type="pct"/>
            <w:tcBorders>
              <w:top w:val="single" w:color="000000" w:sz="12" w:space="0"/>
              <w:bottom w:val="single" w:color="000000" w:sz="12" w:space="0"/>
            </w:tcBorders>
          </w:tcPr>
          <w:p w14:paraId="0B6856B2">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主要装置</w:t>
            </w:r>
          </w:p>
        </w:tc>
        <w:tc>
          <w:tcPr>
            <w:tcW w:w="2136" w:type="pct"/>
            <w:tcBorders>
              <w:top w:val="single" w:color="000000" w:sz="12" w:space="0"/>
              <w:bottom w:val="single" w:color="000000" w:sz="12" w:space="0"/>
            </w:tcBorders>
          </w:tcPr>
          <w:p w14:paraId="3CD2AAA7">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技术要求</w:t>
            </w:r>
          </w:p>
        </w:tc>
        <w:tc>
          <w:tcPr>
            <w:tcW w:w="817" w:type="pct"/>
            <w:tcBorders>
              <w:top w:val="single" w:color="000000" w:sz="12" w:space="0"/>
              <w:bottom w:val="single" w:color="000000" w:sz="12" w:space="0"/>
            </w:tcBorders>
            <w:vAlign w:val="center"/>
          </w:tcPr>
          <w:p w14:paraId="78E9A726">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备注</w:t>
            </w:r>
          </w:p>
        </w:tc>
      </w:tr>
      <w:tr w14:paraId="1F0C81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 w:type="pct"/>
            <w:tcBorders>
              <w:top w:val="single" w:color="000000" w:sz="12" w:space="0"/>
            </w:tcBorders>
            <w:vAlign w:val="center"/>
          </w:tcPr>
          <w:p w14:paraId="404AC42A">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683" w:type="pct"/>
            <w:tcBorders>
              <w:top w:val="single" w:color="000000" w:sz="12" w:space="0"/>
            </w:tcBorders>
            <w:vAlign w:val="center"/>
          </w:tcPr>
          <w:p w14:paraId="0F5464B7">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乳化沥青喷洒装置</w:t>
            </w:r>
          </w:p>
        </w:tc>
        <w:tc>
          <w:tcPr>
            <w:tcW w:w="939" w:type="pct"/>
            <w:tcBorders>
              <w:top w:val="single" w:color="000000" w:sz="12" w:space="0"/>
            </w:tcBorders>
          </w:tcPr>
          <w:p w14:paraId="33A871B6">
            <w:pPr>
              <w:pStyle w:val="186"/>
              <w:ind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乳化沥青罐、沥青罐加热装置、乳化沥青抽吸泵、管路自动压力清洗装置、喷洒杆和控制装置</w:t>
            </w:r>
          </w:p>
        </w:tc>
        <w:tc>
          <w:tcPr>
            <w:tcW w:w="2136" w:type="pct"/>
            <w:tcBorders>
              <w:top w:val="single" w:color="000000" w:sz="12" w:space="0"/>
            </w:tcBorders>
          </w:tcPr>
          <w:p w14:paraId="50F51B11">
            <w:pPr>
              <w:pStyle w:val="186"/>
              <w:numPr>
                <w:ilvl w:val="0"/>
                <w:numId w:val="22"/>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不少于5根喷洒杆；</w:t>
            </w:r>
          </w:p>
          <w:p w14:paraId="1186267F">
            <w:pPr>
              <w:pStyle w:val="186"/>
              <w:numPr>
                <w:ilvl w:val="0"/>
                <w:numId w:val="22"/>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喷嘴和喷洒管路能够自动压力清洗并单独控制；</w:t>
            </w:r>
          </w:p>
          <w:p w14:paraId="1F1304E5">
            <w:pPr>
              <w:pStyle w:val="186"/>
              <w:numPr>
                <w:ilvl w:val="0"/>
                <w:numId w:val="22"/>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能够精确控制喷洒的开始和结束位置；</w:t>
            </w:r>
          </w:p>
          <w:p w14:paraId="274A46F3">
            <w:pPr>
              <w:pStyle w:val="186"/>
              <w:numPr>
                <w:ilvl w:val="0"/>
                <w:numId w:val="22"/>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乳化沥青罐自带加热保温装置；</w:t>
            </w:r>
          </w:p>
          <w:p w14:paraId="51E5FC59">
            <w:pPr>
              <w:pStyle w:val="186"/>
              <w:numPr>
                <w:ilvl w:val="0"/>
                <w:numId w:val="22"/>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喷洒为脉冲式非连续式；</w:t>
            </w:r>
          </w:p>
          <w:p w14:paraId="601F138E">
            <w:pPr>
              <w:pStyle w:val="186"/>
              <w:numPr>
                <w:ilvl w:val="0"/>
                <w:numId w:val="22"/>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喷洒量范围为0.3~1.6Lm</w:t>
            </w:r>
            <w:r>
              <w:rPr>
                <w:rFonts w:hint="default" w:ascii="Times New Roman" w:hAnsi="Times New Roman" w:eastAsia="宋体" w:cs="Times New Roman"/>
                <w:szCs w:val="21"/>
                <w:vertAlign w:val="superscript"/>
              </w:rPr>
              <w:t>2</w:t>
            </w:r>
            <w:r>
              <w:rPr>
                <w:rFonts w:hint="default" w:ascii="Times New Roman" w:hAnsi="Times New Roman" w:eastAsia="宋体" w:cs="Times New Roman"/>
                <w:szCs w:val="21"/>
              </w:rPr>
              <w:t>。</w:t>
            </w:r>
          </w:p>
        </w:tc>
        <w:tc>
          <w:tcPr>
            <w:tcW w:w="817" w:type="pct"/>
            <w:tcBorders>
              <w:top w:val="single" w:color="000000" w:sz="12" w:space="0"/>
            </w:tcBorders>
            <w:vAlign w:val="center"/>
          </w:tcPr>
          <w:p w14:paraId="233E1085">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实现乳化沥青准确计量和均匀洒布</w:t>
            </w:r>
          </w:p>
        </w:tc>
      </w:tr>
      <w:tr w14:paraId="2703DF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 w:type="pct"/>
            <w:vAlign w:val="center"/>
          </w:tcPr>
          <w:p w14:paraId="3DC94FA6">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683" w:type="pct"/>
            <w:vAlign w:val="center"/>
          </w:tcPr>
          <w:p w14:paraId="6F0163A0">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摊铺装置</w:t>
            </w:r>
          </w:p>
        </w:tc>
        <w:tc>
          <w:tcPr>
            <w:tcW w:w="939" w:type="pct"/>
          </w:tcPr>
          <w:p w14:paraId="2357E68A">
            <w:pPr>
              <w:pStyle w:val="186"/>
              <w:ind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伸缩熨平板</w:t>
            </w:r>
          </w:p>
        </w:tc>
        <w:tc>
          <w:tcPr>
            <w:tcW w:w="2136" w:type="pct"/>
          </w:tcPr>
          <w:p w14:paraId="5E64FC3A">
            <w:pPr>
              <w:pStyle w:val="186"/>
              <w:numPr>
                <w:ilvl w:val="0"/>
                <w:numId w:val="23"/>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基本宽度为2.5m及2.5m以上，可液压伸缩至5m及5m以上；</w:t>
            </w:r>
          </w:p>
          <w:p w14:paraId="2271218C">
            <w:pPr>
              <w:pStyle w:val="186"/>
              <w:numPr>
                <w:ilvl w:val="0"/>
                <w:numId w:val="23"/>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熨平板为电加热；</w:t>
            </w:r>
          </w:p>
          <w:p w14:paraId="1120F9F9">
            <w:pPr>
              <w:pStyle w:val="186"/>
              <w:numPr>
                <w:ilvl w:val="0"/>
                <w:numId w:val="23"/>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熨平板装备夯锤；</w:t>
            </w:r>
          </w:p>
          <w:p w14:paraId="7E3407E2">
            <w:pPr>
              <w:pStyle w:val="186"/>
              <w:numPr>
                <w:ilvl w:val="0"/>
                <w:numId w:val="23"/>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熨平板装备振动器</w:t>
            </w:r>
          </w:p>
        </w:tc>
        <w:tc>
          <w:tcPr>
            <w:tcW w:w="817" w:type="pct"/>
            <w:vAlign w:val="center"/>
          </w:tcPr>
          <w:p w14:paraId="2D1F5B72">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对沥青混合料进行输送和整平、整形和预压实</w:t>
            </w:r>
          </w:p>
        </w:tc>
      </w:tr>
      <w:tr w14:paraId="1BDB4C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 w:type="pct"/>
            <w:vAlign w:val="center"/>
          </w:tcPr>
          <w:p w14:paraId="5A920B15">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683" w:type="pct"/>
            <w:vAlign w:val="center"/>
          </w:tcPr>
          <w:p w14:paraId="2FC01865">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料斗及输料装置</w:t>
            </w:r>
          </w:p>
        </w:tc>
        <w:tc>
          <w:tcPr>
            <w:tcW w:w="939" w:type="pct"/>
          </w:tcPr>
          <w:p w14:paraId="7774A684">
            <w:pPr>
              <w:pStyle w:val="186"/>
              <w:ind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大型料斗、搅龙及输料器</w:t>
            </w:r>
          </w:p>
        </w:tc>
        <w:tc>
          <w:tcPr>
            <w:tcW w:w="2136" w:type="pct"/>
          </w:tcPr>
          <w:p w14:paraId="32CEF30D">
            <w:pPr>
              <w:pStyle w:val="186"/>
              <w:numPr>
                <w:ilvl w:val="0"/>
                <w:numId w:val="24"/>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料斗容量大于或等于13t；</w:t>
            </w:r>
          </w:p>
          <w:p w14:paraId="31376905">
            <w:pPr>
              <w:pStyle w:val="186"/>
              <w:numPr>
                <w:ilvl w:val="0"/>
                <w:numId w:val="24"/>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无级变速、液压驱动的输料器；</w:t>
            </w:r>
          </w:p>
          <w:p w14:paraId="0ADC58BE">
            <w:pPr>
              <w:pStyle w:val="186"/>
              <w:numPr>
                <w:ilvl w:val="0"/>
                <w:numId w:val="24"/>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无级变速、液压驱动的搅龙；</w:t>
            </w:r>
          </w:p>
          <w:p w14:paraId="51250F43">
            <w:pPr>
              <w:pStyle w:val="186"/>
              <w:numPr>
                <w:ilvl w:val="0"/>
                <w:numId w:val="24"/>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搅龙高度可液压调节，可反向运行</w:t>
            </w:r>
          </w:p>
        </w:tc>
        <w:tc>
          <w:tcPr>
            <w:tcW w:w="817" w:type="pct"/>
            <w:vAlign w:val="center"/>
          </w:tcPr>
          <w:p w14:paraId="15C75A2E">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实现混合料的接收、输送及布置</w:t>
            </w:r>
          </w:p>
        </w:tc>
      </w:tr>
      <w:tr w14:paraId="56AA4A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426" w:type="pct"/>
            <w:vAlign w:val="center"/>
          </w:tcPr>
          <w:p w14:paraId="4707819E">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683" w:type="pct"/>
            <w:vAlign w:val="center"/>
          </w:tcPr>
          <w:p w14:paraId="0604679D">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行走装置</w:t>
            </w:r>
          </w:p>
        </w:tc>
        <w:tc>
          <w:tcPr>
            <w:tcW w:w="939" w:type="pct"/>
          </w:tcPr>
          <w:p w14:paraId="7207A402">
            <w:pPr>
              <w:pStyle w:val="186"/>
              <w:ind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履带、行走驱动</w:t>
            </w:r>
          </w:p>
        </w:tc>
        <w:tc>
          <w:tcPr>
            <w:tcW w:w="2136" w:type="pct"/>
          </w:tcPr>
          <w:p w14:paraId="4D7156E1">
            <w:pPr>
              <w:pStyle w:val="186"/>
              <w:numPr>
                <w:ilvl w:val="0"/>
                <w:numId w:val="25"/>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摊铺及行走速度为无级变速；</w:t>
            </w:r>
          </w:p>
          <w:p w14:paraId="010DEFF9">
            <w:pPr>
              <w:pStyle w:val="186"/>
              <w:numPr>
                <w:ilvl w:val="0"/>
                <w:numId w:val="25"/>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行走液压独立驱动；</w:t>
            </w:r>
          </w:p>
          <w:p w14:paraId="2A2BE6DA">
            <w:pPr>
              <w:pStyle w:val="186"/>
              <w:numPr>
                <w:ilvl w:val="0"/>
                <w:numId w:val="25"/>
              </w:numPr>
              <w:ind w:firstLineChars="0"/>
              <w:rPr>
                <w:rFonts w:hint="default" w:ascii="Times New Roman" w:hAnsi="Times New Roman" w:eastAsia="宋体" w:cs="Times New Roman"/>
                <w:szCs w:val="21"/>
              </w:rPr>
            </w:pPr>
            <w:r>
              <w:rPr>
                <w:rFonts w:hint="default" w:ascii="Times New Roman" w:hAnsi="Times New Roman" w:eastAsia="宋体" w:cs="Times New Roman"/>
                <w:szCs w:val="21"/>
              </w:rPr>
              <w:t>匀速平稳行驶</w:t>
            </w:r>
          </w:p>
        </w:tc>
        <w:tc>
          <w:tcPr>
            <w:tcW w:w="817" w:type="pct"/>
            <w:vAlign w:val="center"/>
          </w:tcPr>
          <w:p w14:paraId="7143F210">
            <w:pPr>
              <w:pStyle w:val="186"/>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实现摊铺机的匀速平稳行驶</w:t>
            </w:r>
          </w:p>
        </w:tc>
      </w:tr>
    </w:tbl>
    <w:p w14:paraId="17EDAC38">
      <w:pPr>
        <w:pStyle w:val="186"/>
        <w:numPr>
          <w:ilvl w:val="2"/>
          <w:numId w:val="21"/>
        </w:numPr>
        <w:spacing w:line="360" w:lineRule="auto"/>
        <w:ind w:left="0" w:firstLine="425" w:firstLineChars="0"/>
        <w:rPr>
          <w:rFonts w:hint="default" w:ascii="Times New Roman" w:hAnsi="Times New Roman" w:cs="Times New Roman"/>
          <w:sz w:val="24"/>
          <w:szCs w:val="32"/>
        </w:rPr>
      </w:pPr>
      <w:r>
        <w:rPr>
          <w:rFonts w:hint="default" w:ascii="Times New Roman" w:hAnsi="Times New Roman" w:cs="Times New Roman"/>
          <w:sz w:val="24"/>
          <w:szCs w:val="32"/>
        </w:rPr>
        <w:t>施工前应对各类施工设备和机具进行调试，对机械设备的配置情况、技术性能、关键部件等进行检查及标定，以确保保持良好的工作状态。</w:t>
      </w:r>
    </w:p>
    <w:p w14:paraId="6DBA8A7A">
      <w:pPr>
        <w:pStyle w:val="186"/>
        <w:numPr>
          <w:ilvl w:val="2"/>
          <w:numId w:val="21"/>
        </w:numPr>
        <w:spacing w:line="360" w:lineRule="auto"/>
        <w:ind w:left="0" w:firstLine="425" w:firstLineChars="0"/>
        <w:rPr>
          <w:rFonts w:hint="default" w:ascii="Times New Roman" w:hAnsi="Times New Roman" w:cs="Times New Roman"/>
          <w:sz w:val="24"/>
          <w:szCs w:val="32"/>
        </w:rPr>
      </w:pPr>
      <w:r>
        <w:rPr>
          <w:rFonts w:hint="default" w:ascii="Times New Roman" w:hAnsi="Times New Roman" w:cs="Times New Roman"/>
          <w:sz w:val="24"/>
          <w:szCs w:val="32"/>
        </w:rPr>
        <w:t>同步摊铺机出现下列情况时，应进行标定：</w:t>
      </w:r>
    </w:p>
    <w:p w14:paraId="69673164">
      <w:pPr>
        <w:pStyle w:val="186"/>
        <w:numPr>
          <w:ilvl w:val="0"/>
          <w:numId w:val="26"/>
        </w:numPr>
        <w:spacing w:line="360" w:lineRule="auto"/>
        <w:ind w:firstLineChars="0"/>
        <w:rPr>
          <w:rFonts w:hint="default" w:ascii="Times New Roman" w:hAnsi="Times New Roman" w:cs="Times New Roman"/>
          <w:sz w:val="24"/>
          <w:szCs w:val="32"/>
        </w:rPr>
      </w:pPr>
      <w:r>
        <w:rPr>
          <w:rFonts w:hint="default" w:ascii="Times New Roman" w:hAnsi="Times New Roman" w:cs="Times New Roman"/>
          <w:sz w:val="24"/>
          <w:szCs w:val="32"/>
        </w:rPr>
        <w:t>机械每年第一次使用时；</w:t>
      </w:r>
    </w:p>
    <w:p w14:paraId="1668F629">
      <w:pPr>
        <w:pStyle w:val="186"/>
        <w:numPr>
          <w:ilvl w:val="0"/>
          <w:numId w:val="26"/>
        </w:numPr>
        <w:spacing w:line="360" w:lineRule="auto"/>
        <w:ind w:firstLineChars="0"/>
        <w:rPr>
          <w:rFonts w:hint="default" w:ascii="Times New Roman" w:hAnsi="Times New Roman" w:cs="Times New Roman"/>
          <w:sz w:val="24"/>
          <w:szCs w:val="32"/>
        </w:rPr>
      </w:pPr>
      <w:r>
        <w:rPr>
          <w:rFonts w:hint="default" w:ascii="Times New Roman" w:hAnsi="Times New Roman" w:cs="Times New Roman"/>
          <w:sz w:val="24"/>
          <w:szCs w:val="32"/>
        </w:rPr>
        <w:t>新工程开工前；</w:t>
      </w:r>
    </w:p>
    <w:p w14:paraId="7B4BF07D">
      <w:pPr>
        <w:pStyle w:val="186"/>
        <w:numPr>
          <w:ilvl w:val="0"/>
          <w:numId w:val="26"/>
        </w:numPr>
        <w:spacing w:line="360" w:lineRule="auto"/>
        <w:ind w:firstLineChars="0"/>
        <w:rPr>
          <w:rFonts w:hint="default" w:ascii="Times New Roman" w:hAnsi="Times New Roman" w:cs="Times New Roman"/>
          <w:sz w:val="24"/>
          <w:szCs w:val="32"/>
        </w:rPr>
      </w:pPr>
      <w:r>
        <w:rPr>
          <w:rFonts w:hint="default" w:ascii="Times New Roman" w:hAnsi="Times New Roman" w:cs="Times New Roman"/>
          <w:sz w:val="24"/>
          <w:szCs w:val="32"/>
        </w:rPr>
        <w:t>原材料性质和用量发生较大变化时。</w:t>
      </w:r>
    </w:p>
    <w:p w14:paraId="336AFCF4">
      <w:pPr>
        <w:pStyle w:val="186"/>
        <w:numPr>
          <w:ilvl w:val="2"/>
          <w:numId w:val="21"/>
        </w:numPr>
        <w:spacing w:line="360" w:lineRule="auto"/>
        <w:ind w:left="0" w:firstLine="426" w:firstLineChars="0"/>
        <w:rPr>
          <w:rFonts w:hint="default" w:ascii="Times New Roman" w:hAnsi="Times New Roman" w:cs="Times New Roman"/>
          <w:sz w:val="24"/>
          <w:szCs w:val="32"/>
        </w:rPr>
      </w:pPr>
      <w:r>
        <w:rPr>
          <w:rFonts w:hint="default" w:ascii="Times New Roman" w:hAnsi="Times New Roman" w:cs="Times New Roman"/>
          <w:sz w:val="24"/>
          <w:szCs w:val="32"/>
        </w:rPr>
        <w:t>高延弹沥青混合料的施工温度应符合表7.1.4的规定。</w:t>
      </w:r>
    </w:p>
    <w:p w14:paraId="2A76FD3A">
      <w:pPr>
        <w:pStyle w:val="19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表7.1.4高延弹沥青混合料的施工全过程的温度范围</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296"/>
        <w:gridCol w:w="4040"/>
      </w:tblGrid>
      <w:tr w14:paraId="2F455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tcPr>
          <w:p w14:paraId="31DD52B8">
            <w:pPr>
              <w:pStyle w:val="192"/>
              <w:rPr>
                <w:rFonts w:hint="default" w:ascii="Times New Roman" w:hAnsi="Times New Roman" w:cs="Times New Roman"/>
                <w:spacing w:val="-2"/>
                <w:szCs w:val="18"/>
              </w:rPr>
            </w:pPr>
            <w:r>
              <w:rPr>
                <w:rFonts w:hint="default" w:ascii="Times New Roman" w:hAnsi="Times New Roman" w:cs="Times New Roman"/>
                <w:spacing w:val="-2"/>
                <w:szCs w:val="18"/>
              </w:rPr>
              <w:t>工序</w:t>
            </w:r>
          </w:p>
        </w:tc>
        <w:tc>
          <w:tcPr>
            <w:tcW w:w="2423" w:type="pct"/>
            <w:shd w:val="clear" w:color="auto" w:fill="auto"/>
          </w:tcPr>
          <w:p w14:paraId="12BB1C9C">
            <w:pPr>
              <w:pStyle w:val="192"/>
              <w:rPr>
                <w:rFonts w:hint="default" w:ascii="Times New Roman" w:hAnsi="Times New Roman" w:cs="Times New Roman"/>
                <w:spacing w:val="-2"/>
                <w:szCs w:val="18"/>
              </w:rPr>
            </w:pPr>
            <w:r>
              <w:rPr>
                <w:rFonts w:hint="default" w:ascii="Times New Roman" w:hAnsi="Times New Roman" w:cs="Times New Roman"/>
                <w:spacing w:val="-2"/>
                <w:szCs w:val="18"/>
              </w:rPr>
              <w:t>温度范围/℃</w:t>
            </w:r>
          </w:p>
        </w:tc>
      </w:tr>
      <w:tr w14:paraId="5FC52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vAlign w:val="center"/>
          </w:tcPr>
          <w:p w14:paraId="410DFE75">
            <w:pPr>
              <w:pStyle w:val="192"/>
              <w:rPr>
                <w:rFonts w:hint="default" w:ascii="Times New Roman" w:hAnsi="Times New Roman" w:cs="Times New Roman"/>
                <w:spacing w:val="-2"/>
                <w:szCs w:val="18"/>
              </w:rPr>
            </w:pPr>
            <w:r>
              <w:rPr>
                <w:rFonts w:hint="default" w:ascii="Times New Roman" w:hAnsi="Times New Roman" w:cs="Times New Roman"/>
                <w:spacing w:val="-2"/>
                <w:szCs w:val="18"/>
              </w:rPr>
              <w:t>高延弹改性沥青加热温度</w:t>
            </w:r>
          </w:p>
        </w:tc>
        <w:tc>
          <w:tcPr>
            <w:tcW w:w="2423" w:type="pct"/>
            <w:shd w:val="clear" w:color="auto" w:fill="auto"/>
          </w:tcPr>
          <w:p w14:paraId="50E79828">
            <w:pPr>
              <w:pStyle w:val="192"/>
              <w:rPr>
                <w:rFonts w:hint="default" w:ascii="Times New Roman" w:hAnsi="Times New Roman" w:cs="Times New Roman"/>
                <w:spacing w:val="-2"/>
                <w:szCs w:val="18"/>
              </w:rPr>
            </w:pPr>
            <w:r>
              <w:rPr>
                <w:rFonts w:hint="default" w:ascii="Times New Roman" w:hAnsi="Times New Roman" w:cs="Times New Roman"/>
                <w:spacing w:val="-2"/>
                <w:szCs w:val="18"/>
              </w:rPr>
              <w:t>160~180</w:t>
            </w:r>
          </w:p>
        </w:tc>
      </w:tr>
      <w:tr w14:paraId="69484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tcPr>
          <w:p w14:paraId="0772B75A">
            <w:pPr>
              <w:pStyle w:val="192"/>
              <w:rPr>
                <w:rFonts w:hint="default" w:ascii="Times New Roman" w:hAnsi="Times New Roman" w:cs="Times New Roman"/>
                <w:spacing w:val="-2"/>
                <w:szCs w:val="18"/>
              </w:rPr>
            </w:pPr>
            <w:r>
              <w:rPr>
                <w:rFonts w:hint="default" w:ascii="Times New Roman" w:hAnsi="Times New Roman" w:cs="Times New Roman"/>
                <w:spacing w:val="-2"/>
                <w:szCs w:val="18"/>
              </w:rPr>
              <w:t>集料加热温度</w:t>
            </w:r>
          </w:p>
        </w:tc>
        <w:tc>
          <w:tcPr>
            <w:tcW w:w="2423" w:type="pct"/>
            <w:shd w:val="clear" w:color="auto" w:fill="auto"/>
          </w:tcPr>
          <w:p w14:paraId="56F0A720">
            <w:pPr>
              <w:pStyle w:val="192"/>
              <w:rPr>
                <w:rFonts w:hint="default" w:ascii="Times New Roman" w:hAnsi="Times New Roman" w:cs="Times New Roman"/>
                <w:spacing w:val="-2"/>
                <w:szCs w:val="18"/>
              </w:rPr>
            </w:pPr>
            <w:r>
              <w:rPr>
                <w:rFonts w:hint="default" w:ascii="Times New Roman" w:hAnsi="Times New Roman" w:cs="Times New Roman"/>
                <w:spacing w:val="-2"/>
                <w:szCs w:val="18"/>
              </w:rPr>
              <w:t>180~200</w:t>
            </w:r>
          </w:p>
        </w:tc>
      </w:tr>
      <w:tr w14:paraId="25415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tcPr>
          <w:p w14:paraId="16241854">
            <w:pPr>
              <w:pStyle w:val="192"/>
              <w:rPr>
                <w:rFonts w:hint="default" w:ascii="Times New Roman" w:hAnsi="Times New Roman" w:cs="Times New Roman"/>
                <w:spacing w:val="-2"/>
                <w:szCs w:val="18"/>
              </w:rPr>
            </w:pPr>
            <w:r>
              <w:rPr>
                <w:rFonts w:hint="default" w:ascii="Times New Roman" w:hAnsi="Times New Roman" w:cs="Times New Roman"/>
                <w:spacing w:val="-2"/>
                <w:szCs w:val="18"/>
              </w:rPr>
              <w:t>拌和温度</w:t>
            </w:r>
          </w:p>
        </w:tc>
        <w:tc>
          <w:tcPr>
            <w:tcW w:w="2423" w:type="pct"/>
            <w:shd w:val="clear" w:color="auto" w:fill="auto"/>
          </w:tcPr>
          <w:p w14:paraId="01C60884">
            <w:pPr>
              <w:pStyle w:val="192"/>
              <w:rPr>
                <w:rFonts w:hint="default" w:ascii="Times New Roman" w:hAnsi="Times New Roman" w:cs="Times New Roman"/>
                <w:spacing w:val="-2"/>
                <w:szCs w:val="18"/>
              </w:rPr>
            </w:pPr>
            <w:r>
              <w:rPr>
                <w:rFonts w:hint="default" w:ascii="Times New Roman" w:hAnsi="Times New Roman" w:cs="Times New Roman"/>
                <w:spacing w:val="-2"/>
                <w:szCs w:val="18"/>
              </w:rPr>
              <w:t>175~185</w:t>
            </w:r>
          </w:p>
        </w:tc>
      </w:tr>
      <w:tr w14:paraId="10A4C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tcPr>
          <w:p w14:paraId="56349FCB">
            <w:pPr>
              <w:pStyle w:val="192"/>
              <w:rPr>
                <w:rFonts w:hint="default" w:ascii="Times New Roman" w:hAnsi="Times New Roman" w:cs="Times New Roman"/>
                <w:spacing w:val="-2"/>
                <w:szCs w:val="18"/>
              </w:rPr>
            </w:pPr>
            <w:r>
              <w:rPr>
                <w:rFonts w:hint="default" w:ascii="Times New Roman" w:hAnsi="Times New Roman" w:cs="Times New Roman"/>
                <w:spacing w:val="-2"/>
                <w:szCs w:val="18"/>
              </w:rPr>
              <w:t>出厂温度</w:t>
            </w:r>
          </w:p>
        </w:tc>
        <w:tc>
          <w:tcPr>
            <w:tcW w:w="2423" w:type="pct"/>
            <w:shd w:val="clear" w:color="auto" w:fill="auto"/>
          </w:tcPr>
          <w:p w14:paraId="3BE30E35">
            <w:pPr>
              <w:pStyle w:val="192"/>
              <w:rPr>
                <w:rFonts w:hint="default" w:ascii="Times New Roman" w:hAnsi="Times New Roman" w:cs="Times New Roman"/>
                <w:spacing w:val="-2"/>
                <w:szCs w:val="18"/>
              </w:rPr>
            </w:pPr>
            <w:r>
              <w:rPr>
                <w:rFonts w:hint="default" w:ascii="Times New Roman" w:hAnsi="Times New Roman" w:cs="Times New Roman"/>
                <w:spacing w:val="-2"/>
                <w:szCs w:val="18"/>
              </w:rPr>
              <w:t>175~185</w:t>
            </w:r>
          </w:p>
        </w:tc>
      </w:tr>
      <w:tr w14:paraId="3C01C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tcPr>
          <w:p w14:paraId="1CF80E73">
            <w:pPr>
              <w:pStyle w:val="192"/>
              <w:rPr>
                <w:rFonts w:hint="default" w:ascii="Times New Roman" w:hAnsi="Times New Roman" w:cs="Times New Roman"/>
                <w:spacing w:val="-2"/>
                <w:szCs w:val="18"/>
              </w:rPr>
            </w:pPr>
            <w:r>
              <w:rPr>
                <w:rFonts w:hint="default" w:ascii="Times New Roman" w:hAnsi="Times New Roman" w:cs="Times New Roman"/>
                <w:spacing w:val="-2"/>
                <w:szCs w:val="18"/>
              </w:rPr>
              <w:t>混合料到场温度</w:t>
            </w:r>
          </w:p>
        </w:tc>
        <w:tc>
          <w:tcPr>
            <w:tcW w:w="2423" w:type="pct"/>
            <w:shd w:val="clear" w:color="auto" w:fill="auto"/>
          </w:tcPr>
          <w:p w14:paraId="734F15BC">
            <w:pPr>
              <w:pStyle w:val="192"/>
              <w:rPr>
                <w:rFonts w:hint="default" w:ascii="Times New Roman" w:hAnsi="Times New Roman" w:cs="Times New Roman"/>
                <w:spacing w:val="-2"/>
                <w:szCs w:val="18"/>
              </w:rPr>
            </w:pPr>
            <w:r>
              <w:rPr>
                <w:rFonts w:hint="default" w:ascii="Times New Roman" w:hAnsi="Times New Roman" w:cs="Times New Roman"/>
                <w:spacing w:val="-2"/>
                <w:szCs w:val="18"/>
              </w:rPr>
              <w:t>拌和出料后降低不超过10℃</w:t>
            </w:r>
          </w:p>
        </w:tc>
      </w:tr>
      <w:tr w14:paraId="7E5AA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tcPr>
          <w:p w14:paraId="2AC2AA02">
            <w:pPr>
              <w:pStyle w:val="192"/>
              <w:rPr>
                <w:rFonts w:hint="default" w:ascii="Times New Roman" w:hAnsi="Times New Roman" w:cs="Times New Roman"/>
                <w:spacing w:val="-2"/>
                <w:szCs w:val="18"/>
              </w:rPr>
            </w:pPr>
            <w:r>
              <w:rPr>
                <w:rFonts w:hint="default" w:ascii="Times New Roman" w:hAnsi="Times New Roman" w:cs="Times New Roman"/>
                <w:spacing w:val="-2"/>
                <w:szCs w:val="18"/>
              </w:rPr>
              <w:t>摊铺温度</w:t>
            </w:r>
          </w:p>
        </w:tc>
        <w:tc>
          <w:tcPr>
            <w:tcW w:w="2423" w:type="pct"/>
            <w:shd w:val="clear" w:color="auto" w:fill="auto"/>
          </w:tcPr>
          <w:p w14:paraId="0900CA39">
            <w:pPr>
              <w:pStyle w:val="192"/>
              <w:rPr>
                <w:rFonts w:hint="default" w:ascii="Times New Roman" w:hAnsi="Times New Roman" w:cs="Times New Roman"/>
                <w:spacing w:val="-2"/>
                <w:szCs w:val="18"/>
              </w:rPr>
            </w:pPr>
            <w:r>
              <w:rPr>
                <w:rFonts w:hint="default" w:ascii="Times New Roman" w:hAnsi="Times New Roman" w:cs="Times New Roman"/>
                <w:spacing w:val="-2"/>
                <w:szCs w:val="18"/>
              </w:rPr>
              <w:t>≥160</w:t>
            </w:r>
          </w:p>
        </w:tc>
      </w:tr>
      <w:tr w14:paraId="4DCFC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tcPr>
          <w:p w14:paraId="7707AE00">
            <w:pPr>
              <w:pStyle w:val="192"/>
              <w:rPr>
                <w:rFonts w:hint="default" w:ascii="Times New Roman" w:hAnsi="Times New Roman" w:cs="Times New Roman"/>
                <w:spacing w:val="-2"/>
                <w:szCs w:val="18"/>
              </w:rPr>
            </w:pPr>
            <w:r>
              <w:rPr>
                <w:rFonts w:hint="default" w:ascii="Times New Roman" w:hAnsi="Times New Roman" w:cs="Times New Roman"/>
                <w:spacing w:val="-2"/>
                <w:szCs w:val="18"/>
              </w:rPr>
              <w:t>初压开始温度</w:t>
            </w:r>
          </w:p>
        </w:tc>
        <w:tc>
          <w:tcPr>
            <w:tcW w:w="2423" w:type="pct"/>
            <w:shd w:val="clear" w:color="auto" w:fill="auto"/>
          </w:tcPr>
          <w:p w14:paraId="7CAB2C4F">
            <w:pPr>
              <w:pStyle w:val="192"/>
              <w:rPr>
                <w:rFonts w:hint="default" w:ascii="Times New Roman" w:hAnsi="Times New Roman" w:cs="Times New Roman"/>
                <w:spacing w:val="-2"/>
                <w:szCs w:val="18"/>
              </w:rPr>
            </w:pPr>
            <w:r>
              <w:rPr>
                <w:rFonts w:hint="default" w:ascii="Times New Roman" w:hAnsi="Times New Roman" w:cs="Times New Roman"/>
                <w:spacing w:val="-2"/>
                <w:szCs w:val="18"/>
              </w:rPr>
              <w:t>≥150</w:t>
            </w:r>
          </w:p>
        </w:tc>
      </w:tr>
      <w:tr w14:paraId="120E2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577" w:type="pct"/>
            <w:shd w:val="clear" w:color="auto" w:fill="auto"/>
          </w:tcPr>
          <w:p w14:paraId="37C6C615">
            <w:pPr>
              <w:pStyle w:val="192"/>
              <w:rPr>
                <w:rFonts w:hint="default" w:ascii="Times New Roman" w:hAnsi="Times New Roman" w:cs="Times New Roman"/>
                <w:spacing w:val="-2"/>
                <w:szCs w:val="18"/>
              </w:rPr>
            </w:pPr>
            <w:r>
              <w:rPr>
                <w:rFonts w:hint="default" w:ascii="Times New Roman" w:hAnsi="Times New Roman" w:cs="Times New Roman"/>
                <w:spacing w:val="-2"/>
                <w:szCs w:val="18"/>
              </w:rPr>
              <w:t>开放交通时的路表温度</w:t>
            </w:r>
          </w:p>
        </w:tc>
        <w:tc>
          <w:tcPr>
            <w:tcW w:w="2423" w:type="pct"/>
            <w:shd w:val="clear" w:color="auto" w:fill="auto"/>
          </w:tcPr>
          <w:p w14:paraId="5FA9D99C">
            <w:pPr>
              <w:pStyle w:val="192"/>
              <w:rPr>
                <w:rFonts w:hint="default" w:ascii="Times New Roman" w:hAnsi="Times New Roman" w:cs="Times New Roman"/>
                <w:spacing w:val="-2"/>
                <w:szCs w:val="18"/>
              </w:rPr>
            </w:pPr>
            <w:r>
              <w:rPr>
                <w:rFonts w:hint="default" w:ascii="Times New Roman" w:hAnsi="Times New Roman" w:cs="Times New Roman"/>
                <w:spacing w:val="-2"/>
                <w:szCs w:val="18"/>
              </w:rPr>
              <w:t>≤50</w:t>
            </w:r>
          </w:p>
        </w:tc>
      </w:tr>
    </w:tbl>
    <w:p w14:paraId="4435FB11">
      <w:pPr>
        <w:pStyle w:val="186"/>
        <w:numPr>
          <w:ilvl w:val="2"/>
          <w:numId w:val="21"/>
        </w:numPr>
        <w:spacing w:line="360" w:lineRule="auto"/>
        <w:ind w:left="0" w:firstLine="426" w:firstLineChars="0"/>
        <w:rPr>
          <w:rFonts w:hint="default" w:ascii="Times New Roman" w:hAnsi="Times New Roman" w:cs="Times New Roman"/>
          <w:sz w:val="24"/>
          <w:szCs w:val="32"/>
        </w:rPr>
      </w:pPr>
      <w:r>
        <w:rPr>
          <w:rFonts w:hint="default" w:ascii="Times New Roman" w:hAnsi="Times New Roman" w:cs="Times New Roman"/>
          <w:sz w:val="24"/>
          <w:szCs w:val="32"/>
        </w:rPr>
        <w:t>应按生产配合比进行试拌，铺筑试验段，试验段长度不宜小于200m。应通过试验段确定的标准配合比和施工工艺，经监理或业主认可后作为正式施工依据，施工过程中不得随意更改。</w:t>
      </w:r>
    </w:p>
    <w:p w14:paraId="182FB762">
      <w:pPr>
        <w:pStyle w:val="186"/>
        <w:numPr>
          <w:ilvl w:val="2"/>
          <w:numId w:val="21"/>
        </w:numPr>
        <w:spacing w:line="360" w:lineRule="auto"/>
        <w:ind w:left="0" w:firstLine="425" w:firstLineChars="0"/>
        <w:rPr>
          <w:rFonts w:hint="default" w:ascii="Times New Roman" w:hAnsi="Times New Roman" w:cs="Times New Roman"/>
          <w:sz w:val="24"/>
          <w:szCs w:val="32"/>
        </w:rPr>
      </w:pPr>
      <w:r>
        <w:rPr>
          <w:rFonts w:hint="default" w:ascii="Times New Roman" w:hAnsi="Times New Roman" w:cs="Times New Roman"/>
          <w:sz w:val="24"/>
          <w:szCs w:val="32"/>
        </w:rPr>
        <w:t>高黏度改性乳化沥青黏层材料施工应满足JTG 5142 《公路沥青路面养护技术规范》的有关规定执行。</w:t>
      </w:r>
    </w:p>
    <w:p w14:paraId="2A72FA6B">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59" w:name="_Toc179636666"/>
      <w:bookmarkStart w:id="60" w:name="_Toc6748"/>
      <w:r>
        <w:rPr>
          <w:rFonts w:hint="default" w:ascii="Times New Roman" w:hAnsi="Times New Roman" w:cs="Times New Roman"/>
          <w:sz w:val="24"/>
        </w:rPr>
        <w:t>混合料拌和与运输</w:t>
      </w:r>
      <w:bookmarkEnd w:id="59"/>
      <w:bookmarkEnd w:id="60"/>
    </w:p>
    <w:p w14:paraId="0EDFC45A">
      <w:pPr>
        <w:pStyle w:val="29"/>
        <w:numPr>
          <w:ilvl w:val="2"/>
          <w:numId w:val="17"/>
        </w:numPr>
        <w:tabs>
          <w:tab w:val="left" w:pos="1134"/>
          <w:tab w:val="clear" w:pos="4201"/>
        </w:tabs>
        <w:spacing w:line="360" w:lineRule="auto"/>
        <w:ind w:left="0" w:firstLine="426" w:firstLineChars="0"/>
        <w:rPr>
          <w:rFonts w:hint="default" w:ascii="Times New Roman" w:hAnsi="Times New Roman" w:cs="Times New Roman"/>
          <w:sz w:val="24"/>
        </w:rPr>
      </w:pPr>
      <w:r>
        <w:rPr>
          <w:rFonts w:hint="default" w:ascii="Times New Roman" w:hAnsi="Times New Roman" w:cs="Times New Roman" w:eastAsiaTheme="minorEastAsia"/>
          <w:kern w:val="2"/>
          <w:sz w:val="24"/>
          <w:szCs w:val="32"/>
        </w:rPr>
        <w:t>高延弹改性沥青混合料应采用间歇式拌和设备进行拌制，间歇式拌和</w:t>
      </w:r>
      <w:r>
        <w:rPr>
          <w:rFonts w:hint="default" w:ascii="Times New Roman" w:hAnsi="Times New Roman" w:cs="Times New Roman"/>
          <w:sz w:val="24"/>
        </w:rPr>
        <w:t>机每盘的生产周期应适当延长5s~10s，沥青混合料的储存时间不宜超过6h。</w:t>
      </w:r>
    </w:p>
    <w:p w14:paraId="2DCD4112">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生产前应检查拌和楼状态，保证处于正常工作状态。拌和楼的计量系统、温度传感器系统应准确有效显示。</w:t>
      </w:r>
    </w:p>
    <w:p w14:paraId="53DBDC0A">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运料车的车厢底部和侧面板应涂刷适当的隔离剂，其中所用的油应不溶解沥青。</w:t>
      </w:r>
    </w:p>
    <w:p w14:paraId="19D4A450">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放料时车辆应前后移动，以避免混合料发生离析。每辆运料车在运输过程中应盖布防雨、防尘与保温。</w:t>
      </w:r>
    </w:p>
    <w:p w14:paraId="100400E3">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应根据拌和机的生产能力、摊铺速度、运距的长短来计划车辆数，以保证摊铺连续。</w:t>
      </w:r>
    </w:p>
    <w:p w14:paraId="5A436332">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61" w:name="_Toc179636667"/>
      <w:bookmarkStart w:id="62" w:name="_Toc5737"/>
      <w:bookmarkStart w:id="63" w:name="_Toc179636668"/>
      <w:r>
        <w:rPr>
          <w:rFonts w:hint="default" w:ascii="Times New Roman" w:hAnsi="Times New Roman" w:cs="Times New Roman"/>
          <w:sz w:val="24"/>
        </w:rPr>
        <w:t>黏层材料喷洒与摊铺</w:t>
      </w:r>
      <w:bookmarkEnd w:id="61"/>
      <w:bookmarkEnd w:id="62"/>
    </w:p>
    <w:p w14:paraId="6641693A">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高延弹超薄罩面应采用专用同步摊铺设备进行铺筑，施工设备应包含受料斗、传送带、带加热功能的乳化沥青储存罐、智能喷洒系统、宽度可调节的振动熨平板等部分。可一次同步实施乳化沥青喷洒、混合料摊铺及熨平，乳化沥青喷洒与混合料摊铺时间间隔不应超过5s。</w:t>
      </w:r>
    </w:p>
    <w:p w14:paraId="766EBDC5">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高黏度改性乳化沥青喷洒温度不应小于80℃，热沥青混合料摊铺在高黏改性乳化沥青喷洒的表面上。</w:t>
      </w:r>
    </w:p>
    <w:p w14:paraId="11731765">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高黏度改性乳化沥青的喷洒量以0.6L/m</w:t>
      </w:r>
      <w:r>
        <w:rPr>
          <w:rFonts w:hint="default" w:ascii="Times New Roman" w:hAnsi="Times New Roman" w:cs="Times New Roman"/>
          <w:sz w:val="24"/>
          <w:vertAlign w:val="superscript"/>
        </w:rPr>
        <w:t>2</w:t>
      </w:r>
      <w:r>
        <w:rPr>
          <w:rFonts w:hint="default" w:ascii="Times New Roman" w:hAnsi="Times New Roman" w:cs="Times New Roman"/>
          <w:sz w:val="24"/>
        </w:rPr>
        <w:t>~1.0L/m</w:t>
      </w:r>
      <w:r>
        <w:rPr>
          <w:rFonts w:hint="default" w:ascii="Times New Roman" w:hAnsi="Times New Roman" w:cs="Times New Roman"/>
          <w:sz w:val="24"/>
          <w:vertAlign w:val="superscript"/>
        </w:rPr>
        <w:t>2</w:t>
      </w:r>
      <w:r>
        <w:rPr>
          <w:rFonts w:hint="default" w:ascii="Times New Roman" w:hAnsi="Times New Roman" w:cs="Times New Roman"/>
          <w:sz w:val="24"/>
        </w:rPr>
        <w:t>为基准，并根据原路面状况、气候条件、交通量等进行调节。</w:t>
      </w:r>
    </w:p>
    <w:p w14:paraId="075535AB">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摊铺机开工前应提前0.5h~lh预热熨平板，温度不应低于110℃。</w:t>
      </w:r>
    </w:p>
    <w:p w14:paraId="6AF88888">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高延弹超薄罩面混合料摊铺速度宜为7m/min~12m/min。</w:t>
      </w:r>
    </w:p>
    <w:p w14:paraId="22170983">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64" w:name="_Toc18279"/>
      <w:r>
        <w:rPr>
          <w:rFonts w:hint="default" w:ascii="Times New Roman" w:hAnsi="Times New Roman" w:cs="Times New Roman"/>
          <w:sz w:val="24"/>
        </w:rPr>
        <w:t>碾压</w:t>
      </w:r>
      <w:bookmarkEnd w:id="63"/>
      <w:bookmarkEnd w:id="64"/>
    </w:p>
    <w:p w14:paraId="05E441D5">
      <w:pPr>
        <w:pStyle w:val="29"/>
        <w:numPr>
          <w:ilvl w:val="2"/>
          <w:numId w:val="17"/>
        </w:numPr>
        <w:tabs>
          <w:tab w:val="center" w:pos="993"/>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碾压应在沥青混合料温度下降至90℃之前完成，碾压过程中使用11t~13t双钢轮压路机静压2~3遍，碾压过程中严禁开启振动，不宜使用轮胎压路机。</w:t>
      </w:r>
      <w:bookmarkStart w:id="65" w:name="_Hlk84335310"/>
    </w:p>
    <w:p w14:paraId="4A140164">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工作面受限的情况下，应配备一台3T小钢轮压路机紧跟摊铺机碾压</w:t>
      </w:r>
      <w:bookmarkEnd w:id="65"/>
      <w:r>
        <w:rPr>
          <w:rFonts w:hint="default" w:ascii="Times New Roman" w:hAnsi="Times New Roman" w:cs="Times New Roman"/>
          <w:sz w:val="24"/>
        </w:rPr>
        <w:t>。</w:t>
      </w:r>
    </w:p>
    <w:p w14:paraId="30AF0D3C">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碾压速度控制在6km/h~8km/h，压实次数可根据现场情况调整，避免石料压碎，防止路表泛白。</w:t>
      </w:r>
    </w:p>
    <w:p w14:paraId="79E9EBDC">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碾压时，压路机的轮迹应重叠1/2以上，且边部压实遍数应多于规定碾压遍数2遍以上，严禁压路机在施工作业面上急刹车、调头、停留等。</w:t>
      </w:r>
    </w:p>
    <w:p w14:paraId="4CA2A6E0">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66" w:name="_Toc32492"/>
      <w:bookmarkStart w:id="67" w:name="_Toc179636669"/>
      <w:bookmarkStart w:id="68" w:name="_Toc126742851"/>
      <w:r>
        <w:rPr>
          <w:rFonts w:hint="default" w:ascii="Times New Roman" w:hAnsi="Times New Roman" w:cs="Times New Roman"/>
          <w:sz w:val="24"/>
        </w:rPr>
        <w:t>接缝</w:t>
      </w:r>
      <w:bookmarkEnd w:id="66"/>
      <w:bookmarkEnd w:id="67"/>
      <w:bookmarkEnd w:id="68"/>
      <w:r>
        <w:rPr>
          <w:rFonts w:hint="default" w:ascii="Times New Roman" w:hAnsi="Times New Roman" w:cs="Times New Roman"/>
          <w:sz w:val="24"/>
        </w:rPr>
        <w:t xml:space="preserve">  </w:t>
      </w:r>
    </w:p>
    <w:p w14:paraId="7D3301F0">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施工过程中新旧作业面引起的横向接缝，应采用垂直的平缝。</w:t>
      </w:r>
    </w:p>
    <w:p w14:paraId="1FC1E51C">
      <w:pPr>
        <w:pStyle w:val="29"/>
        <w:numPr>
          <w:ilvl w:val="2"/>
          <w:numId w:val="17"/>
        </w:numPr>
        <w:tabs>
          <w:tab w:val="center" w:pos="1134"/>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纵向接缝宜为冷接缝，摊铺宽度宜为一个车道。纵向接缝宜位于标线处。</w:t>
      </w:r>
    </w:p>
    <w:p w14:paraId="2B12D1E2">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69" w:name="_Toc179636670"/>
      <w:bookmarkStart w:id="70" w:name="_Toc126742852"/>
      <w:bookmarkStart w:id="71" w:name="_Toc2834"/>
      <w:r>
        <w:rPr>
          <w:rFonts w:hint="default" w:ascii="Times New Roman" w:hAnsi="Times New Roman" w:cs="Times New Roman"/>
          <w:sz w:val="24"/>
        </w:rPr>
        <w:t>养护与开放交通</w:t>
      </w:r>
      <w:bookmarkEnd w:id="69"/>
      <w:bookmarkEnd w:id="70"/>
      <w:bookmarkEnd w:id="71"/>
    </w:p>
    <w:p w14:paraId="19771109">
      <w:pPr>
        <w:pStyle w:val="29"/>
        <w:numPr>
          <w:ilvl w:val="2"/>
          <w:numId w:val="17"/>
        </w:numPr>
        <w:tabs>
          <w:tab w:val="center" w:pos="993"/>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应待摊铺层自然冷却、混合料表面温度低于50℃后再开放交通。</w:t>
      </w:r>
    </w:p>
    <w:p w14:paraId="42C7E806">
      <w:pPr>
        <w:pStyle w:val="29"/>
        <w:numPr>
          <w:ilvl w:val="2"/>
          <w:numId w:val="17"/>
        </w:numPr>
        <w:tabs>
          <w:tab w:val="center" w:pos="993"/>
          <w:tab w:val="clear" w:pos="4201"/>
        </w:tabs>
        <w:spacing w:line="360" w:lineRule="auto"/>
        <w:ind w:left="0" w:firstLine="413" w:firstLineChars="0"/>
        <w:rPr>
          <w:rFonts w:hint="default" w:ascii="Times New Roman" w:hAnsi="Times New Roman" w:cs="Times New Roman"/>
          <w:sz w:val="24"/>
        </w:rPr>
      </w:pPr>
      <w:r>
        <w:rPr>
          <w:rFonts w:hint="default" w:ascii="Times New Roman" w:hAnsi="Times New Roman" w:cs="Times New Roman"/>
          <w:sz w:val="24"/>
        </w:rPr>
        <w:t>高延弹超薄罩面施工完成后，应施划标线，恢复交通。</w:t>
      </w:r>
    </w:p>
    <w:p w14:paraId="64D77BAB">
      <w:pPr>
        <w:widowControl/>
        <w:jc w:val="left"/>
        <w:rPr>
          <w:rFonts w:hint="default" w:ascii="Times New Roman" w:hAnsi="Times New Roman" w:cs="Times New Roman"/>
          <w:sz w:val="24"/>
        </w:rPr>
        <w:sectPr>
          <w:headerReference r:id="rId12" w:type="even"/>
          <w:type w:val="continuous"/>
          <w:pgSz w:w="11906" w:h="16838"/>
          <w:pgMar w:top="1440" w:right="1800" w:bottom="1440" w:left="1800" w:header="850" w:footer="992" w:gutter="0"/>
          <w:cols w:space="425" w:num="1"/>
          <w:formProt w:val="0"/>
          <w:docGrid w:type="lines" w:linePitch="312" w:charSpace="0"/>
        </w:sectPr>
      </w:pPr>
      <w:r>
        <w:rPr>
          <w:rFonts w:hint="default" w:ascii="Times New Roman" w:hAnsi="Times New Roman" w:cs="Times New Roman"/>
          <w:sz w:val="24"/>
        </w:rPr>
        <w:br w:type="page"/>
      </w:r>
    </w:p>
    <w:p w14:paraId="0B55F20B">
      <w:pPr>
        <w:pStyle w:val="52"/>
        <w:numPr>
          <w:ilvl w:val="0"/>
          <w:numId w:val="17"/>
        </w:numPr>
        <w:spacing w:beforeLines="0" w:afterLines="0" w:line="360" w:lineRule="auto"/>
        <w:ind w:hanging="283"/>
        <w:outlineLvl w:val="0"/>
        <w:rPr>
          <w:rFonts w:hint="default" w:ascii="Times New Roman" w:hAnsi="Times New Roman" w:cs="Times New Roman" w:eastAsiaTheme="minorEastAsia"/>
          <w:b/>
          <w:bCs/>
          <w:sz w:val="32"/>
          <w:szCs w:val="22"/>
        </w:rPr>
      </w:pPr>
      <w:bookmarkStart w:id="72" w:name="_Toc179636671"/>
      <w:bookmarkStart w:id="73" w:name="_Toc126742853"/>
      <w:bookmarkStart w:id="74" w:name="_Toc22517"/>
      <w:r>
        <w:rPr>
          <w:rFonts w:hint="default" w:ascii="Times New Roman" w:hAnsi="Times New Roman" w:cs="Times New Roman" w:eastAsiaTheme="minorEastAsia"/>
          <w:b/>
          <w:bCs/>
          <w:sz w:val="32"/>
          <w:szCs w:val="22"/>
        </w:rPr>
        <w:t>施工质量控制与检查验收</w:t>
      </w:r>
      <w:bookmarkEnd w:id="72"/>
      <w:bookmarkEnd w:id="73"/>
      <w:bookmarkEnd w:id="74"/>
    </w:p>
    <w:p w14:paraId="77F852E7">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75" w:name="_Toc179636672"/>
      <w:bookmarkStart w:id="76" w:name="_Toc289597588"/>
      <w:bookmarkStart w:id="77" w:name="_Toc16636"/>
      <w:bookmarkStart w:id="78" w:name="_Toc278541461"/>
      <w:bookmarkStart w:id="79" w:name="_Toc126742854"/>
      <w:r>
        <w:rPr>
          <w:rFonts w:hint="default" w:ascii="Times New Roman" w:hAnsi="Times New Roman" w:cs="Times New Roman"/>
          <w:sz w:val="24"/>
        </w:rPr>
        <w:t>原材料质量控制</w:t>
      </w:r>
      <w:bookmarkEnd w:id="75"/>
      <w:bookmarkEnd w:id="76"/>
      <w:bookmarkEnd w:id="77"/>
      <w:bookmarkEnd w:id="78"/>
      <w:bookmarkEnd w:id="79"/>
    </w:p>
    <w:p w14:paraId="35DF2585">
      <w:pPr>
        <w:pStyle w:val="186"/>
        <w:numPr>
          <w:ilvl w:val="2"/>
          <w:numId w:val="27"/>
        </w:numPr>
        <w:tabs>
          <w:tab w:val="left" w:pos="993"/>
        </w:tabs>
        <w:spacing w:line="360" w:lineRule="auto"/>
        <w:ind w:left="0" w:firstLine="414" w:firstLineChars="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施工前应对原材料进行质量检查，应符合表8.1.1的规定。</w:t>
      </w:r>
    </w:p>
    <w:p w14:paraId="26B48E38">
      <w:pPr>
        <w:pStyle w:val="190"/>
        <w:ind w:left="36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表8.1.1 施工前的原材料质量控制要求</w:t>
      </w:r>
    </w:p>
    <w:tbl>
      <w:tblPr>
        <w:tblStyle w:val="18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3165"/>
        <w:gridCol w:w="1752"/>
        <w:gridCol w:w="1822"/>
      </w:tblGrid>
      <w:tr w14:paraId="6A610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46" w:type="pct"/>
            <w:vAlign w:val="center"/>
          </w:tcPr>
          <w:p w14:paraId="77C0B370">
            <w:pPr>
              <w:pStyle w:val="192"/>
              <w:rPr>
                <w:rFonts w:hint="default" w:ascii="Times New Roman" w:hAnsi="Times New Roman" w:cs="Times New Roman"/>
                <w:spacing w:val="-2"/>
              </w:rPr>
            </w:pPr>
            <w:r>
              <w:rPr>
                <w:rFonts w:hint="default" w:ascii="Times New Roman" w:hAnsi="Times New Roman" w:cs="Times New Roman"/>
                <w:spacing w:val="-2"/>
              </w:rPr>
              <w:t>材料</w:t>
            </w:r>
          </w:p>
        </w:tc>
        <w:tc>
          <w:tcPr>
            <w:tcW w:w="1857" w:type="pct"/>
            <w:tcBorders>
              <w:bottom w:val="single" w:color="auto" w:sz="4" w:space="0"/>
            </w:tcBorders>
            <w:vAlign w:val="center"/>
          </w:tcPr>
          <w:p w14:paraId="36B0B943">
            <w:pPr>
              <w:pStyle w:val="192"/>
              <w:rPr>
                <w:rFonts w:hint="default" w:ascii="Times New Roman" w:hAnsi="Times New Roman" w:cs="Times New Roman"/>
                <w:spacing w:val="-2"/>
              </w:rPr>
            </w:pPr>
            <w:r>
              <w:rPr>
                <w:rFonts w:hint="default" w:ascii="Times New Roman" w:hAnsi="Times New Roman" w:cs="Times New Roman"/>
                <w:spacing w:val="-2"/>
              </w:rPr>
              <w:t>检查项目</w:t>
            </w:r>
          </w:p>
        </w:tc>
        <w:tc>
          <w:tcPr>
            <w:tcW w:w="1028" w:type="pct"/>
            <w:tcBorders>
              <w:bottom w:val="single" w:color="auto" w:sz="4" w:space="0"/>
            </w:tcBorders>
            <w:vAlign w:val="center"/>
          </w:tcPr>
          <w:p w14:paraId="34C016A2">
            <w:pPr>
              <w:pStyle w:val="192"/>
              <w:rPr>
                <w:rFonts w:hint="default" w:ascii="Times New Roman" w:hAnsi="Times New Roman" w:cs="Times New Roman"/>
                <w:spacing w:val="-2"/>
              </w:rPr>
            </w:pPr>
            <w:r>
              <w:rPr>
                <w:rFonts w:hint="default" w:ascii="Times New Roman" w:hAnsi="Times New Roman" w:cs="Times New Roman"/>
                <w:spacing w:val="-2"/>
              </w:rPr>
              <w:t>质量要求</w:t>
            </w:r>
          </w:p>
        </w:tc>
        <w:tc>
          <w:tcPr>
            <w:tcW w:w="1069" w:type="pct"/>
            <w:tcBorders>
              <w:bottom w:val="single" w:color="auto" w:sz="4" w:space="0"/>
            </w:tcBorders>
            <w:vAlign w:val="center"/>
          </w:tcPr>
          <w:p w14:paraId="48310FC8">
            <w:pPr>
              <w:pStyle w:val="192"/>
              <w:rPr>
                <w:rFonts w:hint="default" w:ascii="Times New Roman" w:hAnsi="Times New Roman" w:cs="Times New Roman"/>
                <w:spacing w:val="-2"/>
              </w:rPr>
            </w:pPr>
            <w:r>
              <w:rPr>
                <w:rFonts w:hint="default" w:ascii="Times New Roman" w:hAnsi="Times New Roman" w:cs="Times New Roman"/>
                <w:spacing w:val="-2"/>
              </w:rPr>
              <w:t>检查频率</w:t>
            </w:r>
          </w:p>
        </w:tc>
      </w:tr>
      <w:tr w14:paraId="5F6D3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6" w:type="pct"/>
            <w:vAlign w:val="center"/>
          </w:tcPr>
          <w:p w14:paraId="26ADC4B5">
            <w:pPr>
              <w:pStyle w:val="192"/>
              <w:rPr>
                <w:rFonts w:hint="default" w:ascii="Times New Roman" w:hAnsi="Times New Roman" w:cs="Times New Roman"/>
                <w:spacing w:val="-2"/>
              </w:rPr>
            </w:pPr>
            <w:r>
              <w:rPr>
                <w:rFonts w:hint="default" w:ascii="Times New Roman" w:hAnsi="Times New Roman" w:cs="Times New Roman"/>
                <w:spacing w:val="-2"/>
              </w:rPr>
              <w:t>高延弹改性沥青</w:t>
            </w:r>
          </w:p>
        </w:tc>
        <w:tc>
          <w:tcPr>
            <w:tcW w:w="1857" w:type="pct"/>
            <w:vAlign w:val="center"/>
          </w:tcPr>
          <w:p w14:paraId="736029C5">
            <w:pPr>
              <w:pStyle w:val="192"/>
              <w:rPr>
                <w:rFonts w:hint="default" w:ascii="Times New Roman" w:hAnsi="Times New Roman" w:cs="Times New Roman"/>
                <w:spacing w:val="-2"/>
              </w:rPr>
            </w:pPr>
            <w:r>
              <w:rPr>
                <w:rFonts w:hint="default" w:ascii="Times New Roman" w:hAnsi="Times New Roman" w:cs="Times New Roman"/>
                <w:spacing w:val="-2"/>
              </w:rPr>
              <w:t>表5.2.1中要求的检测项目</w:t>
            </w:r>
          </w:p>
        </w:tc>
        <w:tc>
          <w:tcPr>
            <w:tcW w:w="1028" w:type="pct"/>
            <w:vMerge w:val="restart"/>
            <w:vAlign w:val="center"/>
          </w:tcPr>
          <w:p w14:paraId="4B2F587C">
            <w:pPr>
              <w:pStyle w:val="192"/>
              <w:rPr>
                <w:rFonts w:hint="default" w:ascii="Times New Roman" w:hAnsi="Times New Roman" w:cs="Times New Roman"/>
                <w:spacing w:val="-2"/>
              </w:rPr>
            </w:pPr>
            <w:r>
              <w:rPr>
                <w:rFonts w:hint="default" w:ascii="Times New Roman" w:hAnsi="Times New Roman" w:cs="Times New Roman"/>
                <w:spacing w:val="-2"/>
              </w:rPr>
              <w:t>符合本指南要求</w:t>
            </w:r>
          </w:p>
        </w:tc>
        <w:tc>
          <w:tcPr>
            <w:tcW w:w="1069" w:type="pct"/>
            <w:vAlign w:val="center"/>
          </w:tcPr>
          <w:p w14:paraId="726278DE">
            <w:pPr>
              <w:pStyle w:val="192"/>
              <w:rPr>
                <w:rFonts w:hint="default" w:ascii="Times New Roman" w:hAnsi="Times New Roman" w:cs="Times New Roman"/>
                <w:spacing w:val="-2"/>
              </w:rPr>
            </w:pPr>
            <w:r>
              <w:rPr>
                <w:rFonts w:hint="default" w:ascii="Times New Roman" w:hAnsi="Times New Roman" w:cs="Times New Roman"/>
                <w:spacing w:val="-2"/>
              </w:rPr>
              <w:t>每批来料1次，每批不大于20t</w:t>
            </w:r>
          </w:p>
        </w:tc>
      </w:tr>
      <w:tr w14:paraId="3F095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6" w:type="pct"/>
            <w:vAlign w:val="center"/>
          </w:tcPr>
          <w:p w14:paraId="33A88FED">
            <w:pPr>
              <w:pStyle w:val="192"/>
              <w:rPr>
                <w:rStyle w:val="180"/>
                <w:rFonts w:hint="default" w:ascii="Times New Roman" w:hAnsi="Times New Roman" w:cs="Times New Roman"/>
                <w:spacing w:val="-2"/>
                <w:sz w:val="21"/>
                <w:szCs w:val="21"/>
              </w:rPr>
            </w:pPr>
            <w:r>
              <w:rPr>
                <w:rStyle w:val="180"/>
                <w:rFonts w:hint="default" w:ascii="Times New Roman" w:hAnsi="Times New Roman" w:cs="Times New Roman"/>
                <w:spacing w:val="-2"/>
                <w:sz w:val="21"/>
                <w:szCs w:val="21"/>
              </w:rPr>
              <w:t>高黏度改性乳化沥青黏层材料</w:t>
            </w:r>
          </w:p>
        </w:tc>
        <w:tc>
          <w:tcPr>
            <w:tcW w:w="1857" w:type="pct"/>
            <w:tcBorders>
              <w:bottom w:val="single" w:color="auto" w:sz="4" w:space="0"/>
            </w:tcBorders>
            <w:vAlign w:val="center"/>
          </w:tcPr>
          <w:p w14:paraId="64A64E50">
            <w:pPr>
              <w:pStyle w:val="192"/>
              <w:rPr>
                <w:rFonts w:hint="default" w:ascii="Times New Roman" w:hAnsi="Times New Roman" w:cs="Times New Roman"/>
                <w:spacing w:val="-2"/>
              </w:rPr>
            </w:pPr>
            <w:r>
              <w:rPr>
                <w:rFonts w:hint="default" w:ascii="Times New Roman" w:hAnsi="Times New Roman" w:cs="Times New Roman"/>
                <w:spacing w:val="-2"/>
              </w:rPr>
              <w:t>表5.3.1中要求的检测项目</w:t>
            </w:r>
          </w:p>
        </w:tc>
        <w:tc>
          <w:tcPr>
            <w:tcW w:w="1028" w:type="pct"/>
            <w:vMerge w:val="continue"/>
          </w:tcPr>
          <w:p w14:paraId="5B173D62">
            <w:pPr>
              <w:pStyle w:val="192"/>
              <w:rPr>
                <w:rFonts w:hint="default" w:ascii="Times New Roman" w:hAnsi="Times New Roman" w:cs="Times New Roman"/>
                <w:spacing w:val="-2"/>
              </w:rPr>
            </w:pPr>
          </w:p>
        </w:tc>
        <w:tc>
          <w:tcPr>
            <w:tcW w:w="1069" w:type="pct"/>
            <w:tcBorders>
              <w:bottom w:val="single" w:color="auto" w:sz="4" w:space="0"/>
            </w:tcBorders>
          </w:tcPr>
          <w:p w14:paraId="259ACF24">
            <w:pPr>
              <w:pStyle w:val="192"/>
              <w:rPr>
                <w:rFonts w:hint="default" w:ascii="Times New Roman" w:hAnsi="Times New Roman" w:cs="Times New Roman"/>
                <w:spacing w:val="-2"/>
              </w:rPr>
            </w:pPr>
            <w:r>
              <w:rPr>
                <w:rFonts w:hint="default" w:ascii="Times New Roman" w:hAnsi="Times New Roman" w:cs="Times New Roman"/>
                <w:spacing w:val="-2"/>
              </w:rPr>
              <w:t>每批来料1次，每批不大于100t</w:t>
            </w:r>
          </w:p>
        </w:tc>
      </w:tr>
      <w:tr w14:paraId="4AAFB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6" w:type="pct"/>
            <w:vAlign w:val="center"/>
          </w:tcPr>
          <w:p w14:paraId="2FDE3F02">
            <w:pPr>
              <w:pStyle w:val="192"/>
              <w:rPr>
                <w:rStyle w:val="180"/>
                <w:rFonts w:hint="default" w:ascii="Times New Roman" w:hAnsi="Times New Roman" w:cs="Times New Roman"/>
                <w:spacing w:val="-2"/>
                <w:sz w:val="21"/>
                <w:szCs w:val="21"/>
              </w:rPr>
            </w:pPr>
            <w:r>
              <w:rPr>
                <w:rStyle w:val="180"/>
                <w:rFonts w:hint="default" w:ascii="Times New Roman" w:hAnsi="Times New Roman" w:cs="Times New Roman"/>
                <w:spacing w:val="-2"/>
                <w:sz w:val="21"/>
                <w:szCs w:val="21"/>
              </w:rPr>
              <w:t>集料及填料</w:t>
            </w:r>
          </w:p>
        </w:tc>
        <w:tc>
          <w:tcPr>
            <w:tcW w:w="1857" w:type="pct"/>
            <w:vAlign w:val="center"/>
          </w:tcPr>
          <w:p w14:paraId="7C23ED9D">
            <w:pPr>
              <w:pStyle w:val="192"/>
              <w:rPr>
                <w:rFonts w:hint="default" w:ascii="Times New Roman" w:hAnsi="Times New Roman" w:cs="Times New Roman"/>
                <w:spacing w:val="-2"/>
              </w:rPr>
            </w:pPr>
            <w:r>
              <w:rPr>
                <w:rFonts w:hint="default" w:ascii="Times New Roman" w:hAnsi="Times New Roman" w:cs="Times New Roman"/>
                <w:spacing w:val="-2"/>
              </w:rPr>
              <w:t>表5</w:t>
            </w:r>
            <w:r>
              <w:rPr>
                <w:rFonts w:hint="default" w:ascii="Times New Roman" w:hAnsi="Times New Roman" w:cs="Times New Roman"/>
              </w:rPr>
              <w:t>.4.1、表5.4.2、表5.4.3、表5.4.4、表5.4.5中要求的检测项目</w:t>
            </w:r>
          </w:p>
        </w:tc>
        <w:tc>
          <w:tcPr>
            <w:tcW w:w="1028" w:type="pct"/>
            <w:vMerge w:val="continue"/>
          </w:tcPr>
          <w:p w14:paraId="095FA197">
            <w:pPr>
              <w:pStyle w:val="192"/>
              <w:rPr>
                <w:rFonts w:hint="default" w:ascii="Times New Roman" w:hAnsi="Times New Roman" w:cs="Times New Roman"/>
                <w:spacing w:val="-2"/>
              </w:rPr>
            </w:pPr>
          </w:p>
        </w:tc>
        <w:tc>
          <w:tcPr>
            <w:tcW w:w="1069" w:type="pct"/>
          </w:tcPr>
          <w:p w14:paraId="34C6D394">
            <w:pPr>
              <w:pStyle w:val="192"/>
              <w:rPr>
                <w:rFonts w:hint="default" w:ascii="Times New Roman" w:hAnsi="Times New Roman" w:cs="Times New Roman"/>
                <w:spacing w:val="-2"/>
              </w:rPr>
            </w:pPr>
            <w:r>
              <w:rPr>
                <w:rFonts w:hint="default" w:ascii="Times New Roman" w:hAnsi="Times New Roman" w:cs="Times New Roman"/>
                <w:spacing w:val="-2"/>
              </w:rPr>
              <w:t>每批检验1次，每批不大于100t</w:t>
            </w:r>
          </w:p>
        </w:tc>
      </w:tr>
      <w:tr w14:paraId="5EE92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6" w:type="pct"/>
            <w:vAlign w:val="center"/>
          </w:tcPr>
          <w:p w14:paraId="0ACF701F">
            <w:pPr>
              <w:pStyle w:val="192"/>
              <w:rPr>
                <w:rStyle w:val="180"/>
                <w:rFonts w:hint="default" w:ascii="Times New Roman" w:hAnsi="Times New Roman" w:cs="Times New Roman"/>
                <w:spacing w:val="-2"/>
                <w:sz w:val="21"/>
                <w:szCs w:val="21"/>
              </w:rPr>
            </w:pPr>
            <w:r>
              <w:rPr>
                <w:rStyle w:val="180"/>
                <w:rFonts w:hint="default" w:ascii="Times New Roman" w:hAnsi="Times New Roman" w:cs="Times New Roman"/>
                <w:spacing w:val="-2"/>
                <w:sz w:val="21"/>
                <w:szCs w:val="21"/>
              </w:rPr>
              <w:t>灌缝胶</w:t>
            </w:r>
          </w:p>
        </w:tc>
        <w:tc>
          <w:tcPr>
            <w:tcW w:w="1857" w:type="pct"/>
            <w:vAlign w:val="center"/>
          </w:tcPr>
          <w:p w14:paraId="530D09B6">
            <w:pPr>
              <w:pStyle w:val="192"/>
              <w:rPr>
                <w:rFonts w:hint="default" w:ascii="Times New Roman" w:hAnsi="Times New Roman" w:cs="Times New Roman"/>
                <w:spacing w:val="-2"/>
              </w:rPr>
            </w:pPr>
            <w:r>
              <w:rPr>
                <w:rFonts w:hint="default" w:ascii="Times New Roman" w:hAnsi="Times New Roman" w:cs="Times New Roman"/>
                <w:spacing w:val="-2"/>
              </w:rPr>
              <w:t>表5</w:t>
            </w:r>
            <w:r>
              <w:rPr>
                <w:rFonts w:hint="default" w:ascii="Times New Roman" w:hAnsi="Times New Roman" w:cs="Times New Roman"/>
              </w:rPr>
              <w:t>.5.1中要求的检测项目</w:t>
            </w:r>
          </w:p>
        </w:tc>
        <w:tc>
          <w:tcPr>
            <w:tcW w:w="1028" w:type="pct"/>
            <w:vMerge w:val="continue"/>
          </w:tcPr>
          <w:p w14:paraId="363A6AA7">
            <w:pPr>
              <w:pStyle w:val="192"/>
              <w:rPr>
                <w:rFonts w:hint="default" w:ascii="Times New Roman" w:hAnsi="Times New Roman" w:cs="Times New Roman"/>
                <w:spacing w:val="-2"/>
              </w:rPr>
            </w:pPr>
          </w:p>
        </w:tc>
        <w:tc>
          <w:tcPr>
            <w:tcW w:w="1069" w:type="pct"/>
          </w:tcPr>
          <w:p w14:paraId="7A1A52D8">
            <w:pPr>
              <w:pStyle w:val="192"/>
              <w:rPr>
                <w:rFonts w:hint="default" w:ascii="Times New Roman" w:hAnsi="Times New Roman" w:cs="Times New Roman"/>
                <w:spacing w:val="-2"/>
              </w:rPr>
            </w:pPr>
            <w:r>
              <w:rPr>
                <w:rFonts w:hint="default" w:ascii="Times New Roman" w:hAnsi="Times New Roman" w:cs="Times New Roman"/>
                <w:spacing w:val="-2"/>
              </w:rPr>
              <w:t>每批检验1次，每批不大于10t</w:t>
            </w:r>
          </w:p>
        </w:tc>
      </w:tr>
    </w:tbl>
    <w:p w14:paraId="6FA0FE00">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80" w:name="_Toc27587"/>
      <w:bookmarkStart w:id="81" w:name="_Toc179636673"/>
      <w:r>
        <w:rPr>
          <w:rFonts w:hint="default" w:ascii="Times New Roman" w:hAnsi="Times New Roman" w:cs="Times New Roman"/>
          <w:sz w:val="24"/>
        </w:rPr>
        <w:t>施工过程中质量控制</w:t>
      </w:r>
      <w:bookmarkEnd w:id="80"/>
      <w:bookmarkEnd w:id="81"/>
    </w:p>
    <w:p w14:paraId="197832D5">
      <w:pPr>
        <w:pStyle w:val="186"/>
        <w:numPr>
          <w:ilvl w:val="2"/>
          <w:numId w:val="17"/>
        </w:numPr>
        <w:tabs>
          <w:tab w:val="left" w:pos="993"/>
        </w:tabs>
        <w:spacing w:line="360" w:lineRule="auto"/>
        <w:ind w:left="0" w:firstLine="426" w:firstLineChars="0"/>
        <w:rPr>
          <w:rFonts w:hint="default" w:ascii="Times New Roman" w:hAnsi="Times New Roman" w:cs="Times New Roman"/>
          <w:kern w:val="0"/>
          <w:sz w:val="24"/>
        </w:rPr>
      </w:pPr>
      <w:r>
        <w:rPr>
          <w:rFonts w:hint="default" w:ascii="Times New Roman" w:hAnsi="Times New Roman" w:cs="Times New Roman"/>
          <w:kern w:val="0"/>
          <w:sz w:val="24"/>
        </w:rPr>
        <w:t>施工过程中，高延弹超薄罩面用沥青混合料的检验频率和质量要求，应按现行《公路沥青路面施工技术规范》（JTG F40）的规定执行。</w:t>
      </w:r>
    </w:p>
    <w:p w14:paraId="4887EBAA">
      <w:pPr>
        <w:pStyle w:val="186"/>
        <w:numPr>
          <w:ilvl w:val="2"/>
          <w:numId w:val="17"/>
        </w:numPr>
        <w:tabs>
          <w:tab w:val="left" w:pos="993"/>
        </w:tabs>
        <w:spacing w:line="360" w:lineRule="auto"/>
        <w:ind w:left="0" w:firstLine="413" w:firstLineChars="0"/>
        <w:rPr>
          <w:rFonts w:hint="default" w:ascii="Times New Roman" w:hAnsi="Times New Roman" w:cs="Times New Roman"/>
          <w:sz w:val="24"/>
          <w:szCs w:val="24"/>
        </w:rPr>
      </w:pPr>
      <w:r>
        <w:rPr>
          <w:rFonts w:hint="default" w:ascii="Times New Roman" w:hAnsi="Times New Roman" w:cs="Times New Roman"/>
          <w:sz w:val="24"/>
          <w:szCs w:val="24"/>
        </w:rPr>
        <w:t>高延弹超薄罩面的施工过程质量控制要求应表8.2.2的规定执行。</w:t>
      </w:r>
    </w:p>
    <w:p w14:paraId="2168B958">
      <w:pPr>
        <w:pStyle w:val="19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表8.2.2 高延弹超薄罩面的施工过程质量控制要求</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985"/>
        <w:gridCol w:w="1571"/>
        <w:gridCol w:w="1851"/>
        <w:gridCol w:w="1574"/>
        <w:gridCol w:w="1355"/>
      </w:tblGrid>
      <w:tr w14:paraId="4CE44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191" w:type="pct"/>
            <w:vMerge w:val="restart"/>
            <w:shd w:val="clear" w:color="auto" w:fill="auto"/>
            <w:vAlign w:val="center"/>
          </w:tcPr>
          <w:p w14:paraId="1FFB5E39">
            <w:pPr>
              <w:pStyle w:val="192"/>
              <w:rPr>
                <w:rFonts w:hint="default" w:ascii="Times New Roman" w:hAnsi="Times New Roman" w:cs="Times New Roman"/>
                <w:spacing w:val="-2"/>
              </w:rPr>
            </w:pPr>
            <w:r>
              <w:rPr>
                <w:rFonts w:hint="default" w:ascii="Times New Roman" w:hAnsi="Times New Roman" w:cs="Times New Roman"/>
                <w:spacing w:val="-2"/>
              </w:rPr>
              <w:t>项目</w:t>
            </w:r>
          </w:p>
        </w:tc>
        <w:tc>
          <w:tcPr>
            <w:tcW w:w="942" w:type="pct"/>
            <w:vMerge w:val="restart"/>
            <w:shd w:val="clear" w:color="auto" w:fill="auto"/>
            <w:vAlign w:val="center"/>
          </w:tcPr>
          <w:p w14:paraId="095A666F">
            <w:pPr>
              <w:pStyle w:val="192"/>
              <w:rPr>
                <w:rFonts w:hint="default" w:ascii="Times New Roman" w:hAnsi="Times New Roman" w:cs="Times New Roman"/>
                <w:spacing w:val="-2"/>
              </w:rPr>
            </w:pPr>
            <w:r>
              <w:rPr>
                <w:rFonts w:hint="default" w:ascii="Times New Roman" w:hAnsi="Times New Roman" w:cs="Times New Roman"/>
                <w:spacing w:val="-2"/>
              </w:rPr>
              <w:t>检查频率</w:t>
            </w:r>
          </w:p>
        </w:tc>
        <w:tc>
          <w:tcPr>
            <w:tcW w:w="2054" w:type="pct"/>
            <w:gridSpan w:val="2"/>
            <w:shd w:val="clear" w:color="auto" w:fill="auto"/>
            <w:vAlign w:val="center"/>
          </w:tcPr>
          <w:p w14:paraId="6C186CDD">
            <w:pPr>
              <w:pStyle w:val="192"/>
              <w:rPr>
                <w:rFonts w:hint="default" w:ascii="Times New Roman" w:hAnsi="Times New Roman" w:cs="Times New Roman"/>
                <w:spacing w:val="-2"/>
              </w:rPr>
            </w:pPr>
            <w:r>
              <w:rPr>
                <w:rFonts w:hint="default" w:ascii="Times New Roman" w:hAnsi="Times New Roman" w:cs="Times New Roman"/>
                <w:spacing w:val="-2"/>
              </w:rPr>
              <w:t>质量要求和容许偏差</w:t>
            </w:r>
          </w:p>
        </w:tc>
        <w:tc>
          <w:tcPr>
            <w:tcW w:w="813" w:type="pct"/>
            <w:vMerge w:val="restart"/>
            <w:shd w:val="clear" w:color="auto" w:fill="auto"/>
            <w:vAlign w:val="center"/>
          </w:tcPr>
          <w:p w14:paraId="00155180">
            <w:pPr>
              <w:pStyle w:val="192"/>
              <w:rPr>
                <w:rFonts w:hint="default" w:ascii="Times New Roman" w:hAnsi="Times New Roman" w:cs="Times New Roman"/>
                <w:spacing w:val="-2"/>
              </w:rPr>
            </w:pPr>
            <w:r>
              <w:rPr>
                <w:rFonts w:hint="default" w:ascii="Times New Roman" w:hAnsi="Times New Roman" w:cs="Times New Roman"/>
                <w:spacing w:val="-2"/>
              </w:rPr>
              <w:t>试验方法</w:t>
            </w:r>
          </w:p>
        </w:tc>
      </w:tr>
      <w:tr w14:paraId="3B840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191" w:type="pct"/>
            <w:vMerge w:val="continue"/>
            <w:shd w:val="clear" w:color="auto" w:fill="auto"/>
            <w:vAlign w:val="center"/>
          </w:tcPr>
          <w:p w14:paraId="6DAB1F02">
            <w:pPr>
              <w:pStyle w:val="192"/>
              <w:rPr>
                <w:rFonts w:hint="default" w:ascii="Times New Roman" w:hAnsi="Times New Roman" w:cs="Times New Roman"/>
                <w:spacing w:val="-2"/>
              </w:rPr>
            </w:pPr>
          </w:p>
        </w:tc>
        <w:tc>
          <w:tcPr>
            <w:tcW w:w="942" w:type="pct"/>
            <w:vMerge w:val="continue"/>
            <w:shd w:val="clear" w:color="auto" w:fill="auto"/>
            <w:vAlign w:val="center"/>
          </w:tcPr>
          <w:p w14:paraId="58D1873C">
            <w:pPr>
              <w:pStyle w:val="192"/>
              <w:rPr>
                <w:rFonts w:hint="default" w:ascii="Times New Roman" w:hAnsi="Times New Roman" w:cs="Times New Roman"/>
                <w:spacing w:val="-2"/>
              </w:rPr>
            </w:pPr>
          </w:p>
        </w:tc>
        <w:tc>
          <w:tcPr>
            <w:tcW w:w="1110" w:type="pct"/>
            <w:tcBorders>
              <w:right w:val="single" w:color="auto" w:sz="4" w:space="0"/>
            </w:tcBorders>
            <w:shd w:val="clear" w:color="auto" w:fill="auto"/>
            <w:vAlign w:val="center"/>
          </w:tcPr>
          <w:p w14:paraId="793DFE35">
            <w:pPr>
              <w:pStyle w:val="192"/>
              <w:rPr>
                <w:rFonts w:hint="default" w:ascii="Times New Roman" w:hAnsi="Times New Roman" w:cs="Times New Roman"/>
                <w:spacing w:val="-2"/>
              </w:rPr>
            </w:pPr>
            <w:r>
              <w:rPr>
                <w:rFonts w:hint="default" w:ascii="Times New Roman" w:hAnsi="Times New Roman" w:cs="Times New Roman"/>
                <w:spacing w:val="-2"/>
              </w:rPr>
              <w:t>高速及一级公路</w:t>
            </w:r>
          </w:p>
        </w:tc>
        <w:tc>
          <w:tcPr>
            <w:tcW w:w="944" w:type="pct"/>
            <w:tcBorders>
              <w:left w:val="single" w:color="auto" w:sz="4" w:space="0"/>
            </w:tcBorders>
            <w:shd w:val="clear" w:color="auto" w:fill="auto"/>
            <w:vAlign w:val="center"/>
          </w:tcPr>
          <w:p w14:paraId="5A4E294B">
            <w:pPr>
              <w:pStyle w:val="192"/>
              <w:rPr>
                <w:rFonts w:hint="default" w:ascii="Times New Roman" w:hAnsi="Times New Roman" w:cs="Times New Roman"/>
                <w:spacing w:val="-2"/>
              </w:rPr>
            </w:pPr>
            <w:r>
              <w:rPr>
                <w:rFonts w:hint="default" w:ascii="Times New Roman" w:hAnsi="Times New Roman" w:cs="Times New Roman"/>
                <w:spacing w:val="-2"/>
              </w:rPr>
              <w:t>其他等级公路</w:t>
            </w:r>
          </w:p>
        </w:tc>
        <w:tc>
          <w:tcPr>
            <w:tcW w:w="813" w:type="pct"/>
            <w:vMerge w:val="continue"/>
            <w:shd w:val="clear" w:color="auto" w:fill="auto"/>
            <w:vAlign w:val="center"/>
          </w:tcPr>
          <w:p w14:paraId="03930DC6">
            <w:pPr>
              <w:pStyle w:val="192"/>
              <w:rPr>
                <w:rFonts w:hint="default" w:ascii="Times New Roman" w:hAnsi="Times New Roman" w:cs="Times New Roman"/>
                <w:spacing w:val="-2"/>
              </w:rPr>
            </w:pPr>
          </w:p>
        </w:tc>
      </w:tr>
      <w:tr w14:paraId="688EA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191" w:type="pct"/>
            <w:shd w:val="clear" w:color="auto" w:fill="auto"/>
            <w:vAlign w:val="center"/>
          </w:tcPr>
          <w:p w14:paraId="53AC5658">
            <w:pPr>
              <w:pStyle w:val="192"/>
              <w:rPr>
                <w:rFonts w:hint="default" w:ascii="Times New Roman" w:hAnsi="Times New Roman" w:cs="Times New Roman"/>
                <w:spacing w:val="-2"/>
              </w:rPr>
            </w:pPr>
            <w:r>
              <w:rPr>
                <w:rFonts w:hint="default" w:ascii="Times New Roman" w:hAnsi="Times New Roman" w:cs="Times New Roman"/>
                <w:spacing w:val="-2"/>
              </w:rPr>
              <w:t>外观</w:t>
            </w:r>
          </w:p>
        </w:tc>
        <w:tc>
          <w:tcPr>
            <w:tcW w:w="942" w:type="pct"/>
            <w:shd w:val="clear" w:color="auto" w:fill="auto"/>
            <w:vAlign w:val="center"/>
          </w:tcPr>
          <w:p w14:paraId="157947E3">
            <w:pPr>
              <w:pStyle w:val="192"/>
              <w:rPr>
                <w:rFonts w:hint="default" w:ascii="Times New Roman" w:hAnsi="Times New Roman" w:cs="Times New Roman"/>
                <w:spacing w:val="-2"/>
              </w:rPr>
            </w:pPr>
            <w:r>
              <w:rPr>
                <w:rFonts w:hint="default" w:ascii="Times New Roman" w:hAnsi="Times New Roman" w:cs="Times New Roman"/>
                <w:spacing w:val="-2"/>
              </w:rPr>
              <w:t>随时</w:t>
            </w:r>
          </w:p>
        </w:tc>
        <w:tc>
          <w:tcPr>
            <w:tcW w:w="2054" w:type="pct"/>
            <w:gridSpan w:val="2"/>
            <w:shd w:val="clear" w:color="auto" w:fill="auto"/>
            <w:vAlign w:val="center"/>
          </w:tcPr>
          <w:p w14:paraId="68C781BD">
            <w:pPr>
              <w:pStyle w:val="192"/>
              <w:rPr>
                <w:rFonts w:hint="default" w:ascii="Times New Roman" w:hAnsi="Times New Roman" w:cs="Times New Roman"/>
                <w:spacing w:val="-2"/>
              </w:rPr>
            </w:pPr>
            <w:r>
              <w:rPr>
                <w:rFonts w:hint="default" w:ascii="Times New Roman" w:hAnsi="Times New Roman" w:cs="Times New Roman"/>
                <w:spacing w:val="-2"/>
              </w:rPr>
              <w:t>表面平整、没有明显轮迹、裂缝、推挤、油包、离析等</w:t>
            </w:r>
          </w:p>
        </w:tc>
        <w:tc>
          <w:tcPr>
            <w:tcW w:w="813" w:type="pct"/>
            <w:shd w:val="clear" w:color="auto" w:fill="auto"/>
            <w:vAlign w:val="center"/>
          </w:tcPr>
          <w:p w14:paraId="48C92B4B">
            <w:pPr>
              <w:pStyle w:val="192"/>
              <w:rPr>
                <w:rFonts w:hint="default" w:ascii="Times New Roman" w:hAnsi="Times New Roman" w:cs="Times New Roman"/>
                <w:spacing w:val="-2"/>
              </w:rPr>
            </w:pPr>
            <w:r>
              <w:rPr>
                <w:rFonts w:hint="default" w:ascii="Times New Roman" w:hAnsi="Times New Roman" w:cs="Times New Roman"/>
                <w:spacing w:val="-2"/>
              </w:rPr>
              <w:t>目测</w:t>
            </w:r>
          </w:p>
        </w:tc>
      </w:tr>
      <w:tr w14:paraId="64413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191" w:type="pct"/>
            <w:vMerge w:val="restart"/>
            <w:shd w:val="clear" w:color="auto" w:fill="auto"/>
            <w:vAlign w:val="center"/>
          </w:tcPr>
          <w:p w14:paraId="443D0F10">
            <w:pPr>
              <w:pStyle w:val="192"/>
              <w:rPr>
                <w:rFonts w:hint="default" w:ascii="Times New Roman" w:hAnsi="Times New Roman" w:cs="Times New Roman"/>
                <w:spacing w:val="-2"/>
              </w:rPr>
            </w:pPr>
            <w:r>
              <w:rPr>
                <w:rFonts w:hint="default" w:ascii="Times New Roman" w:hAnsi="Times New Roman" w:cs="Times New Roman"/>
                <w:spacing w:val="-2"/>
              </w:rPr>
              <w:t>接缝</w:t>
            </w:r>
          </w:p>
        </w:tc>
        <w:tc>
          <w:tcPr>
            <w:tcW w:w="942" w:type="pct"/>
            <w:shd w:val="clear" w:color="auto" w:fill="auto"/>
            <w:vAlign w:val="center"/>
          </w:tcPr>
          <w:p w14:paraId="7577B68B">
            <w:pPr>
              <w:pStyle w:val="192"/>
              <w:rPr>
                <w:rFonts w:hint="default" w:ascii="Times New Roman" w:hAnsi="Times New Roman" w:cs="Times New Roman"/>
                <w:spacing w:val="-2"/>
              </w:rPr>
            </w:pPr>
            <w:r>
              <w:rPr>
                <w:rFonts w:hint="default" w:ascii="Times New Roman" w:hAnsi="Times New Roman" w:cs="Times New Roman"/>
                <w:spacing w:val="-2"/>
              </w:rPr>
              <w:t>随时</w:t>
            </w:r>
          </w:p>
        </w:tc>
        <w:tc>
          <w:tcPr>
            <w:tcW w:w="2054" w:type="pct"/>
            <w:gridSpan w:val="2"/>
            <w:shd w:val="clear" w:color="auto" w:fill="auto"/>
            <w:vAlign w:val="center"/>
          </w:tcPr>
          <w:p w14:paraId="0CA2FB9E">
            <w:pPr>
              <w:pStyle w:val="192"/>
              <w:rPr>
                <w:rFonts w:hint="default" w:ascii="Times New Roman" w:hAnsi="Times New Roman" w:cs="Times New Roman"/>
                <w:spacing w:val="-2"/>
              </w:rPr>
            </w:pPr>
            <w:r>
              <w:rPr>
                <w:rFonts w:hint="default" w:ascii="Times New Roman" w:hAnsi="Times New Roman" w:cs="Times New Roman"/>
                <w:spacing w:val="-2"/>
              </w:rPr>
              <w:t>紧密、平整顺直、无跳车</w:t>
            </w:r>
          </w:p>
        </w:tc>
        <w:tc>
          <w:tcPr>
            <w:tcW w:w="813" w:type="pct"/>
            <w:shd w:val="clear" w:color="auto" w:fill="auto"/>
            <w:vAlign w:val="center"/>
          </w:tcPr>
          <w:p w14:paraId="639B9F75">
            <w:pPr>
              <w:pStyle w:val="192"/>
              <w:rPr>
                <w:rFonts w:hint="default" w:ascii="Times New Roman" w:hAnsi="Times New Roman" w:cs="Times New Roman"/>
                <w:spacing w:val="-2"/>
              </w:rPr>
            </w:pPr>
            <w:r>
              <w:rPr>
                <w:rFonts w:hint="default" w:ascii="Times New Roman" w:hAnsi="Times New Roman" w:cs="Times New Roman"/>
                <w:spacing w:val="-2"/>
              </w:rPr>
              <w:t>目测</w:t>
            </w:r>
          </w:p>
        </w:tc>
      </w:tr>
      <w:tr w14:paraId="53D59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191" w:type="pct"/>
            <w:vMerge w:val="continue"/>
            <w:shd w:val="clear" w:color="auto" w:fill="auto"/>
            <w:vAlign w:val="center"/>
          </w:tcPr>
          <w:p w14:paraId="3586ED02">
            <w:pPr>
              <w:pStyle w:val="192"/>
              <w:rPr>
                <w:rFonts w:hint="default" w:ascii="Times New Roman" w:hAnsi="Times New Roman" w:cs="Times New Roman"/>
                <w:spacing w:val="-2"/>
              </w:rPr>
            </w:pPr>
          </w:p>
        </w:tc>
        <w:tc>
          <w:tcPr>
            <w:tcW w:w="942" w:type="pct"/>
            <w:shd w:val="clear" w:color="auto" w:fill="auto"/>
            <w:vAlign w:val="center"/>
          </w:tcPr>
          <w:p w14:paraId="143F3527">
            <w:pPr>
              <w:pStyle w:val="192"/>
              <w:rPr>
                <w:rFonts w:hint="default" w:ascii="Times New Roman" w:hAnsi="Times New Roman" w:cs="Times New Roman"/>
                <w:spacing w:val="-2"/>
              </w:rPr>
            </w:pPr>
            <w:r>
              <w:rPr>
                <w:rFonts w:hint="default" w:ascii="Times New Roman" w:hAnsi="Times New Roman" w:cs="Times New Roman"/>
                <w:spacing w:val="-2"/>
              </w:rPr>
              <w:t>逐条缝检测评定</w:t>
            </w:r>
          </w:p>
        </w:tc>
        <w:tc>
          <w:tcPr>
            <w:tcW w:w="1110" w:type="pct"/>
            <w:tcBorders>
              <w:right w:val="single" w:color="auto" w:sz="4" w:space="0"/>
            </w:tcBorders>
            <w:shd w:val="clear" w:color="auto" w:fill="auto"/>
            <w:vAlign w:val="center"/>
          </w:tcPr>
          <w:p w14:paraId="57E6E153">
            <w:pPr>
              <w:pStyle w:val="192"/>
              <w:rPr>
                <w:rFonts w:hint="default" w:ascii="Times New Roman" w:hAnsi="Times New Roman" w:cs="Times New Roman"/>
                <w:spacing w:val="-2"/>
              </w:rPr>
            </w:pPr>
            <w:r>
              <w:rPr>
                <w:rFonts w:hint="default" w:ascii="Times New Roman" w:hAnsi="Times New Roman" w:cs="Times New Roman"/>
                <w:spacing w:val="-2"/>
              </w:rPr>
              <w:t>3mm</w:t>
            </w:r>
          </w:p>
        </w:tc>
        <w:tc>
          <w:tcPr>
            <w:tcW w:w="944" w:type="pct"/>
            <w:tcBorders>
              <w:left w:val="single" w:color="auto" w:sz="4" w:space="0"/>
            </w:tcBorders>
            <w:shd w:val="clear" w:color="auto" w:fill="auto"/>
            <w:vAlign w:val="center"/>
          </w:tcPr>
          <w:p w14:paraId="4F5F03EB">
            <w:pPr>
              <w:pStyle w:val="192"/>
              <w:rPr>
                <w:rFonts w:hint="default" w:ascii="Times New Roman" w:hAnsi="Times New Roman" w:cs="Times New Roman"/>
                <w:spacing w:val="-2"/>
              </w:rPr>
            </w:pPr>
            <w:r>
              <w:rPr>
                <w:rFonts w:hint="default" w:ascii="Times New Roman" w:hAnsi="Times New Roman" w:cs="Times New Roman"/>
                <w:spacing w:val="-2"/>
              </w:rPr>
              <w:t>5mm</w:t>
            </w:r>
          </w:p>
        </w:tc>
        <w:tc>
          <w:tcPr>
            <w:tcW w:w="813" w:type="pct"/>
            <w:shd w:val="clear" w:color="auto" w:fill="auto"/>
            <w:vAlign w:val="center"/>
          </w:tcPr>
          <w:p w14:paraId="0B263540">
            <w:pPr>
              <w:pStyle w:val="192"/>
              <w:rPr>
                <w:rFonts w:hint="default" w:ascii="Times New Roman" w:hAnsi="Times New Roman" w:cs="Times New Roman"/>
                <w:spacing w:val="-2"/>
              </w:rPr>
            </w:pPr>
            <w:r>
              <w:rPr>
                <w:rFonts w:hint="default" w:ascii="Times New Roman" w:hAnsi="Times New Roman" w:cs="Times New Roman"/>
                <w:spacing w:val="-2"/>
              </w:rPr>
              <w:t>T0931</w:t>
            </w:r>
          </w:p>
        </w:tc>
      </w:tr>
      <w:tr w14:paraId="57617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191" w:type="pct"/>
            <w:shd w:val="clear" w:color="auto" w:fill="auto"/>
            <w:vAlign w:val="center"/>
          </w:tcPr>
          <w:p w14:paraId="449FF63F">
            <w:pPr>
              <w:pStyle w:val="192"/>
              <w:rPr>
                <w:rFonts w:hint="default" w:ascii="Times New Roman" w:hAnsi="Times New Roman" w:cs="Times New Roman"/>
                <w:spacing w:val="-2"/>
              </w:rPr>
            </w:pPr>
            <w:r>
              <w:rPr>
                <w:rFonts w:hint="default" w:ascii="Times New Roman" w:hAnsi="Times New Roman" w:cs="Times New Roman"/>
                <w:spacing w:val="-2"/>
              </w:rPr>
              <w:t>摊铺温度</w:t>
            </w:r>
          </w:p>
        </w:tc>
        <w:tc>
          <w:tcPr>
            <w:tcW w:w="942" w:type="pct"/>
            <w:shd w:val="clear" w:color="auto" w:fill="auto"/>
            <w:vAlign w:val="center"/>
          </w:tcPr>
          <w:p w14:paraId="47B6B7F0">
            <w:pPr>
              <w:pStyle w:val="192"/>
              <w:rPr>
                <w:rFonts w:hint="default" w:ascii="Times New Roman" w:hAnsi="Times New Roman" w:cs="Times New Roman"/>
                <w:spacing w:val="-2"/>
              </w:rPr>
            </w:pPr>
            <w:r>
              <w:rPr>
                <w:rFonts w:hint="default" w:ascii="Times New Roman" w:hAnsi="Times New Roman" w:cs="Times New Roman"/>
                <w:spacing w:val="-2"/>
              </w:rPr>
              <w:t>每车</w:t>
            </w:r>
          </w:p>
        </w:tc>
        <w:tc>
          <w:tcPr>
            <w:tcW w:w="2054" w:type="pct"/>
            <w:gridSpan w:val="2"/>
            <w:shd w:val="clear" w:color="auto" w:fill="auto"/>
            <w:vAlign w:val="center"/>
          </w:tcPr>
          <w:p w14:paraId="47BB3EFD">
            <w:pPr>
              <w:pStyle w:val="192"/>
              <w:rPr>
                <w:rFonts w:hint="default" w:ascii="Times New Roman" w:hAnsi="Times New Roman" w:cs="Times New Roman"/>
                <w:spacing w:val="-2"/>
              </w:rPr>
            </w:pPr>
            <w:r>
              <w:rPr>
                <w:rFonts w:hint="default" w:ascii="Times New Roman" w:hAnsi="Times New Roman" w:cs="Times New Roman"/>
                <w:spacing w:val="-2"/>
              </w:rPr>
              <w:t>符合本规程规定</w:t>
            </w:r>
          </w:p>
        </w:tc>
        <w:tc>
          <w:tcPr>
            <w:tcW w:w="813" w:type="pct"/>
            <w:shd w:val="clear" w:color="auto" w:fill="auto"/>
            <w:vAlign w:val="center"/>
          </w:tcPr>
          <w:p w14:paraId="756C50B7">
            <w:pPr>
              <w:pStyle w:val="192"/>
              <w:rPr>
                <w:rFonts w:hint="default" w:ascii="Times New Roman" w:hAnsi="Times New Roman" w:cs="Times New Roman"/>
                <w:spacing w:val="-2"/>
              </w:rPr>
            </w:pPr>
            <w:r>
              <w:rPr>
                <w:rFonts w:hint="default" w:ascii="Times New Roman" w:hAnsi="Times New Roman" w:cs="Times New Roman"/>
                <w:spacing w:val="-2"/>
              </w:rPr>
              <w:t>T0981</w:t>
            </w:r>
          </w:p>
        </w:tc>
      </w:tr>
      <w:tr w14:paraId="2D3CE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191" w:type="pct"/>
            <w:shd w:val="clear" w:color="auto" w:fill="auto"/>
            <w:vAlign w:val="center"/>
          </w:tcPr>
          <w:p w14:paraId="5021AC88">
            <w:pPr>
              <w:pStyle w:val="192"/>
              <w:rPr>
                <w:rFonts w:hint="default" w:ascii="Times New Roman" w:hAnsi="Times New Roman" w:cs="Times New Roman"/>
                <w:spacing w:val="-2"/>
              </w:rPr>
            </w:pPr>
            <w:r>
              <w:rPr>
                <w:rFonts w:hint="default" w:ascii="Times New Roman" w:hAnsi="Times New Roman" w:cs="Times New Roman"/>
                <w:spacing w:val="-2"/>
              </w:rPr>
              <w:t>压实温度</w:t>
            </w:r>
          </w:p>
        </w:tc>
        <w:tc>
          <w:tcPr>
            <w:tcW w:w="942" w:type="pct"/>
            <w:shd w:val="clear" w:color="auto" w:fill="auto"/>
            <w:vAlign w:val="center"/>
          </w:tcPr>
          <w:p w14:paraId="36E4AF14">
            <w:pPr>
              <w:pStyle w:val="192"/>
              <w:rPr>
                <w:rFonts w:hint="default" w:ascii="Times New Roman" w:hAnsi="Times New Roman" w:cs="Times New Roman"/>
                <w:spacing w:val="-2"/>
              </w:rPr>
            </w:pPr>
            <w:r>
              <w:rPr>
                <w:rFonts w:hint="default" w:ascii="Times New Roman" w:hAnsi="Times New Roman" w:cs="Times New Roman"/>
                <w:spacing w:val="-2"/>
              </w:rPr>
              <w:t>随时</w:t>
            </w:r>
          </w:p>
        </w:tc>
        <w:tc>
          <w:tcPr>
            <w:tcW w:w="2054" w:type="pct"/>
            <w:gridSpan w:val="2"/>
            <w:shd w:val="clear" w:color="auto" w:fill="auto"/>
            <w:vAlign w:val="center"/>
          </w:tcPr>
          <w:p w14:paraId="7E1D6BA7">
            <w:pPr>
              <w:pStyle w:val="192"/>
              <w:rPr>
                <w:rFonts w:hint="default" w:ascii="Times New Roman" w:hAnsi="Times New Roman" w:cs="Times New Roman"/>
                <w:spacing w:val="-2"/>
              </w:rPr>
            </w:pPr>
            <w:r>
              <w:rPr>
                <w:rFonts w:hint="default" w:ascii="Times New Roman" w:hAnsi="Times New Roman" w:cs="Times New Roman"/>
                <w:spacing w:val="-2"/>
              </w:rPr>
              <w:t>符合本规程规定</w:t>
            </w:r>
          </w:p>
        </w:tc>
        <w:tc>
          <w:tcPr>
            <w:tcW w:w="813" w:type="pct"/>
            <w:shd w:val="clear" w:color="auto" w:fill="auto"/>
            <w:vAlign w:val="center"/>
          </w:tcPr>
          <w:p w14:paraId="49B7DA42">
            <w:pPr>
              <w:pStyle w:val="192"/>
              <w:rPr>
                <w:rFonts w:hint="default" w:ascii="Times New Roman" w:hAnsi="Times New Roman" w:cs="Times New Roman"/>
                <w:spacing w:val="-2"/>
              </w:rPr>
            </w:pPr>
            <w:r>
              <w:rPr>
                <w:rFonts w:hint="default" w:ascii="Times New Roman" w:hAnsi="Times New Roman" w:cs="Times New Roman"/>
                <w:spacing w:val="-2"/>
              </w:rPr>
              <w:t>插入式温度计实测</w:t>
            </w:r>
          </w:p>
        </w:tc>
      </w:tr>
      <w:tr w14:paraId="64D85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191" w:type="pct"/>
            <w:shd w:val="clear" w:color="auto" w:fill="auto"/>
            <w:vAlign w:val="center"/>
          </w:tcPr>
          <w:p w14:paraId="13AC8EEA">
            <w:pPr>
              <w:pStyle w:val="192"/>
              <w:rPr>
                <w:rFonts w:hint="default" w:ascii="Times New Roman" w:hAnsi="Times New Roman" w:cs="Times New Roman"/>
                <w:spacing w:val="-2"/>
              </w:rPr>
            </w:pPr>
            <w:r>
              <w:rPr>
                <w:rFonts w:hint="default" w:ascii="Times New Roman" w:hAnsi="Times New Roman" w:cs="Times New Roman"/>
                <w:spacing w:val="-2"/>
              </w:rPr>
              <w:t>厚度</w:t>
            </w:r>
          </w:p>
        </w:tc>
        <w:tc>
          <w:tcPr>
            <w:tcW w:w="942" w:type="pct"/>
            <w:shd w:val="clear" w:color="auto" w:fill="auto"/>
            <w:vAlign w:val="center"/>
          </w:tcPr>
          <w:p w14:paraId="5DF36186">
            <w:pPr>
              <w:pStyle w:val="192"/>
              <w:rPr>
                <w:rFonts w:hint="default" w:ascii="Times New Roman" w:hAnsi="Times New Roman" w:cs="Times New Roman"/>
                <w:spacing w:val="-2"/>
              </w:rPr>
            </w:pPr>
            <w:r>
              <w:rPr>
                <w:rFonts w:hint="default" w:ascii="Times New Roman" w:hAnsi="Times New Roman" w:cs="Times New Roman"/>
                <w:spacing w:val="-2"/>
              </w:rPr>
              <w:t>随时，5个断面/km，每个断面测3点</w:t>
            </w:r>
          </w:p>
        </w:tc>
        <w:tc>
          <w:tcPr>
            <w:tcW w:w="2054" w:type="pct"/>
            <w:gridSpan w:val="2"/>
            <w:shd w:val="clear" w:color="auto" w:fill="auto"/>
            <w:vAlign w:val="center"/>
          </w:tcPr>
          <w:p w14:paraId="5CF14C90">
            <w:pPr>
              <w:pStyle w:val="192"/>
              <w:rPr>
                <w:rFonts w:hint="default" w:ascii="Times New Roman" w:hAnsi="Times New Roman" w:cs="Times New Roman"/>
                <w:spacing w:val="-2"/>
              </w:rPr>
            </w:pPr>
            <w:r>
              <w:rPr>
                <w:rFonts w:hint="default" w:ascii="Times New Roman" w:hAnsi="Times New Roman" w:cs="Times New Roman"/>
                <w:spacing w:val="-2"/>
              </w:rPr>
              <w:t>不小于设计值</w:t>
            </w:r>
          </w:p>
        </w:tc>
        <w:tc>
          <w:tcPr>
            <w:tcW w:w="813" w:type="pct"/>
            <w:shd w:val="clear" w:color="auto" w:fill="auto"/>
            <w:vAlign w:val="center"/>
          </w:tcPr>
          <w:p w14:paraId="301305F5">
            <w:pPr>
              <w:pStyle w:val="192"/>
              <w:rPr>
                <w:rFonts w:hint="default" w:ascii="Times New Roman" w:hAnsi="Times New Roman" w:cs="Times New Roman"/>
                <w:spacing w:val="-2"/>
              </w:rPr>
            </w:pPr>
            <w:r>
              <w:rPr>
                <w:rFonts w:hint="default" w:ascii="Times New Roman" w:hAnsi="Times New Roman" w:cs="Times New Roman"/>
                <w:spacing w:val="-2"/>
              </w:rPr>
              <w:t>T0912</w:t>
            </w:r>
          </w:p>
        </w:tc>
      </w:tr>
      <w:tr w14:paraId="31F6E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1191" w:type="pct"/>
            <w:shd w:val="clear" w:color="auto" w:fill="auto"/>
            <w:vAlign w:val="center"/>
          </w:tcPr>
          <w:p w14:paraId="5949B718">
            <w:pPr>
              <w:pStyle w:val="192"/>
              <w:rPr>
                <w:rFonts w:hint="default" w:ascii="Times New Roman" w:hAnsi="Times New Roman" w:cs="Times New Roman"/>
                <w:spacing w:val="-2"/>
              </w:rPr>
            </w:pPr>
            <w:r>
              <w:rPr>
                <w:rFonts w:hint="default" w:ascii="Times New Roman" w:hAnsi="Times New Roman" w:cs="Times New Roman"/>
                <w:spacing w:val="-2"/>
              </w:rPr>
              <w:t>宽度</w:t>
            </w:r>
          </w:p>
        </w:tc>
        <w:tc>
          <w:tcPr>
            <w:tcW w:w="942" w:type="pct"/>
            <w:shd w:val="clear" w:color="auto" w:fill="auto"/>
            <w:vAlign w:val="center"/>
          </w:tcPr>
          <w:p w14:paraId="7C02017C">
            <w:pPr>
              <w:pStyle w:val="192"/>
              <w:rPr>
                <w:rFonts w:hint="default" w:ascii="Times New Roman" w:hAnsi="Times New Roman" w:cs="Times New Roman"/>
                <w:spacing w:val="-2"/>
              </w:rPr>
            </w:pPr>
            <w:r>
              <w:rPr>
                <w:rFonts w:hint="default" w:ascii="Times New Roman" w:hAnsi="Times New Roman" w:cs="Times New Roman"/>
                <w:spacing w:val="-2"/>
              </w:rPr>
              <w:t>随时</w:t>
            </w:r>
          </w:p>
        </w:tc>
        <w:tc>
          <w:tcPr>
            <w:tcW w:w="2054" w:type="pct"/>
            <w:gridSpan w:val="2"/>
            <w:shd w:val="clear" w:color="auto" w:fill="auto"/>
            <w:vAlign w:val="center"/>
          </w:tcPr>
          <w:p w14:paraId="73FFF638">
            <w:pPr>
              <w:pStyle w:val="192"/>
              <w:rPr>
                <w:rFonts w:hint="default" w:ascii="Times New Roman" w:hAnsi="Times New Roman" w:cs="Times New Roman"/>
                <w:spacing w:val="-2"/>
              </w:rPr>
            </w:pPr>
            <w:r>
              <w:rPr>
                <w:rFonts w:hint="default" w:ascii="Times New Roman" w:hAnsi="Times New Roman" w:cs="Times New Roman"/>
                <w:spacing w:val="-2"/>
              </w:rPr>
              <w:t>不小于设计宽度</w:t>
            </w:r>
          </w:p>
        </w:tc>
        <w:tc>
          <w:tcPr>
            <w:tcW w:w="813" w:type="pct"/>
            <w:shd w:val="clear" w:color="auto" w:fill="auto"/>
            <w:vAlign w:val="center"/>
          </w:tcPr>
          <w:p w14:paraId="3D95AC11">
            <w:pPr>
              <w:pStyle w:val="192"/>
              <w:rPr>
                <w:rFonts w:hint="default" w:ascii="Times New Roman" w:hAnsi="Times New Roman" w:cs="Times New Roman"/>
                <w:spacing w:val="-2"/>
              </w:rPr>
            </w:pPr>
            <w:r>
              <w:rPr>
                <w:rFonts w:hint="default" w:ascii="Times New Roman" w:hAnsi="Times New Roman" w:cs="Times New Roman"/>
                <w:spacing w:val="-2"/>
              </w:rPr>
              <w:t>T0911</w:t>
            </w:r>
          </w:p>
        </w:tc>
      </w:tr>
    </w:tbl>
    <w:p w14:paraId="2B19DD71">
      <w:pPr>
        <w:pStyle w:val="49"/>
        <w:numPr>
          <w:ilvl w:val="1"/>
          <w:numId w:val="17"/>
        </w:numPr>
        <w:spacing w:beforeLines="0" w:afterLines="0" w:line="360" w:lineRule="auto"/>
        <w:ind w:left="709"/>
        <w:outlineLvl w:val="1"/>
        <w:rPr>
          <w:rFonts w:hint="default" w:ascii="Times New Roman" w:hAnsi="Times New Roman" w:cs="Times New Roman"/>
          <w:sz w:val="24"/>
        </w:rPr>
      </w:pPr>
      <w:bookmarkStart w:id="82" w:name="_Toc171517490"/>
      <w:bookmarkStart w:id="83" w:name="_Toc31491"/>
      <w:bookmarkStart w:id="84" w:name="_Toc179636674"/>
      <w:r>
        <w:rPr>
          <w:rFonts w:hint="default" w:ascii="Times New Roman" w:hAnsi="Times New Roman" w:cs="Times New Roman"/>
          <w:sz w:val="24"/>
        </w:rPr>
        <w:t>工程验收</w:t>
      </w:r>
      <w:bookmarkEnd w:id="82"/>
      <w:bookmarkEnd w:id="83"/>
      <w:bookmarkEnd w:id="84"/>
    </w:p>
    <w:p w14:paraId="1A50FEDC">
      <w:pPr>
        <w:numPr>
          <w:ilvl w:val="2"/>
          <w:numId w:val="17"/>
        </w:numPr>
        <w:spacing w:line="360" w:lineRule="auto"/>
        <w:ind w:left="0"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高延弹超薄罩面的工程验收应符合表8.3.1的规定。</w:t>
      </w:r>
    </w:p>
    <w:p w14:paraId="304E0A5A">
      <w:pPr>
        <w:pStyle w:val="19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表8.3.1 高延弹超薄罩面的工程验收</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215"/>
        <w:gridCol w:w="1249"/>
        <w:gridCol w:w="1109"/>
        <w:gridCol w:w="1664"/>
        <w:gridCol w:w="1525"/>
        <w:gridCol w:w="1574"/>
      </w:tblGrid>
      <w:tr w14:paraId="73A34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1477" w:type="pct"/>
            <w:gridSpan w:val="2"/>
            <w:vMerge w:val="restart"/>
            <w:shd w:val="clear" w:color="auto" w:fill="auto"/>
            <w:vAlign w:val="center"/>
          </w:tcPr>
          <w:p w14:paraId="34F16FFA">
            <w:pPr>
              <w:pStyle w:val="192"/>
              <w:rPr>
                <w:rFonts w:hint="default" w:ascii="Times New Roman" w:hAnsi="Times New Roman" w:cs="Times New Roman"/>
                <w:spacing w:val="-2"/>
              </w:rPr>
            </w:pPr>
            <w:r>
              <w:rPr>
                <w:rFonts w:hint="default" w:ascii="Times New Roman" w:hAnsi="Times New Roman" w:cs="Times New Roman"/>
                <w:spacing w:val="-2"/>
              </w:rPr>
              <w:t>检测项目</w:t>
            </w:r>
          </w:p>
        </w:tc>
        <w:tc>
          <w:tcPr>
            <w:tcW w:w="665" w:type="pct"/>
            <w:vMerge w:val="restart"/>
            <w:shd w:val="clear" w:color="auto" w:fill="auto"/>
            <w:vAlign w:val="center"/>
          </w:tcPr>
          <w:p w14:paraId="2D619BB8">
            <w:pPr>
              <w:pStyle w:val="192"/>
              <w:rPr>
                <w:rFonts w:hint="default" w:ascii="Times New Roman" w:hAnsi="Times New Roman" w:cs="Times New Roman"/>
                <w:spacing w:val="-2"/>
              </w:rPr>
            </w:pPr>
            <w:r>
              <w:rPr>
                <w:rFonts w:hint="default" w:ascii="Times New Roman" w:hAnsi="Times New Roman" w:cs="Times New Roman"/>
                <w:spacing w:val="-2"/>
              </w:rPr>
              <w:t>检测频率</w:t>
            </w:r>
          </w:p>
        </w:tc>
        <w:tc>
          <w:tcPr>
            <w:tcW w:w="1913" w:type="pct"/>
            <w:gridSpan w:val="2"/>
            <w:shd w:val="clear" w:color="auto" w:fill="auto"/>
            <w:vAlign w:val="center"/>
          </w:tcPr>
          <w:p w14:paraId="149FA9C7">
            <w:pPr>
              <w:pStyle w:val="192"/>
              <w:rPr>
                <w:rFonts w:hint="default" w:ascii="Times New Roman" w:hAnsi="Times New Roman" w:cs="Times New Roman"/>
                <w:spacing w:val="-2"/>
              </w:rPr>
            </w:pPr>
            <w:r>
              <w:rPr>
                <w:rFonts w:hint="default" w:ascii="Times New Roman" w:hAnsi="Times New Roman" w:cs="Times New Roman"/>
                <w:spacing w:val="-2"/>
              </w:rPr>
              <w:t>质量要求或允许偏差</w:t>
            </w:r>
          </w:p>
        </w:tc>
        <w:tc>
          <w:tcPr>
            <w:tcW w:w="944" w:type="pct"/>
            <w:vMerge w:val="restart"/>
            <w:shd w:val="clear" w:color="auto" w:fill="auto"/>
            <w:vAlign w:val="center"/>
          </w:tcPr>
          <w:p w14:paraId="4C40F928">
            <w:pPr>
              <w:pStyle w:val="192"/>
              <w:rPr>
                <w:rFonts w:hint="default" w:ascii="Times New Roman" w:hAnsi="Times New Roman" w:cs="Times New Roman"/>
                <w:spacing w:val="-2"/>
              </w:rPr>
            </w:pPr>
            <w:r>
              <w:rPr>
                <w:rFonts w:hint="default" w:ascii="Times New Roman" w:hAnsi="Times New Roman" w:cs="Times New Roman"/>
                <w:spacing w:val="-2"/>
              </w:rPr>
              <w:t>检测方法</w:t>
            </w:r>
          </w:p>
        </w:tc>
      </w:tr>
      <w:tr w14:paraId="6598C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1477" w:type="pct"/>
            <w:gridSpan w:val="2"/>
            <w:vMerge w:val="continue"/>
            <w:shd w:val="clear" w:color="auto" w:fill="auto"/>
            <w:vAlign w:val="center"/>
          </w:tcPr>
          <w:p w14:paraId="58EABD8E">
            <w:pPr>
              <w:pStyle w:val="192"/>
              <w:rPr>
                <w:rFonts w:hint="default" w:ascii="Times New Roman" w:hAnsi="Times New Roman" w:cs="Times New Roman"/>
                <w:spacing w:val="-2"/>
              </w:rPr>
            </w:pPr>
          </w:p>
        </w:tc>
        <w:tc>
          <w:tcPr>
            <w:tcW w:w="665" w:type="pct"/>
            <w:vMerge w:val="continue"/>
            <w:shd w:val="clear" w:color="auto" w:fill="auto"/>
            <w:vAlign w:val="center"/>
          </w:tcPr>
          <w:p w14:paraId="4076E074">
            <w:pPr>
              <w:pStyle w:val="192"/>
              <w:rPr>
                <w:rFonts w:hint="default" w:ascii="Times New Roman" w:hAnsi="Times New Roman" w:cs="Times New Roman"/>
                <w:spacing w:val="-2"/>
              </w:rPr>
            </w:pPr>
          </w:p>
        </w:tc>
        <w:tc>
          <w:tcPr>
            <w:tcW w:w="998" w:type="pct"/>
            <w:shd w:val="clear" w:color="auto" w:fill="auto"/>
            <w:vAlign w:val="center"/>
          </w:tcPr>
          <w:p w14:paraId="2B8DA340">
            <w:pPr>
              <w:pStyle w:val="192"/>
              <w:rPr>
                <w:rFonts w:hint="default" w:ascii="Times New Roman" w:hAnsi="Times New Roman" w:cs="Times New Roman"/>
                <w:spacing w:val="-2"/>
              </w:rPr>
            </w:pPr>
            <w:r>
              <w:rPr>
                <w:rFonts w:hint="default" w:ascii="Times New Roman" w:hAnsi="Times New Roman" w:cs="Times New Roman"/>
                <w:spacing w:val="-2"/>
              </w:rPr>
              <w:t>高速及一级公路</w:t>
            </w:r>
          </w:p>
        </w:tc>
        <w:tc>
          <w:tcPr>
            <w:tcW w:w="915" w:type="pct"/>
            <w:shd w:val="clear" w:color="auto" w:fill="auto"/>
            <w:vAlign w:val="center"/>
          </w:tcPr>
          <w:p w14:paraId="73BC914F">
            <w:pPr>
              <w:pStyle w:val="192"/>
              <w:rPr>
                <w:rFonts w:hint="default" w:ascii="Times New Roman" w:hAnsi="Times New Roman" w:cs="Times New Roman"/>
                <w:spacing w:val="-2"/>
              </w:rPr>
            </w:pPr>
            <w:r>
              <w:rPr>
                <w:rFonts w:hint="default" w:ascii="Times New Roman" w:hAnsi="Times New Roman" w:cs="Times New Roman"/>
                <w:spacing w:val="-2"/>
              </w:rPr>
              <w:t>其他等级公路</w:t>
            </w:r>
          </w:p>
        </w:tc>
        <w:tc>
          <w:tcPr>
            <w:tcW w:w="944" w:type="pct"/>
            <w:vMerge w:val="continue"/>
            <w:shd w:val="clear" w:color="auto" w:fill="auto"/>
            <w:vAlign w:val="center"/>
          </w:tcPr>
          <w:p w14:paraId="241F7358">
            <w:pPr>
              <w:pStyle w:val="192"/>
              <w:rPr>
                <w:rFonts w:hint="default" w:ascii="Times New Roman" w:hAnsi="Times New Roman" w:cs="Times New Roman"/>
                <w:spacing w:val="-2"/>
              </w:rPr>
            </w:pPr>
          </w:p>
        </w:tc>
      </w:tr>
      <w:tr w14:paraId="1F639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729" w:type="pct"/>
            <w:vMerge w:val="restart"/>
            <w:shd w:val="clear" w:color="auto" w:fill="auto"/>
            <w:vAlign w:val="center"/>
          </w:tcPr>
          <w:p w14:paraId="3089FE27">
            <w:pPr>
              <w:pStyle w:val="192"/>
              <w:rPr>
                <w:rFonts w:hint="default" w:ascii="Times New Roman" w:hAnsi="Times New Roman" w:cs="Times New Roman"/>
                <w:spacing w:val="-2"/>
              </w:rPr>
            </w:pPr>
            <w:r>
              <w:rPr>
                <w:rFonts w:hint="default" w:ascii="Times New Roman" w:hAnsi="Times New Roman" w:cs="Times New Roman"/>
                <w:spacing w:val="-2"/>
              </w:rPr>
              <w:t>平整度*</w:t>
            </w:r>
          </w:p>
        </w:tc>
        <w:tc>
          <w:tcPr>
            <w:tcW w:w="749" w:type="pct"/>
            <w:shd w:val="clear" w:color="auto" w:fill="auto"/>
            <w:vAlign w:val="center"/>
          </w:tcPr>
          <w:p w14:paraId="38E7DE15">
            <w:pPr>
              <w:pStyle w:val="192"/>
              <w:rPr>
                <w:rFonts w:hint="default" w:ascii="Times New Roman" w:hAnsi="Times New Roman" w:cs="Times New Roman"/>
                <w:spacing w:val="-2"/>
              </w:rPr>
            </w:pPr>
            <w:r>
              <w:rPr>
                <w:rFonts w:hint="default" w:ascii="Times New Roman" w:hAnsi="Times New Roman" w:cs="Times New Roman"/>
                <w:spacing w:val="-2"/>
              </w:rPr>
              <w:t>σ（mm）</w:t>
            </w:r>
          </w:p>
        </w:tc>
        <w:tc>
          <w:tcPr>
            <w:tcW w:w="665" w:type="pct"/>
            <w:vMerge w:val="restart"/>
            <w:shd w:val="clear" w:color="auto" w:fill="auto"/>
            <w:vAlign w:val="center"/>
          </w:tcPr>
          <w:p w14:paraId="323FA325">
            <w:pPr>
              <w:pStyle w:val="192"/>
              <w:rPr>
                <w:rFonts w:hint="default" w:ascii="Times New Roman" w:hAnsi="Times New Roman" w:cs="Times New Roman"/>
                <w:spacing w:val="-2"/>
              </w:rPr>
            </w:pPr>
            <w:r>
              <w:rPr>
                <w:rFonts w:hint="default" w:ascii="Times New Roman" w:hAnsi="Times New Roman" w:cs="Times New Roman"/>
                <w:spacing w:val="-2"/>
              </w:rPr>
              <w:t>连续检测</w:t>
            </w:r>
          </w:p>
        </w:tc>
        <w:tc>
          <w:tcPr>
            <w:tcW w:w="998" w:type="pct"/>
            <w:shd w:val="clear" w:color="auto" w:fill="auto"/>
            <w:vAlign w:val="center"/>
          </w:tcPr>
          <w:p w14:paraId="4E62A246">
            <w:pPr>
              <w:pStyle w:val="192"/>
              <w:rPr>
                <w:rFonts w:hint="default" w:ascii="Times New Roman" w:hAnsi="Times New Roman" w:cs="Times New Roman"/>
                <w:spacing w:val="-2"/>
              </w:rPr>
            </w:pPr>
            <w:r>
              <w:rPr>
                <w:rFonts w:hint="default" w:ascii="Times New Roman" w:hAnsi="Times New Roman" w:cs="Times New Roman"/>
                <w:spacing w:val="-2"/>
              </w:rPr>
              <w:t>≤1.5</w:t>
            </w:r>
          </w:p>
        </w:tc>
        <w:tc>
          <w:tcPr>
            <w:tcW w:w="915" w:type="pct"/>
            <w:shd w:val="clear" w:color="auto" w:fill="auto"/>
            <w:vAlign w:val="center"/>
          </w:tcPr>
          <w:p w14:paraId="38F83D7C">
            <w:pPr>
              <w:pStyle w:val="192"/>
              <w:rPr>
                <w:rFonts w:hint="default" w:ascii="Times New Roman" w:hAnsi="Times New Roman" w:cs="Times New Roman"/>
                <w:spacing w:val="-2"/>
              </w:rPr>
            </w:pPr>
            <w:r>
              <w:rPr>
                <w:rFonts w:hint="default" w:ascii="Times New Roman" w:hAnsi="Times New Roman" w:cs="Times New Roman"/>
                <w:spacing w:val="-2"/>
              </w:rPr>
              <w:t>≤2.5</w:t>
            </w:r>
          </w:p>
        </w:tc>
        <w:tc>
          <w:tcPr>
            <w:tcW w:w="944" w:type="pct"/>
            <w:vMerge w:val="restart"/>
            <w:shd w:val="clear" w:color="auto" w:fill="auto"/>
            <w:vAlign w:val="center"/>
          </w:tcPr>
          <w:p w14:paraId="265B80A9">
            <w:pPr>
              <w:pStyle w:val="192"/>
              <w:rPr>
                <w:rFonts w:hint="default" w:ascii="Times New Roman" w:hAnsi="Times New Roman" w:cs="Times New Roman"/>
                <w:spacing w:val="-2"/>
              </w:rPr>
            </w:pPr>
            <w:r>
              <w:rPr>
                <w:rFonts w:hint="default" w:ascii="Times New Roman" w:hAnsi="Times New Roman" w:cs="Times New Roman"/>
                <w:spacing w:val="-2"/>
              </w:rPr>
              <w:t>T0932或T0934</w:t>
            </w:r>
          </w:p>
        </w:tc>
      </w:tr>
      <w:tr w14:paraId="11CC4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729" w:type="pct"/>
            <w:vMerge w:val="continue"/>
            <w:shd w:val="clear" w:color="auto" w:fill="auto"/>
            <w:vAlign w:val="center"/>
          </w:tcPr>
          <w:p w14:paraId="4AFA2B00">
            <w:pPr>
              <w:pStyle w:val="192"/>
              <w:rPr>
                <w:rFonts w:hint="default" w:ascii="Times New Roman" w:hAnsi="Times New Roman" w:cs="Times New Roman"/>
                <w:spacing w:val="-2"/>
              </w:rPr>
            </w:pPr>
          </w:p>
        </w:tc>
        <w:tc>
          <w:tcPr>
            <w:tcW w:w="749" w:type="pct"/>
            <w:shd w:val="clear" w:color="auto" w:fill="auto"/>
            <w:vAlign w:val="center"/>
          </w:tcPr>
          <w:p w14:paraId="7A506C2C">
            <w:pPr>
              <w:pStyle w:val="192"/>
              <w:rPr>
                <w:rFonts w:hint="default" w:ascii="Times New Roman" w:hAnsi="Times New Roman" w:cs="Times New Roman"/>
                <w:spacing w:val="-2"/>
              </w:rPr>
            </w:pPr>
            <w:r>
              <w:rPr>
                <w:rFonts w:hint="default" w:ascii="Times New Roman" w:hAnsi="Times New Roman" w:cs="Times New Roman"/>
                <w:spacing w:val="-2"/>
              </w:rPr>
              <w:t>IRI（m/km）</w:t>
            </w:r>
          </w:p>
        </w:tc>
        <w:tc>
          <w:tcPr>
            <w:tcW w:w="665" w:type="pct"/>
            <w:vMerge w:val="continue"/>
            <w:shd w:val="clear" w:color="auto" w:fill="auto"/>
            <w:vAlign w:val="center"/>
          </w:tcPr>
          <w:p w14:paraId="7A52D7A1">
            <w:pPr>
              <w:pStyle w:val="192"/>
              <w:rPr>
                <w:rFonts w:hint="default" w:ascii="Times New Roman" w:hAnsi="Times New Roman" w:cs="Times New Roman"/>
                <w:spacing w:val="-2"/>
              </w:rPr>
            </w:pPr>
          </w:p>
        </w:tc>
        <w:tc>
          <w:tcPr>
            <w:tcW w:w="998" w:type="pct"/>
            <w:shd w:val="clear" w:color="auto" w:fill="auto"/>
            <w:vAlign w:val="center"/>
          </w:tcPr>
          <w:p w14:paraId="5727413C">
            <w:pPr>
              <w:pStyle w:val="192"/>
              <w:rPr>
                <w:rFonts w:hint="default" w:ascii="Times New Roman" w:hAnsi="Times New Roman" w:cs="Times New Roman"/>
                <w:spacing w:val="-2"/>
              </w:rPr>
            </w:pPr>
            <w:r>
              <w:rPr>
                <w:rFonts w:hint="default" w:ascii="Times New Roman" w:hAnsi="Times New Roman" w:cs="Times New Roman"/>
                <w:spacing w:val="-2"/>
              </w:rPr>
              <w:t>≤2.5</w:t>
            </w:r>
          </w:p>
        </w:tc>
        <w:tc>
          <w:tcPr>
            <w:tcW w:w="915" w:type="pct"/>
            <w:shd w:val="clear" w:color="auto" w:fill="auto"/>
            <w:vAlign w:val="center"/>
          </w:tcPr>
          <w:p w14:paraId="17FE7D7B">
            <w:pPr>
              <w:pStyle w:val="192"/>
              <w:rPr>
                <w:rFonts w:hint="default" w:ascii="Times New Roman" w:hAnsi="Times New Roman" w:cs="Times New Roman"/>
                <w:spacing w:val="-2"/>
              </w:rPr>
            </w:pPr>
            <w:r>
              <w:rPr>
                <w:rFonts w:hint="default" w:ascii="Times New Roman" w:hAnsi="Times New Roman" w:cs="Times New Roman"/>
                <w:spacing w:val="-2"/>
              </w:rPr>
              <w:t>≤4.2</w:t>
            </w:r>
          </w:p>
        </w:tc>
        <w:tc>
          <w:tcPr>
            <w:tcW w:w="944" w:type="pct"/>
            <w:vMerge w:val="continue"/>
            <w:shd w:val="clear" w:color="auto" w:fill="auto"/>
            <w:vAlign w:val="center"/>
          </w:tcPr>
          <w:p w14:paraId="192093A1">
            <w:pPr>
              <w:pStyle w:val="192"/>
              <w:rPr>
                <w:rFonts w:hint="default" w:ascii="Times New Roman" w:hAnsi="Times New Roman" w:cs="Times New Roman"/>
                <w:spacing w:val="-2"/>
              </w:rPr>
            </w:pPr>
          </w:p>
        </w:tc>
      </w:tr>
      <w:tr w14:paraId="3BFB7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729" w:type="pct"/>
            <w:vMerge w:val="restart"/>
            <w:shd w:val="clear" w:color="auto" w:fill="auto"/>
            <w:vAlign w:val="center"/>
          </w:tcPr>
          <w:p w14:paraId="64CAD2B5">
            <w:pPr>
              <w:pStyle w:val="192"/>
              <w:rPr>
                <w:rFonts w:hint="default" w:ascii="Times New Roman" w:hAnsi="Times New Roman" w:cs="Times New Roman"/>
                <w:spacing w:val="-2"/>
              </w:rPr>
            </w:pPr>
            <w:r>
              <w:rPr>
                <w:rFonts w:hint="default" w:ascii="Times New Roman" w:hAnsi="Times New Roman" w:cs="Times New Roman"/>
                <w:spacing w:val="-2"/>
              </w:rPr>
              <w:t>厚度（mm）</w:t>
            </w:r>
          </w:p>
        </w:tc>
        <w:tc>
          <w:tcPr>
            <w:tcW w:w="749" w:type="pct"/>
            <w:shd w:val="clear" w:color="auto" w:fill="auto"/>
            <w:vAlign w:val="center"/>
          </w:tcPr>
          <w:p w14:paraId="54026250">
            <w:pPr>
              <w:pStyle w:val="192"/>
              <w:rPr>
                <w:rFonts w:hint="default" w:ascii="Times New Roman" w:hAnsi="Times New Roman" w:cs="Times New Roman"/>
                <w:spacing w:val="-2"/>
              </w:rPr>
            </w:pPr>
            <w:r>
              <w:rPr>
                <w:rFonts w:hint="default" w:ascii="Times New Roman" w:hAnsi="Times New Roman" w:cs="Times New Roman"/>
                <w:spacing w:val="-2"/>
              </w:rPr>
              <w:t>均值</w:t>
            </w:r>
          </w:p>
        </w:tc>
        <w:tc>
          <w:tcPr>
            <w:tcW w:w="665" w:type="pct"/>
            <w:vMerge w:val="restart"/>
            <w:shd w:val="clear" w:color="auto" w:fill="auto"/>
            <w:vAlign w:val="center"/>
          </w:tcPr>
          <w:p w14:paraId="7A827ADD">
            <w:pPr>
              <w:pStyle w:val="192"/>
              <w:rPr>
                <w:rFonts w:hint="default" w:ascii="Times New Roman" w:hAnsi="Times New Roman" w:cs="Times New Roman"/>
                <w:spacing w:val="-2"/>
              </w:rPr>
            </w:pPr>
            <w:r>
              <w:rPr>
                <w:rFonts w:hint="default" w:ascii="Times New Roman" w:hAnsi="Times New Roman" w:cs="Times New Roman"/>
                <w:spacing w:val="-2"/>
              </w:rPr>
              <w:t>5个点/km</w:t>
            </w:r>
          </w:p>
        </w:tc>
        <w:tc>
          <w:tcPr>
            <w:tcW w:w="1913" w:type="pct"/>
            <w:gridSpan w:val="2"/>
            <w:shd w:val="clear" w:color="auto" w:fill="auto"/>
            <w:vAlign w:val="center"/>
          </w:tcPr>
          <w:p w14:paraId="7AB06E63">
            <w:pPr>
              <w:pStyle w:val="192"/>
              <w:rPr>
                <w:rFonts w:hint="default" w:ascii="Times New Roman" w:hAnsi="Times New Roman" w:cs="Times New Roman"/>
                <w:spacing w:val="-2"/>
              </w:rPr>
            </w:pPr>
            <w:r>
              <w:rPr>
                <w:rFonts w:hint="default" w:ascii="Times New Roman" w:hAnsi="Times New Roman" w:cs="Times New Roman"/>
                <w:spacing w:val="-2"/>
              </w:rPr>
              <w:t>不小于设计值</w:t>
            </w:r>
          </w:p>
        </w:tc>
        <w:tc>
          <w:tcPr>
            <w:tcW w:w="944" w:type="pct"/>
            <w:vMerge w:val="restart"/>
            <w:shd w:val="clear" w:color="auto" w:fill="auto"/>
            <w:vAlign w:val="center"/>
          </w:tcPr>
          <w:p w14:paraId="5D87C0C7">
            <w:pPr>
              <w:pStyle w:val="192"/>
              <w:rPr>
                <w:rFonts w:hint="default" w:ascii="Times New Roman" w:hAnsi="Times New Roman" w:cs="Times New Roman"/>
                <w:spacing w:val="-2"/>
              </w:rPr>
            </w:pPr>
            <w:r>
              <w:rPr>
                <w:rFonts w:hint="default" w:ascii="Times New Roman" w:hAnsi="Times New Roman" w:cs="Times New Roman"/>
                <w:spacing w:val="-2"/>
              </w:rPr>
              <w:t xml:space="preserve">T0912 </w:t>
            </w:r>
          </w:p>
        </w:tc>
      </w:tr>
      <w:tr w14:paraId="505B4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729" w:type="pct"/>
            <w:vMerge w:val="continue"/>
            <w:shd w:val="clear" w:color="auto" w:fill="auto"/>
            <w:vAlign w:val="center"/>
          </w:tcPr>
          <w:p w14:paraId="38789A20">
            <w:pPr>
              <w:pStyle w:val="192"/>
              <w:rPr>
                <w:rFonts w:hint="default" w:ascii="Times New Roman" w:hAnsi="Times New Roman" w:cs="Times New Roman"/>
                <w:spacing w:val="-2"/>
              </w:rPr>
            </w:pPr>
          </w:p>
        </w:tc>
        <w:tc>
          <w:tcPr>
            <w:tcW w:w="749" w:type="pct"/>
            <w:shd w:val="clear" w:color="auto" w:fill="auto"/>
            <w:vAlign w:val="center"/>
          </w:tcPr>
          <w:p w14:paraId="05BD9B84">
            <w:pPr>
              <w:pStyle w:val="192"/>
              <w:rPr>
                <w:rFonts w:hint="default" w:ascii="Times New Roman" w:hAnsi="Times New Roman" w:cs="Times New Roman"/>
                <w:spacing w:val="-2"/>
              </w:rPr>
            </w:pPr>
            <w:r>
              <w:rPr>
                <w:rFonts w:hint="default" w:ascii="Times New Roman" w:hAnsi="Times New Roman" w:cs="Times New Roman"/>
                <w:spacing w:val="-2"/>
              </w:rPr>
              <w:t>代表值</w:t>
            </w:r>
          </w:p>
        </w:tc>
        <w:tc>
          <w:tcPr>
            <w:tcW w:w="665" w:type="pct"/>
            <w:vMerge w:val="continue"/>
            <w:shd w:val="clear" w:color="auto" w:fill="auto"/>
            <w:vAlign w:val="center"/>
          </w:tcPr>
          <w:p w14:paraId="5603BAEB">
            <w:pPr>
              <w:pStyle w:val="192"/>
              <w:rPr>
                <w:rFonts w:hint="default" w:ascii="Times New Roman" w:hAnsi="Times New Roman" w:cs="Times New Roman"/>
                <w:spacing w:val="-2"/>
              </w:rPr>
            </w:pPr>
          </w:p>
        </w:tc>
        <w:tc>
          <w:tcPr>
            <w:tcW w:w="1913" w:type="pct"/>
            <w:gridSpan w:val="2"/>
            <w:shd w:val="clear" w:color="auto" w:fill="auto"/>
            <w:vAlign w:val="center"/>
          </w:tcPr>
          <w:p w14:paraId="6826AA67">
            <w:pPr>
              <w:pStyle w:val="192"/>
              <w:rPr>
                <w:rFonts w:hint="default" w:ascii="Times New Roman" w:hAnsi="Times New Roman" w:cs="Times New Roman"/>
                <w:spacing w:val="-2"/>
              </w:rPr>
            </w:pPr>
            <w:r>
              <w:rPr>
                <w:rFonts w:hint="default" w:ascii="Times New Roman" w:hAnsi="Times New Roman" w:cs="Times New Roman"/>
                <w:spacing w:val="-2"/>
              </w:rPr>
              <w:t>设计厚度-10%</w:t>
            </w:r>
          </w:p>
        </w:tc>
        <w:tc>
          <w:tcPr>
            <w:tcW w:w="944" w:type="pct"/>
            <w:vMerge w:val="continue"/>
            <w:shd w:val="clear" w:color="auto" w:fill="auto"/>
            <w:vAlign w:val="center"/>
          </w:tcPr>
          <w:p w14:paraId="2E6413E0">
            <w:pPr>
              <w:pStyle w:val="192"/>
              <w:rPr>
                <w:rFonts w:hint="default" w:ascii="Times New Roman" w:hAnsi="Times New Roman" w:cs="Times New Roman"/>
                <w:spacing w:val="-2"/>
              </w:rPr>
            </w:pPr>
          </w:p>
        </w:tc>
      </w:tr>
      <w:tr w14:paraId="153D7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1477" w:type="pct"/>
            <w:gridSpan w:val="2"/>
            <w:shd w:val="clear" w:color="auto" w:fill="auto"/>
            <w:vAlign w:val="center"/>
          </w:tcPr>
          <w:p w14:paraId="38751BD6">
            <w:pPr>
              <w:pStyle w:val="192"/>
              <w:rPr>
                <w:rFonts w:hint="default" w:ascii="Times New Roman" w:hAnsi="Times New Roman" w:cs="Times New Roman"/>
                <w:spacing w:val="-2"/>
              </w:rPr>
            </w:pPr>
            <w:r>
              <w:rPr>
                <w:rFonts w:hint="default" w:ascii="Times New Roman" w:hAnsi="Times New Roman" w:cs="Times New Roman"/>
                <w:spacing w:val="-2"/>
              </w:rPr>
              <w:t>宽度（mm）</w:t>
            </w:r>
          </w:p>
        </w:tc>
        <w:tc>
          <w:tcPr>
            <w:tcW w:w="665" w:type="pct"/>
            <w:shd w:val="clear" w:color="auto" w:fill="auto"/>
            <w:vAlign w:val="center"/>
          </w:tcPr>
          <w:p w14:paraId="7FB9A872">
            <w:pPr>
              <w:pStyle w:val="192"/>
              <w:rPr>
                <w:rFonts w:hint="default" w:ascii="Times New Roman" w:hAnsi="Times New Roman" w:cs="Times New Roman"/>
                <w:spacing w:val="-2"/>
              </w:rPr>
            </w:pPr>
            <w:r>
              <w:rPr>
                <w:rFonts w:hint="default" w:ascii="Times New Roman" w:hAnsi="Times New Roman" w:cs="Times New Roman"/>
                <w:spacing w:val="-2"/>
              </w:rPr>
              <w:t>5个点/km</w:t>
            </w:r>
          </w:p>
        </w:tc>
        <w:tc>
          <w:tcPr>
            <w:tcW w:w="1913" w:type="pct"/>
            <w:gridSpan w:val="2"/>
            <w:shd w:val="clear" w:color="auto" w:fill="auto"/>
            <w:vAlign w:val="center"/>
          </w:tcPr>
          <w:p w14:paraId="1080171A">
            <w:pPr>
              <w:pStyle w:val="192"/>
              <w:rPr>
                <w:rFonts w:hint="default" w:ascii="Times New Roman" w:hAnsi="Times New Roman" w:cs="Times New Roman"/>
                <w:spacing w:val="-2"/>
              </w:rPr>
            </w:pPr>
            <w:r>
              <w:rPr>
                <w:rFonts w:hint="default" w:ascii="Times New Roman" w:hAnsi="Times New Roman" w:cs="Times New Roman"/>
                <w:spacing w:val="-2"/>
              </w:rPr>
              <w:t>不小于设计值</w:t>
            </w:r>
          </w:p>
        </w:tc>
        <w:tc>
          <w:tcPr>
            <w:tcW w:w="944" w:type="pct"/>
            <w:shd w:val="clear" w:color="auto" w:fill="auto"/>
            <w:vAlign w:val="center"/>
          </w:tcPr>
          <w:p w14:paraId="1D02F353">
            <w:pPr>
              <w:pStyle w:val="192"/>
              <w:rPr>
                <w:rFonts w:hint="default" w:ascii="Times New Roman" w:hAnsi="Times New Roman" w:cs="Times New Roman"/>
                <w:spacing w:val="-2"/>
              </w:rPr>
            </w:pPr>
            <w:r>
              <w:rPr>
                <w:rFonts w:hint="default" w:ascii="Times New Roman" w:hAnsi="Times New Roman" w:cs="Times New Roman"/>
                <w:spacing w:val="-2"/>
              </w:rPr>
              <w:t>T0911</w:t>
            </w:r>
          </w:p>
        </w:tc>
      </w:tr>
      <w:tr w14:paraId="4C692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729" w:type="pct"/>
            <w:vMerge w:val="restart"/>
            <w:shd w:val="clear" w:color="auto" w:fill="auto"/>
            <w:vAlign w:val="center"/>
          </w:tcPr>
          <w:p w14:paraId="5890AF1F">
            <w:pPr>
              <w:pStyle w:val="192"/>
              <w:rPr>
                <w:rFonts w:hint="default" w:ascii="Times New Roman" w:hAnsi="Times New Roman" w:cs="Times New Roman"/>
                <w:spacing w:val="-2"/>
              </w:rPr>
            </w:pPr>
            <w:r>
              <w:rPr>
                <w:rFonts w:hint="default" w:ascii="Times New Roman" w:hAnsi="Times New Roman" w:cs="Times New Roman"/>
                <w:spacing w:val="-2"/>
              </w:rPr>
              <w:t>抗滑性能</w:t>
            </w:r>
          </w:p>
        </w:tc>
        <w:tc>
          <w:tcPr>
            <w:tcW w:w="749" w:type="pct"/>
            <w:shd w:val="clear" w:color="auto" w:fill="auto"/>
            <w:vAlign w:val="center"/>
          </w:tcPr>
          <w:p w14:paraId="419B0B35">
            <w:pPr>
              <w:pStyle w:val="192"/>
              <w:rPr>
                <w:rFonts w:hint="default" w:ascii="Times New Roman" w:hAnsi="Times New Roman" w:cs="Times New Roman"/>
                <w:spacing w:val="-2"/>
              </w:rPr>
            </w:pPr>
            <w:r>
              <w:rPr>
                <w:rFonts w:hint="default" w:ascii="Times New Roman" w:hAnsi="Times New Roman" w:cs="Times New Roman"/>
                <w:spacing w:val="-2"/>
              </w:rPr>
              <w:t>摆值F</w:t>
            </w:r>
            <w:r>
              <w:rPr>
                <w:rFonts w:hint="default" w:ascii="Times New Roman" w:hAnsi="Times New Roman" w:cs="Times New Roman"/>
                <w:spacing w:val="-2"/>
                <w:vertAlign w:val="subscript"/>
              </w:rPr>
              <w:t>b</w:t>
            </w:r>
          </w:p>
        </w:tc>
        <w:tc>
          <w:tcPr>
            <w:tcW w:w="665" w:type="pct"/>
            <w:vMerge w:val="restart"/>
            <w:shd w:val="clear" w:color="auto" w:fill="auto"/>
            <w:vAlign w:val="center"/>
          </w:tcPr>
          <w:p w14:paraId="7409CD03">
            <w:pPr>
              <w:pStyle w:val="192"/>
              <w:rPr>
                <w:rFonts w:hint="default" w:ascii="Times New Roman" w:hAnsi="Times New Roman" w:cs="Times New Roman"/>
                <w:spacing w:val="-2"/>
              </w:rPr>
            </w:pPr>
            <w:r>
              <w:rPr>
                <w:rFonts w:hint="default" w:ascii="Times New Roman" w:hAnsi="Times New Roman" w:cs="Times New Roman"/>
                <w:spacing w:val="-2"/>
              </w:rPr>
              <w:t>5个点/km</w:t>
            </w:r>
          </w:p>
        </w:tc>
        <w:tc>
          <w:tcPr>
            <w:tcW w:w="998" w:type="pct"/>
            <w:tcBorders>
              <w:bottom w:val="single" w:color="auto" w:sz="4" w:space="0"/>
            </w:tcBorders>
            <w:shd w:val="clear" w:color="auto" w:fill="auto"/>
            <w:vAlign w:val="center"/>
          </w:tcPr>
          <w:p w14:paraId="370AE759">
            <w:pPr>
              <w:pStyle w:val="192"/>
              <w:rPr>
                <w:rFonts w:hint="default" w:ascii="Times New Roman" w:hAnsi="Times New Roman" w:cs="Times New Roman"/>
                <w:spacing w:val="-2"/>
              </w:rPr>
            </w:pPr>
            <w:r>
              <w:rPr>
                <w:rFonts w:hint="default" w:ascii="Times New Roman" w:hAnsi="Times New Roman" w:cs="Times New Roman"/>
                <w:spacing w:val="-2"/>
              </w:rPr>
              <w:t>≥52</w:t>
            </w:r>
          </w:p>
        </w:tc>
        <w:tc>
          <w:tcPr>
            <w:tcW w:w="915" w:type="pct"/>
            <w:vMerge w:val="restart"/>
            <w:shd w:val="clear" w:color="auto" w:fill="auto"/>
            <w:vAlign w:val="center"/>
          </w:tcPr>
          <w:p w14:paraId="385A1387">
            <w:pPr>
              <w:pStyle w:val="192"/>
              <w:rPr>
                <w:rFonts w:hint="default" w:ascii="Times New Roman" w:hAnsi="Times New Roman" w:cs="Times New Roman"/>
                <w:spacing w:val="-2"/>
              </w:rPr>
            </w:pPr>
            <w:r>
              <w:rPr>
                <w:rFonts w:hint="default" w:ascii="Times New Roman" w:hAnsi="Times New Roman" w:cs="Times New Roman"/>
                <w:spacing w:val="-2"/>
              </w:rPr>
              <w:t>符合设计要求</w:t>
            </w:r>
          </w:p>
        </w:tc>
        <w:tc>
          <w:tcPr>
            <w:tcW w:w="944" w:type="pct"/>
            <w:shd w:val="clear" w:color="auto" w:fill="auto"/>
            <w:vAlign w:val="center"/>
          </w:tcPr>
          <w:p w14:paraId="72AC05D8">
            <w:pPr>
              <w:pStyle w:val="192"/>
              <w:rPr>
                <w:rFonts w:hint="default" w:ascii="Times New Roman" w:hAnsi="Times New Roman" w:cs="Times New Roman"/>
                <w:spacing w:val="-2"/>
              </w:rPr>
            </w:pPr>
            <w:r>
              <w:rPr>
                <w:rFonts w:hint="default" w:ascii="Times New Roman" w:hAnsi="Times New Roman" w:cs="Times New Roman"/>
                <w:spacing w:val="-2"/>
              </w:rPr>
              <w:t>T0964</w:t>
            </w:r>
          </w:p>
        </w:tc>
      </w:tr>
      <w:tr w14:paraId="25738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729" w:type="pct"/>
            <w:vMerge w:val="continue"/>
            <w:shd w:val="clear" w:color="auto" w:fill="auto"/>
            <w:vAlign w:val="center"/>
          </w:tcPr>
          <w:p w14:paraId="7A062ED9">
            <w:pPr>
              <w:pStyle w:val="192"/>
              <w:rPr>
                <w:rFonts w:hint="default" w:ascii="Times New Roman" w:hAnsi="Times New Roman" w:cs="Times New Roman"/>
                <w:spacing w:val="-2"/>
              </w:rPr>
            </w:pPr>
          </w:p>
        </w:tc>
        <w:tc>
          <w:tcPr>
            <w:tcW w:w="749" w:type="pct"/>
            <w:shd w:val="clear" w:color="auto" w:fill="auto"/>
            <w:vAlign w:val="center"/>
          </w:tcPr>
          <w:p w14:paraId="5A4041DA">
            <w:pPr>
              <w:pStyle w:val="192"/>
              <w:rPr>
                <w:rFonts w:hint="default" w:ascii="Times New Roman" w:hAnsi="Times New Roman" w:cs="Times New Roman"/>
                <w:spacing w:val="-2"/>
              </w:rPr>
            </w:pPr>
            <w:r>
              <w:rPr>
                <w:rFonts w:hint="default" w:ascii="Times New Roman" w:hAnsi="Times New Roman" w:cs="Times New Roman"/>
                <w:spacing w:val="-2"/>
              </w:rPr>
              <w:t>横向力系数</w:t>
            </w:r>
          </w:p>
        </w:tc>
        <w:tc>
          <w:tcPr>
            <w:tcW w:w="665" w:type="pct"/>
            <w:vMerge w:val="continue"/>
            <w:shd w:val="clear" w:color="auto" w:fill="auto"/>
            <w:vAlign w:val="center"/>
          </w:tcPr>
          <w:p w14:paraId="6E2B2E52">
            <w:pPr>
              <w:pStyle w:val="192"/>
              <w:rPr>
                <w:rFonts w:hint="default" w:ascii="Times New Roman" w:hAnsi="Times New Roman" w:cs="Times New Roman"/>
                <w:spacing w:val="-2"/>
              </w:rPr>
            </w:pPr>
          </w:p>
        </w:tc>
        <w:tc>
          <w:tcPr>
            <w:tcW w:w="998" w:type="pct"/>
            <w:tcBorders>
              <w:top w:val="single" w:color="auto" w:sz="4" w:space="0"/>
            </w:tcBorders>
            <w:shd w:val="clear" w:color="auto" w:fill="auto"/>
            <w:vAlign w:val="center"/>
          </w:tcPr>
          <w:p w14:paraId="099CEFBC">
            <w:pPr>
              <w:pStyle w:val="192"/>
              <w:rPr>
                <w:rFonts w:hint="default" w:ascii="Times New Roman" w:hAnsi="Times New Roman" w:cs="Times New Roman"/>
                <w:spacing w:val="-2"/>
              </w:rPr>
            </w:pPr>
            <w:r>
              <w:rPr>
                <w:rFonts w:hint="default" w:ascii="Times New Roman" w:hAnsi="Times New Roman" w:cs="Times New Roman"/>
                <w:spacing w:val="-2"/>
              </w:rPr>
              <w:t>≥54</w:t>
            </w:r>
          </w:p>
        </w:tc>
        <w:tc>
          <w:tcPr>
            <w:tcW w:w="915" w:type="pct"/>
            <w:vMerge w:val="continue"/>
            <w:shd w:val="clear" w:color="auto" w:fill="auto"/>
            <w:vAlign w:val="center"/>
          </w:tcPr>
          <w:p w14:paraId="64A5C128">
            <w:pPr>
              <w:pStyle w:val="192"/>
              <w:rPr>
                <w:rFonts w:hint="default" w:ascii="Times New Roman" w:hAnsi="Times New Roman" w:cs="Times New Roman"/>
                <w:spacing w:val="-2"/>
              </w:rPr>
            </w:pPr>
          </w:p>
        </w:tc>
        <w:tc>
          <w:tcPr>
            <w:tcW w:w="944" w:type="pct"/>
            <w:shd w:val="clear" w:color="auto" w:fill="auto"/>
            <w:vAlign w:val="center"/>
          </w:tcPr>
          <w:p w14:paraId="45F00EC5">
            <w:pPr>
              <w:pStyle w:val="192"/>
              <w:rPr>
                <w:rFonts w:hint="default" w:ascii="Times New Roman" w:hAnsi="Times New Roman" w:cs="Times New Roman"/>
                <w:spacing w:val="-2"/>
              </w:rPr>
            </w:pPr>
            <w:r>
              <w:rPr>
                <w:rFonts w:hint="default" w:ascii="Times New Roman" w:hAnsi="Times New Roman" w:cs="Times New Roman"/>
                <w:spacing w:val="-2"/>
              </w:rPr>
              <w:t>T0965或T0967</w:t>
            </w:r>
          </w:p>
        </w:tc>
      </w:tr>
      <w:tr w14:paraId="73078A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729" w:type="pct"/>
            <w:vMerge w:val="continue"/>
            <w:shd w:val="clear" w:color="auto" w:fill="auto"/>
            <w:vAlign w:val="center"/>
          </w:tcPr>
          <w:p w14:paraId="5B829066">
            <w:pPr>
              <w:pStyle w:val="192"/>
              <w:rPr>
                <w:rFonts w:hint="default" w:ascii="Times New Roman" w:hAnsi="Times New Roman" w:cs="Times New Roman"/>
                <w:spacing w:val="-2"/>
              </w:rPr>
            </w:pPr>
          </w:p>
        </w:tc>
        <w:tc>
          <w:tcPr>
            <w:tcW w:w="749" w:type="pct"/>
            <w:shd w:val="clear" w:color="auto" w:fill="auto"/>
            <w:vAlign w:val="center"/>
          </w:tcPr>
          <w:p w14:paraId="3AEA7332">
            <w:pPr>
              <w:pStyle w:val="192"/>
              <w:rPr>
                <w:rFonts w:hint="default" w:ascii="Times New Roman" w:hAnsi="Times New Roman" w:cs="Times New Roman"/>
                <w:spacing w:val="-2"/>
              </w:rPr>
            </w:pPr>
            <w:r>
              <w:rPr>
                <w:rFonts w:hint="default" w:ascii="Times New Roman" w:hAnsi="Times New Roman" w:cs="Times New Roman"/>
                <w:spacing w:val="-2"/>
              </w:rPr>
              <w:t>构造深度</w:t>
            </w:r>
          </w:p>
        </w:tc>
        <w:tc>
          <w:tcPr>
            <w:tcW w:w="665" w:type="pct"/>
            <w:vMerge w:val="continue"/>
            <w:shd w:val="clear" w:color="auto" w:fill="auto"/>
            <w:vAlign w:val="center"/>
          </w:tcPr>
          <w:p w14:paraId="4F520C58">
            <w:pPr>
              <w:pStyle w:val="192"/>
              <w:rPr>
                <w:rFonts w:hint="default" w:ascii="Times New Roman" w:hAnsi="Times New Roman" w:cs="Times New Roman"/>
                <w:spacing w:val="-2"/>
              </w:rPr>
            </w:pPr>
          </w:p>
        </w:tc>
        <w:tc>
          <w:tcPr>
            <w:tcW w:w="998" w:type="pct"/>
            <w:shd w:val="clear" w:color="auto" w:fill="auto"/>
            <w:vAlign w:val="center"/>
          </w:tcPr>
          <w:p w14:paraId="19B07B3D">
            <w:pPr>
              <w:pStyle w:val="192"/>
              <w:rPr>
                <w:rFonts w:hint="default" w:ascii="Times New Roman" w:hAnsi="Times New Roman" w:cs="Times New Roman"/>
                <w:spacing w:val="-2"/>
              </w:rPr>
            </w:pPr>
            <w:r>
              <w:rPr>
                <w:rFonts w:hint="default" w:ascii="Times New Roman" w:hAnsi="Times New Roman" w:cs="Times New Roman"/>
                <w:spacing w:val="-2"/>
              </w:rPr>
              <w:t>≥0.60</w:t>
            </w:r>
          </w:p>
        </w:tc>
        <w:tc>
          <w:tcPr>
            <w:tcW w:w="915" w:type="pct"/>
            <w:vMerge w:val="continue"/>
            <w:shd w:val="clear" w:color="auto" w:fill="auto"/>
            <w:vAlign w:val="center"/>
          </w:tcPr>
          <w:p w14:paraId="2274A2E3">
            <w:pPr>
              <w:pStyle w:val="192"/>
              <w:rPr>
                <w:rFonts w:hint="default" w:ascii="Times New Roman" w:hAnsi="Times New Roman" w:cs="Times New Roman"/>
                <w:spacing w:val="-2"/>
              </w:rPr>
            </w:pPr>
          </w:p>
        </w:tc>
        <w:tc>
          <w:tcPr>
            <w:tcW w:w="944" w:type="pct"/>
            <w:shd w:val="clear" w:color="auto" w:fill="auto"/>
            <w:vAlign w:val="center"/>
          </w:tcPr>
          <w:p w14:paraId="6F999C21">
            <w:pPr>
              <w:pStyle w:val="192"/>
              <w:rPr>
                <w:rFonts w:hint="default" w:ascii="Times New Roman" w:hAnsi="Times New Roman" w:cs="Times New Roman"/>
                <w:spacing w:val="-2"/>
              </w:rPr>
            </w:pPr>
            <w:r>
              <w:rPr>
                <w:rFonts w:hint="default" w:ascii="Times New Roman" w:hAnsi="Times New Roman" w:cs="Times New Roman"/>
                <w:spacing w:val="-2"/>
              </w:rPr>
              <w:t>T0961</w:t>
            </w:r>
          </w:p>
        </w:tc>
      </w:tr>
      <w:tr w14:paraId="71B62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1477" w:type="pct"/>
            <w:gridSpan w:val="2"/>
            <w:shd w:val="clear" w:color="auto" w:fill="auto"/>
            <w:vAlign w:val="center"/>
          </w:tcPr>
          <w:p w14:paraId="54272FDC">
            <w:pPr>
              <w:pStyle w:val="192"/>
              <w:rPr>
                <w:rFonts w:hint="default" w:ascii="Times New Roman" w:hAnsi="Times New Roman" w:cs="Times New Roman"/>
                <w:spacing w:val="-2"/>
              </w:rPr>
            </w:pPr>
            <w:r>
              <w:rPr>
                <w:rFonts w:hint="default" w:ascii="Times New Roman" w:hAnsi="Times New Roman" w:cs="Times New Roman"/>
                <w:spacing w:val="-2"/>
              </w:rPr>
              <w:t>渗水系数（mL/min）</w:t>
            </w:r>
          </w:p>
        </w:tc>
        <w:tc>
          <w:tcPr>
            <w:tcW w:w="665" w:type="pct"/>
            <w:shd w:val="clear" w:color="auto" w:fill="auto"/>
            <w:vAlign w:val="center"/>
          </w:tcPr>
          <w:p w14:paraId="7E63EFD9">
            <w:pPr>
              <w:pStyle w:val="192"/>
              <w:rPr>
                <w:rFonts w:hint="default" w:ascii="Times New Roman" w:hAnsi="Times New Roman" w:cs="Times New Roman"/>
                <w:spacing w:val="-2"/>
              </w:rPr>
            </w:pPr>
            <w:r>
              <w:rPr>
                <w:rFonts w:hint="default" w:ascii="Times New Roman" w:hAnsi="Times New Roman" w:cs="Times New Roman"/>
                <w:spacing w:val="-2"/>
              </w:rPr>
              <w:t>5个点/km</w:t>
            </w:r>
          </w:p>
        </w:tc>
        <w:tc>
          <w:tcPr>
            <w:tcW w:w="1913" w:type="pct"/>
            <w:gridSpan w:val="2"/>
            <w:shd w:val="clear" w:color="auto" w:fill="auto"/>
            <w:vAlign w:val="center"/>
          </w:tcPr>
          <w:p w14:paraId="5AF54B5F">
            <w:pPr>
              <w:pStyle w:val="192"/>
              <w:rPr>
                <w:rFonts w:hint="default" w:ascii="Times New Roman" w:hAnsi="Times New Roman" w:cs="Times New Roman"/>
                <w:spacing w:val="-2"/>
              </w:rPr>
            </w:pPr>
            <w:r>
              <w:rPr>
                <w:rFonts w:hint="default" w:ascii="Times New Roman" w:hAnsi="Times New Roman" w:cs="Times New Roman"/>
                <w:spacing w:val="-2"/>
              </w:rPr>
              <w:t>&gt;500</w:t>
            </w:r>
          </w:p>
        </w:tc>
        <w:tc>
          <w:tcPr>
            <w:tcW w:w="944" w:type="pct"/>
            <w:shd w:val="clear" w:color="auto" w:fill="auto"/>
            <w:vAlign w:val="center"/>
          </w:tcPr>
          <w:p w14:paraId="0F5958F3">
            <w:pPr>
              <w:pStyle w:val="192"/>
              <w:rPr>
                <w:rFonts w:hint="default" w:ascii="Times New Roman" w:hAnsi="Times New Roman" w:cs="Times New Roman"/>
                <w:spacing w:val="-2"/>
              </w:rPr>
            </w:pPr>
            <w:r>
              <w:rPr>
                <w:rFonts w:hint="default" w:ascii="Times New Roman" w:hAnsi="Times New Roman" w:cs="Times New Roman"/>
                <w:spacing w:val="-2"/>
              </w:rPr>
              <w:t>T0907</w:t>
            </w:r>
          </w:p>
        </w:tc>
      </w:tr>
    </w:tbl>
    <w:p w14:paraId="7C673D0E">
      <w:pPr>
        <w:tabs>
          <w:tab w:val="left" w:pos="993"/>
        </w:tabs>
        <w:spacing w:line="360" w:lineRule="auto"/>
        <w:ind w:left="426"/>
        <w:rPr>
          <w:rFonts w:hint="default" w:ascii="Times New Roman" w:hAnsi="Times New Roman" w:eastAsia="楷体" w:cs="Times New Roman"/>
          <w:kern w:val="0"/>
          <w:sz w:val="24"/>
        </w:rPr>
      </w:pPr>
      <w:r>
        <w:rPr>
          <w:rFonts w:hint="default" w:ascii="Times New Roman" w:hAnsi="Times New Roman" w:eastAsia="楷体" w:cs="Times New Roman"/>
          <w:sz w:val="24"/>
        </w:rPr>
        <w:t>*注：任选一个平整度检测指标，且与横向力系数指标均由建设单位确定是否检测。</w:t>
      </w:r>
    </w:p>
    <w:sectPr>
      <w:headerReference r:id="rId13" w:type="even"/>
      <w:type w:val="continuous"/>
      <w:pgSz w:w="11906" w:h="16838"/>
      <w:pgMar w:top="1440" w:right="1800" w:bottom="1440" w:left="1800" w:header="850" w:footer="992"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849712"/>
      <w:docPartObj>
        <w:docPartGallery w:val="autotext"/>
      </w:docPartObj>
    </w:sdtPr>
    <w:sdtContent>
      <w:p w14:paraId="49755CCA">
        <w:pPr>
          <w:pStyle w:val="23"/>
          <w:jc w:val="center"/>
        </w:pPr>
        <w:r>
          <w:fldChar w:fldCharType="begin"/>
        </w:r>
        <w:r>
          <w:instrText xml:space="preserve">PAGE   \* MERGEFORMAT</w:instrText>
        </w:r>
        <w:r>
          <w:fldChar w:fldCharType="separate"/>
        </w:r>
        <w:r>
          <w:rPr>
            <w:lang w:val="zh-CN"/>
          </w:rPr>
          <w:t>2</w:t>
        </w:r>
        <w:r>
          <w:fldChar w:fldCharType="end"/>
        </w:r>
      </w:p>
    </w:sdtContent>
  </w:sdt>
  <w:p w14:paraId="31A28ADA">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1957401"/>
      <w:docPartObj>
        <w:docPartGallery w:val="autotext"/>
      </w:docPartObj>
    </w:sdtPr>
    <w:sdtContent>
      <w:p w14:paraId="6AA9098C">
        <w:pPr>
          <w:pStyle w:val="23"/>
          <w:jc w:val="center"/>
        </w:pPr>
        <w:r>
          <w:fldChar w:fldCharType="begin"/>
        </w:r>
        <w:r>
          <w:instrText xml:space="preserve">PAGE   \* MERGEFORMAT</w:instrText>
        </w:r>
        <w:r>
          <w:fldChar w:fldCharType="separate"/>
        </w:r>
        <w:r>
          <w:rPr>
            <w:lang w:val="zh-CN"/>
          </w:rPr>
          <w:t>2</w:t>
        </w:r>
        <w:r>
          <w:fldChar w:fldCharType="end"/>
        </w:r>
      </w:p>
    </w:sdtContent>
  </w:sdt>
  <w:p w14:paraId="71E0406F">
    <w:pPr>
      <w:pStyle w:val="2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0609967"/>
      <w:docPartObj>
        <w:docPartGallery w:val="autotext"/>
      </w:docPartObj>
    </w:sdtPr>
    <w:sdtContent>
      <w:p w14:paraId="02966C9C">
        <w:pPr>
          <w:pStyle w:val="23"/>
          <w:jc w:val="center"/>
        </w:pPr>
        <w:r>
          <w:fldChar w:fldCharType="begin"/>
        </w:r>
        <w:r>
          <w:instrText xml:space="preserve">PAGE   \* MERGEFORMAT</w:instrText>
        </w:r>
        <w:r>
          <w:fldChar w:fldCharType="separate"/>
        </w:r>
        <w:r>
          <w:rPr>
            <w:lang w:val="zh-CN"/>
          </w:rPr>
          <w:t>2</w:t>
        </w:r>
        <w:r>
          <w:fldChar w:fldCharType="end"/>
        </w:r>
      </w:p>
    </w:sdtContent>
  </w:sdt>
  <w:p w14:paraId="5FD13F97">
    <w:pPr>
      <w:pStyle w:val="23"/>
      <w:spacing w:before="240" w:after="24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B6929">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C3B6">
    <w:pPr>
      <w:pStyle w:val="24"/>
      <w:pBdr>
        <w:bottom w:val="single" w:color="auto" w:sz="4" w:space="0"/>
      </w:pBdr>
    </w:pPr>
    <w:r>
      <w:rPr>
        <w:rFonts w:hint="eastAsia"/>
      </w:rPr>
      <w:t>高延弹超薄罩面施工技术指南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59D9E">
    <w:pPr>
      <w:pStyle w:val="24"/>
      <w:pBdr>
        <w:bottom w:val="single" w:color="auto" w:sz="4" w:space="1"/>
      </w:pBdr>
      <w:wordWrap w:val="0"/>
      <w:jc w:val="right"/>
    </w:pPr>
    <w:r>
      <w:rPr>
        <w:rFonts w:hint="eastAsia"/>
      </w:rPr>
      <w:t>2 规范性引用文件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36A3C">
    <w:pPr>
      <w:pStyle w:val="24"/>
      <w:pBdr>
        <w:bottom w:val="single" w:color="auto" w:sz="4" w:space="1"/>
      </w:pBdr>
      <w:wordWrap w:val="0"/>
      <w:jc w:val="right"/>
    </w:pPr>
    <w:r>
      <w:rPr>
        <w:rFonts w:hint="eastAsia"/>
      </w:rPr>
      <w:t>4 基本规定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3B42D">
    <w:pPr>
      <w:pStyle w:val="24"/>
      <w:pBdr>
        <w:bottom w:val="single" w:color="auto" w:sz="4" w:space="1"/>
      </w:pBdr>
      <w:wordWrap w:val="0"/>
      <w:jc w:val="right"/>
    </w:pPr>
    <w:r>
      <w:rPr>
        <w:rFonts w:hint="eastAsia"/>
      </w:rPr>
      <w:t>5 材料</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6AAE8">
    <w:pPr>
      <w:pStyle w:val="24"/>
      <w:pBdr>
        <w:bottom w:val="single" w:color="auto" w:sz="4" w:space="1"/>
      </w:pBdr>
      <w:wordWrap w:val="0"/>
      <w:jc w:val="right"/>
    </w:pPr>
    <w:r>
      <w:rPr>
        <w:rFonts w:hint="eastAsia"/>
      </w:rPr>
      <w:t>6 高延弹混合料面设计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D733B">
    <w:pPr>
      <w:pStyle w:val="24"/>
      <w:pBdr>
        <w:bottom w:val="single" w:color="auto" w:sz="4" w:space="1"/>
      </w:pBdr>
      <w:wordWrap w:val="0"/>
      <w:jc w:val="right"/>
    </w:pPr>
    <w:r>
      <w:rPr>
        <w:rFonts w:hint="eastAsia"/>
      </w:rPr>
      <w:t>7 施工</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7F2FB">
    <w:pPr>
      <w:pStyle w:val="24"/>
      <w:pBdr>
        <w:bottom w:val="single" w:color="auto" w:sz="4" w:space="1"/>
      </w:pBdr>
      <w:wordWrap w:val="0"/>
      <w:jc w:val="right"/>
    </w:pPr>
    <w:r>
      <w:rPr>
        <w:rFonts w:hint="eastAsia"/>
      </w:rPr>
      <w:t>8 施工质量控制与检查验收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6E6F8F"/>
    <w:multiLevelType w:val="multilevel"/>
    <w:tmpl w:val="0D6E6F8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DDE2B46"/>
    <w:multiLevelType w:val="multilevel"/>
    <w:tmpl w:val="0DDE2B46"/>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7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lvlText w:val="%1"/>
      <w:lvlJc w:val="left"/>
      <w:pPr>
        <w:ind w:left="425" w:hanging="425"/>
      </w:pPr>
      <w:rPr>
        <w:rFonts w:hint="default" w:ascii="Times New Roman" w:hAnsi="Times New Roman" w:cs="Times New Roman"/>
        <w:b/>
        <w:bCs w:val="0"/>
        <w:i w:val="0"/>
        <w:sz w:val="32"/>
        <w:szCs w:val="32"/>
      </w:rPr>
    </w:lvl>
    <w:lvl w:ilvl="1" w:tentative="0">
      <w:start w:val="1"/>
      <w:numFmt w:val="decimal"/>
      <w:lvlText w:val="%1.%2"/>
      <w:lvlJc w:val="left"/>
      <w:pPr>
        <w:ind w:left="992" w:hanging="567"/>
      </w:pPr>
      <w:rPr>
        <w:rFonts w:hint="default" w:ascii="Times New Roman" w:hAnsi="Times New Roman" w:cs="Times New Roman"/>
        <w:b/>
        <w:bCs/>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2" w:tentative="0">
      <w:start w:val="1"/>
      <w:numFmt w:val="decimal"/>
      <w:lvlText w:val="%1.%2.%3"/>
      <w:lvlJc w:val="left"/>
      <w:pPr>
        <w:ind w:left="1418" w:hanging="567"/>
      </w:pPr>
      <w:rPr>
        <w:rFonts w:hint="default" w:ascii="Times New Roman" w:hAnsi="Times New Roman" w:cs="Times New Roman"/>
        <w:b/>
        <w:bCs/>
        <w:i w:val="0"/>
        <w:sz w:val="24"/>
        <w:szCs w:val="22"/>
      </w:rPr>
    </w:lvl>
    <w:lvl w:ilvl="3" w:tentative="0">
      <w:start w:val="1"/>
      <w:numFmt w:val="decimal"/>
      <w:lvlText w:val="%1.%2.%3.%4"/>
      <w:lvlJc w:val="left"/>
      <w:pPr>
        <w:ind w:left="1984" w:hanging="708"/>
      </w:pPr>
      <w:rPr>
        <w:b w:val="0"/>
        <w:i w:val="0"/>
        <w:sz w:val="21"/>
      </w:rPr>
    </w:lvl>
    <w:lvl w:ilvl="4" w:tentative="0">
      <w:start w:val="1"/>
      <w:numFmt w:val="decimal"/>
      <w:lvlText w:val="%1.%2.%3.%4.%5"/>
      <w:lvlJc w:val="left"/>
      <w:pPr>
        <w:ind w:left="2551" w:hanging="850"/>
      </w:pPr>
      <w:rPr>
        <w:rFonts w:hint="eastAsia"/>
        <w:b w:val="0"/>
        <w:i w:val="0"/>
        <w:sz w:val="21"/>
      </w:rPr>
    </w:lvl>
    <w:lvl w:ilvl="5" w:tentative="0">
      <w:start w:val="1"/>
      <w:numFmt w:val="decimal"/>
      <w:lvlText w:val="%1.%2.%3.%4.%5.%6"/>
      <w:lvlJc w:val="left"/>
      <w:pPr>
        <w:ind w:left="3260" w:hanging="1134"/>
      </w:pPr>
      <w:rPr>
        <w:rFonts w:hint="eastAsia"/>
        <w:b w:val="0"/>
        <w:i w:val="0"/>
        <w:sz w:val="21"/>
      </w:rPr>
    </w:lvl>
    <w:lvl w:ilvl="6" w:tentative="0">
      <w:start w:val="1"/>
      <w:numFmt w:val="decimal"/>
      <w:lvlText w:val="%1.%2.%3.%4.%5.%6.%7"/>
      <w:lvlJc w:val="left"/>
      <w:pPr>
        <w:ind w:left="3827" w:hanging="1276"/>
      </w:pPr>
      <w:rPr>
        <w:rFonts w:hint="eastAsia"/>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5"/>
      <w:suff w:val="nothing"/>
      <w:lvlText w:val="%1——"/>
      <w:lvlJc w:val="left"/>
      <w:pPr>
        <w:ind w:left="833" w:hanging="408"/>
      </w:pPr>
      <w:rPr>
        <w:rFonts w:hint="eastAsia"/>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3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1797473"/>
    <w:multiLevelType w:val="multilevel"/>
    <w:tmpl w:val="41797473"/>
    <w:lvl w:ilvl="0" w:tentative="0">
      <w:start w:val="7"/>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decimal"/>
      <w:lvlText w:val="%1.%2.%3"/>
      <w:lvlJc w:val="left"/>
      <w:pPr>
        <w:ind w:left="1572" w:hanging="720"/>
      </w:pPr>
      <w:rPr>
        <w:rFonts w:hint="default" w:ascii="Times New Roman" w:hAnsi="Times New Roman" w:cs="Times New Roman"/>
        <w:b/>
        <w:bCs/>
        <w:sz w:val="24"/>
        <w:szCs w:val="28"/>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11">
    <w:nsid w:val="44C50F90"/>
    <w:multiLevelType w:val="multilevel"/>
    <w:tmpl w:val="44C50F90"/>
    <w:lvl w:ilvl="0" w:tentative="0">
      <w:start w:val="1"/>
      <w:numFmt w:val="decimal"/>
      <w:pStyle w:val="66"/>
      <w:lvlText w:val="%1)"/>
      <w:lvlJc w:val="left"/>
      <w:pPr>
        <w:tabs>
          <w:tab w:val="left" w:pos="839"/>
        </w:tabs>
        <w:ind w:left="839" w:hanging="419"/>
      </w:pPr>
      <w:rPr>
        <w:rFonts w:ascii="宋体" w:hAnsi="Times New Roman" w:eastAsia="宋体" w:cs="Times New Roman"/>
        <w:b w:val="0"/>
        <w:i w:val="0"/>
        <w:sz w:val="20"/>
        <w:szCs w:val="21"/>
      </w:rPr>
    </w:lvl>
    <w:lvl w:ilvl="1" w:tentative="0">
      <w:start w:val="1"/>
      <w:numFmt w:val="decimal"/>
      <w:pStyle w:val="6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47461132"/>
    <w:multiLevelType w:val="multilevel"/>
    <w:tmpl w:val="47461132"/>
    <w:lvl w:ilvl="0" w:tentative="0">
      <w:start w:val="1"/>
      <w:numFmt w:val="decimal"/>
      <w:lvlText w:val="%1"/>
      <w:lvlJc w:val="left"/>
      <w:pPr>
        <w:ind w:left="525" w:hanging="525"/>
      </w:pPr>
      <w:rPr>
        <w:rFonts w:hint="default" w:asciiTheme="minorEastAsia" w:hAnsiTheme="minorEastAsia" w:eastAsiaTheme="minorEastAsia"/>
      </w:rPr>
    </w:lvl>
    <w:lvl w:ilvl="1" w:tentative="0">
      <w:start w:val="0"/>
      <w:numFmt w:val="decimal"/>
      <w:lvlText w:val="%1.%2"/>
      <w:lvlJc w:val="left"/>
      <w:pPr>
        <w:ind w:left="1163" w:hanging="525"/>
      </w:pPr>
      <w:rPr>
        <w:rFonts w:hint="default" w:asciiTheme="minorEastAsia" w:hAnsiTheme="minorEastAsia" w:eastAsiaTheme="minorEastAsia"/>
      </w:rPr>
    </w:lvl>
    <w:lvl w:ilvl="2" w:tentative="0">
      <w:start w:val="1"/>
      <w:numFmt w:val="decimal"/>
      <w:lvlText w:val="%1.%2.%3"/>
      <w:lvlJc w:val="left"/>
      <w:pPr>
        <w:ind w:left="1996" w:hanging="720"/>
      </w:pPr>
      <w:rPr>
        <w:rFonts w:hint="default" w:ascii="Times New Roman" w:hAnsi="Times New Roman" w:eastAsiaTheme="minorEastAsia"/>
        <w:b/>
        <w:sz w:val="24"/>
      </w:rPr>
    </w:lvl>
    <w:lvl w:ilvl="3" w:tentative="0">
      <w:start w:val="1"/>
      <w:numFmt w:val="decimal"/>
      <w:lvlText w:val="%1.%2.%3.%4"/>
      <w:lvlJc w:val="left"/>
      <w:pPr>
        <w:ind w:left="2994" w:hanging="1080"/>
      </w:pPr>
      <w:rPr>
        <w:rFonts w:hint="default" w:asciiTheme="minorEastAsia" w:hAnsiTheme="minorEastAsia" w:eastAsiaTheme="minorEastAsia"/>
      </w:rPr>
    </w:lvl>
    <w:lvl w:ilvl="4" w:tentative="0">
      <w:start w:val="1"/>
      <w:numFmt w:val="decimal"/>
      <w:lvlText w:val="%1.%2.%3.%4.%5"/>
      <w:lvlJc w:val="left"/>
      <w:pPr>
        <w:ind w:left="3632" w:hanging="1080"/>
      </w:pPr>
      <w:rPr>
        <w:rFonts w:hint="default" w:asciiTheme="minorEastAsia" w:hAnsiTheme="minorEastAsia" w:eastAsiaTheme="minorEastAsia"/>
      </w:rPr>
    </w:lvl>
    <w:lvl w:ilvl="5" w:tentative="0">
      <w:start w:val="1"/>
      <w:numFmt w:val="decimal"/>
      <w:lvlText w:val="%1.%2.%3.%4.%5.%6"/>
      <w:lvlJc w:val="left"/>
      <w:pPr>
        <w:ind w:left="4630" w:hanging="1440"/>
      </w:pPr>
      <w:rPr>
        <w:rFonts w:hint="default" w:asciiTheme="minorEastAsia" w:hAnsiTheme="minorEastAsia" w:eastAsiaTheme="minorEastAsia"/>
      </w:rPr>
    </w:lvl>
    <w:lvl w:ilvl="6" w:tentative="0">
      <w:start w:val="1"/>
      <w:numFmt w:val="decimal"/>
      <w:lvlText w:val="%1.%2.%3.%4.%5.%6.%7"/>
      <w:lvlJc w:val="left"/>
      <w:pPr>
        <w:ind w:left="5268" w:hanging="1440"/>
      </w:pPr>
      <w:rPr>
        <w:rFonts w:hint="default" w:asciiTheme="minorEastAsia" w:hAnsiTheme="minorEastAsia" w:eastAsiaTheme="minorEastAsia"/>
      </w:rPr>
    </w:lvl>
    <w:lvl w:ilvl="7" w:tentative="0">
      <w:start w:val="1"/>
      <w:numFmt w:val="decimal"/>
      <w:lvlText w:val="%1.%2.%3.%4.%5.%6.%7.%8"/>
      <w:lvlJc w:val="left"/>
      <w:pPr>
        <w:ind w:left="6266" w:hanging="1800"/>
      </w:pPr>
      <w:rPr>
        <w:rFonts w:hint="default" w:asciiTheme="minorEastAsia" w:hAnsiTheme="minorEastAsia" w:eastAsiaTheme="minorEastAsia"/>
      </w:rPr>
    </w:lvl>
    <w:lvl w:ilvl="8" w:tentative="0">
      <w:start w:val="1"/>
      <w:numFmt w:val="decimal"/>
      <w:lvlText w:val="%1.%2.%3.%4.%5.%6.%7.%8.%9"/>
      <w:lvlJc w:val="left"/>
      <w:pPr>
        <w:ind w:left="6904" w:hanging="1800"/>
      </w:pPr>
      <w:rPr>
        <w:rFonts w:hint="default" w:asciiTheme="minorEastAsia" w:hAnsiTheme="minorEastAsia" w:eastAsiaTheme="minorEastAsia"/>
      </w:rPr>
    </w:lvl>
  </w:abstractNum>
  <w:abstractNum w:abstractNumId="13">
    <w:nsid w:val="4B733A5F"/>
    <w:multiLevelType w:val="multilevel"/>
    <w:tmpl w:val="4B733A5F"/>
    <w:lvl w:ilvl="0" w:tentative="0">
      <w:start w:val="1"/>
      <w:numFmt w:val="decimal"/>
      <w:pStyle w:val="6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563D28F3"/>
    <w:multiLevelType w:val="multilevel"/>
    <w:tmpl w:val="563D28F3"/>
    <w:lvl w:ilvl="0" w:tentative="0">
      <w:start w:val="1"/>
      <w:numFmt w:val="decimal"/>
      <w:lvlText w:val="%1）"/>
      <w:lvlJc w:val="left"/>
      <w:pPr>
        <w:ind w:left="1145" w:hanging="360"/>
      </w:pPr>
      <w:rPr>
        <w:rFonts w:hint="default" w:ascii="Times New Roman" w:hAnsi="Times New Roman" w:cs="Times New Roman"/>
      </w:rPr>
    </w:lvl>
    <w:lvl w:ilvl="1" w:tentative="0">
      <w:start w:val="1"/>
      <w:numFmt w:val="lowerLetter"/>
      <w:lvlText w:val="%2)"/>
      <w:lvlJc w:val="left"/>
      <w:pPr>
        <w:ind w:left="1625" w:hanging="420"/>
      </w:pPr>
    </w:lvl>
    <w:lvl w:ilvl="2" w:tentative="0">
      <w:start w:val="1"/>
      <w:numFmt w:val="lowerRoman"/>
      <w:lvlText w:val="%3."/>
      <w:lvlJc w:val="right"/>
      <w:pPr>
        <w:ind w:left="2045" w:hanging="420"/>
      </w:pPr>
    </w:lvl>
    <w:lvl w:ilvl="3" w:tentative="0">
      <w:start w:val="1"/>
      <w:numFmt w:val="decimal"/>
      <w:lvlText w:val="%4."/>
      <w:lvlJc w:val="left"/>
      <w:pPr>
        <w:ind w:left="2465" w:hanging="420"/>
      </w:pPr>
    </w:lvl>
    <w:lvl w:ilvl="4" w:tentative="0">
      <w:start w:val="1"/>
      <w:numFmt w:val="lowerLetter"/>
      <w:lvlText w:val="%5)"/>
      <w:lvlJc w:val="left"/>
      <w:pPr>
        <w:ind w:left="2885" w:hanging="420"/>
      </w:pPr>
    </w:lvl>
    <w:lvl w:ilvl="5" w:tentative="0">
      <w:start w:val="1"/>
      <w:numFmt w:val="lowerRoman"/>
      <w:lvlText w:val="%6."/>
      <w:lvlJc w:val="right"/>
      <w:pPr>
        <w:ind w:left="3305" w:hanging="420"/>
      </w:pPr>
    </w:lvl>
    <w:lvl w:ilvl="6" w:tentative="0">
      <w:start w:val="1"/>
      <w:numFmt w:val="decimal"/>
      <w:lvlText w:val="%7."/>
      <w:lvlJc w:val="left"/>
      <w:pPr>
        <w:ind w:left="3725" w:hanging="420"/>
      </w:pPr>
    </w:lvl>
    <w:lvl w:ilvl="7" w:tentative="0">
      <w:start w:val="1"/>
      <w:numFmt w:val="lowerLetter"/>
      <w:lvlText w:val="%8)"/>
      <w:lvlJc w:val="left"/>
      <w:pPr>
        <w:ind w:left="4145" w:hanging="420"/>
      </w:pPr>
    </w:lvl>
    <w:lvl w:ilvl="8" w:tentative="0">
      <w:start w:val="1"/>
      <w:numFmt w:val="lowerRoman"/>
      <w:lvlText w:val="%9."/>
      <w:lvlJc w:val="right"/>
      <w:pPr>
        <w:ind w:left="4565" w:hanging="420"/>
      </w:pPr>
    </w:lvl>
  </w:abstractNum>
  <w:abstractNum w:abstractNumId="16">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18F7961"/>
    <w:multiLevelType w:val="multilevel"/>
    <w:tmpl w:val="618F7961"/>
    <w:lvl w:ilvl="0" w:tentative="0">
      <w:start w:val="4"/>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b/>
        <w:bCs/>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5160" w:hanging="1800"/>
      </w:pPr>
      <w:rPr>
        <w:rFonts w:hint="default"/>
      </w:rPr>
    </w:lvl>
  </w:abstractNum>
  <w:abstractNum w:abstractNumId="18">
    <w:nsid w:val="62702E3A"/>
    <w:multiLevelType w:val="multilevel"/>
    <w:tmpl w:val="62702E3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646260FA"/>
    <w:multiLevelType w:val="multilevel"/>
    <w:tmpl w:val="646260FA"/>
    <w:lvl w:ilvl="0" w:tentative="0">
      <w:start w:val="1"/>
      <w:numFmt w:val="decimal"/>
      <w:pStyle w:val="133"/>
      <w:suff w:val="nothing"/>
      <w:lvlText w:val="表%1　"/>
      <w:lvlJc w:val="left"/>
      <w:pPr>
        <w:ind w:left="2410" w:firstLine="0"/>
      </w:pPr>
      <w:rPr>
        <w:rFonts w:hint="eastAsia" w:ascii="黑体" w:hAnsi="Times New Roman" w:eastAsia="黑体"/>
        <w:b w:val="0"/>
        <w:i w:val="0"/>
        <w:sz w:val="20"/>
      </w:rPr>
    </w:lvl>
    <w:lvl w:ilvl="1" w:tentative="0">
      <w:start w:val="1"/>
      <w:numFmt w:val="decimal"/>
      <w:lvlText w:val="%1.%2"/>
      <w:lvlJc w:val="left"/>
      <w:pPr>
        <w:tabs>
          <w:tab w:val="left" w:pos="283"/>
        </w:tabs>
        <w:ind w:left="283" w:hanging="567"/>
      </w:pPr>
      <w:rPr>
        <w:rFonts w:hint="eastAsia"/>
      </w:rPr>
    </w:lvl>
    <w:lvl w:ilvl="2" w:tentative="0">
      <w:start w:val="1"/>
      <w:numFmt w:val="decimal"/>
      <w:lvlText w:val="%1.%2.%3"/>
      <w:lvlJc w:val="left"/>
      <w:pPr>
        <w:tabs>
          <w:tab w:val="left" w:pos="709"/>
        </w:tabs>
        <w:ind w:left="709" w:hanging="567"/>
      </w:pPr>
      <w:rPr>
        <w:rFonts w:hint="eastAsia"/>
      </w:rPr>
    </w:lvl>
    <w:lvl w:ilvl="3" w:tentative="0">
      <w:start w:val="1"/>
      <w:numFmt w:val="decimal"/>
      <w:lvlText w:val="%1.%2.%3.%4"/>
      <w:lvlJc w:val="left"/>
      <w:pPr>
        <w:tabs>
          <w:tab w:val="left" w:pos="1275"/>
        </w:tabs>
        <w:ind w:left="1275" w:hanging="708"/>
      </w:pPr>
      <w:rPr>
        <w:rFonts w:hint="eastAsia"/>
      </w:rPr>
    </w:lvl>
    <w:lvl w:ilvl="4" w:tentative="0">
      <w:start w:val="1"/>
      <w:numFmt w:val="decimal"/>
      <w:lvlText w:val="%1.%2.%3.%4.%5"/>
      <w:lvlJc w:val="left"/>
      <w:pPr>
        <w:tabs>
          <w:tab w:val="left" w:pos="1842"/>
        </w:tabs>
        <w:ind w:left="1842" w:hanging="850"/>
      </w:pPr>
      <w:rPr>
        <w:rFonts w:hint="eastAsia"/>
      </w:rPr>
    </w:lvl>
    <w:lvl w:ilvl="5" w:tentative="0">
      <w:start w:val="1"/>
      <w:numFmt w:val="decimal"/>
      <w:lvlText w:val="%1.%2.%3.%4.%5.%6"/>
      <w:lvlJc w:val="left"/>
      <w:pPr>
        <w:tabs>
          <w:tab w:val="left" w:pos="2551"/>
        </w:tabs>
        <w:ind w:left="2551" w:hanging="1134"/>
      </w:pPr>
      <w:rPr>
        <w:rFonts w:hint="eastAsia"/>
      </w:rPr>
    </w:lvl>
    <w:lvl w:ilvl="6" w:tentative="0">
      <w:start w:val="1"/>
      <w:numFmt w:val="decimal"/>
      <w:lvlText w:val="%1.%2.%3.%4.%5.%6.%7"/>
      <w:lvlJc w:val="left"/>
      <w:pPr>
        <w:tabs>
          <w:tab w:val="left" w:pos="3118"/>
        </w:tabs>
        <w:ind w:left="3118" w:hanging="1276"/>
      </w:pPr>
      <w:rPr>
        <w:rFonts w:hint="eastAsia"/>
      </w:rPr>
    </w:lvl>
    <w:lvl w:ilvl="7" w:tentative="0">
      <w:start w:val="1"/>
      <w:numFmt w:val="decimal"/>
      <w:lvlText w:val="%1.%2.%3.%4.%5.%6.%7.%8"/>
      <w:lvlJc w:val="left"/>
      <w:pPr>
        <w:tabs>
          <w:tab w:val="left" w:pos="3685"/>
        </w:tabs>
        <w:ind w:left="3685" w:hanging="1418"/>
      </w:pPr>
      <w:rPr>
        <w:rFonts w:hint="eastAsia"/>
      </w:rPr>
    </w:lvl>
    <w:lvl w:ilvl="8" w:tentative="0">
      <w:start w:val="1"/>
      <w:numFmt w:val="decimal"/>
      <w:lvlText w:val="%1.%2.%3.%4.%5.%6.%7.%8.%9"/>
      <w:lvlJc w:val="left"/>
      <w:pPr>
        <w:tabs>
          <w:tab w:val="left" w:pos="4393"/>
        </w:tabs>
        <w:ind w:left="4393" w:hanging="1700"/>
      </w:pPr>
      <w:rPr>
        <w:rFonts w:hint="eastAsia"/>
      </w:rPr>
    </w:lvl>
  </w:abstractNum>
  <w:abstractNum w:abstractNumId="20">
    <w:nsid w:val="647B0358"/>
    <w:multiLevelType w:val="multilevel"/>
    <w:tmpl w:val="647B0358"/>
    <w:lvl w:ilvl="0" w:tentative="0">
      <w:start w:val="5"/>
      <w:numFmt w:val="decimal"/>
      <w:lvlText w:val="%1"/>
      <w:lvlJc w:val="left"/>
      <w:pPr>
        <w:ind w:left="360" w:hanging="360"/>
      </w:pPr>
      <w:rPr>
        <w:rFonts w:hint="default"/>
      </w:rPr>
    </w:lvl>
    <w:lvl w:ilvl="1" w:tentative="0">
      <w:start w:val="1"/>
      <w:numFmt w:val="decimal"/>
      <w:lvlText w:val="%1.%2"/>
      <w:lvlJc w:val="left"/>
      <w:pPr>
        <w:ind w:left="785" w:hanging="360"/>
      </w:pPr>
      <w:rPr>
        <w:rFonts w:hint="default"/>
      </w:rPr>
    </w:lvl>
    <w:lvl w:ilvl="2" w:tentative="0">
      <w:start w:val="1"/>
      <w:numFmt w:val="decimal"/>
      <w:lvlText w:val="%1.%2.%3"/>
      <w:lvlJc w:val="left"/>
      <w:pPr>
        <w:ind w:left="1570" w:hanging="720"/>
      </w:pPr>
      <w:rPr>
        <w:rFonts w:hint="default" w:ascii="Times New Roman" w:hAnsi="Times New Roman" w:cs="Times New Roman"/>
        <w:b/>
        <w:bCs/>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abstractNum w:abstractNumId="21">
    <w:nsid w:val="657D3FBC"/>
    <w:multiLevelType w:val="multilevel"/>
    <w:tmpl w:val="657D3FBC"/>
    <w:lvl w:ilvl="0" w:tentative="0">
      <w:start w:val="1"/>
      <w:numFmt w:val="upperLetter"/>
      <w:pStyle w:val="9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0" w:firstLine="0"/>
      </w:pPr>
      <w:rPr>
        <w:rFonts w:hint="eastAsia" w:ascii="黑体" w:hAnsi="Times New Roman" w:eastAsia="黑体"/>
        <w:b w:val="0"/>
        <w:i w:val="0"/>
        <w:sz w:val="21"/>
      </w:rPr>
    </w:lvl>
    <w:lvl w:ilvl="3" w:tentative="0">
      <w:start w:val="1"/>
      <w:numFmt w:val="decimal"/>
      <w:pStyle w:val="95"/>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6966267"/>
    <w:multiLevelType w:val="multilevel"/>
    <w:tmpl w:val="66966267"/>
    <w:lvl w:ilvl="0" w:tentative="0">
      <w:start w:val="8"/>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decimal"/>
      <w:lvlText w:val="%1.%2.%3"/>
      <w:lvlJc w:val="left"/>
      <w:pPr>
        <w:ind w:left="1572" w:hanging="720"/>
      </w:pPr>
      <w:rPr>
        <w:rFonts w:hint="default" w:ascii="Times New Roman" w:hAnsi="Times New Roman" w:cs="Times New Roman"/>
        <w:b/>
        <w:bCs/>
        <w:sz w:val="24"/>
        <w:szCs w:val="22"/>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23">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4">
    <w:nsid w:val="6DBF04F4"/>
    <w:multiLevelType w:val="multilevel"/>
    <w:tmpl w:val="6DBF04F4"/>
    <w:lvl w:ilvl="0" w:tentative="0">
      <w:start w:val="1"/>
      <w:numFmt w:val="none"/>
      <w:pStyle w:val="64"/>
      <w:suff w:val="nothing"/>
      <w:lvlText w:val="%1注："/>
      <w:lvlJc w:val="left"/>
      <w:pPr>
        <w:ind w:left="1308"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5">
    <w:nsid w:val="781A6030"/>
    <w:multiLevelType w:val="multilevel"/>
    <w:tmpl w:val="781A603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7D9B6E44"/>
    <w:multiLevelType w:val="multilevel"/>
    <w:tmpl w:val="7D9B6E4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9"/>
  </w:num>
  <w:num w:numId="2">
    <w:abstractNumId w:val="8"/>
  </w:num>
  <w:num w:numId="3">
    <w:abstractNumId w:val="2"/>
  </w:num>
  <w:num w:numId="4">
    <w:abstractNumId w:val="11"/>
  </w:num>
  <w:num w:numId="5">
    <w:abstractNumId w:val="24"/>
  </w:num>
  <w:num w:numId="6">
    <w:abstractNumId w:val="0"/>
  </w:num>
  <w:num w:numId="7">
    <w:abstractNumId w:val="13"/>
  </w:num>
  <w:num w:numId="8">
    <w:abstractNumId w:val="5"/>
  </w:num>
  <w:num w:numId="9">
    <w:abstractNumId w:val="21"/>
  </w:num>
  <w:num w:numId="10">
    <w:abstractNumId w:val="16"/>
  </w:num>
  <w:num w:numId="11">
    <w:abstractNumId w:val="23"/>
  </w:num>
  <w:num w:numId="12">
    <w:abstractNumId w:val="7"/>
  </w:num>
  <w:num w:numId="13">
    <w:abstractNumId w:val="1"/>
  </w:num>
  <w:num w:numId="14">
    <w:abstractNumId w:val="4"/>
  </w:num>
  <w:num w:numId="15">
    <w:abstractNumId w:val="19"/>
  </w:num>
  <w:num w:numId="16">
    <w:abstractNumId w:val="14"/>
  </w:num>
  <w:num w:numId="17">
    <w:abstractNumId w:val="6"/>
  </w:num>
  <w:num w:numId="18">
    <w:abstractNumId w:val="12"/>
  </w:num>
  <w:num w:numId="19">
    <w:abstractNumId w:val="17"/>
  </w:num>
  <w:num w:numId="20">
    <w:abstractNumId w:val="20"/>
  </w:num>
  <w:num w:numId="21">
    <w:abstractNumId w:val="10"/>
  </w:num>
  <w:num w:numId="22">
    <w:abstractNumId w:val="18"/>
  </w:num>
  <w:num w:numId="23">
    <w:abstractNumId w:val="26"/>
  </w:num>
  <w:num w:numId="24">
    <w:abstractNumId w:val="3"/>
  </w:num>
  <w:num w:numId="25">
    <w:abstractNumId w:val="25"/>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ytzQ3M7CwNDI1MjJQ0lEKTi0uzszPAykwtKwFAGwkXLotAAAA"/>
  </w:docVars>
  <w:rsids>
    <w:rsidRoot w:val="00035925"/>
    <w:rsid w:val="00000244"/>
    <w:rsid w:val="0000185F"/>
    <w:rsid w:val="00004597"/>
    <w:rsid w:val="0000586F"/>
    <w:rsid w:val="000077C8"/>
    <w:rsid w:val="00012E86"/>
    <w:rsid w:val="0001379C"/>
    <w:rsid w:val="00013D86"/>
    <w:rsid w:val="00013E02"/>
    <w:rsid w:val="00014032"/>
    <w:rsid w:val="00014063"/>
    <w:rsid w:val="000149F0"/>
    <w:rsid w:val="000150D0"/>
    <w:rsid w:val="00016666"/>
    <w:rsid w:val="0001758D"/>
    <w:rsid w:val="0002143C"/>
    <w:rsid w:val="00022D63"/>
    <w:rsid w:val="000253E4"/>
    <w:rsid w:val="000255F5"/>
    <w:rsid w:val="00025A65"/>
    <w:rsid w:val="00026C31"/>
    <w:rsid w:val="00026C81"/>
    <w:rsid w:val="00027280"/>
    <w:rsid w:val="00027FC1"/>
    <w:rsid w:val="000317DB"/>
    <w:rsid w:val="00031A00"/>
    <w:rsid w:val="00031A10"/>
    <w:rsid w:val="00031B33"/>
    <w:rsid w:val="000320A7"/>
    <w:rsid w:val="0003229B"/>
    <w:rsid w:val="000336D4"/>
    <w:rsid w:val="000343A9"/>
    <w:rsid w:val="00035925"/>
    <w:rsid w:val="00041727"/>
    <w:rsid w:val="00042012"/>
    <w:rsid w:val="00042CBC"/>
    <w:rsid w:val="00043178"/>
    <w:rsid w:val="0004369C"/>
    <w:rsid w:val="00044FE9"/>
    <w:rsid w:val="00045D9B"/>
    <w:rsid w:val="00045F1C"/>
    <w:rsid w:val="0004759B"/>
    <w:rsid w:val="000478BD"/>
    <w:rsid w:val="00047EFF"/>
    <w:rsid w:val="00050019"/>
    <w:rsid w:val="00050550"/>
    <w:rsid w:val="00051536"/>
    <w:rsid w:val="000515DE"/>
    <w:rsid w:val="00052447"/>
    <w:rsid w:val="00053725"/>
    <w:rsid w:val="00054A79"/>
    <w:rsid w:val="00055BBB"/>
    <w:rsid w:val="00056BB1"/>
    <w:rsid w:val="0006291B"/>
    <w:rsid w:val="00062B5B"/>
    <w:rsid w:val="00063BF0"/>
    <w:rsid w:val="00067CDF"/>
    <w:rsid w:val="00070097"/>
    <w:rsid w:val="000703B1"/>
    <w:rsid w:val="00072A6C"/>
    <w:rsid w:val="00072BA1"/>
    <w:rsid w:val="00072CBE"/>
    <w:rsid w:val="00074911"/>
    <w:rsid w:val="00074FBE"/>
    <w:rsid w:val="0007650B"/>
    <w:rsid w:val="0007681E"/>
    <w:rsid w:val="00076B8D"/>
    <w:rsid w:val="00077F16"/>
    <w:rsid w:val="00080EB7"/>
    <w:rsid w:val="0008181E"/>
    <w:rsid w:val="00082462"/>
    <w:rsid w:val="000833BC"/>
    <w:rsid w:val="00083A09"/>
    <w:rsid w:val="0008532B"/>
    <w:rsid w:val="000856A0"/>
    <w:rsid w:val="000856B0"/>
    <w:rsid w:val="000859B3"/>
    <w:rsid w:val="0008675A"/>
    <w:rsid w:val="000875A1"/>
    <w:rsid w:val="0009005E"/>
    <w:rsid w:val="000921AE"/>
    <w:rsid w:val="00092471"/>
    <w:rsid w:val="000924D2"/>
    <w:rsid w:val="00092857"/>
    <w:rsid w:val="00092901"/>
    <w:rsid w:val="00093F9C"/>
    <w:rsid w:val="00094AAB"/>
    <w:rsid w:val="00095A5C"/>
    <w:rsid w:val="000A03A5"/>
    <w:rsid w:val="000A10E5"/>
    <w:rsid w:val="000A20A9"/>
    <w:rsid w:val="000A2FAB"/>
    <w:rsid w:val="000A34D6"/>
    <w:rsid w:val="000A48B1"/>
    <w:rsid w:val="000A4EAC"/>
    <w:rsid w:val="000B084E"/>
    <w:rsid w:val="000B0908"/>
    <w:rsid w:val="000B1AF1"/>
    <w:rsid w:val="000B3143"/>
    <w:rsid w:val="000B5D7F"/>
    <w:rsid w:val="000C06FC"/>
    <w:rsid w:val="000C152E"/>
    <w:rsid w:val="000C197B"/>
    <w:rsid w:val="000C292B"/>
    <w:rsid w:val="000C2D88"/>
    <w:rsid w:val="000C31B1"/>
    <w:rsid w:val="000C33D5"/>
    <w:rsid w:val="000C6B05"/>
    <w:rsid w:val="000C6D57"/>
    <w:rsid w:val="000C6DD6"/>
    <w:rsid w:val="000C73D4"/>
    <w:rsid w:val="000D1AE1"/>
    <w:rsid w:val="000D2BB9"/>
    <w:rsid w:val="000D301E"/>
    <w:rsid w:val="000D3D4C"/>
    <w:rsid w:val="000D4A2F"/>
    <w:rsid w:val="000D4F51"/>
    <w:rsid w:val="000D64A4"/>
    <w:rsid w:val="000D718B"/>
    <w:rsid w:val="000D728C"/>
    <w:rsid w:val="000E0C46"/>
    <w:rsid w:val="000E11B9"/>
    <w:rsid w:val="000E212E"/>
    <w:rsid w:val="000E2BB6"/>
    <w:rsid w:val="000E359F"/>
    <w:rsid w:val="000E3DD7"/>
    <w:rsid w:val="000E54CD"/>
    <w:rsid w:val="000E690F"/>
    <w:rsid w:val="000E6D1F"/>
    <w:rsid w:val="000E7C45"/>
    <w:rsid w:val="000F030C"/>
    <w:rsid w:val="000F098A"/>
    <w:rsid w:val="000F0EA9"/>
    <w:rsid w:val="000F108B"/>
    <w:rsid w:val="000F129C"/>
    <w:rsid w:val="000F189A"/>
    <w:rsid w:val="000F3476"/>
    <w:rsid w:val="000F34A6"/>
    <w:rsid w:val="000F3674"/>
    <w:rsid w:val="000F3743"/>
    <w:rsid w:val="000F5667"/>
    <w:rsid w:val="0010019E"/>
    <w:rsid w:val="0010305E"/>
    <w:rsid w:val="0010361F"/>
    <w:rsid w:val="0010463F"/>
    <w:rsid w:val="001056DE"/>
    <w:rsid w:val="0010606C"/>
    <w:rsid w:val="00107C08"/>
    <w:rsid w:val="001101E0"/>
    <w:rsid w:val="00111208"/>
    <w:rsid w:val="00111848"/>
    <w:rsid w:val="001124C0"/>
    <w:rsid w:val="00114627"/>
    <w:rsid w:val="001203FA"/>
    <w:rsid w:val="001216FE"/>
    <w:rsid w:val="00122D95"/>
    <w:rsid w:val="00123065"/>
    <w:rsid w:val="00125E99"/>
    <w:rsid w:val="0013137A"/>
    <w:rsid w:val="0013175F"/>
    <w:rsid w:val="00131A75"/>
    <w:rsid w:val="00136E10"/>
    <w:rsid w:val="00141605"/>
    <w:rsid w:val="0014472A"/>
    <w:rsid w:val="00144B4C"/>
    <w:rsid w:val="00145124"/>
    <w:rsid w:val="00145A27"/>
    <w:rsid w:val="00145A9A"/>
    <w:rsid w:val="0014621A"/>
    <w:rsid w:val="001471D0"/>
    <w:rsid w:val="0015037B"/>
    <w:rsid w:val="001512B4"/>
    <w:rsid w:val="0015383C"/>
    <w:rsid w:val="00155343"/>
    <w:rsid w:val="00160A60"/>
    <w:rsid w:val="001620A5"/>
    <w:rsid w:val="0016487B"/>
    <w:rsid w:val="00164DA5"/>
    <w:rsid w:val="00164E53"/>
    <w:rsid w:val="001656EB"/>
    <w:rsid w:val="0016699D"/>
    <w:rsid w:val="001669FE"/>
    <w:rsid w:val="00166D14"/>
    <w:rsid w:val="00167C4D"/>
    <w:rsid w:val="00170F0D"/>
    <w:rsid w:val="00171AE2"/>
    <w:rsid w:val="00174BCC"/>
    <w:rsid w:val="00175159"/>
    <w:rsid w:val="00176208"/>
    <w:rsid w:val="00176719"/>
    <w:rsid w:val="00181AA3"/>
    <w:rsid w:val="0018211B"/>
    <w:rsid w:val="001840D3"/>
    <w:rsid w:val="00185A1F"/>
    <w:rsid w:val="00185D4E"/>
    <w:rsid w:val="001900F8"/>
    <w:rsid w:val="001901CD"/>
    <w:rsid w:val="001910B4"/>
    <w:rsid w:val="001910D2"/>
    <w:rsid w:val="00191258"/>
    <w:rsid w:val="00191583"/>
    <w:rsid w:val="001923C9"/>
    <w:rsid w:val="0019251C"/>
    <w:rsid w:val="00192680"/>
    <w:rsid w:val="00193037"/>
    <w:rsid w:val="0019391C"/>
    <w:rsid w:val="00193A2C"/>
    <w:rsid w:val="00193E97"/>
    <w:rsid w:val="00194967"/>
    <w:rsid w:val="001950B1"/>
    <w:rsid w:val="00196601"/>
    <w:rsid w:val="00196F11"/>
    <w:rsid w:val="001979AA"/>
    <w:rsid w:val="001A07F4"/>
    <w:rsid w:val="001A101A"/>
    <w:rsid w:val="001A172C"/>
    <w:rsid w:val="001A288E"/>
    <w:rsid w:val="001A3140"/>
    <w:rsid w:val="001A3A9B"/>
    <w:rsid w:val="001B05EF"/>
    <w:rsid w:val="001B2FBC"/>
    <w:rsid w:val="001B34B3"/>
    <w:rsid w:val="001B6DC2"/>
    <w:rsid w:val="001C0EE6"/>
    <w:rsid w:val="001C1464"/>
    <w:rsid w:val="001C149C"/>
    <w:rsid w:val="001C21AC"/>
    <w:rsid w:val="001C29B5"/>
    <w:rsid w:val="001C2AFB"/>
    <w:rsid w:val="001C35BF"/>
    <w:rsid w:val="001C471A"/>
    <w:rsid w:val="001C47BA"/>
    <w:rsid w:val="001C59EA"/>
    <w:rsid w:val="001C5C32"/>
    <w:rsid w:val="001D021C"/>
    <w:rsid w:val="001D0321"/>
    <w:rsid w:val="001D2043"/>
    <w:rsid w:val="001D27D4"/>
    <w:rsid w:val="001D2C61"/>
    <w:rsid w:val="001D406C"/>
    <w:rsid w:val="001D41EE"/>
    <w:rsid w:val="001D5239"/>
    <w:rsid w:val="001D59EA"/>
    <w:rsid w:val="001D5C8F"/>
    <w:rsid w:val="001E0092"/>
    <w:rsid w:val="001E0219"/>
    <w:rsid w:val="001E0380"/>
    <w:rsid w:val="001E13B1"/>
    <w:rsid w:val="001E1EF2"/>
    <w:rsid w:val="001E3970"/>
    <w:rsid w:val="001E39A7"/>
    <w:rsid w:val="001E636A"/>
    <w:rsid w:val="001F0A5B"/>
    <w:rsid w:val="001F366C"/>
    <w:rsid w:val="001F3674"/>
    <w:rsid w:val="001F3723"/>
    <w:rsid w:val="001F3A19"/>
    <w:rsid w:val="001F44AD"/>
    <w:rsid w:val="001F512B"/>
    <w:rsid w:val="001F799E"/>
    <w:rsid w:val="00200D08"/>
    <w:rsid w:val="00200F57"/>
    <w:rsid w:val="002017CD"/>
    <w:rsid w:val="00201E37"/>
    <w:rsid w:val="00202368"/>
    <w:rsid w:val="0020288E"/>
    <w:rsid w:val="00204E45"/>
    <w:rsid w:val="00205466"/>
    <w:rsid w:val="0020727C"/>
    <w:rsid w:val="002077B0"/>
    <w:rsid w:val="002109E5"/>
    <w:rsid w:val="00210CA0"/>
    <w:rsid w:val="00215F5F"/>
    <w:rsid w:val="0021630F"/>
    <w:rsid w:val="00216B61"/>
    <w:rsid w:val="00216C9A"/>
    <w:rsid w:val="00216D32"/>
    <w:rsid w:val="00217FB3"/>
    <w:rsid w:val="002216B6"/>
    <w:rsid w:val="00221C04"/>
    <w:rsid w:val="0022366F"/>
    <w:rsid w:val="00224173"/>
    <w:rsid w:val="00224EB9"/>
    <w:rsid w:val="00225B54"/>
    <w:rsid w:val="00225C6E"/>
    <w:rsid w:val="0022612C"/>
    <w:rsid w:val="0023277E"/>
    <w:rsid w:val="00232AEC"/>
    <w:rsid w:val="00234467"/>
    <w:rsid w:val="002346C2"/>
    <w:rsid w:val="00237D8D"/>
    <w:rsid w:val="00241DA2"/>
    <w:rsid w:val="002433E0"/>
    <w:rsid w:val="002464CC"/>
    <w:rsid w:val="002470D9"/>
    <w:rsid w:val="0024736A"/>
    <w:rsid w:val="00247FEE"/>
    <w:rsid w:val="00250E7D"/>
    <w:rsid w:val="00252BEF"/>
    <w:rsid w:val="00254609"/>
    <w:rsid w:val="002548A8"/>
    <w:rsid w:val="00255209"/>
    <w:rsid w:val="00255CAA"/>
    <w:rsid w:val="002565D5"/>
    <w:rsid w:val="002570C3"/>
    <w:rsid w:val="00257CD5"/>
    <w:rsid w:val="00260BE6"/>
    <w:rsid w:val="00261A29"/>
    <w:rsid w:val="002622C0"/>
    <w:rsid w:val="00262934"/>
    <w:rsid w:val="002650F6"/>
    <w:rsid w:val="00265FE8"/>
    <w:rsid w:val="002663BE"/>
    <w:rsid w:val="00272532"/>
    <w:rsid w:val="002725F9"/>
    <w:rsid w:val="00272A90"/>
    <w:rsid w:val="00276424"/>
    <w:rsid w:val="00276F45"/>
    <w:rsid w:val="002778AE"/>
    <w:rsid w:val="0028004B"/>
    <w:rsid w:val="00280589"/>
    <w:rsid w:val="00282182"/>
    <w:rsid w:val="0028269A"/>
    <w:rsid w:val="00282A8D"/>
    <w:rsid w:val="00282B84"/>
    <w:rsid w:val="00283590"/>
    <w:rsid w:val="00285804"/>
    <w:rsid w:val="00285D55"/>
    <w:rsid w:val="00286973"/>
    <w:rsid w:val="00286F3B"/>
    <w:rsid w:val="00290D2D"/>
    <w:rsid w:val="00293A58"/>
    <w:rsid w:val="00293D42"/>
    <w:rsid w:val="00294E70"/>
    <w:rsid w:val="00296066"/>
    <w:rsid w:val="002965B3"/>
    <w:rsid w:val="002970FC"/>
    <w:rsid w:val="002971B2"/>
    <w:rsid w:val="0029726F"/>
    <w:rsid w:val="002A0326"/>
    <w:rsid w:val="002A0BB9"/>
    <w:rsid w:val="002A1924"/>
    <w:rsid w:val="002A19CB"/>
    <w:rsid w:val="002A3225"/>
    <w:rsid w:val="002A3589"/>
    <w:rsid w:val="002A3F6E"/>
    <w:rsid w:val="002A47AB"/>
    <w:rsid w:val="002A5468"/>
    <w:rsid w:val="002A548D"/>
    <w:rsid w:val="002A5F90"/>
    <w:rsid w:val="002A62B6"/>
    <w:rsid w:val="002A7420"/>
    <w:rsid w:val="002A76F8"/>
    <w:rsid w:val="002B00BF"/>
    <w:rsid w:val="002B02EF"/>
    <w:rsid w:val="002B0408"/>
    <w:rsid w:val="002B0F12"/>
    <w:rsid w:val="002B1308"/>
    <w:rsid w:val="002B1BC2"/>
    <w:rsid w:val="002B2576"/>
    <w:rsid w:val="002B4554"/>
    <w:rsid w:val="002B5497"/>
    <w:rsid w:val="002B630A"/>
    <w:rsid w:val="002C1DEC"/>
    <w:rsid w:val="002C439B"/>
    <w:rsid w:val="002C5300"/>
    <w:rsid w:val="002C6588"/>
    <w:rsid w:val="002C72D8"/>
    <w:rsid w:val="002D085D"/>
    <w:rsid w:val="002D09A8"/>
    <w:rsid w:val="002D0D10"/>
    <w:rsid w:val="002D11FA"/>
    <w:rsid w:val="002D1203"/>
    <w:rsid w:val="002D13EB"/>
    <w:rsid w:val="002D3493"/>
    <w:rsid w:val="002D3EEA"/>
    <w:rsid w:val="002D4814"/>
    <w:rsid w:val="002D4D3E"/>
    <w:rsid w:val="002D7355"/>
    <w:rsid w:val="002D785D"/>
    <w:rsid w:val="002D78D6"/>
    <w:rsid w:val="002D7A5F"/>
    <w:rsid w:val="002E024E"/>
    <w:rsid w:val="002E0728"/>
    <w:rsid w:val="002E0DDF"/>
    <w:rsid w:val="002E12DC"/>
    <w:rsid w:val="002E1451"/>
    <w:rsid w:val="002E1985"/>
    <w:rsid w:val="002E1B3B"/>
    <w:rsid w:val="002E2906"/>
    <w:rsid w:val="002E3814"/>
    <w:rsid w:val="002E4296"/>
    <w:rsid w:val="002E43F1"/>
    <w:rsid w:val="002E4FEA"/>
    <w:rsid w:val="002E5635"/>
    <w:rsid w:val="002E64C3"/>
    <w:rsid w:val="002E6A0D"/>
    <w:rsid w:val="002E6A2C"/>
    <w:rsid w:val="002E6C19"/>
    <w:rsid w:val="002E6D9A"/>
    <w:rsid w:val="002F04D3"/>
    <w:rsid w:val="002F1D8C"/>
    <w:rsid w:val="002F21DA"/>
    <w:rsid w:val="002F2D2E"/>
    <w:rsid w:val="002F3AE0"/>
    <w:rsid w:val="002F3C65"/>
    <w:rsid w:val="00300E5B"/>
    <w:rsid w:val="00301F39"/>
    <w:rsid w:val="0030217B"/>
    <w:rsid w:val="003047FB"/>
    <w:rsid w:val="0030482F"/>
    <w:rsid w:val="0030589A"/>
    <w:rsid w:val="00306625"/>
    <w:rsid w:val="00307A91"/>
    <w:rsid w:val="00310DE9"/>
    <w:rsid w:val="00313849"/>
    <w:rsid w:val="00314648"/>
    <w:rsid w:val="00314BBA"/>
    <w:rsid w:val="003152C5"/>
    <w:rsid w:val="00315EAC"/>
    <w:rsid w:val="00316CD3"/>
    <w:rsid w:val="00317693"/>
    <w:rsid w:val="0032075F"/>
    <w:rsid w:val="0032142F"/>
    <w:rsid w:val="00321658"/>
    <w:rsid w:val="00323881"/>
    <w:rsid w:val="00325926"/>
    <w:rsid w:val="00326F06"/>
    <w:rsid w:val="00327A8A"/>
    <w:rsid w:val="003317F5"/>
    <w:rsid w:val="003319BA"/>
    <w:rsid w:val="003356D8"/>
    <w:rsid w:val="00336610"/>
    <w:rsid w:val="00341742"/>
    <w:rsid w:val="003421F1"/>
    <w:rsid w:val="003427E0"/>
    <w:rsid w:val="00343F73"/>
    <w:rsid w:val="00345060"/>
    <w:rsid w:val="003452A4"/>
    <w:rsid w:val="0034685C"/>
    <w:rsid w:val="00346E46"/>
    <w:rsid w:val="0035323B"/>
    <w:rsid w:val="00353B6F"/>
    <w:rsid w:val="00354521"/>
    <w:rsid w:val="00356937"/>
    <w:rsid w:val="003609D2"/>
    <w:rsid w:val="00360D1A"/>
    <w:rsid w:val="003613C3"/>
    <w:rsid w:val="00363F22"/>
    <w:rsid w:val="003647A6"/>
    <w:rsid w:val="0036591F"/>
    <w:rsid w:val="0036609D"/>
    <w:rsid w:val="00366AB3"/>
    <w:rsid w:val="003675BA"/>
    <w:rsid w:val="00370714"/>
    <w:rsid w:val="00372EEA"/>
    <w:rsid w:val="003744AD"/>
    <w:rsid w:val="00375564"/>
    <w:rsid w:val="00376BCE"/>
    <w:rsid w:val="00383191"/>
    <w:rsid w:val="003834C7"/>
    <w:rsid w:val="00383C3F"/>
    <w:rsid w:val="00385F38"/>
    <w:rsid w:val="00385FC9"/>
    <w:rsid w:val="00386DED"/>
    <w:rsid w:val="00386EE4"/>
    <w:rsid w:val="00387F24"/>
    <w:rsid w:val="003902F6"/>
    <w:rsid w:val="00390A65"/>
    <w:rsid w:val="003912C2"/>
    <w:rsid w:val="003912E7"/>
    <w:rsid w:val="003923E2"/>
    <w:rsid w:val="00392DCB"/>
    <w:rsid w:val="0039389D"/>
    <w:rsid w:val="00393947"/>
    <w:rsid w:val="00394784"/>
    <w:rsid w:val="003963E5"/>
    <w:rsid w:val="0039654E"/>
    <w:rsid w:val="003970FB"/>
    <w:rsid w:val="00397F52"/>
    <w:rsid w:val="003A0483"/>
    <w:rsid w:val="003A2275"/>
    <w:rsid w:val="003A402E"/>
    <w:rsid w:val="003A416D"/>
    <w:rsid w:val="003A5081"/>
    <w:rsid w:val="003A5B2D"/>
    <w:rsid w:val="003A6A4F"/>
    <w:rsid w:val="003A7088"/>
    <w:rsid w:val="003B00DF"/>
    <w:rsid w:val="003B0420"/>
    <w:rsid w:val="003B1275"/>
    <w:rsid w:val="003B1778"/>
    <w:rsid w:val="003B47FF"/>
    <w:rsid w:val="003B7861"/>
    <w:rsid w:val="003B7B4C"/>
    <w:rsid w:val="003C0346"/>
    <w:rsid w:val="003C046C"/>
    <w:rsid w:val="003C11CB"/>
    <w:rsid w:val="003C1C59"/>
    <w:rsid w:val="003C6425"/>
    <w:rsid w:val="003C75F3"/>
    <w:rsid w:val="003C78A3"/>
    <w:rsid w:val="003D2D1C"/>
    <w:rsid w:val="003D33FF"/>
    <w:rsid w:val="003D4F1D"/>
    <w:rsid w:val="003D5105"/>
    <w:rsid w:val="003D5902"/>
    <w:rsid w:val="003D5B1D"/>
    <w:rsid w:val="003D7021"/>
    <w:rsid w:val="003D7E01"/>
    <w:rsid w:val="003E183E"/>
    <w:rsid w:val="003E1867"/>
    <w:rsid w:val="003E1B6F"/>
    <w:rsid w:val="003E330D"/>
    <w:rsid w:val="003E5729"/>
    <w:rsid w:val="003E7E39"/>
    <w:rsid w:val="003F12ED"/>
    <w:rsid w:val="003F1354"/>
    <w:rsid w:val="003F4BB9"/>
    <w:rsid w:val="003F4EE0"/>
    <w:rsid w:val="003F607B"/>
    <w:rsid w:val="003F707A"/>
    <w:rsid w:val="003F752D"/>
    <w:rsid w:val="003F75B4"/>
    <w:rsid w:val="00400B74"/>
    <w:rsid w:val="004011C1"/>
    <w:rsid w:val="00401214"/>
    <w:rsid w:val="00402153"/>
    <w:rsid w:val="00402FC1"/>
    <w:rsid w:val="0040414F"/>
    <w:rsid w:val="004068E6"/>
    <w:rsid w:val="0040715E"/>
    <w:rsid w:val="004076FA"/>
    <w:rsid w:val="00410944"/>
    <w:rsid w:val="00410BAF"/>
    <w:rsid w:val="004158FE"/>
    <w:rsid w:val="00415F1B"/>
    <w:rsid w:val="00417D81"/>
    <w:rsid w:val="00422896"/>
    <w:rsid w:val="00425082"/>
    <w:rsid w:val="004274CE"/>
    <w:rsid w:val="004309A5"/>
    <w:rsid w:val="00430BF6"/>
    <w:rsid w:val="00431DEB"/>
    <w:rsid w:val="00434A4C"/>
    <w:rsid w:val="004353CF"/>
    <w:rsid w:val="00437037"/>
    <w:rsid w:val="00442978"/>
    <w:rsid w:val="00442FDB"/>
    <w:rsid w:val="004430E8"/>
    <w:rsid w:val="00444962"/>
    <w:rsid w:val="00444A0C"/>
    <w:rsid w:val="00446B29"/>
    <w:rsid w:val="00447279"/>
    <w:rsid w:val="004479F4"/>
    <w:rsid w:val="004500C9"/>
    <w:rsid w:val="004508FE"/>
    <w:rsid w:val="00450F5F"/>
    <w:rsid w:val="00452836"/>
    <w:rsid w:val="00452BEC"/>
    <w:rsid w:val="00453F9A"/>
    <w:rsid w:val="0045636D"/>
    <w:rsid w:val="00456744"/>
    <w:rsid w:val="00460A9C"/>
    <w:rsid w:val="004629C2"/>
    <w:rsid w:val="0046320F"/>
    <w:rsid w:val="00466C92"/>
    <w:rsid w:val="00471E91"/>
    <w:rsid w:val="00471EBF"/>
    <w:rsid w:val="00474675"/>
    <w:rsid w:val="0047470C"/>
    <w:rsid w:val="00485B2D"/>
    <w:rsid w:val="0048700E"/>
    <w:rsid w:val="00490664"/>
    <w:rsid w:val="00490CC1"/>
    <w:rsid w:val="00491DCE"/>
    <w:rsid w:val="004A0435"/>
    <w:rsid w:val="004A3397"/>
    <w:rsid w:val="004A35F9"/>
    <w:rsid w:val="004A3712"/>
    <w:rsid w:val="004A38A8"/>
    <w:rsid w:val="004A4461"/>
    <w:rsid w:val="004A5554"/>
    <w:rsid w:val="004A5730"/>
    <w:rsid w:val="004A5AB7"/>
    <w:rsid w:val="004A611D"/>
    <w:rsid w:val="004A61AF"/>
    <w:rsid w:val="004B0BA4"/>
    <w:rsid w:val="004B217E"/>
    <w:rsid w:val="004B24C1"/>
    <w:rsid w:val="004B54D7"/>
    <w:rsid w:val="004B5D3B"/>
    <w:rsid w:val="004B6088"/>
    <w:rsid w:val="004B6B23"/>
    <w:rsid w:val="004B7AFF"/>
    <w:rsid w:val="004B7E59"/>
    <w:rsid w:val="004C069D"/>
    <w:rsid w:val="004C1237"/>
    <w:rsid w:val="004C292F"/>
    <w:rsid w:val="004C2EA5"/>
    <w:rsid w:val="004C597D"/>
    <w:rsid w:val="004C5DF5"/>
    <w:rsid w:val="004D102B"/>
    <w:rsid w:val="004D3673"/>
    <w:rsid w:val="004D4CE4"/>
    <w:rsid w:val="004E15F8"/>
    <w:rsid w:val="004E217F"/>
    <w:rsid w:val="004E3765"/>
    <w:rsid w:val="004E487C"/>
    <w:rsid w:val="004F05F2"/>
    <w:rsid w:val="004F4D75"/>
    <w:rsid w:val="004F53A0"/>
    <w:rsid w:val="004F5435"/>
    <w:rsid w:val="00501436"/>
    <w:rsid w:val="00503A04"/>
    <w:rsid w:val="005053DC"/>
    <w:rsid w:val="00505B27"/>
    <w:rsid w:val="005065D8"/>
    <w:rsid w:val="00507772"/>
    <w:rsid w:val="00510280"/>
    <w:rsid w:val="005123AB"/>
    <w:rsid w:val="00513B3B"/>
    <w:rsid w:val="00513D73"/>
    <w:rsid w:val="00514A43"/>
    <w:rsid w:val="00515558"/>
    <w:rsid w:val="005166C6"/>
    <w:rsid w:val="005174E5"/>
    <w:rsid w:val="00520741"/>
    <w:rsid w:val="00521485"/>
    <w:rsid w:val="00522393"/>
    <w:rsid w:val="00522620"/>
    <w:rsid w:val="005228C6"/>
    <w:rsid w:val="00525224"/>
    <w:rsid w:val="00525656"/>
    <w:rsid w:val="00530A97"/>
    <w:rsid w:val="00530A9B"/>
    <w:rsid w:val="005316C7"/>
    <w:rsid w:val="005338F3"/>
    <w:rsid w:val="00534C02"/>
    <w:rsid w:val="005424E9"/>
    <w:rsid w:val="0054264B"/>
    <w:rsid w:val="00543786"/>
    <w:rsid w:val="005437DD"/>
    <w:rsid w:val="0054520D"/>
    <w:rsid w:val="00546A2A"/>
    <w:rsid w:val="00547B70"/>
    <w:rsid w:val="00550B14"/>
    <w:rsid w:val="005530D3"/>
    <w:rsid w:val="005533D7"/>
    <w:rsid w:val="00553490"/>
    <w:rsid w:val="00554058"/>
    <w:rsid w:val="005555C8"/>
    <w:rsid w:val="0055584B"/>
    <w:rsid w:val="00556819"/>
    <w:rsid w:val="00557055"/>
    <w:rsid w:val="00561600"/>
    <w:rsid w:val="00561A5A"/>
    <w:rsid w:val="0056308A"/>
    <w:rsid w:val="005632D6"/>
    <w:rsid w:val="0056397F"/>
    <w:rsid w:val="00563E13"/>
    <w:rsid w:val="00565275"/>
    <w:rsid w:val="005703DE"/>
    <w:rsid w:val="00571468"/>
    <w:rsid w:val="005715E0"/>
    <w:rsid w:val="0057191D"/>
    <w:rsid w:val="00571B03"/>
    <w:rsid w:val="00572CC5"/>
    <w:rsid w:val="005733A3"/>
    <w:rsid w:val="00574E2B"/>
    <w:rsid w:val="00576092"/>
    <w:rsid w:val="005764F1"/>
    <w:rsid w:val="00580529"/>
    <w:rsid w:val="00583260"/>
    <w:rsid w:val="005842FC"/>
    <w:rsid w:val="0058464E"/>
    <w:rsid w:val="00586B16"/>
    <w:rsid w:val="005914DF"/>
    <w:rsid w:val="005915F2"/>
    <w:rsid w:val="00591DF2"/>
    <w:rsid w:val="00592776"/>
    <w:rsid w:val="00596210"/>
    <w:rsid w:val="005968C2"/>
    <w:rsid w:val="00596F5B"/>
    <w:rsid w:val="005A01CB"/>
    <w:rsid w:val="005A0954"/>
    <w:rsid w:val="005A1FEE"/>
    <w:rsid w:val="005A240A"/>
    <w:rsid w:val="005A4754"/>
    <w:rsid w:val="005A47F7"/>
    <w:rsid w:val="005A58FF"/>
    <w:rsid w:val="005A5D94"/>
    <w:rsid w:val="005A5EAF"/>
    <w:rsid w:val="005A64C0"/>
    <w:rsid w:val="005A7535"/>
    <w:rsid w:val="005B2087"/>
    <w:rsid w:val="005B2AEC"/>
    <w:rsid w:val="005B2B52"/>
    <w:rsid w:val="005B36A6"/>
    <w:rsid w:val="005B3C11"/>
    <w:rsid w:val="005B3F4D"/>
    <w:rsid w:val="005B6D30"/>
    <w:rsid w:val="005B75AD"/>
    <w:rsid w:val="005C0884"/>
    <w:rsid w:val="005C0B32"/>
    <w:rsid w:val="005C0B5A"/>
    <w:rsid w:val="005C1189"/>
    <w:rsid w:val="005C1403"/>
    <w:rsid w:val="005C1C28"/>
    <w:rsid w:val="005C3488"/>
    <w:rsid w:val="005C36E1"/>
    <w:rsid w:val="005C4351"/>
    <w:rsid w:val="005C476D"/>
    <w:rsid w:val="005C4BB6"/>
    <w:rsid w:val="005C4CCB"/>
    <w:rsid w:val="005C6DB5"/>
    <w:rsid w:val="005C78F9"/>
    <w:rsid w:val="005D17D7"/>
    <w:rsid w:val="005D251A"/>
    <w:rsid w:val="005D2986"/>
    <w:rsid w:val="005D2F82"/>
    <w:rsid w:val="005D42E2"/>
    <w:rsid w:val="005D7A76"/>
    <w:rsid w:val="005E06A8"/>
    <w:rsid w:val="005E19E7"/>
    <w:rsid w:val="005E2418"/>
    <w:rsid w:val="005E30D5"/>
    <w:rsid w:val="005E408A"/>
    <w:rsid w:val="005E73E0"/>
    <w:rsid w:val="005F163E"/>
    <w:rsid w:val="005F31C7"/>
    <w:rsid w:val="005F3CD4"/>
    <w:rsid w:val="005F6282"/>
    <w:rsid w:val="006003E4"/>
    <w:rsid w:val="00601DBD"/>
    <w:rsid w:val="00602533"/>
    <w:rsid w:val="00605BC9"/>
    <w:rsid w:val="00607057"/>
    <w:rsid w:val="00610CBB"/>
    <w:rsid w:val="006137BA"/>
    <w:rsid w:val="00613B81"/>
    <w:rsid w:val="00614151"/>
    <w:rsid w:val="00615FA0"/>
    <w:rsid w:val="00616CF2"/>
    <w:rsid w:val="0061716C"/>
    <w:rsid w:val="00617573"/>
    <w:rsid w:val="006205B4"/>
    <w:rsid w:val="00623339"/>
    <w:rsid w:val="006236E8"/>
    <w:rsid w:val="00623E91"/>
    <w:rsid w:val="006243A1"/>
    <w:rsid w:val="00624779"/>
    <w:rsid w:val="006248BC"/>
    <w:rsid w:val="00624E09"/>
    <w:rsid w:val="00624FB3"/>
    <w:rsid w:val="00626EF9"/>
    <w:rsid w:val="006304C8"/>
    <w:rsid w:val="00632E56"/>
    <w:rsid w:val="0063346A"/>
    <w:rsid w:val="00635983"/>
    <w:rsid w:val="00635CBA"/>
    <w:rsid w:val="00635F92"/>
    <w:rsid w:val="00637969"/>
    <w:rsid w:val="006414F0"/>
    <w:rsid w:val="0064302D"/>
    <w:rsid w:val="0064338B"/>
    <w:rsid w:val="00646542"/>
    <w:rsid w:val="0064769F"/>
    <w:rsid w:val="00647A71"/>
    <w:rsid w:val="006504F4"/>
    <w:rsid w:val="00652066"/>
    <w:rsid w:val="00652264"/>
    <w:rsid w:val="00654010"/>
    <w:rsid w:val="00654BC9"/>
    <w:rsid w:val="006552FD"/>
    <w:rsid w:val="00656B2C"/>
    <w:rsid w:val="006606BB"/>
    <w:rsid w:val="00660B0C"/>
    <w:rsid w:val="00661BEA"/>
    <w:rsid w:val="006629D2"/>
    <w:rsid w:val="00663AF3"/>
    <w:rsid w:val="006664F5"/>
    <w:rsid w:val="00666B6C"/>
    <w:rsid w:val="0067002D"/>
    <w:rsid w:val="00672DA9"/>
    <w:rsid w:val="00673C47"/>
    <w:rsid w:val="00673E89"/>
    <w:rsid w:val="00675B2B"/>
    <w:rsid w:val="006767A1"/>
    <w:rsid w:val="00676EF7"/>
    <w:rsid w:val="00676F65"/>
    <w:rsid w:val="00676FD1"/>
    <w:rsid w:val="00680DAD"/>
    <w:rsid w:val="00681368"/>
    <w:rsid w:val="006816F5"/>
    <w:rsid w:val="00681E51"/>
    <w:rsid w:val="00682682"/>
    <w:rsid w:val="00682702"/>
    <w:rsid w:val="0068482A"/>
    <w:rsid w:val="00687AD7"/>
    <w:rsid w:val="00692368"/>
    <w:rsid w:val="006A0141"/>
    <w:rsid w:val="006A060A"/>
    <w:rsid w:val="006A1E75"/>
    <w:rsid w:val="006A2EBC"/>
    <w:rsid w:val="006A43D1"/>
    <w:rsid w:val="006A499F"/>
    <w:rsid w:val="006A534C"/>
    <w:rsid w:val="006A5EA0"/>
    <w:rsid w:val="006A7137"/>
    <w:rsid w:val="006A783B"/>
    <w:rsid w:val="006A7B33"/>
    <w:rsid w:val="006B0AFF"/>
    <w:rsid w:val="006B1453"/>
    <w:rsid w:val="006B1B6A"/>
    <w:rsid w:val="006B1EE3"/>
    <w:rsid w:val="006B283A"/>
    <w:rsid w:val="006B45EB"/>
    <w:rsid w:val="006B4E13"/>
    <w:rsid w:val="006B63A8"/>
    <w:rsid w:val="006B6ACF"/>
    <w:rsid w:val="006B75DD"/>
    <w:rsid w:val="006C0C22"/>
    <w:rsid w:val="006C0E6E"/>
    <w:rsid w:val="006C1319"/>
    <w:rsid w:val="006C135F"/>
    <w:rsid w:val="006C265C"/>
    <w:rsid w:val="006C541D"/>
    <w:rsid w:val="006C67E0"/>
    <w:rsid w:val="006C7ABA"/>
    <w:rsid w:val="006D0D60"/>
    <w:rsid w:val="006D1122"/>
    <w:rsid w:val="006D16BF"/>
    <w:rsid w:val="006D2329"/>
    <w:rsid w:val="006D3A6B"/>
    <w:rsid w:val="006D3C00"/>
    <w:rsid w:val="006D725B"/>
    <w:rsid w:val="006E0E7F"/>
    <w:rsid w:val="006E1744"/>
    <w:rsid w:val="006E3655"/>
    <w:rsid w:val="006E3675"/>
    <w:rsid w:val="006E4A7F"/>
    <w:rsid w:val="006F068A"/>
    <w:rsid w:val="006F1E2E"/>
    <w:rsid w:val="006F1FD1"/>
    <w:rsid w:val="006F337B"/>
    <w:rsid w:val="006F3D23"/>
    <w:rsid w:val="006F3EC2"/>
    <w:rsid w:val="006F470E"/>
    <w:rsid w:val="006F4AB8"/>
    <w:rsid w:val="006F4BFE"/>
    <w:rsid w:val="006F4E1F"/>
    <w:rsid w:val="006F535E"/>
    <w:rsid w:val="006F5E0D"/>
    <w:rsid w:val="006F6A7F"/>
    <w:rsid w:val="006F6FEC"/>
    <w:rsid w:val="006F7574"/>
    <w:rsid w:val="006F7FC4"/>
    <w:rsid w:val="007001A8"/>
    <w:rsid w:val="00700C80"/>
    <w:rsid w:val="00701A6B"/>
    <w:rsid w:val="00704B94"/>
    <w:rsid w:val="00704DF6"/>
    <w:rsid w:val="0070651C"/>
    <w:rsid w:val="00706CBD"/>
    <w:rsid w:val="007116BB"/>
    <w:rsid w:val="0071240B"/>
    <w:rsid w:val="007132A3"/>
    <w:rsid w:val="0071369B"/>
    <w:rsid w:val="0071564E"/>
    <w:rsid w:val="00716421"/>
    <w:rsid w:val="00717E69"/>
    <w:rsid w:val="007217E0"/>
    <w:rsid w:val="00722A00"/>
    <w:rsid w:val="007232F8"/>
    <w:rsid w:val="007238B9"/>
    <w:rsid w:val="007243CD"/>
    <w:rsid w:val="00724EFB"/>
    <w:rsid w:val="007252D0"/>
    <w:rsid w:val="00726A1E"/>
    <w:rsid w:val="007278FE"/>
    <w:rsid w:val="00730DF8"/>
    <w:rsid w:val="00731F69"/>
    <w:rsid w:val="00732753"/>
    <w:rsid w:val="007333F7"/>
    <w:rsid w:val="007343A3"/>
    <w:rsid w:val="0073442C"/>
    <w:rsid w:val="007358CD"/>
    <w:rsid w:val="0073619D"/>
    <w:rsid w:val="0073657A"/>
    <w:rsid w:val="00740533"/>
    <w:rsid w:val="00740996"/>
    <w:rsid w:val="00741272"/>
    <w:rsid w:val="007419C3"/>
    <w:rsid w:val="0074226B"/>
    <w:rsid w:val="00743BBE"/>
    <w:rsid w:val="00744B69"/>
    <w:rsid w:val="00746202"/>
    <w:rsid w:val="007467A7"/>
    <w:rsid w:val="007469DD"/>
    <w:rsid w:val="0074741B"/>
    <w:rsid w:val="0074759E"/>
    <w:rsid w:val="007478EA"/>
    <w:rsid w:val="00747F71"/>
    <w:rsid w:val="007504FF"/>
    <w:rsid w:val="00751DF3"/>
    <w:rsid w:val="0075415C"/>
    <w:rsid w:val="0075706C"/>
    <w:rsid w:val="007579FA"/>
    <w:rsid w:val="00760B1B"/>
    <w:rsid w:val="00761B47"/>
    <w:rsid w:val="00761C35"/>
    <w:rsid w:val="00762D48"/>
    <w:rsid w:val="007630CB"/>
    <w:rsid w:val="0076345C"/>
    <w:rsid w:val="00763502"/>
    <w:rsid w:val="00764211"/>
    <w:rsid w:val="00770E43"/>
    <w:rsid w:val="00770E6E"/>
    <w:rsid w:val="0077197B"/>
    <w:rsid w:val="00772739"/>
    <w:rsid w:val="0077280A"/>
    <w:rsid w:val="0077536A"/>
    <w:rsid w:val="0078056B"/>
    <w:rsid w:val="00780AC3"/>
    <w:rsid w:val="00782DF7"/>
    <w:rsid w:val="00784465"/>
    <w:rsid w:val="00785696"/>
    <w:rsid w:val="0078648C"/>
    <w:rsid w:val="00790ACA"/>
    <w:rsid w:val="007913AB"/>
    <w:rsid w:val="007914F7"/>
    <w:rsid w:val="00792FB3"/>
    <w:rsid w:val="00793324"/>
    <w:rsid w:val="007934BB"/>
    <w:rsid w:val="007A1804"/>
    <w:rsid w:val="007A1CAC"/>
    <w:rsid w:val="007A5743"/>
    <w:rsid w:val="007A643B"/>
    <w:rsid w:val="007A698C"/>
    <w:rsid w:val="007B1625"/>
    <w:rsid w:val="007B2114"/>
    <w:rsid w:val="007B2654"/>
    <w:rsid w:val="007B2829"/>
    <w:rsid w:val="007B336E"/>
    <w:rsid w:val="007B3DFE"/>
    <w:rsid w:val="007B53FB"/>
    <w:rsid w:val="007B706E"/>
    <w:rsid w:val="007B71EB"/>
    <w:rsid w:val="007B74ED"/>
    <w:rsid w:val="007B7D6C"/>
    <w:rsid w:val="007C1B76"/>
    <w:rsid w:val="007C483E"/>
    <w:rsid w:val="007C6205"/>
    <w:rsid w:val="007C686A"/>
    <w:rsid w:val="007C728E"/>
    <w:rsid w:val="007D2C53"/>
    <w:rsid w:val="007D3828"/>
    <w:rsid w:val="007D3ABE"/>
    <w:rsid w:val="007D3D60"/>
    <w:rsid w:val="007D4A95"/>
    <w:rsid w:val="007D597E"/>
    <w:rsid w:val="007D656D"/>
    <w:rsid w:val="007D6AFB"/>
    <w:rsid w:val="007E1482"/>
    <w:rsid w:val="007E1980"/>
    <w:rsid w:val="007E1E19"/>
    <w:rsid w:val="007E2D2B"/>
    <w:rsid w:val="007E4B76"/>
    <w:rsid w:val="007E5528"/>
    <w:rsid w:val="007E5D48"/>
    <w:rsid w:val="007E5EA8"/>
    <w:rsid w:val="007E68B2"/>
    <w:rsid w:val="007F04B4"/>
    <w:rsid w:val="007F0CF1"/>
    <w:rsid w:val="007F0D14"/>
    <w:rsid w:val="007F12A5"/>
    <w:rsid w:val="007F18AC"/>
    <w:rsid w:val="007F24E4"/>
    <w:rsid w:val="007F3073"/>
    <w:rsid w:val="007F355F"/>
    <w:rsid w:val="007F46CD"/>
    <w:rsid w:val="007F4B3C"/>
    <w:rsid w:val="007F4CF1"/>
    <w:rsid w:val="007F619C"/>
    <w:rsid w:val="007F758D"/>
    <w:rsid w:val="007F7D52"/>
    <w:rsid w:val="0080220F"/>
    <w:rsid w:val="00802239"/>
    <w:rsid w:val="00804DB9"/>
    <w:rsid w:val="008057A5"/>
    <w:rsid w:val="0080654C"/>
    <w:rsid w:val="00806E69"/>
    <w:rsid w:val="008071A7"/>
    <w:rsid w:val="008071C6"/>
    <w:rsid w:val="00807F5A"/>
    <w:rsid w:val="00810492"/>
    <w:rsid w:val="00810B99"/>
    <w:rsid w:val="00811544"/>
    <w:rsid w:val="00811C6F"/>
    <w:rsid w:val="00811F8E"/>
    <w:rsid w:val="008142E8"/>
    <w:rsid w:val="008157BE"/>
    <w:rsid w:val="00815B21"/>
    <w:rsid w:val="00816FF9"/>
    <w:rsid w:val="00817092"/>
    <w:rsid w:val="00817934"/>
    <w:rsid w:val="00817A00"/>
    <w:rsid w:val="00821595"/>
    <w:rsid w:val="00822DE5"/>
    <w:rsid w:val="00823ED5"/>
    <w:rsid w:val="008270B4"/>
    <w:rsid w:val="00831172"/>
    <w:rsid w:val="00831B47"/>
    <w:rsid w:val="00831B71"/>
    <w:rsid w:val="0083313B"/>
    <w:rsid w:val="00834A6A"/>
    <w:rsid w:val="00835DB3"/>
    <w:rsid w:val="00836107"/>
    <w:rsid w:val="0083617B"/>
    <w:rsid w:val="008364AF"/>
    <w:rsid w:val="00836837"/>
    <w:rsid w:val="008371BD"/>
    <w:rsid w:val="008373BD"/>
    <w:rsid w:val="00841607"/>
    <w:rsid w:val="008429CB"/>
    <w:rsid w:val="00843BFA"/>
    <w:rsid w:val="0084446D"/>
    <w:rsid w:val="008467A8"/>
    <w:rsid w:val="008476DF"/>
    <w:rsid w:val="008504A8"/>
    <w:rsid w:val="0085282E"/>
    <w:rsid w:val="008530F1"/>
    <w:rsid w:val="00854F2F"/>
    <w:rsid w:val="00854F76"/>
    <w:rsid w:val="00860DD9"/>
    <w:rsid w:val="00860E99"/>
    <w:rsid w:val="0086118A"/>
    <w:rsid w:val="008614A3"/>
    <w:rsid w:val="00861534"/>
    <w:rsid w:val="00862D13"/>
    <w:rsid w:val="0086391A"/>
    <w:rsid w:val="00866B24"/>
    <w:rsid w:val="0087198C"/>
    <w:rsid w:val="00872308"/>
    <w:rsid w:val="00872AF7"/>
    <w:rsid w:val="00872C1F"/>
    <w:rsid w:val="00873B42"/>
    <w:rsid w:val="00873CFE"/>
    <w:rsid w:val="00874181"/>
    <w:rsid w:val="00876F03"/>
    <w:rsid w:val="0088231B"/>
    <w:rsid w:val="00882496"/>
    <w:rsid w:val="008856D8"/>
    <w:rsid w:val="008857DE"/>
    <w:rsid w:val="0089165A"/>
    <w:rsid w:val="00891BAE"/>
    <w:rsid w:val="00892E82"/>
    <w:rsid w:val="00893697"/>
    <w:rsid w:val="00895F03"/>
    <w:rsid w:val="0089715B"/>
    <w:rsid w:val="008A08C8"/>
    <w:rsid w:val="008A156A"/>
    <w:rsid w:val="008A262E"/>
    <w:rsid w:val="008A2A54"/>
    <w:rsid w:val="008A645E"/>
    <w:rsid w:val="008A745C"/>
    <w:rsid w:val="008A7543"/>
    <w:rsid w:val="008A7F66"/>
    <w:rsid w:val="008B57EC"/>
    <w:rsid w:val="008B641E"/>
    <w:rsid w:val="008C01F8"/>
    <w:rsid w:val="008C1B58"/>
    <w:rsid w:val="008C214C"/>
    <w:rsid w:val="008C330E"/>
    <w:rsid w:val="008C39AE"/>
    <w:rsid w:val="008C50D1"/>
    <w:rsid w:val="008C590D"/>
    <w:rsid w:val="008D150A"/>
    <w:rsid w:val="008D1F35"/>
    <w:rsid w:val="008D26DD"/>
    <w:rsid w:val="008D392F"/>
    <w:rsid w:val="008D7D89"/>
    <w:rsid w:val="008E0254"/>
    <w:rsid w:val="008E031B"/>
    <w:rsid w:val="008E3C3D"/>
    <w:rsid w:val="008E3D4D"/>
    <w:rsid w:val="008E48F1"/>
    <w:rsid w:val="008E6D69"/>
    <w:rsid w:val="008E7029"/>
    <w:rsid w:val="008E77AD"/>
    <w:rsid w:val="008E7DFD"/>
    <w:rsid w:val="008E7EF6"/>
    <w:rsid w:val="008F1F98"/>
    <w:rsid w:val="008F37A8"/>
    <w:rsid w:val="008F66EA"/>
    <w:rsid w:val="008F6758"/>
    <w:rsid w:val="00901E03"/>
    <w:rsid w:val="009040DD"/>
    <w:rsid w:val="0090466A"/>
    <w:rsid w:val="00904798"/>
    <w:rsid w:val="00905B47"/>
    <w:rsid w:val="00907CE3"/>
    <w:rsid w:val="009102F7"/>
    <w:rsid w:val="0091043F"/>
    <w:rsid w:val="0091331C"/>
    <w:rsid w:val="00914617"/>
    <w:rsid w:val="00916180"/>
    <w:rsid w:val="00917376"/>
    <w:rsid w:val="009205E5"/>
    <w:rsid w:val="00922365"/>
    <w:rsid w:val="00922A11"/>
    <w:rsid w:val="00923FCA"/>
    <w:rsid w:val="0092483E"/>
    <w:rsid w:val="00924A12"/>
    <w:rsid w:val="00924E4A"/>
    <w:rsid w:val="00924F54"/>
    <w:rsid w:val="00926E66"/>
    <w:rsid w:val="00927136"/>
    <w:rsid w:val="0092734F"/>
    <w:rsid w:val="009279DE"/>
    <w:rsid w:val="00927E33"/>
    <w:rsid w:val="00930116"/>
    <w:rsid w:val="009314F7"/>
    <w:rsid w:val="00931A4B"/>
    <w:rsid w:val="0093214D"/>
    <w:rsid w:val="0093253A"/>
    <w:rsid w:val="00932E1F"/>
    <w:rsid w:val="00933BF1"/>
    <w:rsid w:val="00934B3B"/>
    <w:rsid w:val="009358FF"/>
    <w:rsid w:val="00937B23"/>
    <w:rsid w:val="00937D95"/>
    <w:rsid w:val="0094202F"/>
    <w:rsid w:val="0094212C"/>
    <w:rsid w:val="00942518"/>
    <w:rsid w:val="00946195"/>
    <w:rsid w:val="009476F0"/>
    <w:rsid w:val="00950CDC"/>
    <w:rsid w:val="00952A9F"/>
    <w:rsid w:val="00953EF9"/>
    <w:rsid w:val="00954689"/>
    <w:rsid w:val="00956BC2"/>
    <w:rsid w:val="00957294"/>
    <w:rsid w:val="00960F05"/>
    <w:rsid w:val="009617C9"/>
    <w:rsid w:val="00961C93"/>
    <w:rsid w:val="00964EAC"/>
    <w:rsid w:val="00965324"/>
    <w:rsid w:val="00965AEC"/>
    <w:rsid w:val="00966B9B"/>
    <w:rsid w:val="00966E9A"/>
    <w:rsid w:val="00967A86"/>
    <w:rsid w:val="0097091E"/>
    <w:rsid w:val="009713FE"/>
    <w:rsid w:val="009733D5"/>
    <w:rsid w:val="00973547"/>
    <w:rsid w:val="00973CCB"/>
    <w:rsid w:val="009744D3"/>
    <w:rsid w:val="00974508"/>
    <w:rsid w:val="00974FBD"/>
    <w:rsid w:val="009760D3"/>
    <w:rsid w:val="00976113"/>
    <w:rsid w:val="00976A71"/>
    <w:rsid w:val="00976C94"/>
    <w:rsid w:val="00977132"/>
    <w:rsid w:val="009776B4"/>
    <w:rsid w:val="00980003"/>
    <w:rsid w:val="0098067E"/>
    <w:rsid w:val="00981A4B"/>
    <w:rsid w:val="00982501"/>
    <w:rsid w:val="0098279A"/>
    <w:rsid w:val="00982D2A"/>
    <w:rsid w:val="009831D0"/>
    <w:rsid w:val="00984A17"/>
    <w:rsid w:val="009854DA"/>
    <w:rsid w:val="00987324"/>
    <w:rsid w:val="009877D3"/>
    <w:rsid w:val="00987899"/>
    <w:rsid w:val="00987DE2"/>
    <w:rsid w:val="00990C3A"/>
    <w:rsid w:val="009931E2"/>
    <w:rsid w:val="00993907"/>
    <w:rsid w:val="00994235"/>
    <w:rsid w:val="00994E8F"/>
    <w:rsid w:val="009951AA"/>
    <w:rsid w:val="009951DC"/>
    <w:rsid w:val="00995362"/>
    <w:rsid w:val="009959BB"/>
    <w:rsid w:val="00997158"/>
    <w:rsid w:val="009A1351"/>
    <w:rsid w:val="009A3A7C"/>
    <w:rsid w:val="009A4292"/>
    <w:rsid w:val="009A6296"/>
    <w:rsid w:val="009B1FD3"/>
    <w:rsid w:val="009B2ADB"/>
    <w:rsid w:val="009B392D"/>
    <w:rsid w:val="009B4667"/>
    <w:rsid w:val="009B5C1C"/>
    <w:rsid w:val="009B603A"/>
    <w:rsid w:val="009C2D0E"/>
    <w:rsid w:val="009C32C4"/>
    <w:rsid w:val="009C3DAC"/>
    <w:rsid w:val="009C42E0"/>
    <w:rsid w:val="009C481E"/>
    <w:rsid w:val="009C4B24"/>
    <w:rsid w:val="009C55FC"/>
    <w:rsid w:val="009C6173"/>
    <w:rsid w:val="009C7ACF"/>
    <w:rsid w:val="009D05DC"/>
    <w:rsid w:val="009D0F5C"/>
    <w:rsid w:val="009D12D9"/>
    <w:rsid w:val="009D13F9"/>
    <w:rsid w:val="009D170B"/>
    <w:rsid w:val="009D2FEF"/>
    <w:rsid w:val="009D3824"/>
    <w:rsid w:val="009D5362"/>
    <w:rsid w:val="009D5F06"/>
    <w:rsid w:val="009E057C"/>
    <w:rsid w:val="009E1415"/>
    <w:rsid w:val="009E26E8"/>
    <w:rsid w:val="009E30D0"/>
    <w:rsid w:val="009E56B4"/>
    <w:rsid w:val="009E6116"/>
    <w:rsid w:val="009E6251"/>
    <w:rsid w:val="009E66D2"/>
    <w:rsid w:val="009E7563"/>
    <w:rsid w:val="009E7BBC"/>
    <w:rsid w:val="009F0EF0"/>
    <w:rsid w:val="009F13CD"/>
    <w:rsid w:val="009F1BE5"/>
    <w:rsid w:val="009F2B2F"/>
    <w:rsid w:val="009F37C6"/>
    <w:rsid w:val="009F5234"/>
    <w:rsid w:val="009F7703"/>
    <w:rsid w:val="00A00617"/>
    <w:rsid w:val="00A00E0E"/>
    <w:rsid w:val="00A01290"/>
    <w:rsid w:val="00A018E7"/>
    <w:rsid w:val="00A01D58"/>
    <w:rsid w:val="00A02A96"/>
    <w:rsid w:val="00A02E43"/>
    <w:rsid w:val="00A036D8"/>
    <w:rsid w:val="00A05155"/>
    <w:rsid w:val="00A065F9"/>
    <w:rsid w:val="00A06D0B"/>
    <w:rsid w:val="00A07F34"/>
    <w:rsid w:val="00A11DAC"/>
    <w:rsid w:val="00A1715B"/>
    <w:rsid w:val="00A17446"/>
    <w:rsid w:val="00A17B21"/>
    <w:rsid w:val="00A2128D"/>
    <w:rsid w:val="00A22154"/>
    <w:rsid w:val="00A22F8A"/>
    <w:rsid w:val="00A245A8"/>
    <w:rsid w:val="00A257D7"/>
    <w:rsid w:val="00A25C38"/>
    <w:rsid w:val="00A263E1"/>
    <w:rsid w:val="00A27631"/>
    <w:rsid w:val="00A3079E"/>
    <w:rsid w:val="00A31034"/>
    <w:rsid w:val="00A31B5F"/>
    <w:rsid w:val="00A32629"/>
    <w:rsid w:val="00A330F4"/>
    <w:rsid w:val="00A331CD"/>
    <w:rsid w:val="00A338EB"/>
    <w:rsid w:val="00A3437F"/>
    <w:rsid w:val="00A36745"/>
    <w:rsid w:val="00A36BBE"/>
    <w:rsid w:val="00A402D7"/>
    <w:rsid w:val="00A4307A"/>
    <w:rsid w:val="00A443B0"/>
    <w:rsid w:val="00A4489A"/>
    <w:rsid w:val="00A47EBB"/>
    <w:rsid w:val="00A519CF"/>
    <w:rsid w:val="00A51AE1"/>
    <w:rsid w:val="00A51CDD"/>
    <w:rsid w:val="00A52733"/>
    <w:rsid w:val="00A52DD6"/>
    <w:rsid w:val="00A53375"/>
    <w:rsid w:val="00A533F7"/>
    <w:rsid w:val="00A55942"/>
    <w:rsid w:val="00A56670"/>
    <w:rsid w:val="00A5682F"/>
    <w:rsid w:val="00A56BE1"/>
    <w:rsid w:val="00A57318"/>
    <w:rsid w:val="00A6228D"/>
    <w:rsid w:val="00A6293F"/>
    <w:rsid w:val="00A642FF"/>
    <w:rsid w:val="00A6440F"/>
    <w:rsid w:val="00A66940"/>
    <w:rsid w:val="00A6730D"/>
    <w:rsid w:val="00A71625"/>
    <w:rsid w:val="00A71B9B"/>
    <w:rsid w:val="00A724DF"/>
    <w:rsid w:val="00A72B9A"/>
    <w:rsid w:val="00A7388F"/>
    <w:rsid w:val="00A7474C"/>
    <w:rsid w:val="00A751C7"/>
    <w:rsid w:val="00A75A49"/>
    <w:rsid w:val="00A80A58"/>
    <w:rsid w:val="00A81478"/>
    <w:rsid w:val="00A81EAE"/>
    <w:rsid w:val="00A833C7"/>
    <w:rsid w:val="00A8500B"/>
    <w:rsid w:val="00A87844"/>
    <w:rsid w:val="00A966E3"/>
    <w:rsid w:val="00A97D9C"/>
    <w:rsid w:val="00AA01B8"/>
    <w:rsid w:val="00AA038C"/>
    <w:rsid w:val="00AA27A4"/>
    <w:rsid w:val="00AA39C2"/>
    <w:rsid w:val="00AA44DD"/>
    <w:rsid w:val="00AA4F6D"/>
    <w:rsid w:val="00AA5CC1"/>
    <w:rsid w:val="00AA77E0"/>
    <w:rsid w:val="00AA79B8"/>
    <w:rsid w:val="00AA7A09"/>
    <w:rsid w:val="00AB0549"/>
    <w:rsid w:val="00AB08D4"/>
    <w:rsid w:val="00AB225D"/>
    <w:rsid w:val="00AB3B50"/>
    <w:rsid w:val="00AB57C8"/>
    <w:rsid w:val="00AB5CAC"/>
    <w:rsid w:val="00AB7FB2"/>
    <w:rsid w:val="00AC05B1"/>
    <w:rsid w:val="00AC0A77"/>
    <w:rsid w:val="00AC143D"/>
    <w:rsid w:val="00AC1F0D"/>
    <w:rsid w:val="00AC35A7"/>
    <w:rsid w:val="00AC37A8"/>
    <w:rsid w:val="00AC4B41"/>
    <w:rsid w:val="00AC58C8"/>
    <w:rsid w:val="00AC6126"/>
    <w:rsid w:val="00AC7421"/>
    <w:rsid w:val="00AD1FEB"/>
    <w:rsid w:val="00AD249B"/>
    <w:rsid w:val="00AD356C"/>
    <w:rsid w:val="00AD60B5"/>
    <w:rsid w:val="00AD6883"/>
    <w:rsid w:val="00AD6954"/>
    <w:rsid w:val="00AD6DBF"/>
    <w:rsid w:val="00AD7244"/>
    <w:rsid w:val="00AE0AE9"/>
    <w:rsid w:val="00AE0CDC"/>
    <w:rsid w:val="00AE0DBA"/>
    <w:rsid w:val="00AE17D9"/>
    <w:rsid w:val="00AE2914"/>
    <w:rsid w:val="00AE45DB"/>
    <w:rsid w:val="00AE6D15"/>
    <w:rsid w:val="00AF3C75"/>
    <w:rsid w:val="00AF54F9"/>
    <w:rsid w:val="00AF6BEA"/>
    <w:rsid w:val="00B020EA"/>
    <w:rsid w:val="00B04182"/>
    <w:rsid w:val="00B0438C"/>
    <w:rsid w:val="00B05E80"/>
    <w:rsid w:val="00B06B5F"/>
    <w:rsid w:val="00B06CA5"/>
    <w:rsid w:val="00B06ED8"/>
    <w:rsid w:val="00B07189"/>
    <w:rsid w:val="00B07AE3"/>
    <w:rsid w:val="00B10515"/>
    <w:rsid w:val="00B11430"/>
    <w:rsid w:val="00B126F3"/>
    <w:rsid w:val="00B12E8F"/>
    <w:rsid w:val="00B12E9E"/>
    <w:rsid w:val="00B131AB"/>
    <w:rsid w:val="00B13CA0"/>
    <w:rsid w:val="00B1411F"/>
    <w:rsid w:val="00B150C5"/>
    <w:rsid w:val="00B15654"/>
    <w:rsid w:val="00B15849"/>
    <w:rsid w:val="00B15862"/>
    <w:rsid w:val="00B22235"/>
    <w:rsid w:val="00B227B7"/>
    <w:rsid w:val="00B2339B"/>
    <w:rsid w:val="00B30C54"/>
    <w:rsid w:val="00B313CE"/>
    <w:rsid w:val="00B31D70"/>
    <w:rsid w:val="00B32A69"/>
    <w:rsid w:val="00B32FCC"/>
    <w:rsid w:val="00B33228"/>
    <w:rsid w:val="00B3350F"/>
    <w:rsid w:val="00B353EB"/>
    <w:rsid w:val="00B35842"/>
    <w:rsid w:val="00B35897"/>
    <w:rsid w:val="00B41177"/>
    <w:rsid w:val="00B433EF"/>
    <w:rsid w:val="00B439C4"/>
    <w:rsid w:val="00B44DEF"/>
    <w:rsid w:val="00B44F51"/>
    <w:rsid w:val="00B4535E"/>
    <w:rsid w:val="00B45FA0"/>
    <w:rsid w:val="00B50A49"/>
    <w:rsid w:val="00B50A86"/>
    <w:rsid w:val="00B512A1"/>
    <w:rsid w:val="00B515A4"/>
    <w:rsid w:val="00B51C50"/>
    <w:rsid w:val="00B51D98"/>
    <w:rsid w:val="00B52A8C"/>
    <w:rsid w:val="00B53662"/>
    <w:rsid w:val="00B54F8E"/>
    <w:rsid w:val="00B61422"/>
    <w:rsid w:val="00B6205B"/>
    <w:rsid w:val="00B636A8"/>
    <w:rsid w:val="00B65D2B"/>
    <w:rsid w:val="00B660CA"/>
    <w:rsid w:val="00B66389"/>
    <w:rsid w:val="00B664C0"/>
    <w:rsid w:val="00B665C6"/>
    <w:rsid w:val="00B67996"/>
    <w:rsid w:val="00B70D39"/>
    <w:rsid w:val="00B71C6F"/>
    <w:rsid w:val="00B71DA7"/>
    <w:rsid w:val="00B73DF2"/>
    <w:rsid w:val="00B745F4"/>
    <w:rsid w:val="00B755BD"/>
    <w:rsid w:val="00B75E59"/>
    <w:rsid w:val="00B76C6D"/>
    <w:rsid w:val="00B77563"/>
    <w:rsid w:val="00B77CC7"/>
    <w:rsid w:val="00B805AF"/>
    <w:rsid w:val="00B8301A"/>
    <w:rsid w:val="00B8442D"/>
    <w:rsid w:val="00B84730"/>
    <w:rsid w:val="00B8698C"/>
    <w:rsid w:val="00B869EC"/>
    <w:rsid w:val="00B9188A"/>
    <w:rsid w:val="00B9397A"/>
    <w:rsid w:val="00B93F61"/>
    <w:rsid w:val="00B9485F"/>
    <w:rsid w:val="00B956E2"/>
    <w:rsid w:val="00B95BD8"/>
    <w:rsid w:val="00B9633D"/>
    <w:rsid w:val="00BA120F"/>
    <w:rsid w:val="00BA1460"/>
    <w:rsid w:val="00BA2EBE"/>
    <w:rsid w:val="00BA4D75"/>
    <w:rsid w:val="00BA5A5E"/>
    <w:rsid w:val="00BA630C"/>
    <w:rsid w:val="00BA692B"/>
    <w:rsid w:val="00BB0F28"/>
    <w:rsid w:val="00BB10C1"/>
    <w:rsid w:val="00BB1613"/>
    <w:rsid w:val="00BB21ED"/>
    <w:rsid w:val="00BB4303"/>
    <w:rsid w:val="00BB458A"/>
    <w:rsid w:val="00BB4DCD"/>
    <w:rsid w:val="00BB5A5C"/>
    <w:rsid w:val="00BB7DA8"/>
    <w:rsid w:val="00BC08C8"/>
    <w:rsid w:val="00BC2B57"/>
    <w:rsid w:val="00BC2DB0"/>
    <w:rsid w:val="00BC328E"/>
    <w:rsid w:val="00BC3CA4"/>
    <w:rsid w:val="00BC431E"/>
    <w:rsid w:val="00BC43B7"/>
    <w:rsid w:val="00BC4D86"/>
    <w:rsid w:val="00BC5053"/>
    <w:rsid w:val="00BC5333"/>
    <w:rsid w:val="00BC59F4"/>
    <w:rsid w:val="00BD00D3"/>
    <w:rsid w:val="00BD02E7"/>
    <w:rsid w:val="00BD0D41"/>
    <w:rsid w:val="00BD1659"/>
    <w:rsid w:val="00BD18CC"/>
    <w:rsid w:val="00BD2A88"/>
    <w:rsid w:val="00BD2A96"/>
    <w:rsid w:val="00BD3AA9"/>
    <w:rsid w:val="00BD4A18"/>
    <w:rsid w:val="00BD4F2B"/>
    <w:rsid w:val="00BD6B86"/>
    <w:rsid w:val="00BD6DB2"/>
    <w:rsid w:val="00BD7186"/>
    <w:rsid w:val="00BD7210"/>
    <w:rsid w:val="00BE103D"/>
    <w:rsid w:val="00BE11CF"/>
    <w:rsid w:val="00BE19C8"/>
    <w:rsid w:val="00BE21AB"/>
    <w:rsid w:val="00BE3668"/>
    <w:rsid w:val="00BE3744"/>
    <w:rsid w:val="00BE4CE4"/>
    <w:rsid w:val="00BE55CB"/>
    <w:rsid w:val="00BE55D3"/>
    <w:rsid w:val="00BE754B"/>
    <w:rsid w:val="00BE7B48"/>
    <w:rsid w:val="00BF14F3"/>
    <w:rsid w:val="00BF2A8D"/>
    <w:rsid w:val="00BF38EC"/>
    <w:rsid w:val="00BF617A"/>
    <w:rsid w:val="00BF6DB5"/>
    <w:rsid w:val="00BF7D8C"/>
    <w:rsid w:val="00C032DE"/>
    <w:rsid w:val="00C0379D"/>
    <w:rsid w:val="00C03931"/>
    <w:rsid w:val="00C05FE3"/>
    <w:rsid w:val="00C0628D"/>
    <w:rsid w:val="00C1010B"/>
    <w:rsid w:val="00C10454"/>
    <w:rsid w:val="00C106A3"/>
    <w:rsid w:val="00C10AC7"/>
    <w:rsid w:val="00C129C6"/>
    <w:rsid w:val="00C14573"/>
    <w:rsid w:val="00C14DBF"/>
    <w:rsid w:val="00C15E54"/>
    <w:rsid w:val="00C16B29"/>
    <w:rsid w:val="00C17BDB"/>
    <w:rsid w:val="00C203AE"/>
    <w:rsid w:val="00C206F1"/>
    <w:rsid w:val="00C20C65"/>
    <w:rsid w:val="00C20DB0"/>
    <w:rsid w:val="00C2136D"/>
    <w:rsid w:val="00C214EE"/>
    <w:rsid w:val="00C22C16"/>
    <w:rsid w:val="00C2314B"/>
    <w:rsid w:val="00C24602"/>
    <w:rsid w:val="00C24971"/>
    <w:rsid w:val="00C24E1D"/>
    <w:rsid w:val="00C256E3"/>
    <w:rsid w:val="00C25A00"/>
    <w:rsid w:val="00C26BE5"/>
    <w:rsid w:val="00C26E4D"/>
    <w:rsid w:val="00C26F8D"/>
    <w:rsid w:val="00C27705"/>
    <w:rsid w:val="00C27909"/>
    <w:rsid w:val="00C27B03"/>
    <w:rsid w:val="00C3005C"/>
    <w:rsid w:val="00C30985"/>
    <w:rsid w:val="00C314E1"/>
    <w:rsid w:val="00C32639"/>
    <w:rsid w:val="00C33F1D"/>
    <w:rsid w:val="00C34397"/>
    <w:rsid w:val="00C4095D"/>
    <w:rsid w:val="00C413D4"/>
    <w:rsid w:val="00C42685"/>
    <w:rsid w:val="00C437B0"/>
    <w:rsid w:val="00C44971"/>
    <w:rsid w:val="00C44CD5"/>
    <w:rsid w:val="00C46CB4"/>
    <w:rsid w:val="00C5008A"/>
    <w:rsid w:val="00C50C81"/>
    <w:rsid w:val="00C54672"/>
    <w:rsid w:val="00C5533B"/>
    <w:rsid w:val="00C56872"/>
    <w:rsid w:val="00C601D2"/>
    <w:rsid w:val="00C609F3"/>
    <w:rsid w:val="00C61AC6"/>
    <w:rsid w:val="00C61E3B"/>
    <w:rsid w:val="00C62DE5"/>
    <w:rsid w:val="00C65B30"/>
    <w:rsid w:val="00C65BCC"/>
    <w:rsid w:val="00C66970"/>
    <w:rsid w:val="00C67C3B"/>
    <w:rsid w:val="00C67DAE"/>
    <w:rsid w:val="00C70E86"/>
    <w:rsid w:val="00C7202D"/>
    <w:rsid w:val="00C72EC1"/>
    <w:rsid w:val="00C7303D"/>
    <w:rsid w:val="00C76D28"/>
    <w:rsid w:val="00C77811"/>
    <w:rsid w:val="00C81C94"/>
    <w:rsid w:val="00C81E45"/>
    <w:rsid w:val="00C823DE"/>
    <w:rsid w:val="00C829B3"/>
    <w:rsid w:val="00C830ED"/>
    <w:rsid w:val="00C839C8"/>
    <w:rsid w:val="00C83C96"/>
    <w:rsid w:val="00C8691C"/>
    <w:rsid w:val="00C86967"/>
    <w:rsid w:val="00C901BB"/>
    <w:rsid w:val="00C9111D"/>
    <w:rsid w:val="00C91A2A"/>
    <w:rsid w:val="00C948D8"/>
    <w:rsid w:val="00C958DA"/>
    <w:rsid w:val="00C97454"/>
    <w:rsid w:val="00C97709"/>
    <w:rsid w:val="00CA13E1"/>
    <w:rsid w:val="00CA168A"/>
    <w:rsid w:val="00CA19F7"/>
    <w:rsid w:val="00CA23D7"/>
    <w:rsid w:val="00CA357E"/>
    <w:rsid w:val="00CA44F9"/>
    <w:rsid w:val="00CA4A69"/>
    <w:rsid w:val="00CA6E70"/>
    <w:rsid w:val="00CA74CB"/>
    <w:rsid w:val="00CB44D3"/>
    <w:rsid w:val="00CB44D6"/>
    <w:rsid w:val="00CB51D3"/>
    <w:rsid w:val="00CB5AC1"/>
    <w:rsid w:val="00CB5CF3"/>
    <w:rsid w:val="00CB731B"/>
    <w:rsid w:val="00CC2C6C"/>
    <w:rsid w:val="00CC3DC3"/>
    <w:rsid w:val="00CC3E0C"/>
    <w:rsid w:val="00CC4BA0"/>
    <w:rsid w:val="00CC55AB"/>
    <w:rsid w:val="00CC58D3"/>
    <w:rsid w:val="00CC5B04"/>
    <w:rsid w:val="00CC5F9B"/>
    <w:rsid w:val="00CC784D"/>
    <w:rsid w:val="00CD0980"/>
    <w:rsid w:val="00CD3373"/>
    <w:rsid w:val="00CD41B9"/>
    <w:rsid w:val="00CD5936"/>
    <w:rsid w:val="00CE1330"/>
    <w:rsid w:val="00CE2735"/>
    <w:rsid w:val="00CE2CD5"/>
    <w:rsid w:val="00CE2D99"/>
    <w:rsid w:val="00CE3109"/>
    <w:rsid w:val="00CE3E69"/>
    <w:rsid w:val="00CE5922"/>
    <w:rsid w:val="00CE5DD7"/>
    <w:rsid w:val="00CE5E0C"/>
    <w:rsid w:val="00CE69B4"/>
    <w:rsid w:val="00CE7266"/>
    <w:rsid w:val="00CE75A4"/>
    <w:rsid w:val="00CF1246"/>
    <w:rsid w:val="00CF177B"/>
    <w:rsid w:val="00CF3C2F"/>
    <w:rsid w:val="00CF4FA5"/>
    <w:rsid w:val="00CF50D0"/>
    <w:rsid w:val="00D00D41"/>
    <w:rsid w:val="00D00E30"/>
    <w:rsid w:val="00D01C26"/>
    <w:rsid w:val="00D0337B"/>
    <w:rsid w:val="00D079B2"/>
    <w:rsid w:val="00D10392"/>
    <w:rsid w:val="00D114E9"/>
    <w:rsid w:val="00D145EA"/>
    <w:rsid w:val="00D15501"/>
    <w:rsid w:val="00D15532"/>
    <w:rsid w:val="00D16069"/>
    <w:rsid w:val="00D20760"/>
    <w:rsid w:val="00D21747"/>
    <w:rsid w:val="00D24C89"/>
    <w:rsid w:val="00D25F54"/>
    <w:rsid w:val="00D26CC9"/>
    <w:rsid w:val="00D2743A"/>
    <w:rsid w:val="00D301C1"/>
    <w:rsid w:val="00D306B9"/>
    <w:rsid w:val="00D31C7C"/>
    <w:rsid w:val="00D32143"/>
    <w:rsid w:val="00D327E5"/>
    <w:rsid w:val="00D36545"/>
    <w:rsid w:val="00D36F0A"/>
    <w:rsid w:val="00D41C23"/>
    <w:rsid w:val="00D429C6"/>
    <w:rsid w:val="00D46859"/>
    <w:rsid w:val="00D46A65"/>
    <w:rsid w:val="00D46DD5"/>
    <w:rsid w:val="00D47748"/>
    <w:rsid w:val="00D51A64"/>
    <w:rsid w:val="00D51F15"/>
    <w:rsid w:val="00D52344"/>
    <w:rsid w:val="00D537F8"/>
    <w:rsid w:val="00D549C3"/>
    <w:rsid w:val="00D54CC3"/>
    <w:rsid w:val="00D56E03"/>
    <w:rsid w:val="00D574F9"/>
    <w:rsid w:val="00D57977"/>
    <w:rsid w:val="00D6041A"/>
    <w:rsid w:val="00D6300F"/>
    <w:rsid w:val="00D633EB"/>
    <w:rsid w:val="00D642E9"/>
    <w:rsid w:val="00D64834"/>
    <w:rsid w:val="00D655DD"/>
    <w:rsid w:val="00D7134F"/>
    <w:rsid w:val="00D751DF"/>
    <w:rsid w:val="00D77DED"/>
    <w:rsid w:val="00D80AC5"/>
    <w:rsid w:val="00D81224"/>
    <w:rsid w:val="00D82FF7"/>
    <w:rsid w:val="00D83722"/>
    <w:rsid w:val="00D847FE"/>
    <w:rsid w:val="00D84902"/>
    <w:rsid w:val="00D857E8"/>
    <w:rsid w:val="00D860C9"/>
    <w:rsid w:val="00D87A3B"/>
    <w:rsid w:val="00D9001B"/>
    <w:rsid w:val="00D923C8"/>
    <w:rsid w:val="00D92F8C"/>
    <w:rsid w:val="00D93662"/>
    <w:rsid w:val="00D95DB4"/>
    <w:rsid w:val="00D964EA"/>
    <w:rsid w:val="00D966D0"/>
    <w:rsid w:val="00D97C12"/>
    <w:rsid w:val="00DA0C59"/>
    <w:rsid w:val="00DA1CC6"/>
    <w:rsid w:val="00DA363F"/>
    <w:rsid w:val="00DA3991"/>
    <w:rsid w:val="00DA3F0A"/>
    <w:rsid w:val="00DA487B"/>
    <w:rsid w:val="00DA6856"/>
    <w:rsid w:val="00DA74C7"/>
    <w:rsid w:val="00DA7BB6"/>
    <w:rsid w:val="00DB0E09"/>
    <w:rsid w:val="00DB3C02"/>
    <w:rsid w:val="00DB466E"/>
    <w:rsid w:val="00DB4D93"/>
    <w:rsid w:val="00DB6C6F"/>
    <w:rsid w:val="00DB6C90"/>
    <w:rsid w:val="00DB6F28"/>
    <w:rsid w:val="00DB7E6C"/>
    <w:rsid w:val="00DC03A8"/>
    <w:rsid w:val="00DC0588"/>
    <w:rsid w:val="00DC1EDB"/>
    <w:rsid w:val="00DC2DF5"/>
    <w:rsid w:val="00DC51A8"/>
    <w:rsid w:val="00DC5FE4"/>
    <w:rsid w:val="00DC7E21"/>
    <w:rsid w:val="00DD0D9C"/>
    <w:rsid w:val="00DD3145"/>
    <w:rsid w:val="00DD34DB"/>
    <w:rsid w:val="00DD3753"/>
    <w:rsid w:val="00DD3AC5"/>
    <w:rsid w:val="00DD4191"/>
    <w:rsid w:val="00DD4299"/>
    <w:rsid w:val="00DD42F1"/>
    <w:rsid w:val="00DD4E1D"/>
    <w:rsid w:val="00DD5515"/>
    <w:rsid w:val="00DD5A29"/>
    <w:rsid w:val="00DD5D9D"/>
    <w:rsid w:val="00DD634D"/>
    <w:rsid w:val="00DE0411"/>
    <w:rsid w:val="00DE35CB"/>
    <w:rsid w:val="00DE381C"/>
    <w:rsid w:val="00DE3D0F"/>
    <w:rsid w:val="00DE40EF"/>
    <w:rsid w:val="00DE5079"/>
    <w:rsid w:val="00DE5EA9"/>
    <w:rsid w:val="00DE6CFA"/>
    <w:rsid w:val="00DE7454"/>
    <w:rsid w:val="00DE7577"/>
    <w:rsid w:val="00DE7EFF"/>
    <w:rsid w:val="00DF21E9"/>
    <w:rsid w:val="00DF259F"/>
    <w:rsid w:val="00DF561F"/>
    <w:rsid w:val="00DF68F5"/>
    <w:rsid w:val="00DF764D"/>
    <w:rsid w:val="00E0032F"/>
    <w:rsid w:val="00E00F14"/>
    <w:rsid w:val="00E01434"/>
    <w:rsid w:val="00E0175F"/>
    <w:rsid w:val="00E01BAF"/>
    <w:rsid w:val="00E01FB2"/>
    <w:rsid w:val="00E03261"/>
    <w:rsid w:val="00E03C37"/>
    <w:rsid w:val="00E06386"/>
    <w:rsid w:val="00E06679"/>
    <w:rsid w:val="00E07077"/>
    <w:rsid w:val="00E075D6"/>
    <w:rsid w:val="00E136F4"/>
    <w:rsid w:val="00E138D6"/>
    <w:rsid w:val="00E14224"/>
    <w:rsid w:val="00E14610"/>
    <w:rsid w:val="00E14DD9"/>
    <w:rsid w:val="00E1548A"/>
    <w:rsid w:val="00E17B78"/>
    <w:rsid w:val="00E20C71"/>
    <w:rsid w:val="00E21115"/>
    <w:rsid w:val="00E2416C"/>
    <w:rsid w:val="00E24EB4"/>
    <w:rsid w:val="00E253EE"/>
    <w:rsid w:val="00E26476"/>
    <w:rsid w:val="00E27E44"/>
    <w:rsid w:val="00E310FB"/>
    <w:rsid w:val="00E31D9F"/>
    <w:rsid w:val="00E320ED"/>
    <w:rsid w:val="00E32B62"/>
    <w:rsid w:val="00E334AD"/>
    <w:rsid w:val="00E337BB"/>
    <w:rsid w:val="00E33AFB"/>
    <w:rsid w:val="00E34218"/>
    <w:rsid w:val="00E34868"/>
    <w:rsid w:val="00E34CD6"/>
    <w:rsid w:val="00E371EE"/>
    <w:rsid w:val="00E407C1"/>
    <w:rsid w:val="00E40B07"/>
    <w:rsid w:val="00E46282"/>
    <w:rsid w:val="00E462D7"/>
    <w:rsid w:val="00E47BE3"/>
    <w:rsid w:val="00E510C2"/>
    <w:rsid w:val="00E51DEA"/>
    <w:rsid w:val="00E5216E"/>
    <w:rsid w:val="00E52625"/>
    <w:rsid w:val="00E53730"/>
    <w:rsid w:val="00E53EAE"/>
    <w:rsid w:val="00E550F2"/>
    <w:rsid w:val="00E56CF0"/>
    <w:rsid w:val="00E575F0"/>
    <w:rsid w:val="00E57CEC"/>
    <w:rsid w:val="00E64027"/>
    <w:rsid w:val="00E6403B"/>
    <w:rsid w:val="00E64CBC"/>
    <w:rsid w:val="00E659A3"/>
    <w:rsid w:val="00E66EC6"/>
    <w:rsid w:val="00E754D6"/>
    <w:rsid w:val="00E77741"/>
    <w:rsid w:val="00E77E6A"/>
    <w:rsid w:val="00E800E3"/>
    <w:rsid w:val="00E803C9"/>
    <w:rsid w:val="00E82344"/>
    <w:rsid w:val="00E831A1"/>
    <w:rsid w:val="00E83F64"/>
    <w:rsid w:val="00E8441D"/>
    <w:rsid w:val="00E84C82"/>
    <w:rsid w:val="00E84D64"/>
    <w:rsid w:val="00E87408"/>
    <w:rsid w:val="00E914C4"/>
    <w:rsid w:val="00E92017"/>
    <w:rsid w:val="00E92AA6"/>
    <w:rsid w:val="00E92E19"/>
    <w:rsid w:val="00E934F5"/>
    <w:rsid w:val="00E96961"/>
    <w:rsid w:val="00EA217B"/>
    <w:rsid w:val="00EA2291"/>
    <w:rsid w:val="00EA5BA3"/>
    <w:rsid w:val="00EA632A"/>
    <w:rsid w:val="00EA72EC"/>
    <w:rsid w:val="00EA7A0B"/>
    <w:rsid w:val="00EB11CB"/>
    <w:rsid w:val="00EB1B7C"/>
    <w:rsid w:val="00EB275A"/>
    <w:rsid w:val="00EB2EA8"/>
    <w:rsid w:val="00EB472A"/>
    <w:rsid w:val="00EB5DEA"/>
    <w:rsid w:val="00EB61A2"/>
    <w:rsid w:val="00EB659B"/>
    <w:rsid w:val="00EB786A"/>
    <w:rsid w:val="00EC011F"/>
    <w:rsid w:val="00EC0455"/>
    <w:rsid w:val="00EC1578"/>
    <w:rsid w:val="00EC1C72"/>
    <w:rsid w:val="00EC2871"/>
    <w:rsid w:val="00EC3CC9"/>
    <w:rsid w:val="00EC4592"/>
    <w:rsid w:val="00EC4C8F"/>
    <w:rsid w:val="00EC6616"/>
    <w:rsid w:val="00EC680A"/>
    <w:rsid w:val="00EC6F0A"/>
    <w:rsid w:val="00EC74D0"/>
    <w:rsid w:val="00ED0272"/>
    <w:rsid w:val="00ED080D"/>
    <w:rsid w:val="00ED0B15"/>
    <w:rsid w:val="00ED0CAA"/>
    <w:rsid w:val="00ED16B3"/>
    <w:rsid w:val="00ED41FF"/>
    <w:rsid w:val="00ED4E86"/>
    <w:rsid w:val="00ED5A9C"/>
    <w:rsid w:val="00ED7B7D"/>
    <w:rsid w:val="00EE2BED"/>
    <w:rsid w:val="00EE3017"/>
    <w:rsid w:val="00EE3237"/>
    <w:rsid w:val="00EE374B"/>
    <w:rsid w:val="00EF0E8D"/>
    <w:rsid w:val="00EF3C01"/>
    <w:rsid w:val="00EF4893"/>
    <w:rsid w:val="00EF53DF"/>
    <w:rsid w:val="00EF58D7"/>
    <w:rsid w:val="00EF7432"/>
    <w:rsid w:val="00EF773B"/>
    <w:rsid w:val="00EF7AA8"/>
    <w:rsid w:val="00F004EA"/>
    <w:rsid w:val="00F0055A"/>
    <w:rsid w:val="00F01356"/>
    <w:rsid w:val="00F029E4"/>
    <w:rsid w:val="00F05268"/>
    <w:rsid w:val="00F06E2A"/>
    <w:rsid w:val="00F070CB"/>
    <w:rsid w:val="00F0775C"/>
    <w:rsid w:val="00F108C7"/>
    <w:rsid w:val="00F11439"/>
    <w:rsid w:val="00F11BB5"/>
    <w:rsid w:val="00F11DEF"/>
    <w:rsid w:val="00F13408"/>
    <w:rsid w:val="00F1417B"/>
    <w:rsid w:val="00F158C6"/>
    <w:rsid w:val="00F20742"/>
    <w:rsid w:val="00F20F96"/>
    <w:rsid w:val="00F21A9B"/>
    <w:rsid w:val="00F22A83"/>
    <w:rsid w:val="00F23EDE"/>
    <w:rsid w:val="00F24720"/>
    <w:rsid w:val="00F2513D"/>
    <w:rsid w:val="00F259CA"/>
    <w:rsid w:val="00F27758"/>
    <w:rsid w:val="00F305F4"/>
    <w:rsid w:val="00F329F4"/>
    <w:rsid w:val="00F32B7D"/>
    <w:rsid w:val="00F33AB7"/>
    <w:rsid w:val="00F34B99"/>
    <w:rsid w:val="00F34D1D"/>
    <w:rsid w:val="00F35F96"/>
    <w:rsid w:val="00F40BCE"/>
    <w:rsid w:val="00F4111B"/>
    <w:rsid w:val="00F41D6A"/>
    <w:rsid w:val="00F428B8"/>
    <w:rsid w:val="00F4290D"/>
    <w:rsid w:val="00F44673"/>
    <w:rsid w:val="00F44790"/>
    <w:rsid w:val="00F455E0"/>
    <w:rsid w:val="00F466A6"/>
    <w:rsid w:val="00F46C23"/>
    <w:rsid w:val="00F5022E"/>
    <w:rsid w:val="00F51B0D"/>
    <w:rsid w:val="00F52DAB"/>
    <w:rsid w:val="00F5333D"/>
    <w:rsid w:val="00F538B5"/>
    <w:rsid w:val="00F543F0"/>
    <w:rsid w:val="00F5524C"/>
    <w:rsid w:val="00F55E5C"/>
    <w:rsid w:val="00F55ED3"/>
    <w:rsid w:val="00F56322"/>
    <w:rsid w:val="00F611BA"/>
    <w:rsid w:val="00F6204D"/>
    <w:rsid w:val="00F635A2"/>
    <w:rsid w:val="00F63C4D"/>
    <w:rsid w:val="00F63D32"/>
    <w:rsid w:val="00F641B7"/>
    <w:rsid w:val="00F64BE0"/>
    <w:rsid w:val="00F67A45"/>
    <w:rsid w:val="00F70A5D"/>
    <w:rsid w:val="00F70FF8"/>
    <w:rsid w:val="00F726D6"/>
    <w:rsid w:val="00F733F5"/>
    <w:rsid w:val="00F80266"/>
    <w:rsid w:val="00F80CC8"/>
    <w:rsid w:val="00F81D29"/>
    <w:rsid w:val="00F8240A"/>
    <w:rsid w:val="00F842D8"/>
    <w:rsid w:val="00F91B25"/>
    <w:rsid w:val="00F91C4D"/>
    <w:rsid w:val="00F91D53"/>
    <w:rsid w:val="00F92743"/>
    <w:rsid w:val="00F92FD9"/>
    <w:rsid w:val="00F938B5"/>
    <w:rsid w:val="00F9448D"/>
    <w:rsid w:val="00F95114"/>
    <w:rsid w:val="00F960A3"/>
    <w:rsid w:val="00F97002"/>
    <w:rsid w:val="00F973ED"/>
    <w:rsid w:val="00FA272A"/>
    <w:rsid w:val="00FA4841"/>
    <w:rsid w:val="00FA60F7"/>
    <w:rsid w:val="00FA6684"/>
    <w:rsid w:val="00FA6E65"/>
    <w:rsid w:val="00FA6E7C"/>
    <w:rsid w:val="00FA731E"/>
    <w:rsid w:val="00FB0C55"/>
    <w:rsid w:val="00FB2B38"/>
    <w:rsid w:val="00FB4A71"/>
    <w:rsid w:val="00FB4E45"/>
    <w:rsid w:val="00FB71CD"/>
    <w:rsid w:val="00FB7817"/>
    <w:rsid w:val="00FC09D1"/>
    <w:rsid w:val="00FC2294"/>
    <w:rsid w:val="00FC2878"/>
    <w:rsid w:val="00FC2C72"/>
    <w:rsid w:val="00FC2E87"/>
    <w:rsid w:val="00FC443F"/>
    <w:rsid w:val="00FC5A20"/>
    <w:rsid w:val="00FC5CFD"/>
    <w:rsid w:val="00FC6358"/>
    <w:rsid w:val="00FC7734"/>
    <w:rsid w:val="00FD0F85"/>
    <w:rsid w:val="00FD1BC9"/>
    <w:rsid w:val="00FD320D"/>
    <w:rsid w:val="00FD42E0"/>
    <w:rsid w:val="00FD47C3"/>
    <w:rsid w:val="00FD5466"/>
    <w:rsid w:val="00FD57F7"/>
    <w:rsid w:val="00FD58A8"/>
    <w:rsid w:val="00FE0397"/>
    <w:rsid w:val="00FE1EE5"/>
    <w:rsid w:val="00FE23DE"/>
    <w:rsid w:val="00FE3CD3"/>
    <w:rsid w:val="00FE5013"/>
    <w:rsid w:val="00FE559E"/>
    <w:rsid w:val="00FE5DA8"/>
    <w:rsid w:val="00FE71A3"/>
    <w:rsid w:val="00FE72B5"/>
    <w:rsid w:val="00FE75A0"/>
    <w:rsid w:val="00FE77E1"/>
    <w:rsid w:val="00FF1BAA"/>
    <w:rsid w:val="00FF3169"/>
    <w:rsid w:val="00FF510F"/>
    <w:rsid w:val="00FF6B7E"/>
    <w:rsid w:val="04992A21"/>
    <w:rsid w:val="071413A9"/>
    <w:rsid w:val="09C71FAF"/>
    <w:rsid w:val="0AC4735A"/>
    <w:rsid w:val="0B0D7A29"/>
    <w:rsid w:val="0BBE4DF8"/>
    <w:rsid w:val="0BD71366"/>
    <w:rsid w:val="104D4694"/>
    <w:rsid w:val="11236BC5"/>
    <w:rsid w:val="147B1FD7"/>
    <w:rsid w:val="14922675"/>
    <w:rsid w:val="17C65A3C"/>
    <w:rsid w:val="1A5C6F7B"/>
    <w:rsid w:val="1AB70874"/>
    <w:rsid w:val="1B530684"/>
    <w:rsid w:val="1D927B91"/>
    <w:rsid w:val="1EFF4DAB"/>
    <w:rsid w:val="26D217D2"/>
    <w:rsid w:val="279B7D4A"/>
    <w:rsid w:val="27B53AA4"/>
    <w:rsid w:val="27F2328E"/>
    <w:rsid w:val="29C1151F"/>
    <w:rsid w:val="2A756869"/>
    <w:rsid w:val="2C6632A4"/>
    <w:rsid w:val="2CB47116"/>
    <w:rsid w:val="2E0E2A3A"/>
    <w:rsid w:val="2FBA728B"/>
    <w:rsid w:val="32765FCC"/>
    <w:rsid w:val="33571701"/>
    <w:rsid w:val="343C0754"/>
    <w:rsid w:val="3611646E"/>
    <w:rsid w:val="3632560E"/>
    <w:rsid w:val="36DF1DDC"/>
    <w:rsid w:val="3F6B4F37"/>
    <w:rsid w:val="404A7E7E"/>
    <w:rsid w:val="443D66E3"/>
    <w:rsid w:val="448C05DF"/>
    <w:rsid w:val="489E0713"/>
    <w:rsid w:val="48A759E8"/>
    <w:rsid w:val="517C792F"/>
    <w:rsid w:val="53760DD8"/>
    <w:rsid w:val="538C05FC"/>
    <w:rsid w:val="55CC2F32"/>
    <w:rsid w:val="568B1C8B"/>
    <w:rsid w:val="5955093D"/>
    <w:rsid w:val="61301BD4"/>
    <w:rsid w:val="6148401B"/>
    <w:rsid w:val="6920600C"/>
    <w:rsid w:val="69EA7444"/>
    <w:rsid w:val="6A416177"/>
    <w:rsid w:val="6BF57BFA"/>
    <w:rsid w:val="6DC42A14"/>
    <w:rsid w:val="6FA0251F"/>
    <w:rsid w:val="703B7A51"/>
    <w:rsid w:val="706E67DF"/>
    <w:rsid w:val="70890169"/>
    <w:rsid w:val="72421D4A"/>
    <w:rsid w:val="72565C05"/>
    <w:rsid w:val="73F2002C"/>
    <w:rsid w:val="74361A1C"/>
    <w:rsid w:val="75892998"/>
    <w:rsid w:val="75E672A0"/>
    <w:rsid w:val="776E72DB"/>
    <w:rsid w:val="799501CE"/>
    <w:rsid w:val="7CBC2429"/>
    <w:rsid w:val="7D585F36"/>
    <w:rsid w:val="7E6E1F88"/>
    <w:rsid w:val="7E970BA9"/>
    <w:rsid w:val="7F0C5642"/>
    <w:rsid w:val="7F4E7027"/>
    <w:rsid w:val="7F97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144"/>
    <w:qFormat/>
    <w:uiPriority w:val="9"/>
    <w:pPr>
      <w:keepNext/>
      <w:keepLines/>
      <w:spacing w:before="340" w:after="330" w:line="578" w:lineRule="auto"/>
      <w:outlineLvl w:val="0"/>
    </w:pPr>
    <w:rPr>
      <w:rFonts w:ascii="Calibri" w:hAnsi="Calibri"/>
      <w:b/>
      <w:bCs/>
      <w:kern w:val="44"/>
      <w:sz w:val="44"/>
      <w:szCs w:val="44"/>
    </w:rPr>
  </w:style>
  <w:style w:type="paragraph" w:styleId="5">
    <w:name w:val="heading 2"/>
    <w:basedOn w:val="1"/>
    <w:next w:val="3"/>
    <w:link w:val="145"/>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175"/>
    <w:semiHidden/>
    <w:unhideWhenUsed/>
    <w:qFormat/>
    <w:uiPriority w:val="0"/>
    <w:pPr>
      <w:keepNext/>
      <w:keepLines/>
      <w:spacing w:before="260" w:after="260" w:line="416" w:lineRule="auto"/>
      <w:outlineLvl w:val="2"/>
    </w:pPr>
    <w:rPr>
      <w:b/>
      <w:bCs/>
      <w:sz w:val="32"/>
      <w:szCs w:val="32"/>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pPr>
  </w:style>
  <w:style w:type="paragraph" w:styleId="7">
    <w:name w:val="toc 7"/>
    <w:basedOn w:val="1"/>
    <w:next w:val="1"/>
    <w:semiHidden/>
    <w:qFormat/>
    <w:uiPriority w:val="0"/>
    <w:pPr>
      <w:tabs>
        <w:tab w:val="right" w:leader="dot" w:pos="9241"/>
      </w:tabs>
      <w:ind w:firstLine="500" w:firstLineChars="500"/>
      <w:jc w:val="left"/>
    </w:pPr>
    <w:rPr>
      <w:rFonts w:ascii="宋体"/>
      <w:szCs w:val="21"/>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semiHidden/>
    <w:qFormat/>
    <w:uiPriority w:val="0"/>
    <w:pPr>
      <w:shd w:val="clear" w:color="auto" w:fill="000080"/>
    </w:pPr>
  </w:style>
  <w:style w:type="paragraph" w:styleId="12">
    <w:name w:val="annotation text"/>
    <w:basedOn w:val="1"/>
    <w:link w:val="176"/>
    <w:qFormat/>
    <w:uiPriority w:val="0"/>
    <w:pPr>
      <w:jc w:val="left"/>
    </w:pPr>
  </w:style>
  <w:style w:type="paragraph" w:styleId="13">
    <w:name w:val="index 6"/>
    <w:basedOn w:val="1"/>
    <w:next w:val="1"/>
    <w:qFormat/>
    <w:uiPriority w:val="0"/>
    <w:pPr>
      <w:ind w:left="1260" w:hanging="210"/>
      <w:jc w:val="left"/>
    </w:pPr>
    <w:rPr>
      <w:rFonts w:ascii="Calibri" w:hAnsi="Calibri"/>
      <w:sz w:val="20"/>
      <w:szCs w:val="20"/>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0" w:firstLineChars="100"/>
      <w:jc w:val="left"/>
    </w:pPr>
    <w:rPr>
      <w:rFonts w:ascii="宋体"/>
      <w:szCs w:val="21"/>
    </w:rPr>
  </w:style>
  <w:style w:type="paragraph" w:styleId="17">
    <w:name w:val="Plain Text"/>
    <w:basedOn w:val="1"/>
    <w:link w:val="148"/>
    <w:qFormat/>
    <w:uiPriority w:val="0"/>
    <w:rPr>
      <w:rFonts w:ascii="宋体" w:hAnsi="Courier New"/>
      <w:szCs w:val="20"/>
    </w:rPr>
  </w:style>
  <w:style w:type="paragraph" w:styleId="18">
    <w:name w:val="toc 8"/>
    <w:basedOn w:val="1"/>
    <w:next w:val="1"/>
    <w:semiHidden/>
    <w:qFormat/>
    <w:uiPriority w:val="0"/>
    <w:pPr>
      <w:tabs>
        <w:tab w:val="right" w:leader="dot" w:pos="9241"/>
      </w:tabs>
      <w:ind w:firstLine="607" w:firstLineChars="600"/>
      <w:jc w:val="left"/>
    </w:pPr>
    <w:rPr>
      <w:rFonts w:ascii="宋体"/>
      <w:szCs w:val="21"/>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Date"/>
    <w:basedOn w:val="1"/>
    <w:next w:val="1"/>
    <w:link w:val="151"/>
    <w:qFormat/>
    <w:uiPriority w:val="0"/>
    <w:pPr>
      <w:ind w:left="100" w:leftChars="2500"/>
    </w:pPr>
  </w:style>
  <w:style w:type="paragraph" w:styleId="21">
    <w:name w:val="endnote text"/>
    <w:basedOn w:val="1"/>
    <w:semiHidden/>
    <w:qFormat/>
    <w:uiPriority w:val="0"/>
    <w:pPr>
      <w:snapToGrid w:val="0"/>
      <w:jc w:val="left"/>
    </w:pPr>
  </w:style>
  <w:style w:type="paragraph" w:styleId="22">
    <w:name w:val="Balloon Text"/>
    <w:basedOn w:val="1"/>
    <w:link w:val="147"/>
    <w:qFormat/>
    <w:uiPriority w:val="0"/>
    <w:rPr>
      <w:sz w:val="18"/>
      <w:szCs w:val="18"/>
    </w:rPr>
  </w:style>
  <w:style w:type="paragraph" w:styleId="23">
    <w:name w:val="footer"/>
    <w:basedOn w:val="1"/>
    <w:link w:val="169"/>
    <w:qFormat/>
    <w:uiPriority w:val="99"/>
    <w:pPr>
      <w:snapToGrid w:val="0"/>
      <w:ind w:right="210" w:rightChars="100"/>
      <w:jc w:val="right"/>
    </w:pPr>
    <w:rPr>
      <w:sz w:val="18"/>
      <w:szCs w:val="18"/>
    </w:rPr>
  </w:style>
  <w:style w:type="paragraph" w:styleId="24">
    <w:name w:val="header"/>
    <w:basedOn w:val="1"/>
    <w:link w:val="178"/>
    <w:qFormat/>
    <w:uiPriority w:val="99"/>
    <w:pPr>
      <w:snapToGrid w:val="0"/>
      <w:jc w:val="left"/>
    </w:pPr>
    <w:rPr>
      <w:sz w:val="18"/>
      <w:szCs w:val="18"/>
    </w:rPr>
  </w:style>
  <w:style w:type="paragraph" w:styleId="25">
    <w:name w:val="toc 1"/>
    <w:basedOn w:val="1"/>
    <w:next w:val="1"/>
    <w:qFormat/>
    <w:uiPriority w:val="39"/>
    <w:pPr>
      <w:tabs>
        <w:tab w:val="right" w:leader="dot" w:pos="9242"/>
      </w:tabs>
      <w:spacing w:line="360" w:lineRule="auto"/>
      <w:jc w:val="left"/>
    </w:pPr>
    <w:rPr>
      <w:rFonts w:ascii="宋体"/>
      <w:szCs w:val="21"/>
    </w:rPr>
  </w:style>
  <w:style w:type="paragraph" w:styleId="26">
    <w:name w:val="toc 4"/>
    <w:basedOn w:val="1"/>
    <w:next w:val="1"/>
    <w:semiHidden/>
    <w:qFormat/>
    <w:uiPriority w:val="0"/>
    <w:pPr>
      <w:tabs>
        <w:tab w:val="right" w:leader="dot" w:pos="9241"/>
      </w:tabs>
      <w:ind w:firstLine="200" w:firstLineChars="200"/>
      <w:jc w:val="left"/>
    </w:pPr>
    <w:rPr>
      <w:rFonts w:ascii="宋体"/>
      <w:szCs w:val="21"/>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29"/>
    <w:qFormat/>
    <w:uiPriority w:val="0"/>
    <w:pPr>
      <w:tabs>
        <w:tab w:val="right" w:leader="dot" w:pos="9299"/>
      </w:tabs>
      <w:jc w:val="left"/>
    </w:pPr>
    <w:rPr>
      <w:rFonts w:ascii="宋体"/>
      <w:szCs w:val="21"/>
    </w:rPr>
  </w:style>
  <w:style w:type="paragraph" w:customStyle="1" w:styleId="29">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0">
    <w:name w:val="footnote text"/>
    <w:basedOn w:val="1"/>
    <w:qFormat/>
    <w:uiPriority w:val="0"/>
    <w:pPr>
      <w:numPr>
        <w:ilvl w:val="0"/>
        <w:numId w:val="1"/>
      </w:numPr>
      <w:snapToGrid w:val="0"/>
      <w:jc w:val="left"/>
    </w:pPr>
    <w:rPr>
      <w:rFonts w:ascii="宋体"/>
      <w:sz w:val="18"/>
      <w:szCs w:val="18"/>
    </w:rPr>
  </w:style>
  <w:style w:type="paragraph" w:styleId="31">
    <w:name w:val="toc 6"/>
    <w:basedOn w:val="1"/>
    <w:next w:val="1"/>
    <w:semiHidden/>
    <w:qFormat/>
    <w:uiPriority w:val="0"/>
    <w:pPr>
      <w:tabs>
        <w:tab w:val="right" w:leader="dot" w:pos="9241"/>
      </w:tabs>
      <w:ind w:firstLine="400" w:firstLineChars="400"/>
      <w:jc w:val="left"/>
    </w:pPr>
    <w:rPr>
      <w:rFonts w:ascii="宋体"/>
      <w:szCs w:val="21"/>
    </w:rPr>
  </w:style>
  <w:style w:type="paragraph" w:styleId="32">
    <w:name w:val="Body Text Indent 3"/>
    <w:basedOn w:val="1"/>
    <w:link w:val="174"/>
    <w:qFormat/>
    <w:uiPriority w:val="0"/>
    <w:pPr>
      <w:spacing w:after="120"/>
      <w:ind w:left="420" w:leftChars="200"/>
    </w:pPr>
    <w:rPr>
      <w:sz w:val="16"/>
      <w:szCs w:val="16"/>
    </w:rPr>
  </w:style>
  <w:style w:type="paragraph" w:styleId="33">
    <w:name w:val="index 7"/>
    <w:basedOn w:val="1"/>
    <w:next w:val="1"/>
    <w:qFormat/>
    <w:uiPriority w:val="0"/>
    <w:pPr>
      <w:ind w:left="1470" w:hanging="210"/>
      <w:jc w:val="left"/>
    </w:pPr>
    <w:rPr>
      <w:rFonts w:ascii="Calibri" w:hAnsi="Calibri"/>
      <w:sz w:val="20"/>
      <w:szCs w:val="20"/>
    </w:rPr>
  </w:style>
  <w:style w:type="paragraph" w:styleId="34">
    <w:name w:val="index 9"/>
    <w:basedOn w:val="1"/>
    <w:next w:val="1"/>
    <w:qFormat/>
    <w:uiPriority w:val="0"/>
    <w:pPr>
      <w:ind w:left="1890" w:hanging="210"/>
      <w:jc w:val="left"/>
    </w:pPr>
    <w:rPr>
      <w:rFonts w:ascii="Calibri" w:hAnsi="Calibri"/>
      <w:sz w:val="20"/>
      <w:szCs w:val="20"/>
    </w:rPr>
  </w:style>
  <w:style w:type="paragraph" w:styleId="35">
    <w:name w:val="toc 2"/>
    <w:basedOn w:val="1"/>
    <w:next w:val="1"/>
    <w:qFormat/>
    <w:uiPriority w:val="39"/>
    <w:pPr>
      <w:tabs>
        <w:tab w:val="right" w:leader="dot" w:pos="9242"/>
      </w:tabs>
    </w:pPr>
    <w:rPr>
      <w:rFonts w:ascii="宋体"/>
      <w:szCs w:val="21"/>
    </w:rPr>
  </w:style>
  <w:style w:type="paragraph" w:styleId="36">
    <w:name w:val="toc 9"/>
    <w:basedOn w:val="1"/>
    <w:next w:val="1"/>
    <w:semiHidden/>
    <w:qFormat/>
    <w:uiPriority w:val="0"/>
    <w:pPr>
      <w:ind w:left="1470"/>
      <w:jc w:val="left"/>
    </w:pPr>
    <w:rPr>
      <w:sz w:val="20"/>
      <w:szCs w:val="20"/>
    </w:rPr>
  </w:style>
  <w:style w:type="paragraph" w:styleId="37">
    <w:name w:val="index 2"/>
    <w:basedOn w:val="1"/>
    <w:next w:val="1"/>
    <w:qFormat/>
    <w:uiPriority w:val="0"/>
    <w:pPr>
      <w:ind w:left="420" w:hanging="210"/>
      <w:jc w:val="left"/>
    </w:pPr>
    <w:rPr>
      <w:rFonts w:ascii="Calibri" w:hAnsi="Calibri"/>
      <w:sz w:val="20"/>
      <w:szCs w:val="20"/>
    </w:rPr>
  </w:style>
  <w:style w:type="paragraph" w:styleId="38">
    <w:name w:val="annotation subject"/>
    <w:basedOn w:val="12"/>
    <w:next w:val="12"/>
    <w:link w:val="177"/>
    <w:qFormat/>
    <w:uiPriority w:val="0"/>
    <w:rPr>
      <w:b/>
      <w:bCs/>
    </w:rPr>
  </w:style>
  <w:style w:type="table" w:styleId="40">
    <w:name w:val="Table Grid"/>
    <w:basedOn w:val="39"/>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endnote reference"/>
    <w:basedOn w:val="41"/>
    <w:semiHidden/>
    <w:qFormat/>
    <w:uiPriority w:val="0"/>
    <w:rPr>
      <w:vertAlign w:val="superscript"/>
    </w:rPr>
  </w:style>
  <w:style w:type="character" w:styleId="43">
    <w:name w:val="page number"/>
    <w:basedOn w:val="41"/>
    <w:qFormat/>
    <w:uiPriority w:val="0"/>
    <w:rPr>
      <w:rFonts w:ascii="Times New Roman" w:hAnsi="Times New Roman" w:eastAsia="宋体"/>
      <w:sz w:val="18"/>
    </w:rPr>
  </w:style>
  <w:style w:type="character" w:styleId="44">
    <w:name w:val="FollowedHyperlink"/>
    <w:basedOn w:val="41"/>
    <w:qFormat/>
    <w:uiPriority w:val="0"/>
    <w:rPr>
      <w:color w:val="800080"/>
      <w:u w:val="single"/>
    </w:rPr>
  </w:style>
  <w:style w:type="character" w:styleId="45">
    <w:name w:val="Hyperlink"/>
    <w:basedOn w:val="41"/>
    <w:qFormat/>
    <w:uiPriority w:val="99"/>
    <w:rPr>
      <w:color w:val="0000FF"/>
      <w:spacing w:val="0"/>
      <w:w w:val="100"/>
      <w:szCs w:val="21"/>
      <w:u w:val="single"/>
    </w:rPr>
  </w:style>
  <w:style w:type="character" w:styleId="46">
    <w:name w:val="annotation reference"/>
    <w:basedOn w:val="41"/>
    <w:qFormat/>
    <w:uiPriority w:val="99"/>
    <w:rPr>
      <w:sz w:val="21"/>
      <w:szCs w:val="21"/>
    </w:rPr>
  </w:style>
  <w:style w:type="character" w:styleId="47">
    <w:name w:val="footnote reference"/>
    <w:basedOn w:val="41"/>
    <w:semiHidden/>
    <w:qFormat/>
    <w:uiPriority w:val="0"/>
    <w:rPr>
      <w:vertAlign w:val="superscript"/>
    </w:rPr>
  </w:style>
  <w:style w:type="character" w:customStyle="1" w:styleId="48">
    <w:name w:val="段 Char"/>
    <w:basedOn w:val="41"/>
    <w:link w:val="29"/>
    <w:qFormat/>
    <w:uiPriority w:val="0"/>
    <w:rPr>
      <w:rFonts w:ascii="宋体"/>
      <w:sz w:val="21"/>
      <w:lang w:val="en-US" w:eastAsia="zh-CN" w:bidi="ar-SA"/>
    </w:rPr>
  </w:style>
  <w:style w:type="paragraph" w:customStyle="1" w:styleId="49">
    <w:name w:val="一级条标题"/>
    <w:next w:val="29"/>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5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2">
    <w:name w:val="章标题"/>
    <w:next w:val="29"/>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3">
    <w:name w:val="二级条标题"/>
    <w:basedOn w:val="49"/>
    <w:next w:val="29"/>
    <w:qFormat/>
    <w:uiPriority w:val="0"/>
    <w:pPr>
      <w:spacing w:before="50" w:after="50"/>
      <w:outlineLvl w:val="3"/>
    </w:p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5">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57">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三级条标题"/>
    <w:basedOn w:val="53"/>
    <w:next w:val="29"/>
    <w:qFormat/>
    <w:uiPriority w:val="0"/>
    <w:pPr>
      <w:outlineLvl w:val="4"/>
    </w:pPr>
  </w:style>
  <w:style w:type="paragraph" w:customStyle="1" w:styleId="59">
    <w:name w:val="示例"/>
    <w:next w:val="60"/>
    <w:qFormat/>
    <w:uiPriority w:val="0"/>
    <w:pPr>
      <w:widowControl w:val="0"/>
      <w:numPr>
        <w:ilvl w:val="0"/>
        <w:numId w:val="3"/>
      </w:numPr>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62">
    <w:name w:val="四级条标题"/>
    <w:basedOn w:val="58"/>
    <w:next w:val="29"/>
    <w:qFormat/>
    <w:uiPriority w:val="0"/>
    <w:pPr>
      <w:outlineLvl w:val="5"/>
    </w:pPr>
  </w:style>
  <w:style w:type="paragraph" w:customStyle="1" w:styleId="63">
    <w:name w:val="五级条标题"/>
    <w:basedOn w:val="62"/>
    <w:next w:val="29"/>
    <w:qFormat/>
    <w:uiPriority w:val="0"/>
    <w:pPr>
      <w:outlineLvl w:val="6"/>
    </w:pPr>
  </w:style>
  <w:style w:type="paragraph" w:customStyle="1" w:styleId="64">
    <w:name w:val="注："/>
    <w:next w:val="29"/>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5">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6">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7">
    <w:name w:val="列项◆（三级）"/>
    <w:basedOn w:val="1"/>
    <w:qFormat/>
    <w:uiPriority w:val="0"/>
    <w:pPr>
      <w:numPr>
        <w:ilvl w:val="2"/>
        <w:numId w:val="2"/>
      </w:numPr>
    </w:pPr>
    <w:rPr>
      <w:rFonts w:ascii="宋体"/>
      <w:szCs w:val="21"/>
    </w:rPr>
  </w:style>
  <w:style w:type="paragraph" w:customStyle="1" w:styleId="68">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9">
    <w:name w:val="示例×："/>
    <w:basedOn w:val="52"/>
    <w:qFormat/>
    <w:uiPriority w:val="0"/>
    <w:pPr>
      <w:numPr>
        <w:ilvl w:val="0"/>
        <w:numId w:val="7"/>
      </w:numPr>
      <w:spacing w:beforeLines="0" w:afterLines="0"/>
      <w:outlineLvl w:val="9"/>
    </w:pPr>
    <w:rPr>
      <w:rFonts w:ascii="宋体" w:eastAsia="宋体"/>
      <w:sz w:val="18"/>
      <w:szCs w:val="18"/>
    </w:rPr>
  </w:style>
  <w:style w:type="paragraph" w:customStyle="1" w:styleId="70">
    <w:name w:val="二级无"/>
    <w:basedOn w:val="53"/>
    <w:qFormat/>
    <w:uiPriority w:val="0"/>
    <w:pPr>
      <w:spacing w:beforeLines="0" w:afterLines="0"/>
    </w:pPr>
    <w:rPr>
      <w:rFonts w:ascii="宋体" w:eastAsia="宋体"/>
    </w:rPr>
  </w:style>
  <w:style w:type="paragraph" w:customStyle="1" w:styleId="71">
    <w:name w:val="注：（正文）"/>
    <w:basedOn w:val="64"/>
    <w:next w:val="29"/>
    <w:qFormat/>
    <w:uiPriority w:val="0"/>
  </w:style>
  <w:style w:type="paragraph" w:customStyle="1" w:styleId="72">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6">
    <w:name w:val="标准书眉_偶数页"/>
    <w:basedOn w:val="51"/>
    <w:next w:val="1"/>
    <w:qFormat/>
    <w:uiPriority w:val="0"/>
    <w:pPr>
      <w:jc w:val="left"/>
    </w:p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参考文献"/>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参考文献、索引标题"/>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0">
    <w:name w:val="发布"/>
    <w:basedOn w:val="41"/>
    <w:qFormat/>
    <w:uiPriority w:val="0"/>
    <w:rPr>
      <w:rFonts w:ascii="黑体" w:eastAsia="黑体"/>
      <w:spacing w:val="85"/>
      <w:w w:val="100"/>
      <w:position w:val="3"/>
      <w:sz w:val="28"/>
      <w:szCs w:val="28"/>
    </w:rPr>
  </w:style>
  <w:style w:type="paragraph" w:customStyle="1" w:styleId="81">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
    <w:basedOn w:val="85"/>
    <w:qFormat/>
    <w:uiPriority w:val="0"/>
    <w:pPr>
      <w:framePr w:wrap="around"/>
      <w:spacing w:before="370" w:line="400" w:lineRule="exact"/>
    </w:pPr>
    <w:rPr>
      <w:rFonts w:ascii="Times New Roman"/>
      <w:sz w:val="28"/>
      <w:szCs w:val="28"/>
    </w:rPr>
  </w:style>
  <w:style w:type="paragraph" w:customStyle="1" w:styleId="87">
    <w:name w:val="封面一致性程度标识"/>
    <w:basedOn w:val="86"/>
    <w:qFormat/>
    <w:uiPriority w:val="0"/>
    <w:pPr>
      <w:framePr w:wrap="around"/>
      <w:spacing w:before="440"/>
    </w:pPr>
    <w:rPr>
      <w:rFonts w:ascii="宋体" w:eastAsia="宋体"/>
    </w:rPr>
  </w:style>
  <w:style w:type="paragraph" w:customStyle="1" w:styleId="88">
    <w:name w:val="封面标准文稿类别"/>
    <w:basedOn w:val="87"/>
    <w:qFormat/>
    <w:uiPriority w:val="0"/>
    <w:pPr>
      <w:framePr w:wrap="around"/>
      <w:spacing w:after="160" w:line="240" w:lineRule="auto"/>
    </w:pPr>
    <w:rPr>
      <w:sz w:val="24"/>
    </w:rPr>
  </w:style>
  <w:style w:type="paragraph" w:customStyle="1" w:styleId="89">
    <w:name w:val="封面标准文稿编辑信息"/>
    <w:basedOn w:val="88"/>
    <w:qFormat/>
    <w:uiPriority w:val="0"/>
    <w:pPr>
      <w:framePr w:wrap="around"/>
      <w:spacing w:before="180" w:line="180" w:lineRule="exact"/>
    </w:pPr>
    <w:rPr>
      <w:sz w:val="21"/>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29"/>
    <w:qFormat/>
    <w:uiPriority w:val="0"/>
    <w:pPr>
      <w:keepNext/>
      <w:widowControl/>
      <w:numPr>
        <w:ilvl w:val="0"/>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2">
    <w:name w:val="附录标题"/>
    <w:basedOn w:val="29"/>
    <w:next w:val="29"/>
    <w:qFormat/>
    <w:uiPriority w:val="0"/>
    <w:pPr>
      <w:ind w:firstLine="0" w:firstLineChars="0"/>
      <w:jc w:val="center"/>
    </w:pPr>
    <w:rPr>
      <w:rFonts w:ascii="黑体" w:eastAsia="黑体"/>
    </w:rPr>
  </w:style>
  <w:style w:type="paragraph" w:customStyle="1" w:styleId="93">
    <w:name w:val="附录表标号"/>
    <w:basedOn w:val="1"/>
    <w:next w:val="29"/>
    <w:qFormat/>
    <w:uiPriority w:val="0"/>
    <w:pPr>
      <w:numPr>
        <w:ilvl w:val="0"/>
        <w:numId w:val="10"/>
      </w:numPr>
      <w:tabs>
        <w:tab w:val="clear" w:pos="0"/>
      </w:tabs>
      <w:spacing w:line="14" w:lineRule="exact"/>
      <w:ind w:left="811" w:hanging="448"/>
      <w:jc w:val="center"/>
      <w:outlineLvl w:val="0"/>
    </w:pPr>
    <w:rPr>
      <w:color w:val="FFFFFF"/>
    </w:rPr>
  </w:style>
  <w:style w:type="paragraph" w:customStyle="1" w:styleId="94">
    <w:name w:val="附录表标题"/>
    <w:basedOn w:val="1"/>
    <w:next w:val="29"/>
    <w:qFormat/>
    <w:uiPriority w:val="0"/>
    <w:pPr>
      <w:numPr>
        <w:ilvl w:val="1"/>
        <w:numId w:val="10"/>
      </w:numPr>
      <w:tabs>
        <w:tab w:val="left" w:pos="180"/>
      </w:tabs>
      <w:spacing w:beforeLines="50" w:afterLines="50"/>
      <w:ind w:left="0" w:firstLine="0"/>
      <w:jc w:val="center"/>
    </w:pPr>
    <w:rPr>
      <w:rFonts w:ascii="黑体" w:eastAsia="黑体"/>
      <w:szCs w:val="21"/>
    </w:rPr>
  </w:style>
  <w:style w:type="paragraph" w:customStyle="1" w:styleId="95">
    <w:name w:val="附录二级条标题"/>
    <w:basedOn w:val="1"/>
    <w:next w:val="29"/>
    <w:qFormat/>
    <w:uiPriority w:val="0"/>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Lines="0" w:afterLines="0"/>
    </w:pPr>
    <w:rPr>
      <w:rFonts w:ascii="宋体" w:eastAsia="宋体"/>
      <w:szCs w:val="21"/>
    </w:rPr>
  </w:style>
  <w:style w:type="paragraph" w:customStyle="1" w:styleId="97">
    <w:name w:val="附录公式"/>
    <w:basedOn w:val="29"/>
    <w:next w:val="29"/>
    <w:link w:val="98"/>
    <w:qFormat/>
    <w:uiPriority w:val="0"/>
  </w:style>
  <w:style w:type="character" w:customStyle="1" w:styleId="98">
    <w:name w:val="附录公式 Char"/>
    <w:basedOn w:val="48"/>
    <w:link w:val="97"/>
    <w:qFormat/>
    <w:uiPriority w:val="0"/>
    <w:rPr>
      <w:rFonts w:ascii="宋体"/>
      <w:sz w:val="21"/>
      <w:lang w:val="en-US" w:eastAsia="zh-CN" w:bidi="ar-SA"/>
    </w:rPr>
  </w:style>
  <w:style w:type="paragraph" w:customStyle="1" w:styleId="99">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100">
    <w:name w:val="附录三级条标题"/>
    <w:basedOn w:val="95"/>
    <w:next w:val="29"/>
    <w:qFormat/>
    <w:uiPriority w:val="0"/>
    <w:pPr>
      <w:numPr>
        <w:ilvl w:val="4"/>
      </w:numPr>
      <w:outlineLvl w:val="4"/>
    </w:pPr>
  </w:style>
  <w:style w:type="paragraph" w:customStyle="1" w:styleId="101">
    <w:name w:val="附录三级无"/>
    <w:basedOn w:val="100"/>
    <w:qFormat/>
    <w:uiPriority w:val="0"/>
    <w:pPr>
      <w:tabs>
        <w:tab w:val="clear" w:pos="360"/>
      </w:tabs>
      <w:spacing w:beforeLines="0" w:afterLines="0"/>
    </w:pPr>
    <w:rPr>
      <w:rFonts w:ascii="宋体" w:eastAsia="宋体"/>
      <w:szCs w:val="21"/>
    </w:rPr>
  </w:style>
  <w:style w:type="paragraph" w:customStyle="1" w:styleId="102">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103">
    <w:name w:val="附录四级条标题"/>
    <w:basedOn w:val="100"/>
    <w:next w:val="29"/>
    <w:qFormat/>
    <w:uiPriority w:val="0"/>
    <w:pPr>
      <w:numPr>
        <w:ilvl w:val="5"/>
      </w:numPr>
      <w:outlineLvl w:val="5"/>
    </w:pPr>
  </w:style>
  <w:style w:type="paragraph" w:customStyle="1" w:styleId="104">
    <w:name w:val="附录四级无"/>
    <w:basedOn w:val="103"/>
    <w:qFormat/>
    <w:uiPriority w:val="0"/>
    <w:pPr>
      <w:tabs>
        <w:tab w:val="clear" w:pos="360"/>
      </w:tabs>
      <w:spacing w:beforeLines="0" w:afterLines="0"/>
    </w:pPr>
    <w:rPr>
      <w:rFonts w:ascii="宋体" w:eastAsia="宋体"/>
      <w:szCs w:val="21"/>
    </w:rPr>
  </w:style>
  <w:style w:type="paragraph" w:customStyle="1" w:styleId="105">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06">
    <w:name w:val="附录图标题"/>
    <w:basedOn w:val="1"/>
    <w:next w:val="29"/>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07">
    <w:name w:val="附录五级条标题"/>
    <w:basedOn w:val="103"/>
    <w:next w:val="29"/>
    <w:qFormat/>
    <w:uiPriority w:val="0"/>
    <w:pPr>
      <w:numPr>
        <w:ilvl w:val="6"/>
      </w:numPr>
      <w:outlineLvl w:val="6"/>
    </w:pPr>
  </w:style>
  <w:style w:type="paragraph" w:customStyle="1" w:styleId="108">
    <w:name w:val="附录五级无"/>
    <w:basedOn w:val="107"/>
    <w:qFormat/>
    <w:uiPriority w:val="0"/>
    <w:pPr>
      <w:tabs>
        <w:tab w:val="clear" w:pos="360"/>
      </w:tabs>
      <w:spacing w:beforeLines="0" w:afterLines="0"/>
    </w:pPr>
    <w:rPr>
      <w:rFonts w:ascii="宋体" w:eastAsia="宋体"/>
      <w:szCs w:val="21"/>
    </w:rPr>
  </w:style>
  <w:style w:type="paragraph" w:customStyle="1" w:styleId="109">
    <w:name w:val="附录章标题"/>
    <w:next w:val="29"/>
    <w:qFormat/>
    <w:uiPriority w:val="0"/>
    <w:pPr>
      <w:numPr>
        <w:ilvl w:val="1"/>
        <w:numId w:val="9"/>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附录一级条标题"/>
    <w:basedOn w:val="109"/>
    <w:next w:val="29"/>
    <w:qFormat/>
    <w:uiPriority w:val="0"/>
    <w:pPr>
      <w:numPr>
        <w:ilvl w:val="2"/>
      </w:numPr>
      <w:autoSpaceDN w:val="0"/>
      <w:spacing w:beforeLines="50" w:afterLines="50"/>
      <w:outlineLvl w:val="2"/>
    </w:pPr>
  </w:style>
  <w:style w:type="paragraph" w:customStyle="1" w:styleId="111">
    <w:name w:val="附录一级无"/>
    <w:basedOn w:val="110"/>
    <w:qFormat/>
    <w:uiPriority w:val="0"/>
    <w:pPr>
      <w:tabs>
        <w:tab w:val="clear" w:pos="360"/>
      </w:tabs>
      <w:spacing w:beforeLines="0" w:afterLines="0"/>
    </w:pPr>
    <w:rPr>
      <w:rFonts w:ascii="宋体" w:eastAsia="宋体"/>
      <w:szCs w:val="21"/>
    </w:rPr>
  </w:style>
  <w:style w:type="paragraph" w:customStyle="1" w:styleId="112">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73"/>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81"/>
    <w:qFormat/>
    <w:uiPriority w:val="0"/>
    <w:pPr>
      <w:framePr w:wrap="around" w:y="15310"/>
      <w:spacing w:line="0" w:lineRule="atLeast"/>
    </w:pPr>
    <w:rPr>
      <w:rFonts w:ascii="黑体" w:eastAsia="黑体"/>
      <w:b w:val="0"/>
    </w:rPr>
  </w:style>
  <w:style w:type="paragraph" w:customStyle="1" w:styleId="119">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三级无"/>
    <w:basedOn w:val="58"/>
    <w:qFormat/>
    <w:uiPriority w:val="0"/>
    <w:pPr>
      <w:spacing w:beforeLines="0" w:afterLines="0"/>
    </w:pPr>
    <w:rPr>
      <w:rFonts w:ascii="宋体" w:eastAsia="宋体"/>
    </w:rPr>
  </w:style>
  <w:style w:type="paragraph" w:customStyle="1" w:styleId="121">
    <w:name w:val="实施日期"/>
    <w:basedOn w:val="82"/>
    <w:qFormat/>
    <w:uiPriority w:val="0"/>
    <w:pPr>
      <w:framePr w:wrap="around" w:vAnchor="page" w:hAnchor="text"/>
      <w:jc w:val="right"/>
    </w:pPr>
  </w:style>
  <w:style w:type="paragraph" w:customStyle="1" w:styleId="122">
    <w:name w:val="示例后文字"/>
    <w:basedOn w:val="29"/>
    <w:next w:val="29"/>
    <w:qFormat/>
    <w:uiPriority w:val="0"/>
    <w:pPr>
      <w:ind w:firstLine="360"/>
    </w:pPr>
    <w:rPr>
      <w:sz w:val="18"/>
    </w:rPr>
  </w:style>
  <w:style w:type="paragraph" w:customStyle="1" w:styleId="123">
    <w:name w:val="首示例"/>
    <w:next w:val="29"/>
    <w:link w:val="124"/>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character" w:customStyle="1" w:styleId="124">
    <w:name w:val="首示例 Char"/>
    <w:basedOn w:val="41"/>
    <w:link w:val="123"/>
    <w:qFormat/>
    <w:uiPriority w:val="0"/>
    <w:rPr>
      <w:rFonts w:ascii="宋体" w:hAnsi="宋体"/>
      <w:kern w:val="2"/>
      <w:sz w:val="18"/>
      <w:szCs w:val="18"/>
    </w:rPr>
  </w:style>
  <w:style w:type="paragraph" w:customStyle="1" w:styleId="125">
    <w:name w:val="四级无"/>
    <w:basedOn w:val="62"/>
    <w:qFormat/>
    <w:uiPriority w:val="0"/>
    <w:pPr>
      <w:spacing w:beforeLines="0" w:afterLines="0"/>
    </w:pPr>
    <w:rPr>
      <w:rFonts w:ascii="宋体" w:eastAsia="宋体"/>
    </w:rPr>
  </w:style>
  <w:style w:type="paragraph" w:customStyle="1" w:styleId="126">
    <w:name w:val="条文脚注"/>
    <w:basedOn w:val="30"/>
    <w:qFormat/>
    <w:uiPriority w:val="0"/>
    <w:pPr>
      <w:numPr>
        <w:numId w:val="0"/>
      </w:numPr>
      <w:jc w:val="both"/>
    </w:pPr>
  </w:style>
  <w:style w:type="paragraph" w:customStyle="1" w:styleId="127">
    <w:name w:val="图标脚注说明"/>
    <w:basedOn w:val="29"/>
    <w:qFormat/>
    <w:uiPriority w:val="0"/>
    <w:pPr>
      <w:ind w:left="840" w:hanging="420" w:firstLineChars="0"/>
    </w:pPr>
    <w:rPr>
      <w:sz w:val="18"/>
      <w:szCs w:val="18"/>
    </w:rPr>
  </w:style>
  <w:style w:type="paragraph" w:customStyle="1" w:styleId="128">
    <w:name w:val="图表脚注说明"/>
    <w:basedOn w:val="1"/>
    <w:qFormat/>
    <w:uiPriority w:val="0"/>
    <w:pPr>
      <w:numPr>
        <w:ilvl w:val="0"/>
        <w:numId w:val="14"/>
      </w:numPr>
    </w:pPr>
    <w:rPr>
      <w:rFonts w:ascii="宋体"/>
      <w:sz w:val="18"/>
      <w:szCs w:val="18"/>
    </w:rPr>
  </w:style>
  <w:style w:type="paragraph" w:customStyle="1" w:styleId="129">
    <w:name w:val="图的脚注"/>
    <w:next w:val="2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63"/>
    <w:qFormat/>
    <w:uiPriority w:val="0"/>
    <w:pPr>
      <w:spacing w:beforeLines="0" w:afterLines="0"/>
    </w:pPr>
    <w:rPr>
      <w:rFonts w:ascii="宋体" w:eastAsia="宋体"/>
    </w:rPr>
  </w:style>
  <w:style w:type="paragraph" w:customStyle="1" w:styleId="132">
    <w:name w:val="一级无"/>
    <w:basedOn w:val="49"/>
    <w:qFormat/>
    <w:uiPriority w:val="0"/>
    <w:pPr>
      <w:spacing w:beforeLines="0" w:afterLines="0"/>
    </w:pPr>
    <w:rPr>
      <w:rFonts w:ascii="宋体" w:eastAsia="宋体"/>
    </w:rPr>
  </w:style>
  <w:style w:type="paragraph" w:customStyle="1" w:styleId="133">
    <w:name w:val="正文表标题"/>
    <w:next w:val="29"/>
    <w:qFormat/>
    <w:uiPriority w:val="0"/>
    <w:pPr>
      <w:numPr>
        <w:ilvl w:val="0"/>
        <w:numId w:val="15"/>
      </w:numPr>
      <w:spacing w:beforeLines="50"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9"/>
    <w:next w:val="29"/>
    <w:qFormat/>
    <w:uiPriority w:val="0"/>
    <w:pPr>
      <w:ind w:firstLine="0" w:firstLineChars="0"/>
    </w:pPr>
  </w:style>
  <w:style w:type="paragraph" w:customStyle="1" w:styleId="135">
    <w:name w:val="正文图标题"/>
    <w:next w:val="29"/>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82"/>
    <w:qFormat/>
    <w:uiPriority w:val="0"/>
    <w:pPr>
      <w:framePr w:wrap="around" w:vAnchor="page" w:hAnchor="text" w:x="1419"/>
    </w:pPr>
  </w:style>
  <w:style w:type="paragraph" w:customStyle="1" w:styleId="138">
    <w:name w:val="其他实施日期"/>
    <w:basedOn w:val="121"/>
    <w:qFormat/>
    <w:uiPriority w:val="0"/>
    <w:pPr>
      <w:framePr w:wrap="around"/>
    </w:pPr>
  </w:style>
  <w:style w:type="paragraph" w:customStyle="1" w:styleId="139">
    <w:name w:val="封面标准名称2"/>
    <w:basedOn w:val="85"/>
    <w:qFormat/>
    <w:uiPriority w:val="0"/>
    <w:pPr>
      <w:framePr w:wrap="around" w:y="4469"/>
      <w:spacing w:beforeLines="630"/>
    </w:pPr>
  </w:style>
  <w:style w:type="paragraph" w:customStyle="1" w:styleId="140">
    <w:name w:val="封面标准英文名称2"/>
    <w:basedOn w:val="86"/>
    <w:qFormat/>
    <w:uiPriority w:val="0"/>
    <w:pPr>
      <w:framePr w:wrap="around" w:y="4469"/>
    </w:pPr>
  </w:style>
  <w:style w:type="paragraph" w:customStyle="1" w:styleId="141">
    <w:name w:val="封面一致性程度标识2"/>
    <w:basedOn w:val="87"/>
    <w:qFormat/>
    <w:uiPriority w:val="0"/>
    <w:pPr>
      <w:framePr w:wrap="around" w:y="4469"/>
    </w:pPr>
  </w:style>
  <w:style w:type="paragraph" w:customStyle="1" w:styleId="142">
    <w:name w:val="封面标准文稿类别2"/>
    <w:basedOn w:val="88"/>
    <w:qFormat/>
    <w:uiPriority w:val="0"/>
    <w:pPr>
      <w:framePr w:wrap="around" w:y="4469"/>
    </w:pPr>
  </w:style>
  <w:style w:type="paragraph" w:customStyle="1" w:styleId="143">
    <w:name w:val="封面标准文稿编辑信息2"/>
    <w:basedOn w:val="89"/>
    <w:qFormat/>
    <w:uiPriority w:val="0"/>
    <w:pPr>
      <w:framePr w:wrap="around" w:y="4469"/>
    </w:pPr>
  </w:style>
  <w:style w:type="character" w:customStyle="1" w:styleId="144">
    <w:name w:val="标题 1 字符"/>
    <w:basedOn w:val="41"/>
    <w:link w:val="2"/>
    <w:qFormat/>
    <w:locked/>
    <w:uiPriority w:val="0"/>
    <w:rPr>
      <w:rFonts w:ascii="Calibri" w:hAnsi="Calibri" w:eastAsia="宋体"/>
      <w:b/>
      <w:bCs/>
      <w:kern w:val="44"/>
      <w:sz w:val="44"/>
      <w:szCs w:val="44"/>
      <w:lang w:val="en-US" w:eastAsia="zh-CN" w:bidi="ar-SA"/>
    </w:rPr>
  </w:style>
  <w:style w:type="character" w:customStyle="1" w:styleId="145">
    <w:name w:val="标题 2 字符"/>
    <w:basedOn w:val="41"/>
    <w:link w:val="5"/>
    <w:semiHidden/>
    <w:qFormat/>
    <w:locked/>
    <w:uiPriority w:val="0"/>
    <w:rPr>
      <w:rFonts w:ascii="Cambria" w:hAnsi="Cambria" w:eastAsia="宋体"/>
      <w:b/>
      <w:bCs/>
      <w:kern w:val="2"/>
      <w:sz w:val="32"/>
      <w:szCs w:val="32"/>
      <w:lang w:val="en-US" w:eastAsia="zh-CN" w:bidi="ar-SA"/>
    </w:rPr>
  </w:style>
  <w:style w:type="paragraph" w:customStyle="1" w:styleId="146">
    <w:name w:val="正文表格"/>
    <w:basedOn w:val="1"/>
    <w:qFormat/>
    <w:uiPriority w:val="0"/>
    <w:pPr>
      <w:jc w:val="center"/>
    </w:pPr>
    <w:rPr>
      <w:rFonts w:ascii="宋体" w:hAnsi="宋体"/>
      <w:szCs w:val="22"/>
    </w:rPr>
  </w:style>
  <w:style w:type="character" w:customStyle="1" w:styleId="147">
    <w:name w:val="批注框文本 字符"/>
    <w:basedOn w:val="41"/>
    <w:link w:val="22"/>
    <w:qFormat/>
    <w:uiPriority w:val="0"/>
    <w:rPr>
      <w:kern w:val="2"/>
      <w:sz w:val="18"/>
      <w:szCs w:val="18"/>
    </w:rPr>
  </w:style>
  <w:style w:type="character" w:customStyle="1" w:styleId="148">
    <w:name w:val="纯文本 字符"/>
    <w:basedOn w:val="41"/>
    <w:link w:val="17"/>
    <w:qFormat/>
    <w:uiPriority w:val="0"/>
    <w:rPr>
      <w:rFonts w:ascii="宋体" w:hAnsi="Courier New"/>
      <w:kern w:val="2"/>
      <w:sz w:val="21"/>
    </w:rPr>
  </w:style>
  <w:style w:type="paragraph" w:customStyle="1" w:styleId="149">
    <w:name w:val="正文文本 21"/>
    <w:basedOn w:val="1"/>
    <w:qFormat/>
    <w:uiPriority w:val="0"/>
    <w:pPr>
      <w:adjustRightInd w:val="0"/>
      <w:ind w:firstLine="510"/>
      <w:jc w:val="left"/>
      <w:textAlignment w:val="baseline"/>
    </w:pPr>
    <w:rPr>
      <w:rFonts w:eastAsia="@幼圆"/>
      <w:sz w:val="32"/>
      <w:szCs w:val="20"/>
    </w:rPr>
  </w:style>
  <w:style w:type="paragraph" w:customStyle="1" w:styleId="15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51">
    <w:name w:val="日期 字符"/>
    <w:basedOn w:val="41"/>
    <w:link w:val="20"/>
    <w:qFormat/>
    <w:uiPriority w:val="0"/>
    <w:rPr>
      <w:kern w:val="2"/>
      <w:sz w:val="21"/>
      <w:szCs w:val="24"/>
    </w:rPr>
  </w:style>
  <w:style w:type="paragraph" w:customStyle="1" w:styleId="152">
    <w:name w:val="表格"/>
    <w:next w:val="1"/>
    <w:link w:val="153"/>
    <w:qFormat/>
    <w:uiPriority w:val="0"/>
    <w:pPr>
      <w:widowControl w:val="0"/>
      <w:adjustRightInd w:val="0"/>
      <w:jc w:val="center"/>
    </w:pPr>
    <w:rPr>
      <w:rFonts w:ascii="宋体" w:hAnsi="宋体" w:eastAsia="宋体" w:cs="Times New Roman"/>
      <w:kern w:val="2"/>
      <w:sz w:val="21"/>
      <w:szCs w:val="21"/>
      <w:lang w:val="en-US" w:eastAsia="zh-CN" w:bidi="ar-SA"/>
    </w:rPr>
  </w:style>
  <w:style w:type="character" w:customStyle="1" w:styleId="153">
    <w:name w:val="表格 Char"/>
    <w:basedOn w:val="41"/>
    <w:link w:val="152"/>
    <w:qFormat/>
    <w:locked/>
    <w:uiPriority w:val="0"/>
    <w:rPr>
      <w:rFonts w:ascii="宋体" w:hAnsi="宋体"/>
      <w:kern w:val="2"/>
      <w:sz w:val="21"/>
      <w:szCs w:val="21"/>
      <w:lang w:val="en-US" w:eastAsia="zh-CN" w:bidi="ar-SA"/>
    </w:rPr>
  </w:style>
  <w:style w:type="paragraph" w:customStyle="1" w:styleId="154">
    <w:name w:val="样式 首行缩进:  2 字符"/>
    <w:basedOn w:val="1"/>
    <w:link w:val="164"/>
    <w:qFormat/>
    <w:uiPriority w:val="0"/>
    <w:pPr>
      <w:widowControl/>
      <w:spacing w:line="520" w:lineRule="exact"/>
      <w:ind w:firstLine="240" w:firstLineChars="100"/>
    </w:pPr>
    <w:rPr>
      <w:rFonts w:ascii="宋体" w:hAnsi="宋体" w:cs="宋体"/>
      <w:sz w:val="24"/>
    </w:rPr>
  </w:style>
  <w:style w:type="paragraph" w:customStyle="1" w:styleId="155">
    <w:name w:val="正文11"/>
    <w:basedOn w:val="1"/>
    <w:link w:val="156"/>
    <w:qFormat/>
    <w:uiPriority w:val="0"/>
    <w:pPr>
      <w:widowControl/>
    </w:pPr>
    <w:rPr>
      <w:rFonts w:ascii="宋体" w:hAnsi="宋体"/>
      <w:szCs w:val="21"/>
    </w:rPr>
  </w:style>
  <w:style w:type="character" w:customStyle="1" w:styleId="156">
    <w:name w:val="正文1 Char"/>
    <w:basedOn w:val="41"/>
    <w:link w:val="155"/>
    <w:qFormat/>
    <w:locked/>
    <w:uiPriority w:val="0"/>
    <w:rPr>
      <w:rFonts w:ascii="宋体" w:hAnsi="宋体"/>
      <w:kern w:val="2"/>
      <w:sz w:val="21"/>
      <w:szCs w:val="21"/>
    </w:rPr>
  </w:style>
  <w:style w:type="paragraph" w:customStyle="1" w:styleId="157">
    <w:name w:val="公式"/>
    <w:basedOn w:val="1"/>
    <w:link w:val="158"/>
    <w:qFormat/>
    <w:uiPriority w:val="0"/>
    <w:pPr>
      <w:widowControl/>
      <w:spacing w:line="360" w:lineRule="auto"/>
      <w:ind w:right="480"/>
      <w:jc w:val="right"/>
    </w:pPr>
    <w:rPr>
      <w:b/>
      <w:sz w:val="24"/>
    </w:rPr>
  </w:style>
  <w:style w:type="character" w:customStyle="1" w:styleId="158">
    <w:name w:val="公式 Char"/>
    <w:basedOn w:val="41"/>
    <w:link w:val="157"/>
    <w:qFormat/>
    <w:uiPriority w:val="0"/>
    <w:rPr>
      <w:b/>
      <w:kern w:val="2"/>
      <w:sz w:val="24"/>
      <w:szCs w:val="24"/>
    </w:rPr>
  </w:style>
  <w:style w:type="paragraph" w:customStyle="1" w:styleId="159">
    <w:name w:val="样式 表格 + 宋体"/>
    <w:basedOn w:val="152"/>
    <w:link w:val="160"/>
    <w:qFormat/>
    <w:uiPriority w:val="0"/>
    <w:pPr>
      <w:framePr w:hSpace="180" w:wrap="around" w:vAnchor="text" w:hAnchor="margin" w:xAlign="center" w:y="98"/>
      <w:spacing w:line="360" w:lineRule="auto"/>
    </w:pPr>
    <w:rPr>
      <w:szCs w:val="24"/>
    </w:rPr>
  </w:style>
  <w:style w:type="character" w:customStyle="1" w:styleId="160">
    <w:name w:val="样式 表格 + 宋体 Char"/>
    <w:basedOn w:val="153"/>
    <w:link w:val="159"/>
    <w:qFormat/>
    <w:uiPriority w:val="0"/>
    <w:rPr>
      <w:rFonts w:ascii="宋体" w:hAnsi="宋体"/>
      <w:kern w:val="2"/>
      <w:sz w:val="21"/>
      <w:szCs w:val="24"/>
      <w:lang w:val="en-US" w:eastAsia="zh-CN" w:bidi="ar-SA"/>
    </w:rPr>
  </w:style>
  <w:style w:type="paragraph" w:customStyle="1" w:styleId="161">
    <w:name w:val="样式 样式 表名 + (西文) 宋体 (中文) 宋体 + (中文) 宋体"/>
    <w:basedOn w:val="1"/>
    <w:link w:val="162"/>
    <w:qFormat/>
    <w:uiPriority w:val="0"/>
    <w:pPr>
      <w:spacing w:line="240" w:lineRule="atLeast"/>
      <w:jc w:val="center"/>
    </w:pPr>
    <w:rPr>
      <w:rFonts w:ascii="Calibri" w:hAnsi="Calibri" w:eastAsia="Times New Roman" w:cs="宋体"/>
      <w:b/>
      <w:bCs/>
      <w:sz w:val="24"/>
      <w:szCs w:val="21"/>
    </w:rPr>
  </w:style>
  <w:style w:type="character" w:customStyle="1" w:styleId="162">
    <w:name w:val="样式 样式 表名 + (西文) 宋体 (中文) 宋体 + (中文) 宋体 Char"/>
    <w:basedOn w:val="41"/>
    <w:link w:val="161"/>
    <w:qFormat/>
    <w:uiPriority w:val="0"/>
    <w:rPr>
      <w:rFonts w:ascii="Calibri" w:hAnsi="Calibri" w:eastAsia="Times New Roman" w:cs="宋体"/>
      <w:b/>
      <w:bCs/>
      <w:kern w:val="2"/>
      <w:sz w:val="24"/>
      <w:szCs w:val="21"/>
    </w:rPr>
  </w:style>
  <w:style w:type="paragraph" w:customStyle="1" w:styleId="163">
    <w:name w:val="样式 样式 样式 表名 + (西文) 宋体 (中文) 宋体 + (中文) 宋体 + (西文) Times New Roman ..."/>
    <w:basedOn w:val="161"/>
    <w:qFormat/>
    <w:uiPriority w:val="0"/>
    <w:pPr>
      <w:adjustRightInd w:val="0"/>
      <w:snapToGrid w:val="0"/>
      <w:spacing w:line="360" w:lineRule="auto"/>
    </w:pPr>
    <w:rPr>
      <w:rFonts w:ascii="宋体" w:hAnsi="宋体" w:eastAsia="宋体" w:cs="Times New Roman"/>
      <w:szCs w:val="24"/>
    </w:rPr>
  </w:style>
  <w:style w:type="character" w:customStyle="1" w:styleId="164">
    <w:name w:val="样式 首行缩进:  2 字符 Char"/>
    <w:basedOn w:val="41"/>
    <w:link w:val="154"/>
    <w:qFormat/>
    <w:uiPriority w:val="0"/>
    <w:rPr>
      <w:rFonts w:ascii="宋体" w:hAnsi="宋体" w:cs="宋体"/>
      <w:kern w:val="2"/>
      <w:sz w:val="24"/>
      <w:szCs w:val="24"/>
    </w:rPr>
  </w:style>
  <w:style w:type="paragraph" w:customStyle="1" w:styleId="165">
    <w:name w:val="表格22"/>
    <w:basedOn w:val="1"/>
    <w:link w:val="166"/>
    <w:qFormat/>
    <w:uiPriority w:val="0"/>
    <w:pPr>
      <w:spacing w:line="360" w:lineRule="auto"/>
      <w:jc w:val="center"/>
    </w:pPr>
    <w:rPr>
      <w:b/>
      <w:szCs w:val="21"/>
    </w:rPr>
  </w:style>
  <w:style w:type="character" w:customStyle="1" w:styleId="166">
    <w:name w:val="表格22 Char"/>
    <w:basedOn w:val="41"/>
    <w:link w:val="165"/>
    <w:qFormat/>
    <w:uiPriority w:val="0"/>
    <w:rPr>
      <w:b/>
      <w:kern w:val="2"/>
      <w:sz w:val="21"/>
      <w:szCs w:val="21"/>
    </w:rPr>
  </w:style>
  <w:style w:type="paragraph" w:customStyle="1" w:styleId="167">
    <w:name w:val="样式 表名 + 宋体1"/>
    <w:basedOn w:val="1"/>
    <w:link w:val="168"/>
    <w:qFormat/>
    <w:uiPriority w:val="0"/>
    <w:pPr>
      <w:widowControl/>
      <w:spacing w:line="240" w:lineRule="atLeast"/>
      <w:jc w:val="center"/>
    </w:pPr>
    <w:rPr>
      <w:rFonts w:cs="宋体"/>
      <w:bCs/>
      <w:szCs w:val="21"/>
    </w:rPr>
  </w:style>
  <w:style w:type="character" w:customStyle="1" w:styleId="168">
    <w:name w:val="样式 表名 + 宋体1 Char"/>
    <w:basedOn w:val="41"/>
    <w:link w:val="167"/>
    <w:qFormat/>
    <w:locked/>
    <w:uiPriority w:val="0"/>
    <w:rPr>
      <w:rFonts w:cs="宋体"/>
      <w:bCs/>
      <w:kern w:val="2"/>
      <w:sz w:val="21"/>
      <w:szCs w:val="21"/>
    </w:rPr>
  </w:style>
  <w:style w:type="character" w:customStyle="1" w:styleId="169">
    <w:name w:val="页脚 字符"/>
    <w:basedOn w:val="41"/>
    <w:link w:val="23"/>
    <w:qFormat/>
    <w:uiPriority w:val="99"/>
    <w:rPr>
      <w:kern w:val="2"/>
      <w:sz w:val="18"/>
      <w:szCs w:val="18"/>
    </w:rPr>
  </w:style>
  <w:style w:type="paragraph" w:customStyle="1" w:styleId="170">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71">
    <w:name w:val="font61"/>
    <w:basedOn w:val="41"/>
    <w:qFormat/>
    <w:uiPriority w:val="0"/>
    <w:rPr>
      <w:rFonts w:hint="eastAsia" w:ascii="宋体" w:hAnsi="宋体" w:eastAsia="宋体" w:cs="宋体"/>
      <w:color w:val="auto"/>
      <w:sz w:val="24"/>
      <w:szCs w:val="24"/>
      <w:u w:val="none"/>
    </w:rPr>
  </w:style>
  <w:style w:type="character" w:customStyle="1" w:styleId="172">
    <w:name w:val="font71"/>
    <w:basedOn w:val="41"/>
    <w:qFormat/>
    <w:uiPriority w:val="0"/>
    <w:rPr>
      <w:rFonts w:hint="default" w:ascii="Times New Roman" w:hAnsi="Times New Roman" w:cs="Times New Roman"/>
      <w:color w:val="auto"/>
      <w:sz w:val="21"/>
      <w:szCs w:val="21"/>
      <w:u w:val="none"/>
    </w:rPr>
  </w:style>
  <w:style w:type="paragraph" w:customStyle="1" w:styleId="173">
    <w:name w:val="简单回函地址"/>
    <w:basedOn w:val="1"/>
    <w:qFormat/>
    <w:uiPriority w:val="0"/>
  </w:style>
  <w:style w:type="character" w:customStyle="1" w:styleId="174">
    <w:name w:val="正文文本缩进 3 字符"/>
    <w:basedOn w:val="41"/>
    <w:link w:val="32"/>
    <w:qFormat/>
    <w:uiPriority w:val="0"/>
    <w:rPr>
      <w:kern w:val="2"/>
      <w:sz w:val="16"/>
      <w:szCs w:val="16"/>
    </w:rPr>
  </w:style>
  <w:style w:type="character" w:customStyle="1" w:styleId="175">
    <w:name w:val="标题 3 字符"/>
    <w:basedOn w:val="41"/>
    <w:link w:val="6"/>
    <w:semiHidden/>
    <w:qFormat/>
    <w:uiPriority w:val="0"/>
    <w:rPr>
      <w:b/>
      <w:bCs/>
      <w:kern w:val="2"/>
      <w:sz w:val="32"/>
      <w:szCs w:val="32"/>
    </w:rPr>
  </w:style>
  <w:style w:type="character" w:customStyle="1" w:styleId="176">
    <w:name w:val="批注文字 字符"/>
    <w:basedOn w:val="41"/>
    <w:link w:val="12"/>
    <w:qFormat/>
    <w:uiPriority w:val="0"/>
    <w:rPr>
      <w:kern w:val="2"/>
      <w:sz w:val="21"/>
      <w:szCs w:val="24"/>
    </w:rPr>
  </w:style>
  <w:style w:type="character" w:customStyle="1" w:styleId="177">
    <w:name w:val="批注主题 字符"/>
    <w:basedOn w:val="176"/>
    <w:link w:val="38"/>
    <w:qFormat/>
    <w:uiPriority w:val="0"/>
    <w:rPr>
      <w:b/>
      <w:bCs/>
      <w:kern w:val="2"/>
      <w:sz w:val="21"/>
      <w:szCs w:val="24"/>
    </w:rPr>
  </w:style>
  <w:style w:type="character" w:customStyle="1" w:styleId="178">
    <w:name w:val="页眉 字符"/>
    <w:basedOn w:val="41"/>
    <w:link w:val="24"/>
    <w:qFormat/>
    <w:uiPriority w:val="99"/>
    <w:rPr>
      <w:kern w:val="2"/>
      <w:sz w:val="18"/>
      <w:szCs w:val="18"/>
    </w:rPr>
  </w:style>
  <w:style w:type="character" w:customStyle="1" w:styleId="179">
    <w:name w:val="fontstyle01"/>
    <w:basedOn w:val="41"/>
    <w:qFormat/>
    <w:uiPriority w:val="0"/>
    <w:rPr>
      <w:rFonts w:hint="eastAsia" w:ascii="宋体" w:hAnsi="宋体" w:eastAsia="宋体"/>
      <w:color w:val="000000"/>
      <w:sz w:val="22"/>
      <w:szCs w:val="22"/>
    </w:rPr>
  </w:style>
  <w:style w:type="character" w:customStyle="1" w:styleId="180">
    <w:name w:val="fontstyle21"/>
    <w:basedOn w:val="41"/>
    <w:qFormat/>
    <w:uiPriority w:val="0"/>
    <w:rPr>
      <w:rFonts w:hint="default" w:ascii="Times New Roman" w:hAnsi="Times New Roman" w:cs="Times New Roman"/>
      <w:color w:val="000000"/>
      <w:sz w:val="22"/>
      <w:szCs w:val="22"/>
    </w:rPr>
  </w:style>
  <w:style w:type="character" w:customStyle="1" w:styleId="181">
    <w:name w:val="fontstyle31"/>
    <w:basedOn w:val="41"/>
    <w:qFormat/>
    <w:uiPriority w:val="0"/>
    <w:rPr>
      <w:rFonts w:hint="default" w:ascii="Symbol" w:hAnsi="Symbol"/>
      <w:color w:val="000000"/>
      <w:sz w:val="144"/>
      <w:szCs w:val="144"/>
    </w:rPr>
  </w:style>
  <w:style w:type="character" w:customStyle="1" w:styleId="182">
    <w:name w:val="表格5号字 Char"/>
    <w:link w:val="183"/>
    <w:qFormat/>
    <w:uiPriority w:val="0"/>
    <w:rPr>
      <w:rFonts w:cs="宋体"/>
      <w:szCs w:val="24"/>
      <w:lang w:val="en-GB"/>
    </w:rPr>
  </w:style>
  <w:style w:type="paragraph" w:customStyle="1" w:styleId="183">
    <w:name w:val="表格5号字"/>
    <w:basedOn w:val="1"/>
    <w:link w:val="182"/>
    <w:qFormat/>
    <w:uiPriority w:val="0"/>
    <w:pPr>
      <w:adjustRightInd w:val="0"/>
      <w:snapToGrid w:val="0"/>
      <w:jc w:val="center"/>
    </w:pPr>
    <w:rPr>
      <w:rFonts w:cs="宋体"/>
      <w:kern w:val="0"/>
      <w:sz w:val="20"/>
      <w:lang w:val="en-GB"/>
    </w:rPr>
  </w:style>
  <w:style w:type="character" w:customStyle="1" w:styleId="184">
    <w:name w:val="表格标题行 字符"/>
    <w:link w:val="185"/>
    <w:qFormat/>
    <w:uiPriority w:val="0"/>
    <w:rPr>
      <w:rFonts w:cs="宋体"/>
      <w:b/>
      <w:szCs w:val="24"/>
      <w:lang w:val="en-GB"/>
    </w:rPr>
  </w:style>
  <w:style w:type="paragraph" w:customStyle="1" w:styleId="185">
    <w:name w:val="表格标题行"/>
    <w:basedOn w:val="183"/>
    <w:link w:val="184"/>
    <w:qFormat/>
    <w:uiPriority w:val="0"/>
    <w:rPr>
      <w:b/>
    </w:rPr>
  </w:style>
  <w:style w:type="paragraph" w:styleId="18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87">
    <w:name w:val="正文段落"/>
    <w:basedOn w:val="1"/>
    <w:link w:val="188"/>
    <w:qFormat/>
    <w:uiPriority w:val="0"/>
    <w:pPr>
      <w:widowControl/>
      <w:spacing w:line="312" w:lineRule="auto"/>
      <w:ind w:firstLine="480" w:firstLineChars="200"/>
    </w:pPr>
    <w:rPr>
      <w:rFonts w:cstheme="minorBidi"/>
      <w:szCs w:val="21"/>
    </w:rPr>
  </w:style>
  <w:style w:type="character" w:customStyle="1" w:styleId="188">
    <w:name w:val="正文段落 Char"/>
    <w:basedOn w:val="41"/>
    <w:link w:val="187"/>
    <w:qFormat/>
    <w:uiPriority w:val="0"/>
    <w:rPr>
      <w:rFonts w:cstheme="minorBidi"/>
      <w:kern w:val="2"/>
      <w:sz w:val="21"/>
      <w:szCs w:val="21"/>
    </w:rPr>
  </w:style>
  <w:style w:type="table" w:customStyle="1" w:styleId="189">
    <w:name w:val="网格型2"/>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图表标题"/>
    <w:link w:val="191"/>
    <w:qFormat/>
    <w:uiPriority w:val="0"/>
    <w:pPr>
      <w:spacing w:line="360" w:lineRule="auto"/>
      <w:jc w:val="center"/>
    </w:pPr>
    <w:rPr>
      <w:rFonts w:ascii="Times New Roman" w:hAnsi="Times New Roman" w:eastAsia="宋体" w:cs="Times New Roman"/>
      <w:kern w:val="2"/>
      <w:sz w:val="24"/>
      <w:szCs w:val="22"/>
      <w:lang w:val="en-US" w:eastAsia="zh-CN" w:bidi="ar-SA"/>
    </w:rPr>
  </w:style>
  <w:style w:type="character" w:customStyle="1" w:styleId="191">
    <w:name w:val="图表标题 字符"/>
    <w:basedOn w:val="41"/>
    <w:link w:val="190"/>
    <w:qFormat/>
    <w:uiPriority w:val="0"/>
    <w:rPr>
      <w:kern w:val="2"/>
      <w:sz w:val="24"/>
      <w:szCs w:val="22"/>
    </w:rPr>
  </w:style>
  <w:style w:type="paragraph" w:customStyle="1" w:styleId="192">
    <w:name w:val="临时表内文字"/>
    <w:next w:val="1"/>
    <w:link w:val="193"/>
    <w:qFormat/>
    <w:uiPriority w:val="0"/>
    <w:pPr>
      <w:jc w:val="center"/>
    </w:pPr>
    <w:rPr>
      <w:rFonts w:ascii="Times New Roman" w:hAnsi="Times New Roman" w:eastAsia="宋体" w:cs="Times New Roman"/>
      <w:kern w:val="2"/>
      <w:sz w:val="21"/>
      <w:szCs w:val="21"/>
      <w:lang w:val="en-US" w:eastAsia="zh-CN" w:bidi="ar-SA"/>
    </w:rPr>
  </w:style>
  <w:style w:type="character" w:customStyle="1" w:styleId="193">
    <w:name w:val="临时表内文字 字符"/>
    <w:basedOn w:val="41"/>
    <w:link w:val="192"/>
    <w:qFormat/>
    <w:uiPriority w:val="0"/>
    <w:rPr>
      <w:kern w:val="2"/>
      <w:sz w:val="21"/>
      <w:szCs w:val="21"/>
    </w:rPr>
  </w:style>
  <w:style w:type="paragraph" w:customStyle="1" w:styleId="194">
    <w:name w:val="二级条标题-新"/>
    <w:basedOn w:val="5"/>
    <w:next w:val="1"/>
    <w:qFormat/>
    <w:uiPriority w:val="0"/>
    <w:pPr>
      <w:spacing w:before="50" w:beforeLines="50" w:after="0" w:line="360" w:lineRule="auto"/>
      <w:ind w:left="1135"/>
      <w:jc w:val="left"/>
    </w:pPr>
    <w:rPr>
      <w:rFonts w:ascii="Times New Roman" w:hAnsi="Times New Roman" w:eastAsiaTheme="majorEastAsia" w:cstheme="majorBidi"/>
      <w:kern w:val="0"/>
      <w:sz w:val="24"/>
      <w:szCs w:val="21"/>
    </w:rPr>
  </w:style>
  <w:style w:type="paragraph" w:customStyle="1" w:styleId="19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D07EA2-BE26-4509-9348-0360D732E767}">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19</Pages>
  <Words>4157</Words>
  <Characters>5406</Characters>
  <Lines>78</Lines>
  <Paragraphs>22</Paragraphs>
  <TotalTime>3</TotalTime>
  <ScaleCrop>false</ScaleCrop>
  <LinksUpToDate>false</LinksUpToDate>
  <CharactersWithSpaces>5831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2024-10-28T07:41:00Z</dcterms:created>
  <dc:creator>CNIS</dc:creator>
  <cp:lastModifiedBy>杨鑫</cp:lastModifiedBy>
  <cp:lastPrinted>2017-01-16T08:57:00Z</cp:lastPrinted>
  <dcterms:modified xsi:type="dcterms:W3CDTF">2025-06-18T06:58:28Z</dcterms:modified>
  <dc:title>标准名称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eyJoZGlkIjoiMzEwNTM5NzYwMDRjMzkwZTVkZjY2ODkwMGIxNGU0OTUiLCJ1c2VySWQiOiIzNTgxOTEwODgifQ==</vt:lpwstr>
  </property>
  <property fmtid="{D5CDD505-2E9C-101B-9397-08002B2CF9AE}" pid="4" name="ICV">
    <vt:lpwstr>FD1B9EA0C3394286B4A19D6E2D500E16_12</vt:lpwstr>
  </property>
</Properties>
</file>