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right="0" w:rightChars="0"/>
        <w:jc w:val="left"/>
        <w:textAlignment w:val="baseline"/>
        <w:rPr>
          <w:rStyle w:val="4"/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vertAlign w:val="baseline"/>
        </w:rPr>
      </w:pPr>
      <w:r>
        <w:rPr>
          <w:rStyle w:val="4"/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vertAlign w:val="baseline"/>
        </w:rPr>
        <w:t>附件</w:t>
      </w:r>
      <w:r>
        <w:rPr>
          <w:rStyle w:val="4"/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vertAlign w:val="baseline"/>
          <w:lang w:val="en-US" w:eastAsia="zh-CN"/>
        </w:rPr>
        <w:t>4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right="0" w:rightChars="0"/>
        <w:jc w:val="center"/>
        <w:textAlignment w:val="baseline"/>
        <w:rPr>
          <w:rStyle w:val="4"/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vertAlign w:val="baseline"/>
          <w:lang w:val="en-US" w:eastAsia="zh-CN" w:bidi="ar"/>
        </w:rPr>
      </w:pPr>
      <w:r>
        <w:rPr>
          <w:rStyle w:val="4"/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vertAlign w:val="baseline"/>
          <w:lang w:val="en-US" w:eastAsia="zh-CN" w:bidi="ar"/>
        </w:rPr>
        <w:t>弃土排查重点内容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right="0" w:rightChars="0"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vertAlign w:val="baseline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right="0" w:rightChars="0" w:firstLine="640" w:firstLineChars="200"/>
        <w:jc w:val="left"/>
        <w:textAlignment w:val="baseline"/>
        <w:rPr>
          <w:rFonts w:hint="eastAsia" w:ascii="黑体" w:hAnsi="黑体" w:eastAsia="黑体" w:cs="黑体"/>
          <w:color w:val="auto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vertAlign w:val="baseline"/>
          <w:lang w:val="en-US" w:eastAsia="zh-CN" w:bidi="ar"/>
        </w:rPr>
        <w:t>一、相关手续核查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right="0" w:rightChars="0"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vertAlign w:val="baseline"/>
          <w:lang w:val="en-US" w:eastAsia="zh-CN" w:bidi="ar"/>
        </w:rPr>
        <w:t>建设期弃土场的设计、变更、验收以及环评等程序是否完善。是否移交地方政府及相关单位，移交程序是否完善。运营期弃土的涉路施工、设计、验收等程序是否完善。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right="0" w:rightChars="0" w:firstLine="640" w:firstLineChars="200"/>
        <w:jc w:val="left"/>
        <w:textAlignment w:val="baseline"/>
        <w:rPr>
          <w:rFonts w:hint="eastAsia" w:ascii="黑体" w:hAnsi="黑体" w:eastAsia="黑体" w:cs="黑体"/>
          <w:color w:val="auto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vertAlign w:val="baseline"/>
          <w:lang w:val="en-US" w:eastAsia="zh-CN" w:bidi="ar"/>
        </w:rPr>
        <w:t>二、现状调查内容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right="0" w:rightChars="0" w:firstLine="640" w:firstLineChars="200"/>
        <w:jc w:val="left"/>
        <w:textAlignment w:val="baseline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vertAlign w:val="baseline"/>
          <w:lang w:val="en-US" w:eastAsia="zh-CN" w:bidi="ar"/>
        </w:rPr>
        <w:t>1.弃土情况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right="0" w:rightChars="0"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vertAlign w:val="baseline"/>
          <w:lang w:val="en-US" w:eastAsia="zh-CN" w:bidi="ar"/>
        </w:rPr>
        <w:t>弃土场拐点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vertAlign w:val="baseline"/>
          <w:lang w:val="en-US" w:eastAsia="zh-CN" w:bidi="ar"/>
        </w:rPr>
        <w:t>经纬度坐标或边界范围矢量图。核查弃土的坡率、坡高、面积，有条件可估算弃土方量。弃土坡体是否存在开裂、下沉、溜塌、垮塌等情况。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right="0" w:rightChars="0" w:firstLine="640" w:firstLineChars="200"/>
        <w:jc w:val="left"/>
        <w:textAlignment w:val="baseline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vertAlign w:val="baseline"/>
          <w:lang w:val="en-US" w:eastAsia="zh-CN" w:bidi="ar"/>
        </w:rPr>
        <w:t>2.排水系统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right="0" w:rightChars="0"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vertAlign w:val="baseline"/>
          <w:lang w:val="en-US" w:eastAsia="zh-CN" w:bidi="ar"/>
        </w:rPr>
        <w:t>核查弃土的现有排水设施的完善性和有效性，如是否有截排水沟、截排水沟是否破损等情况。延伸至弃土后缘，核查是否存在积水现象。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right="0" w:rightChars="0" w:firstLine="640" w:firstLineChars="200"/>
        <w:jc w:val="left"/>
        <w:textAlignment w:val="baseline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vertAlign w:val="baseline"/>
          <w:lang w:val="en-US" w:eastAsia="zh-CN" w:bidi="ar"/>
        </w:rPr>
        <w:t>3.支挡结构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right="0" w:rightChars="0"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vertAlign w:val="baseline"/>
          <w:lang w:val="en-US" w:eastAsia="zh-CN" w:bidi="ar"/>
        </w:rPr>
        <w:t>核查弃土拦渣墙、抗滑桩等支挡结构是否存在开裂等破损现象，支挡结构泄水孔是否存在堵塞情况。坡面绿化生存率是否满足要求。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right="0" w:rightChars="0" w:firstLine="640" w:firstLineChars="200"/>
        <w:jc w:val="left"/>
        <w:textAlignment w:val="baseline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vertAlign w:val="baseline"/>
          <w:lang w:val="en-US" w:eastAsia="zh-CN" w:bidi="ar"/>
        </w:rPr>
        <w:t>4.桥隧结构变形情况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right="0" w:rightChars="0"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vertAlign w:val="baseline"/>
          <w:lang w:val="en-US" w:eastAsia="zh-CN" w:bidi="ar"/>
        </w:rPr>
        <w:t>受弃土影响的桥梁是否存在挡块抵拢、桥墩环形裂缝、支座变形、护栏错位等影响结构安全的变形情况;受弃土影响的隧道是否存在洞口排水设施堵塞、变形和损坏，边仰坡是否存在开裂、下沉、垮塌等情况;洞门是否存在开裂、掉块等情况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right="0" w:rightChars="0" w:firstLine="640" w:firstLineChars="200"/>
        <w:jc w:val="left"/>
        <w:textAlignment w:val="baseline"/>
        <w:rPr>
          <w:rFonts w:hint="default" w:ascii="楷体_GB2312" w:hAnsi="楷体_GB2312" w:eastAsia="楷体_GB2312" w:cs="楷体_GB2312"/>
          <w:color w:val="auto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vertAlign w:val="baseline"/>
          <w:lang w:val="en-US" w:eastAsia="zh-CN" w:bidi="ar"/>
        </w:rPr>
        <w:t>5.威胁对象及危害程度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right="0" w:rightChars="0" w:firstLine="640" w:firstLineChars="200"/>
        <w:jc w:val="left"/>
        <w:textAlignment w:val="baseline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vertAlign w:val="baseline"/>
          <w:lang w:val="en-US" w:eastAsia="zh-CN" w:bidi="ar"/>
        </w:rPr>
        <w:t>弃土是否威胁公路及其构筑物，村寨、学校、铁路、厂矿等其他重要构筑物，并判断危害程度等级。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right="0" w:rightChars="0" w:firstLine="640" w:firstLineChars="200"/>
        <w:jc w:val="left"/>
        <w:textAlignment w:val="baseline"/>
        <w:rPr>
          <w:rFonts w:hint="eastAsia" w:ascii="黑体" w:hAnsi="黑体" w:eastAsia="黑体" w:cs="黑体"/>
          <w:color w:val="auto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vertAlign w:val="baseline"/>
          <w:lang w:val="en-US" w:eastAsia="zh-CN" w:bidi="ar"/>
        </w:rPr>
        <w:t>三、等级评估判断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right="0" w:rightChars="0"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vertAlign w:val="baseline"/>
          <w:lang w:val="en-US" w:eastAsia="zh-CN" w:bidi="ar"/>
        </w:rPr>
        <w:t>结合弃土场的调查情况，评估弃土场风险等级。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41685"/>
    <w:rsid w:val="0C4D4817"/>
    <w:rsid w:val="103E1D5B"/>
    <w:rsid w:val="11123003"/>
    <w:rsid w:val="16901FF3"/>
    <w:rsid w:val="18E77727"/>
    <w:rsid w:val="196654A0"/>
    <w:rsid w:val="1B535AE1"/>
    <w:rsid w:val="1C316CE7"/>
    <w:rsid w:val="1E8A220E"/>
    <w:rsid w:val="243F3E9B"/>
    <w:rsid w:val="27415333"/>
    <w:rsid w:val="27CF4FDE"/>
    <w:rsid w:val="2C101757"/>
    <w:rsid w:val="2CF33446"/>
    <w:rsid w:val="2D9E2765"/>
    <w:rsid w:val="37755E86"/>
    <w:rsid w:val="382A4161"/>
    <w:rsid w:val="39820C37"/>
    <w:rsid w:val="39A86127"/>
    <w:rsid w:val="3CEC07AA"/>
    <w:rsid w:val="3ED7217B"/>
    <w:rsid w:val="409A0980"/>
    <w:rsid w:val="47A3653C"/>
    <w:rsid w:val="4DFF77D1"/>
    <w:rsid w:val="57FCD6F0"/>
    <w:rsid w:val="58B93609"/>
    <w:rsid w:val="591954CE"/>
    <w:rsid w:val="62A212A2"/>
    <w:rsid w:val="63AC13E2"/>
    <w:rsid w:val="7173499E"/>
    <w:rsid w:val="751C1388"/>
    <w:rsid w:val="7710232D"/>
    <w:rsid w:val="777ED50C"/>
    <w:rsid w:val="7F241685"/>
    <w:rsid w:val="9FDB02A4"/>
    <w:rsid w:val="A7BD65D2"/>
    <w:rsid w:val="DFF9F574"/>
    <w:rsid w:val="FE9FC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505</Words>
  <Characters>505</Characters>
  <Lines>0</Lines>
  <Paragraphs>0</Paragraphs>
  <TotalTime>50</TotalTime>
  <ScaleCrop>false</ScaleCrop>
  <LinksUpToDate>false</LinksUpToDate>
  <CharactersWithSpaces>507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2025-09-11T10:35:00Z</dcterms:created>
  <dc:creator>吁燃</dc:creator>
  <cp:lastModifiedBy>ysgz</cp:lastModifiedBy>
  <dcterms:modified xsi:type="dcterms:W3CDTF">2025-09-19T11:09:40Z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B0467FDFD56D415DA4478BFEAEA5FCE8_13</vt:lpwstr>
  </property>
  <property fmtid="{D5CDD505-2E9C-101B-9397-08002B2CF9AE}" pid="4" name="KSOTemplateDocerSaveRecord">
    <vt:lpwstr>eyJoZGlkIjoiYzU0N2JhZTgxZGMxNGMxOTlmYjU4NmVmZGZiYjU5MDEiLCJ1c2VySWQiOiI3NTMxMTQzNDQifQ==</vt:lpwstr>
  </property>
</Properties>
</file>