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DEB06F">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eastAsia="方正小标宋简体"/>
          <w:color w:val="auto"/>
          <w:sz w:val="44"/>
          <w:szCs w:val="44"/>
          <w:highlight w:val="none"/>
        </w:rPr>
      </w:pPr>
    </w:p>
    <w:p w14:paraId="48BFACA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eastAsia="方正小标宋简体"/>
          <w:color w:val="auto"/>
          <w:sz w:val="44"/>
          <w:szCs w:val="44"/>
          <w:highlight w:val="none"/>
          <w:lang w:eastAsia="zh-CN"/>
        </w:rPr>
      </w:pPr>
      <w:r>
        <w:rPr>
          <w:rFonts w:hint="eastAsia" w:ascii="方正小标宋简体" w:eastAsia="方正小标宋简体"/>
          <w:color w:val="auto"/>
          <w:sz w:val="44"/>
          <w:szCs w:val="44"/>
          <w:highlight w:val="none"/>
        </w:rPr>
        <w:t>202</w:t>
      </w:r>
      <w:r>
        <w:rPr>
          <w:rFonts w:hint="eastAsia" w:ascii="方正小标宋简体" w:eastAsia="方正小标宋简体"/>
          <w:color w:val="auto"/>
          <w:sz w:val="44"/>
          <w:szCs w:val="44"/>
          <w:highlight w:val="none"/>
          <w:lang w:val="en-US" w:eastAsia="zh-CN"/>
        </w:rPr>
        <w:t>5</w:t>
      </w:r>
      <w:r>
        <w:rPr>
          <w:rFonts w:hint="eastAsia" w:ascii="方正小标宋简体" w:eastAsia="方正小标宋简体"/>
          <w:color w:val="auto"/>
          <w:sz w:val="44"/>
          <w:szCs w:val="44"/>
          <w:highlight w:val="none"/>
        </w:rPr>
        <w:t>年度</w:t>
      </w:r>
      <w:r>
        <w:rPr>
          <w:rFonts w:hint="eastAsia" w:ascii="方正小标宋简体" w:hAnsi="仿宋" w:eastAsia="方正小标宋简体"/>
          <w:color w:val="auto"/>
          <w:sz w:val="44"/>
          <w:szCs w:val="44"/>
          <w:highlight w:val="none"/>
        </w:rPr>
        <w:t>贵州省公路建设</w:t>
      </w:r>
      <w:r>
        <w:rPr>
          <w:rFonts w:hint="eastAsia" w:ascii="方正小标宋简体" w:hAnsi="仿宋" w:eastAsia="方正小标宋简体"/>
          <w:color w:val="auto"/>
          <w:sz w:val="44"/>
          <w:szCs w:val="44"/>
          <w:highlight w:val="none"/>
          <w:lang w:eastAsia="zh-CN"/>
        </w:rPr>
        <w:t>项目</w:t>
      </w:r>
      <w:r>
        <w:rPr>
          <w:rFonts w:hint="eastAsia" w:ascii="方正小标宋简体" w:eastAsia="方正小标宋简体"/>
          <w:color w:val="auto"/>
          <w:sz w:val="44"/>
          <w:szCs w:val="44"/>
          <w:highlight w:val="none"/>
        </w:rPr>
        <w:t>设计、施工企业信用评价工作</w:t>
      </w:r>
      <w:r>
        <w:rPr>
          <w:rFonts w:hint="eastAsia" w:ascii="方正小标宋简体" w:eastAsia="方正小标宋简体"/>
          <w:color w:val="auto"/>
          <w:sz w:val="44"/>
          <w:szCs w:val="44"/>
          <w:highlight w:val="none"/>
          <w:lang w:eastAsia="zh-CN"/>
        </w:rPr>
        <w:t>安排</w:t>
      </w:r>
    </w:p>
    <w:p w14:paraId="2B43785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eastAsia="方正小标宋简体"/>
          <w:color w:val="auto"/>
          <w:sz w:val="44"/>
          <w:szCs w:val="44"/>
          <w:highlight w:val="none"/>
          <w:lang w:eastAsia="zh-CN"/>
        </w:rPr>
      </w:pPr>
    </w:p>
    <w:p w14:paraId="4614792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黑体" w:hAnsi="黑体" w:eastAsia="黑体" w:cs="黑体"/>
          <w:lang w:val="zh-CN" w:eastAsia="zh-CN"/>
        </w:rPr>
      </w:pPr>
      <w:r>
        <w:rPr>
          <w:rFonts w:hint="eastAsia" w:ascii="黑体" w:hAnsi="黑体" w:eastAsia="黑体" w:cs="黑体"/>
          <w:lang w:val="zh-CN" w:eastAsia="zh-CN"/>
        </w:rPr>
        <w:t>一、总体要求</w:t>
      </w:r>
    </w:p>
    <w:p w14:paraId="310D6A74">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lang w:val="en-US" w:eastAsia="zh-CN"/>
        </w:rPr>
      </w:pPr>
      <w:r>
        <w:rPr>
          <w:rFonts w:hint="eastAsia"/>
          <w:lang w:val="en-US" w:eastAsia="zh-CN"/>
        </w:rPr>
        <w:t>（一）2025年度公路建设项目设计、施工企业信用评价工作由</w:t>
      </w:r>
      <w:r>
        <w:rPr>
          <w:rFonts w:hint="eastAsia"/>
          <w:lang w:eastAsia="zh-CN"/>
        </w:rPr>
        <w:t>省</w:t>
      </w:r>
      <w:r>
        <w:rPr>
          <w:rFonts w:hint="eastAsia"/>
          <w:lang w:val="zh-CN"/>
        </w:rPr>
        <w:t>公路局项目处组织实施，</w:t>
      </w:r>
      <w:r>
        <w:rPr>
          <w:rFonts w:hint="eastAsia"/>
          <w:lang w:val="en-US" w:eastAsia="zh-CN"/>
        </w:rPr>
        <w:t>按照《贵州省公路建设（养护）设计施工单位信用评价工作指引（2025年）》（以下简称《工作指引》）中明确的评价主体、评价对象、评价规则开展。</w:t>
      </w:r>
    </w:p>
    <w:p w14:paraId="0BF0E7B7">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lang w:val="en-US" w:eastAsia="zh-CN"/>
        </w:rPr>
      </w:pPr>
      <w:r>
        <w:rPr>
          <w:rFonts w:hint="eastAsia"/>
          <w:lang w:val="en-US" w:eastAsia="zh-CN"/>
        </w:rPr>
        <w:t>（二）因贵州省交通建设市场信用信息系统尚未更新完成，本年度信用评价工作采用线下方式进行。</w:t>
      </w:r>
    </w:p>
    <w:p w14:paraId="565DC0FA">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黑体" w:hAnsi="黑体" w:eastAsia="黑体" w:cs="黑体"/>
          <w:lang w:val="zh-CN" w:eastAsia="zh-CN"/>
        </w:rPr>
      </w:pPr>
      <w:r>
        <w:rPr>
          <w:rFonts w:hint="eastAsia" w:ascii="黑体" w:hAnsi="黑体" w:eastAsia="黑体" w:cs="黑体"/>
          <w:lang w:val="zh-CN" w:eastAsia="zh-CN"/>
        </w:rPr>
        <w:t>二、评价流程及注意事项</w:t>
      </w:r>
    </w:p>
    <w:p w14:paraId="78972914">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b/>
          <w:bCs/>
          <w:lang w:eastAsia="zh-CN"/>
        </w:rPr>
      </w:pPr>
      <w:r>
        <w:rPr>
          <w:rFonts w:hint="eastAsia"/>
          <w:b/>
          <w:bCs/>
          <w:lang w:eastAsia="zh-CN"/>
        </w:rPr>
        <w:t>填报拟参评项目及标段（</w:t>
      </w:r>
      <w:r>
        <w:rPr>
          <w:rFonts w:hint="eastAsia"/>
          <w:b/>
          <w:bCs/>
        </w:rPr>
        <w:t>完成时限：</w:t>
      </w:r>
      <w:r>
        <w:rPr>
          <w:rFonts w:hint="eastAsia"/>
          <w:b/>
          <w:bCs/>
          <w:lang w:eastAsia="zh-CN"/>
        </w:rPr>
        <w:t>即日起至</w:t>
      </w:r>
      <w:r>
        <w:rPr>
          <w:rFonts w:hint="eastAsia"/>
          <w:b/>
          <w:bCs/>
          <w:lang w:val="en-US" w:eastAsia="zh-CN"/>
        </w:rPr>
        <w:t>1月23日</w:t>
      </w:r>
      <w:r>
        <w:rPr>
          <w:rFonts w:hint="eastAsia"/>
          <w:b/>
          <w:bCs/>
          <w:lang w:eastAsia="zh-CN"/>
        </w:rPr>
        <w:t>）</w:t>
      </w:r>
    </w:p>
    <w:p w14:paraId="3C90450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lang w:val="en-US" w:eastAsia="zh-CN"/>
        </w:rPr>
      </w:pPr>
      <w:r>
        <w:rPr>
          <w:rFonts w:hint="eastAsia"/>
          <w:lang w:val="en-US" w:eastAsia="zh-CN"/>
        </w:rPr>
        <w:t>（三）</w:t>
      </w:r>
      <w:r>
        <w:rPr>
          <w:rFonts w:hint="eastAsia"/>
          <w:lang w:eastAsia="zh-CN"/>
        </w:rPr>
        <w:t>各</w:t>
      </w:r>
      <w:r>
        <w:rPr>
          <w:rFonts w:hint="eastAsia"/>
        </w:rPr>
        <w:t>高速公路</w:t>
      </w:r>
      <w:r>
        <w:rPr>
          <w:rFonts w:hint="eastAsia"/>
          <w:lang w:eastAsia="zh-CN"/>
        </w:rPr>
        <w:t>及普通国省干线</w:t>
      </w:r>
      <w:r>
        <w:rPr>
          <w:rFonts w:hint="eastAsia"/>
        </w:rPr>
        <w:t>项目</w:t>
      </w:r>
      <w:r>
        <w:rPr>
          <w:rFonts w:hint="eastAsia"/>
          <w:lang w:eastAsia="zh-CN"/>
        </w:rPr>
        <w:t>业主</w:t>
      </w:r>
      <w:r>
        <w:rPr>
          <w:rFonts w:hint="eastAsia"/>
        </w:rPr>
        <w:t>单位</w:t>
      </w:r>
      <w:r>
        <w:rPr>
          <w:rFonts w:hint="eastAsia"/>
          <w:lang w:val="en-US" w:eastAsia="zh-CN"/>
        </w:rPr>
        <w:t>要严格对照《工作指引》第（三）（四）（九）（十一）（十三）（十四）款要求填报附表1，对拟纳入2025年度公路建设项目设计、施工信用评价范围的项目及标段进行梳理。</w:t>
      </w:r>
    </w:p>
    <w:p w14:paraId="0EE4C1A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lang w:eastAsia="zh-CN"/>
        </w:rPr>
      </w:pPr>
      <w:r>
        <w:rPr>
          <w:rFonts w:hint="eastAsia"/>
          <w:lang w:val="en-US" w:eastAsia="zh-CN"/>
        </w:rPr>
        <w:t>（四）业主单位要注意</w:t>
      </w:r>
      <w:r>
        <w:rPr>
          <w:rFonts w:hint="eastAsia"/>
        </w:rPr>
        <w:t>应评尽评、不能漏评、错评，</w:t>
      </w:r>
      <w:r>
        <w:rPr>
          <w:rFonts w:hint="eastAsia"/>
          <w:lang w:eastAsia="zh-CN"/>
        </w:rPr>
        <w:t>应评未评的从业单位</w:t>
      </w:r>
      <w:r>
        <w:rPr>
          <w:rFonts w:hint="eastAsia"/>
        </w:rPr>
        <w:t>业绩厅不予认可</w:t>
      </w:r>
      <w:r>
        <w:rPr>
          <w:rFonts w:hint="eastAsia"/>
          <w:lang w:eastAsia="zh-CN"/>
        </w:rPr>
        <w:t>。</w:t>
      </w:r>
    </w:p>
    <w:p w14:paraId="1E50D05F">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b/>
          <w:bCs/>
          <w:lang w:eastAsia="zh-CN"/>
        </w:rPr>
      </w:pPr>
      <w:r>
        <w:rPr>
          <w:rFonts w:hint="eastAsia"/>
          <w:b/>
          <w:bCs/>
        </w:rPr>
        <w:t>项目业主单位</w:t>
      </w:r>
      <w:r>
        <w:rPr>
          <w:rFonts w:hint="eastAsia"/>
          <w:b/>
          <w:bCs/>
          <w:lang w:eastAsia="zh-CN"/>
        </w:rPr>
        <w:t>评价</w:t>
      </w:r>
      <w:r>
        <w:rPr>
          <w:rFonts w:hint="eastAsia"/>
          <w:b/>
          <w:bCs/>
        </w:rPr>
        <w:t>（完成时限：</w:t>
      </w:r>
      <w:r>
        <w:rPr>
          <w:rFonts w:hint="eastAsia"/>
          <w:b/>
          <w:bCs/>
          <w:lang w:val="en-US" w:eastAsia="zh-CN"/>
        </w:rPr>
        <w:t>2</w:t>
      </w:r>
      <w:r>
        <w:rPr>
          <w:rFonts w:hint="eastAsia"/>
          <w:b/>
          <w:bCs/>
        </w:rPr>
        <w:t>月</w:t>
      </w:r>
      <w:r>
        <w:rPr>
          <w:rFonts w:hint="eastAsia"/>
          <w:b/>
          <w:bCs/>
          <w:lang w:val="en-US" w:eastAsia="zh-CN"/>
        </w:rPr>
        <w:t>11</w:t>
      </w:r>
      <w:r>
        <w:rPr>
          <w:rFonts w:hint="eastAsia"/>
          <w:b/>
          <w:bCs/>
        </w:rPr>
        <w:t>日至</w:t>
      </w:r>
      <w:r>
        <w:rPr>
          <w:rFonts w:hint="eastAsia"/>
          <w:b/>
          <w:bCs/>
          <w:lang w:val="en-US" w:eastAsia="zh-CN"/>
        </w:rPr>
        <w:t>3</w:t>
      </w:r>
      <w:r>
        <w:rPr>
          <w:rFonts w:hint="eastAsia"/>
          <w:b/>
          <w:bCs/>
        </w:rPr>
        <w:t>月</w:t>
      </w:r>
      <w:r>
        <w:rPr>
          <w:rFonts w:hint="eastAsia"/>
          <w:b/>
          <w:bCs/>
          <w:lang w:val="en-US" w:eastAsia="zh-CN"/>
        </w:rPr>
        <w:t>3</w:t>
      </w:r>
      <w:r>
        <w:rPr>
          <w:rFonts w:hint="eastAsia"/>
          <w:b/>
          <w:bCs/>
        </w:rPr>
        <w:t>日）</w:t>
      </w:r>
    </w:p>
    <w:p w14:paraId="573A06AB">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lang w:eastAsia="zh-CN"/>
        </w:rPr>
      </w:pPr>
      <w:r>
        <w:rPr>
          <w:rFonts w:hint="eastAsia"/>
          <w:lang w:val="en-US" w:eastAsia="zh-CN"/>
        </w:rPr>
        <w:t>（五）</w:t>
      </w:r>
      <w:r>
        <w:rPr>
          <w:rFonts w:hint="eastAsia"/>
        </w:rPr>
        <w:t>项目业主单位</w:t>
      </w:r>
      <w:r>
        <w:rPr>
          <w:rFonts w:hint="eastAsia"/>
          <w:lang w:eastAsia="zh-CN"/>
        </w:rPr>
        <w:t>对从业企业</w:t>
      </w:r>
      <w:r>
        <w:rPr>
          <w:rFonts w:hint="eastAsia"/>
        </w:rPr>
        <w:t>投标行为</w:t>
      </w:r>
      <w:r>
        <w:rPr>
          <w:rFonts w:hint="eastAsia"/>
          <w:lang w:eastAsia="zh-CN"/>
        </w:rPr>
        <w:t>及</w:t>
      </w:r>
      <w:r>
        <w:rPr>
          <w:rFonts w:hint="eastAsia"/>
        </w:rPr>
        <w:t>履约行为</w:t>
      </w:r>
      <w:r>
        <w:rPr>
          <w:rFonts w:hint="eastAsia"/>
          <w:lang w:eastAsia="zh-CN"/>
        </w:rPr>
        <w:t>进行评价，填报</w:t>
      </w:r>
      <w:r>
        <w:rPr>
          <w:rFonts w:hint="eastAsia"/>
        </w:rPr>
        <w:t>企业</w:t>
      </w:r>
      <w:r>
        <w:rPr>
          <w:rFonts w:hint="eastAsia"/>
          <w:lang w:eastAsia="zh-CN"/>
        </w:rPr>
        <w:t>投标行为评价表、履约行为评价表、</w:t>
      </w:r>
      <w:r>
        <w:rPr>
          <w:rFonts w:hint="eastAsia"/>
        </w:rPr>
        <w:t>信用评价</w:t>
      </w:r>
      <w:r>
        <w:rPr>
          <w:rFonts w:hint="eastAsia"/>
          <w:lang w:eastAsia="zh-CN"/>
        </w:rPr>
        <w:t>情况</w:t>
      </w:r>
      <w:r>
        <w:rPr>
          <w:rFonts w:hint="eastAsia"/>
        </w:rPr>
        <w:t>汇总表</w:t>
      </w:r>
      <w:r>
        <w:rPr>
          <w:rFonts w:hint="eastAsia"/>
          <w:lang w:eastAsia="zh-CN"/>
        </w:rPr>
        <w:t>（附表</w:t>
      </w:r>
      <w:r>
        <w:rPr>
          <w:rFonts w:hint="eastAsia"/>
          <w:lang w:val="en-US" w:eastAsia="zh-CN"/>
        </w:rPr>
        <w:t>2</w:t>
      </w:r>
      <w:r>
        <w:rPr>
          <w:rFonts w:hint="eastAsia"/>
          <w:lang w:eastAsia="zh-CN"/>
        </w:rPr>
        <w:t>）</w:t>
      </w:r>
      <w:r>
        <w:rPr>
          <w:rFonts w:hint="eastAsia"/>
        </w:rPr>
        <w:t>，并附相关佐证材料</w:t>
      </w:r>
      <w:r>
        <w:rPr>
          <w:rFonts w:hint="eastAsia"/>
          <w:lang w:eastAsia="zh-CN"/>
        </w:rPr>
        <w:t>。</w:t>
      </w:r>
    </w:p>
    <w:p w14:paraId="03607F4F">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rPr>
      </w:pPr>
      <w:r>
        <w:rPr>
          <w:rFonts w:hint="eastAsia"/>
          <w:lang w:val="en-US" w:eastAsia="zh-CN"/>
        </w:rPr>
        <w:t>（六）</w:t>
      </w:r>
      <w:r>
        <w:t>有政府出资的PPP项目</w:t>
      </w:r>
      <w:r>
        <w:rPr>
          <w:rFonts w:hint="eastAsia"/>
        </w:rPr>
        <w:t>或有政府出资</w:t>
      </w:r>
      <w:r>
        <w:rPr>
          <w:rFonts w:hint="eastAsia"/>
          <w:lang w:eastAsia="zh-CN"/>
        </w:rPr>
        <w:t>人</w:t>
      </w:r>
      <w:r>
        <w:rPr>
          <w:rFonts w:hint="eastAsia"/>
        </w:rPr>
        <w:t>代表参与项目总监办组建的项目，业主的</w:t>
      </w:r>
      <w:r>
        <w:rPr>
          <w:rFonts w:hint="eastAsia"/>
          <w:lang w:eastAsia="zh-CN"/>
        </w:rPr>
        <w:t>评价结果应</w:t>
      </w:r>
      <w:r>
        <w:rPr>
          <w:rFonts w:hint="eastAsia"/>
        </w:rPr>
        <w:t>加盖政府出资人代表单位或总监办公章。</w:t>
      </w:r>
    </w:p>
    <w:p w14:paraId="79AB75E0">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lang w:eastAsia="zh-CN"/>
        </w:rPr>
      </w:pPr>
      <w:r>
        <w:rPr>
          <w:rFonts w:hint="eastAsia"/>
          <w:lang w:val="en-US" w:eastAsia="zh-CN"/>
        </w:rPr>
        <w:t>（七）项目业主单位应</w:t>
      </w:r>
      <w:r>
        <w:rPr>
          <w:rFonts w:hint="eastAsia"/>
        </w:rPr>
        <w:t>坚持客观、公正</w:t>
      </w:r>
      <w:r>
        <w:rPr>
          <w:rFonts w:hint="eastAsia"/>
          <w:lang w:eastAsia="zh-CN"/>
        </w:rPr>
        <w:t>的评价</w:t>
      </w:r>
      <w:r>
        <w:rPr>
          <w:rFonts w:hint="eastAsia"/>
        </w:rPr>
        <w:t>原则，分值裁量要符合有关规定，做到</w:t>
      </w:r>
      <w:r>
        <w:rPr>
          <w:rFonts w:hint="eastAsia"/>
          <w:lang w:eastAsia="zh-CN"/>
        </w:rPr>
        <w:t>覆盖全面、结果客观、数据准确；评价结果要拉开差距，切实体现信用评价的奖优惩劣作用，严禁</w:t>
      </w:r>
      <w:r>
        <w:rPr>
          <w:rFonts w:hint="eastAsia"/>
        </w:rPr>
        <w:t>评分满分、高分泛滥的</w:t>
      </w:r>
      <w:r>
        <w:rPr>
          <w:rFonts w:hint="eastAsia"/>
          <w:lang w:eastAsia="zh-CN"/>
        </w:rPr>
        <w:t>评价</w:t>
      </w:r>
      <w:r>
        <w:rPr>
          <w:rFonts w:hint="eastAsia"/>
        </w:rPr>
        <w:t>行为</w:t>
      </w:r>
      <w:r>
        <w:rPr>
          <w:rFonts w:hint="eastAsia"/>
          <w:lang w:eastAsia="zh-CN"/>
        </w:rPr>
        <w:t>。</w:t>
      </w:r>
    </w:p>
    <w:p w14:paraId="71E75F1D">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b/>
          <w:bCs/>
          <w:lang w:eastAsia="zh-CN"/>
        </w:rPr>
      </w:pPr>
      <w:r>
        <w:rPr>
          <w:rFonts w:hint="eastAsia"/>
          <w:b/>
          <w:bCs/>
          <w:lang w:eastAsia="zh-CN"/>
        </w:rPr>
        <w:t>各级交通运输主管部门及监督管理部门评价</w:t>
      </w:r>
      <w:r>
        <w:rPr>
          <w:rFonts w:hint="eastAsia"/>
          <w:b/>
          <w:bCs/>
        </w:rPr>
        <w:t>（完成时限：</w:t>
      </w:r>
      <w:r>
        <w:rPr>
          <w:rFonts w:hint="eastAsia"/>
          <w:b/>
          <w:bCs/>
          <w:lang w:val="en-US" w:eastAsia="zh-CN"/>
        </w:rPr>
        <w:t>3</w:t>
      </w:r>
      <w:r>
        <w:rPr>
          <w:rFonts w:hint="eastAsia"/>
          <w:b/>
          <w:bCs/>
        </w:rPr>
        <w:t>月</w:t>
      </w:r>
      <w:r>
        <w:rPr>
          <w:rFonts w:hint="eastAsia"/>
          <w:b/>
          <w:bCs/>
          <w:lang w:val="en-US" w:eastAsia="zh-CN"/>
        </w:rPr>
        <w:t>4</w:t>
      </w:r>
      <w:r>
        <w:rPr>
          <w:rFonts w:hint="eastAsia"/>
          <w:b/>
          <w:bCs/>
        </w:rPr>
        <w:t>日至</w:t>
      </w:r>
      <w:r>
        <w:rPr>
          <w:rFonts w:hint="eastAsia"/>
          <w:b/>
          <w:bCs/>
          <w:lang w:val="en-US" w:eastAsia="zh-CN"/>
        </w:rPr>
        <w:t>3</w:t>
      </w:r>
      <w:r>
        <w:rPr>
          <w:rFonts w:hint="eastAsia"/>
          <w:b/>
          <w:bCs/>
        </w:rPr>
        <w:t>月</w:t>
      </w:r>
      <w:r>
        <w:rPr>
          <w:rFonts w:hint="eastAsia"/>
          <w:b/>
          <w:bCs/>
          <w:lang w:val="en-US" w:eastAsia="zh-CN"/>
        </w:rPr>
        <w:t>11</w:t>
      </w:r>
      <w:r>
        <w:rPr>
          <w:rFonts w:hint="eastAsia"/>
          <w:b/>
          <w:bCs/>
        </w:rPr>
        <w:t>日）</w:t>
      </w:r>
    </w:p>
    <w:p w14:paraId="0513BB83">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lang w:eastAsia="zh-CN"/>
        </w:rPr>
      </w:pPr>
      <w:r>
        <w:rPr>
          <w:rFonts w:hint="eastAsia"/>
          <w:lang w:val="en-US" w:eastAsia="zh-CN"/>
        </w:rPr>
        <w:t>（八）</w:t>
      </w:r>
      <w:r>
        <w:rPr>
          <w:rFonts w:hint="eastAsia"/>
          <w:lang w:eastAsia="zh-CN"/>
        </w:rPr>
        <w:t>各</w:t>
      </w:r>
      <w:r>
        <w:rPr>
          <w:rFonts w:hint="eastAsia"/>
        </w:rPr>
        <w:t>市</w:t>
      </w:r>
      <w:r>
        <w:rPr>
          <w:rFonts w:hint="eastAsia"/>
          <w:lang w:val="en-US" w:eastAsia="zh-CN"/>
        </w:rPr>
        <w:t>(</w:t>
      </w:r>
      <w:r>
        <w:rPr>
          <w:rFonts w:hint="eastAsia"/>
        </w:rPr>
        <w:t>州</w:t>
      </w:r>
      <w:r>
        <w:rPr>
          <w:rFonts w:hint="eastAsia"/>
          <w:lang w:eastAsia="zh-CN"/>
        </w:rPr>
        <w:t>）</w:t>
      </w:r>
      <w:r>
        <w:rPr>
          <w:rFonts w:hint="eastAsia"/>
        </w:rPr>
        <w:t>交通运输局（委）</w:t>
      </w:r>
      <w:r>
        <w:rPr>
          <w:rFonts w:hint="eastAsia"/>
          <w:lang w:eastAsia="zh-CN"/>
        </w:rPr>
        <w:t>填报属地范围内的公路建设项目从业企业其他</w:t>
      </w:r>
      <w:r>
        <w:rPr>
          <w:rFonts w:hint="eastAsia"/>
        </w:rPr>
        <w:t>行为评价汇总表</w:t>
      </w:r>
      <w:r>
        <w:rPr>
          <w:rFonts w:hint="eastAsia"/>
          <w:lang w:eastAsia="zh-CN"/>
        </w:rPr>
        <w:t>（附表</w:t>
      </w:r>
      <w:r>
        <w:rPr>
          <w:rFonts w:hint="eastAsia"/>
          <w:lang w:val="en-US" w:eastAsia="zh-CN"/>
        </w:rPr>
        <w:t>3</w:t>
      </w:r>
      <w:r>
        <w:rPr>
          <w:rFonts w:hint="eastAsia"/>
          <w:lang w:eastAsia="zh-CN"/>
        </w:rPr>
        <w:t>），该表实行零报制，属地范围内所有应评价公路建设项目均需填入。</w:t>
      </w:r>
    </w:p>
    <w:p w14:paraId="5997593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rPr>
      </w:pPr>
      <w:r>
        <w:rPr>
          <w:rFonts w:hint="eastAsia"/>
          <w:lang w:val="en-US" w:eastAsia="zh-CN"/>
        </w:rPr>
        <w:t>（九）</w:t>
      </w:r>
      <w:r>
        <w:rPr>
          <w:rFonts w:hint="eastAsia"/>
          <w:lang w:eastAsia="zh-CN"/>
        </w:rPr>
        <w:t>厅相关处室</w:t>
      </w:r>
      <w:r>
        <w:rPr>
          <w:rFonts w:hint="eastAsia"/>
        </w:rPr>
        <w:t>、省交通执法监督局、省交通造价中心、省路网中心等</w:t>
      </w:r>
      <w:r>
        <w:rPr>
          <w:rFonts w:hint="eastAsia"/>
          <w:lang w:eastAsia="zh-CN"/>
        </w:rPr>
        <w:t>负有监管职责的单位或部门</w:t>
      </w:r>
      <w:r>
        <w:rPr>
          <w:rFonts w:hint="eastAsia"/>
        </w:rPr>
        <w:t>依据各自监管职责</w:t>
      </w:r>
      <w:r>
        <w:rPr>
          <w:rFonts w:hint="eastAsia"/>
          <w:lang w:eastAsia="zh-CN"/>
        </w:rPr>
        <w:t>，对公路建设项目设计、施工单位</w:t>
      </w:r>
      <w:r>
        <w:rPr>
          <w:rFonts w:hint="eastAsia"/>
        </w:rPr>
        <w:t>进行</w:t>
      </w:r>
      <w:r>
        <w:rPr>
          <w:rFonts w:hint="eastAsia"/>
          <w:lang w:eastAsia="zh-CN"/>
        </w:rPr>
        <w:t>补充</w:t>
      </w:r>
      <w:r>
        <w:rPr>
          <w:rFonts w:hint="eastAsia"/>
        </w:rPr>
        <w:t>评价</w:t>
      </w:r>
      <w:r>
        <w:rPr>
          <w:rFonts w:hint="eastAsia"/>
          <w:lang w:eastAsia="zh-CN"/>
        </w:rPr>
        <w:t>，并</w:t>
      </w:r>
      <w:r>
        <w:rPr>
          <w:rFonts w:hint="eastAsia"/>
        </w:rPr>
        <w:t>提供相关佐证材料。</w:t>
      </w:r>
    </w:p>
    <w:p w14:paraId="72F6D35F">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b/>
          <w:bCs/>
        </w:rPr>
      </w:pPr>
      <w:r>
        <w:rPr>
          <w:rFonts w:hint="eastAsia"/>
          <w:b/>
          <w:bCs/>
        </w:rPr>
        <w:t>填报</w:t>
      </w:r>
      <w:r>
        <w:rPr>
          <w:rFonts w:hint="eastAsia"/>
          <w:b/>
          <w:bCs/>
          <w:lang w:eastAsia="zh-CN"/>
        </w:rPr>
        <w:t>正面清单行为</w:t>
      </w:r>
      <w:r>
        <w:rPr>
          <w:rFonts w:hint="eastAsia"/>
          <w:b/>
          <w:bCs/>
        </w:rPr>
        <w:t>（完成时限：</w:t>
      </w:r>
      <w:r>
        <w:rPr>
          <w:rFonts w:hint="eastAsia"/>
          <w:b/>
          <w:bCs/>
          <w:lang w:eastAsia="zh-CN"/>
        </w:rPr>
        <w:t>即日</w:t>
      </w:r>
      <w:r>
        <w:rPr>
          <w:rFonts w:hint="eastAsia"/>
          <w:b/>
          <w:bCs/>
        </w:rPr>
        <w:t>起至</w:t>
      </w:r>
      <w:r>
        <w:rPr>
          <w:rFonts w:hint="eastAsia"/>
          <w:b/>
          <w:bCs/>
          <w:lang w:val="en-US" w:eastAsia="zh-CN"/>
        </w:rPr>
        <w:t>2月28</w:t>
      </w:r>
      <w:r>
        <w:rPr>
          <w:rFonts w:hint="eastAsia"/>
          <w:b/>
          <w:bCs/>
        </w:rPr>
        <w:t>日）</w:t>
      </w:r>
    </w:p>
    <w:p w14:paraId="0170C44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lang w:val="en-US" w:eastAsia="zh-CN"/>
        </w:rPr>
      </w:pPr>
      <w:r>
        <w:rPr>
          <w:rFonts w:hint="eastAsia"/>
          <w:lang w:val="en-US" w:eastAsia="zh-CN"/>
        </w:rPr>
        <w:t>（十）请各项目业主单位通知被评价的从业企业，及时填报企业正面清单行为汇总表（附表4）。</w:t>
      </w:r>
    </w:p>
    <w:p w14:paraId="6BF4F049">
      <w:pPr>
        <w:keepNext w:val="0"/>
        <w:keepLines w:val="0"/>
        <w:pageBreakBefore w:val="0"/>
        <w:widowControl w:val="0"/>
        <w:kinsoku/>
        <w:wordWrap/>
        <w:overflowPunct/>
        <w:topLinePunct w:val="0"/>
        <w:autoSpaceDE/>
        <w:autoSpaceDN/>
        <w:bidi w:val="0"/>
        <w:adjustRightInd/>
        <w:snapToGrid/>
        <w:ind w:firstLine="632" w:firstLineChars="200"/>
        <w:textAlignment w:val="auto"/>
      </w:pPr>
      <w:r>
        <w:rPr>
          <w:rFonts w:hint="eastAsia"/>
          <w:lang w:val="en-US" w:eastAsia="zh-CN"/>
        </w:rPr>
        <w:t>（十一）</w:t>
      </w:r>
      <w:r>
        <w:rPr>
          <w:rFonts w:hint="eastAsia"/>
          <w:lang w:eastAsia="zh-CN"/>
        </w:rPr>
        <w:t>从业企业应随表报送</w:t>
      </w:r>
      <w:r>
        <w:rPr>
          <w:rFonts w:hint="eastAsia"/>
        </w:rPr>
        <w:t>相应证明材料</w:t>
      </w:r>
      <w:r>
        <w:rPr>
          <w:rFonts w:hint="eastAsia"/>
          <w:lang w:eastAsia="zh-CN"/>
        </w:rPr>
        <w:t>以供审核，未在时限内填报或未提交证明材料的正面清单行为不予认可，审核情况将随评价结果一并公示</w:t>
      </w:r>
      <w:r>
        <w:rPr>
          <w:rFonts w:hint="eastAsia"/>
        </w:rPr>
        <w:t>。</w:t>
      </w:r>
    </w:p>
    <w:p w14:paraId="5792BE61">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ascii="黑体" w:hAnsi="黑体" w:eastAsia="黑体" w:cs="黑体"/>
          <w:lang w:val="zh-CN" w:eastAsia="zh-CN"/>
        </w:rPr>
      </w:pPr>
      <w:r>
        <w:rPr>
          <w:rFonts w:hint="eastAsia" w:ascii="黑体" w:hAnsi="黑体" w:eastAsia="黑体" w:cs="黑体"/>
          <w:lang w:val="zh-CN" w:eastAsia="zh-CN"/>
        </w:rPr>
        <w:t>三、其他注意事项</w:t>
      </w:r>
    </w:p>
    <w:p w14:paraId="082D564F">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default"/>
          <w:lang w:val="en-US" w:eastAsia="zh-CN"/>
        </w:rPr>
      </w:pPr>
      <w:r>
        <w:rPr>
          <w:rFonts w:hint="eastAsia"/>
          <w:lang w:val="en-US" w:eastAsia="zh-CN"/>
        </w:rPr>
        <w:t>（十二）各单位提交的纸质材料应</w:t>
      </w:r>
      <w:r>
        <w:t>逐页加盖评价主体公章，</w:t>
      </w:r>
      <w:r>
        <w:rPr>
          <w:rFonts w:hint="eastAsia"/>
          <w:lang w:val="en-US" w:eastAsia="zh-CN"/>
        </w:rPr>
        <w:t>备注联系人及联系方式；未按时限要求提交的不予受理。</w:t>
      </w:r>
    </w:p>
    <w:p w14:paraId="2A93F348">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rPr>
      </w:pPr>
      <w:r>
        <w:rPr>
          <w:rFonts w:hint="eastAsia"/>
          <w:lang w:val="en-US" w:eastAsia="zh-CN"/>
        </w:rPr>
        <w:t>（十三）</w:t>
      </w:r>
      <w:r>
        <w:rPr>
          <w:rFonts w:hint="eastAsia"/>
          <w:lang w:val="zh-CN"/>
        </w:rPr>
        <w:t>各评价主体应</w:t>
      </w:r>
      <w:r>
        <w:rPr>
          <w:rFonts w:hint="eastAsia"/>
        </w:rPr>
        <w:t>注意不要遗漏在评价年度内仅有不良投标行为的</w:t>
      </w:r>
      <w:r>
        <w:rPr>
          <w:rFonts w:hint="eastAsia"/>
          <w:lang w:eastAsia="zh-CN"/>
        </w:rPr>
        <w:t>从业企业</w:t>
      </w:r>
      <w:r>
        <w:rPr>
          <w:rFonts w:hint="eastAsia"/>
        </w:rPr>
        <w:t>。</w:t>
      </w:r>
    </w:p>
    <w:p w14:paraId="354F7FC5">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default"/>
          <w:lang w:val="en-US" w:eastAsia="zh-CN"/>
        </w:rPr>
      </w:pPr>
      <w:r>
        <w:rPr>
          <w:rFonts w:hint="eastAsia"/>
          <w:lang w:val="en-US" w:eastAsia="zh-CN"/>
        </w:rPr>
        <w:t>（十四）</w:t>
      </w:r>
      <w:r>
        <w:rPr>
          <w:rFonts w:hint="eastAsia"/>
        </w:rPr>
        <w:t>PPP</w:t>
      </w:r>
      <w:r>
        <w:rPr>
          <w:rFonts w:hint="eastAsia"/>
          <w:lang w:eastAsia="zh-CN"/>
        </w:rPr>
        <w:t>项目须在完成投资人自行承担勘察设计、施工任务备案工作后，才能进行信用评价。参与信用评价的标段应与备案情况保持一致，未按要求进行备案或与备案资料不一致的</w:t>
      </w:r>
      <w:r>
        <w:rPr>
          <w:rFonts w:hint="eastAsia"/>
          <w:lang w:val="en-US" w:eastAsia="zh-CN"/>
        </w:rPr>
        <w:t>PPP项目标段（分部）不予进行信用评价。</w:t>
      </w:r>
    </w:p>
    <w:p w14:paraId="5166FBCE">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eastAsia"/>
          <w:lang w:val="en-US" w:eastAsia="zh-CN"/>
        </w:rPr>
      </w:pPr>
      <w:r>
        <w:rPr>
          <w:rFonts w:hint="eastAsia"/>
          <w:lang w:val="en-US" w:eastAsia="zh-CN"/>
        </w:rPr>
        <w:t>（十五）信用评价与业绩信息核备实行闭环管理。</w:t>
      </w:r>
      <w:r>
        <w:rPr>
          <w:rFonts w:hint="eastAsia"/>
          <w:lang w:eastAsia="zh-CN"/>
        </w:rPr>
        <w:t>录入全国公路建设市场信用信息管理系统的企业业绩信息应与信用评价的从业单位一致。应进行信用评价而未评价或评价从业单位不一致的项目业绩信息不予</w:t>
      </w:r>
      <w:r>
        <w:rPr>
          <w:rFonts w:hint="eastAsia"/>
          <w:lang w:val="en-US" w:eastAsia="zh-CN"/>
        </w:rPr>
        <w:t>核备</w:t>
      </w:r>
      <w:r>
        <w:rPr>
          <w:rFonts w:hint="eastAsia"/>
          <w:lang w:eastAsia="zh-CN"/>
        </w:rPr>
        <w:t>；</w:t>
      </w:r>
      <w:r>
        <w:rPr>
          <w:rFonts w:hint="eastAsia"/>
          <w:lang w:val="en-US" w:eastAsia="zh-CN"/>
        </w:rPr>
        <w:t>PPP项目未按独立分部进行信用评价的，业绩信息核备也不予分标段录入。</w:t>
      </w:r>
    </w:p>
    <w:p w14:paraId="13E0D355">
      <w:pPr>
        <w:keepNext w:val="0"/>
        <w:keepLines w:val="0"/>
        <w:pageBreakBefore w:val="0"/>
        <w:widowControl w:val="0"/>
        <w:kinsoku/>
        <w:wordWrap/>
        <w:overflowPunct/>
        <w:topLinePunct w:val="0"/>
        <w:autoSpaceDE/>
        <w:autoSpaceDN/>
        <w:bidi w:val="0"/>
        <w:adjustRightInd/>
        <w:snapToGrid/>
        <w:ind w:firstLine="632" w:firstLineChars="200"/>
        <w:textAlignment w:val="auto"/>
        <w:rPr>
          <w:rFonts w:hint="default" w:ascii="仿宋" w:hAnsi="仿宋" w:eastAsia="仿宋" w:cs="Times New Roman"/>
          <w:color w:val="auto"/>
          <w:szCs w:val="32"/>
          <w:highlight w:val="yellow"/>
          <w:lang w:val="en-US" w:eastAsia="zh-CN"/>
        </w:rPr>
      </w:pPr>
      <w:r>
        <w:rPr>
          <w:rFonts w:hint="eastAsia"/>
          <w:lang w:val="en-US" w:eastAsia="zh-CN"/>
        </w:rPr>
        <w:t>（十六）本次评价工作将建立</w:t>
      </w:r>
      <w:r>
        <w:rPr>
          <w:rFonts w:hint="eastAsia"/>
          <w:highlight w:val="none"/>
          <w:lang w:val="en-US" w:eastAsia="zh-CN"/>
        </w:rPr>
        <w:t>“2025年度公路建设项目信用评价QQ工作群”</w:t>
      </w:r>
      <w:r>
        <w:rPr>
          <w:rFonts w:hint="eastAsia"/>
          <w:lang w:val="en-US" w:eastAsia="zh-CN"/>
        </w:rPr>
        <w:t>，请各</w:t>
      </w:r>
      <w:r>
        <w:rPr>
          <w:rFonts w:hint="eastAsia"/>
        </w:rPr>
        <w:t>业主单位</w:t>
      </w:r>
      <w:r>
        <w:rPr>
          <w:rFonts w:hint="eastAsia"/>
          <w:lang w:eastAsia="zh-CN"/>
        </w:rPr>
        <w:t>、各市（州）交通运输局（委）及监督管理部门及时加入，</w:t>
      </w:r>
      <w:r>
        <w:rPr>
          <w:rFonts w:hint="eastAsia"/>
          <w:lang w:val="en-US" w:eastAsia="zh-CN"/>
        </w:rPr>
        <w:t>群号：184478609，评价工作后续通知及注意事项将通过群发送。</w:t>
      </w:r>
    </w:p>
    <w:p w14:paraId="372084D0">
      <w:pPr>
        <w:keepNext w:val="0"/>
        <w:keepLines w:val="0"/>
        <w:pageBreakBefore w:val="0"/>
        <w:widowControl w:val="0"/>
        <w:kinsoku/>
        <w:wordWrap/>
        <w:overflowPunct/>
        <w:topLinePunct w:val="0"/>
        <w:autoSpaceDE/>
        <w:autoSpaceDN/>
        <w:bidi w:val="0"/>
        <w:adjustRightInd/>
        <w:snapToGrid/>
        <w:ind w:left="1896" w:leftChars="200" w:hanging="1264" w:hangingChars="400"/>
        <w:textAlignment w:val="auto"/>
        <w:rPr>
          <w:rFonts w:hint="eastAsia" w:ascii="仿宋" w:hAnsi="仿宋" w:eastAsia="仿宋" w:cs="Times New Roman"/>
          <w:color w:val="auto"/>
          <w:szCs w:val="32"/>
          <w:highlight w:val="none"/>
          <w:lang w:eastAsia="zh-CN"/>
        </w:rPr>
      </w:pPr>
    </w:p>
    <w:p w14:paraId="226206A1">
      <w:pPr>
        <w:keepNext w:val="0"/>
        <w:keepLines w:val="0"/>
        <w:pageBreakBefore w:val="0"/>
        <w:widowControl w:val="0"/>
        <w:kinsoku/>
        <w:wordWrap/>
        <w:overflowPunct/>
        <w:topLinePunct w:val="0"/>
        <w:autoSpaceDE/>
        <w:autoSpaceDN/>
        <w:bidi w:val="0"/>
        <w:adjustRightInd/>
        <w:snapToGrid/>
        <w:ind w:left="1896" w:leftChars="200" w:hanging="1264" w:hangingChars="400"/>
        <w:textAlignment w:val="auto"/>
        <w:rPr>
          <w:rFonts w:hint="default"/>
          <w:lang w:val="en-US" w:eastAsia="zh-CN"/>
        </w:rPr>
      </w:pPr>
      <w:r>
        <w:rPr>
          <w:rFonts w:hint="eastAsia" w:ascii="仿宋" w:hAnsi="仿宋" w:eastAsia="仿宋" w:cs="Times New Roman"/>
          <w:color w:val="auto"/>
          <w:szCs w:val="32"/>
          <w:highlight w:val="none"/>
          <w:lang w:eastAsia="zh-CN"/>
        </w:rPr>
        <w:t>附</w:t>
      </w:r>
      <w:r>
        <w:rPr>
          <w:rFonts w:hint="eastAsia"/>
          <w:lang w:val="en-US" w:eastAsia="zh-CN"/>
        </w:rPr>
        <w:t>件：1.拟参评合同段汇总表</w:t>
      </w:r>
    </w:p>
    <w:p w14:paraId="4F92F082">
      <w:pPr>
        <w:keepNext w:val="0"/>
        <w:keepLines w:val="0"/>
        <w:pageBreakBefore w:val="0"/>
        <w:widowControl w:val="0"/>
        <w:kinsoku/>
        <w:wordWrap/>
        <w:overflowPunct/>
        <w:topLinePunct w:val="0"/>
        <w:autoSpaceDE/>
        <w:autoSpaceDN/>
        <w:bidi w:val="0"/>
        <w:adjustRightInd/>
        <w:snapToGrid/>
        <w:ind w:left="1896" w:leftChars="500" w:hanging="316" w:hangingChars="100"/>
        <w:textAlignment w:val="auto"/>
        <w:rPr>
          <w:rFonts w:hint="default"/>
          <w:lang w:val="en-US" w:eastAsia="zh-CN"/>
        </w:rPr>
      </w:pPr>
      <w:r>
        <w:rPr>
          <w:rFonts w:hint="eastAsia"/>
          <w:lang w:val="en-US" w:eastAsia="zh-CN"/>
        </w:rPr>
        <w:t>2.投标行为评价表、履约行为评价表、信用评价情况汇总表</w:t>
      </w:r>
    </w:p>
    <w:p w14:paraId="1AFB5E55">
      <w:pPr>
        <w:keepNext w:val="0"/>
        <w:keepLines w:val="0"/>
        <w:pageBreakBefore w:val="0"/>
        <w:widowControl w:val="0"/>
        <w:kinsoku/>
        <w:wordWrap/>
        <w:overflowPunct/>
        <w:topLinePunct w:val="0"/>
        <w:autoSpaceDE/>
        <w:autoSpaceDN/>
        <w:bidi w:val="0"/>
        <w:adjustRightInd/>
        <w:snapToGrid/>
        <w:ind w:firstLine="1580" w:firstLineChars="500"/>
        <w:textAlignment w:val="auto"/>
        <w:rPr>
          <w:rFonts w:hint="eastAsia"/>
          <w:lang w:val="en-US" w:eastAsia="zh-CN"/>
        </w:rPr>
      </w:pPr>
      <w:r>
        <w:rPr>
          <w:rFonts w:hint="eastAsia"/>
          <w:lang w:val="en-US" w:eastAsia="zh-CN"/>
        </w:rPr>
        <w:t>3.其他行为评价汇总表</w:t>
      </w:r>
    </w:p>
    <w:p w14:paraId="4FEE4A94">
      <w:pPr>
        <w:keepNext w:val="0"/>
        <w:keepLines w:val="0"/>
        <w:pageBreakBefore w:val="0"/>
        <w:widowControl w:val="0"/>
        <w:kinsoku/>
        <w:wordWrap/>
        <w:overflowPunct/>
        <w:topLinePunct w:val="0"/>
        <w:autoSpaceDE/>
        <w:autoSpaceDN/>
        <w:bidi w:val="0"/>
        <w:adjustRightInd/>
        <w:snapToGrid/>
        <w:ind w:left="1896" w:leftChars="500" w:hanging="316" w:hangingChars="100"/>
        <w:textAlignment w:val="auto"/>
        <w:rPr>
          <w:rFonts w:hint="default"/>
          <w:lang w:val="en-US" w:eastAsia="zh-CN"/>
        </w:rPr>
      </w:pPr>
      <w:r>
        <w:rPr>
          <w:rFonts w:hint="eastAsia"/>
          <w:lang w:val="en-US" w:eastAsia="zh-CN"/>
        </w:rPr>
        <w:t>4.正面清单行为汇总表</w:t>
      </w:r>
    </w:p>
    <w:p w14:paraId="32269F32">
      <w:pPr>
        <w:widowControl/>
        <w:snapToGrid w:val="0"/>
        <w:spacing w:line="560" w:lineRule="exact"/>
        <w:jc w:val="both"/>
        <w:rPr>
          <w:rFonts w:hint="eastAsia" w:ascii="仿宋" w:hAnsi="仿宋" w:eastAsia="仿宋" w:cs="Times New Roman"/>
          <w:color w:val="auto"/>
          <w:szCs w:val="32"/>
          <w:highlight w:val="none"/>
          <w:lang w:eastAsia="zh-CN"/>
        </w:rPr>
      </w:pPr>
    </w:p>
    <w:p w14:paraId="7D6A4744">
      <w:pPr>
        <w:keepNext w:val="0"/>
        <w:keepLines w:val="0"/>
        <w:pageBreakBefore w:val="0"/>
        <w:widowControl w:val="0"/>
        <w:kinsoku/>
        <w:wordWrap/>
        <w:overflowPunct/>
        <w:topLinePunct w:val="0"/>
        <w:autoSpaceDE/>
        <w:autoSpaceDN/>
        <w:bidi w:val="0"/>
        <w:adjustRightInd/>
        <w:snapToGrid/>
        <w:ind w:left="1896" w:leftChars="500" w:hanging="316" w:hangingChars="100"/>
        <w:textAlignment w:val="auto"/>
        <w:rPr>
          <w:rFonts w:hint="eastAsia"/>
          <w:lang w:val="en-US" w:eastAsia="zh-CN"/>
        </w:rPr>
      </w:pPr>
      <w:r>
        <w:rPr>
          <w:rFonts w:hint="eastAsia"/>
          <w:lang w:val="en-US" w:eastAsia="zh-CN"/>
        </w:rPr>
        <w:t>（联系人：省公路局项目处，周熙，0851-85992446，3022459909@qq.com；厅建养处，余春浩，0851-85992886）</w:t>
      </w:r>
      <w:bookmarkStart w:id="0" w:name="_GoBack"/>
      <w:bookmarkEnd w:id="0"/>
    </w:p>
    <w:p w14:paraId="62C764AF">
      <w:pPr>
        <w:tabs>
          <w:tab w:val="left" w:pos="7584"/>
        </w:tabs>
        <w:spacing w:line="580" w:lineRule="exact"/>
        <w:rPr>
          <w:rFonts w:hint="eastAsia" w:ascii="仿宋_GB2312" w:hAnsi="仿宋_GB2312" w:cs="仿宋_GB2312"/>
          <w:color w:val="FF0000"/>
          <w:sz w:val="30"/>
          <w:highlight w:val="none"/>
        </w:rPr>
      </w:pPr>
    </w:p>
    <w:sectPr>
      <w:footerReference r:id="rId4" w:type="default"/>
      <w:pgSz w:w="11906" w:h="16838"/>
      <w:pgMar w:top="2098" w:right="1474" w:bottom="1985" w:left="1588" w:header="851" w:footer="1588" w:gutter="0"/>
      <w:cols w:space="720" w:num="1"/>
      <w:docGrid w:type="linesAndChars" w:linePitch="577"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Luxi Sans">
    <w:altName w:val="微软雅黑"/>
    <w:panose1 w:val="00000000000000000000"/>
    <w:charset w:val="00"/>
    <w:family w:val="auto"/>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7A"/>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C6137">
    <w:pPr>
      <w:pStyle w:val="8"/>
      <w:framePr w:wrap="around" w:vAnchor="text" w:hAnchor="margin" w:xAlign="outside" w:y="1"/>
      <w:tabs>
        <w:tab w:val="center" w:pos="4153"/>
        <w:tab w:val="right" w:pos="8306"/>
      </w:tabs>
      <w:ind w:left="320" w:leftChars="100" w:right="320" w:rightChars="100"/>
      <w:rPr>
        <w:rStyle w:val="12"/>
        <w:rFonts w:hint="eastAsia" w:ascii="宋体" w:eastAsia="宋体"/>
        <w:sz w:val="28"/>
        <w:szCs w:val="28"/>
      </w:rPr>
    </w:pPr>
    <w:r>
      <w:rPr>
        <w:rStyle w:val="12"/>
        <w:rFonts w:hint="eastAsia" w:ascii="宋体" w:eastAsia="宋体"/>
        <w:sz w:val="28"/>
        <w:szCs w:val="28"/>
      </w:rPr>
      <w:t xml:space="preserve">— </w:t>
    </w:r>
    <w:r>
      <w:rPr>
        <w:rFonts w:hint="eastAsia" w:ascii="宋体" w:eastAsia="宋体"/>
        <w:sz w:val="28"/>
        <w:szCs w:val="28"/>
      </w:rPr>
      <w:fldChar w:fldCharType="begin"/>
    </w:r>
    <w:r>
      <w:rPr>
        <w:rStyle w:val="12"/>
        <w:rFonts w:hint="eastAsia" w:ascii="宋体" w:eastAsia="宋体"/>
        <w:sz w:val="28"/>
        <w:szCs w:val="28"/>
      </w:rPr>
      <w:instrText xml:space="preserve">PAGE  </w:instrText>
    </w:r>
    <w:r>
      <w:rPr>
        <w:rFonts w:hint="eastAsia" w:ascii="宋体" w:eastAsia="宋体"/>
        <w:sz w:val="28"/>
        <w:szCs w:val="28"/>
      </w:rPr>
      <w:fldChar w:fldCharType="separate"/>
    </w:r>
    <w:r>
      <w:rPr>
        <w:rStyle w:val="12"/>
        <w:rFonts w:hint="eastAsia" w:ascii="宋体" w:eastAsia="宋体"/>
        <w:sz w:val="28"/>
        <w:szCs w:val="28"/>
      </w:rPr>
      <w:t>9</w:t>
    </w:r>
    <w:r>
      <w:rPr>
        <w:rFonts w:hint="eastAsia" w:ascii="宋体" w:eastAsia="宋体"/>
        <w:sz w:val="28"/>
        <w:szCs w:val="28"/>
      </w:rPr>
      <w:fldChar w:fldCharType="end"/>
    </w:r>
    <w:r>
      <w:rPr>
        <w:rStyle w:val="12"/>
        <w:rFonts w:hint="eastAsia" w:ascii="宋体" w:eastAsia="宋体"/>
        <w:sz w:val="28"/>
        <w:szCs w:val="28"/>
      </w:rPr>
      <w:t xml:space="preserve"> —</w:t>
    </w:r>
  </w:p>
  <w:p w14:paraId="24B7F010">
    <w:pPr>
      <w:pStyle w:val="8"/>
      <w:tabs>
        <w:tab w:val="center" w:pos="4153"/>
        <w:tab w:val="right" w:pos="8306"/>
      </w:tabs>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420"/>
  <w:hyphenationZone w:val="360"/>
  <w:drawingGridHorizontalSpacing w:val="1"/>
  <w:drawingGridVerticalSpacing w:val="577"/>
  <w:displayHorizontalDrawingGridEvery w:val="1"/>
  <w:displayVerticalDrawingGridEvery w:val="1"/>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kNmRhMTc5ZGEzYThiMDBhN2Y0NDY0Mzc0NzM2MjMifQ=="/>
  </w:docVars>
  <w:rsids>
    <w:rsidRoot w:val="00172A27"/>
    <w:rsid w:val="032569B3"/>
    <w:rsid w:val="1134143B"/>
    <w:rsid w:val="1D484422"/>
    <w:rsid w:val="20193DA2"/>
    <w:rsid w:val="20681A27"/>
    <w:rsid w:val="22B97F60"/>
    <w:rsid w:val="23FC6132"/>
    <w:rsid w:val="243E60B3"/>
    <w:rsid w:val="2C5EFD0D"/>
    <w:rsid w:val="3500004E"/>
    <w:rsid w:val="36A617A7"/>
    <w:rsid w:val="37439026"/>
    <w:rsid w:val="39EBD642"/>
    <w:rsid w:val="3FEFB094"/>
    <w:rsid w:val="4FE7E425"/>
    <w:rsid w:val="581D5282"/>
    <w:rsid w:val="5AFD0561"/>
    <w:rsid w:val="5F7FF15C"/>
    <w:rsid w:val="676075D8"/>
    <w:rsid w:val="6ACC51DA"/>
    <w:rsid w:val="6BDDB7C8"/>
    <w:rsid w:val="6FDE5389"/>
    <w:rsid w:val="6FF57B40"/>
    <w:rsid w:val="6FFFA49E"/>
    <w:rsid w:val="73342A96"/>
    <w:rsid w:val="75EF06DC"/>
    <w:rsid w:val="79EA5A59"/>
    <w:rsid w:val="7B5F9537"/>
    <w:rsid w:val="7BBE8B17"/>
    <w:rsid w:val="7CE0684C"/>
    <w:rsid w:val="7CE92419"/>
    <w:rsid w:val="7D5F138A"/>
    <w:rsid w:val="7E7EBE0E"/>
    <w:rsid w:val="7F116DEF"/>
    <w:rsid w:val="7F733094"/>
    <w:rsid w:val="7FBE4C14"/>
    <w:rsid w:val="7FD7D5D8"/>
    <w:rsid w:val="7FEE3AB6"/>
    <w:rsid w:val="7FF20DC1"/>
    <w:rsid w:val="7FFF0B63"/>
    <w:rsid w:val="9F19214D"/>
    <w:rsid w:val="B3DA7CBA"/>
    <w:rsid w:val="B6FE8998"/>
    <w:rsid w:val="BBFFD300"/>
    <w:rsid w:val="CB9F057E"/>
    <w:rsid w:val="CF9B8196"/>
    <w:rsid w:val="DFFC53E8"/>
    <w:rsid w:val="E3AF9503"/>
    <w:rsid w:val="ED7C06B1"/>
    <w:rsid w:val="EDF79634"/>
    <w:rsid w:val="EF6F56D3"/>
    <w:rsid w:val="F35F6828"/>
    <w:rsid w:val="F5EF1E0A"/>
    <w:rsid w:val="F6DF551C"/>
    <w:rsid w:val="F9FD6AE0"/>
    <w:rsid w:val="FD5FCC73"/>
    <w:rsid w:val="FDBE6E3C"/>
    <w:rsid w:val="FDDFE65F"/>
    <w:rsid w:val="FE5BCEFC"/>
    <w:rsid w:val="FEFDFA47"/>
    <w:rsid w:val="FF3CAF9B"/>
    <w:rsid w:val="FFCFE6E4"/>
    <w:rsid w:val="FFDB6C78"/>
    <w:rsid w:val="FFDFCBB7"/>
    <w:rsid w:val="FFEF1A7C"/>
    <w:rsid w:val="FFF6CE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方正小标宋简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Luxi Sans" w:hAnsi="Luxi Sans"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1">
    <w:name w:val="Default Paragraph Font"/>
    <w:qFormat/>
    <w:uiPriority w:val="0"/>
    <w:rPr>
      <w:rFonts w:ascii="Times New Roman" w:hAnsi="Times New Roman" w:eastAsia="宋体" w:cs="Times New Roman"/>
      <w:lang w:bidi="ar-SA"/>
    </w:rPr>
  </w:style>
  <w:style w:type="table" w:default="1" w:styleId="10">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idowControl w:val="0"/>
      <w:overflowPunct w:val="0"/>
      <w:autoSpaceDE w:val="0"/>
      <w:autoSpaceDN w:val="0"/>
      <w:spacing w:after="0" w:line="360" w:lineRule="auto"/>
      <w:ind w:firstLine="420"/>
      <w:jc w:val="both"/>
    </w:pPr>
    <w:rPr>
      <w:rFonts w:ascii="Times New Roman" w:hAnsi="Times New Roman" w:eastAsia="仿宋_GB2312" w:cs="Times New Roman"/>
      <w:kern w:val="2"/>
      <w:sz w:val="32"/>
      <w:szCs w:val="20"/>
      <w:lang w:val="en-US" w:eastAsia="zh-CN" w:bidi="ar-SA"/>
    </w:rPr>
  </w:style>
  <w:style w:type="paragraph" w:styleId="6">
    <w:name w:val="Date"/>
    <w:basedOn w:val="1"/>
    <w:next w:val="1"/>
    <w:qFormat/>
    <w:uiPriority w:val="0"/>
    <w:pPr>
      <w:ind w:left="2500" w:leftChars="2500"/>
    </w:pPr>
    <w:rPr>
      <w:rFonts w:ascii="Times New Roman" w:hAnsi="Times New Roman" w:eastAsia="宋体" w:cs="Times New Roman"/>
      <w:lang w:bidi="ar-SA"/>
    </w:rPr>
  </w:style>
  <w:style w:type="paragraph" w:styleId="7">
    <w:name w:val="Balloon Text"/>
    <w:basedOn w:val="1"/>
    <w:qFormat/>
    <w:uiPriority w:val="0"/>
    <w:rPr>
      <w:rFonts w:ascii="Times New Roman" w:hAnsi="Times New Roman" w:eastAsia="宋体" w:cs="Times New Roman"/>
      <w:sz w:val="18"/>
      <w:szCs w:val="18"/>
      <w:lang w:bidi="ar-SA"/>
    </w:rPr>
  </w:style>
  <w:style w:type="paragraph" w:styleId="8">
    <w:name w:val="footer"/>
    <w:basedOn w:val="1"/>
    <w:qFormat/>
    <w:uiPriority w:val="0"/>
    <w:pPr>
      <w:widowControl w:val="0"/>
      <w:tabs>
        <w:tab w:val="center" w:pos="4140"/>
        <w:tab w:val="right" w:pos="8300"/>
      </w:tabs>
      <w:snapToGrid w:val="0"/>
      <w:spacing w:after="0"/>
      <w:jc w:val="left"/>
    </w:pPr>
    <w:rPr>
      <w:rFonts w:ascii="Times New Roman" w:hAnsi="Times New Roman" w:eastAsia="仿宋_GB2312" w:cs="Times New Roman"/>
      <w:kern w:val="2"/>
      <w:sz w:val="18"/>
      <w:szCs w:val="18"/>
      <w:lang w:val="en-US" w:eastAsia="zh-CN" w:bidi="ar-SA"/>
    </w:rPr>
  </w:style>
  <w:style w:type="paragraph" w:styleId="9">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lang w:bidi="ar-SA"/>
    </w:rPr>
  </w:style>
  <w:style w:type="character" w:styleId="12">
    <w:name w:val="page number"/>
    <w:basedOn w:val="11"/>
    <w:qFormat/>
    <w:uiPriority w:val="0"/>
    <w:rPr>
      <w:rFonts w:ascii="Times New Roman" w:hAnsi="Times New Roman" w:eastAsia="宋体" w:cs="Times New Roman"/>
      <w:lang w:bidi="ar-SA"/>
    </w:rPr>
  </w:style>
  <w:style w:type="character" w:styleId="13">
    <w:name w:val="Hyperlink"/>
    <w:qFormat/>
    <w:uiPriority w:val="0"/>
    <w:rPr>
      <w:rFonts w:ascii="Times New Roman" w:hAnsi="Times New Roman" w:eastAsia="宋体" w:cs="Times New Roman"/>
      <w:color w:val="0000FF"/>
      <w:u w:val="single"/>
      <w:lang w:bidi="ar-SA"/>
    </w:rPr>
  </w:style>
  <w:style w:type="paragraph" w:customStyle="1" w:styleId="14">
    <w:name w:val="中等深浅网格 21"/>
    <w:qFormat/>
    <w:uiPriority w:val="0"/>
    <w:pPr>
      <w:widowControl w:val="0"/>
      <w:jc w:val="both"/>
    </w:pPr>
    <w:rPr>
      <w:rFonts w:ascii="Times New Roman" w:hAnsi="Times New Roman" w:eastAsia="宋体" w:cs="Times New Roman"/>
      <w:kern w:val="2"/>
      <w:sz w:val="24"/>
      <w:szCs w:val="24"/>
      <w:lang w:val="en-US" w:eastAsia="zh-CN" w:bidi="ar-SA"/>
    </w:rPr>
  </w:style>
  <w:style w:type="paragraph" w:customStyle="1" w:styleId="15">
    <w:name w:val="公文标题"/>
    <w:next w:val="1"/>
    <w:qFormat/>
    <w:uiPriority w:val="0"/>
    <w:pPr>
      <w:overflowPunct w:val="0"/>
      <w:autoSpaceDE w:val="0"/>
      <w:autoSpaceDN w:val="0"/>
      <w:jc w:val="center"/>
    </w:pPr>
    <w:rPr>
      <w:rFonts w:ascii="Arial" w:hAnsi="Arial" w:eastAsia="黑体" w:cs="Times New Roman"/>
      <w:spacing w:val="-10"/>
      <w:sz w:val="44"/>
      <w:szCs w:val="20"/>
      <w:lang w:val="en-US" w:eastAsia="zh-CN" w:bidi="ar-SA"/>
    </w:rPr>
  </w:style>
  <w:style w:type="paragraph" w:customStyle="1" w:styleId="16">
    <w:name w:val="p0"/>
    <w:basedOn w:val="1"/>
    <w:qFormat/>
    <w:uiPriority w:val="0"/>
    <w:pPr>
      <w:widowControl/>
    </w:pPr>
    <w:rPr>
      <w:rFonts w:ascii="Times New Roman" w:hAnsi="Times New Roman" w:eastAsia="宋体" w:cs="Times New Roman"/>
      <w:kern w:val="0"/>
      <w:sz w:val="21"/>
      <w:szCs w:val="21"/>
      <w:lang w:bidi="ar-SA"/>
    </w:rPr>
  </w:style>
  <w:style w:type="paragraph" w:customStyle="1" w:styleId="17">
    <w:name w:val=" Char Char Char Char"/>
    <w:basedOn w:val="1"/>
    <w:qFormat/>
    <w:uiPriority w:val="0"/>
    <w:pPr>
      <w:spacing w:line="360" w:lineRule="auto"/>
      <w:ind w:firstLine="200" w:firstLineChars="200"/>
    </w:pPr>
    <w:rPr>
      <w:rFonts w:ascii="Times New Roman" w:hAnsi="Times New Roman" w:eastAsia="宋体" w:cs="Times New Roman"/>
      <w:sz w:val="21"/>
      <w:szCs w:val="20"/>
      <w:lang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ll</Company>
  <Pages>4</Pages>
  <Words>1448</Words>
  <Characters>1528</Characters>
  <TotalTime>1</TotalTime>
  <ScaleCrop>false</ScaleCrop>
  <LinksUpToDate>false</LinksUpToDate>
  <CharactersWithSpaces>1528</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协同数据模板类</cp:category>
  <dcterms:created xsi:type="dcterms:W3CDTF">2013-11-01T17:54:00Z</dcterms:created>
  <dc:creator>CDS-EPG</dc:creator>
  <cp:keywords>CDS-GBQD-T03</cp:keywords>
  <cp:lastModifiedBy>何啸</cp:lastModifiedBy>
  <cp:lastPrinted>2026-01-09T01:53:00Z</cp:lastPrinted>
  <dcterms:modified xsi:type="dcterms:W3CDTF">2026-01-14T09:29:08Z</dcterms:modified>
  <dc:subject>协同数据管理制度</dc:subject>
  <dc:title>协同文本文档[章格式]</dc:title>
  <cp:revision>777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
    <vt:lpwstr>2052-12.1.0.15712</vt:lpwstr>
  </property>
  <property fmtid="{D5CDD505-2E9C-101B-9397-08002B2CF9AE}" pid="3" name="KSOProductBuildVer">
    <vt:lpwstr>2052-12.1.0.24657</vt:lpwstr>
  </property>
  <property fmtid="{D5CDD505-2E9C-101B-9397-08002B2CF9AE}" pid="4" name="KSOTemplateDocerSaveRecord">
    <vt:lpwstr>eyJoZGlkIjoiM2RkNmRhMTc5ZGEzYThiMDBhN2Y0NDY0Mzc0NzM2MjMiLCJ1c2VySWQiOiIzODgxMzU3OTIifQ==</vt:lpwstr>
  </property>
  <property fmtid="{D5CDD505-2E9C-101B-9397-08002B2CF9AE}" pid="5" name="ICV">
    <vt:lpwstr>6F9FA93887E74C46A5138F2AFE365FFE_13</vt:lpwstr>
  </property>
</Properties>
</file>