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40" w:lineRule="auto"/>
        <w:ind w:firstLine="0" w:firstLineChars="0"/>
        <w:jc w:val="center"/>
        <w:rPr>
          <w:rFonts w:ascii="黑体" w:eastAsia="黑体"/>
          <w:sz w:val="44"/>
          <w:szCs w:val="44"/>
        </w:rPr>
      </w:pPr>
      <w:bookmarkStart w:id="0" w:name="_Hlk25242788"/>
      <w:r>
        <w:rPr>
          <w:rFonts w:hint="eastAsia" w:ascii="黑体" w:eastAsia="黑体"/>
          <w:sz w:val="44"/>
          <w:szCs w:val="44"/>
          <w:lang w:eastAsia="zh-CN"/>
        </w:rPr>
        <w:t>《</w:t>
      </w:r>
      <w:r>
        <w:rPr>
          <w:rFonts w:ascii="黑体" w:eastAsia="黑体"/>
          <w:sz w:val="44"/>
          <w:szCs w:val="44"/>
        </w:rPr>
        <w:t>贵州省</w:t>
      </w:r>
      <w:r>
        <w:rPr>
          <w:rFonts w:hint="eastAsia" w:ascii="黑体" w:eastAsia="黑体"/>
          <w:sz w:val="44"/>
          <w:szCs w:val="44"/>
        </w:rPr>
        <w:t>“</w:t>
      </w:r>
      <w:r>
        <w:rPr>
          <w:rFonts w:ascii="黑体" w:eastAsia="黑体"/>
          <w:sz w:val="44"/>
          <w:szCs w:val="44"/>
        </w:rPr>
        <w:t>十四五</w:t>
      </w:r>
      <w:r>
        <w:rPr>
          <w:rFonts w:hint="eastAsia" w:ascii="黑体" w:eastAsia="黑体"/>
          <w:sz w:val="44"/>
          <w:szCs w:val="44"/>
        </w:rPr>
        <w:t>”</w:t>
      </w:r>
      <w:r>
        <w:rPr>
          <w:rFonts w:ascii="黑体" w:eastAsia="黑体"/>
          <w:sz w:val="44"/>
          <w:szCs w:val="44"/>
        </w:rPr>
        <w:t>公路养护管理</w:t>
      </w:r>
    </w:p>
    <w:p>
      <w:pPr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ascii="黑体" w:eastAsia="黑体"/>
          <w:sz w:val="44"/>
          <w:szCs w:val="44"/>
        </w:rPr>
        <w:t>发展规划</w:t>
      </w:r>
      <w:bookmarkEnd w:id="0"/>
      <w:r>
        <w:rPr>
          <w:rFonts w:hint="eastAsia" w:ascii="黑体" w:eastAsia="黑体"/>
          <w:sz w:val="44"/>
          <w:szCs w:val="44"/>
          <w:lang w:eastAsia="zh-CN"/>
        </w:rPr>
        <w:t>》政策</w:t>
      </w:r>
      <w:r>
        <w:rPr>
          <w:rFonts w:hint="eastAsia" w:ascii="黑体" w:eastAsia="黑体"/>
          <w:sz w:val="44"/>
          <w:szCs w:val="44"/>
          <w:lang w:val="en-US" w:eastAsia="zh-CN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cs="华文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" w:cs="仿宋_GB2312"/>
          <w:sz w:val="32"/>
          <w:szCs w:val="30"/>
          <w:lang w:eastAsia="zh-CN"/>
        </w:rPr>
        <w:t>为</w:t>
      </w:r>
      <w:r>
        <w:rPr>
          <w:rFonts w:hint="eastAsia" w:ascii="仿宋_GB2312" w:hAnsi="仿宋" w:cs="仿宋_GB2312"/>
          <w:sz w:val="32"/>
          <w:szCs w:val="30"/>
        </w:rPr>
        <w:t>全面加强</w:t>
      </w:r>
      <w:r>
        <w:rPr>
          <w:rFonts w:hint="eastAsia" w:ascii="仿宋_GB2312" w:hAnsi="仿宋" w:cs="仿宋_GB2312"/>
          <w:sz w:val="32"/>
          <w:szCs w:val="30"/>
          <w:lang w:eastAsia="zh-CN"/>
        </w:rPr>
        <w:t>我省</w:t>
      </w:r>
      <w:r>
        <w:rPr>
          <w:rFonts w:hint="eastAsia" w:ascii="仿宋_GB2312" w:hAnsi="仿宋" w:cs="仿宋_GB2312"/>
          <w:sz w:val="32"/>
          <w:szCs w:val="30"/>
        </w:rPr>
        <w:t>公路养护管理工作</w:t>
      </w:r>
      <w:r>
        <w:rPr>
          <w:rFonts w:ascii="仿宋_GB2312" w:hAnsi="仿宋" w:cs="仿宋_GB2312"/>
          <w:sz w:val="32"/>
          <w:szCs w:val="30"/>
        </w:rPr>
        <w:t>，</w:t>
      </w:r>
      <w:r>
        <w:rPr>
          <w:rFonts w:hint="eastAsia" w:ascii="仿宋_GB2312" w:hAnsi="仿宋" w:cs="仿宋_GB2312"/>
          <w:sz w:val="32"/>
          <w:szCs w:val="30"/>
        </w:rPr>
        <w:t>推动公路养护从保障基本运维向更加注重质量效益转变，从注重专项集中攻关向更加注重全面系统完善转变，从依靠传统要素驱动向更加注重创新驱动转变，明显提高</w:t>
      </w:r>
      <w:r>
        <w:rPr>
          <w:rFonts w:hint="eastAsia" w:ascii="仿宋_GB2312" w:hAnsi="仿宋" w:cs="仿宋_GB2312"/>
          <w:sz w:val="32"/>
          <w:szCs w:val="30"/>
          <w:lang w:eastAsia="zh-CN"/>
        </w:rPr>
        <w:t>我省</w:t>
      </w:r>
      <w:r>
        <w:rPr>
          <w:rFonts w:hint="eastAsia" w:ascii="仿宋_GB2312" w:hAnsi="仿宋" w:cs="仿宋_GB2312"/>
          <w:sz w:val="32"/>
          <w:szCs w:val="30"/>
        </w:rPr>
        <w:t>公路养护管理事业可持续发展能力，</w:t>
      </w:r>
      <w:r>
        <w:rPr>
          <w:rFonts w:hint="eastAsia" w:ascii="仿宋_GB2312" w:cs="华文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省</w:t>
      </w:r>
      <w:r>
        <w:rPr>
          <w:rFonts w:hint="eastAsia" w:ascii="仿宋_GB2312" w:cs="华文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交通运输厅</w:t>
      </w:r>
      <w:r>
        <w:rPr>
          <w:rFonts w:hint="eastAsia" w:ascii="仿宋_GB2312" w:cs="华文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印发了《“十四五”公路养护管理发展规划》（以下简称《</w:t>
      </w:r>
      <w:r>
        <w:rPr>
          <w:rFonts w:hint="eastAsia" w:ascii="仿宋_GB2312" w:cs="华文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发展规划</w:t>
      </w:r>
      <w:r>
        <w:rPr>
          <w:rFonts w:hint="eastAsia" w:ascii="仿宋_GB2312" w:cs="华文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》）。现将《</w:t>
      </w:r>
      <w:r>
        <w:rPr>
          <w:rFonts w:hint="eastAsia" w:ascii="仿宋_GB2312" w:cs="华文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发展规划</w:t>
      </w:r>
      <w:r>
        <w:rPr>
          <w:rFonts w:hint="eastAsia" w:ascii="仿宋_GB2312" w:cs="华文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》有关内容解读如下：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eastAsia="CESI黑体-GB2312" w:cs="华文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CESI黑体-GB2312" w:eastAsia="CESI黑体-GB2312" w:cs="微软雅黑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一、</w:t>
      </w:r>
      <w:r>
        <w:rPr>
          <w:rStyle w:val="7"/>
          <w:rFonts w:hint="eastAsia" w:ascii="CESI黑体-GB2312" w:eastAsia="CESI黑体-GB2312" w:cs="微软雅黑"/>
          <w:b w:val="0"/>
          <w:color w:val="000000"/>
          <w:sz w:val="32"/>
          <w:szCs w:val="32"/>
          <w:shd w:val="clear" w:color="auto" w:fill="FFFFFF"/>
          <w:lang w:eastAsia="zh-CN"/>
        </w:rPr>
        <w:t>出台背景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 w:cs="微软雅黑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cs="仿宋_GB2312"/>
          <w:sz w:val="32"/>
          <w:szCs w:val="32"/>
        </w:rPr>
        <w:t>“十三五”期是全面建成小康社会的决胜时期，也是全面建设“四个交通”的战略机遇期。经过全省交通人的努力，如今贵州万桥飞驾、天堑变通途，贵州作为西南重要陆路交通枢纽的地位日益巩固，交通区位优势日益凸显。全省公路养护管理工作不断加强，保持了公路基础设施良好技术状况，保障了路网整体效能发挥，为经济社会发展和保障人民群众、货物运输安全便捷出行提供了高水平服务，为交通强国建设和实现“两个</w:t>
      </w:r>
      <w:r>
        <w:rPr>
          <w:rFonts w:hint="eastAsia" w:ascii="仿宋_GB2312" w:cs="仿宋_GB2312"/>
          <w:sz w:val="32"/>
          <w:szCs w:val="32"/>
          <w:lang w:eastAsia="zh-CN"/>
        </w:rPr>
        <w:t>一</w:t>
      </w:r>
      <w:bookmarkStart w:id="3" w:name="_GoBack"/>
      <w:bookmarkEnd w:id="3"/>
      <w:r>
        <w:rPr>
          <w:rFonts w:hint="eastAsia" w:ascii="仿宋_GB2312" w:cs="仿宋_GB2312"/>
          <w:sz w:val="32"/>
          <w:szCs w:val="32"/>
        </w:rPr>
        <w:t>百年奋斗目标”奠定了良好基础。</w:t>
      </w:r>
      <w:r>
        <w:rPr>
          <w:rFonts w:hint="eastAsia" w:ascii="仿宋_GB2312" w:cs="微软雅黑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进入“十四五”期，</w:t>
      </w:r>
      <w:r>
        <w:rPr>
          <w:rFonts w:hint="eastAsia" w:ascii="仿宋_GB2312" w:cs="仿宋_GB2312"/>
          <w:sz w:val="32"/>
          <w:szCs w:val="32"/>
        </w:rPr>
        <w:t>围绕建设交通强国和综合立体交通网，以贵州交通运输发展由“基本适应”向“提质增效”、由“大”向“强”转变为目标</w:t>
      </w:r>
      <w:r>
        <w:rPr>
          <w:rFonts w:ascii="仿宋_GB2312" w:cs="仿宋_GB2312"/>
          <w:sz w:val="32"/>
          <w:szCs w:val="32"/>
        </w:rPr>
        <w:t>，</w:t>
      </w:r>
      <w:r>
        <w:rPr>
          <w:rFonts w:hint="eastAsia" w:ascii="仿宋_GB2312" w:cs="仿宋_GB2312"/>
          <w:sz w:val="32"/>
          <w:szCs w:val="32"/>
        </w:rPr>
        <w:t>为切实加强行业改革创新、全面提升治理能力，</w:t>
      </w:r>
      <w:r>
        <w:rPr>
          <w:rFonts w:ascii="仿宋_GB2312" w:cs="仿宋_GB2312"/>
          <w:sz w:val="32"/>
          <w:szCs w:val="32"/>
        </w:rPr>
        <w:t>构建</w:t>
      </w:r>
      <w:r>
        <w:rPr>
          <w:rFonts w:hint="eastAsia" w:ascii="仿宋_GB2312" w:cs="仿宋_GB2312"/>
          <w:sz w:val="32"/>
          <w:szCs w:val="32"/>
        </w:rPr>
        <w:t>建设好、管理好、养护好、运营好</w:t>
      </w:r>
      <w:r>
        <w:rPr>
          <w:rFonts w:hint="eastAsia" w:ascii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cs="仿宋_GB2312"/>
          <w:sz w:val="32"/>
          <w:szCs w:val="32"/>
        </w:rPr>
        <w:t>现代化公路体系，</w:t>
      </w:r>
      <w:r>
        <w:rPr>
          <w:rFonts w:hint="eastAsia" w:ascii="仿宋_GB2312" w:cs="微软雅黑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特制定本《</w:t>
      </w:r>
      <w:r>
        <w:rPr>
          <w:rFonts w:hint="eastAsia" w:ascii="仿宋_GB2312" w:cs="华文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发展规划</w:t>
      </w:r>
      <w:r>
        <w:rPr>
          <w:rFonts w:hint="eastAsia" w:ascii="仿宋_GB2312" w:cs="微软雅黑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》。</w:t>
      </w:r>
      <w:r>
        <w:rPr>
          <w:rFonts w:hint="eastAsia" w:ascii="仿宋_GB2312" w:cs="微软雅黑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Style w:val="7"/>
          <w:rFonts w:hint="eastAsia" w:ascii="CESI黑体-GB2312" w:eastAsia="CESI黑体-GB2312" w:cs="微软雅黑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CESI黑体-GB2312" w:eastAsia="CESI黑体-GB2312" w:cs="微软雅黑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二、主要思路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cs="仿宋_GB2312"/>
          <w:sz w:val="32"/>
          <w:szCs w:val="30"/>
        </w:rPr>
      </w:pPr>
      <w:r>
        <w:rPr>
          <w:rFonts w:hint="eastAsia" w:ascii="仿宋_GB2312" w:cs="仿宋_GB2312"/>
          <w:sz w:val="32"/>
          <w:szCs w:val="30"/>
        </w:rPr>
        <w:t>以习近平新时代中国特色社会主义思想为指导，</w:t>
      </w:r>
      <w:r>
        <w:rPr>
          <w:rFonts w:ascii="仿宋_GB2312" w:cs="仿宋_GB2312"/>
          <w:sz w:val="32"/>
          <w:szCs w:val="30"/>
        </w:rPr>
        <w:t>深入贯彻</w:t>
      </w:r>
      <w:r>
        <w:rPr>
          <w:rFonts w:hint="eastAsia" w:ascii="仿宋_GB2312" w:cs="仿宋_GB2312"/>
          <w:sz w:val="32"/>
          <w:szCs w:val="30"/>
        </w:rPr>
        <w:t>习近平总书记对贵州、对交通运输工作的重要指示精神</w:t>
      </w:r>
      <w:r>
        <w:rPr>
          <w:rFonts w:ascii="仿宋_GB2312" w:cs="仿宋_GB2312"/>
          <w:sz w:val="32"/>
          <w:szCs w:val="30"/>
        </w:rPr>
        <w:t>，</w:t>
      </w:r>
      <w:r>
        <w:rPr>
          <w:rFonts w:hint="eastAsia" w:ascii="仿宋_GB2312" w:cs="仿宋_GB2312"/>
          <w:sz w:val="32"/>
          <w:szCs w:val="30"/>
        </w:rPr>
        <w:t>以构建现代养护管理体系为引领，坚持以人民为中心、坚持服务大局，立足新发展格局，以推动高质量发展为主题，紧扣实施乡村振兴、大数据、大生态等大战略行动，聚焦人本化、规范化、智能化管理服务和专业化、市场化、绿色化养护，全面加强公路养护管理工作</w:t>
      </w:r>
      <w:r>
        <w:rPr>
          <w:rFonts w:ascii="仿宋_GB2312" w:cs="仿宋_GB2312"/>
          <w:sz w:val="32"/>
          <w:szCs w:val="30"/>
        </w:rPr>
        <w:t>，</w:t>
      </w:r>
      <w:r>
        <w:rPr>
          <w:rFonts w:hint="eastAsia" w:ascii="仿宋_GB2312" w:cs="仿宋_GB2312"/>
          <w:sz w:val="32"/>
          <w:szCs w:val="30"/>
        </w:rPr>
        <w:t>建成长效稳定的保障体系、智慧高效的管理体系、安全可靠的设施体系、覆盖充分的循环再利用体系和绿色先进的技术体系</w:t>
      </w:r>
      <w:r>
        <w:rPr>
          <w:rFonts w:ascii="仿宋_GB2312" w:cs="仿宋_GB2312"/>
          <w:sz w:val="32"/>
          <w:szCs w:val="30"/>
        </w:rPr>
        <w:t>，</w:t>
      </w:r>
      <w:r>
        <w:rPr>
          <w:rFonts w:hint="eastAsia" w:ascii="仿宋_GB2312" w:cs="仿宋_GB2312"/>
          <w:sz w:val="32"/>
          <w:szCs w:val="30"/>
        </w:rPr>
        <w:t>形成职责清晰、运行顺畅、技术提升、法治规范、科学高效、绿色低碳、公众满意的公路养护管理体系，为我省经济社会发展和人民群众安全便捷出行提供有力支撑。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Style w:val="7"/>
          <w:rFonts w:hint="eastAsia" w:ascii="CESI黑体-GB2312" w:eastAsia="CESI黑体-GB2312" w:cs="微软雅黑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CESI黑体-GB2312" w:eastAsia="CESI黑体-GB2312" w:cs="微软雅黑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三、目标要求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根据交通运输部《“十四五”公路养护管理发展纲要》和省交通运输厅《贵州省“十四五”交通运输发展规划》等文件精神，综合确定了</w:t>
      </w:r>
      <w:r>
        <w:rPr>
          <w:rFonts w:hint="eastAsia" w:ascii="仿宋_GB2312" w:hAnsi="仿宋" w:cs="仿宋_GB2312"/>
          <w:sz w:val="32"/>
          <w:szCs w:val="30"/>
        </w:rPr>
        <w:t>公路养护</w:t>
      </w:r>
      <w:r>
        <w:rPr>
          <w:rFonts w:hint="eastAsia" w:ascii="仿宋_GB2312" w:cs="仿宋_GB2312"/>
          <w:sz w:val="32"/>
          <w:szCs w:val="32"/>
        </w:rPr>
        <w:t>“十四五”末主要指标。到2025年，高速公路总体技术状况（MQI）优等路率大于90%，路面使用性能指数（PQI）优等路率大于88%；普通国道MQI优良路率大于80%，PQI优良路率大于72%；普通省道MQI优良路率大于72%，PQI优良路率大于70%；农村公路MQI优良中等路率大于85%；</w:t>
      </w:r>
      <w:r>
        <w:rPr>
          <w:rFonts w:hint="eastAsia" w:ascii="仿宋_GB2312" w:cs="仿宋_GB2312"/>
          <w:kern w:val="0"/>
          <w:sz w:val="32"/>
          <w:szCs w:val="32"/>
          <w:lang w:bidi="ar-SA"/>
        </w:rPr>
        <w:t>一、二类桥梁比例</w:t>
      </w:r>
      <w:r>
        <w:rPr>
          <w:rFonts w:hint="eastAsia" w:ascii="仿宋_GB2312" w:cs="仿宋_GB2312"/>
          <w:sz w:val="32"/>
          <w:szCs w:val="32"/>
        </w:rPr>
        <w:t>大于</w:t>
      </w:r>
      <w:r>
        <w:rPr>
          <w:rFonts w:hint="eastAsia" w:ascii="仿宋_GB2312" w:cs="仿宋_GB2312"/>
          <w:kern w:val="0"/>
          <w:sz w:val="32"/>
          <w:szCs w:val="32"/>
          <w:lang w:bidi="ar-SA"/>
        </w:rPr>
        <w:t>95%；</w:t>
      </w:r>
      <w:r>
        <w:rPr>
          <w:rFonts w:hint="eastAsia" w:ascii="仿宋_GB2312" w:cs="仿宋_GB2312"/>
          <w:sz w:val="32"/>
          <w:szCs w:val="32"/>
        </w:rPr>
        <w:t>高速公路视频监测设施覆盖率大于80%，接入率和在线率大于95%；普通国省干线公路重要节点视频监测设施覆盖率达到100%，接入率和在线率不低于90%；自动化交调站在线率大于90%，省级云平台建设及部省联网率达到100%。公路服务区服务质量达标率达到100%，无障碍、垃圾分类设施覆盖率90%，力争实现运营高速公路服务区充电桩覆盖率100%；大力发展绿色循环低碳养护技术，促进绿色技术应用</w:t>
      </w:r>
      <w:r>
        <w:rPr>
          <w:rFonts w:hint="eastAsia" w:asci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cs="仿宋_GB2312"/>
          <w:sz w:val="32"/>
          <w:szCs w:val="32"/>
        </w:rPr>
        <w:t>加快提升全省公路养护循环再利用规范化、标准化、技术化、高效化、信息化发展水平，高速公路、普通国省道沥青路面材料循环利用率分别达到95%、80%以上，在全省形成布局合理、层次分明、功能齐全、设施完善的绿色养护基地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Style w:val="7"/>
          <w:rFonts w:hint="eastAsia" w:ascii="CESI黑体-GB2312" w:eastAsia="CESI黑体-GB2312" w:cs="微软雅黑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CESI黑体-GB2312" w:eastAsia="CESI黑体-GB2312" w:cs="微软雅黑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四、工作任务</w:t>
      </w:r>
    </w:p>
    <w:p>
      <w:pPr>
        <w:pStyle w:val="8"/>
        <w:numPr>
          <w:ilvl w:val="0"/>
          <w:numId w:val="0"/>
        </w:numPr>
        <w:adjustRightInd/>
        <w:snapToGrid/>
        <w:spacing w:before="0" w:after="0" w:line="560" w:lineRule="exact"/>
        <w:ind w:left="0" w:firstLine="640" w:firstLineChars="200"/>
        <w:rPr>
          <w:rFonts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  <w:lang w:val="en-US"/>
        </w:rPr>
        <w:t>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发展规划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》中公路养护管理共提出了</w:t>
      </w:r>
      <w:r>
        <w:rPr>
          <w:rFonts w:ascii="仿宋_GB2312" w:eastAsia="仿宋_GB2312" w:cs="仿宋_GB2312"/>
          <w:sz w:val="32"/>
          <w:szCs w:val="32"/>
          <w:lang w:val="en-US"/>
        </w:rPr>
        <w:t>5</w:t>
      </w:r>
      <w:bookmarkStart w:id="1" w:name="_Toc25200"/>
      <w:bookmarkStart w:id="2" w:name="_Toc95482737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大重点任务，27项具体工作</w:t>
      </w:r>
      <w:r>
        <w:rPr>
          <w:rFonts w:ascii="仿宋_GB2312" w:eastAsia="仿宋_GB2312" w:cs="仿宋_GB2312"/>
          <w:sz w:val="32"/>
          <w:szCs w:val="32"/>
          <w:lang w:val="en-US"/>
        </w:rPr>
        <w:t>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/>
        </w:rPr>
        <w:t>构建数字化的设施体系。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提升养护管理信息化、智能化水平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构建贵州省公路长大桥梁结构健康监测系统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完善国省干线监测预警体系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提升路政管理信息化水平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用新基建赋能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推动智慧公路建设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二是构建专业化的养护体系。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强化养护科学决策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进一步提高公路养护市场化水平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提升公路技术状况水平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推进路网升级改造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加大新技术引导、推广、评估力度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提升养护作业的机械化、标准化、高效化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进一步推进养护科技人才队伍建设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三是构建现代化的管理体系。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深化改革理顺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机制，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推进标准化建设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加强公路养护资金管理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实施公路危旧桥梁改造行动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强化公路隧道养护管理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推动大件运输全过程监管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四是构建高效化的运行体系。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优化完善收费公路政策制度与联网运营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/>
        </w:rPr>
        <w:t>建立多元化出行信息服务网络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/>
        </w:rPr>
        <w:t>赋能ETC发展及门架应用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/>
        </w:rPr>
        <w:t>强化路网疏堵保畅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五是构建优质化的服务体系。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/>
        </w:rPr>
        <w:t>加大“畅安舒美”公路创建力度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/>
        </w:rPr>
        <w:t>打造贵州公路行业发展品牌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/>
        </w:rPr>
        <w:t>完善基础服务设施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/>
        </w:rPr>
        <w:t>建立健全公路行业公众服务及评价体系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。工作任务中也提出了具体目标、举措以及明确有关责任单位，各有关单位要高度重视公路养护管理工作，切实落实相关要求，实现提升目标。</w:t>
      </w:r>
    </w:p>
    <w:bookmarkEnd w:id="1"/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ascii="CESI黑体-GB2312" w:eastAsia="CESI黑体-GB2312" w:cs="微软雅黑"/>
          <w:b w:val="0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CESI黑体-GB2312" w:eastAsia="CESI黑体-GB2312" w:cs="微软雅黑"/>
          <w:b w:val="0"/>
          <w:color w:val="000000"/>
          <w:sz w:val="32"/>
          <w:szCs w:val="32"/>
          <w:shd w:val="clear" w:color="auto" w:fill="FFFFFF"/>
        </w:rPr>
        <w:t>五、保障措施</w:t>
      </w:r>
      <w:r>
        <w:rPr>
          <w:rStyle w:val="7"/>
          <w:rFonts w:ascii="CESI黑体-GB2312" w:eastAsia="CESI黑体-GB2312" w:cs="微软雅黑"/>
          <w:b w:val="0"/>
          <w:color w:val="000000"/>
          <w:sz w:val="32"/>
          <w:szCs w:val="32"/>
          <w:shd w:val="clear" w:color="auto" w:fill="FFFFFF"/>
        </w:rPr>
        <w:pgNum/>
      </w:r>
      <w:r>
        <w:rPr>
          <w:rStyle w:val="7"/>
          <w:rFonts w:ascii="CESI黑体-GB2312" w:eastAsia="CESI黑体-GB2312" w:cs="微软雅黑"/>
          <w:b w:val="0"/>
          <w:color w:val="000000"/>
          <w:sz w:val="32"/>
          <w:szCs w:val="32"/>
          <w:shd w:val="clear" w:color="auto" w:fill="FFFFFF"/>
        </w:rPr>
        <w:pgNum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cs="仿宋_GB2312"/>
          <w:b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《行动方案》提出了4项保障措施：</w:t>
      </w:r>
      <w:r>
        <w:rPr>
          <w:rFonts w:hint="eastAsia" w:ascii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/>
        </w:rPr>
        <w:t>加强组织领导。</w:t>
      </w:r>
      <w:r>
        <w:rPr>
          <w:rFonts w:hint="eastAsia" w:ascii="仿宋_GB2312" w:eastAsia="仿宋_GB2312" w:cs="仿宋_GB2312"/>
          <w:b w:val="0"/>
          <w:sz w:val="32"/>
          <w:szCs w:val="32"/>
        </w:rPr>
        <w:t>全面加强党的领导，</w:t>
      </w:r>
      <w:r>
        <w:rPr>
          <w:rFonts w:hint="eastAsia" w:ascii="仿宋_GB2312" w:cs="仿宋_GB2312"/>
          <w:b w:val="0"/>
          <w:sz w:val="32"/>
          <w:szCs w:val="32"/>
          <w:lang w:eastAsia="zh-CN"/>
        </w:rPr>
        <w:t>深入</w:t>
      </w:r>
      <w:r>
        <w:rPr>
          <w:rFonts w:hint="eastAsia" w:ascii="仿宋_GB2312" w:eastAsia="仿宋_GB2312" w:cs="仿宋_GB2312"/>
          <w:b w:val="0"/>
          <w:sz w:val="32"/>
          <w:szCs w:val="32"/>
        </w:rPr>
        <w:t>贯彻国家、交通运输部对公路工作的有关要求。</w:t>
      </w:r>
      <w:r>
        <w:rPr>
          <w:rFonts w:hint="eastAsia" w:ascii="仿宋_GB2312" w:hAnsi="仿宋" w:cs="仿宋_GB2312"/>
          <w:sz w:val="32"/>
          <w:szCs w:val="30"/>
        </w:rPr>
        <w:t>完善各级主管部门分工协作机制，构建各地各级交通运输主管部门、企业共同参与的跨部门、跨区域的协作联动管理机制，层层分解任务并落实责任，确保公路养护管理工作的有序推进。</w:t>
      </w:r>
      <w:r>
        <w:rPr>
          <w:rFonts w:hint="eastAsia" w:ascii="仿宋_GB2312" w:hAnsi="仿宋" w:cs="仿宋_GB2312"/>
          <w:b/>
          <w:bCs/>
          <w:sz w:val="32"/>
          <w:szCs w:val="30"/>
          <w:lang w:eastAsia="zh-CN"/>
        </w:rPr>
        <w:t>二是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/>
        </w:rPr>
        <w:t>强化责任落实。</w:t>
      </w:r>
      <w:r>
        <w:rPr>
          <w:rFonts w:hint="eastAsia" w:ascii="仿宋_GB2312" w:hAnsi="仿宋" w:cs="仿宋_GB2312"/>
          <w:sz w:val="32"/>
          <w:szCs w:val="30"/>
        </w:rPr>
        <w:t>建立部门权责清单</w:t>
      </w:r>
      <w:r>
        <w:rPr>
          <w:rFonts w:hint="eastAsia" w:ascii="仿宋_GB2312" w:hAnsi="仿宋" w:cs="仿宋_GB2312"/>
          <w:sz w:val="32"/>
          <w:szCs w:val="30"/>
          <w:lang w:eastAsia="zh-CN"/>
        </w:rPr>
        <w:t>，</w:t>
      </w:r>
      <w:r>
        <w:rPr>
          <w:rFonts w:hint="eastAsia" w:ascii="仿宋_GB2312" w:hAnsi="仿宋" w:cs="仿宋_GB2312"/>
          <w:sz w:val="32"/>
          <w:szCs w:val="30"/>
        </w:rPr>
        <w:t>完善合作机制，</w:t>
      </w:r>
      <w:r>
        <w:rPr>
          <w:rFonts w:hint="eastAsia" w:ascii="仿宋_GB2312" w:eastAsia="仿宋_GB2312" w:cs="仿宋_GB2312"/>
          <w:b w:val="0"/>
          <w:sz w:val="32"/>
          <w:szCs w:val="32"/>
        </w:rPr>
        <w:t>将公路基础设施全生命周期管理理念贯穿交通运输发展全过程，建立分层次的目标责任考核和奖惩问责机制，</w:t>
      </w:r>
      <w:r>
        <w:rPr>
          <w:rFonts w:hint="eastAsia" w:ascii="仿宋_GB2312" w:hAnsi="仿宋" w:cs="仿宋_GB2312"/>
          <w:sz w:val="32"/>
          <w:szCs w:val="30"/>
        </w:rPr>
        <w:t>强化要素保障，为规划实施创造良好条件。</w:t>
      </w:r>
      <w:r>
        <w:rPr>
          <w:rFonts w:hint="eastAsia" w:ascii="仿宋_GB2312" w:hAnsi="仿宋" w:cs="仿宋_GB2312"/>
          <w:b/>
          <w:bCs/>
          <w:sz w:val="32"/>
          <w:szCs w:val="30"/>
          <w:lang w:eastAsia="zh-CN"/>
        </w:rPr>
        <w:t>三是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/>
        </w:rPr>
        <w:t>落实资金保障。</w:t>
      </w:r>
      <w:r>
        <w:rPr>
          <w:rFonts w:hint="eastAsia" w:ascii="仿宋_GB2312" w:eastAsia="仿宋_GB2312" w:cs="仿宋_GB2312"/>
          <w:b w:val="0"/>
          <w:sz w:val="32"/>
          <w:szCs w:val="32"/>
        </w:rPr>
        <w:t>充分利用好国家重大战略带来的发展机遇</w:t>
      </w:r>
      <w:r>
        <w:rPr>
          <w:rFonts w:ascii="仿宋_GB2312" w:eastAsia="仿宋_GB2312" w:cs="仿宋_GB2312"/>
          <w:b w:val="0"/>
          <w:sz w:val="32"/>
          <w:szCs w:val="32"/>
        </w:rPr>
        <w:t>，</w:t>
      </w:r>
      <w:r>
        <w:rPr>
          <w:rFonts w:hint="eastAsia" w:ascii="仿宋_GB2312" w:eastAsia="仿宋_GB2312" w:cs="仿宋_GB2312"/>
          <w:b w:val="0"/>
          <w:sz w:val="32"/>
          <w:szCs w:val="32"/>
        </w:rPr>
        <w:t>用好省内已出台的公路交通建设各项优惠政策</w:t>
      </w:r>
      <w:r>
        <w:rPr>
          <w:rFonts w:ascii="仿宋_GB2312" w:eastAsia="仿宋_GB2312" w:cs="仿宋_GB2312"/>
          <w:b w:val="0"/>
          <w:sz w:val="32"/>
          <w:szCs w:val="32"/>
        </w:rPr>
        <w:t>，</w:t>
      </w:r>
      <w:r>
        <w:rPr>
          <w:rFonts w:hint="eastAsia" w:ascii="仿宋_GB2312" w:eastAsia="仿宋_GB2312" w:cs="仿宋_GB2312"/>
          <w:b w:val="0"/>
          <w:sz w:val="32"/>
          <w:szCs w:val="32"/>
        </w:rPr>
        <w:t>用</w:t>
      </w:r>
      <w:r>
        <w:rPr>
          <w:rFonts w:hint="eastAsia" w:ascii="仿宋_GB2312" w:cs="仿宋_GB2312"/>
          <w:b w:val="0"/>
          <w:sz w:val="32"/>
          <w:szCs w:val="32"/>
          <w:lang w:val="en-US" w:eastAsia="zh-CN"/>
        </w:rPr>
        <w:t>活</w:t>
      </w:r>
      <w:r>
        <w:rPr>
          <w:rFonts w:hint="eastAsia" w:ascii="仿宋_GB2312" w:eastAsia="仿宋_GB2312" w:cs="仿宋_GB2312"/>
          <w:b w:val="0"/>
          <w:sz w:val="32"/>
          <w:szCs w:val="32"/>
        </w:rPr>
        <w:t>交通产业基金，</w:t>
      </w:r>
      <w:r>
        <w:rPr>
          <w:rFonts w:hint="eastAsia" w:ascii="仿宋_GB2312" w:hAnsi="仿宋" w:cs="仿宋_GB2312"/>
          <w:sz w:val="32"/>
          <w:szCs w:val="30"/>
        </w:rPr>
        <w:t>深化PPP模式研究，积极引导社会资本参与交通建设，</w:t>
      </w:r>
      <w:r>
        <w:rPr>
          <w:rFonts w:hint="eastAsia" w:ascii="仿宋_GB2312" w:eastAsia="仿宋_GB2312" w:cs="仿宋_GB2312"/>
          <w:b w:val="0"/>
          <w:sz w:val="32"/>
          <w:szCs w:val="32"/>
        </w:rPr>
        <w:t>提高交通基础设施管养效率。</w:t>
      </w:r>
      <w:r>
        <w:rPr>
          <w:rFonts w:hint="eastAsia" w:ascii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/>
        </w:rPr>
        <w:t>加强绩效考核。</w:t>
      </w:r>
      <w:r>
        <w:rPr>
          <w:rFonts w:hint="eastAsia" w:ascii="仿宋_GB2312" w:eastAsia="仿宋_GB2312" w:cs="仿宋_GB2312"/>
          <w:b w:val="0"/>
          <w:sz w:val="32"/>
          <w:szCs w:val="32"/>
        </w:rPr>
        <w:t>制定我省公路养护管理绩效评价的相关管理与实施方案，加强日常绩效考核的跟踪督办和评估，鼓励第三方机构介入绩效管理，从而进一步转变政府职能，完善监督机制并提高绩效管理效率。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script"/>
    <w:pitch w:val="default"/>
    <w:sig w:usb0="800002BF" w:usb1="184F6CF8" w:usb2="00000012" w:usb3="00000000" w:csb0="0004000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C8D9D0"/>
    <w:multiLevelType w:val="multilevel"/>
    <w:tmpl w:val="C6C8D9D0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8"/>
      <w:lvlText w:val="%1.%2.%3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730ED6A6"/>
    <w:multiLevelType w:val="multilevel"/>
    <w:tmpl w:val="730ED6A6"/>
    <w:lvl w:ilvl="0" w:tentative="0">
      <w:start w:val="1"/>
      <w:numFmt w:val="decimal"/>
      <w:lvlText w:val="%1"/>
      <w:lvlJc w:val="left"/>
      <w:pPr>
        <w:tabs>
          <w:tab w:val="left" w:pos="0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6814" w:hanging="576"/>
      </w:pPr>
      <w:rPr>
        <w:rFonts w:hint="eastAsia"/>
        <w:color w:val="auto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0"/>
        </w:tabs>
        <w:ind w:left="720" w:hanging="720"/>
      </w:pPr>
      <w:rPr>
        <w:rFonts w:hint="default" w:ascii="黑体" w:hAnsi="黑体" w:eastAsia="黑体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WQ0OWJhZTJhMjc3NjJlOGM1OTFiODFiZTMwYmEyYWUifQ=="/>
  </w:docVars>
  <w:rsids>
    <w:rsidRoot w:val="00000000"/>
    <w:rsid w:val="135D1B55"/>
    <w:rsid w:val="16BF4EBA"/>
    <w:rsid w:val="1BF93B1C"/>
    <w:rsid w:val="3C5D30C8"/>
    <w:rsid w:val="3FBB6E39"/>
    <w:rsid w:val="3FFE45B7"/>
    <w:rsid w:val="47178A2A"/>
    <w:rsid w:val="4EFFCFAB"/>
    <w:rsid w:val="4FF3CBA9"/>
    <w:rsid w:val="5DF56080"/>
    <w:rsid w:val="5EAEE3D7"/>
    <w:rsid w:val="5EFC08C1"/>
    <w:rsid w:val="5FEFDFD9"/>
    <w:rsid w:val="66FFFDD6"/>
    <w:rsid w:val="6F77DDB9"/>
    <w:rsid w:val="6F7F6FDA"/>
    <w:rsid w:val="75FBE16A"/>
    <w:rsid w:val="78E73D5E"/>
    <w:rsid w:val="79557A7D"/>
    <w:rsid w:val="7FADA556"/>
    <w:rsid w:val="7FEF76A7"/>
    <w:rsid w:val="9D9F18D8"/>
    <w:rsid w:val="9F5BB61E"/>
    <w:rsid w:val="AEEAB622"/>
    <w:rsid w:val="BFEE31E5"/>
    <w:rsid w:val="CFBF66B7"/>
    <w:rsid w:val="D3FC1027"/>
    <w:rsid w:val="E2DF885F"/>
    <w:rsid w:val="E5FAB5F5"/>
    <w:rsid w:val="E8FBAB6C"/>
    <w:rsid w:val="EBF7DA2E"/>
    <w:rsid w:val="F0A7325B"/>
    <w:rsid w:val="F49F2C22"/>
    <w:rsid w:val="F97F223D"/>
    <w:rsid w:val="FBFF9AB9"/>
    <w:rsid w:val="FDDF47EB"/>
    <w:rsid w:val="FE9BD602"/>
    <w:rsid w:val="FEFEBD4A"/>
    <w:rsid w:val="FFFC4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 w:firstLineChars="0"/>
      <w:contextualSpacing w:val="0"/>
      <w:jc w:val="left"/>
      <w:textAlignment w:val="auto"/>
      <w:outlineLvl w:val="0"/>
    </w:pPr>
    <w:rPr>
      <w:rFonts w:ascii="宋体" w:eastAsia="宋体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宋体" w:hAnsi="宋体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numPr>
        <w:ilvl w:val="2"/>
        <w:numId w:val="1"/>
      </w:numPr>
      <w:adjustRightInd w:val="0"/>
      <w:snapToGrid w:val="0"/>
      <w:spacing w:before="120" w:after="240" w:line="240" w:lineRule="auto"/>
      <w:ind w:left="0" w:firstLine="200" w:firstLineChars="200"/>
      <w:jc w:val="left"/>
      <w:outlineLvl w:val="2"/>
    </w:pPr>
    <w:rPr>
      <w:rFonts w:ascii="黑体" w:hAnsi="黑体" w:eastAsia="仿宋_GB2312" w:cs="Times New Roman"/>
      <w:b/>
      <w:bCs/>
      <w:kern w:val="2"/>
      <w:sz w:val="24"/>
      <w:szCs w:val="32"/>
      <w:lang w:val="zh-CN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3级标题"/>
    <w:basedOn w:val="1"/>
    <w:qFormat/>
    <w:uiPriority w:val="0"/>
    <w:pPr>
      <w:widowControl w:val="0"/>
      <w:numPr>
        <w:ilvl w:val="2"/>
        <w:numId w:val="2"/>
      </w:numPr>
      <w:adjustRightInd w:val="0"/>
      <w:snapToGrid w:val="0"/>
      <w:spacing w:before="480" w:after="360" w:line="240" w:lineRule="auto"/>
      <w:ind w:left="0" w:firstLine="200" w:firstLineChars="200"/>
      <w:jc w:val="left"/>
      <w:outlineLvl w:val="2"/>
    </w:pPr>
    <w:rPr>
      <w:rFonts w:ascii="Times New Roman" w:hAnsi="Times New Roman" w:eastAsia="黑体" w:cs="Times New Roman"/>
      <w:kern w:val="2"/>
      <w:sz w:val="28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2247</Words>
  <Characters>2325</Characters>
  <Lines>164</Lines>
  <Paragraphs>42</Paragraphs>
  <TotalTime>10</TotalTime>
  <ScaleCrop>false</ScaleCrop>
  <LinksUpToDate>false</LinksUpToDate>
  <CharactersWithSpaces>2326</CharactersWithSpaces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2022-10-03T06:49:00Z</dcterms:created>
  <dc:creator>黔行</dc:creator>
  <cp:lastModifiedBy>黔行</cp:lastModifiedBy>
  <cp:lastPrinted>2022-12-07T16:58:00Z</cp:lastPrinted>
  <dcterms:modified xsi:type="dcterms:W3CDTF">2023-05-15T11:08:17Z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6EC41C56C0854F61BF7BAA087E16B50E</vt:lpwstr>
  </property>
</Properties>
</file>