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1" w:rsidRPr="00564351" w:rsidRDefault="00564351" w:rsidP="00564351">
      <w:pPr>
        <w:snapToGrid w:val="0"/>
        <w:spacing w:line="360" w:lineRule="auto"/>
        <w:jc w:val="center"/>
        <w:rPr>
          <w:rFonts w:ascii="方正小标宋_GBK" w:eastAsia="方正小标宋_GBK" w:hAnsi="华文中宋" w:cs="Times New Roman"/>
          <w:bCs/>
          <w:sz w:val="44"/>
          <w:szCs w:val="36"/>
        </w:rPr>
      </w:pPr>
    </w:p>
    <w:p w:rsidR="00564351" w:rsidRPr="00564351" w:rsidRDefault="00564351" w:rsidP="00564351">
      <w:pPr>
        <w:snapToGrid w:val="0"/>
        <w:spacing w:line="360" w:lineRule="auto"/>
        <w:jc w:val="center"/>
        <w:rPr>
          <w:rFonts w:ascii="方正小标宋_GBK" w:eastAsia="方正小标宋_GBK" w:hAnsi="华文中宋" w:cs="Times New Roman"/>
          <w:bCs/>
          <w:sz w:val="44"/>
          <w:szCs w:val="36"/>
        </w:rPr>
      </w:pPr>
    </w:p>
    <w:p w:rsidR="00564351" w:rsidRPr="00564351" w:rsidRDefault="00564351" w:rsidP="00564351">
      <w:pPr>
        <w:snapToGrid w:val="0"/>
        <w:spacing w:line="360" w:lineRule="auto"/>
        <w:jc w:val="center"/>
        <w:rPr>
          <w:rFonts w:ascii="方正小标宋_GBK" w:eastAsia="方正小标宋_GBK" w:hAnsi="华文中宋" w:cs="Times New Roman"/>
          <w:bCs/>
          <w:sz w:val="44"/>
          <w:szCs w:val="36"/>
        </w:rPr>
      </w:pPr>
      <w:r w:rsidRPr="00564351">
        <w:rPr>
          <w:rFonts w:ascii="方正小标宋_GBK" w:eastAsia="方正小标宋_GBK" w:hAnsi="华文中宋" w:cs="Times New Roman" w:hint="eastAsia"/>
          <w:bCs/>
          <w:sz w:val="44"/>
          <w:szCs w:val="36"/>
        </w:rPr>
        <w:t>2015年</w:t>
      </w:r>
      <w:r w:rsidR="00B46406">
        <w:rPr>
          <w:rFonts w:ascii="方正小标宋_GBK" w:eastAsia="方正小标宋_GBK" w:hAnsi="华文中宋" w:cs="Times New Roman" w:hint="eastAsia"/>
          <w:bCs/>
          <w:sz w:val="44"/>
          <w:szCs w:val="36"/>
        </w:rPr>
        <w:t>贵州</w:t>
      </w:r>
      <w:r w:rsidRPr="00564351">
        <w:rPr>
          <w:rFonts w:ascii="方正小标宋_GBK" w:eastAsia="方正小标宋_GBK" w:hAnsi="华文中宋" w:cs="Times New Roman" w:hint="eastAsia"/>
          <w:bCs/>
          <w:sz w:val="44"/>
          <w:szCs w:val="36"/>
        </w:rPr>
        <w:t>省收费公路统计公报</w:t>
      </w:r>
    </w:p>
    <w:p w:rsidR="00564351" w:rsidRPr="00442184" w:rsidRDefault="00EB0A75" w:rsidP="00564351">
      <w:pPr>
        <w:snapToGrid w:val="0"/>
        <w:spacing w:line="360" w:lineRule="auto"/>
        <w:jc w:val="center"/>
        <w:rPr>
          <w:rFonts w:ascii="仿宋_GB2312" w:eastAsia="仿宋_GB2312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2"/>
          <w:szCs w:val="32"/>
        </w:rPr>
        <w:t>2016年9月19日</w:t>
      </w:r>
      <w:bookmarkStart w:id="0" w:name="_GoBack"/>
      <w:bookmarkEnd w:id="0"/>
    </w:p>
    <w:p w:rsidR="00564351" w:rsidRPr="00564351" w:rsidRDefault="00564351" w:rsidP="0056435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564351">
        <w:rPr>
          <w:rFonts w:ascii="仿宋_GB2312" w:eastAsia="仿宋_GB2312" w:hAnsi="宋体" w:cs="Times New Roman" w:hint="eastAsia"/>
          <w:sz w:val="32"/>
          <w:szCs w:val="32"/>
        </w:rPr>
        <w:t>根据《政府信息公开条例》的有关规定，现将2015年</w:t>
      </w:r>
      <w:r w:rsidR="00B46406">
        <w:rPr>
          <w:rFonts w:ascii="仿宋_GB2312" w:eastAsia="仿宋_GB2312" w:hAnsi="宋体" w:cs="Times New Roman" w:hint="eastAsia"/>
          <w:sz w:val="32"/>
          <w:szCs w:val="32"/>
        </w:rPr>
        <w:t>贵州省</w:t>
      </w:r>
      <w:r w:rsidRPr="00564351">
        <w:rPr>
          <w:rFonts w:ascii="仿宋_GB2312" w:eastAsia="仿宋_GB2312" w:hAnsi="宋体" w:cs="Times New Roman" w:hint="eastAsia"/>
          <w:sz w:val="32"/>
          <w:szCs w:val="32"/>
        </w:rPr>
        <w:t>收费公路统计汇总结果公报如下：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 w:rsidRPr="00564351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一、收费公路总体情况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华文中宋" w:cs="黑体"/>
          <w:b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（一）里程构成情况。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B46406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收费公路里程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5112.4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公里（不含已取消收费公路，下同），占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公路总里程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19万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公里的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2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%。其中，高速公路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5051.1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公里，一级公路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25.6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公里，二级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经营性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公路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35.8</w:t>
      </w:r>
      <w:r w:rsidR="00FF5E27">
        <w:rPr>
          <w:rFonts w:ascii="仿宋_GB2312" w:eastAsia="仿宋_GB2312" w:hAnsi="华文中宋" w:cs="Times New Roman" w:hint="eastAsia"/>
          <w:bCs/>
          <w:sz w:val="32"/>
          <w:szCs w:val="32"/>
        </w:rPr>
        <w:t>公里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分别占收费公路里程的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98.8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0.5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2A251F">
        <w:rPr>
          <w:rFonts w:ascii="仿宋_GB2312" w:eastAsia="仿宋_GB2312" w:hAnsi="华文中宋" w:cs="Times New Roman" w:hint="eastAsia"/>
          <w:bCs/>
          <w:sz w:val="32"/>
          <w:szCs w:val="32"/>
        </w:rPr>
        <w:t>0.7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华文中宋" w:cs="黑体"/>
          <w:b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（二）主线收费站分布。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收费公路共有主线收费站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28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个。其中，高速公路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26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个，一级公路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个，二级公路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1个，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分别占主线收费站数量的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93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3.5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3.5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（三）建设投资情况。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收费公路累计建设投资总额为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3974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亿元。其中，财政性资本金投入为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1020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亿元，非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lastRenderedPageBreak/>
        <w:t>财政性资本金投入</w:t>
      </w:r>
      <w:r w:rsidR="00D93BC5">
        <w:rPr>
          <w:rFonts w:ascii="仿宋_GB2312" w:eastAsia="仿宋_GB2312" w:hAnsi="华文中宋" w:cs="Times New Roman" w:hint="eastAsia"/>
          <w:bCs/>
          <w:sz w:val="32"/>
          <w:szCs w:val="32"/>
        </w:rPr>
        <w:t>283.5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亿元，举借银行贷款本金</w:t>
      </w:r>
      <w:r w:rsidR="00D93BC5">
        <w:rPr>
          <w:rFonts w:ascii="仿宋_GB2312" w:eastAsia="仿宋_GB2312" w:hAnsi="华文中宋" w:cs="Times New Roman" w:hint="eastAsia"/>
          <w:bCs/>
          <w:sz w:val="32"/>
          <w:szCs w:val="32"/>
        </w:rPr>
        <w:t>2245.7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亿元，举借其他债务本金</w:t>
      </w:r>
      <w:r w:rsidR="00D93BC5">
        <w:rPr>
          <w:rFonts w:ascii="仿宋_GB2312" w:eastAsia="仿宋_GB2312" w:hAnsi="华文中宋" w:cs="Times New Roman" w:hint="eastAsia"/>
          <w:bCs/>
          <w:sz w:val="32"/>
          <w:szCs w:val="32"/>
        </w:rPr>
        <w:t>424.8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亿元，分别占收费公路累计建设投资总额的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25.7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7.1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56.5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%和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10.7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（四）年末债务余额。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收费公路债务余额为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2539</w:t>
      </w:r>
      <w:r w:rsidR="00D93BC5">
        <w:rPr>
          <w:rFonts w:ascii="仿宋_GB2312" w:eastAsia="仿宋_GB2312" w:hAnsi="华文中宋" w:cs="Times New Roman" w:hint="eastAsia"/>
          <w:bCs/>
          <w:sz w:val="32"/>
          <w:szCs w:val="32"/>
        </w:rPr>
        <w:t>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亿元，其中银行贷款余额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2095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亿元，其他债务余额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444</w:t>
      </w:r>
      <w:r w:rsidR="00D93BC5">
        <w:rPr>
          <w:rFonts w:ascii="仿宋_GB2312" w:eastAsia="仿宋_GB2312" w:hAnsi="华文中宋" w:cs="Times New Roman" w:hint="eastAsia"/>
          <w:bCs/>
          <w:sz w:val="32"/>
          <w:szCs w:val="32"/>
        </w:rPr>
        <w:t>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亿元，分别占收费公路债务余额的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82.5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%和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17.5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（五）收支情况。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收费公路通行费收入为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110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亿元，支出总额为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211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亿元，通行费收支缺口</w:t>
      </w:r>
      <w:r w:rsidR="006D0CBF">
        <w:rPr>
          <w:rFonts w:ascii="仿宋_GB2312" w:eastAsia="仿宋_GB2312" w:hAnsi="华文中宋" w:cs="Times New Roman" w:hint="eastAsia"/>
          <w:bCs/>
          <w:sz w:val="32"/>
          <w:szCs w:val="32"/>
        </w:rPr>
        <w:t>101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2015年度的收费公路支出中，偿还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债务本金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37.1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亿元（</w:t>
      </w:r>
      <w:proofErr w:type="gramStart"/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含利用</w:t>
      </w:r>
      <w:proofErr w:type="gramEnd"/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举借新债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支付的支出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，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下同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）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，偿还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债务利息支出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132.6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亿元,养护支出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10.7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亿元，公路附属设施改扩建工程支出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11.3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亿元，运营管理支出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14.9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亿元，税费支出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亿元，其他支出</w:t>
      </w:r>
      <w:r w:rsidR="0090169E">
        <w:rPr>
          <w:rFonts w:ascii="仿宋_GB2312" w:eastAsia="仿宋_GB2312" w:hAnsi="华文中宋" w:cs="Times New Roman" w:hint="eastAsia"/>
          <w:bCs/>
          <w:sz w:val="32"/>
          <w:szCs w:val="32"/>
        </w:rPr>
        <w:t>0.5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亿元，分别占收费公路支出总额的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17.6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62.8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FF5E27">
        <w:rPr>
          <w:rFonts w:ascii="仿宋_GB2312" w:eastAsia="仿宋_GB2312" w:hAnsi="华文中宋" w:cs="Times New Roman" w:hint="eastAsia"/>
          <w:bCs/>
          <w:sz w:val="32"/>
          <w:szCs w:val="32"/>
        </w:rPr>
        <w:t>5.1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5.4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7.0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1.9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和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0.2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。（收支情况以款项的实际收付为计算标准，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下同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）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 w:rsidRPr="00564351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二、政府还贷公路情况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政府还贷公路里程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2682.4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公里，累计建设投资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1984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亿元,债务余额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1214.7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亿元，年通行费收入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79.4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亿元，支出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118.5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分别占</w:t>
      </w:r>
      <w:r w:rsidR="007A6A98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收费公路的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52.5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50.0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47.8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72.2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%和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56.1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lastRenderedPageBreak/>
        <w:t>（一）里程构成情况。</w:t>
      </w:r>
    </w:p>
    <w:p w:rsidR="00564351" w:rsidRPr="00564351" w:rsidRDefault="0009593C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2682.4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公里政府还贷公路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中，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高速公路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2682.4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公里，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占政府还贷公路里程的</w:t>
      </w:r>
      <w:r w:rsidR="0029773B">
        <w:rPr>
          <w:rFonts w:ascii="仿宋_GB2312" w:eastAsia="仿宋_GB2312" w:hAnsi="华文中宋" w:cs="Times New Roman" w:hint="eastAsia"/>
          <w:bCs/>
          <w:sz w:val="32"/>
          <w:szCs w:val="32"/>
        </w:rPr>
        <w:t>100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。政府还贷高速公路占收费高速公路里程的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52.5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（二）建设投资情况。</w:t>
      </w:r>
    </w:p>
    <w:p w:rsidR="00564351" w:rsidRPr="00564351" w:rsidRDefault="0029773B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1984</w:t>
      </w:r>
      <w:r w:rsidR="00FF5E27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亿元政府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还贷公路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累计建设投资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总额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中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，高速公路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1984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.0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占政府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还贷公路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累计建设投资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总额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的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100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政府还贷公路累计资本金投入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689.4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亿元，资本金比例为</w:t>
      </w:r>
      <w:r w:rsidR="00877B04">
        <w:rPr>
          <w:rFonts w:ascii="仿宋_GB2312" w:eastAsia="仿宋_GB2312" w:hAnsi="华文中宋" w:cs="Times New Roman" w:hint="eastAsia"/>
          <w:bCs/>
          <w:sz w:val="32"/>
          <w:szCs w:val="32"/>
        </w:rPr>
        <w:t>34.7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%。其中，财政性资本金投入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689.4</w:t>
      </w:r>
      <w:r w:rsidR="00A609A0">
        <w:rPr>
          <w:rFonts w:ascii="仿宋_GB2312" w:eastAsia="仿宋_GB2312" w:hAnsi="华文中宋" w:cs="Times New Roman" w:hint="eastAsia"/>
          <w:bCs/>
          <w:sz w:val="32"/>
          <w:szCs w:val="32"/>
        </w:rPr>
        <w:t>亿元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。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政府还贷公路建设累计债务性资金投入为</w:t>
      </w:r>
      <w:r w:rsidR="0056746D">
        <w:rPr>
          <w:rFonts w:ascii="仿宋_GB2312" w:eastAsia="仿宋_GB2312" w:hAnsi="华文中宋" w:cs="Times New Roman" w:hint="eastAsia"/>
          <w:bCs/>
          <w:sz w:val="32"/>
          <w:szCs w:val="32"/>
        </w:rPr>
        <w:t>1294.5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亿元，占政府还贷公路累计建设投资总额的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65.2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%。其中，举借银行贷款本金</w:t>
      </w:r>
      <w:r w:rsidR="00A609A0">
        <w:rPr>
          <w:rFonts w:ascii="仿宋_GB2312" w:eastAsia="仿宋_GB2312" w:hAnsi="华文中宋" w:cs="Times New Roman" w:hint="eastAsia"/>
          <w:bCs/>
          <w:sz w:val="32"/>
          <w:szCs w:val="32"/>
        </w:rPr>
        <w:t>1123.0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亿元，举借其他债务本金</w:t>
      </w:r>
      <w:r w:rsidR="000164C5">
        <w:rPr>
          <w:rFonts w:ascii="仿宋_GB2312" w:eastAsia="仿宋_GB2312" w:hAnsi="华文中宋" w:cs="Times New Roman" w:hint="eastAsia"/>
          <w:bCs/>
          <w:sz w:val="32"/>
          <w:szCs w:val="32"/>
        </w:rPr>
        <w:t>171.5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（三）年末债务余额。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政府还贷公路债务余额中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高速公路债务余额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1214.7亿元，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占政府还贷公路债务余额的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100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（四）通行费收入。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2015年度，政府还贷公路通行费收入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79.4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亿元，占收费公路通行费收入的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72.2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%。其中，高速公路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79.4亿元，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占政府还贷公路通行费收入的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100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（五）支出情况。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2015年度，政府还贷公路支出总额为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118.5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亿元。其中偿还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债务本金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17.6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，偿还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债务利息支出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69.5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亿元,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lastRenderedPageBreak/>
        <w:t>养护支出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8.7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亿元，公路附属设施改扩建工程支出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10.4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亿元，运营管理支出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9.1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亿元，税费支出</w:t>
      </w:r>
      <w:r w:rsidR="00470F05">
        <w:rPr>
          <w:rFonts w:ascii="仿宋_GB2312" w:eastAsia="仿宋_GB2312" w:hAnsi="华文中宋" w:cs="Times New Roman" w:hint="eastAsia"/>
          <w:bCs/>
          <w:sz w:val="32"/>
          <w:szCs w:val="32"/>
        </w:rPr>
        <w:t>2.7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亿元，其他支出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0.5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亿元，分别占政府还贷公路支出总额的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14.9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58.6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7.3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8.8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7.7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2.3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%和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0.4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（六）收支平衡情况。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2015年度，政府还贷公路通行费收支缺口</w:t>
      </w:r>
      <w:r w:rsidR="0056746D">
        <w:rPr>
          <w:rFonts w:ascii="仿宋_GB2312" w:eastAsia="仿宋_GB2312" w:hAnsi="华文中宋" w:cs="Times New Roman" w:hint="eastAsia"/>
          <w:bCs/>
          <w:sz w:val="32"/>
          <w:szCs w:val="32"/>
        </w:rPr>
        <w:t>39.1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1"/>
        <w:outlineLvl w:val="0"/>
        <w:rPr>
          <w:rFonts w:ascii="黑体" w:eastAsia="华文中宋" w:hAnsi="黑体" w:cs="Times New Roman"/>
          <w:b/>
          <w:bCs/>
          <w:kern w:val="44"/>
          <w:sz w:val="32"/>
          <w:szCs w:val="32"/>
        </w:rPr>
      </w:pPr>
      <w:r w:rsidRPr="00564351">
        <w:rPr>
          <w:rFonts w:ascii="黑体" w:eastAsia="华文中宋" w:hAnsi="黑体" w:cs="Times New Roman" w:hint="eastAsia"/>
          <w:b/>
          <w:bCs/>
          <w:kern w:val="44"/>
          <w:sz w:val="32"/>
          <w:szCs w:val="32"/>
        </w:rPr>
        <w:t>三、经营性公路情况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截至2015年底，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经营性公路里程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2430.1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公里，累计建设投资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1990.0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亿元,债务余额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1324.7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亿元，年通行费收入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30.6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亿元，支出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92.7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分别占</w:t>
      </w:r>
      <w:r w:rsidR="00233158">
        <w:rPr>
          <w:rFonts w:ascii="仿宋_GB2312" w:eastAsia="仿宋_GB2312" w:hAnsi="华文中宋" w:cs="Times New Roman" w:hint="eastAsia"/>
          <w:bCs/>
          <w:sz w:val="32"/>
          <w:szCs w:val="32"/>
        </w:rPr>
        <w:t>贵州省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收费公路的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47.5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50.0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52.2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27.8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%和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43.9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（一）里程构成情况。</w:t>
      </w:r>
    </w:p>
    <w:p w:rsidR="00564351" w:rsidRPr="00564351" w:rsidRDefault="00233158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2430.1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公里经营性公路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中，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高速公路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2368.7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公里，一级公路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25.6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公里，二级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经营性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公路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35.8公里，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分别占经营性公路里程的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97.4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1.0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9B27B0">
        <w:rPr>
          <w:rFonts w:ascii="仿宋_GB2312" w:eastAsia="仿宋_GB2312" w:hAnsi="华文中宋" w:cs="Times New Roman" w:hint="eastAsia"/>
          <w:bCs/>
          <w:sz w:val="32"/>
          <w:szCs w:val="32"/>
        </w:rPr>
        <w:t>1.4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。经营性高速公路占收费高速公路里程的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47.5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（二）建设投资情况。</w:t>
      </w:r>
    </w:p>
    <w:p w:rsidR="00564351" w:rsidRPr="00564351" w:rsidRDefault="00233158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1990.0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亿元经营性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公路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累计建设投资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中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，高速公路</w:t>
      </w:r>
      <w:r w:rsidR="00267446">
        <w:rPr>
          <w:rFonts w:ascii="仿宋_GB2312" w:eastAsia="仿宋_GB2312" w:hAnsi="华文中宋" w:cs="Times New Roman" w:hint="eastAsia"/>
          <w:bCs/>
          <w:sz w:val="32"/>
          <w:szCs w:val="32"/>
        </w:rPr>
        <w:t>1982.7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亿元，一级公路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5.8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亿元，二级公路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1.5</w:t>
      </w:r>
      <w:r w:rsidR="00267446"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分别占经营性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公路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累计建设投资的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99.6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%、</w:t>
      </w:r>
      <w:r w:rsidR="00536B2E">
        <w:rPr>
          <w:rFonts w:ascii="仿宋_GB2312" w:eastAsia="仿宋_GB2312" w:hAnsi="华文中宋" w:cs="Times New Roman" w:hint="eastAsia"/>
          <w:bCs/>
          <w:sz w:val="32"/>
          <w:szCs w:val="32"/>
        </w:rPr>
        <w:t>0.3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0.1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经营性公路累计资本金投入</w:t>
      </w:r>
      <w:r w:rsidR="00267446">
        <w:rPr>
          <w:rFonts w:ascii="仿宋_GB2312" w:eastAsia="仿宋_GB2312" w:hAnsi="华文中宋" w:cs="Times New Roman" w:hint="eastAsia"/>
          <w:bCs/>
          <w:sz w:val="32"/>
          <w:szCs w:val="32"/>
        </w:rPr>
        <w:t>614.1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亿元，资本金比例为</w:t>
      </w:r>
      <w:r w:rsidR="00425996">
        <w:rPr>
          <w:rFonts w:ascii="仿宋_GB2312" w:eastAsia="仿宋_GB2312" w:hAnsi="华文中宋" w:cs="Times New Roman" w:hint="eastAsia"/>
          <w:bCs/>
          <w:sz w:val="32"/>
          <w:szCs w:val="32"/>
        </w:rPr>
        <w:t>30.9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%。其中，财政性资本金投入</w:t>
      </w:r>
      <w:r w:rsidR="00267446">
        <w:rPr>
          <w:rFonts w:ascii="仿宋_GB2312" w:eastAsia="仿宋_GB2312" w:hAnsi="华文中宋" w:cs="Times New Roman" w:hint="eastAsia"/>
          <w:bCs/>
          <w:sz w:val="32"/>
          <w:szCs w:val="32"/>
        </w:rPr>
        <w:t>330.5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亿元，非财政性资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lastRenderedPageBreak/>
        <w:t>本金投入</w:t>
      </w:r>
      <w:r w:rsidR="00D90D2E">
        <w:rPr>
          <w:rFonts w:ascii="仿宋_GB2312" w:eastAsia="仿宋_GB2312" w:hAnsi="华文中宋" w:cs="Times New Roman" w:hint="eastAsia"/>
          <w:bCs/>
          <w:sz w:val="32"/>
          <w:szCs w:val="32"/>
        </w:rPr>
        <w:t>283.5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亿元。经营性公路建设累计债务性资金投入为</w:t>
      </w:r>
      <w:r w:rsidR="00D90D2E">
        <w:rPr>
          <w:rFonts w:ascii="仿宋_GB2312" w:eastAsia="仿宋_GB2312" w:hAnsi="华文中宋" w:cs="Times New Roman" w:hint="eastAsia"/>
          <w:bCs/>
          <w:sz w:val="32"/>
          <w:szCs w:val="32"/>
        </w:rPr>
        <w:t>1376.0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亿元，占经营性公路累计建设投资总额的</w:t>
      </w:r>
      <w:r w:rsidR="00534F34">
        <w:rPr>
          <w:rFonts w:ascii="仿宋_GB2312" w:eastAsia="仿宋_GB2312" w:hAnsi="华文中宋" w:cs="Times New Roman" w:hint="eastAsia"/>
          <w:bCs/>
          <w:sz w:val="32"/>
          <w:szCs w:val="32"/>
        </w:rPr>
        <w:t>69.1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%。其中，举借银行贷款本金</w:t>
      </w:r>
      <w:r w:rsidR="00D90D2E">
        <w:rPr>
          <w:rFonts w:ascii="仿宋_GB2312" w:eastAsia="仿宋_GB2312" w:hAnsi="华文中宋" w:cs="Times New Roman" w:hint="eastAsia"/>
          <w:bCs/>
          <w:sz w:val="32"/>
          <w:szCs w:val="32"/>
        </w:rPr>
        <w:t>1122.7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亿元，举借其他债务本金</w:t>
      </w:r>
      <w:r w:rsidR="00D90D2E">
        <w:rPr>
          <w:rFonts w:ascii="仿宋_GB2312" w:eastAsia="仿宋_GB2312" w:hAnsi="华文中宋" w:cs="Times New Roman" w:hint="eastAsia"/>
          <w:bCs/>
          <w:sz w:val="32"/>
          <w:szCs w:val="32"/>
        </w:rPr>
        <w:t>253.3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（三）年末债务余额。</w:t>
      </w:r>
    </w:p>
    <w:p w:rsidR="00564351" w:rsidRPr="00564351" w:rsidRDefault="00830C22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1324.7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亿元经营性公路债务余额中</w:t>
      </w:r>
      <w:r w:rsidR="00564351" w:rsidRPr="00564351">
        <w:rPr>
          <w:rFonts w:ascii="仿宋_GB2312" w:eastAsia="仿宋_GB2312" w:hAnsi="华文中宋" w:cs="Times New Roman"/>
          <w:bCs/>
          <w:sz w:val="32"/>
          <w:szCs w:val="32"/>
        </w:rPr>
        <w:t>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高速公路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1324.7</w:t>
      </w:r>
      <w:r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占经营性公路年末债务余额的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100</w:t>
      </w:r>
      <w:r w:rsidR="00564351"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（四）通行费收入。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2015年度，经营性公路通行费收入</w:t>
      </w:r>
      <w:r w:rsidR="00830C22">
        <w:rPr>
          <w:rFonts w:ascii="仿宋_GB2312" w:eastAsia="仿宋_GB2312" w:hAnsi="华文中宋" w:cs="Times New Roman" w:hint="eastAsia"/>
          <w:bCs/>
          <w:sz w:val="32"/>
          <w:szCs w:val="32"/>
        </w:rPr>
        <w:t>30.6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亿元，占收费公路通行费收入的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27.8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%。其中，高速公路</w:t>
      </w:r>
      <w:r w:rsidR="00830C22">
        <w:rPr>
          <w:rFonts w:ascii="仿宋_GB2312" w:eastAsia="仿宋_GB2312" w:hAnsi="华文中宋" w:cs="Times New Roman" w:hint="eastAsia"/>
          <w:bCs/>
          <w:sz w:val="32"/>
          <w:szCs w:val="32"/>
        </w:rPr>
        <w:t>29.1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亿元，一级公路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1.4</w:t>
      </w:r>
      <w:r w:rsidR="00830C22">
        <w:rPr>
          <w:rFonts w:ascii="仿宋_GB2312" w:eastAsia="仿宋_GB2312" w:hAnsi="华文中宋" w:cs="Times New Roman" w:hint="eastAsia"/>
          <w:bCs/>
          <w:sz w:val="32"/>
          <w:szCs w:val="32"/>
        </w:rPr>
        <w:t>亿元，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二级经营性公路0.07亿元，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分别占经营性公路通行费收入的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95.1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4.5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%、</w:t>
      </w:r>
      <w:r w:rsidR="00D51CC6">
        <w:rPr>
          <w:rFonts w:ascii="仿宋_GB2312" w:eastAsia="仿宋_GB2312" w:hAnsi="华文中宋" w:cs="Times New Roman" w:hint="eastAsia"/>
          <w:bCs/>
          <w:sz w:val="32"/>
          <w:szCs w:val="32"/>
        </w:rPr>
        <w:t>0.2％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（五）支出情况。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2015年度，经营性公路支出总额为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92.7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亿元。其中偿还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债务本金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19.5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，偿还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债务利息支出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63.1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亿元,养护支出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亿元，公路附属设施改扩建工程支出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0.9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亿元，运营管理支出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5.8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亿元，税费支出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1.3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亿元，其他支出</w:t>
      </w:r>
      <w:r w:rsidR="008F085D">
        <w:rPr>
          <w:rFonts w:ascii="仿宋_GB2312" w:eastAsia="仿宋_GB2312" w:hAnsi="华文中宋" w:cs="Times New Roman" w:hint="eastAsia"/>
          <w:bCs/>
          <w:sz w:val="32"/>
          <w:szCs w:val="32"/>
        </w:rPr>
        <w:t>0.02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亿元，分别占经营性公路支出总额的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21.0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68.0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2.2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1.0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6.3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、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1.4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和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0.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0</w:t>
      </w:r>
      <w:r w:rsidR="007C719D">
        <w:rPr>
          <w:rFonts w:ascii="仿宋_GB2312" w:eastAsia="仿宋_GB2312" w:hAnsi="华文中宋" w:cs="Times New Roman" w:hint="eastAsia"/>
          <w:bCs/>
          <w:sz w:val="32"/>
          <w:szCs w:val="32"/>
        </w:rPr>
        <w:t>2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%。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1"/>
        <w:rPr>
          <w:rFonts w:ascii="楷体_GB2312" w:eastAsia="楷体_GB2312" w:hAnsi="Calibri Light" w:cs="黑体"/>
          <w:b/>
          <w:bCs/>
          <w:sz w:val="32"/>
          <w:szCs w:val="32"/>
        </w:rPr>
      </w:pPr>
      <w:r w:rsidRPr="00564351">
        <w:rPr>
          <w:rFonts w:ascii="楷体_GB2312" w:eastAsia="楷体_GB2312" w:hAnsi="Calibri Light" w:cs="黑体" w:hint="eastAsia"/>
          <w:b/>
          <w:bCs/>
          <w:sz w:val="32"/>
          <w:szCs w:val="32"/>
        </w:rPr>
        <w:t>（六）收支平衡情况。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华文中宋" w:cs="Times New Roman"/>
          <w:bCs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2015年度，经营性公路通行费</w:t>
      </w:r>
      <w:r w:rsidR="00ED6190">
        <w:rPr>
          <w:rFonts w:ascii="仿宋_GB2312" w:eastAsia="仿宋_GB2312" w:hAnsi="华文中宋" w:cs="Times New Roman" w:hint="eastAsia"/>
          <w:bCs/>
          <w:sz w:val="32"/>
          <w:szCs w:val="32"/>
        </w:rPr>
        <w:t>收支缺口</w:t>
      </w:r>
      <w:r w:rsidR="00EE2D1C">
        <w:rPr>
          <w:rFonts w:ascii="仿宋_GB2312" w:eastAsia="仿宋_GB2312" w:hAnsi="华文中宋" w:cs="Times New Roman" w:hint="eastAsia"/>
          <w:bCs/>
          <w:sz w:val="32"/>
          <w:szCs w:val="32"/>
        </w:rPr>
        <w:t>62.2</w:t>
      </w:r>
      <w:r w:rsidR="00ED6190">
        <w:rPr>
          <w:rFonts w:ascii="仿宋_GB2312" w:eastAsia="仿宋_GB2312" w:hAnsi="华文中宋" w:cs="Times New Roman" w:hint="eastAsia"/>
          <w:bCs/>
          <w:sz w:val="32"/>
          <w:szCs w:val="32"/>
        </w:rPr>
        <w:t>亿元。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 w:rsidRPr="00564351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四、通行费减免情况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564351">
        <w:rPr>
          <w:rFonts w:ascii="仿宋_GB2312" w:eastAsia="仿宋_GB2312" w:hAnsi="黑体" w:cs="Times New Roman" w:hint="eastAsia"/>
          <w:sz w:val="32"/>
          <w:szCs w:val="32"/>
        </w:rPr>
        <w:t>2015年度，</w:t>
      </w:r>
      <w:r w:rsidR="00ED6190">
        <w:rPr>
          <w:rFonts w:ascii="仿宋_GB2312" w:eastAsia="仿宋_GB2312" w:hAnsi="黑体" w:cs="Times New Roman" w:hint="eastAsia"/>
          <w:sz w:val="32"/>
          <w:szCs w:val="32"/>
        </w:rPr>
        <w:t>贵州省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收费公路共减免车辆通行费</w:t>
      </w:r>
      <w:r w:rsidR="00ED6190">
        <w:rPr>
          <w:rFonts w:ascii="仿宋_GB2312" w:eastAsia="仿宋_GB2312" w:hAnsi="黑体" w:cs="Times New Roman" w:hint="eastAsia"/>
          <w:sz w:val="32"/>
          <w:szCs w:val="32"/>
        </w:rPr>
        <w:t>23.4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亿元。其中，鲜活农产品运输车辆减免</w:t>
      </w:r>
      <w:r w:rsidR="00ED6190">
        <w:rPr>
          <w:rFonts w:ascii="仿宋_GB2312" w:eastAsia="仿宋_GB2312" w:hAnsi="黑体" w:cs="Times New Roman" w:hint="eastAsia"/>
          <w:sz w:val="32"/>
          <w:szCs w:val="32"/>
        </w:rPr>
        <w:t>15.8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亿元，重大节假日小型客车免费通行减免</w:t>
      </w:r>
      <w:r w:rsidR="00ED6190">
        <w:rPr>
          <w:rFonts w:ascii="仿宋_GB2312" w:eastAsia="仿宋_GB2312" w:hAnsi="黑体" w:cs="Times New Roman" w:hint="eastAsia"/>
          <w:sz w:val="32"/>
          <w:szCs w:val="32"/>
        </w:rPr>
        <w:t>7.2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亿元，其他政策性减免</w:t>
      </w:r>
      <w:r w:rsidR="00ED6190">
        <w:rPr>
          <w:rFonts w:ascii="仿宋_GB2312" w:eastAsia="仿宋_GB2312" w:hAnsi="黑体" w:cs="Times New Roman" w:hint="eastAsia"/>
          <w:sz w:val="32"/>
          <w:szCs w:val="32"/>
        </w:rPr>
        <w:t>0.4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亿元，分别占通行费减免总额的</w:t>
      </w:r>
      <w:r w:rsidR="007C719D">
        <w:rPr>
          <w:rFonts w:ascii="仿宋_GB2312" w:eastAsia="仿宋_GB2312" w:hAnsi="黑体" w:cs="Times New Roman" w:hint="eastAsia"/>
          <w:sz w:val="32"/>
          <w:szCs w:val="32"/>
        </w:rPr>
        <w:t>67.5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%、</w:t>
      </w:r>
      <w:r w:rsidR="007C719D">
        <w:rPr>
          <w:rFonts w:ascii="仿宋_GB2312" w:eastAsia="仿宋_GB2312" w:hAnsi="黑体" w:cs="Times New Roman" w:hint="eastAsia"/>
          <w:sz w:val="32"/>
          <w:szCs w:val="32"/>
        </w:rPr>
        <w:t>30.8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%和</w:t>
      </w:r>
      <w:r w:rsidR="00EE2D1C">
        <w:rPr>
          <w:rFonts w:ascii="仿宋_GB2312" w:eastAsia="仿宋_GB2312" w:hAnsi="黑体" w:cs="Times New Roman" w:hint="eastAsia"/>
          <w:sz w:val="32"/>
          <w:szCs w:val="32"/>
        </w:rPr>
        <w:t>1.</w:t>
      </w:r>
      <w:r w:rsidR="007C719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%。</w:t>
      </w:r>
    </w:p>
    <w:p w:rsidR="00564351" w:rsidRPr="00564351" w:rsidRDefault="00564351" w:rsidP="00564351">
      <w:pPr>
        <w:snapToGrid w:val="0"/>
        <w:spacing w:line="360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564351">
        <w:rPr>
          <w:rFonts w:ascii="仿宋_GB2312" w:eastAsia="仿宋_GB2312" w:hAnsi="黑体" w:cs="Times New Roman" w:hint="eastAsia"/>
          <w:sz w:val="32"/>
          <w:szCs w:val="32"/>
        </w:rPr>
        <w:t>附表：2015年</w:t>
      </w:r>
      <w:r w:rsidR="004253DB">
        <w:rPr>
          <w:rFonts w:ascii="仿宋_GB2312" w:eastAsia="仿宋_GB2312" w:hAnsi="黑体" w:cs="Times New Roman" w:hint="eastAsia"/>
          <w:sz w:val="32"/>
          <w:szCs w:val="32"/>
        </w:rPr>
        <w:t>贵州省</w:t>
      </w:r>
      <w:r w:rsidRPr="00564351">
        <w:rPr>
          <w:rFonts w:ascii="仿宋_GB2312" w:eastAsia="仿宋_GB2312" w:hAnsi="黑体" w:cs="Times New Roman" w:hint="eastAsia"/>
          <w:sz w:val="32"/>
          <w:szCs w:val="32"/>
        </w:rPr>
        <w:t>收费公路统计汇总表</w:t>
      </w:r>
    </w:p>
    <w:p w:rsidR="00564351" w:rsidRPr="00564351" w:rsidRDefault="00564351" w:rsidP="00564351">
      <w:pPr>
        <w:keepNext/>
        <w:keepLines/>
        <w:snapToGrid w:val="0"/>
        <w:spacing w:line="360" w:lineRule="auto"/>
        <w:ind w:firstLineChars="200" w:firstLine="643"/>
        <w:outlineLvl w:val="0"/>
        <w:rPr>
          <w:rFonts w:ascii="黑体" w:eastAsia="黑体" w:hAnsi="黑体" w:cs="Times New Roman"/>
          <w:b/>
          <w:bCs/>
          <w:kern w:val="44"/>
          <w:sz w:val="32"/>
          <w:szCs w:val="32"/>
        </w:rPr>
      </w:pPr>
      <w:r w:rsidRPr="00564351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注释：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政府还贷公路：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是指县级以上地方人民政府交通运输主管部</w:t>
      </w:r>
      <w:r w:rsidR="00D51CC6">
        <w:rPr>
          <w:rFonts w:ascii="仿宋_GB2312" w:eastAsia="仿宋_GB2312" w:hAnsi="Calibri" w:cs="Times New Roman" w:hint="eastAsia"/>
          <w:sz w:val="32"/>
          <w:szCs w:val="32"/>
        </w:rPr>
        <w:t>门利用贷款或者向企业、个人有偿集资建设的公路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经营性公路：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是指国内外经济组织投资建设或者</w:t>
      </w:r>
      <w:r w:rsidR="00D51CC6">
        <w:rPr>
          <w:rFonts w:ascii="仿宋_GB2312" w:eastAsia="仿宋_GB2312" w:hAnsi="Calibri" w:cs="Times New Roman" w:hint="eastAsia"/>
          <w:sz w:val="32"/>
          <w:szCs w:val="32"/>
        </w:rPr>
        <w:t>依照公路法的规定受让政府还贷公路收费权的公路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累计建设投资总额：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是指历年建设投资和当年新增建设投资之和，包括征地拆迁、土木工程、交通工程及沿线设施的投资，不含养护、大中修投资。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华文中宋" w:cs="Times New Roman" w:hint="eastAsia"/>
          <w:b/>
          <w:bCs/>
          <w:sz w:val="32"/>
          <w:szCs w:val="32"/>
        </w:rPr>
        <w:t>财政性资本金投入、</w:t>
      </w:r>
      <w:r w:rsidRPr="00564351">
        <w:rPr>
          <w:rFonts w:ascii="仿宋_GB2312" w:eastAsia="仿宋_GB2312" w:hAnsi="华文中宋" w:cs="Times New Roman"/>
          <w:b/>
          <w:bCs/>
          <w:sz w:val="32"/>
          <w:szCs w:val="32"/>
        </w:rPr>
        <w:t>非财政性资本金投入</w:t>
      </w:r>
      <w:r w:rsidRPr="00564351">
        <w:rPr>
          <w:rFonts w:ascii="仿宋_GB2312" w:eastAsia="仿宋_GB2312" w:hAnsi="华文中宋" w:cs="Times New Roman" w:hint="eastAsia"/>
          <w:b/>
          <w:bCs/>
          <w:sz w:val="32"/>
          <w:szCs w:val="32"/>
        </w:rPr>
        <w:t>：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是累计建设投资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总额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中分别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属政府财政和其他来源的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资本</w:t>
      </w:r>
      <w:r w:rsidRPr="00564351">
        <w:rPr>
          <w:rFonts w:ascii="仿宋_GB2312" w:eastAsia="仿宋_GB2312" w:hAnsi="华文中宋" w:cs="Times New Roman"/>
          <w:bCs/>
          <w:sz w:val="32"/>
          <w:szCs w:val="32"/>
        </w:rPr>
        <w:t>金</w:t>
      </w:r>
      <w:r w:rsidRPr="00564351">
        <w:rPr>
          <w:rFonts w:ascii="仿宋_GB2312" w:eastAsia="仿宋_GB2312" w:hAnsi="华文中宋" w:cs="Times New Roman" w:hint="eastAsia"/>
          <w:bCs/>
          <w:sz w:val="32"/>
          <w:szCs w:val="32"/>
        </w:rPr>
        <w:t>部分。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举借</w:t>
      </w:r>
      <w:r w:rsidRPr="00564351">
        <w:rPr>
          <w:rFonts w:ascii="仿宋_GB2312" w:eastAsia="仿宋_GB2312" w:hAnsi="Calibri" w:cs="Times New Roman"/>
          <w:b/>
          <w:sz w:val="32"/>
          <w:szCs w:val="32"/>
        </w:rPr>
        <w:t>银行贷款本金</w:t>
      </w: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Pr="00564351">
        <w:rPr>
          <w:rFonts w:ascii="仿宋_GB2312" w:eastAsia="仿宋_GB2312" w:hAnsi="Calibri" w:cs="Times New Roman"/>
          <w:b/>
          <w:sz w:val="32"/>
          <w:szCs w:val="32"/>
        </w:rPr>
        <w:t>举借其他债务本金：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是指累计建设投资</w:t>
      </w:r>
      <w:r w:rsidRPr="00564351">
        <w:rPr>
          <w:rFonts w:ascii="仿宋_GB2312" w:eastAsia="仿宋_GB2312" w:hAnsi="Calibri" w:cs="Times New Roman"/>
          <w:sz w:val="32"/>
          <w:szCs w:val="32"/>
        </w:rPr>
        <w:t>总额中通过举借银行贷款和据借其他债务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筹集</w:t>
      </w:r>
      <w:r w:rsidRPr="00564351">
        <w:rPr>
          <w:rFonts w:ascii="仿宋_GB2312" w:eastAsia="仿宋_GB2312" w:hAnsi="Calibri" w:cs="Times New Roman"/>
          <w:sz w:val="32"/>
          <w:szCs w:val="32"/>
        </w:rPr>
        <w:t>的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债务</w:t>
      </w:r>
      <w:r w:rsidRPr="00564351">
        <w:rPr>
          <w:rFonts w:ascii="仿宋_GB2312" w:eastAsia="仿宋_GB2312" w:hAnsi="Calibri" w:cs="Times New Roman"/>
          <w:sz w:val="32"/>
          <w:szCs w:val="32"/>
        </w:rPr>
        <w:t>性资金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，即原始贷款本金</w:t>
      </w:r>
      <w:r w:rsidRPr="00564351">
        <w:rPr>
          <w:rFonts w:ascii="仿宋_GB2312" w:eastAsia="仿宋_GB2312" w:hAnsi="Calibri" w:cs="Times New Roman"/>
          <w:sz w:val="32"/>
          <w:szCs w:val="32"/>
        </w:rPr>
        <w:t>和债务本</w:t>
      </w:r>
      <w:r w:rsidRPr="00564351">
        <w:rPr>
          <w:rFonts w:ascii="仿宋_GB2312" w:eastAsia="仿宋_GB2312" w:hAnsi="Calibri" w:cs="Times New Roman"/>
          <w:sz w:val="32"/>
          <w:szCs w:val="32"/>
        </w:rPr>
        <w:lastRenderedPageBreak/>
        <w:t>金，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不考虑偿还因素。</w:t>
      </w:r>
    </w:p>
    <w:p w:rsidR="00564351" w:rsidRPr="00564351" w:rsidRDefault="00564351" w:rsidP="00564351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64351">
        <w:rPr>
          <w:rFonts w:ascii="仿宋_GB2312" w:eastAsia="仿宋_GB2312" w:hAnsi="Calibri" w:cs="Times New Roman" w:hint="eastAsia"/>
          <w:b/>
          <w:sz w:val="32"/>
          <w:szCs w:val="32"/>
        </w:rPr>
        <w:t>养护支出：</w:t>
      </w:r>
      <w:r w:rsidRPr="00564351">
        <w:rPr>
          <w:rFonts w:ascii="仿宋_GB2312" w:eastAsia="仿宋_GB2312" w:hAnsi="Calibri" w:cs="Times New Roman" w:hint="eastAsia"/>
          <w:sz w:val="32"/>
          <w:szCs w:val="32"/>
        </w:rPr>
        <w:t>是</w:t>
      </w:r>
      <w:proofErr w:type="gramStart"/>
      <w:r w:rsidRPr="00564351">
        <w:rPr>
          <w:rFonts w:ascii="仿宋_GB2312" w:eastAsia="仿宋_GB2312" w:hAnsi="Calibri" w:cs="Times New Roman" w:hint="eastAsia"/>
          <w:sz w:val="32"/>
          <w:szCs w:val="32"/>
        </w:rPr>
        <w:t>指公路</w:t>
      </w:r>
      <w:proofErr w:type="gramEnd"/>
      <w:r w:rsidRPr="00564351">
        <w:rPr>
          <w:rFonts w:ascii="仿宋_GB2312" w:eastAsia="仿宋_GB2312" w:hAnsi="Calibri" w:cs="Times New Roman" w:hint="eastAsia"/>
          <w:sz w:val="32"/>
          <w:szCs w:val="32"/>
        </w:rPr>
        <w:t>日常小修保养、大中修工程、预防性养护、养护设施设备购置、养护检查检测、应急养护等费用支出之</w:t>
      </w:r>
      <w:proofErr w:type="gramStart"/>
      <w:r w:rsidRPr="00564351">
        <w:rPr>
          <w:rFonts w:ascii="仿宋_GB2312" w:eastAsia="仿宋_GB2312" w:hAnsi="Calibri" w:cs="Times New Roman" w:hint="eastAsia"/>
          <w:sz w:val="32"/>
          <w:szCs w:val="32"/>
        </w:rPr>
        <w:t>和</w:t>
      </w:r>
      <w:proofErr w:type="gramEnd"/>
      <w:r w:rsidRPr="0056435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64351" w:rsidRPr="009C11DF" w:rsidRDefault="00564351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3"/>
        <w:rPr>
          <w:rFonts w:ascii="仿宋_GB2312"/>
          <w:sz w:val="32"/>
          <w:szCs w:val="32"/>
        </w:rPr>
      </w:pPr>
      <w:r w:rsidRPr="00564351">
        <w:rPr>
          <w:rFonts w:ascii="仿宋_GB2312" w:hint="eastAsia"/>
          <w:b/>
          <w:sz w:val="32"/>
          <w:szCs w:val="32"/>
        </w:rPr>
        <w:t>公路及附属设施改扩建工程支出：</w:t>
      </w:r>
      <w:r w:rsidRPr="00564351">
        <w:rPr>
          <w:rFonts w:ascii="仿宋_GB2312" w:hint="eastAsia"/>
          <w:sz w:val="32"/>
          <w:szCs w:val="32"/>
        </w:rPr>
        <w:t>是指公路附属设施和机电工程的改建支出，如收费站、收费广场、服务区、信息监控与发布、ETC系统的改建，部分路段线位调整、提</w:t>
      </w:r>
      <w:r w:rsidRPr="009C11DF">
        <w:rPr>
          <w:rFonts w:ascii="仿宋_GB2312" w:hint="eastAsia"/>
          <w:sz w:val="32"/>
          <w:szCs w:val="32"/>
        </w:rPr>
        <w:t>升技术等级、增加车道数和出入口，</w:t>
      </w:r>
      <w:r w:rsidRPr="009C11DF">
        <w:rPr>
          <w:rFonts w:ascii="仿宋_GB2312"/>
          <w:sz w:val="32"/>
          <w:szCs w:val="32"/>
        </w:rPr>
        <w:t>以及</w:t>
      </w:r>
      <w:r w:rsidRPr="009C11DF">
        <w:rPr>
          <w:rFonts w:ascii="仿宋_GB2312" w:hint="eastAsia"/>
          <w:sz w:val="32"/>
          <w:szCs w:val="32"/>
        </w:rPr>
        <w:t>立交工程的改建工程。</w:t>
      </w:r>
    </w:p>
    <w:p w:rsidR="00564351" w:rsidRPr="009C11DF" w:rsidRDefault="00564351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3"/>
        <w:rPr>
          <w:rFonts w:ascii="仿宋_GB2312"/>
          <w:b/>
          <w:sz w:val="32"/>
          <w:szCs w:val="32"/>
        </w:rPr>
      </w:pPr>
      <w:r w:rsidRPr="009C11DF">
        <w:rPr>
          <w:rFonts w:ascii="仿宋_GB2312" w:hint="eastAsia"/>
          <w:b/>
          <w:sz w:val="32"/>
          <w:szCs w:val="32"/>
        </w:rPr>
        <w:t>税费</w:t>
      </w:r>
      <w:r w:rsidRPr="009C11DF">
        <w:rPr>
          <w:rFonts w:ascii="仿宋_GB2312"/>
          <w:b/>
          <w:sz w:val="32"/>
          <w:szCs w:val="32"/>
        </w:rPr>
        <w:t>支出</w:t>
      </w:r>
      <w:r w:rsidRPr="009C11DF">
        <w:rPr>
          <w:rFonts w:ascii="仿宋_GB2312" w:hint="eastAsia"/>
          <w:b/>
          <w:sz w:val="32"/>
          <w:szCs w:val="32"/>
        </w:rPr>
        <w:t>：</w:t>
      </w:r>
      <w:r w:rsidRPr="009C11DF">
        <w:rPr>
          <w:rFonts w:ascii="仿宋_GB2312" w:hint="eastAsia"/>
          <w:sz w:val="32"/>
          <w:szCs w:val="32"/>
        </w:rPr>
        <w:t>是指</w:t>
      </w:r>
      <w:r w:rsidRPr="009C11DF">
        <w:rPr>
          <w:rFonts w:ascii="仿宋_GB2312"/>
          <w:sz w:val="32"/>
          <w:szCs w:val="32"/>
        </w:rPr>
        <w:t>税务</w:t>
      </w:r>
      <w:r w:rsidRPr="009C11DF">
        <w:rPr>
          <w:rFonts w:ascii="仿宋_GB2312" w:hint="eastAsia"/>
          <w:sz w:val="32"/>
          <w:szCs w:val="32"/>
        </w:rPr>
        <w:t>部门征收</w:t>
      </w:r>
      <w:r w:rsidRPr="009C11DF">
        <w:rPr>
          <w:rFonts w:ascii="仿宋_GB2312"/>
          <w:sz w:val="32"/>
          <w:szCs w:val="32"/>
        </w:rPr>
        <w:t>的所有</w:t>
      </w:r>
      <w:r w:rsidRPr="009C11DF">
        <w:rPr>
          <w:rFonts w:ascii="仿宋_GB2312" w:hint="eastAsia"/>
          <w:sz w:val="32"/>
          <w:szCs w:val="32"/>
        </w:rPr>
        <w:t>税金与政府财政等有关部门，按相关规定征收或</w:t>
      </w:r>
      <w:r w:rsidRPr="009C11DF">
        <w:rPr>
          <w:rFonts w:ascii="仿宋_GB2312"/>
          <w:sz w:val="32"/>
          <w:szCs w:val="32"/>
        </w:rPr>
        <w:t>提取的</w:t>
      </w:r>
      <w:proofErr w:type="gramStart"/>
      <w:r w:rsidRPr="009C11DF">
        <w:rPr>
          <w:rFonts w:ascii="仿宋_GB2312"/>
          <w:sz w:val="32"/>
          <w:szCs w:val="32"/>
        </w:rPr>
        <w:t>规</w:t>
      </w:r>
      <w:proofErr w:type="gramEnd"/>
      <w:r w:rsidRPr="009C11DF">
        <w:rPr>
          <w:rFonts w:ascii="仿宋_GB2312"/>
          <w:sz w:val="32"/>
          <w:szCs w:val="32"/>
        </w:rPr>
        <w:t>费之和</w:t>
      </w:r>
      <w:r w:rsidRPr="009C11DF">
        <w:rPr>
          <w:rFonts w:ascii="仿宋_GB2312" w:hint="eastAsia"/>
          <w:sz w:val="32"/>
          <w:szCs w:val="32"/>
        </w:rPr>
        <w:t>，</w:t>
      </w:r>
      <w:r w:rsidRPr="009C11DF">
        <w:rPr>
          <w:rFonts w:ascii="仿宋_GB2312"/>
          <w:sz w:val="32"/>
          <w:szCs w:val="32"/>
        </w:rPr>
        <w:t>包括</w:t>
      </w:r>
      <w:r w:rsidRPr="009C11DF">
        <w:rPr>
          <w:rFonts w:ascii="仿宋_GB2312" w:hint="eastAsia"/>
          <w:sz w:val="32"/>
          <w:szCs w:val="32"/>
        </w:rPr>
        <w:t>营业税、增值税、城建税、所得税、房产税、教育附加、</w:t>
      </w:r>
      <w:r w:rsidRPr="009C11DF">
        <w:rPr>
          <w:rFonts w:ascii="仿宋_GB2312"/>
          <w:sz w:val="32"/>
          <w:szCs w:val="32"/>
        </w:rPr>
        <w:t>水利基金、交警经费</w:t>
      </w:r>
      <w:r w:rsidRPr="009C11DF">
        <w:rPr>
          <w:rFonts w:ascii="仿宋_GB2312" w:hint="eastAsia"/>
          <w:sz w:val="32"/>
          <w:szCs w:val="32"/>
        </w:rPr>
        <w:t>等。</w:t>
      </w:r>
    </w:p>
    <w:p w:rsidR="00564351" w:rsidRPr="009C11DF" w:rsidRDefault="00564351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3"/>
        <w:rPr>
          <w:rFonts w:ascii="仿宋_GB2312"/>
          <w:sz w:val="32"/>
          <w:szCs w:val="32"/>
        </w:rPr>
      </w:pPr>
      <w:r w:rsidRPr="009C11DF">
        <w:rPr>
          <w:rFonts w:ascii="仿宋_GB2312" w:hint="eastAsia"/>
          <w:b/>
          <w:sz w:val="32"/>
          <w:szCs w:val="32"/>
        </w:rPr>
        <w:t>运营管理支出</w:t>
      </w:r>
      <w:r w:rsidRPr="009C11DF">
        <w:rPr>
          <w:rFonts w:ascii="仿宋_GB2312" w:hint="eastAsia"/>
          <w:sz w:val="32"/>
          <w:szCs w:val="32"/>
        </w:rPr>
        <w:t>：是指人员工资支出</w:t>
      </w:r>
      <w:r w:rsidRPr="009C11DF">
        <w:rPr>
          <w:rFonts w:ascii="仿宋_GB2312"/>
          <w:sz w:val="32"/>
          <w:szCs w:val="32"/>
        </w:rPr>
        <w:t>、</w:t>
      </w:r>
      <w:r w:rsidRPr="009C11DF">
        <w:rPr>
          <w:rFonts w:ascii="仿宋_GB2312" w:hint="eastAsia"/>
          <w:sz w:val="32"/>
          <w:szCs w:val="32"/>
        </w:rPr>
        <w:t>设备</w:t>
      </w:r>
      <w:r w:rsidRPr="009C11DF">
        <w:rPr>
          <w:rFonts w:ascii="仿宋_GB2312"/>
          <w:sz w:val="32"/>
          <w:szCs w:val="32"/>
        </w:rPr>
        <w:t>购置支出、</w:t>
      </w:r>
      <w:r w:rsidRPr="009C11DF">
        <w:rPr>
          <w:rFonts w:ascii="仿宋_GB2312" w:hint="eastAsia"/>
          <w:sz w:val="32"/>
          <w:szCs w:val="32"/>
        </w:rPr>
        <w:t>路政</w:t>
      </w:r>
      <w:r w:rsidRPr="009C11DF">
        <w:rPr>
          <w:rFonts w:ascii="仿宋_GB2312"/>
          <w:sz w:val="32"/>
          <w:szCs w:val="32"/>
        </w:rPr>
        <w:t>管理、路产巡查、</w:t>
      </w:r>
      <w:r w:rsidRPr="009C11DF">
        <w:rPr>
          <w:rFonts w:ascii="仿宋_GB2312" w:hint="eastAsia"/>
          <w:sz w:val="32"/>
          <w:szCs w:val="32"/>
        </w:rPr>
        <w:t>保险费用支出</w:t>
      </w:r>
      <w:r w:rsidRPr="009C11DF">
        <w:rPr>
          <w:rFonts w:ascii="仿宋_GB2312"/>
          <w:sz w:val="32"/>
          <w:szCs w:val="32"/>
        </w:rPr>
        <w:t>、</w:t>
      </w:r>
      <w:r w:rsidRPr="009C11DF">
        <w:rPr>
          <w:rFonts w:ascii="仿宋_GB2312" w:hint="eastAsia"/>
          <w:sz w:val="32"/>
          <w:szCs w:val="32"/>
        </w:rPr>
        <w:t>水电</w:t>
      </w:r>
      <w:r w:rsidRPr="009C11DF">
        <w:rPr>
          <w:rFonts w:ascii="仿宋_GB2312"/>
          <w:sz w:val="32"/>
          <w:szCs w:val="32"/>
        </w:rPr>
        <w:t>燃油及取暖</w:t>
      </w:r>
      <w:r w:rsidRPr="009C11DF">
        <w:rPr>
          <w:rFonts w:ascii="仿宋_GB2312" w:hint="eastAsia"/>
          <w:sz w:val="32"/>
          <w:szCs w:val="32"/>
        </w:rPr>
        <w:t>支出</w:t>
      </w:r>
      <w:r w:rsidRPr="009C11DF">
        <w:rPr>
          <w:rFonts w:ascii="仿宋_GB2312"/>
          <w:sz w:val="32"/>
          <w:szCs w:val="32"/>
        </w:rPr>
        <w:t>、</w:t>
      </w:r>
      <w:r w:rsidRPr="009C11DF">
        <w:rPr>
          <w:rFonts w:ascii="仿宋_GB2312" w:hint="eastAsia"/>
          <w:sz w:val="32"/>
          <w:szCs w:val="32"/>
        </w:rPr>
        <w:t>以及办公、差旅、运输、租赁、修理、咨询、诉讼、排污、物料消耗、技术开发、业务招待、赔偿等</w:t>
      </w:r>
      <w:r w:rsidRPr="009C11DF">
        <w:rPr>
          <w:rFonts w:ascii="仿宋_GB2312"/>
          <w:sz w:val="32"/>
          <w:szCs w:val="32"/>
        </w:rPr>
        <w:t>支出</w:t>
      </w:r>
      <w:r w:rsidRPr="009C11DF">
        <w:rPr>
          <w:rFonts w:ascii="仿宋_GB2312" w:hint="eastAsia"/>
          <w:sz w:val="32"/>
          <w:szCs w:val="32"/>
        </w:rPr>
        <w:t>。</w:t>
      </w:r>
    </w:p>
    <w:p w:rsidR="00564351" w:rsidRPr="009C11DF" w:rsidRDefault="00564351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3"/>
        <w:rPr>
          <w:rFonts w:ascii="仿宋_GB2312"/>
          <w:sz w:val="32"/>
          <w:szCs w:val="32"/>
        </w:rPr>
      </w:pPr>
      <w:r w:rsidRPr="009C11DF">
        <w:rPr>
          <w:rFonts w:ascii="仿宋_GB2312" w:hint="eastAsia"/>
          <w:b/>
          <w:sz w:val="32"/>
          <w:szCs w:val="32"/>
        </w:rPr>
        <w:t>其他支出：</w:t>
      </w:r>
      <w:r w:rsidRPr="009C11DF">
        <w:rPr>
          <w:rFonts w:ascii="仿宋_GB2312" w:hint="eastAsia"/>
          <w:sz w:val="32"/>
          <w:szCs w:val="32"/>
        </w:rPr>
        <w:t>指除还本付息支出、养护支出、公路附属设施改扩建工程支出等之外的所有费用支出。</w:t>
      </w:r>
    </w:p>
    <w:p w:rsidR="00564351" w:rsidRPr="009C11DF" w:rsidRDefault="00564351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3"/>
        <w:rPr>
          <w:rFonts w:ascii="仿宋_GB2312" w:hAnsi="华文中宋"/>
          <w:bCs/>
          <w:sz w:val="32"/>
          <w:szCs w:val="32"/>
        </w:rPr>
      </w:pPr>
      <w:r w:rsidRPr="009C11DF">
        <w:rPr>
          <w:rFonts w:ascii="仿宋_GB2312" w:hint="eastAsia"/>
          <w:b/>
          <w:sz w:val="32"/>
          <w:szCs w:val="32"/>
        </w:rPr>
        <w:t>通行费收支缺口：</w:t>
      </w:r>
      <w:r w:rsidRPr="009C11DF">
        <w:rPr>
          <w:rFonts w:ascii="仿宋_GB2312" w:hAnsi="华文中宋" w:hint="eastAsia"/>
          <w:bCs/>
          <w:sz w:val="32"/>
          <w:szCs w:val="32"/>
        </w:rPr>
        <w:t>以款项的实际收付为计算标准，使用通行费收入减去支出，</w:t>
      </w:r>
      <w:r w:rsidRPr="00D51CC6">
        <w:rPr>
          <w:rFonts w:ascii="仿宋_GB2312" w:hAnsi="华文中宋" w:hint="eastAsia"/>
          <w:b/>
          <w:bCs/>
          <w:sz w:val="32"/>
          <w:szCs w:val="32"/>
        </w:rPr>
        <w:t>正值为盈余</w:t>
      </w:r>
      <w:r w:rsidRPr="00D51CC6">
        <w:rPr>
          <w:rFonts w:ascii="仿宋_GB2312" w:hAnsi="华文中宋"/>
          <w:b/>
          <w:bCs/>
          <w:sz w:val="32"/>
          <w:szCs w:val="32"/>
        </w:rPr>
        <w:t>，负值</w:t>
      </w:r>
      <w:r w:rsidRPr="00D51CC6">
        <w:rPr>
          <w:rFonts w:ascii="仿宋_GB2312" w:hAnsi="华文中宋" w:hint="eastAsia"/>
          <w:b/>
          <w:bCs/>
          <w:sz w:val="32"/>
          <w:szCs w:val="32"/>
        </w:rPr>
        <w:t>为</w:t>
      </w:r>
      <w:r w:rsidRPr="00D51CC6">
        <w:rPr>
          <w:rFonts w:ascii="仿宋_GB2312" w:hAnsi="华文中宋"/>
          <w:b/>
          <w:bCs/>
          <w:sz w:val="32"/>
          <w:szCs w:val="32"/>
        </w:rPr>
        <w:t>缺口</w:t>
      </w:r>
      <w:r w:rsidRPr="009C11DF">
        <w:rPr>
          <w:rFonts w:ascii="仿宋_GB2312" w:hAnsi="华文中宋" w:hint="eastAsia"/>
          <w:bCs/>
          <w:sz w:val="32"/>
          <w:szCs w:val="32"/>
        </w:rPr>
        <w:t>。当出现通行费</w:t>
      </w:r>
      <w:r w:rsidRPr="009C11DF">
        <w:rPr>
          <w:rFonts w:ascii="仿宋_GB2312" w:hAnsi="华文中宋"/>
          <w:bCs/>
          <w:sz w:val="32"/>
          <w:szCs w:val="32"/>
        </w:rPr>
        <w:t>收支缺口</w:t>
      </w:r>
      <w:r w:rsidRPr="009C11DF">
        <w:rPr>
          <w:rFonts w:ascii="仿宋_GB2312" w:hAnsi="华文中宋" w:hint="eastAsia"/>
          <w:bCs/>
          <w:sz w:val="32"/>
          <w:szCs w:val="32"/>
        </w:rPr>
        <w:t>时</w:t>
      </w:r>
      <w:r w:rsidRPr="009C11DF">
        <w:rPr>
          <w:rFonts w:ascii="仿宋_GB2312" w:hAnsi="华文中宋"/>
          <w:bCs/>
          <w:sz w:val="32"/>
          <w:szCs w:val="32"/>
        </w:rPr>
        <w:t>，</w:t>
      </w:r>
      <w:r w:rsidRPr="009C11DF">
        <w:rPr>
          <w:rFonts w:ascii="仿宋_GB2312" w:hAnsi="华文中宋" w:hint="eastAsia"/>
          <w:bCs/>
          <w:sz w:val="32"/>
          <w:szCs w:val="32"/>
        </w:rPr>
        <w:t>主要依靠</w:t>
      </w:r>
      <w:r w:rsidRPr="009C11DF">
        <w:rPr>
          <w:rFonts w:ascii="仿宋_GB2312" w:hAnsi="华文中宋"/>
          <w:bCs/>
          <w:sz w:val="32"/>
          <w:szCs w:val="32"/>
        </w:rPr>
        <w:t>财政补贴和举借新债</w:t>
      </w:r>
      <w:r w:rsidRPr="009C11DF">
        <w:rPr>
          <w:rFonts w:ascii="仿宋_GB2312" w:hAnsi="华文中宋" w:hint="eastAsia"/>
          <w:bCs/>
          <w:sz w:val="32"/>
          <w:szCs w:val="32"/>
        </w:rPr>
        <w:t>弥补。</w:t>
      </w:r>
    </w:p>
    <w:p w:rsidR="00564351" w:rsidRPr="009C11DF" w:rsidRDefault="00D51CC6" w:rsidP="00564351">
      <w:pPr>
        <w:pStyle w:val="1"/>
        <w:numPr>
          <w:ilvl w:val="0"/>
          <w:numId w:val="1"/>
        </w:numPr>
        <w:snapToGrid w:val="0"/>
        <w:spacing w:line="360" w:lineRule="auto"/>
        <w:ind w:left="0" w:firstLine="640"/>
        <w:rPr>
          <w:rFonts w:ascii="仿宋_GB2312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lastRenderedPageBreak/>
        <w:t>部分数据因四舍五入的原因，存在</w:t>
      </w:r>
      <w:r w:rsidR="00564351" w:rsidRPr="009C11DF">
        <w:rPr>
          <w:rFonts w:ascii="仿宋_GB2312" w:hAnsi="黑体" w:hint="eastAsia"/>
          <w:sz w:val="32"/>
          <w:szCs w:val="32"/>
        </w:rPr>
        <w:t>与分项合计不等的情况；占比率根据四舍五入前数据计算。</w:t>
      </w:r>
    </w:p>
    <w:p w:rsidR="00564351" w:rsidRDefault="00564351" w:rsidP="00564351">
      <w:pPr>
        <w:pStyle w:val="1"/>
        <w:snapToGrid w:val="0"/>
        <w:spacing w:line="360" w:lineRule="auto"/>
        <w:ind w:firstLineChars="0"/>
        <w:rPr>
          <w:rFonts w:ascii="仿宋_GB2312" w:hAnsi="黑体"/>
          <w:sz w:val="32"/>
          <w:szCs w:val="32"/>
        </w:rPr>
      </w:pPr>
    </w:p>
    <w:p w:rsidR="00DD24A5" w:rsidRPr="00564351" w:rsidRDefault="00DD24A5" w:rsidP="00564351">
      <w:pPr>
        <w:rPr>
          <w:rFonts w:ascii="仿宋_GB2312" w:eastAsia="仿宋_GB2312"/>
          <w:sz w:val="32"/>
          <w:szCs w:val="32"/>
        </w:rPr>
      </w:pPr>
    </w:p>
    <w:p w:rsidR="007F20ED" w:rsidRPr="00DD24A5" w:rsidRDefault="007F20ED" w:rsidP="007F20ED">
      <w:pPr>
        <w:ind w:firstLineChars="1600" w:firstLine="5120"/>
        <w:rPr>
          <w:rFonts w:ascii="仿宋_GB2312" w:eastAsia="仿宋_GB2312"/>
          <w:sz w:val="32"/>
          <w:szCs w:val="32"/>
        </w:rPr>
      </w:pPr>
    </w:p>
    <w:sectPr w:rsidR="007F20ED" w:rsidRPr="00DD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F0"/>
    <w:rsid w:val="000164C5"/>
    <w:rsid w:val="0009593C"/>
    <w:rsid w:val="00233158"/>
    <w:rsid w:val="00267446"/>
    <w:rsid w:val="0029773B"/>
    <w:rsid w:val="002A251F"/>
    <w:rsid w:val="002E44F0"/>
    <w:rsid w:val="00322EF8"/>
    <w:rsid w:val="004253DB"/>
    <w:rsid w:val="00425996"/>
    <w:rsid w:val="00442184"/>
    <w:rsid w:val="00445E7D"/>
    <w:rsid w:val="00470F05"/>
    <w:rsid w:val="00534F34"/>
    <w:rsid w:val="00536B2E"/>
    <w:rsid w:val="00564351"/>
    <w:rsid w:val="0056746D"/>
    <w:rsid w:val="006D0CBF"/>
    <w:rsid w:val="007A6A98"/>
    <w:rsid w:val="007C719D"/>
    <w:rsid w:val="007F20ED"/>
    <w:rsid w:val="00830C22"/>
    <w:rsid w:val="00877B04"/>
    <w:rsid w:val="008C13DE"/>
    <w:rsid w:val="008D4C42"/>
    <w:rsid w:val="008F085D"/>
    <w:rsid w:val="0090169E"/>
    <w:rsid w:val="009B27B0"/>
    <w:rsid w:val="00A609A0"/>
    <w:rsid w:val="00AC06B1"/>
    <w:rsid w:val="00B46406"/>
    <w:rsid w:val="00D51CC6"/>
    <w:rsid w:val="00D90D2E"/>
    <w:rsid w:val="00D93BC5"/>
    <w:rsid w:val="00DD24A5"/>
    <w:rsid w:val="00EB0A75"/>
    <w:rsid w:val="00ED6190"/>
    <w:rsid w:val="00EE2D1C"/>
    <w:rsid w:val="00F17B49"/>
    <w:rsid w:val="00FC409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64351"/>
    <w:pPr>
      <w:ind w:firstLineChars="200" w:firstLine="420"/>
    </w:pPr>
    <w:rPr>
      <w:rFonts w:ascii="Calibri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64351"/>
    <w:pPr>
      <w:ind w:firstLineChars="200" w:firstLine="420"/>
    </w:pPr>
    <w:rPr>
      <w:rFonts w:ascii="Calibri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ȉ燄නȉ翘ǻ</dc:creator>
  <cp:keywords/>
  <dc:description/>
  <cp:lastModifiedBy>⛠Ʊቀѽ_x0003_</cp:lastModifiedBy>
  <cp:revision>30</cp:revision>
  <cp:lastPrinted>2016-08-26T01:48:00Z</cp:lastPrinted>
  <dcterms:created xsi:type="dcterms:W3CDTF">2016-07-13T02:21:00Z</dcterms:created>
  <dcterms:modified xsi:type="dcterms:W3CDTF">2016-09-18T03:35:00Z</dcterms:modified>
</cp:coreProperties>
</file>