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00" w:beforeAutospacing="1" w:after="100" w:afterAutospacing="1" w:line="360" w:lineRule="auto"/>
        <w:jc w:val="center"/>
        <w:outlineLvl w:val="1"/>
        <w:rPr>
          <w:rFonts w:cs="Arial"/>
          <w:color w:val="000000" w:themeColor="text1"/>
          <w:sz w:val="18"/>
          <w:szCs w:val="18"/>
          <w14:textFill>
            <w14:solidFill>
              <w14:schemeClr w14:val="tx1"/>
            </w14:solidFill>
          </w14:textFill>
        </w:rPr>
      </w:pPr>
      <w:r>
        <w:rPr>
          <w:rFonts w:cs="Arial"/>
          <w:color w:val="000000" w:themeColor="text1"/>
          <w:sz w:val="30"/>
          <w:szCs w:val="30"/>
          <w14:textFill>
            <w14:solidFill>
              <w14:schemeClr w14:val="tx1"/>
            </w14:solidFill>
          </w14:textFill>
        </w:rPr>
        <w:t>附录1 资格审查条件（资质最低要求）</w:t>
      </w:r>
    </w:p>
    <w:tbl>
      <w:tblPr>
        <w:tblStyle w:val="9"/>
        <w:tblW w:w="90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76" w:hRule="atLeast"/>
          <w:jc w:val="center"/>
        </w:trPr>
        <w:tc>
          <w:tcPr>
            <w:tcW w:w="9091" w:type="dxa"/>
            <w:vAlign w:val="center"/>
          </w:tcPr>
          <w:p>
            <w:pPr>
              <w:jc w:val="center"/>
              <w:rPr>
                <w:rFonts w:cs="Arial"/>
                <w:b/>
                <w:color w:val="000000" w:themeColor="text1"/>
                <w:szCs w:val="21"/>
                <w14:textFill>
                  <w14:solidFill>
                    <w14:schemeClr w14:val="tx1"/>
                  </w14:solidFill>
                </w14:textFill>
              </w:rPr>
            </w:pPr>
            <w:bookmarkStart w:id="0" w:name="_Toc296369542"/>
            <w:bookmarkStart w:id="1" w:name="_Toc329932159"/>
            <w:bookmarkStart w:id="2" w:name="_Toc268213351"/>
            <w:bookmarkStart w:id="3" w:name="_Toc330366397"/>
            <w:bookmarkStart w:id="4" w:name="_Toc236538950"/>
            <w:r>
              <w:rPr>
                <w:rFonts w:hint="eastAsia" w:cs="Arial"/>
                <w:b/>
                <w:color w:val="000000" w:themeColor="text1"/>
                <w:szCs w:val="21"/>
                <w14:textFill>
                  <w14:solidFill>
                    <w14:schemeClr w14:val="tx1"/>
                  </w14:solidFill>
                </w14:textFill>
              </w:rPr>
              <w:t>施工企业资质等级要求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1" w:hRule="atLeast"/>
          <w:jc w:val="center"/>
        </w:trPr>
        <w:tc>
          <w:tcPr>
            <w:tcW w:w="9091" w:type="dxa"/>
            <w:vAlign w:val="center"/>
          </w:tcPr>
          <w:p>
            <w:pPr>
              <w:ind w:firstLine="330" w:firstLineChars="150"/>
              <w:rPr>
                <w:bCs/>
                <w:color w:val="000000" w:themeColor="text1"/>
                <w14:textFill>
                  <w14:solidFill>
                    <w14:schemeClr w14:val="tx1"/>
                  </w14:solidFill>
                </w14:textFill>
              </w:rPr>
            </w:pPr>
            <w:r>
              <w:rPr>
                <w:rFonts w:hint="eastAsia" w:cs="Arial"/>
                <w:color w:val="000000" w:themeColor="text1"/>
                <w14:textFill>
                  <w14:solidFill>
                    <w14:schemeClr w14:val="tx1"/>
                  </w14:solidFill>
                </w14:textFill>
              </w:rPr>
              <w:t>DADLQG3标段</w:t>
            </w:r>
            <w:r>
              <w:rPr>
                <w:color w:val="000000" w:themeColor="text1"/>
                <w14:textFill>
                  <w14:solidFill>
                    <w14:schemeClr w14:val="tx1"/>
                  </w14:solidFill>
                </w14:textFill>
              </w:rPr>
              <w:t>投标人须具备</w:t>
            </w:r>
            <w:r>
              <w:rPr>
                <w:rFonts w:hint="eastAsia"/>
                <w:bCs/>
                <w:color w:val="000000" w:themeColor="text1"/>
                <w14:textFill>
                  <w14:solidFill>
                    <w14:schemeClr w14:val="tx1"/>
                  </w14:solidFill>
                </w14:textFill>
              </w:rPr>
              <w:t>电力工程施工总承包二级及以上资质或输变电工程专业承包二级及以上资质</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并同时具备《承装（修、试）电力设施许可证》承装类二级及以上、承修类二级及以上、承试类二级及以上资质；</w:t>
            </w:r>
          </w:p>
          <w:p>
            <w:pPr>
              <w:ind w:firstLine="330" w:firstLineChars="150"/>
              <w:rPr>
                <w:rFonts w:cs="Arial"/>
                <w:bCs/>
                <w:color w:val="000000" w:themeColor="text1"/>
                <w:szCs w:val="21"/>
                <w14:textFill>
                  <w14:solidFill>
                    <w14:schemeClr w14:val="tx1"/>
                  </w14:solidFill>
                </w14:textFill>
              </w:rPr>
            </w:pPr>
            <w:r>
              <w:rPr>
                <w:rFonts w:hint="eastAsia" w:cs="Arial"/>
                <w:color w:val="000000" w:themeColor="text1"/>
                <w14:textFill>
                  <w14:solidFill>
                    <w14:schemeClr w14:val="tx1"/>
                  </w14:solidFill>
                </w14:textFill>
              </w:rPr>
              <w:t>DADLQG4标段</w:t>
            </w:r>
            <w:r>
              <w:rPr>
                <w:color w:val="000000" w:themeColor="text1"/>
                <w14:textFill>
                  <w14:solidFill>
                    <w14:schemeClr w14:val="tx1"/>
                  </w14:solidFill>
                </w14:textFill>
              </w:rPr>
              <w:t>投标人须具备</w:t>
            </w:r>
            <w:r>
              <w:rPr>
                <w:rFonts w:hint="eastAsia"/>
                <w:bCs/>
                <w:color w:val="000000" w:themeColor="text1"/>
                <w14:textFill>
                  <w14:solidFill>
                    <w14:schemeClr w14:val="tx1"/>
                  </w14:solidFill>
                </w14:textFill>
              </w:rPr>
              <w:t>电力工程施工总承包一级及以上资质或输变电工程专业承包一级资质</w:t>
            </w:r>
            <w:r>
              <w:rPr>
                <w:bCs/>
                <w:color w:val="000000" w:themeColor="text1"/>
                <w14:textFill>
                  <w14:solidFill>
                    <w14:schemeClr w14:val="tx1"/>
                  </w14:solidFill>
                </w14:textFill>
              </w:rPr>
              <w:t>，</w:t>
            </w:r>
            <w:r>
              <w:rPr>
                <w:rFonts w:hint="eastAsia"/>
                <w:bCs/>
                <w:color w:val="000000" w:themeColor="text1"/>
                <w14:textFill>
                  <w14:solidFill>
                    <w14:schemeClr w14:val="tx1"/>
                  </w14:solidFill>
                </w14:textFill>
              </w:rPr>
              <w:t>同时具备《承装（修、试）电力设施许可证》承装类一级、承修类一级、承试类一级资质。</w:t>
            </w:r>
          </w:p>
        </w:tc>
      </w:tr>
    </w:tbl>
    <w:p>
      <w:pPr>
        <w:spacing w:beforeLines="50"/>
        <w:rPr>
          <w:rFonts w:cs="Arial"/>
          <w:color w:val="000000" w:themeColor="text1"/>
          <w:sz w:val="18"/>
          <w:szCs w:val="18"/>
          <w14:textFill>
            <w14:solidFill>
              <w14:schemeClr w14:val="tx1"/>
            </w14:solidFill>
          </w14:textFill>
        </w:rPr>
      </w:pPr>
    </w:p>
    <w:p>
      <w:pPr>
        <w:spacing w:before="100" w:beforeAutospacing="1" w:after="100" w:afterAutospacing="1" w:line="360" w:lineRule="auto"/>
        <w:jc w:val="center"/>
        <w:outlineLvl w:val="1"/>
        <w:rPr>
          <w:rFonts w:cs="Arial"/>
          <w:color w:val="000000" w:themeColor="text1"/>
          <w:sz w:val="30"/>
          <w:szCs w:val="30"/>
          <w14:textFill>
            <w14:solidFill>
              <w14:schemeClr w14:val="tx1"/>
            </w14:solidFill>
          </w14:textFill>
        </w:rPr>
      </w:pPr>
      <w:bookmarkStart w:id="5" w:name="_Toc442431575"/>
      <w:bookmarkStart w:id="6" w:name="_Toc504690809"/>
    </w:p>
    <w:p>
      <w:pPr>
        <w:spacing w:before="100" w:beforeAutospacing="1" w:after="100" w:afterAutospacing="1" w:line="360" w:lineRule="auto"/>
        <w:jc w:val="center"/>
        <w:outlineLvl w:val="1"/>
        <w:rPr>
          <w:rFonts w:cs="Arial"/>
          <w:color w:val="000000" w:themeColor="text1"/>
          <w:sz w:val="30"/>
          <w:szCs w:val="30"/>
          <w14:textFill>
            <w14:solidFill>
              <w14:schemeClr w14:val="tx1"/>
            </w14:solidFill>
          </w14:textFill>
        </w:rPr>
      </w:pPr>
      <w:bookmarkStart w:id="8" w:name="_GoBack"/>
      <w:bookmarkEnd w:id="8"/>
      <w:r>
        <w:rPr>
          <w:rFonts w:cs="Arial"/>
          <w:color w:val="000000" w:themeColor="text1"/>
          <w:sz w:val="30"/>
          <w:szCs w:val="30"/>
          <w14:textFill>
            <w14:solidFill>
              <w14:schemeClr w14:val="tx1"/>
            </w14:solidFill>
          </w14:textFill>
        </w:rPr>
        <w:t>附录2 资格审查条件（财务最低要求）</w:t>
      </w:r>
      <w:bookmarkEnd w:id="0"/>
      <w:bookmarkEnd w:id="1"/>
      <w:bookmarkEnd w:id="2"/>
      <w:bookmarkEnd w:id="3"/>
      <w:bookmarkEnd w:id="5"/>
      <w:bookmarkEnd w:id="6"/>
    </w:p>
    <w:tbl>
      <w:tblPr>
        <w:tblStyle w:val="9"/>
        <w:tblW w:w="905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6" w:hRule="atLeast"/>
          <w:jc w:val="center"/>
        </w:trPr>
        <w:tc>
          <w:tcPr>
            <w:tcW w:w="9054" w:type="dxa"/>
            <w:vAlign w:val="center"/>
          </w:tcPr>
          <w:p>
            <w:pPr>
              <w:spacing w:beforeLines="50" w:line="360" w:lineRule="auto"/>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 xml:space="preserve">财 务 </w:t>
            </w:r>
            <w:r>
              <w:rPr>
                <w:rFonts w:cs="Arial"/>
                <w:color w:val="000000" w:themeColor="text1"/>
                <w:szCs w:val="21"/>
                <w14:textFill>
                  <w14:solidFill>
                    <w14:schemeClr w14:val="tx1"/>
                  </w14:solidFill>
                </w14:textFill>
              </w:rPr>
              <w:t>要</w:t>
            </w:r>
            <w:r>
              <w:rPr>
                <w:rFonts w:hint="eastAsia" w:cs="Arial"/>
                <w:color w:val="000000" w:themeColor="text1"/>
                <w:szCs w:val="21"/>
                <w14:textFill>
                  <w14:solidFill>
                    <w14:schemeClr w14:val="tx1"/>
                  </w14:solidFill>
                </w14:textFill>
              </w:rPr>
              <w:t xml:space="preserve"> </w:t>
            </w:r>
            <w:r>
              <w:rPr>
                <w:rFonts w:cs="Arial"/>
                <w:color w:val="000000" w:themeColor="text1"/>
                <w:szCs w:val="21"/>
                <w14:textFill>
                  <w14:solidFill>
                    <w14:schemeClr w14:val="tx1"/>
                  </w14:solidFill>
                </w14:textFill>
              </w:rPr>
              <w:t>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41" w:hRule="atLeast"/>
          <w:jc w:val="center"/>
        </w:trPr>
        <w:tc>
          <w:tcPr>
            <w:tcW w:w="9054" w:type="dxa"/>
            <w:vAlign w:val="center"/>
          </w:tcPr>
          <w:p>
            <w:pP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2017年及2018年流动比率均大于1</w:t>
            </w:r>
          </w:p>
        </w:tc>
      </w:tr>
      <w:bookmarkEnd w:id="4"/>
    </w:tbl>
    <w:p>
      <w:pPr>
        <w:spacing w:before="100" w:beforeAutospacing="1" w:after="100" w:afterAutospacing="1" w:line="360" w:lineRule="auto"/>
        <w:jc w:val="center"/>
        <w:outlineLvl w:val="1"/>
        <w:rPr>
          <w:rFonts w:cs="Arial"/>
          <w:color w:val="000000" w:themeColor="text1"/>
          <w:sz w:val="30"/>
          <w:szCs w:val="30"/>
          <w14:textFill>
            <w14:solidFill>
              <w14:schemeClr w14:val="tx1"/>
            </w14:solidFill>
          </w14:textFill>
        </w:rPr>
      </w:pPr>
    </w:p>
    <w:p>
      <w:pPr>
        <w:spacing w:before="100" w:beforeAutospacing="1" w:after="100" w:afterAutospacing="1" w:line="360" w:lineRule="auto"/>
        <w:jc w:val="center"/>
        <w:outlineLvl w:val="1"/>
        <w:rPr>
          <w:rFonts w:cs="Arial"/>
          <w:i/>
          <w:color w:val="000000" w:themeColor="text1"/>
          <w:sz w:val="30"/>
          <w:szCs w:val="30"/>
          <w14:textFill>
            <w14:solidFill>
              <w14:schemeClr w14:val="tx1"/>
            </w14:solidFill>
          </w14:textFill>
        </w:rPr>
      </w:pPr>
      <w:r>
        <w:rPr>
          <w:rFonts w:cs="Arial"/>
          <w:color w:val="000000" w:themeColor="text1"/>
          <w:sz w:val="30"/>
          <w:szCs w:val="30"/>
          <w14:textFill>
            <w14:solidFill>
              <w14:schemeClr w14:val="tx1"/>
            </w14:solidFill>
          </w14:textFill>
        </w:rPr>
        <w:t>附录</w:t>
      </w:r>
      <w:r>
        <w:rPr>
          <w:rFonts w:hint="eastAsia" w:cs="Arial"/>
          <w:color w:val="000000" w:themeColor="text1"/>
          <w:sz w:val="30"/>
          <w:szCs w:val="30"/>
          <w14:textFill>
            <w14:solidFill>
              <w14:schemeClr w14:val="tx1"/>
            </w14:solidFill>
          </w14:textFill>
        </w:rPr>
        <w:t xml:space="preserve">3 </w:t>
      </w:r>
      <w:r>
        <w:rPr>
          <w:rFonts w:cs="Arial"/>
          <w:color w:val="000000" w:themeColor="text1"/>
          <w:sz w:val="30"/>
          <w:szCs w:val="30"/>
          <w14:textFill>
            <w14:solidFill>
              <w14:schemeClr w14:val="tx1"/>
            </w14:solidFill>
          </w14:textFill>
        </w:rPr>
        <w:t>资格审查条件（</w:t>
      </w:r>
      <w:r>
        <w:rPr>
          <w:rFonts w:cs="Arial"/>
          <w:color w:val="000000" w:themeColor="text1"/>
          <w:sz w:val="32"/>
          <w:szCs w:val="32"/>
          <w14:textFill>
            <w14:solidFill>
              <w14:schemeClr w14:val="tx1"/>
            </w14:solidFill>
          </w14:textFill>
        </w:rPr>
        <w:t>项目经理和项目总工</w:t>
      </w:r>
      <w:r>
        <w:rPr>
          <w:rFonts w:hint="eastAsia" w:cs="Arial"/>
          <w:color w:val="000000" w:themeColor="text1"/>
          <w:sz w:val="32"/>
          <w:szCs w:val="32"/>
          <w14:textFill>
            <w14:solidFill>
              <w14:schemeClr w14:val="tx1"/>
            </w14:solidFill>
          </w14:textFill>
        </w:rPr>
        <w:t>最低</w:t>
      </w:r>
      <w:r>
        <w:rPr>
          <w:rFonts w:cs="Arial"/>
          <w:color w:val="000000" w:themeColor="text1"/>
          <w:sz w:val="32"/>
          <w:szCs w:val="32"/>
          <w14:textFill>
            <w14:solidFill>
              <w14:schemeClr w14:val="tx1"/>
            </w14:solidFill>
          </w14:textFill>
        </w:rPr>
        <w:t>要求</w:t>
      </w:r>
      <w:r>
        <w:rPr>
          <w:rFonts w:cs="Arial"/>
          <w:color w:val="000000" w:themeColor="text1"/>
          <w:sz w:val="30"/>
          <w:szCs w:val="30"/>
          <w14:textFill>
            <w14:solidFill>
              <w14:schemeClr w14:val="tx1"/>
            </w14:solidFill>
          </w14:textFill>
        </w:rPr>
        <w:t>）</w:t>
      </w:r>
    </w:p>
    <w:tbl>
      <w:tblPr>
        <w:tblStyle w:val="9"/>
        <w:tblW w:w="9126" w:type="dxa"/>
        <w:jc w:val="center"/>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
      <w:tblGrid>
        <w:gridCol w:w="952"/>
        <w:gridCol w:w="1418"/>
        <w:gridCol w:w="795"/>
        <w:gridCol w:w="4161"/>
        <w:gridCol w:w="1800"/>
      </w:tblGrid>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Ex>
        <w:trPr>
          <w:trHeight w:val="567" w:hRule="atLeast"/>
          <w:jc w:val="center"/>
        </w:trPr>
        <w:tc>
          <w:tcPr>
            <w:tcW w:w="952" w:type="dxa"/>
            <w:tcBorders>
              <w:top w:val="single" w:color="auto" w:sz="6" w:space="0"/>
              <w:left w:val="single" w:color="auto" w:sz="2" w:space="0"/>
              <w:bottom w:val="single" w:color="auto" w:sz="6" w:space="0"/>
              <w:right w:val="single" w:color="auto" w:sz="4" w:space="0"/>
            </w:tcBorders>
            <w:vAlign w:val="center"/>
          </w:tcPr>
          <w:p>
            <w:pPr>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标段</w:t>
            </w:r>
          </w:p>
        </w:tc>
        <w:tc>
          <w:tcPr>
            <w:tcW w:w="1418" w:type="dxa"/>
            <w:tcBorders>
              <w:top w:val="single" w:color="auto" w:sz="6" w:space="0"/>
              <w:left w:val="single" w:color="auto" w:sz="4"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人员</w:t>
            </w:r>
          </w:p>
        </w:tc>
        <w:tc>
          <w:tcPr>
            <w:tcW w:w="795" w:type="dxa"/>
            <w:tcBorders>
              <w:top w:val="single" w:color="auto" w:sz="6" w:space="0"/>
              <w:left w:val="single" w:color="auto" w:sz="6"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数量</w:t>
            </w:r>
          </w:p>
        </w:tc>
        <w:tc>
          <w:tcPr>
            <w:tcW w:w="4161" w:type="dxa"/>
            <w:tcBorders>
              <w:top w:val="single" w:color="auto" w:sz="6" w:space="0"/>
              <w:left w:val="single" w:color="auto" w:sz="6" w:space="0"/>
              <w:bottom w:val="single" w:color="auto" w:sz="6" w:space="0"/>
              <w:right w:val="single" w:color="auto" w:sz="4"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资格要求</w:t>
            </w:r>
          </w:p>
        </w:tc>
        <w:tc>
          <w:tcPr>
            <w:tcW w:w="1800" w:type="dxa"/>
            <w:tcBorders>
              <w:top w:val="single" w:color="auto" w:sz="6" w:space="0"/>
              <w:left w:val="single" w:color="auto" w:sz="4" w:space="0"/>
              <w:bottom w:val="single" w:color="auto" w:sz="6" w:space="0"/>
              <w:right w:val="single" w:color="auto" w:sz="2"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在岗要求</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Ex>
        <w:trPr>
          <w:trHeight w:val="1502" w:hRule="atLeast"/>
          <w:jc w:val="center"/>
        </w:trPr>
        <w:tc>
          <w:tcPr>
            <w:tcW w:w="952" w:type="dxa"/>
            <w:vMerge w:val="restart"/>
            <w:tcBorders>
              <w:top w:val="single" w:color="auto" w:sz="6" w:space="0"/>
              <w:left w:val="single" w:color="auto" w:sz="2" w:space="0"/>
              <w:right w:val="single" w:color="auto" w:sz="4" w:space="0"/>
            </w:tcBorders>
            <w:vAlign w:val="center"/>
          </w:tcPr>
          <w:p>
            <w:pPr>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DADLQG3</w:t>
            </w:r>
          </w:p>
        </w:tc>
        <w:tc>
          <w:tcPr>
            <w:tcW w:w="1418" w:type="dxa"/>
            <w:tcBorders>
              <w:top w:val="single" w:color="auto" w:sz="6" w:space="0"/>
              <w:left w:val="single" w:color="auto" w:sz="4"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项目经理</w:t>
            </w:r>
          </w:p>
        </w:tc>
        <w:tc>
          <w:tcPr>
            <w:tcW w:w="795" w:type="dxa"/>
            <w:tcBorders>
              <w:top w:val="single" w:color="auto" w:sz="6" w:space="0"/>
              <w:left w:val="single" w:color="auto" w:sz="6"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61" w:type="dxa"/>
            <w:tcBorders>
              <w:top w:val="single" w:color="auto" w:sz="6" w:space="0"/>
              <w:left w:val="single" w:color="auto" w:sz="6" w:space="0"/>
              <w:right w:val="single" w:color="auto" w:sz="4" w:space="0"/>
            </w:tcBorders>
            <w:vAlign w:val="center"/>
          </w:tcPr>
          <w:p>
            <w:pP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工程师或以上职称，持有建设行政主管部门颁发的二级建造师注册证书</w:t>
            </w:r>
            <w:r>
              <w:rPr>
                <w:rFonts w:hint="eastAsia" w:cs="Arial"/>
                <w:color w:val="000000" w:themeColor="text1"/>
                <w14:textFill>
                  <w14:solidFill>
                    <w14:schemeClr w14:val="tx1"/>
                  </w14:solidFill>
                </w14:textFill>
              </w:rPr>
              <w:t>（</w:t>
            </w:r>
            <w:r>
              <w:rPr>
                <w:rFonts w:hint="eastAsia"/>
                <w:bCs/>
                <w:color w:val="000000" w:themeColor="text1"/>
                <w14:textFill>
                  <w14:solidFill>
                    <w14:schemeClr w14:val="tx1"/>
                  </w14:solidFill>
                </w14:textFill>
              </w:rPr>
              <w:t>机电工程专业</w:t>
            </w:r>
            <w:r>
              <w:rPr>
                <w:rFonts w:hint="eastAsia" w:cs="Arial"/>
                <w:color w:val="000000" w:themeColor="text1"/>
                <w14:textFill>
                  <w14:solidFill>
                    <w14:schemeClr w14:val="tx1"/>
                  </w14:solidFill>
                </w14:textFill>
              </w:rPr>
              <w:t>）</w:t>
            </w:r>
            <w:r>
              <w:rPr>
                <w:rFonts w:hint="eastAsia" w:cs="Arial"/>
                <w:color w:val="000000" w:themeColor="text1"/>
                <w:szCs w:val="21"/>
                <w14:textFill>
                  <w14:solidFill>
                    <w14:schemeClr w14:val="tx1"/>
                  </w14:solidFill>
                </w14:textFill>
              </w:rPr>
              <w:t>，持有有效的建设行政主管部门颁发的安全生产考核合格证书（B类证书）。</w:t>
            </w:r>
          </w:p>
        </w:tc>
        <w:tc>
          <w:tcPr>
            <w:tcW w:w="1800" w:type="dxa"/>
            <w:vMerge w:val="restart"/>
            <w:tcBorders>
              <w:top w:val="single" w:color="auto" w:sz="6" w:space="0"/>
              <w:left w:val="single" w:color="auto" w:sz="4" w:space="0"/>
              <w:right w:val="single" w:color="auto" w:sz="2" w:space="0"/>
            </w:tcBorders>
            <w:vAlign w:val="center"/>
          </w:tcPr>
          <w:p>
            <w:pP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Ex>
        <w:trPr>
          <w:trHeight w:val="1552" w:hRule="atLeast"/>
          <w:jc w:val="center"/>
        </w:trPr>
        <w:tc>
          <w:tcPr>
            <w:tcW w:w="952" w:type="dxa"/>
            <w:vMerge w:val="continue"/>
            <w:tcBorders>
              <w:left w:val="single" w:color="auto" w:sz="2" w:space="0"/>
              <w:right w:val="single" w:color="auto" w:sz="4" w:space="0"/>
            </w:tcBorders>
            <w:vAlign w:val="center"/>
          </w:tcPr>
          <w:p>
            <w:pPr>
              <w:jc w:val="center"/>
              <w:rPr>
                <w:rFonts w:cs="Arial"/>
                <w:color w:val="000000" w:themeColor="text1"/>
                <w:szCs w:val="21"/>
                <w14:textFill>
                  <w14:solidFill>
                    <w14:schemeClr w14:val="tx1"/>
                  </w14:solidFill>
                </w14:textFill>
              </w:rPr>
            </w:pPr>
          </w:p>
        </w:tc>
        <w:tc>
          <w:tcPr>
            <w:tcW w:w="1418" w:type="dxa"/>
            <w:tcBorders>
              <w:top w:val="single" w:color="auto" w:sz="6" w:space="0"/>
              <w:left w:val="single" w:color="auto" w:sz="4"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项目总工</w:t>
            </w:r>
          </w:p>
        </w:tc>
        <w:tc>
          <w:tcPr>
            <w:tcW w:w="795" w:type="dxa"/>
            <w:tcBorders>
              <w:top w:val="single" w:color="auto" w:sz="6" w:space="0"/>
              <w:left w:val="single" w:color="auto" w:sz="6"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61" w:type="dxa"/>
            <w:tcBorders>
              <w:top w:val="single" w:color="auto" w:sz="6" w:space="0"/>
              <w:left w:val="single" w:color="auto" w:sz="6" w:space="0"/>
              <w:bottom w:val="single" w:color="auto" w:sz="6" w:space="0"/>
              <w:right w:val="single" w:color="auto" w:sz="4" w:space="0"/>
            </w:tcBorders>
            <w:vAlign w:val="center"/>
          </w:tcPr>
          <w:p>
            <w:pP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 xml:space="preserve">高级工程师或以上职称（电力工程相关专业或机电工程相关专业），持有有效的建设行政主管部门颁发的安全生产考核合格证书（B类证书）。 </w:t>
            </w:r>
          </w:p>
        </w:tc>
        <w:tc>
          <w:tcPr>
            <w:tcW w:w="1800" w:type="dxa"/>
            <w:vMerge w:val="continue"/>
            <w:tcBorders>
              <w:left w:val="single" w:color="auto" w:sz="4" w:space="0"/>
              <w:right w:val="single" w:color="auto" w:sz="2" w:space="0"/>
            </w:tcBorders>
            <w:vAlign w:val="center"/>
          </w:tcPr>
          <w:p>
            <w:pPr>
              <w:rPr>
                <w:rFonts w:cs="Arial"/>
                <w:color w:val="000000" w:themeColor="text1"/>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Ex>
        <w:trPr>
          <w:trHeight w:val="1552" w:hRule="atLeast"/>
          <w:jc w:val="center"/>
        </w:trPr>
        <w:tc>
          <w:tcPr>
            <w:tcW w:w="952" w:type="dxa"/>
            <w:vMerge w:val="restart"/>
            <w:tcBorders>
              <w:left w:val="single" w:color="auto" w:sz="2" w:space="0"/>
              <w:right w:val="single" w:color="auto" w:sz="4" w:space="0"/>
            </w:tcBorders>
            <w:vAlign w:val="center"/>
          </w:tcPr>
          <w:p>
            <w:pPr>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DADLQG4</w:t>
            </w:r>
          </w:p>
        </w:tc>
        <w:tc>
          <w:tcPr>
            <w:tcW w:w="1418" w:type="dxa"/>
            <w:tcBorders>
              <w:top w:val="single" w:color="auto" w:sz="6" w:space="0"/>
              <w:left w:val="single" w:color="auto" w:sz="4"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项目经理</w:t>
            </w:r>
          </w:p>
        </w:tc>
        <w:tc>
          <w:tcPr>
            <w:tcW w:w="795" w:type="dxa"/>
            <w:tcBorders>
              <w:top w:val="single" w:color="auto" w:sz="6" w:space="0"/>
              <w:left w:val="single" w:color="auto" w:sz="6"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61" w:type="dxa"/>
            <w:tcBorders>
              <w:top w:val="single" w:color="auto" w:sz="6" w:space="0"/>
              <w:left w:val="single" w:color="auto" w:sz="6" w:space="0"/>
              <w:bottom w:val="single" w:color="auto" w:sz="6" w:space="0"/>
              <w:right w:val="single" w:color="auto" w:sz="4" w:space="0"/>
            </w:tcBorders>
            <w:vAlign w:val="center"/>
          </w:tcPr>
          <w:p>
            <w:pP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工程师或以上职称，持有建设行政主管部门颁发的一级建造师注册证书</w:t>
            </w:r>
            <w:r>
              <w:rPr>
                <w:rFonts w:hint="eastAsia" w:cs="Arial"/>
                <w:color w:val="000000" w:themeColor="text1"/>
                <w14:textFill>
                  <w14:solidFill>
                    <w14:schemeClr w14:val="tx1"/>
                  </w14:solidFill>
                </w14:textFill>
              </w:rPr>
              <w:t>（</w:t>
            </w:r>
            <w:r>
              <w:rPr>
                <w:rFonts w:hint="eastAsia"/>
                <w:bCs/>
                <w:color w:val="000000" w:themeColor="text1"/>
                <w14:textFill>
                  <w14:solidFill>
                    <w14:schemeClr w14:val="tx1"/>
                  </w14:solidFill>
                </w14:textFill>
              </w:rPr>
              <w:t>机电工程专业</w:t>
            </w:r>
            <w:r>
              <w:rPr>
                <w:rFonts w:hint="eastAsia" w:cs="Arial"/>
                <w:color w:val="000000" w:themeColor="text1"/>
                <w14:textFill>
                  <w14:solidFill>
                    <w14:schemeClr w14:val="tx1"/>
                  </w14:solidFill>
                </w14:textFill>
              </w:rPr>
              <w:t>）</w:t>
            </w:r>
            <w:r>
              <w:rPr>
                <w:rFonts w:hint="eastAsia" w:cs="Arial"/>
                <w:color w:val="000000" w:themeColor="text1"/>
                <w:szCs w:val="21"/>
                <w14:textFill>
                  <w14:solidFill>
                    <w14:schemeClr w14:val="tx1"/>
                  </w14:solidFill>
                </w14:textFill>
              </w:rPr>
              <w:t>，持有有效的建设行政主管部门颁发的安全生产考核合格证书（B类证书）。</w:t>
            </w:r>
          </w:p>
        </w:tc>
        <w:tc>
          <w:tcPr>
            <w:tcW w:w="1800" w:type="dxa"/>
            <w:vMerge w:val="restart"/>
            <w:tcBorders>
              <w:left w:val="single" w:color="auto" w:sz="4" w:space="0"/>
              <w:right w:val="single" w:color="auto" w:sz="2" w:space="0"/>
            </w:tcBorders>
            <w:vAlign w:val="center"/>
          </w:tcPr>
          <w:p>
            <w:pP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无在岗项目（指目前未在其他项目上任职，或虽在其他项目上任职但本项目中标后能够从该项目撤离）</w:t>
            </w:r>
          </w:p>
        </w:tc>
      </w:tr>
      <w:tr>
        <w:tblPrEx>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28" w:type="dxa"/>
            <w:bottom w:w="0" w:type="dxa"/>
            <w:right w:w="28" w:type="dxa"/>
          </w:tblCellMar>
        </w:tblPrEx>
        <w:trPr>
          <w:trHeight w:val="1552" w:hRule="atLeast"/>
          <w:jc w:val="center"/>
        </w:trPr>
        <w:tc>
          <w:tcPr>
            <w:tcW w:w="952" w:type="dxa"/>
            <w:vMerge w:val="continue"/>
            <w:tcBorders>
              <w:left w:val="single" w:color="auto" w:sz="2" w:space="0"/>
              <w:bottom w:val="single" w:color="auto" w:sz="6" w:space="0"/>
              <w:right w:val="single" w:color="auto" w:sz="4" w:space="0"/>
            </w:tcBorders>
            <w:vAlign w:val="center"/>
          </w:tcPr>
          <w:p>
            <w:pPr>
              <w:jc w:val="center"/>
              <w:rPr>
                <w:rFonts w:cs="Arial"/>
                <w:color w:val="000000" w:themeColor="text1"/>
                <w:szCs w:val="21"/>
                <w14:textFill>
                  <w14:solidFill>
                    <w14:schemeClr w14:val="tx1"/>
                  </w14:solidFill>
                </w14:textFill>
              </w:rPr>
            </w:pPr>
          </w:p>
        </w:tc>
        <w:tc>
          <w:tcPr>
            <w:tcW w:w="1418" w:type="dxa"/>
            <w:tcBorders>
              <w:top w:val="single" w:color="auto" w:sz="6" w:space="0"/>
              <w:left w:val="single" w:color="auto" w:sz="4"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项目总工</w:t>
            </w:r>
          </w:p>
        </w:tc>
        <w:tc>
          <w:tcPr>
            <w:tcW w:w="795" w:type="dxa"/>
            <w:tcBorders>
              <w:top w:val="single" w:color="auto" w:sz="6" w:space="0"/>
              <w:left w:val="single" w:color="auto" w:sz="6" w:space="0"/>
              <w:bottom w:val="single" w:color="auto" w:sz="6" w:space="0"/>
              <w:right w:val="single" w:color="auto" w:sz="6" w:space="0"/>
            </w:tcBorders>
            <w:vAlign w:val="center"/>
          </w:tcPr>
          <w:p>
            <w:pPr>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4161" w:type="dxa"/>
            <w:tcBorders>
              <w:top w:val="single" w:color="auto" w:sz="6" w:space="0"/>
              <w:left w:val="single" w:color="auto" w:sz="6" w:space="0"/>
              <w:right w:val="single" w:color="auto" w:sz="4" w:space="0"/>
            </w:tcBorders>
            <w:vAlign w:val="center"/>
          </w:tcPr>
          <w:p>
            <w:pP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 xml:space="preserve">高级工程师或以上职称（电力工程相关专业或机电工程相关专业），持有有效的建设行政主管部门颁发的安全生产考核合格证书（B类证书）。 </w:t>
            </w:r>
          </w:p>
        </w:tc>
        <w:tc>
          <w:tcPr>
            <w:tcW w:w="1800" w:type="dxa"/>
            <w:vMerge w:val="continue"/>
            <w:tcBorders>
              <w:left w:val="single" w:color="auto" w:sz="4" w:space="0"/>
              <w:right w:val="single" w:color="auto" w:sz="2" w:space="0"/>
            </w:tcBorders>
            <w:vAlign w:val="center"/>
          </w:tcPr>
          <w:p>
            <w:pPr>
              <w:rPr>
                <w:rFonts w:cs="Arial"/>
                <w:color w:val="000000" w:themeColor="text1"/>
                <w:szCs w:val="21"/>
                <w14:textFill>
                  <w14:solidFill>
                    <w14:schemeClr w14:val="tx1"/>
                  </w14:solidFill>
                </w14:textFill>
              </w:rPr>
            </w:pPr>
          </w:p>
        </w:tc>
      </w:tr>
    </w:tbl>
    <w:p>
      <w:pPr>
        <w:spacing w:beforeLines="50" w:line="300" w:lineRule="exact"/>
        <w:rPr>
          <w:rFonts w:cs="Arial"/>
          <w:color w:val="000000" w:themeColor="text1"/>
          <w:sz w:val="18"/>
          <w:szCs w:val="18"/>
          <w14:textFill>
            <w14:solidFill>
              <w14:schemeClr w14:val="tx1"/>
            </w14:solidFill>
          </w14:textFill>
        </w:rPr>
      </w:pPr>
      <w:r>
        <w:rPr>
          <w:rFonts w:cs="Arial"/>
          <w:color w:val="000000" w:themeColor="text1"/>
          <w:sz w:val="18"/>
          <w:szCs w:val="18"/>
          <w14:textFill>
            <w14:solidFill>
              <w14:schemeClr w14:val="tx1"/>
            </w14:solidFill>
          </w14:textFill>
        </w:rPr>
        <w:t>注：1、建造师注册证书的注册单位、安全生产考核合格证书的持证单位必须与投标单位名称一致，正在办理变更的必须提供发证机关出具的证明文件</w:t>
      </w:r>
      <w:r>
        <w:rPr>
          <w:rFonts w:hint="eastAsia" w:cs="Arial"/>
          <w:color w:val="000000" w:themeColor="text1"/>
          <w:sz w:val="18"/>
          <w:szCs w:val="18"/>
          <w14:textFill>
            <w14:solidFill>
              <w14:schemeClr w14:val="tx1"/>
            </w14:solidFill>
          </w14:textFill>
        </w:rPr>
        <w:t>（其它证明无效）</w:t>
      </w:r>
      <w:r>
        <w:rPr>
          <w:rFonts w:cs="Arial"/>
          <w:color w:val="000000" w:themeColor="text1"/>
          <w:sz w:val="18"/>
          <w:szCs w:val="18"/>
          <w14:textFill>
            <w14:solidFill>
              <w14:schemeClr w14:val="tx1"/>
            </w14:solidFill>
          </w14:textFill>
        </w:rPr>
        <w:t>。</w:t>
      </w:r>
      <w:r>
        <w:rPr>
          <w:rFonts w:hint="eastAsia" w:cs="Arial"/>
          <w:color w:val="000000" w:themeColor="text1"/>
          <w:sz w:val="18"/>
          <w:szCs w:val="18"/>
          <w14:textFill>
            <w14:solidFill>
              <w14:schemeClr w14:val="tx1"/>
            </w14:solidFill>
          </w14:textFill>
        </w:rPr>
        <w:t>项目经理的注册建造师证书，应可从http://www.coc.gov.cn/“注册建造师查询”栏链接中查询到；如从上述网站查询不到或与查询到的信息不符，则不予认定。</w:t>
      </w:r>
    </w:p>
    <w:p>
      <w:pPr>
        <w:spacing w:line="300" w:lineRule="exact"/>
        <w:ind w:firstLine="360"/>
        <w:rPr>
          <w:rFonts w:cs="Arial"/>
          <w:color w:val="000000" w:themeColor="text1"/>
          <w:sz w:val="18"/>
          <w:szCs w:val="18"/>
          <w14:textFill>
            <w14:solidFill>
              <w14:schemeClr w14:val="tx1"/>
            </w14:solidFill>
          </w14:textFill>
        </w:rPr>
      </w:pPr>
      <w:r>
        <w:rPr>
          <w:rFonts w:hint="eastAsia" w:cs="Arial"/>
          <w:color w:val="000000" w:themeColor="text1"/>
          <w:sz w:val="18"/>
          <w:szCs w:val="18"/>
          <w14:textFill>
            <w14:solidFill>
              <w14:schemeClr w14:val="tx1"/>
            </w14:solidFill>
          </w14:textFill>
        </w:rPr>
        <w:t>2、如项目经理或项目总工目前仍在其他项目上任职，则投标人应提供该项目发包人出具的承诺上述人员能够从该项目撤离的书面证明材料原件。</w:t>
      </w:r>
    </w:p>
    <w:p>
      <w:pPr>
        <w:rPr>
          <w:color w:val="000000" w:themeColor="text1"/>
          <w:sz w:val="18"/>
          <w14:textFill>
            <w14:solidFill>
              <w14:schemeClr w14:val="tx1"/>
            </w14:solidFill>
          </w14:textFill>
        </w:rPr>
        <w:sectPr>
          <w:headerReference r:id="rId3" w:type="default"/>
          <w:footerReference r:id="rId5" w:type="default"/>
          <w:headerReference r:id="rId4" w:type="even"/>
          <w:footerReference r:id="rId6" w:type="even"/>
          <w:pgSz w:w="11910" w:h="16850"/>
          <w:pgMar w:top="1480" w:right="1200" w:bottom="1040" w:left="1220" w:header="876" w:footer="853" w:gutter="0"/>
          <w:cols w:space="720" w:num="1"/>
        </w:sectPr>
      </w:pPr>
    </w:p>
    <w:p>
      <w:pPr>
        <w:pStyle w:val="2"/>
        <w:jc w:val="center"/>
        <w:rPr>
          <w:color w:val="000000" w:themeColor="text1"/>
          <w14:textFill>
            <w14:solidFill>
              <w14:schemeClr w14:val="tx1"/>
            </w14:solidFill>
          </w14:textFill>
        </w:rPr>
      </w:pPr>
      <w:r>
        <w:rPr>
          <w:color w:val="000000" w:themeColor="text1"/>
          <w14:textFill>
            <w14:solidFill>
              <w14:schemeClr w14:val="tx1"/>
            </w14:solidFill>
          </w14:textFill>
        </w:rPr>
        <w:t>第三章</w:t>
      </w:r>
      <w:r>
        <w:rPr>
          <w:rFonts w:hint="eastAsia"/>
          <w:color w:val="000000" w:themeColor="text1"/>
          <w14:textFill>
            <w14:solidFill>
              <w14:schemeClr w14:val="tx1"/>
            </w14:solidFill>
          </w14:textFill>
        </w:rPr>
        <w:t xml:space="preserve"> </w:t>
      </w:r>
      <w:r>
        <w:rPr>
          <w:color w:val="000000" w:themeColor="text1"/>
          <w14:textFill>
            <w14:solidFill>
              <w14:schemeClr w14:val="tx1"/>
            </w14:solidFill>
          </w14:textFill>
        </w:rPr>
        <w:t>评标办法（</w:t>
      </w:r>
      <w:r>
        <w:rPr>
          <w:rFonts w:hint="eastAsia"/>
          <w:color w:val="000000" w:themeColor="text1"/>
          <w14:textFill>
            <w14:solidFill>
              <w14:schemeClr w14:val="tx1"/>
            </w14:solidFill>
          </w14:textFill>
        </w:rPr>
        <w:t>综合评分法</w:t>
      </w:r>
      <w:r>
        <w:rPr>
          <w:color w:val="000000" w:themeColor="text1"/>
          <w14:textFill>
            <w14:solidFill>
              <w14:schemeClr w14:val="tx1"/>
            </w14:solidFill>
          </w14:textFill>
        </w:rPr>
        <w:t>）</w:t>
      </w:r>
    </w:p>
    <w:p>
      <w:pPr>
        <w:rPr>
          <w:color w:val="000000" w:themeColor="text1"/>
          <w14:textFill>
            <w14:solidFill>
              <w14:schemeClr w14:val="tx1"/>
            </w14:solidFill>
          </w14:textFill>
        </w:rPr>
      </w:pPr>
    </w:p>
    <w:p>
      <w:pPr>
        <w:pStyle w:val="5"/>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说明：“评标办法前附表”是对“ 评标办法正文”的补充、细化，“评标办法前附表”与“ 评标办法正文”不一致的以“ 评标办法前附表”为准。</w:t>
      </w:r>
    </w:p>
    <w:p>
      <w:pPr>
        <w:pStyle w:val="5"/>
        <w:rPr>
          <w:rFonts w:ascii="宋体" w:hAnsi="宋体"/>
          <w:color w:val="000000" w:themeColor="text1"/>
          <w14:textFill>
            <w14:solidFill>
              <w14:schemeClr w14:val="tx1"/>
            </w14:solidFill>
          </w14:textFill>
        </w:rPr>
      </w:pPr>
    </w:p>
    <w:p>
      <w:pPr>
        <w:rPr>
          <w:color w:val="000000" w:themeColor="text1"/>
          <w:sz w:val="28"/>
          <w:szCs w:val="28"/>
          <w14:textFill>
            <w14:solidFill>
              <w14:schemeClr w14:val="tx1"/>
            </w14:solidFill>
          </w14:textFill>
        </w:rPr>
      </w:pPr>
      <w:r>
        <w:rPr>
          <w:rFonts w:cs="Arial"/>
          <w:b/>
          <w:color w:val="000000" w:themeColor="text1"/>
          <w:sz w:val="28"/>
          <w:szCs w:val="28"/>
          <w14:textFill>
            <w14:solidFill>
              <w14:schemeClr w14:val="tx1"/>
            </w14:solidFill>
          </w14:textFill>
        </w:rPr>
        <w:t>评标办法前附表</w:t>
      </w:r>
    </w:p>
    <w:tbl>
      <w:tblPr>
        <w:tblStyle w:val="9"/>
        <w:tblW w:w="92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31"/>
        <w:gridCol w:w="1336"/>
        <w:gridCol w:w="690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2367" w:type="dxa"/>
            <w:gridSpan w:val="2"/>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Arial"/>
                <w:b/>
                <w:color w:val="000000" w:themeColor="text1"/>
                <w:szCs w:val="21"/>
                <w14:textFill>
                  <w14:solidFill>
                    <w14:schemeClr w14:val="tx1"/>
                  </w14:solidFill>
                </w14:textFill>
              </w:rPr>
            </w:pPr>
            <w:r>
              <w:rPr>
                <w:rFonts w:cs="Arial"/>
                <w:b/>
                <w:color w:val="000000" w:themeColor="text1"/>
                <w:szCs w:val="21"/>
                <w14:textFill>
                  <w14:solidFill>
                    <w14:schemeClr w14:val="tx1"/>
                  </w14:solidFill>
                </w14:textFill>
              </w:rPr>
              <w:t>条款号</w:t>
            </w:r>
          </w:p>
        </w:tc>
        <w:tc>
          <w:tcPr>
            <w:tcW w:w="690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Arial"/>
                <w:b/>
                <w:color w:val="000000" w:themeColor="text1"/>
                <w:szCs w:val="21"/>
                <w14:textFill>
                  <w14:solidFill>
                    <w14:schemeClr w14:val="tx1"/>
                  </w14:solidFill>
                </w14:textFill>
              </w:rPr>
            </w:pPr>
            <w:r>
              <w:rPr>
                <w:rFonts w:cs="Arial"/>
                <w:b/>
                <w:color w:val="000000" w:themeColor="text1"/>
                <w:szCs w:val="21"/>
                <w14:textFill>
                  <w14:solidFill>
                    <w14:schemeClr w14:val="tx1"/>
                  </w14:solidFill>
                </w14:textFill>
              </w:rPr>
              <w:t>评审因素与评审标准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w:t>
            </w:r>
          </w:p>
        </w:tc>
        <w:tc>
          <w:tcPr>
            <w:tcW w:w="1336"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评标办法</w:t>
            </w:r>
          </w:p>
        </w:tc>
        <w:tc>
          <w:tcPr>
            <w:tcW w:w="690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综合评分相等时，评标委员会依次按照以下优先顺序推荐中标候选人或确定中标人：</w:t>
            </w:r>
          </w:p>
          <w:p>
            <w:pPr>
              <w:snapToGrid w:val="0"/>
              <w:spacing w:line="300" w:lineRule="exact"/>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（1）评标价低的</w:t>
            </w:r>
            <w:r>
              <w:rPr>
                <w:rFonts w:hint="eastAsia" w:cs="Arial"/>
                <w:color w:val="000000" w:themeColor="text1"/>
                <w:szCs w:val="21"/>
                <w14:textFill>
                  <w14:solidFill>
                    <w14:schemeClr w14:val="tx1"/>
                  </w14:solidFill>
                </w14:textFill>
              </w:rPr>
              <w:t>投标人</w:t>
            </w:r>
            <w:r>
              <w:rPr>
                <w:rFonts w:cs="Arial"/>
                <w:color w:val="000000" w:themeColor="text1"/>
                <w:szCs w:val="21"/>
                <w14:textFill>
                  <w14:solidFill>
                    <w14:schemeClr w14:val="tx1"/>
                  </w14:solidFill>
                </w14:textFill>
              </w:rPr>
              <w:t>优先</w:t>
            </w:r>
            <w:r>
              <w:rPr>
                <w:rFonts w:hint="eastAsia" w:cs="Arial"/>
                <w:color w:val="000000" w:themeColor="text1"/>
                <w:szCs w:val="21"/>
                <w14:textFill>
                  <w14:solidFill>
                    <w14:schemeClr w14:val="tx1"/>
                  </w14:solidFill>
                </w14:textFill>
              </w:rPr>
              <w:t>；</w:t>
            </w:r>
          </w:p>
          <w:p>
            <w:pPr>
              <w:spacing w:line="300" w:lineRule="exact"/>
              <w:ind w:right="113"/>
              <w:rPr>
                <w:rFonts w:cs="Arial"/>
                <w:color w:val="000000" w:themeColor="text1"/>
                <w:szCs w:val="21"/>
                <w14:textFill>
                  <w14:solidFill>
                    <w14:schemeClr w14:val="tx1"/>
                  </w14:solidFill>
                </w14:textFill>
              </w:rPr>
            </w:pPr>
            <w:r>
              <w:rPr>
                <w:rFonts w:hint="eastAsia" w:cs="Arial"/>
                <w:b/>
                <w:color w:val="000000" w:themeColor="text1"/>
                <w:szCs w:val="21"/>
                <w14:textFill>
                  <w14:solidFill>
                    <w14:schemeClr w14:val="tx1"/>
                  </w14:solidFill>
                </w14:textFill>
              </w:rPr>
              <w:t>（2）</w:t>
            </w:r>
            <w:r>
              <w:rPr>
                <w:rFonts w:cs="Arial"/>
                <w:color w:val="000000" w:themeColor="text1"/>
                <w:szCs w:val="21"/>
                <w14:textFill>
                  <w14:solidFill>
                    <w14:schemeClr w14:val="tx1"/>
                  </w14:solidFill>
                </w14:textFill>
              </w:rPr>
              <w:t>评标价</w:t>
            </w:r>
            <w:r>
              <w:rPr>
                <w:rFonts w:hint="eastAsia" w:cs="Arial"/>
                <w:color w:val="000000" w:themeColor="text1"/>
                <w:szCs w:val="21"/>
                <w14:textFill>
                  <w14:solidFill>
                    <w14:schemeClr w14:val="tx1"/>
                  </w14:solidFill>
                </w14:textFill>
              </w:rPr>
              <w:t>得分低</w:t>
            </w:r>
            <w:r>
              <w:rPr>
                <w:rFonts w:cs="Arial"/>
                <w:color w:val="000000" w:themeColor="text1"/>
                <w:szCs w:val="21"/>
                <w14:textFill>
                  <w14:solidFill>
                    <w14:schemeClr w14:val="tx1"/>
                  </w14:solidFill>
                </w14:textFill>
              </w:rPr>
              <w:t>的</w:t>
            </w:r>
            <w:r>
              <w:rPr>
                <w:rFonts w:hint="eastAsia" w:cs="Arial"/>
                <w:color w:val="000000" w:themeColor="text1"/>
                <w:szCs w:val="21"/>
                <w14:textFill>
                  <w14:solidFill>
                    <w14:schemeClr w14:val="tx1"/>
                  </w14:solidFill>
                </w14:textFill>
              </w:rPr>
              <w:t>投标人</w:t>
            </w:r>
            <w:r>
              <w:rPr>
                <w:rFonts w:cs="Arial"/>
                <w:color w:val="000000" w:themeColor="text1"/>
                <w:szCs w:val="21"/>
                <w14:textFill>
                  <w14:solidFill>
                    <w14:schemeClr w14:val="tx1"/>
                  </w14:solidFill>
                </w14:textFill>
              </w:rPr>
              <w:t>优先</w:t>
            </w:r>
            <w:r>
              <w:rPr>
                <w:rFonts w:hint="eastAsia" w:cs="Arial"/>
                <w:color w:val="000000" w:themeColor="text1"/>
                <w:szCs w:val="21"/>
                <w14:textFill>
                  <w14:solidFill>
                    <w14:schemeClr w14:val="tx1"/>
                  </w14:solidFill>
                </w14:textFill>
              </w:rPr>
              <w:t>；</w:t>
            </w:r>
          </w:p>
          <w:p>
            <w:pPr>
              <w:spacing w:line="300" w:lineRule="exact"/>
              <w:ind w:right="113"/>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3</w:t>
            </w: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标书款交纳时间较早的优先。</w:t>
            </w:r>
            <w:r>
              <w:rPr>
                <w:rFonts w:cs="Arial"/>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pacing w:line="400" w:lineRule="atLeast"/>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2.1.1</w:t>
            </w:r>
          </w:p>
          <w:p>
            <w:pPr>
              <w:keepNext/>
              <w:keepLines/>
              <w:spacing w:before="260" w:after="260" w:line="400" w:lineRule="atLeast"/>
              <w:jc w:val="center"/>
              <w:outlineLvl w:val="1"/>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2.1.3</w:t>
            </w:r>
          </w:p>
        </w:tc>
        <w:tc>
          <w:tcPr>
            <w:tcW w:w="1336" w:type="dxa"/>
            <w:tcBorders>
              <w:top w:val="single" w:color="auto" w:sz="4" w:space="0"/>
              <w:left w:val="nil"/>
              <w:bottom w:val="single" w:color="auto" w:sz="4" w:space="0"/>
              <w:right w:val="single" w:color="auto" w:sz="4" w:space="0"/>
            </w:tcBorders>
            <w:vAlign w:val="center"/>
          </w:tcPr>
          <w:p>
            <w:pPr>
              <w:spacing w:line="400" w:lineRule="atLeast"/>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形式评审与响应性评审标准</w:t>
            </w:r>
          </w:p>
        </w:tc>
        <w:tc>
          <w:tcPr>
            <w:tcW w:w="6901" w:type="dxa"/>
            <w:tcBorders>
              <w:top w:val="single" w:color="auto" w:sz="4" w:space="0"/>
              <w:left w:val="single" w:color="auto" w:sz="4" w:space="0"/>
              <w:bottom w:val="single" w:color="auto" w:sz="4" w:space="0"/>
              <w:right w:val="single" w:color="auto" w:sz="4" w:space="0"/>
            </w:tcBorders>
            <w:vAlign w:val="center"/>
          </w:tcPr>
          <w:p>
            <w:pPr>
              <w:tabs>
                <w:tab w:val="left" w:pos="315"/>
                <w:tab w:val="left" w:pos="690"/>
              </w:tabs>
              <w:spacing w:line="300" w:lineRule="auto"/>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（1）投标文件按照招标文件规定的格式、内容填写，字迹清晰可辨：</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a．投标函按招标文件规定填报了项目名称、标段号、补遗书编号（如有）、工期、工程质量要求</w:t>
            </w: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安全目标</w:t>
            </w:r>
            <w:r>
              <w:rPr>
                <w:rFonts w:hint="eastAsia" w:cs="Arial"/>
                <w:color w:val="000000" w:themeColor="text1"/>
                <w14:textFill>
                  <w14:solidFill>
                    <w14:schemeClr w14:val="tx1"/>
                  </w14:solidFill>
                </w14:textFill>
              </w:rPr>
              <w:t>及</w:t>
            </w:r>
            <w:r>
              <w:rPr>
                <w:rFonts w:cs="Arial"/>
                <w:color w:val="000000" w:themeColor="text1"/>
                <w14:textFill>
                  <w14:solidFill>
                    <w14:schemeClr w14:val="tx1"/>
                  </w14:solidFill>
                </w14:textFill>
              </w:rPr>
              <w:t>投标价（包括大写金额和小写金额）；</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b．投标函附录的所有数据均符合招标文件规定； </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c．</w:t>
            </w:r>
            <w:r>
              <w:rPr>
                <w:rFonts w:hint="eastAsia" w:cs="Arial"/>
                <w:color w:val="000000" w:themeColor="text1"/>
                <w14:textFill>
                  <w14:solidFill>
                    <w14:schemeClr w14:val="tx1"/>
                  </w14:solidFill>
                </w14:textFill>
              </w:rPr>
              <w:t>已</w:t>
            </w:r>
            <w:r>
              <w:rPr>
                <w:rFonts w:cs="Arial"/>
                <w:color w:val="000000" w:themeColor="text1"/>
                <w14:textFill>
                  <w14:solidFill>
                    <w14:schemeClr w14:val="tx1"/>
                  </w14:solidFill>
                </w14:textFill>
              </w:rPr>
              <w:t>标价工程量清单说明文字与招标文件规定一致，未进行实质性修改和删减</w:t>
            </w:r>
            <w:r>
              <w:rPr>
                <w:rFonts w:hint="eastAsia" w:cs="Arial"/>
                <w:color w:val="000000" w:themeColor="text1"/>
                <w14:textFill>
                  <w14:solidFill>
                    <w14:schemeClr w14:val="tx1"/>
                  </w14:solidFill>
                </w14:textFill>
              </w:rPr>
              <w:t>；</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d</w:t>
            </w:r>
            <w:r>
              <w:rPr>
                <w:rFonts w:cs="Arial"/>
                <w:color w:val="000000" w:themeColor="text1"/>
                <w14:textFill>
                  <w14:solidFill>
                    <w14:schemeClr w14:val="tx1"/>
                  </w14:solidFill>
                </w14:textFill>
              </w:rPr>
              <w:t>．投标文件组成齐全完整，内容均按规定填写。</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（2）投标文件上法定代表人或其委托代理人的签字、投标人的单位章盖章齐全，符合招标文件规定。</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3</w:t>
            </w:r>
            <w:r>
              <w:rPr>
                <w:rFonts w:cs="Arial"/>
                <w:color w:val="000000" w:themeColor="text1"/>
                <w14:textFill>
                  <w14:solidFill>
                    <w14:schemeClr w14:val="tx1"/>
                  </w14:solidFill>
                </w14:textFill>
              </w:rPr>
              <w:t>）投标人按照招标文件的规定提供了投标保证金：</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a．投标保证金金额符合招标文件规定的金额，且投标保证金有效期不少于投标有效期；</w:t>
            </w:r>
          </w:p>
          <w:p>
            <w:pPr>
              <w:tabs>
                <w:tab w:val="left" w:pos="690"/>
                <w:tab w:val="left" w:pos="1980"/>
              </w:tabs>
              <w:spacing w:line="300" w:lineRule="auto"/>
              <w:ind w:firstLine="220" w:firstLineChars="10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b．若投标保证金采用现金或支票形式提交，投标人应在递交投标文件截止时间之前，将投标保证金由投标人的基本账户转入招标人指定账户； </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c．若投标保证金采用银行保函形式提交，银行保函的格式、开具保函的银行均满足招标文件要求，且在递交投标文件截止时间之前向招标人提交了银行保函原件。</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4</w:t>
            </w:r>
            <w:r>
              <w:rPr>
                <w:rFonts w:cs="Arial"/>
                <w:color w:val="000000" w:themeColor="text1"/>
                <w14:textFill>
                  <w14:solidFill>
                    <w14:schemeClr w14:val="tx1"/>
                  </w14:solidFill>
                </w14:textFill>
              </w:rPr>
              <w:t>）投标人法定代表人授权委托代理人签署投标文件的，需提交授权委托书，且授权人和被授权人均在授权委托书上签名，未使用印章、签名章或其他电子制版签名代替。</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5</w:t>
            </w:r>
            <w:r>
              <w:rPr>
                <w:rFonts w:cs="Arial"/>
                <w:color w:val="000000" w:themeColor="text1"/>
                <w14:textFill>
                  <w14:solidFill>
                    <w14:schemeClr w14:val="tx1"/>
                  </w14:solidFill>
                </w14:textFill>
              </w:rPr>
              <w:t>）投标人法定代表人亲自签署投标文件的，提供了法定代表人身份证明，且法定代表人在法定代表人身份证明上签名，未使用印章、签名章或其他电子制版签名代替。</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6</w:t>
            </w:r>
            <w:r>
              <w:rPr>
                <w:rFonts w:cs="Arial"/>
                <w:color w:val="000000" w:themeColor="text1"/>
                <w14:textFill>
                  <w14:solidFill>
                    <w14:schemeClr w14:val="tx1"/>
                  </w14:solidFill>
                </w14:textFill>
              </w:rPr>
              <w:t>）同一投标人未提交两个以上不同的投标文件，但招标文件要求提交备选投标的除外。</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7</w:t>
            </w:r>
            <w:r>
              <w:rPr>
                <w:rFonts w:cs="Arial"/>
                <w:color w:val="000000" w:themeColor="text1"/>
                <w14:textFill>
                  <w14:solidFill>
                    <w14:schemeClr w14:val="tx1"/>
                  </w14:solidFill>
                </w14:textFill>
              </w:rPr>
              <w:t>）投标文件中未出现有关投标报价的内容。</w:t>
            </w:r>
          </w:p>
          <w:p>
            <w:pPr>
              <w:tabs>
                <w:tab w:val="left" w:pos="315"/>
                <w:tab w:val="left" w:pos="690"/>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8</w:t>
            </w:r>
            <w:r>
              <w:rPr>
                <w:rFonts w:cs="Arial"/>
                <w:color w:val="000000" w:themeColor="text1"/>
                <w14:textFill>
                  <w14:solidFill>
                    <w14:schemeClr w14:val="tx1"/>
                  </w14:solidFill>
                </w14:textFill>
              </w:rPr>
              <w:t>）投标文件载明的招标项目完成期限未超过招标文件规定的时限。</w:t>
            </w:r>
          </w:p>
          <w:p>
            <w:pPr>
              <w:tabs>
                <w:tab w:val="left" w:pos="315"/>
                <w:tab w:val="left" w:pos="690"/>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9</w:t>
            </w:r>
            <w:r>
              <w:rPr>
                <w:rFonts w:cs="Arial"/>
                <w:color w:val="000000" w:themeColor="text1"/>
                <w14:textFill>
                  <w14:solidFill>
                    <w14:schemeClr w14:val="tx1"/>
                  </w14:solidFill>
                </w14:textFill>
              </w:rPr>
              <w:t>）</w:t>
            </w:r>
            <w:r>
              <w:rPr>
                <w:rFonts w:cs="Arial"/>
                <w:color w:val="000000" w:themeColor="text1"/>
                <w14:textFill>
                  <w14:solidFill>
                    <w14:schemeClr w14:val="tx1"/>
                  </w14:solidFill>
                </w14:textFill>
              </w:rPr>
              <w:tab/>
            </w:r>
            <w:r>
              <w:rPr>
                <w:rFonts w:cs="Arial"/>
                <w:color w:val="000000" w:themeColor="text1"/>
                <w14:textFill>
                  <w14:solidFill>
                    <w14:schemeClr w14:val="tx1"/>
                  </w14:solidFill>
                </w14:textFill>
              </w:rPr>
              <w:t>投标文件对招标文件的实质性要求和条件作出响应。</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10</w:t>
            </w:r>
            <w:r>
              <w:rPr>
                <w:rFonts w:cs="Arial"/>
                <w:color w:val="000000" w:themeColor="text1"/>
                <w14:textFill>
                  <w14:solidFill>
                    <w14:schemeClr w14:val="tx1"/>
                  </w14:solidFill>
                </w14:textFill>
              </w:rPr>
              <w:t>）投标报价未超过招标文件设定的最高投标限价</w:t>
            </w:r>
            <w:r>
              <w:rPr>
                <w:rFonts w:hint="eastAsia" w:cs="Arial"/>
                <w:color w:val="000000" w:themeColor="text1"/>
                <w14:textFill>
                  <w14:solidFill>
                    <w14:schemeClr w14:val="tx1"/>
                  </w14:solidFill>
                </w14:textFill>
              </w:rPr>
              <w:t>且主要工程细目清单的综合单价未超过招标文件设定的最高细目限价</w:t>
            </w:r>
            <w:r>
              <w:rPr>
                <w:rFonts w:cs="Arial"/>
                <w:color w:val="000000" w:themeColor="text1"/>
                <w14:textFill>
                  <w14:solidFill>
                    <w14:schemeClr w14:val="tx1"/>
                  </w14:solidFill>
                </w14:textFill>
              </w:rPr>
              <w:t>。</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11</w:t>
            </w:r>
            <w:r>
              <w:rPr>
                <w:rFonts w:cs="Arial"/>
                <w:color w:val="000000" w:themeColor="text1"/>
                <w14:textFill>
                  <w14:solidFill>
                    <w14:schemeClr w14:val="tx1"/>
                  </w14:solidFill>
                </w14:textFill>
              </w:rPr>
              <w:t>）投标报价的大写金额能够确定具体数值。</w:t>
            </w:r>
          </w:p>
          <w:p>
            <w:pPr>
              <w:tabs>
                <w:tab w:val="left" w:pos="315"/>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12</w:t>
            </w:r>
            <w:r>
              <w:rPr>
                <w:rFonts w:cs="Arial"/>
                <w:color w:val="000000" w:themeColor="text1"/>
                <w14:textFill>
                  <w14:solidFill>
                    <w14:schemeClr w14:val="tx1"/>
                  </w14:solidFill>
                </w14:textFill>
              </w:rPr>
              <w:t>）同一投标人未提交两个以上不同的投标报价，但招标文件要求提交备选投标的除外。</w:t>
            </w:r>
          </w:p>
          <w:p>
            <w:pPr>
              <w:tabs>
                <w:tab w:val="left" w:pos="315"/>
                <w:tab w:val="left" w:pos="690"/>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（1</w:t>
            </w:r>
            <w:r>
              <w:rPr>
                <w:rFonts w:hint="eastAsia" w:cs="Arial"/>
                <w:color w:val="000000" w:themeColor="text1"/>
                <w14:textFill>
                  <w14:solidFill>
                    <w14:schemeClr w14:val="tx1"/>
                  </w14:solidFill>
                </w14:textFill>
              </w:rPr>
              <w:t>3</w:t>
            </w:r>
            <w:r>
              <w:rPr>
                <w:rFonts w:cs="Arial"/>
                <w:color w:val="000000" w:themeColor="text1"/>
                <w14:textFill>
                  <w14:solidFill>
                    <w14:schemeClr w14:val="tx1"/>
                  </w14:solidFill>
                </w14:textFill>
              </w:rPr>
              <w:t>）</w:t>
            </w:r>
            <w:r>
              <w:rPr>
                <w:rFonts w:cs="Arial"/>
                <w:color w:val="000000" w:themeColor="text1"/>
                <w14:textFill>
                  <w14:solidFill>
                    <w14:schemeClr w14:val="tx1"/>
                  </w14:solidFill>
                </w14:textFill>
              </w:rPr>
              <w:tab/>
            </w:r>
            <w:r>
              <w:rPr>
                <w:rFonts w:cs="Arial"/>
                <w:color w:val="000000" w:themeColor="text1"/>
                <w14:textFill>
                  <w14:solidFill>
                    <w14:schemeClr w14:val="tx1"/>
                  </w14:solidFill>
                </w14:textFill>
              </w:rPr>
              <w:t>权利义务符合招标文件规定：</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a．投标人应接受招标文件规定的风险划分原则，未提出新的风险划分办法；</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b．投标人未增加发包人的责任范围，或减少投标人义务； </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c．投标人未提出不同的工程验收、计量、支付办法； </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 xml:space="preserve">d．投标人对合同纠纷、事故处理办法未提出异议； </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e．投标人在投标活动中无欺诈行为；</w:t>
            </w:r>
          </w:p>
          <w:p>
            <w:pPr>
              <w:tabs>
                <w:tab w:val="left" w:pos="315"/>
                <w:tab w:val="left" w:pos="690"/>
              </w:tabs>
              <w:spacing w:line="300" w:lineRule="auto"/>
              <w:ind w:firstLine="198" w:firstLineChars="90"/>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f．投标人未对合同有重要保留。</w:t>
            </w:r>
          </w:p>
          <w:p>
            <w:pPr>
              <w:tabs>
                <w:tab w:val="left" w:pos="315"/>
                <w:tab w:val="left" w:pos="690"/>
              </w:tabs>
              <w:spacing w:line="300" w:lineRule="auto"/>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14</w:t>
            </w:r>
            <w:r>
              <w:rPr>
                <w:rFonts w:cs="Arial"/>
                <w:color w:val="000000" w:themeColor="text1"/>
                <w14:textFill>
                  <w14:solidFill>
                    <w14:schemeClr w14:val="tx1"/>
                  </w14:solidFill>
                </w14:textFill>
              </w:rPr>
              <w:t>）</w:t>
            </w:r>
            <w:r>
              <w:rPr>
                <w:rFonts w:cs="Arial"/>
                <w:color w:val="000000" w:themeColor="text1"/>
                <w14:textFill>
                  <w14:solidFill>
                    <w14:schemeClr w14:val="tx1"/>
                  </w14:solidFill>
                </w14:textFill>
              </w:rPr>
              <w:tab/>
            </w:r>
            <w:r>
              <w:rPr>
                <w:rFonts w:cs="Arial"/>
                <w:color w:val="000000" w:themeColor="text1"/>
                <w14:textFill>
                  <w14:solidFill>
                    <w14:schemeClr w14:val="tx1"/>
                  </w14:solidFill>
                </w14:textFill>
              </w:rPr>
              <w:t>投标文件正、副本份数符合招标文件第二章</w:t>
            </w: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投标人须知</w:t>
            </w: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第3.7.4项规定。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rPr>
        <w:tc>
          <w:tcPr>
            <w:tcW w:w="103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jc w:val="cente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2.1.2</w:t>
            </w:r>
          </w:p>
        </w:tc>
        <w:tc>
          <w:tcPr>
            <w:tcW w:w="1336" w:type="dxa"/>
            <w:tcBorders>
              <w:top w:val="single" w:color="auto" w:sz="4" w:space="0"/>
              <w:left w:val="nil"/>
              <w:bottom w:val="single" w:color="auto" w:sz="4" w:space="0"/>
              <w:right w:val="single" w:color="auto" w:sz="4" w:space="0"/>
            </w:tcBorders>
            <w:vAlign w:val="center"/>
          </w:tcPr>
          <w:p>
            <w:pPr>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资格评审标准</w:t>
            </w:r>
          </w:p>
        </w:tc>
        <w:tc>
          <w:tcPr>
            <w:tcW w:w="6901" w:type="dxa"/>
            <w:tcBorders>
              <w:top w:val="single" w:color="auto" w:sz="4" w:space="0"/>
              <w:left w:val="single" w:color="auto" w:sz="4" w:space="0"/>
              <w:bottom w:val="single" w:color="auto" w:sz="4" w:space="0"/>
              <w:right w:val="single" w:color="auto" w:sz="4" w:space="0"/>
            </w:tcBorders>
            <w:vAlign w:val="center"/>
          </w:tcPr>
          <w:p>
            <w:pPr>
              <w:snapToGrid w:val="0"/>
              <w:spacing w:line="300" w:lineRule="auto"/>
              <w:rPr>
                <w:rFonts w:cs="Arial" w:asciiTheme="minorEastAsia" w:hAnsiTheme="minorEastAsia" w:eastAsiaTheme="minorEastAsia"/>
                <w:color w:val="000000" w:themeColor="text1"/>
                <w:szCs w:val="21"/>
                <w14:textFill>
                  <w14:solidFill>
                    <w14:schemeClr w14:val="tx1"/>
                  </w14:solidFill>
                </w14:textFill>
              </w:rPr>
            </w:pPr>
            <w:r>
              <w:rPr>
                <w:rFonts w:cs="Arial" w:asciiTheme="minorEastAsia" w:hAnsiTheme="minorEastAsia" w:eastAsiaTheme="minorEastAsia"/>
                <w:color w:val="000000" w:themeColor="text1"/>
                <w:szCs w:val="21"/>
                <w14:textFill>
                  <w14:solidFill>
                    <w14:schemeClr w14:val="tx1"/>
                  </w14:solidFill>
                </w14:textFill>
              </w:rPr>
              <w:t>（1）投标人具备有效的营业执照、</w:t>
            </w:r>
            <w:r>
              <w:rPr>
                <w:rFonts w:hint="eastAsia" w:cs="Arial" w:asciiTheme="minorEastAsia" w:hAnsiTheme="minorEastAsia" w:eastAsiaTheme="minorEastAsia"/>
                <w:color w:val="000000" w:themeColor="text1"/>
                <w:szCs w:val="21"/>
                <w14:textFill>
                  <w14:solidFill>
                    <w14:schemeClr w14:val="tx1"/>
                  </w14:solidFill>
                </w14:textFill>
              </w:rPr>
              <w:t>组织机构代码证</w:t>
            </w:r>
            <w:r>
              <w:rPr>
                <w:rFonts w:hint="eastAsia" w:cs="Arial"/>
                <w:color w:val="000000" w:themeColor="text1"/>
                <w:szCs w:val="21"/>
                <w14:textFill>
                  <w14:solidFill>
                    <w14:schemeClr w14:val="tx1"/>
                  </w14:solidFill>
                </w14:textFill>
              </w:rPr>
              <w:t>（按照“三证合一”或“五证合一”登记制度进行登记的，可仅提供营业执照副本）</w:t>
            </w:r>
            <w:r>
              <w:rPr>
                <w:rFonts w:hint="eastAsia" w:cs="Arial"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color w:val="000000" w:themeColor="text1"/>
                <w:szCs w:val="21"/>
                <w14:textFill>
                  <w14:solidFill>
                    <w14:schemeClr w14:val="tx1"/>
                  </w14:solidFill>
                </w14:textFill>
              </w:rPr>
              <w:t>资质证书</w:t>
            </w:r>
            <w:r>
              <w:rPr>
                <w:rFonts w:hint="eastAsia" w:cs="Arial" w:asciiTheme="minorEastAsia" w:hAnsiTheme="minorEastAsia" w:eastAsiaTheme="minorEastAsia"/>
                <w:color w:val="000000" w:themeColor="text1"/>
                <w:szCs w:val="21"/>
                <w14:textFill>
                  <w14:solidFill>
                    <w14:schemeClr w14:val="tx1"/>
                  </w14:solidFill>
                </w14:textFill>
              </w:rPr>
              <w:t>、</w:t>
            </w:r>
            <w:r>
              <w:rPr>
                <w:rFonts w:cs="Arial" w:asciiTheme="minorEastAsia" w:hAnsiTheme="minorEastAsia" w:eastAsiaTheme="minorEastAsia"/>
                <w:color w:val="000000" w:themeColor="text1"/>
                <w:szCs w:val="21"/>
                <w14:textFill>
                  <w14:solidFill>
                    <w14:schemeClr w14:val="tx1"/>
                  </w14:solidFill>
                </w14:textFill>
              </w:rPr>
              <w:t>安全生产许可证</w:t>
            </w:r>
            <w:r>
              <w:rPr>
                <w:rFonts w:hint="eastAsia" w:cs="Arial" w:asciiTheme="minorEastAsia" w:hAnsiTheme="minorEastAsia" w:eastAsiaTheme="minorEastAsia"/>
                <w:color w:val="000000" w:themeColor="text1"/>
                <w:szCs w:val="21"/>
                <w14:textFill>
                  <w14:solidFill>
                    <w14:schemeClr w14:val="tx1"/>
                  </w14:solidFill>
                </w14:textFill>
              </w:rPr>
              <w:t>和基本帐户开户许可证</w:t>
            </w:r>
            <w:r>
              <w:rPr>
                <w:rFonts w:hint="eastAsia" w:cs="Arial"/>
                <w:color w:val="000000" w:themeColor="text1"/>
                <w:szCs w:val="21"/>
                <w14:textFill>
                  <w14:solidFill>
                    <w14:schemeClr w14:val="tx1"/>
                  </w14:solidFill>
                </w14:textFill>
              </w:rPr>
              <w:t>（符合《关于试点取消企业银行账户开户许可证核发的通知》（银发〔2018〕125 号）文件规定的试点地区的投标人，无须附基本账户《开户许可证》，但应附载有投标人名称、基本账户开户银行和银行账号信息的相关证明材料）</w:t>
            </w:r>
            <w:r>
              <w:rPr>
                <w:rFonts w:hint="eastAsia" w:cs="Arial" w:asciiTheme="minorEastAsia" w:hAnsiTheme="minorEastAsia" w:eastAsiaTheme="minorEastAsia"/>
                <w:color w:val="000000" w:themeColor="text1"/>
                <w:szCs w:val="21"/>
                <w14:textFill>
                  <w14:solidFill>
                    <w14:schemeClr w14:val="tx1"/>
                  </w14:solidFill>
                </w14:textFill>
              </w:rPr>
              <w:t>。</w:t>
            </w:r>
          </w:p>
          <w:p>
            <w:pPr>
              <w:tabs>
                <w:tab w:val="left" w:pos="5950"/>
              </w:tabs>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（2）投标人</w:t>
            </w:r>
            <w:r>
              <w:rPr>
                <w:rFonts w:hint="eastAsia" w:cs="Arial"/>
                <w:color w:val="000000" w:themeColor="text1"/>
                <w:szCs w:val="21"/>
                <w14:textFill>
                  <w14:solidFill>
                    <w14:schemeClr w14:val="tx1"/>
                  </w14:solidFill>
                </w14:textFill>
              </w:rPr>
              <w:t>的</w:t>
            </w:r>
            <w:r>
              <w:rPr>
                <w:rFonts w:cs="Arial"/>
                <w:color w:val="000000" w:themeColor="text1"/>
                <w:szCs w:val="21"/>
                <w14:textFill>
                  <w14:solidFill>
                    <w14:schemeClr w14:val="tx1"/>
                  </w14:solidFill>
                </w14:textFill>
              </w:rPr>
              <w:t>资质等级符合招标文件规定</w:t>
            </w:r>
            <w:r>
              <w:rPr>
                <w:rFonts w:hint="eastAsia" w:cs="Arial"/>
                <w:color w:val="000000" w:themeColor="text1"/>
                <w:szCs w:val="21"/>
                <w14:textFill>
                  <w14:solidFill>
                    <w14:schemeClr w14:val="tx1"/>
                  </w14:solidFill>
                </w14:textFill>
              </w:rPr>
              <w:t>。</w:t>
            </w:r>
          </w:p>
          <w:p>
            <w:pPr>
              <w:tabs>
                <w:tab w:val="left" w:pos="5950"/>
              </w:tabs>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（3）投标人的财务状况符合招标文件规定</w:t>
            </w:r>
            <w:r>
              <w:rPr>
                <w:rFonts w:hint="eastAsia" w:cs="Arial"/>
                <w:color w:val="000000" w:themeColor="text1"/>
                <w:szCs w:val="21"/>
                <w14:textFill>
                  <w14:solidFill>
                    <w14:schemeClr w14:val="tx1"/>
                  </w14:solidFill>
                </w14:textFill>
              </w:rPr>
              <w:t>。</w:t>
            </w:r>
          </w:p>
          <w:p>
            <w:pPr>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4</w:t>
            </w:r>
            <w:r>
              <w:rPr>
                <w:rFonts w:cs="Arial"/>
                <w:color w:val="000000" w:themeColor="text1"/>
                <w:szCs w:val="21"/>
                <w14:textFill>
                  <w14:solidFill>
                    <w14:schemeClr w14:val="tx1"/>
                  </w14:solidFill>
                </w14:textFill>
              </w:rPr>
              <w:t>）投标人的信誉符合招标文件规定</w:t>
            </w:r>
            <w:r>
              <w:rPr>
                <w:rFonts w:hint="eastAsia" w:cs="Arial"/>
                <w:color w:val="000000" w:themeColor="text1"/>
                <w:szCs w:val="21"/>
                <w14:textFill>
                  <w14:solidFill>
                    <w14:schemeClr w14:val="tx1"/>
                  </w14:solidFill>
                </w14:textFill>
              </w:rPr>
              <w:t>。</w:t>
            </w:r>
          </w:p>
          <w:p>
            <w:pPr>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5</w:t>
            </w:r>
            <w:r>
              <w:rPr>
                <w:rFonts w:cs="Arial"/>
                <w:color w:val="000000" w:themeColor="text1"/>
                <w:szCs w:val="21"/>
                <w14:textFill>
                  <w14:solidFill>
                    <w14:schemeClr w14:val="tx1"/>
                  </w14:solidFill>
                </w14:textFill>
              </w:rPr>
              <w:t>）投标人的项目经理和项目总工资格、在岗情况符合招标文件规定</w:t>
            </w:r>
            <w:r>
              <w:rPr>
                <w:rFonts w:hint="eastAsia" w:cs="Arial"/>
                <w:color w:val="000000" w:themeColor="text1"/>
                <w:szCs w:val="21"/>
                <w14:textFill>
                  <w14:solidFill>
                    <w14:schemeClr w14:val="tx1"/>
                  </w14:solidFill>
                </w14:textFill>
              </w:rPr>
              <w:t>。</w:t>
            </w:r>
          </w:p>
          <w:p>
            <w:pPr>
              <w:snapToGrid w:val="0"/>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w:t>
            </w:r>
            <w:r>
              <w:rPr>
                <w:rFonts w:hint="eastAsia" w:cs="Arial"/>
                <w:color w:val="000000" w:themeColor="text1"/>
                <w:szCs w:val="21"/>
                <w14:textFill>
                  <w14:solidFill>
                    <w14:schemeClr w14:val="tx1"/>
                  </w14:solidFill>
                </w14:textFill>
              </w:rPr>
              <w:t>6</w:t>
            </w:r>
            <w:r>
              <w:rPr>
                <w:rFonts w:cs="Arial"/>
                <w:color w:val="000000" w:themeColor="text1"/>
                <w:szCs w:val="21"/>
                <w14:textFill>
                  <w14:solidFill>
                    <w14:schemeClr w14:val="tx1"/>
                  </w14:solidFill>
                </w14:textFill>
              </w:rPr>
              <w:t>）投标人不存在第二章</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投标人须知</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第1.4.3项或第1.4.4项规定的任何一种情形</w:t>
            </w:r>
            <w:r>
              <w:rPr>
                <w:rFonts w:hint="eastAsia" w:cs="Arial"/>
                <w:color w:val="000000" w:themeColor="text1"/>
                <w:szCs w:val="21"/>
                <w14:textFill>
                  <w14:solidFill>
                    <w14:schemeClr w14:val="tx1"/>
                  </w14:solidFill>
                </w14:textFill>
              </w:rPr>
              <w:t>。</w:t>
            </w:r>
          </w:p>
          <w:p>
            <w:pPr>
              <w:snapToGrid w:val="0"/>
              <w:spacing w:line="300" w:lineRule="auto"/>
              <w:rPr>
                <w:rFonts w:cs="Arial"/>
                <w:color w:val="000000" w:themeColor="text1"/>
                <w:szCs w:val="21"/>
                <w14:textFill>
                  <w14:solidFill>
                    <w14:schemeClr w14:val="tx1"/>
                  </w14:solidFill>
                </w14:textFill>
              </w:rPr>
            </w:pPr>
          </w:p>
        </w:tc>
      </w:tr>
    </w:tbl>
    <w:tbl>
      <w:tblPr>
        <w:tblStyle w:val="9"/>
        <w:tblpPr w:leftFromText="180" w:rightFromText="180" w:vertAnchor="text" w:horzAnchor="margin" w:tblpY="177"/>
        <w:tblW w:w="9268"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047"/>
        <w:gridCol w:w="1329"/>
        <w:gridCol w:w="6892"/>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blHeader/>
        </w:trPr>
        <w:tc>
          <w:tcPr>
            <w:tcW w:w="1047" w:type="dxa"/>
            <w:vAlign w:val="center"/>
          </w:tcPr>
          <w:p>
            <w:pPr>
              <w:spacing w:line="360" w:lineRule="atLeast"/>
              <w:jc w:val="center"/>
              <w:rPr>
                <w:rFonts w:cs="Arial"/>
                <w:color w:val="000000" w:themeColor="text1"/>
                <w14:textFill>
                  <w14:solidFill>
                    <w14:schemeClr w14:val="tx1"/>
                  </w14:solidFill>
                </w14:textFill>
              </w:rPr>
            </w:pPr>
            <w:r>
              <w:rPr>
                <w:rFonts w:cs="Arial"/>
                <w:b/>
                <w:color w:val="000000" w:themeColor="text1"/>
                <w14:textFill>
                  <w14:solidFill>
                    <w14:schemeClr w14:val="tx1"/>
                  </w14:solidFill>
                </w14:textFill>
              </w:rPr>
              <w:t>条款号</w:t>
            </w:r>
          </w:p>
        </w:tc>
        <w:tc>
          <w:tcPr>
            <w:tcW w:w="1329" w:type="dxa"/>
            <w:vAlign w:val="center"/>
          </w:tcPr>
          <w:p>
            <w:pPr>
              <w:spacing w:line="360" w:lineRule="atLeast"/>
              <w:ind w:left="420" w:hanging="420"/>
              <w:jc w:val="center"/>
              <w:rPr>
                <w:rFonts w:cs="Arial"/>
                <w:b/>
                <w:color w:val="000000" w:themeColor="text1"/>
                <w14:textFill>
                  <w14:solidFill>
                    <w14:schemeClr w14:val="tx1"/>
                  </w14:solidFill>
                </w14:textFill>
              </w:rPr>
            </w:pPr>
            <w:r>
              <w:rPr>
                <w:rFonts w:cs="Arial"/>
                <w:b/>
                <w:color w:val="000000" w:themeColor="text1"/>
                <w14:textFill>
                  <w14:solidFill>
                    <w14:schemeClr w14:val="tx1"/>
                  </w14:solidFill>
                </w14:textFill>
              </w:rPr>
              <w:t>条款内容</w:t>
            </w:r>
          </w:p>
        </w:tc>
        <w:tc>
          <w:tcPr>
            <w:tcW w:w="6892" w:type="dxa"/>
            <w:vAlign w:val="center"/>
          </w:tcPr>
          <w:p>
            <w:pPr>
              <w:spacing w:line="360" w:lineRule="atLeast"/>
              <w:jc w:val="center"/>
              <w:rPr>
                <w:rFonts w:cs="Arial"/>
                <w:b/>
                <w:color w:val="000000" w:themeColor="text1"/>
                <w14:textFill>
                  <w14:solidFill>
                    <w14:schemeClr w14:val="tx1"/>
                  </w14:solidFill>
                </w14:textFill>
              </w:rPr>
            </w:pPr>
            <w:r>
              <w:rPr>
                <w:rFonts w:cs="Arial"/>
                <w:b/>
                <w:color w:val="000000" w:themeColor="text1"/>
                <w14:textFill>
                  <w14:solidFill>
                    <w14:schemeClr w14:val="tx1"/>
                  </w14:solidFill>
                </w14:textFill>
              </w:rPr>
              <w:t>编列内容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47" w:type="dxa"/>
            <w:vAlign w:val="center"/>
          </w:tcPr>
          <w:p>
            <w:pPr>
              <w:spacing w:line="400" w:lineRule="exac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2.2.1</w:t>
            </w:r>
          </w:p>
        </w:tc>
        <w:tc>
          <w:tcPr>
            <w:tcW w:w="1329" w:type="dxa"/>
            <w:vAlign w:val="center"/>
          </w:tcPr>
          <w:p>
            <w:pPr>
              <w:spacing w:line="400" w:lineRule="exac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分值构成</w:t>
            </w:r>
          </w:p>
          <w:p>
            <w:pPr>
              <w:spacing w:line="400" w:lineRule="exac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（总分100分）</w:t>
            </w:r>
          </w:p>
        </w:tc>
        <w:tc>
          <w:tcPr>
            <w:tcW w:w="6892" w:type="dxa"/>
            <w:vAlign w:val="center"/>
          </w:tcPr>
          <w:p>
            <w:pPr>
              <w:spacing w:line="400" w:lineRule="exact"/>
              <w:rPr>
                <w:rFonts w:cs="Arial"/>
                <w:b/>
                <w:color w:val="000000" w:themeColor="text1"/>
                <w:szCs w:val="21"/>
                <w14:textFill>
                  <w14:solidFill>
                    <w14:schemeClr w14:val="tx1"/>
                  </w14:solidFill>
                </w14:textFill>
              </w:rPr>
            </w:pPr>
            <w:r>
              <w:rPr>
                <w:rFonts w:hint="eastAsia" w:cs="Arial"/>
                <w:b/>
                <w:color w:val="000000" w:themeColor="text1"/>
                <w:szCs w:val="21"/>
                <w14:textFill>
                  <w14:solidFill>
                    <w14:schemeClr w14:val="tx1"/>
                  </w14:solidFill>
                </w14:textFill>
              </w:rPr>
              <w:t>评分分值构成：</w:t>
            </w:r>
          </w:p>
          <w:p>
            <w:pPr>
              <w:spacing w:line="400" w:lineRule="exact"/>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施工组织设计：</w:t>
            </w:r>
            <w:r>
              <w:rPr>
                <w:rFonts w:hint="eastAsia" w:cs="Arial"/>
                <w:color w:val="000000" w:themeColor="text1"/>
                <w:szCs w:val="21"/>
                <w:u w:val="single"/>
                <w14:textFill>
                  <w14:solidFill>
                    <w14:schemeClr w14:val="tx1"/>
                  </w14:solidFill>
                </w14:textFill>
              </w:rPr>
              <w:t xml:space="preserve"> 15 </w:t>
            </w:r>
            <w:r>
              <w:rPr>
                <w:rFonts w:hint="eastAsia" w:cs="Arial"/>
                <w:color w:val="000000" w:themeColor="text1"/>
                <w:szCs w:val="21"/>
                <w14:textFill>
                  <w14:solidFill>
                    <w14:schemeClr w14:val="tx1"/>
                  </w14:solidFill>
                </w14:textFill>
              </w:rPr>
              <w:t>分</w:t>
            </w:r>
          </w:p>
          <w:p>
            <w:pPr>
              <w:spacing w:line="400" w:lineRule="exact"/>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主要人员：</w:t>
            </w:r>
            <w:r>
              <w:rPr>
                <w:rFonts w:hint="eastAsia" w:cs="Arial"/>
                <w:color w:val="000000" w:themeColor="text1"/>
                <w:szCs w:val="21"/>
                <w:u w:val="single"/>
                <w14:textFill>
                  <w14:solidFill>
                    <w14:schemeClr w14:val="tx1"/>
                  </w14:solidFill>
                </w14:textFill>
              </w:rPr>
              <w:t xml:space="preserve"> 10 </w:t>
            </w:r>
            <w:r>
              <w:rPr>
                <w:rFonts w:hint="eastAsia" w:cs="Arial"/>
                <w:color w:val="000000" w:themeColor="text1"/>
                <w:szCs w:val="21"/>
                <w14:textFill>
                  <w14:solidFill>
                    <w14:schemeClr w14:val="tx1"/>
                  </w14:solidFill>
                </w14:textFill>
              </w:rPr>
              <w:t>分</w:t>
            </w:r>
          </w:p>
          <w:p>
            <w:pPr>
              <w:spacing w:line="400" w:lineRule="exact"/>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财务能力：</w:t>
            </w:r>
            <w:r>
              <w:rPr>
                <w:rFonts w:hint="eastAsia" w:cs="Arial"/>
                <w:color w:val="000000" w:themeColor="text1"/>
                <w:szCs w:val="21"/>
                <w:u w:val="single"/>
                <w14:textFill>
                  <w14:solidFill>
                    <w14:schemeClr w14:val="tx1"/>
                  </w14:solidFill>
                </w14:textFill>
              </w:rPr>
              <w:t xml:space="preserve"> 5 </w:t>
            </w:r>
            <w:r>
              <w:rPr>
                <w:rFonts w:hint="eastAsia" w:cs="Arial"/>
                <w:color w:val="000000" w:themeColor="text1"/>
                <w:szCs w:val="21"/>
                <w14:textFill>
                  <w14:solidFill>
                    <w14:schemeClr w14:val="tx1"/>
                  </w14:solidFill>
                </w14:textFill>
              </w:rPr>
              <w:t>分</w:t>
            </w:r>
          </w:p>
          <w:p>
            <w:pPr>
              <w:spacing w:line="400" w:lineRule="exact"/>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业绩：</w:t>
            </w:r>
            <w:r>
              <w:rPr>
                <w:rFonts w:hint="eastAsia" w:cs="Arial"/>
                <w:color w:val="000000" w:themeColor="text1"/>
                <w:szCs w:val="21"/>
                <w:u w:val="single"/>
                <w14:textFill>
                  <w14:solidFill>
                    <w14:schemeClr w14:val="tx1"/>
                  </w14:solidFill>
                </w14:textFill>
              </w:rPr>
              <w:t xml:space="preserve"> 8 </w:t>
            </w:r>
            <w:r>
              <w:rPr>
                <w:rFonts w:hint="eastAsia" w:cs="Arial"/>
                <w:color w:val="000000" w:themeColor="text1"/>
                <w:szCs w:val="21"/>
                <w14:textFill>
                  <w14:solidFill>
                    <w14:schemeClr w14:val="tx1"/>
                  </w14:solidFill>
                </w14:textFill>
              </w:rPr>
              <w:t>分</w:t>
            </w:r>
          </w:p>
          <w:p>
            <w:pPr>
              <w:spacing w:line="400" w:lineRule="exact"/>
              <w:rPr>
                <w:rFonts w:cs="Arial"/>
                <w:color w:val="000000" w:themeColor="text1"/>
                <w:szCs w:val="21"/>
                <w14:textFill>
                  <w14:solidFill>
                    <w14:schemeClr w14:val="tx1"/>
                  </w14:solidFill>
                </w14:textFill>
              </w:rPr>
            </w:pPr>
            <w:r>
              <w:rPr>
                <w:rFonts w:hint="eastAsia"/>
                <w:color w:val="000000" w:themeColor="text1"/>
                <w:szCs w:val="21"/>
                <w:lang w:val="en-US"/>
                <w14:textFill>
                  <w14:solidFill>
                    <w14:schemeClr w14:val="tx1"/>
                  </w14:solidFill>
                </w14:textFill>
              </w:rPr>
              <w:t>企业管理体系：</w:t>
            </w:r>
            <w:r>
              <w:rPr>
                <w:rFonts w:hint="eastAsia" w:cs="Arial"/>
                <w:color w:val="000000" w:themeColor="text1"/>
                <w:szCs w:val="21"/>
                <w:u w:val="single"/>
                <w14:textFill>
                  <w14:solidFill>
                    <w14:schemeClr w14:val="tx1"/>
                  </w14:solidFill>
                </w14:textFill>
              </w:rPr>
              <w:t xml:space="preserve"> 2 </w:t>
            </w:r>
            <w:r>
              <w:rPr>
                <w:rFonts w:hint="eastAsia" w:cs="Arial"/>
                <w:color w:val="000000" w:themeColor="text1"/>
                <w:szCs w:val="21"/>
                <w14:textFill>
                  <w14:solidFill>
                    <w14:schemeClr w14:val="tx1"/>
                  </w14:solidFill>
                </w14:textFill>
              </w:rPr>
              <w:t>分</w:t>
            </w:r>
          </w:p>
          <w:p>
            <w:pPr>
              <w:spacing w:line="400" w:lineRule="exact"/>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评标价 ：</w:t>
            </w:r>
            <w:r>
              <w:rPr>
                <w:rFonts w:hint="eastAsia" w:cs="Arial"/>
                <w:color w:val="000000" w:themeColor="text1"/>
                <w:szCs w:val="21"/>
                <w:u w:val="single"/>
                <w14:textFill>
                  <w14:solidFill>
                    <w14:schemeClr w14:val="tx1"/>
                  </w14:solidFill>
                </w14:textFill>
              </w:rPr>
              <w:t>60</w:t>
            </w:r>
            <w:r>
              <w:rPr>
                <w:rFonts w:hint="eastAsia" w:cs="Arial"/>
                <w:color w:val="000000" w:themeColor="text1"/>
                <w:szCs w:val="2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47" w:type="dxa"/>
            <w:vAlign w:val="center"/>
          </w:tcPr>
          <w:p>
            <w:pPr>
              <w:spacing w:line="400" w:lineRule="exac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2.2.2</w:t>
            </w:r>
          </w:p>
        </w:tc>
        <w:tc>
          <w:tcPr>
            <w:tcW w:w="1329" w:type="dxa"/>
            <w:vAlign w:val="center"/>
          </w:tcPr>
          <w:p>
            <w:pPr>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评标基准价计算方法</w:t>
            </w:r>
          </w:p>
        </w:tc>
        <w:tc>
          <w:tcPr>
            <w:tcW w:w="6892" w:type="dxa"/>
            <w:vAlign w:val="center"/>
          </w:tcPr>
          <w:p>
            <w:pPr>
              <w:tabs>
                <w:tab w:val="left" w:pos="510"/>
              </w:tabs>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评标基准价的计算：</w:t>
            </w:r>
          </w:p>
          <w:p>
            <w:pPr>
              <w:tabs>
                <w:tab w:val="left" w:pos="510"/>
              </w:tabs>
              <w:spacing w:line="300" w:lineRule="auto"/>
              <w:ind w:firstLine="440" w:firstLineChars="200"/>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在开标现场，招标人将当场计算并宣布评标基准价。</w:t>
            </w:r>
          </w:p>
          <w:p>
            <w:pPr>
              <w:tabs>
                <w:tab w:val="left" w:pos="510"/>
              </w:tabs>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（1）评标价的确定：</w:t>
            </w:r>
          </w:p>
          <w:p>
            <w:pPr>
              <w:tabs>
                <w:tab w:val="left" w:pos="510"/>
              </w:tabs>
              <w:spacing w:line="300" w:lineRule="auto"/>
              <w:ind w:firstLine="442" w:firstLineChars="200"/>
              <w:rPr>
                <w:rFonts w:cs="Arial"/>
                <w:b/>
                <w:color w:val="000000" w:themeColor="text1"/>
                <w:szCs w:val="21"/>
                <w14:textFill>
                  <w14:solidFill>
                    <w14:schemeClr w14:val="tx1"/>
                  </w14:solidFill>
                </w14:textFill>
              </w:rPr>
            </w:pPr>
            <w:r>
              <w:rPr>
                <w:rFonts w:cs="Arial"/>
                <w:b/>
                <w:color w:val="000000" w:themeColor="text1"/>
                <w:szCs w:val="21"/>
                <w14:textFill>
                  <w14:solidFill>
                    <w14:schemeClr w14:val="tx1"/>
                  </w14:solidFill>
                </w14:textFill>
              </w:rPr>
              <w:t>评标价＝投标函文字报价</w:t>
            </w:r>
          </w:p>
          <w:p>
            <w:pPr>
              <w:tabs>
                <w:tab w:val="left" w:pos="510"/>
              </w:tabs>
              <w:spacing w:line="300" w:lineRule="auto"/>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（2）评标基准价的计算：</w:t>
            </w:r>
          </w:p>
          <w:p>
            <w:pPr>
              <w:tabs>
                <w:tab w:val="left" w:pos="510"/>
              </w:tabs>
              <w:spacing w:line="300" w:lineRule="auto"/>
              <w:ind w:firstLine="440" w:firstLineChars="200"/>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招标人设置评标基准价下浮系数K，范围为0.5%～3%（步长0.5%），由各个标段投标人代表现场随机抽取。</w:t>
            </w:r>
          </w:p>
          <w:p>
            <w:pPr>
              <w:tabs>
                <w:tab w:val="left" w:pos="510"/>
              </w:tabs>
              <w:spacing w:line="300" w:lineRule="auto"/>
              <w:ind w:firstLine="442" w:firstLineChars="200"/>
              <w:rPr>
                <w:rFonts w:cs="Arial"/>
                <w:b/>
                <w:color w:val="000000" w:themeColor="text1"/>
                <w:szCs w:val="21"/>
                <w14:textFill>
                  <w14:solidFill>
                    <w14:schemeClr w14:val="tx1"/>
                  </w14:solidFill>
                </w14:textFill>
              </w:rPr>
            </w:pPr>
            <w:r>
              <w:rPr>
                <w:rFonts w:cs="Arial"/>
                <w:b/>
                <w:color w:val="000000" w:themeColor="text1"/>
                <w:szCs w:val="21"/>
                <w14:textFill>
                  <w14:solidFill>
                    <w14:schemeClr w14:val="tx1"/>
                  </w14:solidFill>
                </w14:textFill>
              </w:rPr>
              <w:t>评标基准价=B×（1-K）。</w:t>
            </w:r>
          </w:p>
          <w:p>
            <w:pPr>
              <w:tabs>
                <w:tab w:val="left" w:pos="510"/>
              </w:tabs>
              <w:spacing w:line="300" w:lineRule="auto"/>
              <w:ind w:firstLine="440" w:firstLineChars="200"/>
              <w:rPr>
                <w:rFonts w:cs="Arial"/>
                <w:b/>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B为按以下方式计算得出的值</w:t>
            </w:r>
            <w:r>
              <w:rPr>
                <w:rFonts w:hint="eastAsia" w:cs="Arial"/>
                <w:color w:val="000000" w:themeColor="text1"/>
                <w:szCs w:val="21"/>
                <w14:textFill>
                  <w14:solidFill>
                    <w14:schemeClr w14:val="tx1"/>
                  </w14:solidFill>
                </w14:textFill>
              </w:rPr>
              <w:t>：</w:t>
            </w:r>
          </w:p>
          <w:p>
            <w:pPr>
              <w:tabs>
                <w:tab w:val="left" w:pos="510"/>
              </w:tabs>
              <w:spacing w:line="300" w:lineRule="auto"/>
              <w:ind w:firstLine="442" w:firstLineChars="200"/>
              <w:rPr>
                <w:rFonts w:cs="Arial"/>
                <w:color w:val="000000" w:themeColor="text1"/>
                <w:szCs w:val="21"/>
                <w14:textFill>
                  <w14:solidFill>
                    <w14:schemeClr w14:val="tx1"/>
                  </w14:solidFill>
                </w14:textFill>
              </w:rPr>
            </w:pPr>
            <w:r>
              <w:rPr>
                <w:rFonts w:hint="eastAsia" w:cs="Arial"/>
                <w:b/>
                <w:color w:val="000000" w:themeColor="text1"/>
                <w:szCs w:val="21"/>
                <w14:textFill>
                  <w14:solidFill>
                    <w14:schemeClr w14:val="tx1"/>
                  </w14:solidFill>
                </w14:textFill>
              </w:rPr>
              <w:t>有效投标</w:t>
            </w:r>
            <w:r>
              <w:rPr>
                <w:rFonts w:cs="Arial"/>
                <w:b/>
                <w:color w:val="000000" w:themeColor="text1"/>
                <w:szCs w:val="21"/>
                <w14:textFill>
                  <w14:solidFill>
                    <w14:schemeClr w14:val="tx1"/>
                  </w14:solidFill>
                </w14:textFill>
              </w:rPr>
              <w:t>价</w:t>
            </w:r>
            <w:r>
              <w:rPr>
                <w:rFonts w:hint="eastAsia" w:cs="Arial"/>
                <w:b/>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除</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投标人须知</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中第5.2.</w:t>
            </w:r>
            <w:r>
              <w:rPr>
                <w:rFonts w:hint="eastAsia" w:cs="Arial"/>
                <w:color w:val="000000" w:themeColor="text1"/>
                <w:szCs w:val="21"/>
                <w14:textFill>
                  <w14:solidFill>
                    <w14:schemeClr w14:val="tx1"/>
                  </w14:solidFill>
                </w14:textFill>
              </w:rPr>
              <w:t>2</w:t>
            </w:r>
            <w:r>
              <w:rPr>
                <w:rFonts w:cs="Arial"/>
                <w:color w:val="000000" w:themeColor="text1"/>
                <w:szCs w:val="21"/>
                <w14:textFill>
                  <w14:solidFill>
                    <w14:schemeClr w14:val="tx1"/>
                  </w14:solidFill>
                </w14:textFill>
              </w:rPr>
              <w:t>条规定的开标现场不参与评标基准价计算的投标报价之外的投标报价（投标函文字报价）</w:t>
            </w:r>
            <w:r>
              <w:rPr>
                <w:rFonts w:hint="eastAsia" w:cs="Arial"/>
                <w:color w:val="000000" w:themeColor="text1"/>
                <w:szCs w:val="21"/>
                <w14:textFill>
                  <w14:solidFill>
                    <w14:schemeClr w14:val="tx1"/>
                  </w14:solidFill>
                </w14:textFill>
              </w:rPr>
              <w:t>。</w:t>
            </w:r>
          </w:p>
          <w:p>
            <w:pPr>
              <w:tabs>
                <w:tab w:val="left" w:pos="510"/>
              </w:tabs>
              <w:spacing w:line="300" w:lineRule="auto"/>
              <w:ind w:firstLine="552" w:firstLineChars="250"/>
              <w:rPr>
                <w:rFonts w:cs="Arial"/>
                <w:color w:val="000000" w:themeColor="text1"/>
                <w:szCs w:val="21"/>
                <w14:textFill>
                  <w14:solidFill>
                    <w14:schemeClr w14:val="tx1"/>
                  </w14:solidFill>
                </w14:textFill>
              </w:rPr>
            </w:pPr>
            <w:r>
              <w:rPr>
                <w:rFonts w:cs="Arial"/>
                <w:b/>
                <w:color w:val="000000" w:themeColor="text1"/>
                <w:szCs w:val="21"/>
                <w14:textFill>
                  <w14:solidFill>
                    <w14:schemeClr w14:val="tx1"/>
                  </w14:solidFill>
                </w14:textFill>
              </w:rPr>
              <w:t>将上述</w:t>
            </w:r>
            <w:r>
              <w:rPr>
                <w:rFonts w:hint="eastAsia" w:cs="Arial"/>
                <w:b/>
                <w:color w:val="000000" w:themeColor="text1"/>
                <w:szCs w:val="21"/>
                <w14:textFill>
                  <w14:solidFill>
                    <w14:schemeClr w14:val="tx1"/>
                  </w14:solidFill>
                </w14:textFill>
              </w:rPr>
              <w:t>有效投标报</w:t>
            </w:r>
            <w:r>
              <w:rPr>
                <w:rFonts w:cs="Arial"/>
                <w:b/>
                <w:color w:val="000000" w:themeColor="text1"/>
                <w:szCs w:val="21"/>
                <w14:textFill>
                  <w14:solidFill>
                    <w14:schemeClr w14:val="tx1"/>
                  </w14:solidFill>
                </w14:textFill>
              </w:rPr>
              <w:t>价从高到低划分为</w:t>
            </w:r>
            <w:r>
              <w:rPr>
                <w:rFonts w:hint="eastAsia" w:cs="Arial"/>
                <w:b/>
                <w:color w:val="000000" w:themeColor="text1"/>
                <w:szCs w:val="21"/>
                <w14:textFill>
                  <w14:solidFill>
                    <w14:schemeClr w14:val="tx1"/>
                  </w14:solidFill>
                </w14:textFill>
              </w:rPr>
              <w:t>有效</w:t>
            </w:r>
            <w:r>
              <w:rPr>
                <w:rFonts w:cs="Arial"/>
                <w:b/>
                <w:color w:val="000000" w:themeColor="text1"/>
                <w:szCs w:val="21"/>
                <w14:textFill>
                  <w14:solidFill>
                    <w14:schemeClr w14:val="tx1"/>
                  </w14:solidFill>
                </w14:textFill>
              </w:rPr>
              <w:t>投标报价个数的</w:t>
            </w:r>
            <w:r>
              <w:rPr>
                <w:rFonts w:cs="Arial"/>
                <w:b/>
                <w:color w:val="000000" w:themeColor="text1"/>
                <w14:textFill>
                  <w14:solidFill>
                    <w14:schemeClr w14:val="tx1"/>
                  </w14:solidFill>
                </w14:textFill>
              </w:rPr>
              <w:t>1/3</w:t>
            </w:r>
            <w:r>
              <w:rPr>
                <w:rFonts w:hint="eastAsia" w:cs="Arial"/>
                <w:b/>
                <w:color w:val="000000" w:themeColor="text1"/>
                <w:szCs w:val="21"/>
                <w14:textFill>
                  <w14:solidFill>
                    <w14:schemeClr w14:val="tx1"/>
                  </w14:solidFill>
                </w14:textFill>
              </w:rPr>
              <w:t>（</w:t>
            </w:r>
            <w:r>
              <w:rPr>
                <w:rFonts w:cs="Arial"/>
                <w:b/>
                <w:color w:val="000000" w:themeColor="text1"/>
                <w14:textFill>
                  <w14:solidFill>
                    <w14:schemeClr w14:val="tx1"/>
                  </w14:solidFill>
                </w14:textFill>
              </w:rPr>
              <w:t>向上取整，如2.3333取整为3</w:t>
            </w:r>
            <w:r>
              <w:rPr>
                <w:rFonts w:hint="eastAsia" w:cs="Arial"/>
                <w:b/>
                <w:color w:val="000000" w:themeColor="text1"/>
                <w:szCs w:val="21"/>
                <w14:textFill>
                  <w14:solidFill>
                    <w14:schemeClr w14:val="tx1"/>
                  </w14:solidFill>
                </w14:textFill>
              </w:rPr>
              <w:t>）</w:t>
            </w:r>
            <w:r>
              <w:rPr>
                <w:rFonts w:cs="Arial"/>
                <w:b/>
                <w:color w:val="000000" w:themeColor="text1"/>
                <w:szCs w:val="21"/>
                <w14:textFill>
                  <w14:solidFill>
                    <w14:schemeClr w14:val="tx1"/>
                  </w14:solidFill>
                </w14:textFill>
              </w:rPr>
              <w:t>个等差报价区间，</w:t>
            </w:r>
            <w:r>
              <w:rPr>
                <w:rFonts w:cs="Arial"/>
                <w:color w:val="000000" w:themeColor="text1"/>
                <w:szCs w:val="21"/>
                <w14:textFill>
                  <w14:solidFill>
                    <w14:schemeClr w14:val="tx1"/>
                  </w14:solidFill>
                </w14:textFill>
              </w:rPr>
              <w:t>对各个区间内的</w:t>
            </w:r>
            <w:r>
              <w:rPr>
                <w:rFonts w:hint="eastAsia" w:cs="Arial"/>
                <w:color w:val="000000" w:themeColor="text1"/>
                <w:szCs w:val="21"/>
                <w14:textFill>
                  <w14:solidFill>
                    <w14:schemeClr w14:val="tx1"/>
                  </w14:solidFill>
                </w14:textFill>
              </w:rPr>
              <w:t>投标</w:t>
            </w:r>
            <w:r>
              <w:rPr>
                <w:rFonts w:cs="Arial"/>
                <w:color w:val="000000" w:themeColor="text1"/>
                <w:szCs w:val="21"/>
                <w14:textFill>
                  <w14:solidFill>
                    <w14:schemeClr w14:val="tx1"/>
                  </w14:solidFill>
                </w14:textFill>
              </w:rPr>
              <w:t>报价进行第一次算术平均（保留小数点后两位，小数点后第三位</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四舍五入</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，当投标人的</w:t>
            </w:r>
            <w:r>
              <w:rPr>
                <w:rFonts w:hint="eastAsia" w:cs="Arial"/>
                <w:color w:val="000000" w:themeColor="text1"/>
                <w:szCs w:val="21"/>
                <w14:textFill>
                  <w14:solidFill>
                    <w14:schemeClr w14:val="tx1"/>
                  </w14:solidFill>
                </w14:textFill>
              </w:rPr>
              <w:t>投标</w:t>
            </w:r>
            <w:r>
              <w:rPr>
                <w:rFonts w:cs="Arial"/>
                <w:color w:val="000000" w:themeColor="text1"/>
                <w:szCs w:val="21"/>
                <w14:textFill>
                  <w14:solidFill>
                    <w14:schemeClr w14:val="tx1"/>
                  </w14:solidFill>
                </w14:textFill>
              </w:rPr>
              <w:t>报价等于区间临界值时，列入较</w:t>
            </w:r>
            <w:r>
              <w:rPr>
                <w:rFonts w:hint="eastAsia" w:cs="Arial"/>
                <w:color w:val="000000" w:themeColor="text1"/>
                <w:szCs w:val="21"/>
                <w14:textFill>
                  <w14:solidFill>
                    <w14:schemeClr w14:val="tx1"/>
                  </w14:solidFill>
                </w14:textFill>
              </w:rPr>
              <w:t>低</w:t>
            </w:r>
            <w:r>
              <w:rPr>
                <w:rFonts w:cs="Arial"/>
                <w:color w:val="000000" w:themeColor="text1"/>
                <w:szCs w:val="21"/>
                <w14:textFill>
                  <w14:solidFill>
                    <w14:schemeClr w14:val="tx1"/>
                  </w14:solidFill>
                </w14:textFill>
              </w:rPr>
              <w:t>一个区间计算平均值</w:t>
            </w:r>
            <w:r>
              <w:rPr>
                <w:rFonts w:hint="eastAsia" w:cs="Arial"/>
                <w:color w:val="000000" w:themeColor="text1"/>
                <w:szCs w:val="21"/>
                <w14:textFill>
                  <w14:solidFill>
                    <w14:schemeClr w14:val="tx1"/>
                  </w14:solidFill>
                </w14:textFill>
              </w:rPr>
              <w:t>，</w:t>
            </w:r>
            <w:r>
              <w:rPr>
                <w:rFonts w:cs="Arial"/>
                <w:color w:val="000000" w:themeColor="text1"/>
                <w:szCs w:val="21"/>
                <w14:textFill>
                  <w14:solidFill>
                    <w14:schemeClr w14:val="tx1"/>
                  </w14:solidFill>
                </w14:textFill>
              </w:rPr>
              <w:t>最低投标报价列入较</w:t>
            </w:r>
            <w:r>
              <w:rPr>
                <w:rFonts w:hint="eastAsia" w:cs="Arial"/>
                <w:color w:val="000000" w:themeColor="text1"/>
                <w:szCs w:val="21"/>
                <w14:textFill>
                  <w14:solidFill>
                    <w14:schemeClr w14:val="tx1"/>
                  </w14:solidFill>
                </w14:textFill>
              </w:rPr>
              <w:t>高</w:t>
            </w:r>
            <w:r>
              <w:rPr>
                <w:rFonts w:cs="Arial"/>
                <w:color w:val="000000" w:themeColor="text1"/>
                <w:szCs w:val="21"/>
                <w14:textFill>
                  <w14:solidFill>
                    <w14:schemeClr w14:val="tx1"/>
                  </w14:solidFill>
                </w14:textFill>
              </w:rPr>
              <w:t>一个区间计算平均值），然后再对各区间的第一次算术平均值进行第二次平均，所得出的平均值即为B值（若某区间没有对应投标人的报价，则进行第二次算术平均时扣除相应区间的个数）。</w:t>
            </w:r>
          </w:p>
          <w:p>
            <w:pPr>
              <w:pStyle w:val="11"/>
              <w:spacing w:line="300" w:lineRule="auto"/>
              <w:ind w:firstLine="420" w:firstLineChars="200"/>
              <w:jc w:val="both"/>
              <w:rPr>
                <w:rFonts w:hAnsi="宋体"/>
                <w:color w:val="000000" w:themeColor="text1"/>
                <w:szCs w:val="21"/>
                <w14:textFill>
                  <w14:solidFill>
                    <w14:schemeClr w14:val="tx1"/>
                  </w14:solidFill>
                </w14:textFill>
              </w:rPr>
            </w:pPr>
            <w:r>
              <w:rPr>
                <w:rFonts w:hint="eastAsia" w:hAnsi="宋体"/>
                <w:color w:val="000000" w:themeColor="text1"/>
                <w:sz w:val="21"/>
                <w:szCs w:val="21"/>
                <w14:textFill>
                  <w14:solidFill>
                    <w14:schemeClr w14:val="tx1"/>
                  </w14:solidFill>
                </w14:textFill>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567" w:hRule="atLeast"/>
        </w:trPr>
        <w:tc>
          <w:tcPr>
            <w:tcW w:w="1047" w:type="dxa"/>
            <w:vAlign w:val="center"/>
          </w:tcPr>
          <w:p>
            <w:pPr>
              <w:spacing w:line="400" w:lineRule="exac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2.2.3</w:t>
            </w:r>
          </w:p>
        </w:tc>
        <w:tc>
          <w:tcPr>
            <w:tcW w:w="1329" w:type="dxa"/>
            <w:vAlign w:val="center"/>
          </w:tcPr>
          <w:p>
            <w:pP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评标价的偏差率计算公式</w:t>
            </w:r>
          </w:p>
        </w:tc>
        <w:tc>
          <w:tcPr>
            <w:tcW w:w="6892" w:type="dxa"/>
            <w:vAlign w:val="center"/>
          </w:tcPr>
          <w:p>
            <w:pPr>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偏差率=100%×（投标人评标价-评标基准价）/评标基准价</w:t>
            </w:r>
          </w:p>
          <w:p>
            <w:pPr>
              <w:spacing w:line="400" w:lineRule="exact"/>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偏差率保留</w:t>
            </w:r>
            <w:r>
              <w:rPr>
                <w:rFonts w:cs="Arial"/>
                <w:color w:val="000000" w:themeColor="text1"/>
                <w:u w:val="single"/>
                <w14:textFill>
                  <w14:solidFill>
                    <w14:schemeClr w14:val="tx1"/>
                  </w14:solidFill>
                </w14:textFill>
              </w:rPr>
              <w:t xml:space="preserve"> 2 </w:t>
            </w:r>
            <w:r>
              <w:rPr>
                <w:rFonts w:cs="Arial"/>
                <w:color w:val="000000" w:themeColor="text1"/>
                <w14:textFill>
                  <w14:solidFill>
                    <w14:schemeClr w14:val="tx1"/>
                  </w14:solidFill>
                </w14:textFill>
              </w:rPr>
              <w:t xml:space="preserve">位小数  </w:t>
            </w:r>
          </w:p>
        </w:tc>
      </w:tr>
    </w:tbl>
    <w:p>
      <w:pPr>
        <w:rPr>
          <w:rFonts w:cs="Arial"/>
          <w:color w:val="000000" w:themeColor="text1"/>
          <w14:textFill>
            <w14:solidFill>
              <w14:schemeClr w14:val="tx1"/>
            </w14:solidFill>
          </w14:textFill>
        </w:rPr>
      </w:pPr>
    </w:p>
    <w:tbl>
      <w:tblPr>
        <w:tblStyle w:val="9"/>
        <w:tblW w:w="9214" w:type="dxa"/>
        <w:tblInd w:w="-34"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86"/>
        <w:gridCol w:w="475"/>
        <w:gridCol w:w="786"/>
        <w:gridCol w:w="992"/>
        <w:gridCol w:w="2373"/>
        <w:gridCol w:w="888"/>
        <w:gridCol w:w="251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18" w:hRule="exact"/>
        </w:trPr>
        <w:tc>
          <w:tcPr>
            <w:tcW w:w="6700" w:type="dxa"/>
            <w:gridSpan w:val="6"/>
            <w:tcBorders>
              <w:bottom w:val="single" w:color="auto" w:sz="4" w:space="0"/>
              <w:right w:val="single" w:color="auto" w:sz="4" w:space="0"/>
            </w:tcBorders>
            <w:vAlign w:val="center"/>
          </w:tcPr>
          <w:p>
            <w:pPr>
              <w:snapToGrid w:val="0"/>
              <w:spacing w:line="300" w:lineRule="auto"/>
              <w:jc w:val="center"/>
              <w:rPr>
                <w:rFonts w:cs="Arial"/>
                <w:color w:val="000000" w:themeColor="text1"/>
                <w:szCs w:val="21"/>
                <w14:textFill>
                  <w14:solidFill>
                    <w14:schemeClr w14:val="tx1"/>
                  </w14:solidFill>
                </w14:textFill>
              </w:rPr>
            </w:pPr>
            <w:r>
              <w:rPr>
                <w:rFonts w:hint="eastAsia"/>
                <w:color w:val="000000" w:themeColor="text1"/>
                <w:spacing w:val="-9"/>
                <w:w w:val="105"/>
                <w:sz w:val="20"/>
                <w:szCs w:val="20"/>
                <w14:textFill>
                  <w14:solidFill>
                    <w14:schemeClr w14:val="tx1"/>
                  </w14:solidFill>
                </w14:textFill>
              </w:rPr>
              <w:t>评分因素与权重分值</w:t>
            </w:r>
          </w:p>
        </w:tc>
        <w:tc>
          <w:tcPr>
            <w:tcW w:w="2514" w:type="dxa"/>
            <w:vMerge w:val="restart"/>
            <w:tcBorders>
              <w:left w:val="single" w:color="auto" w:sz="4" w:space="0"/>
            </w:tcBorders>
            <w:vAlign w:val="center"/>
          </w:tcPr>
          <w:p>
            <w:pPr>
              <w:snapToGrid w:val="0"/>
              <w:spacing w:line="300" w:lineRule="auto"/>
              <w:jc w:val="center"/>
              <w:rPr>
                <w:rFonts w:cs="Arial"/>
                <w:color w:val="000000" w:themeColor="text1"/>
                <w:szCs w:val="21"/>
                <w14:textFill>
                  <w14:solidFill>
                    <w14:schemeClr w14:val="tx1"/>
                  </w14:solidFill>
                </w14:textFill>
              </w:rPr>
            </w:pPr>
            <w:r>
              <w:rPr>
                <w:rFonts w:hint="eastAsia"/>
                <w:color w:val="000000" w:themeColor="text1"/>
                <w:spacing w:val="-12"/>
                <w:sz w:val="20"/>
                <w:szCs w:val="20"/>
                <w14:textFill>
                  <w14:solidFill>
                    <w14:schemeClr w14:val="tx1"/>
                  </w14:solidFill>
                </w14:textFill>
              </w:rPr>
              <w:t>评分标准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69" w:hRule="atLeast"/>
        </w:trPr>
        <w:tc>
          <w:tcPr>
            <w:tcW w:w="1186" w:type="dxa"/>
            <w:tcBorders>
              <w:top w:val="single" w:color="auto" w:sz="4" w:space="0"/>
            </w:tcBorders>
            <w:vAlign w:val="center"/>
          </w:tcPr>
          <w:p>
            <w:pPr>
              <w:spacing w:line="360" w:lineRule="atLeast"/>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条款号</w:t>
            </w:r>
          </w:p>
        </w:tc>
        <w:tc>
          <w:tcPr>
            <w:tcW w:w="1261" w:type="dxa"/>
            <w:gridSpan w:val="2"/>
            <w:tcBorders>
              <w:top w:val="single" w:color="auto" w:sz="4" w:space="0"/>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评分因素</w:t>
            </w:r>
          </w:p>
        </w:tc>
        <w:tc>
          <w:tcPr>
            <w:tcW w:w="992" w:type="dxa"/>
            <w:tcBorders>
              <w:top w:val="single" w:color="auto" w:sz="4" w:space="0"/>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评分因素权重分值</w:t>
            </w: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88"/>
              <w:ind w:left="297"/>
              <w:jc w:val="both"/>
              <w:rPr>
                <w:rFonts w:cs="Arial"/>
                <w:color w:val="000000" w:themeColor="text1"/>
                <w:kern w:val="2"/>
                <w:sz w:val="21"/>
                <w14:textFill>
                  <w14:solidFill>
                    <w14:schemeClr w14:val="tx1"/>
                  </w14:solidFill>
                </w14:textFill>
              </w:rPr>
            </w:pPr>
            <w:r>
              <w:rPr>
                <w:rFonts w:hint="eastAsia" w:cs="Arial"/>
                <w:color w:val="000000" w:themeColor="text1"/>
                <w:kern w:val="2"/>
                <w:sz w:val="21"/>
                <w14:textFill>
                  <w14:solidFill>
                    <w14:schemeClr w14:val="tx1"/>
                  </w14:solidFill>
                </w14:textFill>
              </w:rPr>
              <w:t>各评分因素细分项</w:t>
            </w:r>
          </w:p>
        </w:tc>
        <w:tc>
          <w:tcPr>
            <w:tcW w:w="888" w:type="dxa"/>
            <w:tcBorders>
              <w:top w:val="single" w:color="auto" w:sz="4" w:space="0"/>
              <w:left w:val="single" w:color="auto" w:sz="4" w:space="0"/>
              <w:bottom w:val="single" w:color="auto" w:sz="4" w:space="0"/>
            </w:tcBorders>
            <w:vAlign w:val="center"/>
          </w:tcPr>
          <w:p>
            <w:pPr>
              <w:pStyle w:val="13"/>
              <w:kinsoku w:val="0"/>
              <w:overflowPunct w:val="0"/>
              <w:spacing w:before="88"/>
              <w:ind w:left="144"/>
              <w:jc w:val="both"/>
              <w:rPr>
                <w:rFonts w:cs="Arial"/>
                <w:color w:val="000000" w:themeColor="text1"/>
                <w:kern w:val="2"/>
                <w:sz w:val="21"/>
                <w14:textFill>
                  <w14:solidFill>
                    <w14:schemeClr w14:val="tx1"/>
                  </w14:solidFill>
                </w14:textFill>
              </w:rPr>
            </w:pPr>
            <w:r>
              <w:rPr>
                <w:rFonts w:hint="eastAsia" w:cs="Arial"/>
                <w:color w:val="000000" w:themeColor="text1"/>
                <w:kern w:val="2"/>
                <w:sz w:val="21"/>
                <w14:textFill>
                  <w14:solidFill>
                    <w14:schemeClr w14:val="tx1"/>
                  </w14:solidFill>
                </w14:textFill>
              </w:rPr>
              <w:t>分值</w:t>
            </w:r>
          </w:p>
        </w:tc>
        <w:tc>
          <w:tcPr>
            <w:tcW w:w="2514" w:type="dxa"/>
            <w:vMerge w:val="continue"/>
            <w:tcBorders>
              <w:left w:val="single" w:color="auto" w:sz="4" w:space="0"/>
              <w:bottom w:val="single" w:color="auto" w:sz="4" w:space="0"/>
            </w:tcBorders>
            <w:vAlign w:val="center"/>
          </w:tcPr>
          <w:p>
            <w:pPr>
              <w:rPr>
                <w:color w:val="000000" w:themeColor="text1"/>
                <w:spacing w:val="-6"/>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39" w:hRule="atLeast"/>
        </w:trPr>
        <w:tc>
          <w:tcPr>
            <w:tcW w:w="1186" w:type="dxa"/>
            <w:vMerge w:val="restart"/>
            <w:tcBorders>
              <w:top w:val="single" w:color="auto" w:sz="4" w:space="0"/>
            </w:tcBorders>
            <w:vAlign w:val="center"/>
          </w:tcPr>
          <w:p>
            <w:pPr>
              <w:spacing w:line="360" w:lineRule="atLeast"/>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2.2.4（1）</w:t>
            </w:r>
          </w:p>
        </w:tc>
        <w:tc>
          <w:tcPr>
            <w:tcW w:w="1261" w:type="dxa"/>
            <w:gridSpan w:val="2"/>
            <w:vMerge w:val="restart"/>
            <w:tcBorders>
              <w:top w:val="single" w:color="auto" w:sz="4" w:space="0"/>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施工组织设计</w:t>
            </w:r>
          </w:p>
        </w:tc>
        <w:tc>
          <w:tcPr>
            <w:tcW w:w="992" w:type="dxa"/>
            <w:vMerge w:val="restart"/>
            <w:tcBorders>
              <w:top w:val="single" w:color="auto" w:sz="4" w:space="0"/>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u w:val="single"/>
                <w14:textFill>
                  <w14:solidFill>
                    <w14:schemeClr w14:val="tx1"/>
                  </w14:solidFill>
                </w14:textFill>
              </w:rPr>
              <w:t xml:space="preserve"> 15 </w:t>
            </w:r>
            <w:r>
              <w:rPr>
                <w:rFonts w:hint="eastAsia" w:ascii="宋体" w:hAnsi="宋体" w:cs="Arial"/>
                <w:color w:val="000000" w:themeColor="text1"/>
                <w14:textFill>
                  <w14:solidFill>
                    <w14:schemeClr w14:val="tx1"/>
                  </w14:solidFill>
                </w14:textFill>
              </w:rPr>
              <w:t>分</w:t>
            </w: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88"/>
              <w:jc w:val="both"/>
              <w:rPr>
                <w:rFonts w:cs="Arial"/>
                <w:color w:val="000000" w:themeColor="text1"/>
                <w:kern w:val="2"/>
                <w:sz w:val="21"/>
                <w:szCs w:val="21"/>
                <w14:textFill>
                  <w14:solidFill>
                    <w14:schemeClr w14:val="tx1"/>
                  </w14:solidFill>
                </w14:textFill>
              </w:rPr>
            </w:pPr>
            <w:r>
              <w:rPr>
                <w:rFonts w:hint="eastAsia" w:cs="Arial"/>
                <w:color w:val="000000" w:themeColor="text1"/>
                <w:kern w:val="2"/>
                <w:sz w:val="21"/>
                <w:szCs w:val="21"/>
                <w14:textFill>
                  <w14:solidFill>
                    <w14:schemeClr w14:val="tx1"/>
                  </w14:solidFill>
                </w14:textFill>
              </w:rPr>
              <w:t>总体施工组织布置及规划</w:t>
            </w:r>
          </w:p>
        </w:tc>
        <w:tc>
          <w:tcPr>
            <w:tcW w:w="888" w:type="dxa"/>
            <w:tcBorders>
              <w:top w:val="single" w:color="auto" w:sz="4" w:space="0"/>
              <w:left w:val="single" w:color="auto" w:sz="4" w:space="0"/>
              <w:bottom w:val="single" w:color="auto" w:sz="4" w:space="0"/>
            </w:tcBorders>
            <w:vAlign w:val="center"/>
          </w:tcPr>
          <w:p>
            <w:pPr>
              <w:pStyle w:val="13"/>
              <w:kinsoku w:val="0"/>
              <w:overflowPunct w:val="0"/>
              <w:spacing w:before="88"/>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2.5 </w:t>
            </w:r>
            <w:r>
              <w:rPr>
                <w:rFonts w:hint="eastAsia" w:cs="Arial"/>
                <w:color w:val="000000" w:themeColor="text1"/>
                <w:kern w:val="2"/>
                <w:sz w:val="21"/>
                <w14:textFill>
                  <w14:solidFill>
                    <w14:schemeClr w14:val="tx1"/>
                  </w14:solidFill>
                </w14:textFill>
              </w:rPr>
              <w:t>分</w:t>
            </w:r>
          </w:p>
        </w:tc>
        <w:tc>
          <w:tcPr>
            <w:tcW w:w="2514" w:type="dxa"/>
            <w:vMerge w:val="restart"/>
            <w:tcBorders>
              <w:top w:val="single" w:color="auto" w:sz="4" w:space="0"/>
              <w:left w:val="single" w:color="auto" w:sz="4" w:space="0"/>
            </w:tcBorders>
            <w:vAlign w:val="center"/>
          </w:tcPr>
          <w:p>
            <w:pPr>
              <w:rPr>
                <w:rFonts w:cs="Arial"/>
                <w:color w:val="000000" w:themeColor="text1"/>
                <w14:textFill>
                  <w14:solidFill>
                    <w14:schemeClr w14:val="tx1"/>
                  </w14:solidFill>
                </w14:textFill>
              </w:rPr>
            </w:pPr>
            <w:r>
              <w:rPr>
                <w:color w:val="000000" w:themeColor="text1"/>
                <w:spacing w:val="-6"/>
                <w:szCs w:val="21"/>
                <w14:textFill>
                  <w14:solidFill>
                    <w14:schemeClr w14:val="tx1"/>
                  </w14:solidFill>
                </w14:textFill>
              </w:rPr>
              <w:t>按4个等级评定：“很好”计分值的90%~100%，“较好”计80~90%，“一般”计70%~80%，“较差但可行”计60%~70%。本项目由评标委员会按照上述规定，独立评分并签名，各评审因素得分</w:t>
            </w:r>
            <w:r>
              <w:rPr>
                <w:rFonts w:hint="eastAsia"/>
                <w:color w:val="000000" w:themeColor="text1"/>
                <w:spacing w:val="-6"/>
                <w:szCs w:val="21"/>
                <w14:textFill>
                  <w14:solidFill>
                    <w14:schemeClr w14:val="tx1"/>
                  </w14:solidFill>
                </w14:textFill>
              </w:rPr>
              <w:t>一般不得</w:t>
            </w:r>
            <w:r>
              <w:rPr>
                <w:color w:val="000000" w:themeColor="text1"/>
                <w:spacing w:val="-6"/>
                <w:szCs w:val="21"/>
                <w14:textFill>
                  <w14:solidFill>
                    <w14:schemeClr w14:val="tx1"/>
                  </w14:solidFill>
                </w14:textFill>
              </w:rPr>
              <w:t>低于其满分的60%，</w:t>
            </w:r>
            <w:r>
              <w:rPr>
                <w:rFonts w:hint="eastAsia"/>
                <w:color w:val="000000" w:themeColor="text1"/>
                <w:spacing w:val="-6"/>
                <w:szCs w:val="21"/>
                <w14:textFill>
                  <w14:solidFill>
                    <w14:schemeClr w14:val="tx1"/>
                  </w14:solidFill>
                </w14:textFill>
              </w:rPr>
              <w:t>评标委员会成员对某一项评分因素的评分低于权重分值60%的，应在评标报告中做出说明。</w:t>
            </w:r>
            <w:r>
              <w:rPr>
                <w:color w:val="000000" w:themeColor="text1"/>
                <w:spacing w:val="-6"/>
                <w:szCs w:val="21"/>
                <w14:textFill>
                  <w14:solidFill>
                    <w14:schemeClr w14:val="tx1"/>
                  </w14:solidFill>
                </w14:textFill>
              </w:rPr>
              <w:t>各评审因素得分应以评标委员会各成员打分的平均值确定</w:t>
            </w:r>
            <w:r>
              <w:rPr>
                <w:rFonts w:hint="eastAsia"/>
                <w:color w:val="000000" w:themeColor="text1"/>
                <w:spacing w:val="-6"/>
                <w:szCs w:val="21"/>
                <w14:textFill>
                  <w14:solidFill>
                    <w14:schemeClr w14:val="tx1"/>
                  </w14:solidFill>
                </w14:textFill>
              </w:rPr>
              <w:t>（当</w:t>
            </w:r>
            <w:r>
              <w:rPr>
                <w:color w:val="000000" w:themeColor="text1"/>
                <w:spacing w:val="-6"/>
                <w:szCs w:val="21"/>
                <w14:textFill>
                  <w14:solidFill>
                    <w14:schemeClr w14:val="tx1"/>
                  </w14:solidFill>
                </w14:textFill>
              </w:rPr>
              <w:t>评标委员会</w:t>
            </w:r>
            <w:r>
              <w:rPr>
                <w:rFonts w:hint="eastAsia"/>
                <w:color w:val="000000" w:themeColor="text1"/>
                <w:spacing w:val="-6"/>
                <w:szCs w:val="21"/>
                <w14:textFill>
                  <w14:solidFill>
                    <w14:schemeClr w14:val="tx1"/>
                  </w14:solidFill>
                </w14:textFill>
              </w:rPr>
              <w:t>为</w:t>
            </w:r>
            <w:r>
              <w:rPr>
                <w:color w:val="000000" w:themeColor="text1"/>
                <w:spacing w:val="-6"/>
                <w:szCs w:val="21"/>
                <w14:textFill>
                  <w14:solidFill>
                    <w14:schemeClr w14:val="tx1"/>
                  </w14:solidFill>
                </w14:textFill>
              </w:rPr>
              <w:t>5人时，该平均值以</w:t>
            </w:r>
            <w:r>
              <w:rPr>
                <w:rFonts w:hint="eastAsia"/>
                <w:color w:val="000000" w:themeColor="text1"/>
                <w:spacing w:val="-6"/>
                <w:szCs w:val="21"/>
                <w14:textFill>
                  <w14:solidFill>
                    <w14:schemeClr w14:val="tx1"/>
                  </w14:solidFill>
                </w14:textFill>
              </w:rPr>
              <w:t>各成员打分的算术平均值确定；当</w:t>
            </w:r>
            <w:r>
              <w:rPr>
                <w:color w:val="000000" w:themeColor="text1"/>
                <w:spacing w:val="-6"/>
                <w:szCs w:val="21"/>
                <w14:textFill>
                  <w14:solidFill>
                    <w14:schemeClr w14:val="tx1"/>
                  </w14:solidFill>
                </w14:textFill>
              </w:rPr>
              <w:t>评标委员会</w:t>
            </w:r>
            <w:r>
              <w:rPr>
                <w:rFonts w:hint="eastAsia"/>
                <w:color w:val="000000" w:themeColor="text1"/>
                <w:spacing w:val="-6"/>
                <w:szCs w:val="21"/>
                <w14:textFill>
                  <w14:solidFill>
                    <w14:schemeClr w14:val="tx1"/>
                  </w14:solidFill>
                </w14:textFill>
              </w:rPr>
              <w:t>为</w:t>
            </w:r>
            <w:r>
              <w:rPr>
                <w:color w:val="000000" w:themeColor="text1"/>
                <w:spacing w:val="-6"/>
                <w:szCs w:val="21"/>
                <w14:textFill>
                  <w14:solidFill>
                    <w14:schemeClr w14:val="tx1"/>
                  </w14:solidFill>
                </w14:textFill>
              </w:rPr>
              <w:t>7</w:t>
            </w:r>
            <w:r>
              <w:rPr>
                <w:rFonts w:hint="eastAsia"/>
                <w:color w:val="000000" w:themeColor="text1"/>
                <w:spacing w:val="-6"/>
                <w:szCs w:val="21"/>
                <w14:textFill>
                  <w14:solidFill>
                    <w14:schemeClr w14:val="tx1"/>
                  </w14:solidFill>
                </w14:textFill>
              </w:rPr>
              <w:t>人及以上时，</w:t>
            </w:r>
            <w:r>
              <w:rPr>
                <w:color w:val="000000" w:themeColor="text1"/>
                <w:spacing w:val="-6"/>
                <w:szCs w:val="21"/>
                <w14:textFill>
                  <w14:solidFill>
                    <w14:schemeClr w14:val="tx1"/>
                  </w14:solidFill>
                </w14:textFill>
              </w:rPr>
              <w:t>该平均值以去掉一个最高分和一个最低分后计算</w:t>
            </w:r>
            <w:r>
              <w:rPr>
                <w:rFonts w:hint="eastAsia"/>
                <w:color w:val="000000" w:themeColor="text1"/>
                <w:spacing w:val="-6"/>
                <w:szCs w:val="21"/>
                <w14:textFill>
                  <w14:solidFill>
                    <w14:schemeClr w14:val="tx1"/>
                  </w14:solidFill>
                </w14:textFill>
              </w:rPr>
              <w:t>）</w:t>
            </w:r>
            <w:r>
              <w:rPr>
                <w:color w:val="000000" w:themeColor="text1"/>
                <w:spacing w:val="-6"/>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703" w:hRule="atLeast"/>
        </w:trPr>
        <w:tc>
          <w:tcPr>
            <w:tcW w:w="1186" w:type="dxa"/>
            <w:vMerge w:val="continue"/>
            <w:tcBorders>
              <w:top w:val="single" w:color="auto" w:sz="4" w:space="0"/>
            </w:tcBorders>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top w:val="single" w:color="auto" w:sz="4" w:space="0"/>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top w:val="single" w:color="auto" w:sz="4" w:space="0"/>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88"/>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主要工程项目的施工方案、方法与技术措施</w:t>
            </w:r>
          </w:p>
        </w:tc>
        <w:tc>
          <w:tcPr>
            <w:tcW w:w="888" w:type="dxa"/>
            <w:tcBorders>
              <w:top w:val="single" w:color="auto" w:sz="4" w:space="0"/>
              <w:left w:val="single" w:color="auto" w:sz="4" w:space="0"/>
              <w:bottom w:val="single" w:color="auto" w:sz="4" w:space="0"/>
            </w:tcBorders>
            <w:vAlign w:val="center"/>
          </w:tcPr>
          <w:p>
            <w:pPr>
              <w:pStyle w:val="13"/>
              <w:kinsoku w:val="0"/>
              <w:overflowPunct w:val="0"/>
              <w:spacing w:before="88"/>
              <w:jc w:val="center"/>
              <w:rPr>
                <w:rFonts w:cs="Arial"/>
                <w:color w:val="000000" w:themeColor="text1"/>
                <w:kern w:val="2"/>
                <w:sz w:val="21"/>
                <w:u w:val="single"/>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2.5 </w:t>
            </w:r>
            <w:r>
              <w:rPr>
                <w:rFonts w:hint="eastAsia" w:cs="Arial"/>
                <w:color w:val="000000" w:themeColor="text1"/>
                <w:kern w:val="2"/>
                <w:sz w:val="21"/>
                <w14:textFill>
                  <w14:solidFill>
                    <w14:schemeClr w14:val="tx1"/>
                  </w14:solidFill>
                </w14:textFill>
              </w:rPr>
              <w:t>分</w:t>
            </w:r>
          </w:p>
        </w:tc>
        <w:tc>
          <w:tcPr>
            <w:tcW w:w="2514" w:type="dxa"/>
            <w:vMerge w:val="continue"/>
            <w:tcBorders>
              <w:top w:val="single" w:color="auto" w:sz="4" w:space="0"/>
              <w:left w:val="single" w:color="auto" w:sz="4" w:space="0"/>
            </w:tcBorders>
            <w:vAlign w:val="center"/>
          </w:tcPr>
          <w:p>
            <w:pPr>
              <w:rPr>
                <w:color w:val="000000" w:themeColor="text1"/>
                <w:spacing w:val="-6"/>
                <w:szCs w:val="2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413"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15" w:line="380" w:lineRule="exact"/>
              <w:ind w:right="95"/>
              <w:jc w:val="both"/>
              <w:rPr>
                <w:rFonts w:cs="Arial"/>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工期保证体系及保证措施  </w:t>
            </w:r>
          </w:p>
        </w:tc>
        <w:tc>
          <w:tcPr>
            <w:tcW w:w="888" w:type="dxa"/>
            <w:tcBorders>
              <w:top w:val="single" w:color="auto" w:sz="4" w:space="0"/>
              <w:left w:val="single" w:color="auto" w:sz="4" w:space="0"/>
              <w:bottom w:val="single" w:color="auto" w:sz="4" w:space="0"/>
            </w:tcBorders>
            <w:vAlign w:val="center"/>
          </w:tcPr>
          <w:p>
            <w:pPr>
              <w:pStyle w:val="13"/>
              <w:kinsoku w:val="0"/>
              <w:overflowPunct w:val="0"/>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2.5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52"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81"/>
              <w:jc w:val="both"/>
              <w:rPr>
                <w:rFonts w:cs="Arial"/>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 xml:space="preserve">工程质量管理体系及保证措施  </w:t>
            </w:r>
          </w:p>
        </w:tc>
        <w:tc>
          <w:tcPr>
            <w:tcW w:w="888" w:type="dxa"/>
            <w:tcBorders>
              <w:top w:val="single" w:color="auto" w:sz="4" w:space="0"/>
              <w:left w:val="single" w:color="auto" w:sz="4" w:space="0"/>
              <w:bottom w:val="single" w:color="auto" w:sz="4" w:space="0"/>
            </w:tcBorders>
            <w:vAlign w:val="center"/>
          </w:tcPr>
          <w:p>
            <w:pPr>
              <w:pStyle w:val="13"/>
              <w:kinsoku w:val="0"/>
              <w:overflowPunct w:val="0"/>
              <w:spacing w:before="85"/>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2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7"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bottom w:val="single" w:color="auto" w:sz="4" w:space="0"/>
              <w:right w:val="single" w:color="auto" w:sz="4" w:space="0"/>
            </w:tcBorders>
            <w:vAlign w:val="center"/>
          </w:tcPr>
          <w:p>
            <w:pPr>
              <w:pStyle w:val="13"/>
              <w:kinsoku w:val="0"/>
              <w:overflowPunct w:val="0"/>
              <w:spacing w:before="83"/>
              <w:jc w:val="both"/>
              <w:rPr>
                <w:rFonts w:cs="Arial"/>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安全生产管理体系及保证措施</w:t>
            </w:r>
          </w:p>
        </w:tc>
        <w:tc>
          <w:tcPr>
            <w:tcW w:w="888" w:type="dxa"/>
            <w:tcBorders>
              <w:top w:val="single" w:color="auto" w:sz="4" w:space="0"/>
              <w:left w:val="single" w:color="auto" w:sz="4" w:space="0"/>
              <w:bottom w:val="single" w:color="auto" w:sz="4" w:space="0"/>
            </w:tcBorders>
            <w:vAlign w:val="center"/>
          </w:tcPr>
          <w:p>
            <w:pPr>
              <w:pStyle w:val="13"/>
              <w:kinsoku w:val="0"/>
              <w:overflowPunct w:val="0"/>
              <w:spacing w:before="160" w:line="217" w:lineRule="exact"/>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2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82"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right w:val="single" w:color="auto" w:sz="4" w:space="0"/>
            </w:tcBorders>
            <w:vAlign w:val="center"/>
          </w:tcPr>
          <w:p>
            <w:pPr>
              <w:pStyle w:val="13"/>
              <w:kinsoku w:val="0"/>
              <w:overflowPunct w:val="0"/>
              <w:spacing w:before="88"/>
              <w:jc w:val="both"/>
              <w:rPr>
                <w:rFonts w:cs="Arial"/>
                <w:color w:val="000000" w:themeColor="text1"/>
                <w:kern w:val="2"/>
                <w:sz w:val="21"/>
                <w:szCs w:val="21"/>
                <w14:textFill>
                  <w14:solidFill>
                    <w14:schemeClr w14:val="tx1"/>
                  </w14:solidFill>
                </w14:textFill>
              </w:rPr>
            </w:pPr>
            <w:r>
              <w:rPr>
                <w:rFonts w:hint="eastAsia"/>
                <w:color w:val="000000" w:themeColor="text1"/>
                <w:sz w:val="21"/>
                <w:szCs w:val="21"/>
                <w14:textFill>
                  <w14:solidFill>
                    <w14:schemeClr w14:val="tx1"/>
                  </w14:solidFill>
                </w14:textFill>
              </w:rPr>
              <w:t>环境保护、水土保持保证体系及保证措施</w:t>
            </w:r>
          </w:p>
        </w:tc>
        <w:tc>
          <w:tcPr>
            <w:tcW w:w="888" w:type="dxa"/>
            <w:tcBorders>
              <w:top w:val="single" w:color="auto" w:sz="4" w:space="0"/>
              <w:left w:val="single" w:color="auto" w:sz="4" w:space="0"/>
            </w:tcBorders>
            <w:vAlign w:val="center"/>
          </w:tcPr>
          <w:p>
            <w:pPr>
              <w:pStyle w:val="13"/>
              <w:kinsoku w:val="0"/>
              <w:overflowPunct w:val="0"/>
              <w:spacing w:before="88"/>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1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65"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right w:val="single" w:color="auto" w:sz="4" w:space="0"/>
            </w:tcBorders>
            <w:vAlign w:val="center"/>
          </w:tcPr>
          <w:p>
            <w:pPr>
              <w:pStyle w:val="13"/>
              <w:kinsoku w:val="0"/>
              <w:overflowPunct w:val="0"/>
              <w:spacing w:before="88"/>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文明施工、文物保护保证体系及保证措施</w:t>
            </w:r>
          </w:p>
        </w:tc>
        <w:tc>
          <w:tcPr>
            <w:tcW w:w="888" w:type="dxa"/>
            <w:tcBorders>
              <w:top w:val="single" w:color="auto" w:sz="4" w:space="0"/>
              <w:left w:val="single" w:color="auto" w:sz="4" w:space="0"/>
            </w:tcBorders>
            <w:vAlign w:val="center"/>
          </w:tcPr>
          <w:p>
            <w:pPr>
              <w:pStyle w:val="13"/>
              <w:kinsoku w:val="0"/>
              <w:overflowPunct w:val="0"/>
              <w:spacing w:before="88"/>
              <w:jc w:val="center"/>
              <w:rPr>
                <w:rFonts w:cs="Arial"/>
                <w:color w:val="000000" w:themeColor="text1"/>
                <w:kern w:val="2"/>
                <w:sz w:val="21"/>
                <w:u w:val="single"/>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1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98"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right w:val="single" w:color="auto" w:sz="4" w:space="0"/>
            </w:tcBorders>
            <w:vAlign w:val="center"/>
          </w:tcPr>
          <w:p>
            <w:pPr>
              <w:pStyle w:val="13"/>
              <w:kinsoku w:val="0"/>
              <w:overflowPunct w:val="0"/>
              <w:spacing w:before="88"/>
              <w:jc w:val="both"/>
              <w:rPr>
                <w:color w:val="000000" w:themeColor="text1"/>
                <w:sz w:val="21"/>
                <w:szCs w:val="21"/>
                <w14:textFill>
                  <w14:solidFill>
                    <w14:schemeClr w14:val="tx1"/>
                  </w14:solidFill>
                </w14:textFill>
              </w:rPr>
            </w:pPr>
            <w:r>
              <w:rPr>
                <w:rFonts w:hint="eastAsia" w:cs="Arial"/>
                <w:color w:val="000000" w:themeColor="text1"/>
                <w:kern w:val="2"/>
                <w:sz w:val="21"/>
                <w:szCs w:val="21"/>
                <w14:textFill>
                  <w14:solidFill>
                    <w14:schemeClr w14:val="tx1"/>
                  </w14:solidFill>
                </w14:textFill>
              </w:rPr>
              <w:t>项目风险预测与防范，事故应急预案</w:t>
            </w:r>
          </w:p>
        </w:tc>
        <w:tc>
          <w:tcPr>
            <w:tcW w:w="888" w:type="dxa"/>
            <w:tcBorders>
              <w:top w:val="single" w:color="auto" w:sz="4" w:space="0"/>
              <w:left w:val="single" w:color="auto" w:sz="4" w:space="0"/>
            </w:tcBorders>
            <w:vAlign w:val="center"/>
          </w:tcPr>
          <w:p>
            <w:pPr>
              <w:pStyle w:val="13"/>
              <w:kinsoku w:val="0"/>
              <w:overflowPunct w:val="0"/>
              <w:spacing w:before="88"/>
              <w:jc w:val="center"/>
              <w:rPr>
                <w:rFonts w:cs="Arial"/>
                <w:color w:val="000000" w:themeColor="text1"/>
                <w:kern w:val="2"/>
                <w:sz w:val="21"/>
                <w:u w:val="single"/>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1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536"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right w:val="single" w:color="auto" w:sz="4" w:space="0"/>
            </w:tcBorders>
            <w:vAlign w:val="center"/>
          </w:tcPr>
          <w:p>
            <w:pPr>
              <w:pStyle w:val="13"/>
              <w:kinsoku w:val="0"/>
              <w:overflowPunct w:val="0"/>
              <w:spacing w:before="88"/>
              <w:jc w:val="both"/>
              <w:rPr>
                <w:rFonts w:cs="Arial"/>
                <w:color w:val="000000" w:themeColor="text1"/>
                <w:kern w:val="2"/>
                <w:sz w:val="21"/>
                <w:szCs w:val="21"/>
                <w14:textFill>
                  <w14:solidFill>
                    <w14:schemeClr w14:val="tx1"/>
                  </w14:solidFill>
                </w14:textFill>
              </w:rPr>
            </w:pPr>
            <w:r>
              <w:rPr>
                <w:rFonts w:hint="eastAsia" w:cs="Arial"/>
                <w:color w:val="000000" w:themeColor="text1"/>
                <w:kern w:val="2"/>
                <w:sz w:val="21"/>
                <w:szCs w:val="21"/>
                <w14:textFill>
                  <w14:solidFill>
                    <w14:schemeClr w14:val="tx1"/>
                  </w14:solidFill>
                </w14:textFill>
              </w:rPr>
              <w:t>其他应说明的事项</w:t>
            </w:r>
          </w:p>
        </w:tc>
        <w:tc>
          <w:tcPr>
            <w:tcW w:w="888" w:type="dxa"/>
            <w:tcBorders>
              <w:top w:val="single" w:color="auto" w:sz="4" w:space="0"/>
              <w:left w:val="single" w:color="auto" w:sz="4" w:space="0"/>
            </w:tcBorders>
            <w:vAlign w:val="center"/>
          </w:tcPr>
          <w:p>
            <w:pPr>
              <w:pStyle w:val="13"/>
              <w:kinsoku w:val="0"/>
              <w:overflowPunct w:val="0"/>
              <w:spacing w:before="88"/>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0.5 </w:t>
            </w:r>
            <w:r>
              <w:rPr>
                <w:rFonts w:hint="eastAsia" w:cs="Arial"/>
                <w:color w:val="000000" w:themeColor="text1"/>
                <w:kern w:val="2"/>
                <w:sz w:val="21"/>
                <w14:textFill>
                  <w14:solidFill>
                    <w14:schemeClr w14:val="tx1"/>
                  </w14:solidFill>
                </w14:textFill>
              </w:rPr>
              <w:t>分</w:t>
            </w:r>
          </w:p>
        </w:tc>
        <w:tc>
          <w:tcPr>
            <w:tcW w:w="2514" w:type="dxa"/>
            <w:vMerge w:val="continue"/>
            <w:tcBorders>
              <w:left w:val="single" w:color="auto" w:sz="4" w:space="0"/>
            </w:tcBorders>
            <w:vAlign w:val="center"/>
          </w:tcPr>
          <w:p>
            <w:pPr>
              <w:snapToGrid w:val="0"/>
              <w:spacing w:line="300" w:lineRule="auto"/>
              <w:rPr>
                <w:rFonts w:cs="Arial"/>
                <w:color w:val="000000" w:themeColor="text1"/>
                <w14:textFill>
                  <w14:solidFill>
                    <w14:schemeClr w14:val="tx1"/>
                  </w14:solidFill>
                </w14:textFill>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trPr>
        <w:tc>
          <w:tcPr>
            <w:tcW w:w="1186" w:type="dxa"/>
            <w:vMerge w:val="restart"/>
            <w:vAlign w:val="center"/>
          </w:tcPr>
          <w:p>
            <w:pPr>
              <w:spacing w:line="360" w:lineRule="atLeast"/>
              <w:jc w:val="center"/>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2.2.4（2）</w:t>
            </w:r>
          </w:p>
        </w:tc>
        <w:tc>
          <w:tcPr>
            <w:tcW w:w="1261" w:type="dxa"/>
            <w:gridSpan w:val="2"/>
            <w:vMerge w:val="restart"/>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 xml:space="preserve">主要人员 </w:t>
            </w:r>
          </w:p>
        </w:tc>
        <w:tc>
          <w:tcPr>
            <w:tcW w:w="992" w:type="dxa"/>
            <w:vMerge w:val="restart"/>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u w:val="single"/>
                <w14:textFill>
                  <w14:solidFill>
                    <w14:schemeClr w14:val="tx1"/>
                  </w14:solidFill>
                </w14:textFill>
              </w:rPr>
              <w:t xml:space="preserve"> 10 </w:t>
            </w:r>
            <w:r>
              <w:rPr>
                <w:rFonts w:hint="eastAsia" w:ascii="宋体" w:hAnsi="宋体" w:cs="Arial"/>
                <w:color w:val="000000" w:themeColor="text1"/>
                <w14:textFill>
                  <w14:solidFill>
                    <w14:schemeClr w14:val="tx1"/>
                  </w14:solidFill>
                </w14:textFill>
              </w:rPr>
              <w:t>分</w:t>
            </w:r>
          </w:p>
        </w:tc>
        <w:tc>
          <w:tcPr>
            <w:tcW w:w="2373" w:type="dxa"/>
            <w:tcBorders>
              <w:top w:val="single" w:color="auto" w:sz="4" w:space="0"/>
              <w:right w:val="single" w:color="auto" w:sz="4" w:space="0"/>
            </w:tcBorders>
            <w:vAlign w:val="center"/>
          </w:tcPr>
          <w:p>
            <w:pPr>
              <w:pStyle w:val="13"/>
              <w:kinsoku w:val="0"/>
              <w:overflowPunct w:val="0"/>
              <w:spacing w:before="88"/>
              <w:jc w:val="both"/>
              <w:rPr>
                <w:rFonts w:cs="Arial"/>
                <w:color w:val="000000" w:themeColor="text1"/>
                <w:kern w:val="2"/>
                <w:sz w:val="21"/>
                <w14:textFill>
                  <w14:solidFill>
                    <w14:schemeClr w14:val="tx1"/>
                  </w14:solidFill>
                </w14:textFill>
              </w:rPr>
            </w:pPr>
            <w:r>
              <w:rPr>
                <w:rFonts w:hint="eastAsia" w:cs="Arial"/>
                <w:color w:val="000000" w:themeColor="text1"/>
                <w:kern w:val="2"/>
                <w:sz w:val="21"/>
                <w14:textFill>
                  <w14:solidFill>
                    <w14:schemeClr w14:val="tx1"/>
                  </w14:solidFill>
                </w14:textFill>
              </w:rPr>
              <w:t>项目经理任职资格与业绩</w:t>
            </w:r>
          </w:p>
        </w:tc>
        <w:tc>
          <w:tcPr>
            <w:tcW w:w="888" w:type="dxa"/>
            <w:tcBorders>
              <w:top w:val="single" w:color="auto" w:sz="4" w:space="0"/>
              <w:left w:val="single" w:color="auto" w:sz="4" w:space="0"/>
            </w:tcBorders>
            <w:vAlign w:val="center"/>
          </w:tcPr>
          <w:p>
            <w:pPr>
              <w:pStyle w:val="13"/>
              <w:kinsoku w:val="0"/>
              <w:overflowPunct w:val="0"/>
              <w:spacing w:before="88"/>
              <w:ind w:left="262" w:leftChars="119"/>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6 </w:t>
            </w:r>
            <w:r>
              <w:rPr>
                <w:rFonts w:hint="eastAsia" w:cs="Arial"/>
                <w:color w:val="000000" w:themeColor="text1"/>
                <w:kern w:val="2"/>
                <w:sz w:val="21"/>
                <w14:textFill>
                  <w14:solidFill>
                    <w14:schemeClr w14:val="tx1"/>
                  </w14:solidFill>
                </w14:textFill>
              </w:rPr>
              <w:t>分</w:t>
            </w:r>
          </w:p>
        </w:tc>
        <w:tc>
          <w:tcPr>
            <w:tcW w:w="2514" w:type="dxa"/>
            <w:tcBorders>
              <w:top w:val="single" w:color="auto" w:sz="4" w:space="0"/>
              <w:left w:val="single" w:color="auto" w:sz="4" w:space="0"/>
            </w:tcBorders>
            <w:vAlign w:val="center"/>
          </w:tcPr>
          <w:p>
            <w:pPr>
              <w:snapToGrid w:val="0"/>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满足资格条件得</w:t>
            </w:r>
            <w:r>
              <w:rPr>
                <w:rFonts w:hint="eastAsia"/>
                <w:color w:val="000000" w:themeColor="text1"/>
                <w:szCs w:val="21"/>
                <w:u w:val="single"/>
                <w14:textFill>
                  <w14:solidFill>
                    <w14:schemeClr w14:val="tx1"/>
                  </w14:solidFill>
                </w14:textFill>
              </w:rPr>
              <w:t xml:space="preserve">  3.6 </w:t>
            </w:r>
            <w:r>
              <w:rPr>
                <w:rFonts w:hint="eastAsia"/>
                <w:color w:val="000000" w:themeColor="text1"/>
                <w:szCs w:val="21"/>
                <w14:textFill>
                  <w14:solidFill>
                    <w14:schemeClr w14:val="tx1"/>
                  </w14:solidFill>
                </w14:textFill>
              </w:rPr>
              <w:t>分。</w:t>
            </w:r>
          </w:p>
          <w:p>
            <w:pPr>
              <w:snapToGrid w:val="0"/>
              <w:spacing w:line="300" w:lineRule="auto"/>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DADLQG3</w:t>
            </w:r>
            <w:r>
              <w:rPr>
                <w:rFonts w:hint="eastAsia"/>
                <w:color w:val="000000" w:themeColor="text1"/>
                <w:szCs w:val="21"/>
                <w14:textFill>
                  <w14:solidFill>
                    <w14:schemeClr w14:val="tx1"/>
                  </w14:solidFill>
                </w14:textFill>
              </w:rPr>
              <w:t>:担任过1个合同额500万以上的220KV以上送电线路或电力迁改工程施工项目经理的</w:t>
            </w:r>
            <w:r>
              <w:rPr>
                <w:color w:val="000000" w:themeColor="text1"/>
                <w:szCs w:val="21"/>
                <w14:textFill>
                  <w14:solidFill>
                    <w14:schemeClr w14:val="tx1"/>
                  </w14:solidFill>
                </w14:textFill>
              </w:rPr>
              <w:t>业绩</w:t>
            </w:r>
            <w:r>
              <w:rPr>
                <w:rFonts w:hint="eastAsia"/>
                <w:color w:val="000000" w:themeColor="text1"/>
                <w:szCs w:val="21"/>
                <w14:textFill>
                  <w14:solidFill>
                    <w14:schemeClr w14:val="tx1"/>
                  </w14:solidFill>
                </w14:textFill>
              </w:rPr>
              <w:t>加</w:t>
            </w:r>
            <w:r>
              <w:rPr>
                <w:rFonts w:hint="eastAsia"/>
                <w:color w:val="000000" w:themeColor="text1"/>
                <w:szCs w:val="21"/>
                <w:u w:val="single"/>
                <w14:textFill>
                  <w14:solidFill>
                    <w14:schemeClr w14:val="tx1"/>
                  </w14:solidFill>
                </w14:textFill>
              </w:rPr>
              <w:t xml:space="preserve"> 0.8 </w:t>
            </w:r>
            <w:r>
              <w:rPr>
                <w:rFonts w:hint="eastAsia"/>
                <w:color w:val="000000" w:themeColor="text1"/>
                <w:szCs w:val="21"/>
                <w14:textFill>
                  <w14:solidFill>
                    <w14:schemeClr w14:val="tx1"/>
                  </w14:solidFill>
                </w14:textFill>
              </w:rPr>
              <w:t>分，最多加</w:t>
            </w:r>
            <w:r>
              <w:rPr>
                <w:rFonts w:hint="eastAsia"/>
                <w:color w:val="000000" w:themeColor="text1"/>
                <w:szCs w:val="21"/>
                <w:u w:val="single"/>
                <w14:textFill>
                  <w14:solidFill>
                    <w14:schemeClr w14:val="tx1"/>
                  </w14:solidFill>
                </w14:textFill>
              </w:rPr>
              <w:t xml:space="preserve"> 2.4 </w:t>
            </w:r>
            <w:r>
              <w:rPr>
                <w:rFonts w:hint="eastAsia"/>
                <w:color w:val="000000" w:themeColor="text1"/>
                <w:szCs w:val="21"/>
                <w14:textFill>
                  <w14:solidFill>
                    <w14:schemeClr w14:val="tx1"/>
                  </w14:solidFill>
                </w14:textFill>
              </w:rPr>
              <w:t xml:space="preserve">分。 </w:t>
            </w:r>
          </w:p>
          <w:p>
            <w:pPr>
              <w:snapToGrid w:val="0"/>
              <w:spacing w:line="300" w:lineRule="auto"/>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DADLQG4</w:t>
            </w:r>
            <w:r>
              <w:rPr>
                <w:rFonts w:hint="eastAsia"/>
                <w:color w:val="000000" w:themeColor="text1"/>
                <w:szCs w:val="21"/>
                <w14:textFill>
                  <w14:solidFill>
                    <w14:schemeClr w14:val="tx1"/>
                  </w14:solidFill>
                </w14:textFill>
              </w:rPr>
              <w:t>:担任过1个合同额1000万以上的500KV以上送电线路或电力迁改工程施工项目经理的</w:t>
            </w:r>
            <w:r>
              <w:rPr>
                <w:color w:val="000000" w:themeColor="text1"/>
                <w:szCs w:val="21"/>
                <w14:textFill>
                  <w14:solidFill>
                    <w14:schemeClr w14:val="tx1"/>
                  </w14:solidFill>
                </w14:textFill>
              </w:rPr>
              <w:t>业绩</w:t>
            </w:r>
            <w:r>
              <w:rPr>
                <w:rFonts w:hint="eastAsia"/>
                <w:color w:val="000000" w:themeColor="text1"/>
                <w:szCs w:val="21"/>
                <w14:textFill>
                  <w14:solidFill>
                    <w14:schemeClr w14:val="tx1"/>
                  </w14:solidFill>
                </w14:textFill>
              </w:rPr>
              <w:t>加</w:t>
            </w:r>
            <w:r>
              <w:rPr>
                <w:rFonts w:hint="eastAsia"/>
                <w:color w:val="000000" w:themeColor="text1"/>
                <w:szCs w:val="21"/>
                <w:u w:val="single"/>
                <w14:textFill>
                  <w14:solidFill>
                    <w14:schemeClr w14:val="tx1"/>
                  </w14:solidFill>
                </w14:textFill>
              </w:rPr>
              <w:t xml:space="preserve"> 0.8 </w:t>
            </w:r>
            <w:r>
              <w:rPr>
                <w:rFonts w:hint="eastAsia"/>
                <w:color w:val="000000" w:themeColor="text1"/>
                <w:szCs w:val="21"/>
                <w14:textFill>
                  <w14:solidFill>
                    <w14:schemeClr w14:val="tx1"/>
                  </w14:solidFill>
                </w14:textFill>
              </w:rPr>
              <w:t>分，最多加</w:t>
            </w:r>
            <w:r>
              <w:rPr>
                <w:rFonts w:hint="eastAsia"/>
                <w:color w:val="000000" w:themeColor="text1"/>
                <w:szCs w:val="21"/>
                <w:u w:val="single"/>
                <w14:textFill>
                  <w14:solidFill>
                    <w14:schemeClr w14:val="tx1"/>
                  </w14:solidFill>
                </w14:textFill>
              </w:rPr>
              <w:t xml:space="preserve"> 2.4 </w:t>
            </w:r>
            <w:r>
              <w:rPr>
                <w:rFonts w:hint="eastAsia"/>
                <w:color w:val="000000" w:themeColor="text1"/>
                <w:szCs w:val="21"/>
                <w14:textFill>
                  <w14:solidFill>
                    <w14:schemeClr w14:val="tx1"/>
                  </w14:solidFill>
                </w14:textFill>
              </w:rPr>
              <w:t>分。</w:t>
            </w:r>
            <w:r>
              <w:rPr>
                <w:rFonts w:hint="eastAsia" w:cs="Arial"/>
                <w:color w:val="000000" w:themeColor="text1"/>
                <w:szCs w:val="21"/>
                <w14:textFill>
                  <w14:solidFill>
                    <w14:schemeClr w14:val="tx1"/>
                  </w14:solidFill>
                </w14:textFill>
              </w:rPr>
              <w:t>注：投标人应提供合同协议书（或施工合同）及</w:t>
            </w:r>
            <w:r>
              <w:rPr>
                <w:color w:val="000000" w:themeColor="text1"/>
                <w14:textFill>
                  <w14:solidFill>
                    <w14:schemeClr w14:val="tx1"/>
                  </w14:solidFill>
                </w14:textFill>
              </w:rPr>
              <w:t>竣工验收</w:t>
            </w:r>
            <w:r>
              <w:rPr>
                <w:rFonts w:hint="eastAsia"/>
                <w:color w:val="000000" w:themeColor="text1"/>
                <w14:textFill>
                  <w14:solidFill>
                    <w14:schemeClr w14:val="tx1"/>
                  </w14:solidFill>
                </w14:textFill>
              </w:rPr>
              <w:t>报告</w:t>
            </w:r>
            <w:r>
              <w:rPr>
                <w:color w:val="000000" w:themeColor="text1"/>
                <w14:textFill>
                  <w14:solidFill>
                    <w14:schemeClr w14:val="tx1"/>
                  </w14:solidFill>
                </w14:textFill>
              </w:rPr>
              <w:t>（或工程接收证书或工程竣工验收备案表）</w:t>
            </w:r>
            <w:r>
              <w:rPr>
                <w:rFonts w:hint="eastAsia"/>
                <w:color w:val="000000" w:themeColor="text1"/>
                <w14:textFill>
                  <w14:solidFill>
                    <w14:schemeClr w14:val="tx1"/>
                  </w14:solidFill>
                </w14:textFill>
              </w:rPr>
              <w:t>的彩色</w:t>
            </w:r>
            <w:r>
              <w:rPr>
                <w:rFonts w:hint="eastAsia" w:cs="Arial"/>
                <w:color w:val="000000" w:themeColor="text1"/>
                <w:szCs w:val="21"/>
                <w14:textFill>
                  <w14:solidFill>
                    <w14:schemeClr w14:val="tx1"/>
                  </w14:solidFill>
                </w14:textFill>
              </w:rPr>
              <w:t>扫描件</w:t>
            </w:r>
            <w:r>
              <w:rPr>
                <w:color w:val="000000" w:themeColor="text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624" w:hRule="atLeast"/>
        </w:trPr>
        <w:tc>
          <w:tcPr>
            <w:tcW w:w="1186" w:type="dxa"/>
            <w:vMerge w:val="continue"/>
            <w:vAlign w:val="center"/>
          </w:tcPr>
          <w:p>
            <w:pPr>
              <w:spacing w:line="360" w:lineRule="atLeast"/>
              <w:jc w:val="center"/>
              <w:rPr>
                <w:rFonts w:cs="Arial"/>
                <w:color w:val="000000" w:themeColor="text1"/>
                <w14:textFill>
                  <w14:solidFill>
                    <w14:schemeClr w14:val="tx1"/>
                  </w14:solidFill>
                </w14:textFill>
              </w:rPr>
            </w:pPr>
          </w:p>
        </w:tc>
        <w:tc>
          <w:tcPr>
            <w:tcW w:w="1261" w:type="dxa"/>
            <w:gridSpan w:val="2"/>
            <w:vMerge w:val="continue"/>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992" w:type="dxa"/>
            <w:vMerge w:val="continue"/>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p>
        </w:tc>
        <w:tc>
          <w:tcPr>
            <w:tcW w:w="2373" w:type="dxa"/>
            <w:tcBorders>
              <w:top w:val="single" w:color="auto" w:sz="4" w:space="0"/>
              <w:right w:val="single" w:color="auto" w:sz="4" w:space="0"/>
            </w:tcBorders>
            <w:vAlign w:val="center"/>
          </w:tcPr>
          <w:p>
            <w:pPr>
              <w:pStyle w:val="13"/>
              <w:kinsoku w:val="0"/>
              <w:overflowPunct w:val="0"/>
              <w:spacing w:before="88"/>
              <w:jc w:val="both"/>
              <w:rPr>
                <w:rFonts w:cs="Arial"/>
                <w:color w:val="000000" w:themeColor="text1"/>
                <w:kern w:val="2"/>
                <w:sz w:val="21"/>
                <w14:textFill>
                  <w14:solidFill>
                    <w14:schemeClr w14:val="tx1"/>
                  </w14:solidFill>
                </w14:textFill>
              </w:rPr>
            </w:pPr>
            <w:r>
              <w:rPr>
                <w:rFonts w:hint="eastAsia" w:cs="Arial"/>
                <w:color w:val="000000" w:themeColor="text1"/>
                <w:kern w:val="2"/>
                <w:sz w:val="21"/>
                <w14:textFill>
                  <w14:solidFill>
                    <w14:schemeClr w14:val="tx1"/>
                  </w14:solidFill>
                </w14:textFill>
              </w:rPr>
              <w:t>项目总工任职资格与业绩</w:t>
            </w:r>
          </w:p>
        </w:tc>
        <w:tc>
          <w:tcPr>
            <w:tcW w:w="888" w:type="dxa"/>
            <w:tcBorders>
              <w:top w:val="single" w:color="auto" w:sz="4" w:space="0"/>
              <w:left w:val="single" w:color="auto" w:sz="4" w:space="0"/>
            </w:tcBorders>
            <w:vAlign w:val="center"/>
          </w:tcPr>
          <w:p>
            <w:pPr>
              <w:pStyle w:val="13"/>
              <w:kinsoku w:val="0"/>
              <w:overflowPunct w:val="0"/>
              <w:spacing w:before="88"/>
              <w:ind w:left="2"/>
              <w:jc w:val="center"/>
              <w:rPr>
                <w:rFonts w:cs="Arial"/>
                <w:color w:val="000000" w:themeColor="text1"/>
                <w:kern w:val="2"/>
                <w:sz w:val="21"/>
                <w14:textFill>
                  <w14:solidFill>
                    <w14:schemeClr w14:val="tx1"/>
                  </w14:solidFill>
                </w14:textFill>
              </w:rPr>
            </w:pPr>
            <w:r>
              <w:rPr>
                <w:rFonts w:hint="eastAsia" w:cs="Arial"/>
                <w:color w:val="000000" w:themeColor="text1"/>
                <w:kern w:val="2"/>
                <w:sz w:val="21"/>
                <w:u w:val="single"/>
                <w14:textFill>
                  <w14:solidFill>
                    <w14:schemeClr w14:val="tx1"/>
                  </w14:solidFill>
                </w14:textFill>
              </w:rPr>
              <w:t xml:space="preserve"> 4 </w:t>
            </w:r>
            <w:r>
              <w:rPr>
                <w:rFonts w:hint="eastAsia" w:cs="Arial"/>
                <w:color w:val="000000" w:themeColor="text1"/>
                <w:kern w:val="2"/>
                <w:sz w:val="21"/>
                <w14:textFill>
                  <w14:solidFill>
                    <w14:schemeClr w14:val="tx1"/>
                  </w14:solidFill>
                </w14:textFill>
              </w:rPr>
              <w:t>分</w:t>
            </w:r>
          </w:p>
        </w:tc>
        <w:tc>
          <w:tcPr>
            <w:tcW w:w="2514" w:type="dxa"/>
            <w:tcBorders>
              <w:top w:val="single" w:color="auto" w:sz="4" w:space="0"/>
              <w:left w:val="single" w:color="auto" w:sz="4" w:space="0"/>
            </w:tcBorders>
            <w:vAlign w:val="center"/>
          </w:tcPr>
          <w:p>
            <w:pPr>
              <w:snapToGrid w:val="0"/>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满足资格条件得</w:t>
            </w:r>
            <w:r>
              <w:rPr>
                <w:rFonts w:hint="eastAsia"/>
                <w:color w:val="000000" w:themeColor="text1"/>
                <w:szCs w:val="21"/>
                <w:u w:val="single"/>
                <w14:textFill>
                  <w14:solidFill>
                    <w14:schemeClr w14:val="tx1"/>
                  </w14:solidFill>
                </w14:textFill>
              </w:rPr>
              <w:t xml:space="preserve"> 2.2 分</w:t>
            </w:r>
            <w:r>
              <w:rPr>
                <w:rFonts w:hint="eastAsia"/>
                <w:color w:val="000000" w:themeColor="text1"/>
                <w:szCs w:val="21"/>
                <w14:textFill>
                  <w14:solidFill>
                    <w14:schemeClr w14:val="tx1"/>
                  </w14:solidFill>
                </w14:textFill>
              </w:rPr>
              <w:t>。</w:t>
            </w:r>
          </w:p>
          <w:p>
            <w:pPr>
              <w:snapToGrid w:val="0"/>
              <w:spacing w:line="300" w:lineRule="auto"/>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DADLQG3</w:t>
            </w:r>
            <w:r>
              <w:rPr>
                <w:rFonts w:hint="eastAsia"/>
                <w:color w:val="000000" w:themeColor="text1"/>
                <w:szCs w:val="21"/>
                <w14:textFill>
                  <w14:solidFill>
                    <w14:schemeClr w14:val="tx1"/>
                  </w14:solidFill>
                </w14:textFill>
              </w:rPr>
              <w:t>:担任过1个合同额500万以上的220KV以上送电线路或电力迁改工程施工项目总工（或技术负责人）的</w:t>
            </w:r>
            <w:r>
              <w:rPr>
                <w:color w:val="000000" w:themeColor="text1"/>
                <w:szCs w:val="21"/>
                <w14:textFill>
                  <w14:solidFill>
                    <w14:schemeClr w14:val="tx1"/>
                  </w14:solidFill>
                </w14:textFill>
              </w:rPr>
              <w:t>业绩</w:t>
            </w:r>
            <w:r>
              <w:rPr>
                <w:rFonts w:hint="eastAsia"/>
                <w:color w:val="000000" w:themeColor="text1"/>
                <w:szCs w:val="21"/>
                <w14:textFill>
                  <w14:solidFill>
                    <w14:schemeClr w14:val="tx1"/>
                  </w14:solidFill>
                </w14:textFill>
              </w:rPr>
              <w:t>加</w:t>
            </w:r>
            <w:r>
              <w:rPr>
                <w:rFonts w:hint="eastAsia"/>
                <w:color w:val="000000" w:themeColor="text1"/>
                <w:szCs w:val="21"/>
                <w:u w:val="single"/>
                <w14:textFill>
                  <w14:solidFill>
                    <w14:schemeClr w14:val="tx1"/>
                  </w14:solidFill>
                </w14:textFill>
              </w:rPr>
              <w:t xml:space="preserve"> 0.6</w:t>
            </w:r>
            <w:r>
              <w:rPr>
                <w:rFonts w:hint="eastAsia"/>
                <w:color w:val="000000" w:themeColor="text1"/>
                <w:szCs w:val="21"/>
                <w14:textFill>
                  <w14:solidFill>
                    <w14:schemeClr w14:val="tx1"/>
                  </w14:solidFill>
                </w14:textFill>
              </w:rPr>
              <w:t>分，最多加</w:t>
            </w:r>
            <w:r>
              <w:rPr>
                <w:rFonts w:hint="eastAsia"/>
                <w:color w:val="000000" w:themeColor="text1"/>
                <w:szCs w:val="21"/>
                <w:u w:val="single"/>
                <w14:textFill>
                  <w14:solidFill>
                    <w14:schemeClr w14:val="tx1"/>
                  </w14:solidFill>
                </w14:textFill>
              </w:rPr>
              <w:t xml:space="preserve"> 1.8 </w:t>
            </w:r>
            <w:r>
              <w:rPr>
                <w:rFonts w:hint="eastAsia"/>
                <w:color w:val="000000" w:themeColor="text1"/>
                <w:szCs w:val="21"/>
                <w14:textFill>
                  <w14:solidFill>
                    <w14:schemeClr w14:val="tx1"/>
                  </w14:solidFill>
                </w14:textFill>
              </w:rPr>
              <w:t>分。</w:t>
            </w:r>
          </w:p>
          <w:p>
            <w:pPr>
              <w:snapToGrid w:val="0"/>
              <w:spacing w:line="300" w:lineRule="auto"/>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DADLQG4</w:t>
            </w:r>
            <w:r>
              <w:rPr>
                <w:rFonts w:hint="eastAsia"/>
                <w:color w:val="000000" w:themeColor="text1"/>
                <w:szCs w:val="21"/>
                <w14:textFill>
                  <w14:solidFill>
                    <w14:schemeClr w14:val="tx1"/>
                  </w14:solidFill>
                </w14:textFill>
              </w:rPr>
              <w:t>:担任过1个合同额1000万以上的500KV以上送电线路或电力迁改工程施工项目总工（或技术负责人）的</w:t>
            </w:r>
            <w:r>
              <w:rPr>
                <w:color w:val="000000" w:themeColor="text1"/>
                <w:szCs w:val="21"/>
                <w14:textFill>
                  <w14:solidFill>
                    <w14:schemeClr w14:val="tx1"/>
                  </w14:solidFill>
                </w14:textFill>
              </w:rPr>
              <w:t>业绩</w:t>
            </w:r>
            <w:r>
              <w:rPr>
                <w:rFonts w:hint="eastAsia"/>
                <w:color w:val="000000" w:themeColor="text1"/>
                <w:szCs w:val="21"/>
                <w14:textFill>
                  <w14:solidFill>
                    <w14:schemeClr w14:val="tx1"/>
                  </w14:solidFill>
                </w14:textFill>
              </w:rPr>
              <w:t>加</w:t>
            </w:r>
            <w:r>
              <w:rPr>
                <w:rFonts w:hint="eastAsia"/>
                <w:color w:val="000000" w:themeColor="text1"/>
                <w:szCs w:val="21"/>
                <w:u w:val="single"/>
                <w14:textFill>
                  <w14:solidFill>
                    <w14:schemeClr w14:val="tx1"/>
                  </w14:solidFill>
                </w14:textFill>
              </w:rPr>
              <w:t xml:space="preserve"> 0.6</w:t>
            </w:r>
            <w:r>
              <w:rPr>
                <w:rFonts w:hint="eastAsia"/>
                <w:color w:val="000000" w:themeColor="text1"/>
                <w:szCs w:val="21"/>
                <w14:textFill>
                  <w14:solidFill>
                    <w14:schemeClr w14:val="tx1"/>
                  </w14:solidFill>
                </w14:textFill>
              </w:rPr>
              <w:t>分，最多加</w:t>
            </w:r>
            <w:r>
              <w:rPr>
                <w:rFonts w:hint="eastAsia"/>
                <w:color w:val="000000" w:themeColor="text1"/>
                <w:szCs w:val="21"/>
                <w:u w:val="single"/>
                <w14:textFill>
                  <w14:solidFill>
                    <w14:schemeClr w14:val="tx1"/>
                  </w14:solidFill>
                </w14:textFill>
              </w:rPr>
              <w:t xml:space="preserve"> 1.8 </w:t>
            </w:r>
            <w:r>
              <w:rPr>
                <w:rFonts w:hint="eastAsia"/>
                <w:color w:val="000000" w:themeColor="text1"/>
                <w:szCs w:val="21"/>
                <w14:textFill>
                  <w14:solidFill>
                    <w14:schemeClr w14:val="tx1"/>
                  </w14:solidFill>
                </w14:textFill>
              </w:rPr>
              <w:t xml:space="preserve">分。 </w:t>
            </w:r>
          </w:p>
          <w:p>
            <w:pPr>
              <w:snapToGrid w:val="0"/>
              <w:spacing w:line="300" w:lineRule="auto"/>
              <w:rPr>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注：投标人应提供合同协议书（或施工合同）及</w:t>
            </w:r>
            <w:r>
              <w:rPr>
                <w:color w:val="000000" w:themeColor="text1"/>
                <w14:textFill>
                  <w14:solidFill>
                    <w14:schemeClr w14:val="tx1"/>
                  </w14:solidFill>
                </w14:textFill>
              </w:rPr>
              <w:t>竣工验收</w:t>
            </w:r>
            <w:r>
              <w:rPr>
                <w:rFonts w:hint="eastAsia"/>
                <w:color w:val="000000" w:themeColor="text1"/>
                <w14:textFill>
                  <w14:solidFill>
                    <w14:schemeClr w14:val="tx1"/>
                  </w14:solidFill>
                </w14:textFill>
              </w:rPr>
              <w:t>报告</w:t>
            </w:r>
            <w:r>
              <w:rPr>
                <w:color w:val="000000" w:themeColor="text1"/>
                <w14:textFill>
                  <w14:solidFill>
                    <w14:schemeClr w14:val="tx1"/>
                  </w14:solidFill>
                </w14:textFill>
              </w:rPr>
              <w:t>（或工程接收证书或工程竣工验收备案表）</w:t>
            </w:r>
            <w:r>
              <w:rPr>
                <w:rFonts w:hint="eastAsia"/>
                <w:color w:val="000000" w:themeColor="text1"/>
                <w14:textFill>
                  <w14:solidFill>
                    <w14:schemeClr w14:val="tx1"/>
                  </w14:solidFill>
                </w14:textFill>
              </w:rPr>
              <w:t>的彩色</w:t>
            </w:r>
            <w:r>
              <w:rPr>
                <w:rFonts w:hint="eastAsia" w:cs="Arial"/>
                <w:color w:val="000000" w:themeColor="text1"/>
                <w:szCs w:val="21"/>
                <w14:textFill>
                  <w14:solidFill>
                    <w14:schemeClr w14:val="tx1"/>
                  </w14:solidFill>
                </w14:textFill>
              </w:rPr>
              <w:t>扫描件</w:t>
            </w:r>
            <w:r>
              <w:rPr>
                <w:color w:val="000000" w:themeColor="text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trHeight w:val="2481" w:hRule="exact"/>
        </w:trPr>
        <w:tc>
          <w:tcPr>
            <w:tcW w:w="1186" w:type="dxa"/>
            <w:vAlign w:val="center"/>
          </w:tcPr>
          <w:p>
            <w:pPr>
              <w:spacing w:line="360" w:lineRule="atLeast"/>
              <w:jc w:val="center"/>
              <w:rPr>
                <w:rFonts w:cs="Arial"/>
                <w:color w:val="000000" w:themeColor="text1"/>
                <w14:textFill>
                  <w14:solidFill>
                    <w14:schemeClr w14:val="tx1"/>
                  </w14:solidFill>
                </w14:textFill>
              </w:rPr>
            </w:pPr>
            <w:r>
              <w:rPr>
                <w:rFonts w:cs="Arial"/>
                <w:color w:val="000000" w:themeColor="text1"/>
                <w14:textFill>
                  <w14:solidFill>
                    <w14:schemeClr w14:val="tx1"/>
                  </w14:solidFill>
                </w14:textFill>
              </w:rPr>
              <w:t>2.2.4</w:t>
            </w:r>
            <w:r>
              <w:rPr>
                <w:rFonts w:hint="eastAsia" w:cs="Arial"/>
                <w:color w:val="000000" w:themeColor="text1"/>
                <w14:textFill>
                  <w14:solidFill>
                    <w14:schemeClr w14:val="tx1"/>
                  </w14:solidFill>
                </w14:textFill>
              </w:rPr>
              <w:t>（3）</w:t>
            </w:r>
          </w:p>
        </w:tc>
        <w:tc>
          <w:tcPr>
            <w:tcW w:w="1261" w:type="dxa"/>
            <w:gridSpan w:val="2"/>
            <w:tcBorders>
              <w:righ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14:textFill>
                  <w14:solidFill>
                    <w14:schemeClr w14:val="tx1"/>
                  </w14:solidFill>
                </w14:textFill>
              </w:rPr>
              <w:t>评标价得分</w:t>
            </w:r>
          </w:p>
        </w:tc>
        <w:tc>
          <w:tcPr>
            <w:tcW w:w="992" w:type="dxa"/>
            <w:tcBorders>
              <w:left w:val="single" w:color="auto" w:sz="4" w:space="0"/>
            </w:tcBorders>
            <w:vAlign w:val="center"/>
          </w:tcPr>
          <w:p>
            <w:pPr>
              <w:pStyle w:val="12"/>
              <w:spacing w:line="300" w:lineRule="auto"/>
              <w:ind w:left="113" w:right="113"/>
              <w:jc w:val="center"/>
              <w:rPr>
                <w:rFonts w:ascii="宋体" w:hAnsi="宋体" w:cs="Arial"/>
                <w:color w:val="000000" w:themeColor="text1"/>
                <w14:textFill>
                  <w14:solidFill>
                    <w14:schemeClr w14:val="tx1"/>
                  </w14:solidFill>
                </w14:textFill>
              </w:rPr>
            </w:pPr>
            <w:r>
              <w:rPr>
                <w:rFonts w:hint="eastAsia" w:ascii="宋体" w:hAnsi="宋体" w:cs="Arial"/>
                <w:color w:val="000000" w:themeColor="text1"/>
                <w:u w:val="single"/>
                <w14:textFill>
                  <w14:solidFill>
                    <w14:schemeClr w14:val="tx1"/>
                  </w14:solidFill>
                </w14:textFill>
              </w:rPr>
              <w:t xml:space="preserve"> 60 </w:t>
            </w:r>
            <w:r>
              <w:rPr>
                <w:rFonts w:hint="eastAsia" w:ascii="宋体" w:hAnsi="宋体" w:cs="Arial"/>
                <w:color w:val="000000" w:themeColor="text1"/>
                <w14:textFill>
                  <w14:solidFill>
                    <w14:schemeClr w14:val="tx1"/>
                  </w14:solidFill>
                </w14:textFill>
              </w:rPr>
              <w:t>分</w:t>
            </w:r>
          </w:p>
        </w:tc>
        <w:tc>
          <w:tcPr>
            <w:tcW w:w="5775" w:type="dxa"/>
            <w:gridSpan w:val="3"/>
            <w:vAlign w:val="center"/>
          </w:tcPr>
          <w:p>
            <w:pPr>
              <w:snapToGrid w:val="0"/>
              <w:spacing w:line="300" w:lineRule="auto"/>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1</w:t>
            </w:r>
            <w:r>
              <w:rPr>
                <w:rFonts w:hint="eastAsia" w:cs="Arial"/>
                <w:color w:val="000000" w:themeColor="text1"/>
                <w14:textFill>
                  <w14:solidFill>
                    <w14:schemeClr w14:val="tx1"/>
                  </w14:solidFill>
                </w14:textFill>
              </w:rPr>
              <w:t>）如果投标人的评标价＞评标基准价，则评标价得分</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F</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偏差率</w:t>
            </w:r>
            <w:r>
              <w:rPr>
                <w:rFonts w:cs="Arial"/>
                <w:color w:val="000000" w:themeColor="text1"/>
                <w14:textFill>
                  <w14:solidFill>
                    <w14:schemeClr w14:val="tx1"/>
                  </w14:solidFill>
                </w14:textFill>
              </w:rPr>
              <w:t>×100</w:t>
            </w: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E1</w:t>
            </w:r>
            <w:r>
              <w:rPr>
                <w:rFonts w:hint="eastAsia" w:cs="Arial"/>
                <w:color w:val="000000" w:themeColor="text1"/>
                <w14:textFill>
                  <w14:solidFill>
                    <w14:schemeClr w14:val="tx1"/>
                  </w14:solidFill>
                </w14:textFill>
              </w:rPr>
              <w:t>；</w:t>
            </w:r>
          </w:p>
          <w:p>
            <w:pPr>
              <w:spacing w:line="276" w:lineRule="auto"/>
              <w:ind w:right="113"/>
              <w:rPr>
                <w:rFonts w:cs="Arial"/>
                <w:color w:val="000000" w:themeColor="text1"/>
                <w14:textFill>
                  <w14:solidFill>
                    <w14:schemeClr w14:val="tx1"/>
                  </w14:solidFill>
                </w14:textFill>
              </w:rPr>
            </w:pP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2</w:t>
            </w:r>
            <w:r>
              <w:rPr>
                <w:rFonts w:hint="eastAsia" w:cs="Arial"/>
                <w:color w:val="000000" w:themeColor="text1"/>
                <w14:textFill>
                  <w14:solidFill>
                    <w14:schemeClr w14:val="tx1"/>
                  </w14:solidFill>
                </w14:textFill>
              </w:rPr>
              <w:t>）如果投标人的评标价</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评标基准价，则评标价得分</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F</w:t>
            </w:r>
            <w:r>
              <w:rPr>
                <w:rFonts w:cs="Arial"/>
                <w:color w:val="000000" w:themeColor="text1"/>
                <w14:textFill>
                  <w14:solidFill>
                    <w14:schemeClr w14:val="tx1"/>
                  </w14:solidFill>
                </w14:textFill>
              </w:rPr>
              <w:t>+</w:t>
            </w:r>
            <w:r>
              <w:rPr>
                <w:rFonts w:hint="eastAsia" w:cs="Arial"/>
                <w:color w:val="000000" w:themeColor="text1"/>
                <w14:textFill>
                  <w14:solidFill>
                    <w14:schemeClr w14:val="tx1"/>
                  </w14:solidFill>
                </w14:textFill>
              </w:rPr>
              <w:t>偏差率</w:t>
            </w:r>
            <w:r>
              <w:rPr>
                <w:rFonts w:cs="Arial"/>
                <w:color w:val="000000" w:themeColor="text1"/>
                <w14:textFill>
                  <w14:solidFill>
                    <w14:schemeClr w14:val="tx1"/>
                  </w14:solidFill>
                </w14:textFill>
              </w:rPr>
              <w:t>×100</w:t>
            </w:r>
            <w:r>
              <w:rPr>
                <w:rFonts w:hint="eastAsia" w:cs="Arial"/>
                <w:color w:val="000000" w:themeColor="text1"/>
                <w14:textFill>
                  <w14:solidFill>
                    <w14:schemeClr w14:val="tx1"/>
                  </w14:solidFill>
                </w14:textFill>
              </w:rPr>
              <w:t>×</w:t>
            </w:r>
            <w:r>
              <w:rPr>
                <w:rFonts w:cs="Arial"/>
                <w:color w:val="000000" w:themeColor="text1"/>
                <w14:textFill>
                  <w14:solidFill>
                    <w14:schemeClr w14:val="tx1"/>
                  </w14:solidFill>
                </w14:textFill>
              </w:rPr>
              <w:t>E2</w:t>
            </w:r>
            <w:r>
              <w:rPr>
                <w:rFonts w:hint="eastAsia" w:cs="Arial"/>
                <w:color w:val="000000" w:themeColor="text1"/>
                <w14:textFill>
                  <w14:solidFill>
                    <w14:schemeClr w14:val="tx1"/>
                  </w14:solidFill>
                </w14:textFill>
              </w:rPr>
              <w:t>；</w:t>
            </w:r>
          </w:p>
          <w:p>
            <w:pPr>
              <w:pStyle w:val="12"/>
              <w:spacing w:line="300" w:lineRule="auto"/>
              <w:jc w:val="left"/>
              <w:rPr>
                <w:rFonts w:ascii="宋体" w:hAnsi="宋体" w:cs="Arial"/>
                <w:color w:val="000000" w:themeColor="text1"/>
                <w:kern w:val="2"/>
                <w:szCs w:val="24"/>
                <w14:textFill>
                  <w14:solidFill>
                    <w14:schemeClr w14:val="tx1"/>
                  </w14:solidFill>
                </w14:textFill>
              </w:rPr>
            </w:pPr>
            <w:r>
              <w:rPr>
                <w:rFonts w:hint="eastAsia" w:ascii="宋体" w:hAnsi="宋体" w:cs="Arial"/>
                <w:color w:val="000000" w:themeColor="text1"/>
                <w:kern w:val="2"/>
                <w:szCs w:val="24"/>
                <w14:textFill>
                  <w14:solidFill>
                    <w14:schemeClr w14:val="tx1"/>
                  </w14:solidFill>
                </w14:textFill>
              </w:rPr>
              <w:t>其中：F是评标价所占的权重分值;</w:t>
            </w:r>
            <w:r>
              <w:rPr>
                <w:rFonts w:ascii="宋体" w:hAnsi="宋体" w:cs="Arial"/>
                <w:color w:val="000000" w:themeColor="text1"/>
                <w:kern w:val="2"/>
                <w:szCs w:val="24"/>
                <w14:textFill>
                  <w14:solidFill>
                    <w14:schemeClr w14:val="tx1"/>
                  </w14:solidFill>
                </w14:textFill>
              </w:rPr>
              <w:t>E1</w:t>
            </w:r>
            <w:r>
              <w:rPr>
                <w:rFonts w:hint="eastAsia" w:ascii="宋体" w:hAnsi="宋体" w:cs="Arial"/>
                <w:color w:val="000000" w:themeColor="text1"/>
                <w:kern w:val="2"/>
                <w:szCs w:val="24"/>
                <w14:textFill>
                  <w14:solidFill>
                    <w14:schemeClr w14:val="tx1"/>
                  </w14:solidFill>
                </w14:textFill>
              </w:rPr>
              <w:t>是评标价每高于评标基准价一个百分点的扣分值，</w:t>
            </w:r>
            <w:r>
              <w:rPr>
                <w:rFonts w:ascii="宋体" w:hAnsi="宋体" w:cs="Arial"/>
                <w:color w:val="000000" w:themeColor="text1"/>
                <w:kern w:val="2"/>
                <w:szCs w:val="24"/>
                <w14:textFill>
                  <w14:solidFill>
                    <w14:schemeClr w14:val="tx1"/>
                  </w14:solidFill>
                </w14:textFill>
              </w:rPr>
              <w:t>E1=</w:t>
            </w:r>
            <w:r>
              <w:rPr>
                <w:rFonts w:hint="eastAsia" w:ascii="宋体" w:hAnsi="宋体" w:cs="Arial"/>
                <w:color w:val="000000" w:themeColor="text1"/>
                <w:kern w:val="2"/>
                <w:szCs w:val="24"/>
                <w14:textFill>
                  <w14:solidFill>
                    <w14:schemeClr w14:val="tx1"/>
                  </w14:solidFill>
                </w14:textFill>
              </w:rPr>
              <w:t>0.5；</w:t>
            </w:r>
            <w:r>
              <w:rPr>
                <w:rFonts w:ascii="宋体" w:hAnsi="宋体" w:cs="Arial"/>
                <w:color w:val="000000" w:themeColor="text1"/>
                <w:kern w:val="2"/>
                <w:szCs w:val="24"/>
                <w14:textFill>
                  <w14:solidFill>
                    <w14:schemeClr w14:val="tx1"/>
                  </w14:solidFill>
                </w14:textFill>
              </w:rPr>
              <w:t>E2</w:t>
            </w:r>
            <w:r>
              <w:rPr>
                <w:rFonts w:hint="eastAsia" w:ascii="宋体" w:hAnsi="宋体" w:cs="Arial"/>
                <w:color w:val="000000" w:themeColor="text1"/>
                <w:kern w:val="2"/>
                <w:szCs w:val="24"/>
                <w14:textFill>
                  <w14:solidFill>
                    <w14:schemeClr w14:val="tx1"/>
                  </w14:solidFill>
                </w14:textFill>
              </w:rPr>
              <w:t>是评标价每低于评标基准价一个百分点的扣分值，</w:t>
            </w:r>
            <w:r>
              <w:rPr>
                <w:rFonts w:ascii="宋体" w:hAnsi="宋体" w:cs="Arial"/>
                <w:color w:val="000000" w:themeColor="text1"/>
                <w:kern w:val="2"/>
                <w:szCs w:val="24"/>
                <w14:textFill>
                  <w14:solidFill>
                    <w14:schemeClr w14:val="tx1"/>
                  </w14:solidFill>
                </w14:textFill>
              </w:rPr>
              <w:t>E2=0.</w:t>
            </w:r>
            <w:r>
              <w:rPr>
                <w:rFonts w:hint="eastAsia" w:ascii="宋体" w:hAnsi="宋体" w:cs="Arial"/>
                <w:color w:val="000000" w:themeColor="text1"/>
                <w:kern w:val="2"/>
                <w:szCs w:val="24"/>
                <w14:textFill>
                  <w14:solidFill>
                    <w14:schemeClr w14:val="tx1"/>
                  </w14:solidFill>
                </w14:textFill>
              </w:rPr>
              <w:t>2。</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1166" w:hRule="atLeast"/>
        </w:trPr>
        <w:tc>
          <w:tcPr>
            <w:tcW w:w="1186" w:type="dxa"/>
            <w:vMerge w:val="restart"/>
            <w:vAlign w:val="center"/>
          </w:tcPr>
          <w:p>
            <w:pPr>
              <w:rPr>
                <w:rFonts w:cs="Arial"/>
                <w:color w:val="000000" w:themeColor="text1"/>
                <w:szCs w:val="21"/>
                <w14:textFill>
                  <w14:solidFill>
                    <w14:schemeClr w14:val="tx1"/>
                  </w14:solidFill>
                </w14:textFill>
              </w:rPr>
            </w:pPr>
            <w:r>
              <w:rPr>
                <w:rFonts w:cs="Arial"/>
                <w:color w:val="000000" w:themeColor="text1"/>
                <w:szCs w:val="21"/>
                <w14:textFill>
                  <w14:solidFill>
                    <w14:schemeClr w14:val="tx1"/>
                  </w14:solidFill>
                </w14:textFill>
              </w:rPr>
              <w:t>2.2.4</w:t>
            </w:r>
            <w:r>
              <w:rPr>
                <w:rFonts w:hint="eastAsia" w:cs="Arial"/>
                <w:color w:val="000000" w:themeColor="text1"/>
                <w:szCs w:val="21"/>
                <w14:textFill>
                  <w14:solidFill>
                    <w14:schemeClr w14:val="tx1"/>
                  </w14:solidFill>
                </w14:textFill>
              </w:rPr>
              <w:t>（4）</w:t>
            </w:r>
          </w:p>
        </w:tc>
        <w:tc>
          <w:tcPr>
            <w:tcW w:w="475" w:type="dxa"/>
            <w:vMerge w:val="restart"/>
            <w:tcBorders>
              <w:righ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其</w:t>
            </w:r>
            <w:r>
              <w:rPr>
                <w:rFonts w:cs="Arial"/>
                <w:color w:val="000000" w:themeColor="text1"/>
                <w:szCs w:val="21"/>
                <w14:textFill>
                  <w14:solidFill>
                    <w14:schemeClr w14:val="tx1"/>
                  </w14:solidFill>
                </w14:textFill>
              </w:rPr>
              <w:t xml:space="preserve"> </w:t>
            </w:r>
            <w:r>
              <w:rPr>
                <w:rFonts w:hint="eastAsia" w:cs="Arial"/>
                <w:color w:val="000000" w:themeColor="text1"/>
                <w:szCs w:val="21"/>
                <w14:textFill>
                  <w14:solidFill>
                    <w14:schemeClr w14:val="tx1"/>
                  </w14:solidFill>
                </w14:textFill>
              </w:rPr>
              <w:t>他</w:t>
            </w:r>
            <w:r>
              <w:rPr>
                <w:rFonts w:cs="Arial"/>
                <w:color w:val="000000" w:themeColor="text1"/>
                <w:szCs w:val="21"/>
                <w14:textFill>
                  <w14:solidFill>
                    <w14:schemeClr w14:val="tx1"/>
                  </w14:solidFill>
                </w14:textFill>
              </w:rPr>
              <w:t xml:space="preserve"> </w:t>
            </w:r>
            <w:r>
              <w:rPr>
                <w:rFonts w:hint="eastAsia" w:cs="Arial"/>
                <w:color w:val="000000" w:themeColor="text1"/>
                <w:szCs w:val="21"/>
                <w14:textFill>
                  <w14:solidFill>
                    <w14:schemeClr w14:val="tx1"/>
                  </w14:solidFill>
                </w14:textFill>
              </w:rPr>
              <w:t>因</w:t>
            </w:r>
            <w:r>
              <w:rPr>
                <w:rFonts w:cs="Arial"/>
                <w:color w:val="000000" w:themeColor="text1"/>
                <w:szCs w:val="21"/>
                <w14:textFill>
                  <w14:solidFill>
                    <w14:schemeClr w14:val="tx1"/>
                  </w14:solidFill>
                </w14:textFill>
              </w:rPr>
              <w:t xml:space="preserve"> </w:t>
            </w:r>
            <w:r>
              <w:rPr>
                <w:rFonts w:hint="eastAsia" w:cs="Arial"/>
                <w:color w:val="000000" w:themeColor="text1"/>
                <w:szCs w:val="21"/>
                <w14:textFill>
                  <w14:solidFill>
                    <w14:schemeClr w14:val="tx1"/>
                  </w14:solidFill>
                </w14:textFill>
              </w:rPr>
              <w:t>素</w:t>
            </w:r>
          </w:p>
        </w:tc>
        <w:tc>
          <w:tcPr>
            <w:tcW w:w="786"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财务能力</w:t>
            </w:r>
          </w:p>
        </w:tc>
        <w:tc>
          <w:tcPr>
            <w:tcW w:w="992"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u w:val="single"/>
                <w14:textFill>
                  <w14:solidFill>
                    <w14:schemeClr w14:val="tx1"/>
                  </w14:solidFill>
                </w14:textFill>
              </w:rPr>
              <w:t xml:space="preserve"> 5 </w:t>
            </w:r>
            <w:r>
              <w:rPr>
                <w:rFonts w:hint="eastAsia" w:cs="Arial"/>
                <w:color w:val="000000" w:themeColor="text1"/>
                <w14:textFill>
                  <w14:solidFill>
                    <w14:schemeClr w14:val="tx1"/>
                  </w14:solidFill>
                </w14:textFill>
              </w:rPr>
              <w:t>分</w:t>
            </w:r>
          </w:p>
        </w:tc>
        <w:tc>
          <w:tcPr>
            <w:tcW w:w="5775" w:type="dxa"/>
            <w:gridSpan w:val="3"/>
            <w:vAlign w:val="center"/>
          </w:tcPr>
          <w:p>
            <w:pPr>
              <w:snapToGrid w:val="0"/>
              <w:spacing w:line="300" w:lineRule="auto"/>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满足资格条件得</w:t>
            </w:r>
            <w:r>
              <w:rPr>
                <w:rFonts w:hint="eastAsia"/>
                <w:color w:val="000000" w:themeColor="text1"/>
                <w:szCs w:val="21"/>
                <w:u w:val="single"/>
                <w14:textFill>
                  <w14:solidFill>
                    <w14:schemeClr w14:val="tx1"/>
                  </w14:solidFill>
                </w14:textFill>
              </w:rPr>
              <w:t xml:space="preserve">3 </w:t>
            </w:r>
            <w:r>
              <w:rPr>
                <w:rFonts w:hint="eastAsia"/>
                <w:color w:val="000000" w:themeColor="text1"/>
                <w:szCs w:val="21"/>
                <w14:textFill>
                  <w14:solidFill>
                    <w14:schemeClr w14:val="tx1"/>
                  </w14:solidFill>
                </w14:textFill>
              </w:rPr>
              <w:t>分。</w:t>
            </w:r>
          </w:p>
          <w:p>
            <w:pPr>
              <w:spacing w:afterLines="100" w:line="360" w:lineRule="auto"/>
              <w:ind w:right="113" w:firstLine="440" w:firstLineChars="2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2017年与2018年的平均主营业务收入每增加2000万加</w:t>
            </w:r>
            <w:r>
              <w:rPr>
                <w:rFonts w:hint="eastAsia"/>
                <w:color w:val="000000" w:themeColor="text1"/>
                <w:szCs w:val="21"/>
                <w:u w:val="single"/>
                <w14:textFill>
                  <w14:solidFill>
                    <w14:schemeClr w14:val="tx1"/>
                  </w14:solidFill>
                </w14:textFill>
              </w:rPr>
              <w:t xml:space="preserve"> 0.5</w:t>
            </w:r>
            <w:r>
              <w:rPr>
                <w:rFonts w:hint="eastAsia"/>
                <w:color w:val="000000" w:themeColor="text1"/>
                <w:szCs w:val="21"/>
                <w14:textFill>
                  <w14:solidFill>
                    <w14:schemeClr w14:val="tx1"/>
                  </w14:solidFill>
                </w14:textFill>
              </w:rPr>
              <w:t>分，最多加</w:t>
            </w:r>
            <w:r>
              <w:rPr>
                <w:rFonts w:hint="eastAsia"/>
                <w:color w:val="000000" w:themeColor="text1"/>
                <w:szCs w:val="21"/>
                <w:u w:val="single"/>
                <w14:textFill>
                  <w14:solidFill>
                    <w14:schemeClr w14:val="tx1"/>
                  </w14:solidFill>
                </w14:textFill>
              </w:rPr>
              <w:t xml:space="preserve"> 2</w:t>
            </w:r>
            <w:r>
              <w:rPr>
                <w:rFonts w:hint="eastAsia"/>
                <w:color w:val="000000" w:themeColor="text1"/>
                <w:szCs w:val="21"/>
                <w14:textFill>
                  <w14:solidFill>
                    <w14:schemeClr w14:val="tx1"/>
                  </w14:solidFill>
                </w14:textFill>
              </w:rPr>
              <w:t>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2763" w:hRule="atLeast"/>
        </w:trPr>
        <w:tc>
          <w:tcPr>
            <w:tcW w:w="1186" w:type="dxa"/>
            <w:vMerge w:val="continue"/>
            <w:vAlign w:val="center"/>
          </w:tcPr>
          <w:p>
            <w:pPr>
              <w:rPr>
                <w:rFonts w:cs="Arial"/>
                <w:color w:val="000000" w:themeColor="text1"/>
                <w:szCs w:val="21"/>
                <w14:textFill>
                  <w14:solidFill>
                    <w14:schemeClr w14:val="tx1"/>
                  </w14:solidFill>
                </w14:textFill>
              </w:rPr>
            </w:pPr>
          </w:p>
        </w:tc>
        <w:tc>
          <w:tcPr>
            <w:tcW w:w="475" w:type="dxa"/>
            <w:vMerge w:val="continue"/>
            <w:tcBorders>
              <w:right w:val="single" w:color="auto" w:sz="4" w:space="0"/>
            </w:tcBorders>
            <w:vAlign w:val="center"/>
          </w:tcPr>
          <w:p>
            <w:pPr>
              <w:snapToGrid w:val="0"/>
              <w:spacing w:line="300" w:lineRule="auto"/>
              <w:ind w:left="113" w:right="113"/>
              <w:jc w:val="center"/>
              <w:rPr>
                <w:color w:val="000000" w:themeColor="text1"/>
                <w:w w:val="105"/>
                <w:sz w:val="20"/>
                <w:szCs w:val="20"/>
                <w14:textFill>
                  <w14:solidFill>
                    <w14:schemeClr w14:val="tx1"/>
                  </w14:solidFill>
                </w14:textFill>
              </w:rPr>
            </w:pPr>
          </w:p>
        </w:tc>
        <w:tc>
          <w:tcPr>
            <w:tcW w:w="786"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业绩</w:t>
            </w:r>
            <w:r>
              <w:rPr>
                <w:rFonts w:hint="eastAsia"/>
                <w:color w:val="000000" w:themeColor="text1"/>
                <w:spacing w:val="-2"/>
                <w:w w:val="110"/>
                <w:sz w:val="20"/>
                <w:szCs w:val="20"/>
                <w14:textFill>
                  <w14:solidFill>
                    <w14:schemeClr w14:val="tx1"/>
                  </w14:solidFill>
                </w14:textFill>
              </w:rPr>
              <w:t xml:space="preserve">  </w:t>
            </w:r>
          </w:p>
        </w:tc>
        <w:tc>
          <w:tcPr>
            <w:tcW w:w="992"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u w:val="single"/>
                <w14:textFill>
                  <w14:solidFill>
                    <w14:schemeClr w14:val="tx1"/>
                  </w14:solidFill>
                </w14:textFill>
              </w:rPr>
              <w:t xml:space="preserve"> 8 </w:t>
            </w:r>
            <w:r>
              <w:rPr>
                <w:rFonts w:hint="eastAsia" w:cs="Arial"/>
                <w:color w:val="000000" w:themeColor="text1"/>
                <w14:textFill>
                  <w14:solidFill>
                    <w14:schemeClr w14:val="tx1"/>
                  </w14:solidFill>
                </w14:textFill>
              </w:rPr>
              <w:t>分</w:t>
            </w:r>
          </w:p>
        </w:tc>
        <w:tc>
          <w:tcPr>
            <w:tcW w:w="5775" w:type="dxa"/>
            <w:gridSpan w:val="3"/>
            <w:vAlign w:val="center"/>
          </w:tcPr>
          <w:p>
            <w:pPr>
              <w:spacing w:afterLines="100" w:line="360" w:lineRule="auto"/>
              <w:ind w:right="113" w:firstLine="442" w:firstLineChars="200"/>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DADLQG3</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近</w:t>
            </w:r>
            <w:r>
              <w:rPr>
                <w:rFonts w:hint="eastAsia"/>
                <w:color w:val="000000" w:themeColor="text1"/>
                <w:szCs w:val="21"/>
                <w:u w:val="single"/>
                <w14:textFill>
                  <w14:solidFill>
                    <w14:schemeClr w14:val="tx1"/>
                  </w14:solidFill>
                </w14:textFill>
              </w:rPr>
              <w:t xml:space="preserve"> 3 </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（2017 年 1月 1日至2019年12月31日）每独立完成过1个合同额500万以上的220KV以上送电线路或电力迁改工程施工项目</w:t>
            </w:r>
            <w:r>
              <w:rPr>
                <w:color w:val="000000" w:themeColor="text1"/>
                <w:szCs w:val="21"/>
                <w14:textFill>
                  <w14:solidFill>
                    <w14:schemeClr w14:val="tx1"/>
                  </w14:solidFill>
                </w14:textFill>
              </w:rPr>
              <w:t>得</w:t>
            </w:r>
            <w:r>
              <w:rPr>
                <w:rFonts w:hint="eastAsia"/>
                <w:color w:val="000000" w:themeColor="text1"/>
                <w:szCs w:val="21"/>
                <w:u w:val="single"/>
                <w14:textFill>
                  <w14:solidFill>
                    <w14:schemeClr w14:val="tx1"/>
                  </w14:solidFill>
                </w14:textFill>
              </w:rPr>
              <w:t>2</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，最多加</w:t>
            </w:r>
            <w:r>
              <w:rPr>
                <w:rFonts w:hint="eastAsia"/>
                <w:color w:val="000000" w:themeColor="text1"/>
                <w:szCs w:val="21"/>
                <w:u w:val="single"/>
                <w14:textFill>
                  <w14:solidFill>
                    <w14:schemeClr w14:val="tx1"/>
                  </w14:solidFill>
                </w14:textFill>
              </w:rPr>
              <w:t xml:space="preserve"> 8 </w:t>
            </w:r>
            <w:r>
              <w:rPr>
                <w:rFonts w:hint="eastAsia"/>
                <w:color w:val="000000" w:themeColor="text1"/>
                <w:szCs w:val="21"/>
                <w14:textFill>
                  <w14:solidFill>
                    <w14:schemeClr w14:val="tx1"/>
                  </w14:solidFill>
                </w14:textFill>
              </w:rPr>
              <w:t>分。</w:t>
            </w:r>
          </w:p>
          <w:p>
            <w:pPr>
              <w:spacing w:afterLines="100" w:line="360" w:lineRule="auto"/>
              <w:ind w:right="113" w:firstLine="442" w:firstLineChars="200"/>
              <w:rPr>
                <w:color w:val="000000" w:themeColor="text1"/>
                <w:szCs w:val="21"/>
                <w14:textFill>
                  <w14:solidFill>
                    <w14:schemeClr w14:val="tx1"/>
                  </w14:solidFill>
                </w14:textFill>
              </w:rPr>
            </w:pPr>
            <w:r>
              <w:rPr>
                <w:rFonts w:hint="eastAsia" w:cs="Arial"/>
                <w:b/>
                <w:color w:val="000000" w:themeColor="text1"/>
                <w14:textFill>
                  <w14:solidFill>
                    <w14:schemeClr w14:val="tx1"/>
                  </w14:solidFill>
                </w14:textFill>
              </w:rPr>
              <w:t>DADLQG4</w:t>
            </w:r>
            <w:r>
              <w:rPr>
                <w:rFonts w:hint="eastAsia"/>
                <w:color w:val="000000" w:themeColor="text1"/>
                <w:szCs w:val="21"/>
                <w14:textFill>
                  <w14:solidFill>
                    <w14:schemeClr w14:val="tx1"/>
                  </w14:solidFill>
                </w14:textFill>
              </w:rPr>
              <w:t>:投标人</w:t>
            </w:r>
            <w:r>
              <w:rPr>
                <w:color w:val="000000" w:themeColor="text1"/>
                <w:szCs w:val="21"/>
                <w14:textFill>
                  <w14:solidFill>
                    <w14:schemeClr w14:val="tx1"/>
                  </w14:solidFill>
                </w14:textFill>
              </w:rPr>
              <w:t>近</w:t>
            </w:r>
            <w:r>
              <w:rPr>
                <w:rFonts w:hint="eastAsia"/>
                <w:color w:val="000000" w:themeColor="text1"/>
                <w:szCs w:val="21"/>
                <w:u w:val="single"/>
                <w14:textFill>
                  <w14:solidFill>
                    <w14:schemeClr w14:val="tx1"/>
                  </w14:solidFill>
                </w14:textFill>
              </w:rPr>
              <w:t xml:space="preserve"> 3 </w:t>
            </w:r>
            <w:r>
              <w:rPr>
                <w:color w:val="000000" w:themeColor="text1"/>
                <w:szCs w:val="21"/>
                <w14:textFill>
                  <w14:solidFill>
                    <w14:schemeClr w14:val="tx1"/>
                  </w14:solidFill>
                </w14:textFill>
              </w:rPr>
              <w:t>年</w:t>
            </w:r>
            <w:r>
              <w:rPr>
                <w:rFonts w:hint="eastAsia"/>
                <w:color w:val="000000" w:themeColor="text1"/>
                <w:szCs w:val="21"/>
                <w14:textFill>
                  <w14:solidFill>
                    <w14:schemeClr w14:val="tx1"/>
                  </w14:solidFill>
                </w14:textFill>
              </w:rPr>
              <w:t>（2017 年 1月 1日至2019年12月31日）每独立完成过1个合同额1000万以上的500KV以上送电线路或电力迁改工程施工项目</w:t>
            </w:r>
            <w:r>
              <w:rPr>
                <w:color w:val="000000" w:themeColor="text1"/>
                <w:szCs w:val="21"/>
                <w14:textFill>
                  <w14:solidFill>
                    <w14:schemeClr w14:val="tx1"/>
                  </w14:solidFill>
                </w14:textFill>
              </w:rPr>
              <w:t>得</w:t>
            </w:r>
            <w:r>
              <w:rPr>
                <w:rFonts w:hint="eastAsia"/>
                <w:color w:val="000000" w:themeColor="text1"/>
                <w:szCs w:val="21"/>
                <w:u w:val="single"/>
                <w14:textFill>
                  <w14:solidFill>
                    <w14:schemeClr w14:val="tx1"/>
                  </w14:solidFill>
                </w14:textFill>
              </w:rPr>
              <w:t>2</w:t>
            </w:r>
            <w:r>
              <w:rPr>
                <w:color w:val="000000" w:themeColor="text1"/>
                <w:szCs w:val="21"/>
                <w14:textFill>
                  <w14:solidFill>
                    <w14:schemeClr w14:val="tx1"/>
                  </w14:solidFill>
                </w14:textFill>
              </w:rPr>
              <w:t>分</w:t>
            </w:r>
            <w:r>
              <w:rPr>
                <w:rFonts w:hint="eastAsia"/>
                <w:color w:val="000000" w:themeColor="text1"/>
                <w:szCs w:val="21"/>
                <w14:textFill>
                  <w14:solidFill>
                    <w14:schemeClr w14:val="tx1"/>
                  </w14:solidFill>
                </w14:textFill>
              </w:rPr>
              <w:t>，最多加</w:t>
            </w:r>
            <w:r>
              <w:rPr>
                <w:rFonts w:hint="eastAsia"/>
                <w:color w:val="000000" w:themeColor="text1"/>
                <w:szCs w:val="21"/>
                <w:u w:val="single"/>
                <w14:textFill>
                  <w14:solidFill>
                    <w14:schemeClr w14:val="tx1"/>
                  </w14:solidFill>
                </w14:textFill>
              </w:rPr>
              <w:t xml:space="preserve"> 8 </w:t>
            </w:r>
            <w:r>
              <w:rPr>
                <w:rFonts w:hint="eastAsia"/>
                <w:color w:val="000000" w:themeColor="text1"/>
                <w:szCs w:val="21"/>
                <w14:textFill>
                  <w14:solidFill>
                    <w14:schemeClr w14:val="tx1"/>
                  </w14:solidFill>
                </w14:textFill>
              </w:rPr>
              <w:t xml:space="preserve">分。  </w:t>
            </w:r>
          </w:p>
          <w:p>
            <w:pPr>
              <w:spacing w:afterLines="100" w:line="360" w:lineRule="auto"/>
              <w:ind w:right="113"/>
              <w:rPr>
                <w:color w:val="000000" w:themeColor="text1"/>
                <w14:textFill>
                  <w14:solidFill>
                    <w14:schemeClr w14:val="tx1"/>
                  </w14:solidFill>
                </w14:textFill>
              </w:rPr>
            </w:pPr>
            <w:r>
              <w:rPr>
                <w:rFonts w:hint="eastAsia" w:cs="Arial"/>
                <w:color w:val="000000" w:themeColor="text1"/>
                <w:szCs w:val="21"/>
                <w14:textFill>
                  <w14:solidFill>
                    <w14:schemeClr w14:val="tx1"/>
                  </w14:solidFill>
                </w14:textFill>
              </w:rPr>
              <w:t>注：投标人应提供合同协议书（或施工合同）及</w:t>
            </w:r>
            <w:r>
              <w:rPr>
                <w:color w:val="000000" w:themeColor="text1"/>
                <w14:textFill>
                  <w14:solidFill>
                    <w14:schemeClr w14:val="tx1"/>
                  </w14:solidFill>
                </w14:textFill>
              </w:rPr>
              <w:t>竣工验收</w:t>
            </w:r>
            <w:r>
              <w:rPr>
                <w:rFonts w:hint="eastAsia"/>
                <w:color w:val="000000" w:themeColor="text1"/>
                <w14:textFill>
                  <w14:solidFill>
                    <w14:schemeClr w14:val="tx1"/>
                  </w14:solidFill>
                </w14:textFill>
              </w:rPr>
              <w:t>报告</w:t>
            </w:r>
            <w:r>
              <w:rPr>
                <w:color w:val="000000" w:themeColor="text1"/>
                <w14:textFill>
                  <w14:solidFill>
                    <w14:schemeClr w14:val="tx1"/>
                  </w14:solidFill>
                </w14:textFill>
              </w:rPr>
              <w:t>（或工程接收证书或工程竣工验收备案表）</w:t>
            </w:r>
            <w:r>
              <w:rPr>
                <w:rFonts w:hint="eastAsia"/>
                <w:color w:val="000000" w:themeColor="text1"/>
                <w14:textFill>
                  <w14:solidFill>
                    <w14:schemeClr w14:val="tx1"/>
                  </w14:solidFill>
                </w14:textFill>
              </w:rPr>
              <w:t>的彩色</w:t>
            </w:r>
            <w:r>
              <w:rPr>
                <w:rFonts w:hint="eastAsia" w:cs="Arial"/>
                <w:color w:val="000000" w:themeColor="text1"/>
                <w:szCs w:val="21"/>
                <w14:textFill>
                  <w14:solidFill>
                    <w14:schemeClr w14:val="tx1"/>
                  </w14:solidFill>
                </w14:textFill>
              </w:rPr>
              <w:t>扫描件</w:t>
            </w:r>
            <w:r>
              <w:rPr>
                <w:color w:val="000000" w:themeColor="text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Ex>
        <w:trPr>
          <w:cantSplit/>
          <w:trHeight w:val="901" w:hRule="atLeast"/>
        </w:trPr>
        <w:tc>
          <w:tcPr>
            <w:tcW w:w="1186" w:type="dxa"/>
            <w:vMerge w:val="continue"/>
            <w:vAlign w:val="center"/>
          </w:tcPr>
          <w:p>
            <w:pPr>
              <w:rPr>
                <w:rFonts w:cs="Arial"/>
                <w:color w:val="000000" w:themeColor="text1"/>
                <w:szCs w:val="21"/>
                <w14:textFill>
                  <w14:solidFill>
                    <w14:schemeClr w14:val="tx1"/>
                  </w14:solidFill>
                </w14:textFill>
              </w:rPr>
            </w:pPr>
          </w:p>
        </w:tc>
        <w:tc>
          <w:tcPr>
            <w:tcW w:w="475" w:type="dxa"/>
            <w:vMerge w:val="continue"/>
            <w:tcBorders>
              <w:right w:val="single" w:color="auto" w:sz="4" w:space="0"/>
            </w:tcBorders>
            <w:vAlign w:val="center"/>
          </w:tcPr>
          <w:p>
            <w:pPr>
              <w:snapToGrid w:val="0"/>
              <w:spacing w:line="300" w:lineRule="auto"/>
              <w:ind w:left="113" w:right="113"/>
              <w:jc w:val="center"/>
              <w:rPr>
                <w:color w:val="000000" w:themeColor="text1"/>
                <w:w w:val="105"/>
                <w:sz w:val="20"/>
                <w:szCs w:val="20"/>
                <w14:textFill>
                  <w14:solidFill>
                    <w14:schemeClr w14:val="tx1"/>
                  </w14:solidFill>
                </w14:textFill>
              </w:rPr>
            </w:pPr>
          </w:p>
        </w:tc>
        <w:tc>
          <w:tcPr>
            <w:tcW w:w="786"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olor w:val="000000" w:themeColor="text1"/>
                <w:szCs w:val="21"/>
                <w:lang w:val="en-US"/>
                <w14:textFill>
                  <w14:solidFill>
                    <w14:schemeClr w14:val="tx1"/>
                  </w14:solidFill>
                </w14:textFill>
              </w:rPr>
              <w:t>企业管理体系</w:t>
            </w:r>
          </w:p>
        </w:tc>
        <w:tc>
          <w:tcPr>
            <w:tcW w:w="992" w:type="dxa"/>
            <w:tcBorders>
              <w:left w:val="single" w:color="auto" w:sz="4" w:space="0"/>
            </w:tcBorders>
            <w:vAlign w:val="center"/>
          </w:tcPr>
          <w:p>
            <w:pPr>
              <w:snapToGrid w:val="0"/>
              <w:spacing w:line="300" w:lineRule="auto"/>
              <w:ind w:left="113" w:right="113"/>
              <w:jc w:val="center"/>
              <w:rPr>
                <w:rFonts w:cs="Arial"/>
                <w:color w:val="000000" w:themeColor="text1"/>
                <w:szCs w:val="21"/>
                <w14:textFill>
                  <w14:solidFill>
                    <w14:schemeClr w14:val="tx1"/>
                  </w14:solidFill>
                </w14:textFill>
              </w:rPr>
            </w:pPr>
            <w:r>
              <w:rPr>
                <w:rFonts w:hint="eastAsia" w:cs="Arial"/>
                <w:color w:val="000000" w:themeColor="text1"/>
                <w:u w:val="single"/>
                <w14:textFill>
                  <w14:solidFill>
                    <w14:schemeClr w14:val="tx1"/>
                  </w14:solidFill>
                </w14:textFill>
              </w:rPr>
              <w:t>2</w:t>
            </w:r>
            <w:r>
              <w:rPr>
                <w:rFonts w:hint="eastAsia" w:cs="Arial"/>
                <w:color w:val="000000" w:themeColor="text1"/>
                <w14:textFill>
                  <w14:solidFill>
                    <w14:schemeClr w14:val="tx1"/>
                  </w14:solidFill>
                </w14:textFill>
              </w:rPr>
              <w:t>分</w:t>
            </w:r>
          </w:p>
        </w:tc>
        <w:tc>
          <w:tcPr>
            <w:tcW w:w="5775" w:type="dxa"/>
            <w:gridSpan w:val="3"/>
            <w:vAlign w:val="center"/>
          </w:tcPr>
          <w:p>
            <w:pPr>
              <w:pStyle w:val="3"/>
              <w:spacing w:after="0" w:line="400" w:lineRule="exact"/>
              <w:ind w:firstLine="220"/>
              <w:rPr>
                <w:color w:val="000000" w:themeColor="text1"/>
                <w:szCs w:val="21"/>
                <w:lang w:val="en-US"/>
                <w14:textFill>
                  <w14:solidFill>
                    <w14:schemeClr w14:val="tx1"/>
                  </w14:solidFill>
                </w14:textFill>
              </w:rPr>
            </w:pPr>
            <w:r>
              <w:rPr>
                <w:rFonts w:hint="eastAsia"/>
                <w:color w:val="000000" w:themeColor="text1"/>
                <w:szCs w:val="21"/>
                <w:lang w:val="en-US"/>
                <w14:textFill>
                  <w14:solidFill>
                    <w14:schemeClr w14:val="tx1"/>
                  </w14:solidFill>
                </w14:textFill>
              </w:rPr>
              <w:t>提供企业质量、职业健康安全、环境管理体系3个证书原件的彩色扫描件，且全部处于有效期内得</w:t>
            </w:r>
            <w:r>
              <w:rPr>
                <w:rFonts w:hint="eastAsia"/>
                <w:color w:val="000000" w:themeColor="text1"/>
                <w:szCs w:val="21"/>
                <w:u w:val="single"/>
                <w:lang w:val="en-US"/>
                <w14:textFill>
                  <w14:solidFill>
                    <w14:schemeClr w14:val="tx1"/>
                  </w14:solidFill>
                </w14:textFill>
              </w:rPr>
              <w:t>2</w:t>
            </w:r>
            <w:r>
              <w:rPr>
                <w:rFonts w:hint="eastAsia"/>
                <w:color w:val="000000" w:themeColor="text1"/>
                <w:szCs w:val="21"/>
                <w:lang w:val="en-US"/>
                <w14:textFill>
                  <w14:solidFill>
                    <w14:schemeClr w14:val="tx1"/>
                  </w14:solidFill>
                </w14:textFill>
              </w:rPr>
              <w:t xml:space="preserve">分，其余情况不得分。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704" w:hRule="atLeast"/>
        </w:trPr>
        <w:tc>
          <w:tcPr>
            <w:tcW w:w="9214" w:type="dxa"/>
            <w:gridSpan w:val="7"/>
            <w:vAlign w:val="center"/>
          </w:tcPr>
          <w:p>
            <w:pPr>
              <w:spacing w:line="360" w:lineRule="exact"/>
              <w:rPr>
                <w:rFonts w:cs="Arial"/>
                <w:b/>
                <w:color w:val="000000" w:themeColor="text1"/>
                <w:szCs w:val="21"/>
                <w14:textFill>
                  <w14:solidFill>
                    <w14:schemeClr w14:val="tx1"/>
                  </w14:solidFill>
                </w14:textFill>
              </w:rPr>
            </w:pPr>
            <w:r>
              <w:rPr>
                <w:rFonts w:hint="eastAsia" w:cs="Arial"/>
                <w:b/>
                <w:color w:val="000000" w:themeColor="text1"/>
                <w:szCs w:val="21"/>
                <w14:textFill>
                  <w14:solidFill>
                    <w14:schemeClr w14:val="tx1"/>
                  </w14:solidFill>
                </w14:textFill>
              </w:rPr>
              <w:t>需要补充的其他内容：</w:t>
            </w:r>
          </w:p>
          <w:p>
            <w:pPr>
              <w:snapToGrid w:val="0"/>
              <w:spacing w:line="300" w:lineRule="auto"/>
              <w:ind w:firstLine="440" w:firstLineChars="200"/>
              <w:rPr>
                <w:rFonts w:cs="Arial"/>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1. 评标委员会对满足招标文件实质性要求的投标文件，按照本章第2.2款规定的评分标准进行打分，并按综合得分由高到低顺序推荐中标候选人（评标过程中，若在同一个标段中由于投标文件被否决，导致有效投标人只有1个的情形时，该标段不再推荐中标候选人；若有效投标人仅为2个时，评标委员会应当对有效投标是否仍具有竞争性进行评审，如评标委员会一致认为有效投标仍具有竞争性的，应当继续推荐中标候选人，并在评标报告中予以说明,如评标委员会对有效投标是否仍具有竞争性无法达成一致意见的，应当否决该标段投标）。</w:t>
            </w:r>
          </w:p>
          <w:p>
            <w:pPr>
              <w:spacing w:line="420" w:lineRule="atLeast"/>
              <w:ind w:firstLine="440" w:firstLineChars="200"/>
              <w:rPr>
                <w:rFonts w:cs="Arial"/>
                <w:b/>
                <w:color w:val="000000" w:themeColor="text1"/>
                <w:szCs w:val="21"/>
                <w14:textFill>
                  <w14:solidFill>
                    <w14:schemeClr w14:val="tx1"/>
                  </w14:solidFill>
                </w14:textFill>
              </w:rPr>
            </w:pPr>
            <w:r>
              <w:rPr>
                <w:rFonts w:hint="eastAsia" w:cs="Arial"/>
                <w:color w:val="000000" w:themeColor="text1"/>
                <w:szCs w:val="21"/>
                <w14:textFill>
                  <w14:solidFill>
                    <w14:schemeClr w14:val="tx1"/>
                  </w14:solidFill>
                </w14:textFill>
              </w:rPr>
              <w:t>2. 当投标人在多个标段同时排名第一并超过允许中标数量时，评标委员会将按照招标人公布的标段最高投标限价从大到小的顺序依次推荐。</w:t>
            </w:r>
          </w:p>
        </w:tc>
      </w:tr>
    </w:tbl>
    <w:p>
      <w:pPr>
        <w:tabs>
          <w:tab w:val="left" w:pos="0"/>
        </w:tabs>
        <w:spacing w:line="400" w:lineRule="exact"/>
        <w:rPr>
          <w:rFonts w:ascii="Arial" w:hAnsi="Arial" w:cs="Arial"/>
          <w:b/>
          <w:color w:val="000000" w:themeColor="text1"/>
          <w:sz w:val="28"/>
          <w:szCs w:val="28"/>
          <w14:textFill>
            <w14:solidFill>
              <w14:schemeClr w14:val="tx1"/>
            </w14:solidFill>
          </w14:textFill>
        </w:rPr>
      </w:pPr>
      <w:bookmarkStart w:id="7" w:name="_bookmark124"/>
      <w:bookmarkEnd w:id="7"/>
      <w:r>
        <w:rPr>
          <w:rFonts w:ascii="Arial" w:hAnsi="Arial" w:cs="Arial"/>
          <w:b/>
          <w:color w:val="000000" w:themeColor="text1"/>
          <w:sz w:val="28"/>
          <w:szCs w:val="28"/>
          <w14:textFill>
            <w14:solidFill>
              <w14:schemeClr w14:val="tx1"/>
            </w14:solidFill>
          </w14:textFill>
        </w:rPr>
        <w:t xml:space="preserve">1. </w:t>
      </w:r>
      <w:r>
        <w:rPr>
          <w:rFonts w:hint="eastAsia" w:ascii="Arial" w:cs="Arial"/>
          <w:b/>
          <w:color w:val="000000" w:themeColor="text1"/>
          <w:sz w:val="28"/>
          <w:szCs w:val="28"/>
          <w14:textFill>
            <w14:solidFill>
              <w14:schemeClr w14:val="tx1"/>
            </w14:solidFill>
          </w14:textFill>
        </w:rPr>
        <w:t>评标方法</w:t>
      </w:r>
    </w:p>
    <w:p>
      <w:pPr>
        <w:spacing w:line="440" w:lineRule="exact"/>
        <w:ind w:firstLine="331" w:firstLineChars="150"/>
        <w:rPr>
          <w:b/>
          <w:color w:val="000000" w:themeColor="text1"/>
          <w:szCs w:val="21"/>
          <w14:textFill>
            <w14:solidFill>
              <w14:schemeClr w14:val="tx1"/>
            </w14:solidFill>
          </w14:textFill>
        </w:rPr>
      </w:pPr>
      <w:r>
        <w:rPr>
          <w:b/>
          <w:color w:val="000000" w:themeColor="text1"/>
          <w:szCs w:val="21"/>
          <w14:textFill>
            <w14:solidFill>
              <w14:schemeClr w14:val="tx1"/>
            </w14:solidFill>
          </w14:textFill>
        </w:rPr>
        <w:t>本次评标采用综合评分法。</w:t>
      </w:r>
      <w:r>
        <w:rPr>
          <w:color w:val="000000" w:themeColor="text1"/>
          <w:szCs w:val="21"/>
          <w14:textFill>
            <w14:solidFill>
              <w14:schemeClr w14:val="tx1"/>
            </w14:solidFill>
          </w14:textFill>
        </w:rPr>
        <w:t>评标委员会对满足招标文件实质性要求的投标文件</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按照本章第 </w:t>
      </w:r>
      <w:r>
        <w:rPr>
          <w:rFonts w:eastAsia="Times New Roman"/>
          <w:color w:val="000000" w:themeColor="text1"/>
          <w:szCs w:val="21"/>
          <w14:textFill>
            <w14:solidFill>
              <w14:schemeClr w14:val="tx1"/>
            </w14:solidFill>
          </w14:textFill>
        </w:rPr>
        <w:t>2.2</w:t>
      </w:r>
      <w:r>
        <w:rPr>
          <w:color w:val="000000" w:themeColor="text1"/>
          <w:szCs w:val="21"/>
          <w14:textFill>
            <w14:solidFill>
              <w14:schemeClr w14:val="tx1"/>
            </w14:solidFill>
          </w14:textFill>
        </w:rPr>
        <w:t xml:space="preserve"> 款规定的评分标准进行打分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并按得分由高到低顺序推荐中标候选人</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或根据招标人授权直接确定中标人</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但投标报价低于其成本的除外。</w:t>
      </w:r>
      <w:r>
        <w:rPr>
          <w:b/>
          <w:color w:val="000000" w:themeColor="text1"/>
          <w:szCs w:val="21"/>
          <w14:textFill>
            <w14:solidFill>
              <w14:schemeClr w14:val="tx1"/>
            </w14:solidFill>
          </w14:textFill>
        </w:rPr>
        <w:t>综合评分相等时</w:t>
      </w:r>
      <w:r>
        <w:rPr>
          <w:rFonts w:ascii="MS PGothic" w:hAnsi="MS PGothic" w:eastAsia="MS PGothic" w:cs="MS PGothic"/>
          <w:b/>
          <w:color w:val="000000" w:themeColor="text1"/>
          <w:szCs w:val="21"/>
          <w14:textFill>
            <w14:solidFill>
              <w14:schemeClr w14:val="tx1"/>
            </w14:solidFill>
          </w14:textFill>
        </w:rPr>
        <w:t>，</w:t>
      </w:r>
      <w:r>
        <w:rPr>
          <w:b/>
          <w:color w:val="000000" w:themeColor="text1"/>
          <w:szCs w:val="21"/>
          <w14:textFill>
            <w14:solidFill>
              <w14:schemeClr w14:val="tx1"/>
            </w14:solidFill>
          </w14:textFill>
        </w:rPr>
        <w:t>评标委员会应按照评标办法前附表规定的优先次序推荐中标候选人或确定中标人</w:t>
      </w:r>
      <w:r>
        <w:rPr>
          <w:rFonts w:hint="eastAsia"/>
          <w:b/>
          <w:color w:val="000000" w:themeColor="text1"/>
          <w:szCs w:val="21"/>
          <w14:textFill>
            <w14:solidFill>
              <w14:schemeClr w14:val="tx1"/>
            </w14:solidFill>
          </w14:textFill>
        </w:rPr>
        <w:t>。</w:t>
      </w:r>
    </w:p>
    <w:p>
      <w:pPr>
        <w:spacing w:line="440" w:lineRule="exact"/>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2. </w:t>
      </w:r>
      <w:r>
        <w:rPr>
          <w:rFonts w:hint="eastAsia" w:ascii="Arial" w:cs="Arial"/>
          <w:b/>
          <w:color w:val="000000" w:themeColor="text1"/>
          <w:sz w:val="28"/>
          <w:szCs w:val="28"/>
          <w14:textFill>
            <w14:solidFill>
              <w14:schemeClr w14:val="tx1"/>
            </w14:solidFill>
          </w14:textFill>
        </w:rPr>
        <w:t>评审标准</w:t>
      </w:r>
    </w:p>
    <w:p>
      <w:pPr>
        <w:spacing w:line="440" w:lineRule="exact"/>
        <w:rPr>
          <w:rFonts w:ascii="Arial" w:hAnsi="Arial" w:cs="Arial"/>
          <w:b/>
          <w:color w:val="000000" w:themeColor="text1"/>
          <w:sz w:val="28"/>
          <w:szCs w:val="28"/>
          <w14:textFill>
            <w14:solidFill>
              <w14:schemeClr w14:val="tx1"/>
            </w14:solidFill>
          </w14:textFill>
        </w:rPr>
      </w:pPr>
      <w:r>
        <w:rPr>
          <w:rFonts w:ascii="Arial" w:hAnsi="Arial" w:cs="Arial"/>
          <w:b/>
          <w:color w:val="000000" w:themeColor="text1"/>
          <w:sz w:val="28"/>
          <w:szCs w:val="28"/>
          <w14:textFill>
            <w14:solidFill>
              <w14:schemeClr w14:val="tx1"/>
            </w14:solidFill>
          </w14:textFill>
        </w:rPr>
        <w:t xml:space="preserve">2.1 </w:t>
      </w:r>
      <w:r>
        <w:rPr>
          <w:rFonts w:hint="eastAsia" w:ascii="Arial" w:cs="Arial"/>
          <w:b/>
          <w:color w:val="000000" w:themeColor="text1"/>
          <w:sz w:val="28"/>
          <w:szCs w:val="28"/>
          <w14:textFill>
            <w14:solidFill>
              <w14:schemeClr w14:val="tx1"/>
            </w14:solidFill>
          </w14:textFill>
        </w:rPr>
        <w:t>初步评审标准</w:t>
      </w:r>
    </w:p>
    <w:p>
      <w:pPr>
        <w:spacing w:line="440" w:lineRule="exact"/>
        <w:ind w:firstLine="44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2.1.1</w:t>
      </w:r>
      <w:r>
        <w:rPr>
          <w:rFonts w:ascii="Arial" w:hAnsi="Arial" w:cs="Arial"/>
          <w:color w:val="000000" w:themeColor="text1"/>
          <w:szCs w:val="21"/>
          <w14:textFill>
            <w14:solidFill>
              <w14:schemeClr w14:val="tx1"/>
            </w14:solidFill>
          </w14:textFill>
        </w:rPr>
        <w:t xml:space="preserve"> </w:t>
      </w:r>
      <w:r>
        <w:rPr>
          <w:rFonts w:hint="eastAsia" w:ascii="Arial" w:cs="Arial"/>
          <w:color w:val="000000" w:themeColor="text1"/>
          <w:szCs w:val="21"/>
          <w14:textFill>
            <w14:solidFill>
              <w14:schemeClr w14:val="tx1"/>
            </w14:solidFill>
          </w14:textFill>
        </w:rPr>
        <w:t>形式评审标准：见评标办法前附表。</w:t>
      </w:r>
    </w:p>
    <w:p>
      <w:pPr>
        <w:spacing w:line="440" w:lineRule="exact"/>
        <w:ind w:firstLine="44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2.1.2</w:t>
      </w:r>
      <w:r>
        <w:rPr>
          <w:rFonts w:ascii="Arial" w:hAnsi="Arial" w:cs="Arial"/>
          <w:color w:val="000000" w:themeColor="text1"/>
          <w:szCs w:val="21"/>
          <w14:textFill>
            <w14:solidFill>
              <w14:schemeClr w14:val="tx1"/>
            </w14:solidFill>
          </w14:textFill>
        </w:rPr>
        <w:t xml:space="preserve"> </w:t>
      </w:r>
      <w:r>
        <w:rPr>
          <w:rFonts w:hint="eastAsia" w:ascii="Arial" w:cs="Arial"/>
          <w:color w:val="000000" w:themeColor="text1"/>
          <w:szCs w:val="21"/>
          <w14:textFill>
            <w14:solidFill>
              <w14:schemeClr w14:val="tx1"/>
            </w14:solidFill>
          </w14:textFill>
        </w:rPr>
        <w:t>资格评审标准：见评标办法前附表。</w:t>
      </w:r>
    </w:p>
    <w:p>
      <w:pPr>
        <w:spacing w:line="440" w:lineRule="exact"/>
        <w:ind w:firstLine="442" w:firstLineChars="200"/>
        <w:rPr>
          <w:rFonts w:ascii="Arial" w:hAnsi="Arial" w:cs="Arial"/>
          <w:color w:val="000000" w:themeColor="text1"/>
          <w:szCs w:val="21"/>
          <w14:textFill>
            <w14:solidFill>
              <w14:schemeClr w14:val="tx1"/>
            </w14:solidFill>
          </w14:textFill>
        </w:rPr>
      </w:pPr>
      <w:r>
        <w:rPr>
          <w:rFonts w:ascii="Arial" w:hAnsi="Arial" w:cs="Arial"/>
          <w:b/>
          <w:color w:val="000000" w:themeColor="text1"/>
          <w:szCs w:val="21"/>
          <w14:textFill>
            <w14:solidFill>
              <w14:schemeClr w14:val="tx1"/>
            </w14:solidFill>
          </w14:textFill>
        </w:rPr>
        <w:t>2.1.3</w:t>
      </w:r>
      <w:r>
        <w:rPr>
          <w:rFonts w:ascii="Arial" w:hAnsi="Arial" w:cs="Arial"/>
          <w:color w:val="000000" w:themeColor="text1"/>
          <w:szCs w:val="21"/>
          <w14:textFill>
            <w14:solidFill>
              <w14:schemeClr w14:val="tx1"/>
            </w14:solidFill>
          </w14:textFill>
        </w:rPr>
        <w:t xml:space="preserve"> </w:t>
      </w:r>
      <w:r>
        <w:rPr>
          <w:rFonts w:hint="eastAsia" w:ascii="Arial" w:cs="Arial"/>
          <w:color w:val="000000" w:themeColor="text1"/>
          <w:szCs w:val="21"/>
          <w14:textFill>
            <w14:solidFill>
              <w14:schemeClr w14:val="tx1"/>
            </w14:solidFill>
          </w14:textFill>
        </w:rPr>
        <w:t>响应性评审标准：见评标办法前附表。</w:t>
      </w:r>
    </w:p>
    <w:p>
      <w:pPr>
        <w:spacing w:line="440" w:lineRule="exact"/>
        <w:rPr>
          <w:b/>
          <w:color w:val="000000" w:themeColor="text1"/>
          <w:sz w:val="28"/>
          <w:szCs w:val="28"/>
          <w14:textFill>
            <w14:solidFill>
              <w14:schemeClr w14:val="tx1"/>
            </w14:solidFill>
          </w14:textFill>
        </w:rPr>
      </w:pPr>
      <w:r>
        <w:rPr>
          <w:rFonts w:ascii="黑体" w:hAnsi="黑体" w:eastAsia="黑体" w:cs="黑体"/>
          <w:b/>
          <w:color w:val="000000" w:themeColor="text1"/>
          <w:sz w:val="28"/>
          <w:szCs w:val="28"/>
          <w14:textFill>
            <w14:solidFill>
              <w14:schemeClr w14:val="tx1"/>
            </w14:solidFill>
          </w14:textFill>
        </w:rPr>
        <w:t xml:space="preserve">2.2 </w:t>
      </w:r>
      <w:r>
        <w:rPr>
          <w:b/>
          <w:color w:val="000000" w:themeColor="text1"/>
          <w:sz w:val="28"/>
          <w:szCs w:val="28"/>
          <w14:textFill>
            <w14:solidFill>
              <w14:schemeClr w14:val="tx1"/>
            </w14:solidFill>
          </w14:textFill>
        </w:rPr>
        <w:t>分值构成与评分标准</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 xml:space="preserve">2.2.1 </w:t>
      </w:r>
      <w:r>
        <w:rPr>
          <w:color w:val="000000" w:themeColor="text1"/>
          <w:szCs w:val="21"/>
          <w14:textFill>
            <w14:solidFill>
              <w14:schemeClr w14:val="tx1"/>
            </w14:solidFill>
          </w14:textFill>
        </w:rPr>
        <w:t>分值构成</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施工组织设计</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主要人员</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4</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其他评分因素</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p>
    <w:p>
      <w:pPr>
        <w:widowControl/>
        <w:numPr>
          <w:ilvl w:val="0"/>
          <w:numId w:val="1"/>
        </w:numPr>
        <w:tabs>
          <w:tab w:val="left" w:pos="1080"/>
        </w:tabs>
        <w:autoSpaceDE/>
        <w:autoSpaceDN/>
        <w:spacing w:line="440" w:lineRule="exact"/>
        <w:ind w:left="1080" w:hanging="596"/>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评标基准价计算</w:t>
      </w:r>
    </w:p>
    <w:p>
      <w:pPr>
        <w:widowControl/>
        <w:numPr>
          <w:ilvl w:val="0"/>
          <w:numId w:val="1"/>
        </w:numPr>
        <w:tabs>
          <w:tab w:val="left" w:pos="1080"/>
        </w:tabs>
        <w:autoSpaceDE/>
        <w:autoSpaceDN/>
        <w:spacing w:line="440" w:lineRule="exact"/>
        <w:ind w:left="1080" w:hanging="596"/>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评标价的偏差率计算</w:t>
      </w:r>
    </w:p>
    <w:p>
      <w:pPr>
        <w:spacing w:line="440" w:lineRule="exact"/>
        <w:ind w:left="480"/>
        <w:rPr>
          <w:color w:val="000000" w:themeColor="text1"/>
          <w:szCs w:val="21"/>
          <w14:textFill>
            <w14:solidFill>
              <w14:schemeClr w14:val="tx1"/>
            </w14:solidFill>
          </w14:textFill>
        </w:rPr>
      </w:pPr>
      <w:r>
        <w:rPr>
          <w:color w:val="000000" w:themeColor="text1"/>
          <w:szCs w:val="21"/>
          <w14:textFill>
            <w14:solidFill>
              <w14:schemeClr w14:val="tx1"/>
            </w14:solidFill>
          </w14:textFill>
        </w:rPr>
        <w:t>评标价的偏差率计算公式</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 xml:space="preserve">2.2.4 </w:t>
      </w:r>
      <w:r>
        <w:rPr>
          <w:color w:val="000000" w:themeColor="text1"/>
          <w:szCs w:val="21"/>
          <w14:textFill>
            <w14:solidFill>
              <w14:schemeClr w14:val="tx1"/>
            </w14:solidFill>
          </w14:textFill>
        </w:rPr>
        <w:t>评分标准</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施工组织设计评分标准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主要人员评分标准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评标价评分标准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4</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其他因素评分标准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见评标办法前附表。</w:t>
      </w:r>
    </w:p>
    <w:p>
      <w:pPr>
        <w:spacing w:line="440" w:lineRule="exact"/>
        <w:rPr>
          <w:b/>
          <w:color w:val="000000" w:themeColor="text1"/>
          <w:sz w:val="28"/>
          <w:szCs w:val="28"/>
          <w14:textFill>
            <w14:solidFill>
              <w14:schemeClr w14:val="tx1"/>
            </w14:solidFill>
          </w14:textFill>
        </w:rPr>
      </w:pPr>
      <w:r>
        <w:rPr>
          <w:rFonts w:ascii="黑体" w:hAnsi="黑体" w:eastAsia="黑体" w:cs="黑体"/>
          <w:b/>
          <w:color w:val="000000" w:themeColor="text1"/>
          <w:sz w:val="28"/>
          <w:szCs w:val="28"/>
          <w14:textFill>
            <w14:solidFill>
              <w14:schemeClr w14:val="tx1"/>
            </w14:solidFill>
          </w14:textFill>
        </w:rPr>
        <w:t xml:space="preserve">3. </w:t>
      </w:r>
      <w:r>
        <w:rPr>
          <w:b/>
          <w:color w:val="000000" w:themeColor="text1"/>
          <w:sz w:val="28"/>
          <w:szCs w:val="28"/>
          <w14:textFill>
            <w14:solidFill>
              <w14:schemeClr w14:val="tx1"/>
            </w14:solidFill>
          </w14:textFill>
        </w:rPr>
        <w:t>评标程序</w:t>
      </w:r>
    </w:p>
    <w:p>
      <w:pPr>
        <w:spacing w:line="440" w:lineRule="exact"/>
        <w:rPr>
          <w:b/>
          <w:color w:val="000000" w:themeColor="text1"/>
          <w:sz w:val="28"/>
          <w:szCs w:val="28"/>
          <w14:textFill>
            <w14:solidFill>
              <w14:schemeClr w14:val="tx1"/>
            </w14:solidFill>
          </w14:textFill>
        </w:rPr>
      </w:pPr>
      <w:r>
        <w:rPr>
          <w:rFonts w:ascii="黑体" w:hAnsi="黑体" w:eastAsia="黑体" w:cs="黑体"/>
          <w:b/>
          <w:color w:val="000000" w:themeColor="text1"/>
          <w:sz w:val="28"/>
          <w:szCs w:val="28"/>
          <w14:textFill>
            <w14:solidFill>
              <w14:schemeClr w14:val="tx1"/>
            </w14:solidFill>
          </w14:textFill>
        </w:rPr>
        <w:t>3.1</w:t>
      </w:r>
      <w:r>
        <w:rPr>
          <w:b/>
          <w:color w:val="000000" w:themeColor="text1"/>
          <w:sz w:val="28"/>
          <w:szCs w:val="28"/>
          <w14:textFill>
            <w14:solidFill>
              <w14:schemeClr w14:val="tx1"/>
            </w14:solidFill>
          </w14:textFill>
        </w:rPr>
        <w:t>初步评审</w:t>
      </w:r>
    </w:p>
    <w:p>
      <w:pPr>
        <w:spacing w:line="440" w:lineRule="exact"/>
        <w:ind w:firstLine="440" w:firstLineChars="20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 xml:space="preserve">3.1.1 </w:t>
      </w:r>
      <w:r>
        <w:rPr>
          <w:color w:val="000000" w:themeColor="text1"/>
          <w:szCs w:val="21"/>
          <w14:textFill>
            <w14:solidFill>
              <w14:schemeClr w14:val="tx1"/>
            </w14:solidFill>
          </w14:textFill>
        </w:rPr>
        <w:t>评标委员会可以要求投标人提交第二章</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第</w:t>
      </w:r>
      <w:r>
        <w:rPr>
          <w:rFonts w:eastAsia="Times New Roman"/>
          <w:color w:val="000000" w:themeColor="text1"/>
          <w:szCs w:val="21"/>
          <w14:textFill>
            <w14:solidFill>
              <w14:schemeClr w14:val="tx1"/>
            </w14:solidFill>
          </w14:textFill>
        </w:rPr>
        <w:t xml:space="preserve"> 3.5.1 </w:t>
      </w:r>
      <w:r>
        <w:rPr>
          <w:color w:val="000000" w:themeColor="text1"/>
          <w:szCs w:val="21"/>
          <w14:textFill>
            <w14:solidFill>
              <w14:schemeClr w14:val="tx1"/>
            </w14:solidFill>
          </w14:textFill>
        </w:rPr>
        <w:t>项至第</w:t>
      </w:r>
      <w:r>
        <w:rPr>
          <w:rFonts w:eastAsia="Times New Roman"/>
          <w:color w:val="000000" w:themeColor="text1"/>
          <w:szCs w:val="21"/>
          <w14:textFill>
            <w14:solidFill>
              <w14:schemeClr w14:val="tx1"/>
            </w14:solidFill>
          </w14:textFill>
        </w:rPr>
        <w:t xml:space="preserve"> 3.5.6</w:t>
      </w:r>
      <w:r>
        <w:rPr>
          <w:color w:val="000000" w:themeColor="text1"/>
          <w:szCs w:val="21"/>
          <w14:textFill>
            <w14:solidFill>
              <w14:schemeClr w14:val="tx1"/>
            </w14:solidFill>
          </w14:textFill>
        </w:rPr>
        <w:t>项规定的有关证明和证件的原件</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以便核验。评标委员会依据本章第 </w:t>
      </w:r>
      <w:r>
        <w:rPr>
          <w:rFonts w:eastAsia="Times New Roman"/>
          <w:color w:val="000000" w:themeColor="text1"/>
          <w:szCs w:val="21"/>
          <w14:textFill>
            <w14:solidFill>
              <w14:schemeClr w14:val="tx1"/>
            </w14:solidFill>
          </w14:textFill>
        </w:rPr>
        <w:t>2.1</w:t>
      </w:r>
      <w:r>
        <w:rPr>
          <w:color w:val="000000" w:themeColor="text1"/>
          <w:szCs w:val="21"/>
          <w14:textFill>
            <w14:solidFill>
              <w14:schemeClr w14:val="tx1"/>
            </w14:solidFill>
          </w14:textFill>
        </w:rPr>
        <w:t xml:space="preserve"> 款规定的标准对投标文件进行初步评审。有一项不符合评审标准的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评标委员会应否决其投标。</w:t>
      </w:r>
    </w:p>
    <w:p>
      <w:pPr>
        <w:spacing w:line="440" w:lineRule="exact"/>
        <w:ind w:firstLine="440" w:firstLineChars="20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rFonts w:eastAsia="Times New Roman"/>
          <w:color w:val="000000" w:themeColor="text1"/>
          <w:szCs w:val="21"/>
          <w14:textFill>
            <w14:solidFill>
              <w14:schemeClr w14:val="tx1"/>
            </w14:solidFill>
          </w14:textFill>
        </w:rPr>
        <w:t xml:space="preserve">.2  </w:t>
      </w:r>
      <w:r>
        <w:rPr>
          <w:color w:val="000000" w:themeColor="text1"/>
          <w:szCs w:val="21"/>
          <w14:textFill>
            <w14:solidFill>
              <w14:schemeClr w14:val="tx1"/>
            </w14:solidFill>
          </w14:textFill>
        </w:rPr>
        <w:t>投标报价有算术错误的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评标委员会按以下原则对投标报价进行修正</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修正的价格经投标人书面确认后具有约束力。投标人不接受修正价格的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评标委员会应否决其投标。</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投标文件中的大写金额与小写金额不一致的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以大写金额为准</w:t>
      </w:r>
      <w:r>
        <w:rPr>
          <w:rFonts w:ascii="MS PGothic" w:hAnsi="MS PGothic" w:eastAsia="MS PGothic" w:cs="MS PGothic"/>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总价金额与依据单价计算出的结果不一致的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以单价金额为准修正总价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但单价金额小数点有明显错误的除外</w:t>
      </w:r>
      <w:r>
        <w:rPr>
          <w:rFonts w:hint="eastAsia"/>
          <w:color w:val="000000" w:themeColor="text1"/>
          <w:szCs w:val="21"/>
          <w14:textFill>
            <w14:solidFill>
              <w14:schemeClr w14:val="tx1"/>
            </w14:solidFill>
          </w14:textFill>
        </w:rPr>
        <w:t>（本项目不适用）</w:t>
      </w:r>
      <w:r>
        <w:rPr>
          <w:rFonts w:eastAsia="Times New Roman"/>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当单价与数量相乘不等于合价时</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以单价计算为准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如果单价有明显的小数点位置差错</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应以标出的合价为准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同时对单价予以修正</w:t>
      </w:r>
      <w:r>
        <w:rPr>
          <w:rFonts w:ascii="MS PGothic" w:hAnsi="MS PGothic" w:eastAsia="MS PGothic" w:cs="MS PGothic"/>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4</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当各子目的合价累计不等于总价时</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应以各子目合价累计数为准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修正总价</w:t>
      </w:r>
      <w:r>
        <w:rPr>
          <w:rFonts w:hint="eastAsia"/>
          <w:color w:val="000000" w:themeColor="text1"/>
          <w:szCs w:val="21"/>
          <w14:textFill>
            <w14:solidFill>
              <w14:schemeClr w14:val="tx1"/>
            </w14:solidFill>
          </w14:textFill>
        </w:rPr>
        <w:t>（本项目不适用）</w:t>
      </w:r>
      <w:r>
        <w:rPr>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1</w:t>
      </w:r>
      <w:r>
        <w:rPr>
          <w:rFonts w:eastAsia="Times New Roman"/>
          <w:color w:val="000000" w:themeColor="text1"/>
          <w:szCs w:val="21"/>
          <w14:textFill>
            <w14:solidFill>
              <w14:schemeClr w14:val="tx1"/>
            </w14:solidFill>
          </w14:textFill>
        </w:rPr>
        <w:t xml:space="preserve">.3 </w:t>
      </w:r>
      <w:r>
        <w:rPr>
          <w:color w:val="000000" w:themeColor="text1"/>
          <w:szCs w:val="21"/>
          <w14:textFill>
            <w14:solidFill>
              <w14:schemeClr w14:val="tx1"/>
            </w14:solidFill>
          </w14:textFill>
        </w:rPr>
        <w:t>工程量清单中的投标报价有其他错误的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评标委员会按以下原则对投标报价进行修正</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修正的价格经投标人书面确认后具有约束力。投标人不接受修正价格的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评标委员会应否决其投标。</w:t>
      </w:r>
    </w:p>
    <w:p>
      <w:pPr>
        <w:spacing w:line="440" w:lineRule="exact"/>
        <w:ind w:firstLine="550" w:firstLineChars="25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在招标人给定的工程量清单中漏报了某个工程子目的单价、合价或总额价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或所报单价、合价或总额价减少了报价范围</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则漏报的工程子目单价、合价和总额价或单价、合价和总额价中减少的报价内容视为已含入其他工程子目的单价、合价和总额价之中。</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在招标人给定的工程量清单中多报了某个工程子目的单价、合价或总额价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或所报单价、合价或总额价增加了报价范围</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则从投标报价中扣除多报的工程子目报价或工程子目报价中增加了报价范围的部分报价。</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当单价与数量的乘积与合价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金额</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虽然一致</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但投标人修改了该子目的工程数量</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则其合价按招标人给定的工程数量乘以投标人所报单价予以修正。</w:t>
      </w:r>
    </w:p>
    <w:p>
      <w:pPr>
        <w:widowControl/>
        <w:tabs>
          <w:tab w:val="left" w:pos="1080"/>
        </w:tabs>
        <w:spacing w:line="440" w:lineRule="exact"/>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3.1.4</w:t>
      </w:r>
      <w:r>
        <w:rPr>
          <w:color w:val="000000" w:themeColor="text1"/>
          <w:szCs w:val="21"/>
          <w14:textFill>
            <w14:solidFill>
              <w14:schemeClr w14:val="tx1"/>
            </w14:solidFill>
          </w14:textFill>
        </w:rPr>
        <w:t>修正后的最终投标报价若超过最高投标限价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如有</w:t>
      </w:r>
      <w:r>
        <w:rPr>
          <w:rFonts w:ascii="MS PGothic" w:hAnsi="MS PGothic" w:eastAsia="MS PGothic" w:cs="MS PGothic"/>
          <w:color w:val="000000" w:themeColor="text1"/>
          <w:szCs w:val="21"/>
          <w14:textFill>
            <w14:solidFill>
              <w14:schemeClr w14:val="tx1"/>
            </w14:solidFill>
          </w14:textFill>
        </w:rPr>
        <w:t>）</w:t>
      </w:r>
      <w:r>
        <w:rPr>
          <w:rFonts w:hint="eastAsia" w:ascii="MS PGothic" w:hAnsi="MS PGothic" w:cs="MS PGothic"/>
          <w:b/>
          <w:color w:val="000000" w:themeColor="text1"/>
          <w:szCs w:val="21"/>
          <w14:textFill>
            <w14:solidFill>
              <w14:schemeClr w14:val="tx1"/>
            </w14:solidFill>
          </w14:textFill>
        </w:rPr>
        <w:t>或</w:t>
      </w:r>
      <w:r>
        <w:rPr>
          <w:rFonts w:hint="eastAsia" w:cs="Arial"/>
          <w:b/>
          <w:color w:val="000000" w:themeColor="text1"/>
          <w14:textFill>
            <w14:solidFill>
              <w14:schemeClr w14:val="tx1"/>
            </w14:solidFill>
          </w14:textFill>
        </w:rPr>
        <w:t>主要工程细目清单的综合单价超过招标文件设定的最高细目限价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评标委员会应否决其投标。</w:t>
      </w:r>
    </w:p>
    <w:p>
      <w:pPr>
        <w:widowControl/>
        <w:tabs>
          <w:tab w:val="left" w:pos="1080"/>
        </w:tabs>
        <w:spacing w:line="440" w:lineRule="exact"/>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3.1.5</w:t>
      </w:r>
      <w:r>
        <w:rPr>
          <w:color w:val="000000" w:themeColor="text1"/>
          <w:szCs w:val="21"/>
          <w14:textFill>
            <w14:solidFill>
              <w14:schemeClr w14:val="tx1"/>
            </w14:solidFill>
          </w14:textFill>
        </w:rPr>
        <w:t>修正后的最终投标报价仅作为签订合同的一个依据</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不参与评标价得分的计算。</w:t>
      </w:r>
    </w:p>
    <w:p>
      <w:pPr>
        <w:spacing w:line="440" w:lineRule="exact"/>
        <w:ind w:firstLine="440" w:firstLineChars="200"/>
        <w:rPr>
          <w:color w:val="000000" w:themeColor="text1"/>
          <w:szCs w:val="21"/>
          <w14:textFill>
            <w14:solidFill>
              <w14:schemeClr w14:val="tx1"/>
            </w14:solidFill>
          </w14:textFill>
        </w:rPr>
      </w:pPr>
    </w:p>
    <w:p>
      <w:pPr>
        <w:widowControl/>
        <w:numPr>
          <w:ilvl w:val="0"/>
          <w:numId w:val="2"/>
        </w:numPr>
        <w:tabs>
          <w:tab w:val="left" w:pos="480"/>
        </w:tabs>
        <w:autoSpaceDE/>
        <w:autoSpaceDN/>
        <w:spacing w:line="440" w:lineRule="exact"/>
        <w:ind w:left="480" w:hanging="476"/>
        <w:jc w:val="both"/>
        <w:rPr>
          <w:rFonts w:ascii="黑体" w:hAnsi="黑体" w:eastAsia="黑体" w:cs="黑体"/>
          <w:b/>
          <w:color w:val="000000" w:themeColor="text1"/>
          <w:sz w:val="28"/>
          <w:szCs w:val="28"/>
          <w14:textFill>
            <w14:solidFill>
              <w14:schemeClr w14:val="tx1"/>
            </w14:solidFill>
          </w14:textFill>
        </w:rPr>
      </w:pPr>
      <w:r>
        <w:rPr>
          <w:b/>
          <w:color w:val="000000" w:themeColor="text1"/>
          <w:sz w:val="28"/>
          <w:szCs w:val="28"/>
          <w14:textFill>
            <w14:solidFill>
              <w14:schemeClr w14:val="tx1"/>
            </w14:solidFill>
          </w14:textFill>
        </w:rPr>
        <w:t>详细评审</w:t>
      </w:r>
    </w:p>
    <w:p>
      <w:pPr>
        <w:widowControl/>
        <w:numPr>
          <w:ilvl w:val="1"/>
          <w:numId w:val="2"/>
        </w:numPr>
        <w:tabs>
          <w:tab w:val="left" w:pos="1080"/>
        </w:tabs>
        <w:autoSpaceDE/>
        <w:autoSpaceDN/>
        <w:spacing w:line="440" w:lineRule="exact"/>
        <w:ind w:right="120" w:firstLine="484"/>
        <w:jc w:val="both"/>
        <w:rPr>
          <w:color w:val="000000" w:themeColor="text1"/>
          <w:szCs w:val="21"/>
          <w14:textFill>
            <w14:solidFill>
              <w14:schemeClr w14:val="tx1"/>
            </w14:solidFill>
          </w14:textFill>
        </w:rPr>
      </w:pPr>
      <w:r>
        <w:rPr>
          <w:color w:val="000000" w:themeColor="text1"/>
          <w:szCs w:val="21"/>
          <w14:textFill>
            <w14:solidFill>
              <w14:schemeClr w14:val="tx1"/>
            </w14:solidFill>
          </w14:textFill>
        </w:rPr>
        <w:t xml:space="preserve">评标委员会按本章第 </w:t>
      </w:r>
      <w:r>
        <w:rPr>
          <w:rFonts w:eastAsia="Times New Roman"/>
          <w:color w:val="000000" w:themeColor="text1"/>
          <w:szCs w:val="21"/>
          <w14:textFill>
            <w14:solidFill>
              <w14:schemeClr w14:val="tx1"/>
            </w14:solidFill>
          </w14:textFill>
        </w:rPr>
        <w:t>2.2</w:t>
      </w:r>
      <w:r>
        <w:rPr>
          <w:color w:val="000000" w:themeColor="text1"/>
          <w:szCs w:val="21"/>
          <w14:textFill>
            <w14:solidFill>
              <w14:schemeClr w14:val="tx1"/>
            </w14:solidFill>
          </w14:textFill>
        </w:rPr>
        <w:t xml:space="preserve"> 款规定的量化因素和分值进行打分</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并计算出各投标人</w:t>
      </w:r>
      <w:r>
        <w:rPr>
          <w:rFonts w:hint="eastAsia"/>
          <w:color w:val="000000" w:themeColor="text1"/>
          <w:szCs w:val="21"/>
          <w14:textFill>
            <w14:solidFill>
              <w14:schemeClr w14:val="tx1"/>
            </w14:solidFill>
          </w14:textFill>
        </w:rPr>
        <w:t>的综合</w:t>
      </w:r>
      <w:r>
        <w:rPr>
          <w:color w:val="000000" w:themeColor="text1"/>
          <w:szCs w:val="21"/>
          <w14:textFill>
            <w14:solidFill>
              <w14:schemeClr w14:val="tx1"/>
            </w14:solidFill>
          </w14:textFill>
        </w:rPr>
        <w:t>得分。</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按本章第</w:t>
      </w:r>
      <w:r>
        <w:rPr>
          <w:rFonts w:eastAsia="Times New Roman"/>
          <w:color w:val="000000" w:themeColor="text1"/>
          <w:szCs w:val="21"/>
          <w14:textFill>
            <w14:solidFill>
              <w14:schemeClr w14:val="tx1"/>
            </w14:solidFill>
          </w14:textFill>
        </w:rPr>
        <w:t xml:space="preserve"> 2.2.4 </w:t>
      </w:r>
      <w:r>
        <w:rPr>
          <w:color w:val="000000" w:themeColor="text1"/>
          <w:szCs w:val="21"/>
          <w14:textFill>
            <w14:solidFill>
              <w14:schemeClr w14:val="tx1"/>
            </w14:solidFill>
          </w14:textFill>
        </w:rPr>
        <w:t>项</w:t>
      </w: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目规定的评审因素和分值对施工组织设计部分计算出得分 </w:t>
      </w:r>
      <w:r>
        <w:rPr>
          <w:rFonts w:eastAsia="Times New Roman"/>
          <w:color w:val="000000" w:themeColor="text1"/>
          <w:szCs w:val="21"/>
          <w14:textFill>
            <w14:solidFill>
              <w14:schemeClr w14:val="tx1"/>
            </w14:solidFill>
          </w14:textFill>
        </w:rPr>
        <w:t>A</w:t>
      </w:r>
      <w:r>
        <w:rPr>
          <w:rFonts w:ascii="MS PGothic" w:hAnsi="MS PGothic" w:eastAsia="MS PGothic" w:cs="MS PGothic"/>
          <w:color w:val="000000" w:themeColor="text1"/>
          <w:szCs w:val="21"/>
          <w14:textFill>
            <w14:solidFill>
              <w14:schemeClr w14:val="tx1"/>
            </w14:solidFill>
          </w14:textFill>
        </w:rPr>
        <w:t>；</w:t>
      </w:r>
    </w:p>
    <w:p>
      <w:pPr>
        <w:spacing w:line="440" w:lineRule="exact"/>
        <w:ind w:firstLine="440" w:firstLineChars="200"/>
        <w:rPr>
          <w:rFonts w:ascii="MS PGothic" w:hAnsi="MS PGothic" w:cs="MS PGothic"/>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按本章第</w:t>
      </w:r>
      <w:r>
        <w:rPr>
          <w:rFonts w:eastAsia="Times New Roman"/>
          <w:color w:val="000000" w:themeColor="text1"/>
          <w:szCs w:val="21"/>
          <w14:textFill>
            <w14:solidFill>
              <w14:schemeClr w14:val="tx1"/>
            </w14:solidFill>
          </w14:textFill>
        </w:rPr>
        <w:t xml:space="preserve"> 2.2.4 </w:t>
      </w:r>
      <w:r>
        <w:rPr>
          <w:color w:val="000000" w:themeColor="text1"/>
          <w:szCs w:val="21"/>
          <w14:textFill>
            <w14:solidFill>
              <w14:schemeClr w14:val="tx1"/>
            </w14:solidFill>
          </w14:textFill>
        </w:rPr>
        <w:t>项</w:t>
      </w: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目规定的评审因素和分值对主要人员部分计算出得分 </w:t>
      </w:r>
      <w:r>
        <w:rPr>
          <w:rFonts w:eastAsia="Times New Roman"/>
          <w:color w:val="000000" w:themeColor="text1"/>
          <w:szCs w:val="21"/>
          <w14:textFill>
            <w14:solidFill>
              <w14:schemeClr w14:val="tx1"/>
            </w14:solidFill>
          </w14:textFill>
        </w:rPr>
        <w:t>B</w:t>
      </w:r>
      <w:r>
        <w:rPr>
          <w:rFonts w:ascii="MS PGothic" w:hAnsi="MS PGothic" w:eastAsia="MS PGothic" w:cs="MS PGothic"/>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hint="eastAsia" w:ascii="MS PGothic" w:hAnsi="MS PGothic" w:cs="MS PGothic"/>
          <w:color w:val="000000" w:themeColor="text1"/>
          <w:szCs w:val="21"/>
          <w14:textFill>
            <w14:solidFill>
              <w14:schemeClr w14:val="tx1"/>
            </w14:solidFill>
          </w14:textFill>
        </w:rPr>
        <w:t>（3）</w:t>
      </w:r>
      <w:r>
        <w:rPr>
          <w:color w:val="000000" w:themeColor="text1"/>
          <w:szCs w:val="21"/>
          <w14:textFill>
            <w14:solidFill>
              <w14:schemeClr w14:val="tx1"/>
            </w14:solidFill>
          </w14:textFill>
        </w:rPr>
        <w:t xml:space="preserve">评标委员会按本章第 </w:t>
      </w:r>
      <w:r>
        <w:rPr>
          <w:rFonts w:eastAsia="Times New Roman"/>
          <w:color w:val="000000" w:themeColor="text1"/>
          <w:szCs w:val="21"/>
          <w14:textFill>
            <w14:solidFill>
              <w14:schemeClr w14:val="tx1"/>
            </w14:solidFill>
          </w14:textFill>
        </w:rPr>
        <w:t>2.2.4</w:t>
      </w: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目规定的评审因素和分值对评标价计算出得分 </w:t>
      </w:r>
      <w:r>
        <w:rPr>
          <w:rFonts w:eastAsia="Times New Roman"/>
          <w:color w:val="000000" w:themeColor="text1"/>
          <w:szCs w:val="21"/>
          <w14:textFill>
            <w14:solidFill>
              <w14:schemeClr w14:val="tx1"/>
            </w14:solidFill>
          </w14:textFill>
        </w:rPr>
        <w:t>C</w:t>
      </w:r>
      <w:r>
        <w:rPr>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按本章第</w:t>
      </w:r>
      <w:r>
        <w:rPr>
          <w:rFonts w:eastAsia="Times New Roman"/>
          <w:color w:val="000000" w:themeColor="text1"/>
          <w:szCs w:val="21"/>
          <w14:textFill>
            <w14:solidFill>
              <w14:schemeClr w14:val="tx1"/>
            </w14:solidFill>
          </w14:textFill>
        </w:rPr>
        <w:t xml:space="preserve"> 2.2.4 </w:t>
      </w:r>
      <w:r>
        <w:rPr>
          <w:color w:val="000000" w:themeColor="text1"/>
          <w:szCs w:val="21"/>
          <w14:textFill>
            <w14:solidFill>
              <w14:schemeClr w14:val="tx1"/>
            </w14:solidFill>
          </w14:textFill>
        </w:rPr>
        <w:t>项</w:t>
      </w: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4</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目规定的评审因素和分值对其他部分计算出得分</w:t>
      </w:r>
      <w:r>
        <w:rPr>
          <w:rFonts w:eastAsia="Times New Roman"/>
          <w:color w:val="000000" w:themeColor="text1"/>
          <w:szCs w:val="21"/>
          <w14:textFill>
            <w14:solidFill>
              <w14:schemeClr w14:val="tx1"/>
            </w14:solidFill>
          </w14:textFill>
        </w:rPr>
        <w:t xml:space="preserve"> D</w:t>
      </w:r>
      <w:r>
        <w:rPr>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 xml:space="preserve">3.2.2  </w:t>
      </w:r>
      <w:r>
        <w:rPr>
          <w:rFonts w:hint="eastAsia"/>
          <w:color w:val="000000" w:themeColor="text1"/>
          <w:szCs w:val="21"/>
          <w14:textFill>
            <w14:solidFill>
              <w14:schemeClr w14:val="tx1"/>
            </w14:solidFill>
          </w14:textFill>
        </w:rPr>
        <w:t>各项</w:t>
      </w:r>
      <w:r>
        <w:rPr>
          <w:color w:val="000000" w:themeColor="text1"/>
          <w:szCs w:val="21"/>
          <w14:textFill>
            <w14:solidFill>
              <w14:schemeClr w14:val="tx1"/>
            </w14:solidFill>
          </w14:textFill>
        </w:rPr>
        <w:t>得分分值计算保留小数点后两位</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小数点后第三位</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四舍五入</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w:t>
      </w:r>
    </w:p>
    <w:p>
      <w:pPr>
        <w:spacing w:line="440" w:lineRule="exact"/>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3.2.4</w:t>
      </w:r>
      <w:r>
        <w:rPr>
          <w:color w:val="000000" w:themeColor="text1"/>
          <w:szCs w:val="21"/>
          <w14:textFill>
            <w14:solidFill>
              <w14:schemeClr w14:val="tx1"/>
            </w14:solidFill>
          </w14:textFill>
        </w:rPr>
        <w:t>投标人综合得分</w:t>
      </w:r>
      <w:r>
        <w:rPr>
          <w:rFonts w:eastAsia="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A+B</w:t>
      </w:r>
      <w:r>
        <w:rPr>
          <w:rFonts w:eastAsia="Times New Roman"/>
          <w:color w:val="000000" w:themeColor="text1"/>
          <w:szCs w:val="21"/>
          <w14:textFill>
            <w14:solidFill>
              <w14:schemeClr w14:val="tx1"/>
            </w14:solidFill>
          </w14:textFill>
        </w:rPr>
        <w:t>+C</w:t>
      </w:r>
      <w:r>
        <w:rPr>
          <w:rFonts w:hint="eastAsia"/>
          <w:color w:val="000000" w:themeColor="text1"/>
          <w:szCs w:val="21"/>
          <w14:textFill>
            <w14:solidFill>
              <w14:schemeClr w14:val="tx1"/>
            </w14:solidFill>
          </w14:textFill>
        </w:rPr>
        <w:t>+D</w:t>
      </w:r>
      <w:r>
        <w:rPr>
          <w:color w:val="000000" w:themeColor="text1"/>
          <w:szCs w:val="21"/>
          <w14:textFill>
            <w14:solidFill>
              <w14:schemeClr w14:val="tx1"/>
            </w14:solidFill>
          </w14:textFill>
        </w:rPr>
        <w:t>。</w:t>
      </w:r>
    </w:p>
    <w:p>
      <w:pPr>
        <w:widowControl/>
        <w:tabs>
          <w:tab w:val="left" w:pos="1080"/>
        </w:tabs>
        <w:autoSpaceDE/>
        <w:autoSpaceDN/>
        <w:spacing w:line="440" w:lineRule="exact"/>
        <w:ind w:firstLine="550" w:firstLineChars="2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3.2.5</w:t>
      </w:r>
      <w:r>
        <w:rPr>
          <w:color w:val="000000" w:themeColor="text1"/>
          <w:szCs w:val="21"/>
          <w14:textFill>
            <w14:solidFill>
              <w14:schemeClr w14:val="tx1"/>
            </w14:solidFill>
          </w14:textFill>
        </w:rPr>
        <w:t>评标委员会发现投标人的报价明显低于其他投标报价</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使得其投标报价可能低于其个别成本的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应要求该投标人作出书面说明并提供相应的证明材料。投标 人不能合理说明或不能提供相应证明材料的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评标委员会应认定该投标人以低于成 本报价竞标</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并否决其投标。</w:t>
      </w:r>
    </w:p>
    <w:p>
      <w:pPr>
        <w:pStyle w:val="14"/>
        <w:autoSpaceDE/>
        <w:autoSpaceDN/>
        <w:spacing w:line="440" w:lineRule="exact"/>
        <w:ind w:left="1200" w:firstLine="0"/>
        <w:jc w:val="both"/>
        <w:rPr>
          <w:color w:val="000000" w:themeColor="text1"/>
          <w:szCs w:val="21"/>
          <w14:textFill>
            <w14:solidFill>
              <w14:schemeClr w14:val="tx1"/>
            </w14:solidFill>
          </w14:textFill>
        </w:rPr>
      </w:pPr>
    </w:p>
    <w:p>
      <w:pPr>
        <w:widowControl/>
        <w:tabs>
          <w:tab w:val="left" w:pos="480"/>
        </w:tabs>
        <w:autoSpaceDE/>
        <w:autoSpaceDN/>
        <w:spacing w:line="440" w:lineRule="exact"/>
        <w:jc w:val="both"/>
        <w:rPr>
          <w:rFonts w:ascii="黑体" w:hAnsi="黑体" w:eastAsia="黑体" w:cs="黑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3.3</w:t>
      </w:r>
      <w:r>
        <w:rPr>
          <w:b/>
          <w:color w:val="000000" w:themeColor="text1"/>
          <w:sz w:val="28"/>
          <w:szCs w:val="28"/>
          <w14:textFill>
            <w14:solidFill>
              <w14:schemeClr w14:val="tx1"/>
            </w14:solidFill>
          </w14:textFill>
        </w:rPr>
        <w:t>投标文件相关信息的核查</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3</w:t>
      </w:r>
      <w:r>
        <w:rPr>
          <w:rFonts w:eastAsia="Times New Roman"/>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1</w:t>
      </w:r>
      <w:r>
        <w:rPr>
          <w:rFonts w:eastAsia="Times New Roman"/>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评标委员会应对在评标过程中发现的投标人与投标人之间、投标人与招标</w:t>
      </w:r>
    </w:p>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人之间存在的串通投标的情形进行评审和认定。投标人存在串通投标、弄虚作假、</w:t>
      </w:r>
    </w:p>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行贿等违法行为的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评标委员会应否决其投标。</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1</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有下列情形之一的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属于投标人相互串通投标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投标人之间协商投标报价等投标文件的实质性内容</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b.</w:t>
      </w:r>
      <w:r>
        <w:rPr>
          <w:color w:val="000000" w:themeColor="text1"/>
          <w:szCs w:val="21"/>
          <w14:textFill>
            <w14:solidFill>
              <w14:schemeClr w14:val="tx1"/>
            </w14:solidFill>
          </w14:textFill>
        </w:rPr>
        <w:t>投标人之间约定中标人</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c.</w:t>
      </w:r>
      <w:r>
        <w:rPr>
          <w:color w:val="000000" w:themeColor="text1"/>
          <w:szCs w:val="21"/>
          <w14:textFill>
            <w14:solidFill>
              <w14:schemeClr w14:val="tx1"/>
            </w14:solidFill>
          </w14:textFill>
        </w:rPr>
        <w:t>投标人之间约定部分投标人放弃投标或中标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d.</w:t>
      </w:r>
      <w:r>
        <w:rPr>
          <w:color w:val="000000" w:themeColor="text1"/>
          <w:szCs w:val="21"/>
          <w14:textFill>
            <w14:solidFill>
              <w14:schemeClr w14:val="tx1"/>
            </w14:solidFill>
          </w14:textFill>
        </w:rPr>
        <w:t>属于同一集团、协会、商会等组织成员的投标人按照该组织要求协同投标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e.</w:t>
      </w:r>
      <w:r>
        <w:rPr>
          <w:color w:val="000000" w:themeColor="text1"/>
          <w:szCs w:val="21"/>
          <w14:textFill>
            <w14:solidFill>
              <w14:schemeClr w14:val="tx1"/>
            </w14:solidFill>
          </w14:textFill>
        </w:rPr>
        <w:t>投标人之间为谋取中标或排斥特定投标人而采取的其他联合行动。</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2</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有下列情形之一的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视为投标人相互串通投标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不同投标人的投标文件由同一单位或个人编制</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b.</w:t>
      </w:r>
      <w:r>
        <w:rPr>
          <w:color w:val="000000" w:themeColor="text1"/>
          <w:szCs w:val="21"/>
          <w14:textFill>
            <w14:solidFill>
              <w14:schemeClr w14:val="tx1"/>
            </w14:solidFill>
          </w14:textFill>
        </w:rPr>
        <w:t>不同投标人委托同一单位或个人办理投标事宜</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c.</w:t>
      </w:r>
      <w:r>
        <w:rPr>
          <w:color w:val="000000" w:themeColor="text1"/>
          <w:szCs w:val="21"/>
          <w14:textFill>
            <w14:solidFill>
              <w14:schemeClr w14:val="tx1"/>
            </w14:solidFill>
          </w14:textFill>
        </w:rPr>
        <w:t>不同投标人的投标文件载明的项目管理成员为同一人</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d.</w:t>
      </w:r>
      <w:r>
        <w:rPr>
          <w:color w:val="000000" w:themeColor="text1"/>
          <w:szCs w:val="21"/>
          <w14:textFill>
            <w14:solidFill>
              <w14:schemeClr w14:val="tx1"/>
            </w14:solidFill>
          </w14:textFill>
        </w:rPr>
        <w:t>不同投标人的投标文件异常一致或投标报价呈规律性差异</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e.</w:t>
      </w:r>
      <w:r>
        <w:rPr>
          <w:color w:val="000000" w:themeColor="text1"/>
          <w:szCs w:val="21"/>
          <w14:textFill>
            <w14:solidFill>
              <w14:schemeClr w14:val="tx1"/>
            </w14:solidFill>
          </w14:textFill>
        </w:rPr>
        <w:t>不同投标人的投标文件相互混装</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f.</w:t>
      </w:r>
      <w:r>
        <w:rPr>
          <w:color w:val="000000" w:themeColor="text1"/>
          <w:szCs w:val="21"/>
          <w14:textFill>
            <w14:solidFill>
              <w14:schemeClr w14:val="tx1"/>
            </w14:solidFill>
          </w14:textFill>
        </w:rPr>
        <w:t>不同投标人的投标保证金从同一单位或个人的账户转出。</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3</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有下列情形之一的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属于招标人与投标人串通投标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招标人在开标前开启投标文件并将有关信息泄露给其他投标人</w:t>
      </w:r>
      <w:r>
        <w:rPr>
          <w:rFonts w:eastAsia="Times New Roman"/>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b.</w:t>
      </w:r>
      <w:r>
        <w:rPr>
          <w:color w:val="000000" w:themeColor="text1"/>
          <w:szCs w:val="21"/>
          <w14:textFill>
            <w14:solidFill>
              <w14:schemeClr w14:val="tx1"/>
            </w14:solidFill>
          </w14:textFill>
        </w:rPr>
        <w:t>招标人直接或间接向投标人泄露标底、评标委员会成员等信息</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c.</w:t>
      </w:r>
      <w:r>
        <w:rPr>
          <w:color w:val="000000" w:themeColor="text1"/>
          <w:szCs w:val="21"/>
          <w14:textFill>
            <w14:solidFill>
              <w14:schemeClr w14:val="tx1"/>
            </w14:solidFill>
          </w14:textFill>
        </w:rPr>
        <w:t>招标人明示或暗示投标人压低或抬高投标报价</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d.</w:t>
      </w:r>
      <w:r>
        <w:rPr>
          <w:color w:val="000000" w:themeColor="text1"/>
          <w:szCs w:val="21"/>
          <w14:textFill>
            <w14:solidFill>
              <w14:schemeClr w14:val="tx1"/>
            </w14:solidFill>
          </w14:textFill>
        </w:rPr>
        <w:t>招标人授意投标人撤换、修改投标文件</w:t>
      </w: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e.</w:t>
      </w:r>
      <w:r>
        <w:rPr>
          <w:color w:val="000000" w:themeColor="text1"/>
          <w:szCs w:val="21"/>
          <w14:textFill>
            <w14:solidFill>
              <w14:schemeClr w14:val="tx1"/>
            </w14:solidFill>
          </w14:textFill>
        </w:rPr>
        <w:t>招标人明示或暗示投标人为特定投标人中标提供方便</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f.</w:t>
      </w:r>
      <w:r>
        <w:rPr>
          <w:color w:val="000000" w:themeColor="text1"/>
          <w:szCs w:val="21"/>
          <w14:textFill>
            <w14:solidFill>
              <w14:schemeClr w14:val="tx1"/>
            </w14:solidFill>
          </w14:textFill>
        </w:rPr>
        <w:t>招标人与投标人为谋求特定投标人中标而采取的其他串通行为。</w:t>
      </w:r>
    </w:p>
    <w:p>
      <w:pPr>
        <w:spacing w:line="440" w:lineRule="exact"/>
        <w:ind w:left="480"/>
        <w:rPr>
          <w:color w:val="000000" w:themeColor="text1"/>
          <w:szCs w:val="21"/>
          <w14:textFill>
            <w14:solidFill>
              <w14:schemeClr w14:val="tx1"/>
            </w14:solidFill>
          </w14:textFill>
        </w:rPr>
      </w:pPr>
      <w:r>
        <w:rPr>
          <w:rFonts w:ascii="MS PGothic" w:hAnsi="MS PGothic" w:eastAsia="MS PGothic" w:cs="MS PGothic"/>
          <w:color w:val="000000" w:themeColor="text1"/>
          <w:szCs w:val="21"/>
          <w14:textFill>
            <w14:solidFill>
              <w14:schemeClr w14:val="tx1"/>
            </w14:solidFill>
          </w14:textFill>
        </w:rPr>
        <w:t>（</w:t>
      </w:r>
      <w:r>
        <w:rPr>
          <w:rFonts w:eastAsia="Times New Roman"/>
          <w:color w:val="000000" w:themeColor="text1"/>
          <w:szCs w:val="21"/>
          <w14:textFill>
            <w14:solidFill>
              <w14:schemeClr w14:val="tx1"/>
            </w14:solidFill>
          </w14:textFill>
        </w:rPr>
        <w:t>4</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投标人有下列情形之一的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属于弄虚作假的行为</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a.</w:t>
      </w:r>
      <w:r>
        <w:rPr>
          <w:color w:val="000000" w:themeColor="text1"/>
          <w:szCs w:val="21"/>
          <w14:textFill>
            <w14:solidFill>
              <w14:schemeClr w14:val="tx1"/>
            </w14:solidFill>
          </w14:textFill>
        </w:rPr>
        <w:t>使用通过受让或租借等方式获取的资格、资质证书投标</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b.</w:t>
      </w:r>
      <w:r>
        <w:rPr>
          <w:color w:val="000000" w:themeColor="text1"/>
          <w:szCs w:val="21"/>
          <w14:textFill>
            <w14:solidFill>
              <w14:schemeClr w14:val="tx1"/>
            </w14:solidFill>
          </w14:textFill>
        </w:rPr>
        <w:t>使用伪造、变造的许可证件</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c.</w:t>
      </w:r>
      <w:r>
        <w:rPr>
          <w:color w:val="000000" w:themeColor="text1"/>
          <w:szCs w:val="21"/>
          <w14:textFill>
            <w14:solidFill>
              <w14:schemeClr w14:val="tx1"/>
            </w14:solidFill>
          </w14:textFill>
        </w:rPr>
        <w:t>提供虚假的财务状况或业绩</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d.</w:t>
      </w:r>
      <w:r>
        <w:rPr>
          <w:color w:val="000000" w:themeColor="text1"/>
          <w:szCs w:val="21"/>
          <w14:textFill>
            <w14:solidFill>
              <w14:schemeClr w14:val="tx1"/>
            </w14:solidFill>
          </w14:textFill>
        </w:rPr>
        <w:t>提供虚假的项目负责人或主要技术人员简历、劳动关系证明</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e.</w:t>
      </w:r>
      <w:r>
        <w:rPr>
          <w:color w:val="000000" w:themeColor="text1"/>
          <w:szCs w:val="21"/>
          <w14:textFill>
            <w14:solidFill>
              <w14:schemeClr w14:val="tx1"/>
            </w14:solidFill>
          </w14:textFill>
        </w:rPr>
        <w:t>提供虚假的信用状况</w:t>
      </w:r>
      <w:r>
        <w:rPr>
          <w:rFonts w:ascii="MS PGothic" w:hAnsi="MS PGothic" w:eastAsia="MS PGothic" w:cs="MS PGothic"/>
          <w:color w:val="000000" w:themeColor="text1"/>
          <w:szCs w:val="21"/>
          <w14:textFill>
            <w14:solidFill>
              <w14:schemeClr w14:val="tx1"/>
            </w14:solidFill>
          </w14:textFill>
        </w:rPr>
        <w:t>；</w:t>
      </w:r>
    </w:p>
    <w:p>
      <w:pPr>
        <w:spacing w:line="440" w:lineRule="exact"/>
        <w:ind w:left="480"/>
        <w:rPr>
          <w:color w:val="000000" w:themeColor="text1"/>
          <w:szCs w:val="21"/>
          <w14:textFill>
            <w14:solidFill>
              <w14:schemeClr w14:val="tx1"/>
            </w14:solidFill>
          </w14:textFill>
        </w:rPr>
      </w:pPr>
      <w:r>
        <w:rPr>
          <w:rFonts w:eastAsia="Times New Roman"/>
          <w:color w:val="000000" w:themeColor="text1"/>
          <w:szCs w:val="21"/>
          <w14:textFill>
            <w14:solidFill>
              <w14:schemeClr w14:val="tx1"/>
            </w14:solidFill>
          </w14:textFill>
        </w:rPr>
        <w:t>f.</w:t>
      </w:r>
      <w:r>
        <w:rPr>
          <w:color w:val="000000" w:themeColor="text1"/>
          <w:szCs w:val="21"/>
          <w14:textFill>
            <w14:solidFill>
              <w14:schemeClr w14:val="tx1"/>
            </w14:solidFill>
          </w14:textFill>
        </w:rPr>
        <w:t>其他弄虚作假的行为。</w:t>
      </w:r>
    </w:p>
    <w:p>
      <w:pPr>
        <w:widowControl/>
        <w:tabs>
          <w:tab w:val="left" w:pos="480"/>
        </w:tabs>
        <w:autoSpaceDE/>
        <w:autoSpaceDN/>
        <w:spacing w:line="440" w:lineRule="exact"/>
        <w:jc w:val="both"/>
        <w:rPr>
          <w:rFonts w:ascii="黑体" w:hAnsi="黑体" w:eastAsia="黑体" w:cs="黑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3.4</w:t>
      </w:r>
      <w:r>
        <w:rPr>
          <w:b/>
          <w:color w:val="000000" w:themeColor="text1"/>
          <w:sz w:val="28"/>
          <w:szCs w:val="28"/>
          <w14:textFill>
            <w14:solidFill>
              <w14:schemeClr w14:val="tx1"/>
            </w14:solidFill>
          </w14:textFill>
        </w:rPr>
        <w:t>投标文件的澄清和说明</w:t>
      </w:r>
    </w:p>
    <w:p>
      <w:pPr>
        <w:widowControl/>
        <w:tabs>
          <w:tab w:val="left" w:pos="1080"/>
        </w:tabs>
        <w:autoSpaceDE/>
        <w:autoSpaceDN/>
        <w:spacing w:line="440" w:lineRule="exact"/>
        <w:ind w:right="120" w:firstLine="44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3.4.1</w:t>
      </w:r>
      <w:r>
        <w:rPr>
          <w:color w:val="000000" w:themeColor="text1"/>
          <w:szCs w:val="21"/>
          <w14:textFill>
            <w14:solidFill>
              <w14:schemeClr w14:val="tx1"/>
            </w14:solidFill>
          </w14:textFill>
        </w:rPr>
        <w:t>在评标过程中</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评标委员会可以书面形式要求投标人对投标文件中含义不 明确的内容、明显文字或计算错误进行书面澄清或说明。评标委员会不接受投标人 主动提出的澄清、说明。投标人不按评标委员会要求澄清或说明的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评标委员会应 否决其投标。</w:t>
      </w:r>
    </w:p>
    <w:p>
      <w:pPr>
        <w:widowControl/>
        <w:tabs>
          <w:tab w:val="left" w:pos="1080"/>
        </w:tabs>
        <w:autoSpaceDE/>
        <w:autoSpaceDN/>
        <w:spacing w:line="440" w:lineRule="exact"/>
        <w:ind w:right="120" w:firstLine="44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3.4.2</w:t>
      </w:r>
      <w:r>
        <w:rPr>
          <w:color w:val="000000" w:themeColor="text1"/>
          <w:szCs w:val="21"/>
          <w14:textFill>
            <w14:solidFill>
              <w14:schemeClr w14:val="tx1"/>
            </w14:solidFill>
          </w14:textFill>
        </w:rPr>
        <w:t>澄清和说明不得超出投标文件的范围或改变投标文件的实质性内容</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算术 性错误的修正除外</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。投标人的书面澄清、说明属于投标文件的组成部分。</w:t>
      </w:r>
    </w:p>
    <w:p>
      <w:pPr>
        <w:widowControl/>
        <w:tabs>
          <w:tab w:val="left" w:pos="1080"/>
        </w:tabs>
        <w:autoSpaceDE/>
        <w:autoSpaceDN/>
        <w:spacing w:line="440" w:lineRule="exact"/>
        <w:ind w:firstLine="440" w:firstLineChars="2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3.4.3</w:t>
      </w:r>
      <w:r>
        <w:rPr>
          <w:color w:val="000000" w:themeColor="text1"/>
          <w:szCs w:val="21"/>
          <w14:textFill>
            <w14:solidFill>
              <w14:schemeClr w14:val="tx1"/>
            </w14:solidFill>
          </w14:textFill>
        </w:rPr>
        <w:t>评标委员会不得暗示或诱导投标人作出澄清、说明</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对投标人提交的澄清、 说明有疑问的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可以要求投标人进一步澄清或说明</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直至满足评标委员会的要求。</w:t>
      </w:r>
    </w:p>
    <w:p>
      <w:pPr>
        <w:widowControl/>
        <w:tabs>
          <w:tab w:val="left" w:pos="1080"/>
        </w:tabs>
        <w:spacing w:line="440" w:lineRule="exact"/>
        <w:ind w:firstLine="440" w:firstLineChars="200"/>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3.4.4</w:t>
      </w:r>
      <w:r>
        <w:rPr>
          <w:color w:val="000000" w:themeColor="text1"/>
          <w:szCs w:val="21"/>
          <w14:textFill>
            <w14:solidFill>
              <w14:schemeClr w14:val="tx1"/>
            </w14:solidFill>
          </w14:textFill>
        </w:rPr>
        <w:t>凡超出招标文件规定的或给发包人带来未曾要求的利益的变化、偏差或其他因素在评标时不予考虑。</w:t>
      </w:r>
    </w:p>
    <w:p>
      <w:pPr>
        <w:widowControl/>
        <w:tabs>
          <w:tab w:val="left" w:pos="480"/>
        </w:tabs>
        <w:autoSpaceDE/>
        <w:autoSpaceDN/>
        <w:spacing w:line="440" w:lineRule="exact"/>
        <w:jc w:val="both"/>
        <w:rPr>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3.5</w:t>
      </w:r>
      <w:r>
        <w:rPr>
          <w:b/>
          <w:color w:val="000000" w:themeColor="text1"/>
          <w:sz w:val="28"/>
          <w:szCs w:val="28"/>
          <w14:textFill>
            <w14:solidFill>
              <w14:schemeClr w14:val="tx1"/>
            </w14:solidFill>
          </w14:textFill>
        </w:rPr>
        <w:t>不得否决投标的情形</w:t>
      </w:r>
    </w:p>
    <w:p>
      <w:pPr>
        <w:spacing w:line="440" w:lineRule="exact"/>
        <w:ind w:left="4" w:firstLine="440" w:firstLineChars="200"/>
        <w:rPr>
          <w:color w:val="000000" w:themeColor="text1"/>
          <w:szCs w:val="21"/>
          <w14:textFill>
            <w14:solidFill>
              <w14:schemeClr w14:val="tx1"/>
            </w14:solidFill>
          </w14:textFill>
        </w:rPr>
      </w:pPr>
      <w:r>
        <w:rPr>
          <w:color w:val="000000" w:themeColor="text1"/>
          <w:szCs w:val="21"/>
          <w14:textFill>
            <w14:solidFill>
              <w14:schemeClr w14:val="tx1"/>
            </w14:solidFill>
          </w14:textFill>
        </w:rPr>
        <w:t>投标文件存在第二章</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第 </w:t>
      </w:r>
      <w:r>
        <w:rPr>
          <w:rFonts w:eastAsia="Times New Roman"/>
          <w:color w:val="000000" w:themeColor="text1"/>
          <w:szCs w:val="21"/>
          <w14:textFill>
            <w14:solidFill>
              <w14:schemeClr w14:val="tx1"/>
            </w14:solidFill>
          </w14:textFill>
        </w:rPr>
        <w:t>1.12.3</w:t>
      </w:r>
      <w:r>
        <w:rPr>
          <w:color w:val="000000" w:themeColor="text1"/>
          <w:szCs w:val="21"/>
          <w14:textFill>
            <w14:solidFill>
              <w14:schemeClr w14:val="tx1"/>
            </w14:solidFill>
          </w14:textFill>
        </w:rPr>
        <w:t xml:space="preserve"> 项所列情形的</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均视为细微偏差</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评标委员会不得否决投标人的投标</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应按照第二章</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 xml:space="preserve">第 </w:t>
      </w:r>
      <w:r>
        <w:rPr>
          <w:rFonts w:eastAsia="Times New Roman"/>
          <w:color w:val="000000" w:themeColor="text1"/>
          <w:szCs w:val="21"/>
          <w14:textFill>
            <w14:solidFill>
              <w14:schemeClr w14:val="tx1"/>
            </w14:solidFill>
          </w14:textFill>
        </w:rPr>
        <w:t>1.12.4</w:t>
      </w:r>
      <w:r>
        <w:rPr>
          <w:color w:val="000000" w:themeColor="text1"/>
          <w:szCs w:val="21"/>
          <w14:textFill>
            <w14:solidFill>
              <w14:schemeClr w14:val="tx1"/>
            </w14:solidFill>
          </w14:textFill>
        </w:rPr>
        <w:t xml:space="preserve"> 项规定的原则处理。</w:t>
      </w:r>
    </w:p>
    <w:p>
      <w:pPr>
        <w:widowControl/>
        <w:tabs>
          <w:tab w:val="left" w:pos="480"/>
        </w:tabs>
        <w:autoSpaceDE/>
        <w:autoSpaceDN/>
        <w:spacing w:line="440" w:lineRule="exact"/>
        <w:jc w:val="both"/>
        <w:rPr>
          <w:rFonts w:ascii="黑体" w:hAnsi="黑体" w:eastAsia="黑体" w:cs="黑体"/>
          <w:b/>
          <w:color w:val="000000" w:themeColor="text1"/>
          <w:sz w:val="28"/>
          <w:szCs w:val="28"/>
          <w14:textFill>
            <w14:solidFill>
              <w14:schemeClr w14:val="tx1"/>
            </w14:solidFill>
          </w14:textFill>
        </w:rPr>
      </w:pPr>
      <w:r>
        <w:rPr>
          <w:rFonts w:hint="eastAsia"/>
          <w:b/>
          <w:color w:val="000000" w:themeColor="text1"/>
          <w:sz w:val="28"/>
          <w:szCs w:val="28"/>
          <w14:textFill>
            <w14:solidFill>
              <w14:schemeClr w14:val="tx1"/>
            </w14:solidFill>
          </w14:textFill>
        </w:rPr>
        <w:t>3.6</w:t>
      </w:r>
      <w:r>
        <w:rPr>
          <w:b/>
          <w:color w:val="000000" w:themeColor="text1"/>
          <w:sz w:val="28"/>
          <w:szCs w:val="28"/>
          <w14:textFill>
            <w14:solidFill>
              <w14:schemeClr w14:val="tx1"/>
            </w14:solidFill>
          </w14:textFill>
        </w:rPr>
        <w:t>评标结果</w:t>
      </w:r>
    </w:p>
    <w:p>
      <w:pPr>
        <w:widowControl/>
        <w:tabs>
          <w:tab w:val="left" w:pos="1080"/>
        </w:tabs>
        <w:autoSpaceDE/>
        <w:autoSpaceDN/>
        <w:spacing w:line="440" w:lineRule="exact"/>
        <w:ind w:right="120" w:firstLine="550" w:firstLineChars="25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3.6.1</w:t>
      </w:r>
      <w:r>
        <w:rPr>
          <w:color w:val="000000" w:themeColor="text1"/>
          <w:szCs w:val="21"/>
          <w14:textFill>
            <w14:solidFill>
              <w14:schemeClr w14:val="tx1"/>
            </w14:solidFill>
          </w14:textFill>
        </w:rPr>
        <w:t>除第二章</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投标人须知</w:t>
      </w:r>
      <w:r>
        <w:rPr>
          <w:rFonts w:eastAsia="Times New Roman"/>
          <w:color w:val="000000" w:themeColor="text1"/>
          <w:szCs w:val="21"/>
          <w14:textFill>
            <w14:solidFill>
              <w14:schemeClr w14:val="tx1"/>
            </w14:solidFill>
          </w14:textFill>
        </w:rPr>
        <w:t>”</w:t>
      </w:r>
      <w:r>
        <w:rPr>
          <w:color w:val="000000" w:themeColor="text1"/>
          <w:szCs w:val="21"/>
          <w14:textFill>
            <w14:solidFill>
              <w14:schemeClr w14:val="tx1"/>
            </w14:solidFill>
          </w14:textFill>
        </w:rPr>
        <w:t>前附表授权直接确定中标人外</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评标委员会按照得分由高到低的顺序推荐中标候选人</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并标明排序。</w:t>
      </w:r>
    </w:p>
    <w:p>
      <w:pPr>
        <w:widowControl/>
        <w:tabs>
          <w:tab w:val="left" w:pos="1080"/>
        </w:tabs>
        <w:autoSpaceDE/>
        <w:autoSpaceDN/>
        <w:spacing w:line="440" w:lineRule="exact"/>
        <w:ind w:firstLine="660" w:firstLineChars="300"/>
        <w:jc w:val="both"/>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3.6.2</w:t>
      </w:r>
      <w:r>
        <w:rPr>
          <w:color w:val="000000" w:themeColor="text1"/>
          <w:szCs w:val="21"/>
          <w14:textFill>
            <w14:solidFill>
              <w14:schemeClr w14:val="tx1"/>
            </w14:solidFill>
          </w14:textFill>
        </w:rPr>
        <w:t>评标委员会完成评标后</w:t>
      </w:r>
      <w:r>
        <w:rPr>
          <w:rFonts w:ascii="MS PGothic" w:hAnsi="MS PGothic" w:eastAsia="MS PGothic" w:cs="MS PGothic"/>
          <w:color w:val="000000" w:themeColor="text1"/>
          <w:szCs w:val="21"/>
          <w14:textFill>
            <w14:solidFill>
              <w14:schemeClr w14:val="tx1"/>
            </w14:solidFill>
          </w14:textFill>
        </w:rPr>
        <w:t>，</w:t>
      </w:r>
      <w:r>
        <w:rPr>
          <w:color w:val="000000" w:themeColor="text1"/>
          <w:szCs w:val="21"/>
          <w14:textFill>
            <w14:solidFill>
              <w14:schemeClr w14:val="tx1"/>
            </w14:solidFill>
          </w14:textFill>
        </w:rPr>
        <w:t>应向招标人提交书面评标报告。</w:t>
      </w:r>
    </w:p>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1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t xml:space="preserve">第 </w:t>
                          </w:r>
                          <w:r>
                            <w:fldChar w:fldCharType="begin"/>
                          </w:r>
                          <w:r>
                            <w:instrText xml:space="preserve"> PAGE  \* MERGEFORMAT </w:instrText>
                          </w:r>
                          <w:r>
                            <w:fldChar w:fldCharType="separate"/>
                          </w:r>
                          <w:r>
                            <w:rPr>
                              <w:lang w:val="en-US"/>
                            </w:rPr>
                            <w:t>50</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132</w:t>
                          </w:r>
                          <w:r>
                            <w:rPr>
                              <w:lang w:val="en-US"/>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4"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MoFBpugEAAFcDAAAOAAAAAAAAAAEAIAAAAB4BAABkcnMvZTJvRG9jLnhtbFBLBQYAAAAABgAG&#10;AFkBAABKBQAAAAA=&#10;">
              <v:fill on="f" focussize="0,0"/>
              <v:stroke on="f"/>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rPr>
                        <w:lang w:val="en-US"/>
                      </w:rPr>
                      <w:t>50</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132</w:t>
                    </w:r>
                    <w:r>
                      <w:rPr>
                        <w:lang w:val="en-US"/>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2" name="文本框 1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t xml:space="preserve">第 </w:t>
                          </w:r>
                          <w:r>
                            <w:fldChar w:fldCharType="begin"/>
                          </w:r>
                          <w:r>
                            <w:instrText xml:space="preserve"> PAGE  \* MERGEFORMAT </w:instrText>
                          </w:r>
                          <w:r>
                            <w:fldChar w:fldCharType="separate"/>
                          </w:r>
                          <w:r>
                            <w:rPr>
                              <w:lang w:val="en-US"/>
                            </w:rPr>
                            <w:t>80</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132</w:t>
                          </w:r>
                          <w:r>
                            <w:rPr>
                              <w:lang w:val="en-US"/>
                            </w:rPr>
                            <w:fldChar w:fldCharType="end"/>
                          </w:r>
                          <w:r>
                            <w:rPr>
                              <w:rFonts w:hint="eastAsia"/>
                            </w:rPr>
                            <w:t xml:space="preserve"> 页</w:t>
                          </w:r>
                        </w:p>
                      </w:txbxContent>
                    </wps:txbx>
                    <wps:bodyPr wrap="none" lIns="0" tIns="0" rIns="0" bIns="0" upright="1">
                      <a:spAutoFit/>
                    </wps:bodyPr>
                  </wps:wsp>
                </a:graphicData>
              </a:graphic>
            </wp:anchor>
          </w:drawing>
        </mc:Choice>
        <mc:Fallback>
          <w:pict>
            <v:shape id="文本框 105"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B3kRcLugEAAFcDAAAOAAAAAAAAAAEAIAAAAB4BAABkcnMvZTJvRG9jLnhtbFBLBQYAAAAABgAG&#10;AFkBAABKBQAAAAA=&#10;">
              <v:fill on="f" focussize="0,0"/>
              <v:stroke on="f"/>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rPr>
                        <w:lang w:val="en-US"/>
                      </w:rPr>
                      <w:t>80</w:t>
                    </w:r>
                    <w:r>
                      <w:rPr>
                        <w:lang w:val="en-US"/>
                      </w:rPr>
                      <w:fldChar w:fldCharType="end"/>
                    </w:r>
                    <w:r>
                      <w:rPr>
                        <w:rFonts w:hint="eastAsia"/>
                      </w:rPr>
                      <w:t xml:space="preserve"> 页 共 </w:t>
                    </w:r>
                    <w:r>
                      <w:fldChar w:fldCharType="begin"/>
                    </w:r>
                    <w:r>
                      <w:instrText xml:space="preserve"> NUMPAGES  \* MERGEFORMAT </w:instrText>
                    </w:r>
                    <w:r>
                      <w:fldChar w:fldCharType="separate"/>
                    </w:r>
                    <w:r>
                      <w:rPr>
                        <w:lang w:val="en-US"/>
                      </w:rPr>
                      <w:t>132</w:t>
                    </w:r>
                    <w:r>
                      <w:rPr>
                        <w:lang w:val="en-US"/>
                      </w:rPr>
                      <w:fldChar w:fldCharType="end"/>
                    </w:r>
                    <w:r>
                      <w:rPr>
                        <w:rFonts w:hint="eastAsia"/>
                      </w:rP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116</w:t>
                          </w:r>
                          <w:r>
                            <w:fldChar w:fldCharType="end"/>
                          </w:r>
                          <w:r>
                            <w:rPr>
                              <w:rFonts w:hint="eastAsia"/>
                            </w:rPr>
                            <w:t xml:space="preserve"> 页</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fill on="f" focussize="0,0"/>
              <v:stroke on="f"/>
              <v:imagedata o:title=""/>
              <o:lock v:ext="edit" aspectratio="f"/>
              <v:textbox inset="0mm,0mm,0mm,0mm" style="mso-fit-shape-to-text:t;">
                <w:txbxContent>
                  <w:p>
                    <w:pPr>
                      <w:pStyle w:val="6"/>
                    </w:pPr>
                    <w:r>
                      <w:rPr>
                        <w:rFonts w:hint="eastAsia"/>
                      </w:rPr>
                      <w:t xml:space="preserve">第 </w:t>
                    </w:r>
                    <w:r>
                      <w:fldChar w:fldCharType="begin"/>
                    </w:r>
                    <w:r>
                      <w:instrText xml:space="preserve"> PAGE  \* MERGEFORMAT </w:instrText>
                    </w:r>
                    <w:r>
                      <w:fldChar w:fldCharType="separate"/>
                    </w:r>
                    <w:r>
                      <w:t>47</w:t>
                    </w:r>
                    <w:r>
                      <w:fldChar w:fldCharType="end"/>
                    </w:r>
                    <w:r>
                      <w:rPr>
                        <w:rFonts w:hint="eastAsia"/>
                      </w:rPr>
                      <w:t xml:space="preserve"> 页 共 </w:t>
                    </w:r>
                    <w:r>
                      <w:fldChar w:fldCharType="begin"/>
                    </w:r>
                    <w:r>
                      <w:instrText xml:space="preserve"> NUMPAGES  \* MERGEFORMAT </w:instrText>
                    </w:r>
                    <w:r>
                      <w:fldChar w:fldCharType="separate"/>
                    </w:r>
                    <w:r>
                      <w:t>116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48000" behindDoc="1" locked="0" layoutInCell="1" allowOverlap="1">
              <wp:simplePos x="0" y="0"/>
              <wp:positionH relativeFrom="page">
                <wp:posOffset>990600</wp:posOffset>
              </wp:positionH>
              <wp:positionV relativeFrom="page">
                <wp:posOffset>737235</wp:posOffset>
              </wp:positionV>
              <wp:extent cx="5497830" cy="0"/>
              <wp:effectExtent l="0" t="0" r="0" b="0"/>
              <wp:wrapNone/>
              <wp:docPr id="3" name="直线 21"/>
              <wp:cNvGraphicFramePr/>
              <a:graphic xmlns:a="http://schemas.openxmlformats.org/drawingml/2006/main">
                <a:graphicData uri="http://schemas.microsoft.com/office/word/2010/wordprocessingShape">
                  <wps:wsp>
                    <wps:cNvCnPr/>
                    <wps:spPr>
                      <a:xfrm>
                        <a:off x="0" y="0"/>
                        <a:ext cx="549783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21" o:spid="_x0000_s1026" o:spt="20" style="position:absolute;left:0pt;margin-left:78pt;margin-top:58.05pt;height:0pt;width:432.9pt;mso-position-horizontal-relative:page;mso-position-vertical-relative:page;z-index:-251668480;mso-width-relative:page;mso-height-relative:page;" filled="f" stroked="t" coordsize="21600,21600" o:gfxdata="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jtgONgAAAAMAQAADwAAAAAAAAABACAA&#10;AAAiAAAAZHJzL2Rvd25yZXYueG1sUEsBAhQAFAAAAAgAh07iQIfSpZHUAQAAnAMAAA4AAAAAAAAA&#10;AQAgAAAAJwEAAGRycy9lMm9Eb2MueG1sUEsFBgAAAAAGAAYAWQEAAG0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49024" behindDoc="1" locked="0" layoutInCell="1" allowOverlap="1">
              <wp:simplePos x="0" y="0"/>
              <wp:positionH relativeFrom="page">
                <wp:posOffset>5198745</wp:posOffset>
              </wp:positionH>
              <wp:positionV relativeFrom="page">
                <wp:posOffset>548005</wp:posOffset>
              </wp:positionV>
              <wp:extent cx="1284605" cy="165735"/>
              <wp:effectExtent l="0" t="0" r="0" b="0"/>
              <wp:wrapNone/>
              <wp:docPr id="4" name="文本框 22"/>
              <wp:cNvGraphicFramePr/>
              <a:graphic xmlns:a="http://schemas.openxmlformats.org/drawingml/2006/main">
                <a:graphicData uri="http://schemas.microsoft.com/office/word/2010/wordprocessingShape">
                  <wps:wsp>
                    <wps:cNvSpPr txBox="1"/>
                    <wps:spPr>
                      <a:xfrm>
                        <a:off x="0" y="0"/>
                        <a:ext cx="1284605" cy="165735"/>
                      </a:xfrm>
                      <a:prstGeom prst="rect">
                        <a:avLst/>
                      </a:prstGeom>
                      <a:noFill/>
                      <a:ln w="9525">
                        <a:noFill/>
                      </a:ln>
                      <a:effectLst/>
                    </wps:spPr>
                    <wps:txbx>
                      <w:txbxContent>
                        <w:p>
                          <w:pPr>
                            <w:tabs>
                              <w:tab w:val="left" w:pos="901"/>
                            </w:tabs>
                            <w:spacing w:line="261" w:lineRule="exact"/>
                            <w:ind w:left="20"/>
                            <w:rPr>
                              <w:rFonts w:ascii="黑体" w:eastAsia="黑体"/>
                            </w:rPr>
                          </w:pPr>
                        </w:p>
                      </w:txbxContent>
                    </wps:txbx>
                    <wps:bodyPr lIns="0" tIns="0" rIns="0" bIns="0" upright="1"/>
                  </wps:wsp>
                </a:graphicData>
              </a:graphic>
            </wp:anchor>
          </w:drawing>
        </mc:Choice>
        <mc:Fallback>
          <w:pict>
            <v:shape id="文本框 22" o:spid="_x0000_s1026" o:spt="202" type="#_x0000_t202" style="position:absolute;left:0pt;margin-left:409.35pt;margin-top:43.15pt;height:13.05pt;width:101.15pt;mso-position-horizontal-relative:page;mso-position-vertical-relative:page;z-index:-251667456;mso-width-relative:page;mso-height-relative:page;" filled="f" stroked="f" coordsize="21600,21600" o:gfxdata="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vWa+tgA&#10;AAALAQAADwAAAAAAAAABACAAAAAiAAAAZHJzL2Rvd25yZXYueG1sUEsBAhQAFAAAAAgAh07iQF67&#10;9eytAQAAPAMAAA4AAAAAAAAAAQAgAAAAJwEAAGRycy9lMm9Eb2MueG1sUEsFBgAAAAAGAAYAWQEA&#10;AEYFA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0048" behindDoc="1" locked="0" layoutInCell="1" allowOverlap="1">
              <wp:simplePos x="0" y="0"/>
              <wp:positionH relativeFrom="page">
                <wp:posOffset>990600</wp:posOffset>
              </wp:positionH>
              <wp:positionV relativeFrom="page">
                <wp:posOffset>737235</wp:posOffset>
              </wp:positionV>
              <wp:extent cx="5497830" cy="0"/>
              <wp:effectExtent l="0" t="0" r="0" b="0"/>
              <wp:wrapNone/>
              <wp:docPr id="5" name="直线 19"/>
              <wp:cNvGraphicFramePr/>
              <a:graphic xmlns:a="http://schemas.openxmlformats.org/drawingml/2006/main">
                <a:graphicData uri="http://schemas.microsoft.com/office/word/2010/wordprocessingShape">
                  <wps:wsp>
                    <wps:cNvCnPr/>
                    <wps:spPr>
                      <a:xfrm>
                        <a:off x="0" y="0"/>
                        <a:ext cx="549783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直线 19" o:spid="_x0000_s1026" o:spt="20" style="position:absolute;left:0pt;margin-left:78pt;margin-top:58.05pt;height:0pt;width:432.9pt;mso-position-horizontal-relative:page;mso-position-vertical-relative:page;z-index:-251666432;mso-width-relative:page;mso-height-relative:page;" filled="f" stroked="t" coordsize="21600,21600" o:gfxdata="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jtgONgAAAAMAQAADwAAAAAAAAABACAA&#10;AAAiAAAAZHJzL2Rvd25yZXYueG1sUEsBAhQAFAAAAAgAh07iQFNCQtTUAQAAnAMAAA4AAAAAAAAA&#10;AQAgAAAAJwEAAGRycy9lMm9Eb2MueG1sUEsFBgAAAAAGAAYAWQEAAG0FAA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51072" behindDoc="1" locked="0" layoutInCell="1" allowOverlap="1">
              <wp:simplePos x="0" y="0"/>
              <wp:positionH relativeFrom="page">
                <wp:posOffset>996315</wp:posOffset>
              </wp:positionH>
              <wp:positionV relativeFrom="page">
                <wp:posOffset>543560</wp:posOffset>
              </wp:positionV>
              <wp:extent cx="2577465" cy="180975"/>
              <wp:effectExtent l="0" t="0" r="0" b="0"/>
              <wp:wrapNone/>
              <wp:docPr id="6" name="文本框 20"/>
              <wp:cNvGraphicFramePr/>
              <a:graphic xmlns:a="http://schemas.openxmlformats.org/drawingml/2006/main">
                <a:graphicData uri="http://schemas.microsoft.com/office/word/2010/wordprocessingShape">
                  <wps:wsp>
                    <wps:cNvSpPr txBox="1"/>
                    <wps:spPr>
                      <a:xfrm>
                        <a:off x="0" y="0"/>
                        <a:ext cx="2577465" cy="180975"/>
                      </a:xfrm>
                      <a:prstGeom prst="rect">
                        <a:avLst/>
                      </a:prstGeom>
                      <a:noFill/>
                      <a:ln w="9525">
                        <a:noFill/>
                      </a:ln>
                      <a:effectLst/>
                    </wps:spPr>
                    <wps:txbx>
                      <w:txbxContent>
                        <w:p/>
                      </w:txbxContent>
                    </wps:txbx>
                    <wps:bodyPr lIns="0" tIns="0" rIns="0" bIns="0" upright="1"/>
                  </wps:wsp>
                </a:graphicData>
              </a:graphic>
            </wp:anchor>
          </w:drawing>
        </mc:Choice>
        <mc:Fallback>
          <w:pict>
            <v:shape id="文本框 20" o:spid="_x0000_s1026" o:spt="202" type="#_x0000_t202" style="position:absolute;left:0pt;margin-left:78.45pt;margin-top:42.8pt;height:14.25pt;width:202.95pt;mso-position-horizontal-relative:page;mso-position-vertical-relative:page;z-index:-251665408;mso-width-relative:page;mso-height-relative:page;" filled="f" stroked="f" coordsize="21600,21600" o:gfxdata="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s5d3htgA&#10;AAAKAQAADwAAAAAAAAABACAAAAAiAAAAZHJzL2Rvd25yZXYueG1sUEsBAhQAFAAAAAgAh07iQITV&#10;1y2tAQAAPAMAAA4AAAAAAAAAAQAgAAAAJwEAAGRycy9lMm9Eb2MueG1sUEsFBgAAAAAGAAYAWQEA&#10;AEYFAAAAAA==&#10;">
              <v:fill on="f" focussize="0,0"/>
              <v:stroke on="f"/>
              <v:imagedata o:title=""/>
              <o:lock v:ext="edit" aspectratio="f"/>
              <v:textbox inset="0mm,0mm,0mm,0mm">
                <w:txbxContent>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990600</wp:posOffset>
              </wp:positionH>
              <wp:positionV relativeFrom="page">
                <wp:posOffset>737235</wp:posOffset>
              </wp:positionV>
              <wp:extent cx="5497830" cy="0"/>
              <wp:effectExtent l="0" t="0" r="0" b="0"/>
              <wp:wrapNone/>
              <wp:docPr id="149" name="直接连接符 149"/>
              <wp:cNvGraphicFramePr/>
              <a:graphic xmlns:a="http://schemas.openxmlformats.org/drawingml/2006/main">
                <a:graphicData uri="http://schemas.microsoft.com/office/word/2010/wordprocessingShape">
                  <wps:wsp>
                    <wps:cNvCnPr/>
                    <wps:spPr>
                      <a:xfrm>
                        <a:off x="0" y="0"/>
                        <a:ext cx="5497830" cy="0"/>
                      </a:xfrm>
                      <a:prstGeom prst="line">
                        <a:avLst/>
                      </a:prstGeom>
                      <a:ln w="6096"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pt;margin-top:58.05pt;height:0pt;width:432.9pt;mso-position-horizontal-relative:page;mso-position-vertical-relative:page;z-index:-251652096;mso-width-relative:page;mso-height-relative:page;" filled="f" stroked="t" coordsize="21600,21600" o:gfxdata="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6O2A42AAAAAwB&#10;AAAPAAAAAAAAAAEAIAAAACIAAABkcnMvZG93bnJldi54bWxQSwECFAAUAAAACACHTuJAGkrWx+IB&#10;AACoAwAADgAAAAAAAAABACAAAAAnAQAAZHJzL2Uyb0RvYy54bWxQSwUGAAAAAAYABgBZAQAAewUA&#10;AAAA&#10;">
              <v:fill on="f" focussize="0,0"/>
              <v:stroke weight="0.48pt" color="#000000" joinstyle="round"/>
              <v:imagedata o:title=""/>
              <o:lock v:ext="edit" aspectratio="f"/>
            </v:line>
          </w:pict>
        </mc:Fallback>
      </mc:AlternateContent>
    </w:r>
    <w:r>
      <mc:AlternateContent>
        <mc:Choice Requires="wps">
          <w:drawing>
            <wp:anchor distT="0" distB="0" distL="114300" distR="114300" simplePos="0" relativeHeight="251665408" behindDoc="1" locked="0" layoutInCell="1" allowOverlap="1">
              <wp:simplePos x="0" y="0"/>
              <wp:positionH relativeFrom="page">
                <wp:posOffset>5198745</wp:posOffset>
              </wp:positionH>
              <wp:positionV relativeFrom="page">
                <wp:posOffset>548005</wp:posOffset>
              </wp:positionV>
              <wp:extent cx="1284605" cy="165735"/>
              <wp:effectExtent l="0" t="0" r="0" b="0"/>
              <wp:wrapNone/>
              <wp:docPr id="150" name="文本框 150"/>
              <wp:cNvGraphicFramePr/>
              <a:graphic xmlns:a="http://schemas.openxmlformats.org/drawingml/2006/main">
                <a:graphicData uri="http://schemas.microsoft.com/office/word/2010/wordprocessingShape">
                  <wps:wsp>
                    <wps:cNvSpPr txBox="1"/>
                    <wps:spPr>
                      <a:xfrm>
                        <a:off x="0" y="0"/>
                        <a:ext cx="1284605" cy="165735"/>
                      </a:xfrm>
                      <a:prstGeom prst="rect">
                        <a:avLst/>
                      </a:prstGeom>
                      <a:noFill/>
                      <a:ln w="9525">
                        <a:noFill/>
                      </a:ln>
                      <a:effectLst/>
                    </wps:spPr>
                    <wps:txbx>
                      <w:txbxContent>
                        <w:p>
                          <w:pPr>
                            <w:tabs>
                              <w:tab w:val="left" w:pos="901"/>
                            </w:tabs>
                            <w:spacing w:line="261" w:lineRule="exact"/>
                            <w:ind w:left="20"/>
                            <w:rPr>
                              <w:rFonts w:ascii="黑体" w:eastAsia="黑体"/>
                            </w:rPr>
                          </w:pPr>
                        </w:p>
                      </w:txbxContent>
                    </wps:txbx>
                    <wps:bodyPr lIns="0" tIns="0" rIns="0" bIns="0" upright="1"/>
                  </wps:wsp>
                </a:graphicData>
              </a:graphic>
            </wp:anchor>
          </w:drawing>
        </mc:Choice>
        <mc:Fallback>
          <w:pict>
            <v:shape id="_x0000_s1026" o:spid="_x0000_s1026" o:spt="202" type="#_x0000_t202" style="position:absolute;left:0pt;margin-left:409.35pt;margin-top:43.15pt;height:13.05pt;width:101.15pt;mso-position-horizontal-relative:page;mso-position-vertical-relative:page;z-index:-251651072;mso-width-relative:page;mso-height-relative:page;" filled="f" stroked="f" coordsize="21600,21600" o:gfxdata="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vWa+tgA&#10;AAALAQAADwAAAAAAAAABACAAAAAiAAAAZHJzL2Rvd25yZXYueG1sUEsBAhQAFAAAAAgAh07iQAAK&#10;53GtAQAAPwMAAA4AAAAAAAAAAQAgAAAAJwEAAGRycy9lMm9Eb2MueG1sUEsFBgAAAAAGAAYAWQEA&#10;AEYFAAAAAA==&#10;">
              <v:fill on="f" focussize="0,0"/>
              <v:stroke on="f"/>
              <v:imagedata o:title=""/>
              <o:lock v:ext="edit" aspectratio="f"/>
              <v:textbox inset="0mm,0mm,0mm,0mm">
                <w:txbxContent>
                  <w:p>
                    <w:pPr>
                      <w:tabs>
                        <w:tab w:val="left" w:pos="901"/>
                      </w:tabs>
                      <w:spacing w:line="261" w:lineRule="exact"/>
                      <w:ind w:left="20"/>
                      <w:rPr>
                        <w:rFonts w:ascii="黑体" w:eastAsia="黑体"/>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CF7"/>
    <w:multiLevelType w:val="multilevel"/>
    <w:tmpl w:val="00002CF7"/>
    <w:lvl w:ilvl="0" w:tentative="0">
      <w:start w:val="2"/>
      <w:numFmt w:val="decimal"/>
      <w:lvlText w:val="3.%1"/>
      <w:lvlJc w:val="left"/>
    </w:lvl>
    <w:lvl w:ilvl="1" w:tentative="0">
      <w:start w:val="1"/>
      <w:numFmt w:val="decimal"/>
      <w:lvlText w:val="3.2.%2"/>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5968"/>
    <w:multiLevelType w:val="multilevel"/>
    <w:tmpl w:val="00005968"/>
    <w:lvl w:ilvl="0" w:tentative="0">
      <w:start w:val="2"/>
      <w:numFmt w:val="decimal"/>
      <w:lvlText w:val="2.2.%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E8133A"/>
    <w:rsid w:val="063E7975"/>
    <w:rsid w:val="23DA39A4"/>
    <w:rsid w:val="42E8133A"/>
    <w:rsid w:val="4AA47E51"/>
    <w:rsid w:val="4DB4415E"/>
    <w:rsid w:val="520E5BDC"/>
    <w:rsid w:val="72A942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4"/>
    <w:basedOn w:val="1"/>
    <w:next w:val="1"/>
    <w:qFormat/>
    <w:uiPriority w:val="9"/>
    <w:pPr>
      <w:spacing w:before="21"/>
      <w:outlineLvl w:val="3"/>
    </w:pPr>
    <w:rPr>
      <w:rFonts w:ascii="黑体" w:hAnsi="黑体" w:eastAsia="黑体" w:cs="黑体"/>
      <w:sz w:val="44"/>
      <w:szCs w:val="44"/>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Body Text First Indent"/>
    <w:basedOn w:val="4"/>
    <w:qFormat/>
    <w:uiPriority w:val="99"/>
    <w:pPr>
      <w:spacing w:after="120"/>
      <w:ind w:firstLine="420" w:firstLineChars="100"/>
    </w:pPr>
    <w:rPr>
      <w:sz w:val="22"/>
      <w:szCs w:val="22"/>
    </w:rPr>
  </w:style>
  <w:style w:type="paragraph" w:styleId="4">
    <w:name w:val="Body Text"/>
    <w:basedOn w:val="1"/>
    <w:qFormat/>
    <w:uiPriority w:val="0"/>
    <w:pPr>
      <w:spacing w:after="120" w:afterLines="0" w:afterAutospacing="0"/>
    </w:pPr>
  </w:style>
  <w:style w:type="paragraph" w:styleId="5">
    <w:name w:val="Normal Indent"/>
    <w:basedOn w:val="1"/>
    <w:qFormat/>
    <w:uiPriority w:val="0"/>
    <w:pPr>
      <w:autoSpaceDE/>
      <w:autoSpaceDN/>
      <w:ind w:firstLine="420" w:firstLineChars="200"/>
      <w:jc w:val="both"/>
    </w:pPr>
    <w:rPr>
      <w:rFonts w:ascii="Calibri" w:hAnsi="Calibri" w:cs="Times New Roman"/>
      <w:kern w:val="2"/>
      <w:sz w:val="21"/>
      <w:szCs w:val="24"/>
      <w:lang w:val="en-US" w:bidi="ar-SA"/>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4"/>
    <w:qFormat/>
    <w:uiPriority w:val="0"/>
    <w:pPr>
      <w:widowControl/>
      <w:pBdr>
        <w:bottom w:val="single" w:color="auto" w:sz="6" w:space="1"/>
      </w:pBdr>
      <w:tabs>
        <w:tab w:val="center" w:pos="4153"/>
        <w:tab w:val="right" w:pos="8306"/>
      </w:tabs>
      <w:snapToGrid w:val="0"/>
      <w:jc w:val="left"/>
    </w:pPr>
    <w:rPr>
      <w:rFonts w:ascii="Times New Roman" w:hAnsi="Times New Roman" w:eastAsia="宋体"/>
      <w:kern w:val="0"/>
      <w:sz w:val="15"/>
      <w:szCs w:val="20"/>
    </w:rPr>
  </w:style>
  <w:style w:type="paragraph" w:customStyle="1" w:styleId="10">
    <w:name w:val="列出段落1"/>
    <w:basedOn w:val="1"/>
    <w:qFormat/>
    <w:uiPriority w:val="0"/>
    <w:pPr>
      <w:ind w:left="424" w:firstLine="480"/>
    </w:pPr>
  </w:style>
  <w:style w:type="paragraph" w:customStyle="1" w:styleId="1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2">
    <w:name w:val="p0"/>
    <w:basedOn w:val="1"/>
    <w:qFormat/>
    <w:uiPriority w:val="99"/>
    <w:pPr>
      <w:widowControl/>
      <w:autoSpaceDE/>
      <w:autoSpaceDN/>
      <w:jc w:val="both"/>
    </w:pPr>
    <w:rPr>
      <w:rFonts w:ascii="Calibri" w:hAnsi="Calibri" w:cs="Times New Roman"/>
      <w:sz w:val="21"/>
      <w:szCs w:val="21"/>
      <w:lang w:val="en-US" w:bidi="ar-SA"/>
    </w:rPr>
  </w:style>
  <w:style w:type="paragraph" w:customStyle="1" w:styleId="13">
    <w:name w:val="Table Paragraph"/>
    <w:basedOn w:val="1"/>
    <w:qFormat/>
    <w:uiPriority w:val="1"/>
  </w:style>
  <w:style w:type="paragraph" w:styleId="14">
    <w:name w:val="List Paragraph"/>
    <w:basedOn w:val="1"/>
    <w:qFormat/>
    <w:uiPriority w:val="34"/>
    <w:pPr>
      <w:ind w:left="424" w:firstLine="48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2019-03-26T05:20:00Z</dcterms:created>
  <dc:creator>Administrator</dc:creator>
  <cp:lastModifiedBy>Administrator</cp:lastModifiedBy>
  <dcterms:modified xsi:type="dcterms:W3CDTF">2020-01-08T03:03:53Z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