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eastAsia="zh-CN"/>
        </w:rPr>
      </w:pPr>
      <w:r>
        <w:rPr>
          <w:rFonts w:hint="eastAsia"/>
          <w:b/>
          <w:bCs/>
          <w:sz w:val="28"/>
          <w:szCs w:val="36"/>
          <w:lang w:eastAsia="zh-CN"/>
        </w:rPr>
        <w:t>附件一：资格要求</w:t>
      </w:r>
    </w:p>
    <w:p>
      <w:pPr>
        <w:snapToGrid w:val="0"/>
        <w:rPr>
          <w:b/>
          <w:color w:val="auto"/>
          <w:kern w:val="2"/>
          <w:sz w:val="28"/>
          <w:highlight w:val="none"/>
        </w:rPr>
      </w:pPr>
      <w:r>
        <w:rPr>
          <w:rFonts w:hint="eastAsia"/>
          <w:b/>
          <w:color w:val="auto"/>
          <w:kern w:val="2"/>
          <w:sz w:val="28"/>
          <w:highlight w:val="none"/>
        </w:rPr>
        <w:t>附录1资格审查条件（资质最低要求）</w:t>
      </w:r>
    </w:p>
    <w:p>
      <w:pPr>
        <w:snapToGrid w:val="0"/>
        <w:rPr>
          <w:rFonts w:hint="eastAsia"/>
          <w:b/>
          <w:color w:val="auto"/>
          <w:kern w:val="2"/>
          <w:sz w:val="28"/>
          <w:highlight w:val="none"/>
        </w:rPr>
      </w:pPr>
      <w:bookmarkStart w:id="0" w:name="_Hlk27644378"/>
      <w:r>
        <w:rPr>
          <w:rFonts w:hint="eastAsia"/>
          <w:b/>
          <w:color w:val="auto"/>
          <w:kern w:val="2"/>
          <w:sz w:val="28"/>
          <w:highlight w:val="none"/>
        </w:rPr>
        <w:t>合同段：MSQJ-1、MSQJ-2、MSQJ-3、MSJC</w:t>
      </w:r>
    </w:p>
    <w:bookmarkEnd w:id="0"/>
    <w:tbl>
      <w:tblPr>
        <w:tblStyle w:val="2"/>
        <w:tblW w:w="9639" w:type="dxa"/>
        <w:jc w:val="center"/>
        <w:tblLayout w:type="fixed"/>
        <w:tblCellMar>
          <w:top w:w="0" w:type="dxa"/>
          <w:left w:w="0" w:type="dxa"/>
          <w:bottom w:w="0" w:type="dxa"/>
          <w:right w:w="0" w:type="dxa"/>
        </w:tblCellMar>
      </w:tblPr>
      <w:tblGrid>
        <w:gridCol w:w="9639"/>
      </w:tblGrid>
      <w:tr>
        <w:tblPrEx>
          <w:tblCellMar>
            <w:top w:w="0" w:type="dxa"/>
            <w:left w:w="0" w:type="dxa"/>
            <w:bottom w:w="0" w:type="dxa"/>
            <w:right w:w="0" w:type="dxa"/>
          </w:tblCellMar>
        </w:tblPrEx>
        <w:trPr>
          <w:trHeight w:val="779" w:hRule="atLeast"/>
          <w:jc w:val="center"/>
        </w:trPr>
        <w:tc>
          <w:tcPr>
            <w:tcW w:w="96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b/>
                <w:color w:val="auto"/>
                <w:kern w:val="2"/>
                <w:sz w:val="28"/>
                <w:highlight w:val="none"/>
              </w:rPr>
            </w:pPr>
            <w:r>
              <w:rPr>
                <w:rFonts w:hint="eastAsia"/>
                <w:b/>
                <w:color w:val="auto"/>
                <w:kern w:val="2"/>
                <w:sz w:val="28"/>
                <w:highlight w:val="none"/>
              </w:rPr>
              <w:t>企业资质等级要求</w:t>
            </w:r>
          </w:p>
        </w:tc>
      </w:tr>
      <w:tr>
        <w:tblPrEx>
          <w:tblCellMar>
            <w:top w:w="0" w:type="dxa"/>
            <w:left w:w="0" w:type="dxa"/>
            <w:bottom w:w="0" w:type="dxa"/>
            <w:right w:w="0" w:type="dxa"/>
          </w:tblCellMar>
        </w:tblPrEx>
        <w:trPr>
          <w:trHeight w:val="2783" w:hRule="atLeast"/>
          <w:jc w:val="center"/>
        </w:trPr>
        <w:tc>
          <w:tcPr>
            <w:tcW w:w="9639"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top"/>
          </w:tcPr>
          <w:p>
            <w:pPr>
              <w:snapToGrid w:val="0"/>
              <w:spacing w:line="440" w:lineRule="exact"/>
              <w:rPr>
                <w:rFonts w:hint="eastAsia"/>
                <w:color w:val="auto"/>
                <w:kern w:val="2"/>
                <w:sz w:val="24"/>
                <w:szCs w:val="22"/>
                <w:highlight w:val="none"/>
              </w:rPr>
            </w:pPr>
            <w:r>
              <w:rPr>
                <w:rFonts w:hint="eastAsia"/>
                <w:color w:val="auto"/>
                <w:kern w:val="2"/>
                <w:sz w:val="24"/>
                <w:szCs w:val="22"/>
                <w:highlight w:val="none"/>
              </w:rPr>
              <w:t>（1）投标人应具有工商行政管理部门核发的有效的企业法人营业执照或者合法有效的事业单位法人证书；</w:t>
            </w:r>
          </w:p>
          <w:p>
            <w:pPr>
              <w:snapToGrid w:val="0"/>
              <w:spacing w:line="440" w:lineRule="exact"/>
              <w:rPr>
                <w:rFonts w:hint="eastAsia"/>
                <w:color w:val="auto"/>
                <w:kern w:val="2"/>
                <w:sz w:val="24"/>
                <w:szCs w:val="22"/>
                <w:highlight w:val="none"/>
              </w:rPr>
            </w:pPr>
            <w:r>
              <w:rPr>
                <w:rFonts w:hint="eastAsia"/>
                <w:color w:val="auto"/>
                <w:kern w:val="2"/>
                <w:sz w:val="24"/>
                <w:szCs w:val="22"/>
                <w:highlight w:val="none"/>
              </w:rPr>
              <w:t>（2）具有交通运输部工程质量监督局颁发的公路工程试验检测综合甲级资质（证书上写明的试验检测机构可以是投标人的不具有独立法人资格的附属机构）。投标人应进入公路水运工程试验检测管理信息系统中的试验检测机构列表，且投标人名称和资质等级与该列表中的相应企业名称和资质等级完全一致；</w:t>
            </w:r>
          </w:p>
          <w:p>
            <w:pPr>
              <w:snapToGrid w:val="0"/>
              <w:spacing w:line="440" w:lineRule="exact"/>
              <w:rPr>
                <w:b/>
                <w:color w:val="auto"/>
                <w:kern w:val="2"/>
                <w:sz w:val="28"/>
                <w:highlight w:val="none"/>
              </w:rPr>
            </w:pPr>
            <w:r>
              <w:rPr>
                <w:rFonts w:hint="eastAsia"/>
                <w:color w:val="auto"/>
                <w:kern w:val="2"/>
                <w:sz w:val="24"/>
                <w:szCs w:val="22"/>
                <w:highlight w:val="none"/>
              </w:rPr>
              <w:t>（3）具有质量技术监督部门颁发的计量认证证书（CMA），且计量认证证书附表覆盖本标段试验检测工作内容，并且合法有效。</w:t>
            </w:r>
          </w:p>
        </w:tc>
      </w:tr>
    </w:tbl>
    <w:p>
      <w:pPr>
        <w:snapToGrid w:val="0"/>
        <w:rPr>
          <w:b/>
          <w:color w:val="auto"/>
          <w:kern w:val="2"/>
          <w:sz w:val="28"/>
          <w:highlight w:val="none"/>
        </w:rPr>
      </w:pPr>
    </w:p>
    <w:p>
      <w:pPr>
        <w:widowControl/>
        <w:snapToGrid w:val="0"/>
        <w:rPr>
          <w:b/>
          <w:color w:val="auto"/>
          <w:kern w:val="2"/>
          <w:sz w:val="28"/>
          <w:highlight w:val="none"/>
        </w:rPr>
      </w:pPr>
      <w:r>
        <w:rPr>
          <w:color w:val="auto"/>
          <w:kern w:val="2"/>
          <w:highlight w:val="none"/>
        </w:rPr>
        <w:br w:type="page"/>
      </w:r>
    </w:p>
    <w:p>
      <w:pPr>
        <w:snapToGrid w:val="0"/>
        <w:rPr>
          <w:b/>
          <w:color w:val="auto"/>
          <w:kern w:val="2"/>
          <w:sz w:val="28"/>
          <w:highlight w:val="none"/>
        </w:rPr>
      </w:pPr>
      <w:r>
        <w:rPr>
          <w:rFonts w:hint="eastAsia"/>
          <w:b/>
          <w:color w:val="auto"/>
          <w:kern w:val="2"/>
          <w:sz w:val="28"/>
          <w:highlight w:val="none"/>
        </w:rPr>
        <w:t>附录2  资格审查条件（业绩最低要求）</w:t>
      </w:r>
    </w:p>
    <w:p>
      <w:pPr>
        <w:snapToGrid w:val="0"/>
        <w:rPr>
          <w:rFonts w:hint="eastAsia"/>
          <w:b/>
          <w:color w:val="auto"/>
          <w:kern w:val="2"/>
          <w:sz w:val="28"/>
          <w:highlight w:val="none"/>
        </w:rPr>
      </w:pPr>
      <w:r>
        <w:rPr>
          <w:rFonts w:hint="eastAsia"/>
          <w:b/>
          <w:color w:val="auto"/>
          <w:kern w:val="2"/>
          <w:sz w:val="28"/>
          <w:highlight w:val="none"/>
        </w:rPr>
        <w:t>合同段：MSQJ-1、MSQJ-2、MSQJ-3、MSJC</w:t>
      </w:r>
    </w:p>
    <w:tbl>
      <w:tblPr>
        <w:tblStyle w:val="2"/>
        <w:tblW w:w="9639" w:type="dxa"/>
        <w:tblInd w:w="108" w:type="dxa"/>
        <w:tblLayout w:type="fixed"/>
        <w:tblCellMar>
          <w:top w:w="0" w:type="dxa"/>
          <w:left w:w="0" w:type="dxa"/>
          <w:bottom w:w="0" w:type="dxa"/>
          <w:right w:w="0" w:type="dxa"/>
        </w:tblCellMar>
      </w:tblPr>
      <w:tblGrid>
        <w:gridCol w:w="9639"/>
      </w:tblGrid>
      <w:tr>
        <w:tblPrEx>
          <w:tblCellMar>
            <w:top w:w="0" w:type="dxa"/>
            <w:left w:w="0" w:type="dxa"/>
            <w:bottom w:w="0" w:type="dxa"/>
            <w:right w:w="0" w:type="dxa"/>
          </w:tblCellMar>
        </w:tblPrEx>
        <w:trPr>
          <w:trHeight w:val="779" w:hRule="atLeast"/>
        </w:trPr>
        <w:tc>
          <w:tcPr>
            <w:tcW w:w="96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b/>
                <w:color w:val="auto"/>
                <w:kern w:val="2"/>
                <w:sz w:val="28"/>
                <w:highlight w:val="none"/>
              </w:rPr>
            </w:pPr>
            <w:r>
              <w:rPr>
                <w:rFonts w:hint="eastAsia"/>
                <w:b/>
                <w:color w:val="auto"/>
                <w:kern w:val="2"/>
                <w:sz w:val="28"/>
                <w:highlight w:val="none"/>
                <w:lang w:eastAsia="en-US"/>
              </w:rPr>
              <w:t>企业业绩要求</w:t>
            </w:r>
          </w:p>
        </w:tc>
      </w:tr>
      <w:tr>
        <w:tblPrEx>
          <w:tblCellMar>
            <w:top w:w="0" w:type="dxa"/>
            <w:left w:w="0" w:type="dxa"/>
            <w:bottom w:w="0" w:type="dxa"/>
            <w:right w:w="0" w:type="dxa"/>
          </w:tblCellMar>
        </w:tblPrEx>
        <w:trPr>
          <w:trHeight w:val="1285" w:hRule="atLeast"/>
        </w:trPr>
        <w:tc>
          <w:tcPr>
            <w:tcW w:w="96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40" w:lineRule="exact"/>
              <w:rPr>
                <w:color w:val="auto"/>
                <w:kern w:val="2"/>
                <w:sz w:val="24"/>
                <w:highlight w:val="none"/>
              </w:rPr>
            </w:pPr>
            <w:r>
              <w:rPr>
                <w:rFonts w:hint="eastAsia"/>
                <w:color w:val="auto"/>
                <w:kern w:val="2"/>
                <w:sz w:val="28"/>
                <w:szCs w:val="24"/>
                <w:highlight w:val="none"/>
              </w:rPr>
              <w:t>本项目资格审查条件不要求企业业绩</w:t>
            </w:r>
          </w:p>
        </w:tc>
      </w:tr>
    </w:tbl>
    <w:p>
      <w:pPr>
        <w:snapToGrid w:val="0"/>
        <w:rPr>
          <w:b/>
          <w:color w:val="auto"/>
          <w:kern w:val="2"/>
          <w:sz w:val="28"/>
          <w:highlight w:val="none"/>
        </w:rPr>
      </w:pPr>
    </w:p>
    <w:p>
      <w:pPr>
        <w:widowControl/>
        <w:snapToGrid w:val="0"/>
        <w:rPr>
          <w:b/>
          <w:color w:val="auto"/>
          <w:kern w:val="2"/>
          <w:sz w:val="28"/>
          <w:highlight w:val="none"/>
        </w:rPr>
      </w:pPr>
      <w:r>
        <w:rPr>
          <w:color w:val="auto"/>
          <w:kern w:val="2"/>
          <w:highlight w:val="none"/>
        </w:rPr>
        <w:br w:type="page"/>
      </w:r>
      <w:r>
        <w:rPr>
          <w:rFonts w:hint="eastAsia"/>
          <w:b/>
          <w:color w:val="auto"/>
          <w:kern w:val="2"/>
          <w:sz w:val="28"/>
          <w:highlight w:val="none"/>
        </w:rPr>
        <w:t>附录3 资格审查条件（信誉最低要求）</w:t>
      </w:r>
    </w:p>
    <w:p>
      <w:pPr>
        <w:widowControl/>
        <w:snapToGrid w:val="0"/>
        <w:rPr>
          <w:rFonts w:hint="eastAsia"/>
          <w:b/>
          <w:color w:val="auto"/>
          <w:kern w:val="2"/>
          <w:sz w:val="28"/>
          <w:highlight w:val="none"/>
        </w:rPr>
      </w:pPr>
      <w:r>
        <w:rPr>
          <w:rFonts w:hint="eastAsia"/>
          <w:b/>
          <w:color w:val="auto"/>
          <w:kern w:val="2"/>
          <w:sz w:val="28"/>
          <w:highlight w:val="none"/>
        </w:rPr>
        <w:t>合同段：MSQJ-1、MSQJ-2、MSQJ-3、MSJC</w:t>
      </w:r>
    </w:p>
    <w:tbl>
      <w:tblPr>
        <w:tblStyle w:val="2"/>
        <w:tblW w:w="0" w:type="auto"/>
        <w:tblInd w:w="0" w:type="dxa"/>
        <w:tblLayout w:type="fixed"/>
        <w:tblCellMar>
          <w:top w:w="0" w:type="dxa"/>
          <w:left w:w="0" w:type="dxa"/>
          <w:bottom w:w="0" w:type="dxa"/>
          <w:right w:w="0" w:type="dxa"/>
        </w:tblCellMar>
      </w:tblPr>
      <w:tblGrid>
        <w:gridCol w:w="9639"/>
      </w:tblGrid>
      <w:tr>
        <w:tblPrEx>
          <w:tblCellMar>
            <w:top w:w="0" w:type="dxa"/>
            <w:left w:w="0" w:type="dxa"/>
            <w:bottom w:w="0" w:type="dxa"/>
            <w:right w:w="0" w:type="dxa"/>
          </w:tblCellMar>
        </w:tblPrEx>
        <w:trPr>
          <w:trHeight w:val="779" w:hRule="atLeast"/>
        </w:trPr>
        <w:tc>
          <w:tcPr>
            <w:tcW w:w="96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b/>
                <w:color w:val="auto"/>
                <w:kern w:val="2"/>
                <w:sz w:val="28"/>
                <w:highlight w:val="none"/>
              </w:rPr>
            </w:pPr>
            <w:r>
              <w:rPr>
                <w:rFonts w:hint="eastAsia"/>
                <w:b/>
                <w:color w:val="auto"/>
                <w:kern w:val="2"/>
                <w:sz w:val="28"/>
                <w:highlight w:val="none"/>
              </w:rPr>
              <w:t>企业信誉要求</w:t>
            </w:r>
          </w:p>
        </w:tc>
      </w:tr>
      <w:tr>
        <w:tblPrEx>
          <w:tblCellMar>
            <w:top w:w="0" w:type="dxa"/>
            <w:left w:w="0" w:type="dxa"/>
            <w:bottom w:w="0" w:type="dxa"/>
            <w:right w:w="0" w:type="dxa"/>
          </w:tblCellMar>
        </w:tblPrEx>
        <w:trPr>
          <w:trHeight w:val="7858" w:hRule="atLeast"/>
        </w:trPr>
        <w:tc>
          <w:tcPr>
            <w:tcW w:w="96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360" w:lineRule="auto"/>
              <w:ind w:left="108"/>
              <w:rPr>
                <w:color w:val="auto"/>
                <w:kern w:val="2"/>
                <w:sz w:val="24"/>
                <w:highlight w:val="none"/>
              </w:rPr>
            </w:pPr>
            <w:r>
              <w:rPr>
                <w:color w:val="auto"/>
                <w:kern w:val="2"/>
                <w:sz w:val="24"/>
                <w:highlight w:val="none"/>
              </w:rPr>
              <w:t>1.投标人没有正受到责令停业的行政处罚或正处于财务被接管、冻结、破产的状态。</w:t>
            </w:r>
          </w:p>
          <w:p>
            <w:pPr>
              <w:snapToGrid w:val="0"/>
              <w:spacing w:before="45" w:line="360" w:lineRule="auto"/>
              <w:ind w:left="108"/>
              <w:rPr>
                <w:color w:val="auto"/>
                <w:kern w:val="2"/>
                <w:sz w:val="24"/>
                <w:highlight w:val="none"/>
              </w:rPr>
            </w:pPr>
            <w:r>
              <w:rPr>
                <w:color w:val="auto"/>
                <w:kern w:val="2"/>
                <w:sz w:val="24"/>
                <w:highlight w:val="none"/>
              </w:rPr>
              <w:t>2.投标人没有正受到交通运输部、贵州省交通运输厅取消投标资格的行政处罚，并且目前正处于处罚期内。</w:t>
            </w:r>
          </w:p>
          <w:p>
            <w:pPr>
              <w:snapToGrid w:val="0"/>
              <w:spacing w:before="43" w:line="360" w:lineRule="auto"/>
              <w:ind w:left="108"/>
              <w:rPr>
                <w:color w:val="auto"/>
                <w:kern w:val="2"/>
                <w:sz w:val="24"/>
                <w:highlight w:val="none"/>
              </w:rPr>
            </w:pPr>
            <w:r>
              <w:rPr>
                <w:color w:val="auto"/>
                <w:kern w:val="2"/>
                <w:sz w:val="24"/>
                <w:highlight w:val="none"/>
              </w:rPr>
              <w:t>3.投标人未涉及正在诉讼的案件，或涉及正在诉讼的案件但经评标委员会认定不会对承担本项目造成重大影响。</w:t>
            </w:r>
          </w:p>
          <w:p>
            <w:pPr>
              <w:snapToGrid w:val="0"/>
              <w:spacing w:before="42" w:line="360" w:lineRule="auto"/>
              <w:ind w:left="108"/>
              <w:rPr>
                <w:color w:val="auto"/>
                <w:kern w:val="2"/>
                <w:sz w:val="24"/>
                <w:highlight w:val="none"/>
              </w:rPr>
            </w:pPr>
            <w:r>
              <w:rPr>
                <w:color w:val="auto"/>
                <w:kern w:val="2"/>
                <w:sz w:val="24"/>
                <w:highlight w:val="none"/>
              </w:rPr>
              <w:t>4.投标人在2015年1月1日至投标截止日内所</w:t>
            </w:r>
            <w:r>
              <w:rPr>
                <w:rFonts w:hint="eastAsia"/>
                <w:color w:val="auto"/>
                <w:kern w:val="2"/>
                <w:sz w:val="24"/>
                <w:highlight w:val="none"/>
              </w:rPr>
              <w:t>承担</w:t>
            </w:r>
            <w:r>
              <w:rPr>
                <w:color w:val="auto"/>
                <w:kern w:val="2"/>
                <w:sz w:val="24"/>
                <w:highlight w:val="none"/>
              </w:rPr>
              <w:t>过的工程未发生过重大安全责任事故或质量事故，未存在重大合同纠纷。</w:t>
            </w:r>
          </w:p>
          <w:p>
            <w:pPr>
              <w:snapToGrid w:val="0"/>
              <w:spacing w:before="42" w:line="360" w:lineRule="auto"/>
              <w:ind w:left="108"/>
              <w:rPr>
                <w:color w:val="auto"/>
                <w:kern w:val="2"/>
                <w:sz w:val="24"/>
                <w:highlight w:val="none"/>
              </w:rPr>
            </w:pPr>
            <w:r>
              <w:rPr>
                <w:color w:val="auto"/>
                <w:kern w:val="2"/>
                <w:sz w:val="24"/>
                <w:highlight w:val="none"/>
              </w:rPr>
              <w:t>5.投标人在2015年1月1日至投标截止日内未发生过骗取中标和严重违约及重大工程质量问题。</w:t>
            </w:r>
          </w:p>
          <w:p>
            <w:pPr>
              <w:snapToGrid w:val="0"/>
              <w:spacing w:before="42" w:line="360" w:lineRule="auto"/>
              <w:ind w:left="108"/>
              <w:rPr>
                <w:b/>
                <w:color w:val="auto"/>
                <w:kern w:val="2"/>
                <w:sz w:val="28"/>
                <w:highlight w:val="none"/>
              </w:rPr>
            </w:pPr>
            <w:r>
              <w:rPr>
                <w:color w:val="auto"/>
                <w:kern w:val="2"/>
                <w:sz w:val="24"/>
                <w:highlight w:val="none"/>
              </w:rPr>
              <w:t>6.投标人根据《贵州省交通运输厅关于印发&lt;贵州省高速公路设计施工企业信用评价实施细则（试行）的通知》黔交建设〔2016〕279号文件及《贵州省交通运输厅关于高速公路设计施工企业信用评价结果引用的补充通知》黔交建设〔2016〕291号文件认定的最新信用评价等级为C级及以上。</w:t>
            </w:r>
          </w:p>
        </w:tc>
      </w:tr>
    </w:tbl>
    <w:p>
      <w:pPr>
        <w:snapToGrid w:val="0"/>
        <w:rPr>
          <w:b/>
          <w:color w:val="auto"/>
          <w:kern w:val="2"/>
          <w:sz w:val="28"/>
          <w:highlight w:val="none"/>
        </w:rPr>
      </w:pPr>
    </w:p>
    <w:p>
      <w:pPr>
        <w:widowControl/>
        <w:snapToGrid w:val="0"/>
        <w:rPr>
          <w:b/>
          <w:color w:val="auto"/>
          <w:kern w:val="2"/>
          <w:sz w:val="28"/>
          <w:highlight w:val="none"/>
        </w:rPr>
      </w:pPr>
    </w:p>
    <w:p>
      <w:pPr>
        <w:snapToGrid w:val="0"/>
        <w:rPr>
          <w:b/>
          <w:color w:val="auto"/>
          <w:kern w:val="2"/>
          <w:sz w:val="28"/>
          <w:highlight w:val="none"/>
        </w:rPr>
      </w:pPr>
    </w:p>
    <w:p>
      <w:pPr>
        <w:snapToGrid w:val="0"/>
        <w:rPr>
          <w:b/>
          <w:color w:val="auto"/>
          <w:kern w:val="2"/>
          <w:sz w:val="28"/>
          <w:highlight w:val="none"/>
        </w:rPr>
      </w:pPr>
    </w:p>
    <w:p>
      <w:pPr>
        <w:widowControl/>
        <w:snapToGrid w:val="0"/>
        <w:rPr>
          <w:rFonts w:hint="eastAsia"/>
          <w:b/>
          <w:color w:val="auto"/>
          <w:kern w:val="2"/>
          <w:sz w:val="28"/>
          <w:highlight w:val="none"/>
        </w:rPr>
      </w:pPr>
      <w:r>
        <w:rPr>
          <w:color w:val="auto"/>
          <w:kern w:val="2"/>
          <w:highlight w:val="none"/>
        </w:rPr>
        <w:br w:type="page"/>
      </w:r>
      <w:r>
        <w:rPr>
          <w:rFonts w:hint="eastAsia"/>
          <w:b/>
          <w:color w:val="auto"/>
          <w:kern w:val="2"/>
          <w:sz w:val="28"/>
          <w:highlight w:val="none"/>
        </w:rPr>
        <w:t>附录4  资格审查条件（主要人员最低要求）</w:t>
      </w:r>
    </w:p>
    <w:p>
      <w:pPr>
        <w:snapToGrid w:val="0"/>
        <w:rPr>
          <w:rFonts w:hint="eastAsia"/>
          <w:b/>
          <w:color w:val="auto"/>
          <w:kern w:val="2"/>
          <w:sz w:val="28"/>
          <w:highlight w:val="none"/>
        </w:rPr>
      </w:pPr>
      <w:r>
        <w:rPr>
          <w:rFonts w:hint="eastAsia"/>
          <w:b/>
          <w:color w:val="auto"/>
          <w:kern w:val="2"/>
          <w:sz w:val="28"/>
          <w:highlight w:val="none"/>
        </w:rPr>
        <w:t>合同段：MSQJ-1、MSQJ-2、MSQJ-3</w:t>
      </w:r>
    </w:p>
    <w:tbl>
      <w:tblPr>
        <w:tblStyle w:val="2"/>
        <w:tblW w:w="9747" w:type="dxa"/>
        <w:tblInd w:w="0" w:type="dxa"/>
        <w:tblLayout w:type="fixed"/>
        <w:tblCellMar>
          <w:top w:w="0" w:type="dxa"/>
          <w:left w:w="0" w:type="dxa"/>
          <w:bottom w:w="0" w:type="dxa"/>
          <w:right w:w="0" w:type="dxa"/>
        </w:tblCellMar>
      </w:tblPr>
      <w:tblGrid>
        <w:gridCol w:w="1467"/>
        <w:gridCol w:w="795"/>
        <w:gridCol w:w="5595"/>
        <w:gridCol w:w="1890"/>
      </w:tblGrid>
      <w:tr>
        <w:tblPrEx>
          <w:tblCellMar>
            <w:top w:w="0" w:type="dxa"/>
            <w:left w:w="0" w:type="dxa"/>
            <w:bottom w:w="0" w:type="dxa"/>
            <w:right w:w="0" w:type="dxa"/>
          </w:tblCellMar>
        </w:tblPrEx>
        <w:trPr>
          <w:trHeight w:val="198" w:hRule="atLeast"/>
        </w:trPr>
        <w:tc>
          <w:tcPr>
            <w:tcW w:w="14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color w:val="auto"/>
                <w:kern w:val="2"/>
                <w:sz w:val="28"/>
                <w:highlight w:val="none"/>
              </w:rPr>
            </w:pPr>
            <w:r>
              <w:rPr>
                <w:rFonts w:hint="eastAsia"/>
                <w:color w:val="auto"/>
                <w:kern w:val="2"/>
                <w:sz w:val="28"/>
                <w:highlight w:val="none"/>
                <w:lang w:eastAsia="en-US"/>
              </w:rPr>
              <w:t>人员</w:t>
            </w:r>
          </w:p>
        </w:tc>
        <w:tc>
          <w:tcPr>
            <w:tcW w:w="7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color w:val="auto"/>
                <w:kern w:val="2"/>
                <w:sz w:val="28"/>
                <w:highlight w:val="none"/>
              </w:rPr>
            </w:pPr>
            <w:r>
              <w:rPr>
                <w:rFonts w:hint="eastAsia"/>
                <w:color w:val="auto"/>
                <w:kern w:val="2"/>
                <w:sz w:val="28"/>
                <w:highlight w:val="none"/>
                <w:lang w:eastAsia="en-US"/>
              </w:rPr>
              <w:t>数量</w:t>
            </w:r>
          </w:p>
        </w:tc>
        <w:tc>
          <w:tcPr>
            <w:tcW w:w="5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color w:val="auto"/>
                <w:kern w:val="2"/>
                <w:sz w:val="28"/>
                <w:highlight w:val="none"/>
              </w:rPr>
            </w:pPr>
            <w:r>
              <w:rPr>
                <w:rFonts w:hint="eastAsia"/>
                <w:color w:val="auto"/>
                <w:kern w:val="2"/>
                <w:sz w:val="28"/>
                <w:highlight w:val="none"/>
                <w:lang w:eastAsia="en-US"/>
              </w:rPr>
              <w:t>资格要求</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color w:val="auto"/>
                <w:kern w:val="2"/>
                <w:sz w:val="28"/>
                <w:highlight w:val="none"/>
              </w:rPr>
            </w:pPr>
            <w:r>
              <w:rPr>
                <w:rFonts w:hint="eastAsia"/>
                <w:color w:val="auto"/>
                <w:kern w:val="2"/>
                <w:sz w:val="28"/>
                <w:highlight w:val="none"/>
                <w:lang w:eastAsia="en-US"/>
              </w:rPr>
              <w:t>在岗要求</w:t>
            </w:r>
          </w:p>
        </w:tc>
      </w:tr>
      <w:tr>
        <w:tblPrEx>
          <w:tblCellMar>
            <w:top w:w="0" w:type="dxa"/>
            <w:left w:w="0" w:type="dxa"/>
            <w:bottom w:w="0" w:type="dxa"/>
            <w:right w:w="0" w:type="dxa"/>
          </w:tblCellMar>
        </w:tblPrEx>
        <w:trPr>
          <w:trHeight w:val="695" w:hRule="atLeast"/>
        </w:trPr>
        <w:tc>
          <w:tcPr>
            <w:tcW w:w="14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color w:val="auto"/>
                <w:kern w:val="2"/>
                <w:sz w:val="28"/>
                <w:highlight w:val="none"/>
              </w:rPr>
            </w:pPr>
            <w:r>
              <w:rPr>
                <w:rFonts w:ascii="宋体" w:hAnsi="宋体" w:cs="宋体"/>
                <w:color w:val="auto"/>
                <w:sz w:val="21"/>
                <w:szCs w:val="22"/>
                <w:highlight w:val="none"/>
                <w:lang w:eastAsia="en-US"/>
              </w:rPr>
              <w:t>项目负责人</w:t>
            </w:r>
          </w:p>
        </w:tc>
        <w:tc>
          <w:tcPr>
            <w:tcW w:w="7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rFonts w:hint="eastAsia"/>
                <w:b/>
                <w:color w:val="auto"/>
                <w:kern w:val="2"/>
                <w:sz w:val="28"/>
                <w:highlight w:val="none"/>
              </w:rPr>
            </w:pPr>
            <w:r>
              <w:rPr>
                <w:rFonts w:hint="eastAsia"/>
                <w:b/>
                <w:color w:val="auto"/>
                <w:kern w:val="2"/>
                <w:sz w:val="28"/>
                <w:highlight w:val="none"/>
              </w:rPr>
              <w:t>1</w:t>
            </w:r>
          </w:p>
        </w:tc>
        <w:tc>
          <w:tcPr>
            <w:tcW w:w="5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rPr>
                <w:rFonts w:hint="eastAsia" w:ascii="宋体" w:hAnsi="宋体" w:cs="宋体"/>
                <w:color w:val="auto"/>
                <w:sz w:val="21"/>
                <w:szCs w:val="22"/>
                <w:highlight w:val="none"/>
              </w:rPr>
            </w:pPr>
            <w:r>
              <w:rPr>
                <w:rFonts w:hint="eastAsia" w:ascii="宋体" w:hAnsi="宋体" w:cs="宋体"/>
                <w:color w:val="auto"/>
                <w:sz w:val="21"/>
                <w:szCs w:val="22"/>
                <w:highlight w:val="none"/>
              </w:rPr>
              <w:t>路桥或相关专业高级工程师及以上职称，持有公路工程试验检测师资格证书。且具有5年及以上公路试验检测工作经验，为投标人自有人员。</w:t>
            </w:r>
          </w:p>
          <w:p>
            <w:pPr>
              <w:snapToGrid w:val="0"/>
              <w:rPr>
                <w:rFonts w:hint="eastAsia" w:ascii="宋体" w:hAnsi="宋体" w:cs="宋体"/>
                <w:color w:val="auto"/>
                <w:sz w:val="21"/>
                <w:szCs w:val="22"/>
                <w:highlight w:val="none"/>
              </w:rPr>
            </w:pPr>
            <w:r>
              <w:rPr>
                <w:rFonts w:hint="eastAsia" w:ascii="宋体" w:hAnsi="宋体" w:cs="宋体"/>
                <w:color w:val="auto"/>
                <w:sz w:val="21"/>
                <w:szCs w:val="22"/>
                <w:highlight w:val="none"/>
              </w:rPr>
              <w:t>试验检测师资格证书专业</w:t>
            </w:r>
            <w:r>
              <w:rPr>
                <w:rFonts w:hint="eastAsia" w:ascii="宋体" w:hAnsi="宋体" w:cs="宋体"/>
                <w:color w:val="auto"/>
                <w:sz w:val="21"/>
                <w:szCs w:val="22"/>
                <w:highlight w:val="none"/>
                <w:lang w:val="en-US" w:eastAsia="zh-CN"/>
              </w:rPr>
              <w:t>含</w:t>
            </w:r>
            <w:r>
              <w:rPr>
                <w:rFonts w:hint="eastAsia" w:ascii="宋体" w:hAnsi="宋体" w:cs="宋体"/>
                <w:color w:val="auto"/>
                <w:sz w:val="21"/>
                <w:szCs w:val="22"/>
                <w:highlight w:val="none"/>
              </w:rPr>
              <w:t>桥梁</w:t>
            </w:r>
            <w:r>
              <w:rPr>
                <w:rFonts w:hint="eastAsia" w:ascii="宋体" w:hAnsi="宋体" w:cs="宋体"/>
                <w:color w:val="auto"/>
                <w:sz w:val="21"/>
                <w:szCs w:val="22"/>
                <w:highlight w:val="none"/>
                <w:lang w:val="en-US" w:eastAsia="zh-CN"/>
              </w:rPr>
              <w:t>专业</w:t>
            </w:r>
            <w:r>
              <w:rPr>
                <w:rFonts w:hint="eastAsia" w:ascii="宋体" w:hAnsi="宋体" w:cs="宋体"/>
                <w:color w:val="auto"/>
                <w:sz w:val="21"/>
                <w:szCs w:val="22"/>
                <w:highlight w:val="none"/>
              </w:rPr>
              <w:t>。</w:t>
            </w:r>
          </w:p>
        </w:tc>
        <w:tc>
          <w:tcPr>
            <w:tcW w:w="1890"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rPr>
                <w:rFonts w:hint="eastAsia" w:ascii="宋体" w:hAnsi="宋体" w:cs="宋体"/>
                <w:color w:val="auto"/>
                <w:sz w:val="21"/>
                <w:szCs w:val="22"/>
                <w:highlight w:val="none"/>
              </w:rPr>
            </w:pPr>
            <w:r>
              <w:rPr>
                <w:rFonts w:hint="eastAsia" w:ascii="宋体" w:hAnsi="宋体" w:cs="宋体"/>
                <w:color w:val="auto"/>
                <w:sz w:val="21"/>
                <w:szCs w:val="22"/>
                <w:highlight w:val="none"/>
              </w:rPr>
              <w:t>无在岗项目（指目前未在其他项目上任职，或虽在项目上任职但本项目中标后能够从该项目撤离）</w:t>
            </w:r>
          </w:p>
          <w:p>
            <w:pPr>
              <w:snapToGrid w:val="0"/>
              <w:ind w:firstLine="420" w:firstLineChars="200"/>
              <w:rPr>
                <w:rFonts w:hint="eastAsia" w:ascii="宋体" w:hAnsi="宋体" w:cs="宋体"/>
                <w:color w:val="auto"/>
                <w:sz w:val="21"/>
                <w:szCs w:val="22"/>
                <w:highlight w:val="none"/>
              </w:rPr>
            </w:pPr>
          </w:p>
        </w:tc>
      </w:tr>
      <w:tr>
        <w:tblPrEx>
          <w:tblCellMar>
            <w:top w:w="0" w:type="dxa"/>
            <w:left w:w="0" w:type="dxa"/>
            <w:bottom w:w="0" w:type="dxa"/>
            <w:right w:w="0" w:type="dxa"/>
          </w:tblCellMar>
        </w:tblPrEx>
        <w:trPr>
          <w:trHeight w:val="810" w:hRule="atLeast"/>
        </w:trPr>
        <w:tc>
          <w:tcPr>
            <w:tcW w:w="14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rFonts w:ascii="宋体" w:hAnsi="宋体" w:cs="宋体"/>
                <w:color w:val="auto"/>
                <w:sz w:val="21"/>
                <w:szCs w:val="22"/>
                <w:highlight w:val="none"/>
                <w:lang w:eastAsia="en-US"/>
              </w:rPr>
            </w:pPr>
            <w:r>
              <w:rPr>
                <w:rFonts w:hint="eastAsia" w:ascii="宋体" w:hAnsi="宋体" w:cs="宋体"/>
                <w:color w:val="auto"/>
                <w:sz w:val="21"/>
                <w:szCs w:val="22"/>
                <w:highlight w:val="none"/>
                <w:lang w:eastAsia="en-US"/>
              </w:rPr>
              <w:t>技术负责人</w:t>
            </w:r>
          </w:p>
        </w:tc>
        <w:tc>
          <w:tcPr>
            <w:tcW w:w="7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rFonts w:hint="eastAsia"/>
                <w:b/>
                <w:color w:val="auto"/>
                <w:kern w:val="2"/>
                <w:sz w:val="28"/>
                <w:highlight w:val="none"/>
              </w:rPr>
            </w:pPr>
            <w:r>
              <w:rPr>
                <w:rFonts w:hint="eastAsia"/>
                <w:b/>
                <w:color w:val="auto"/>
                <w:kern w:val="2"/>
                <w:sz w:val="28"/>
                <w:highlight w:val="none"/>
              </w:rPr>
              <w:t>1</w:t>
            </w:r>
          </w:p>
        </w:tc>
        <w:tc>
          <w:tcPr>
            <w:tcW w:w="5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rPr>
                <w:rFonts w:ascii="宋体" w:hAnsi="宋体" w:cs="宋体"/>
                <w:color w:val="auto"/>
                <w:sz w:val="21"/>
                <w:szCs w:val="22"/>
                <w:highlight w:val="none"/>
              </w:rPr>
            </w:pPr>
            <w:r>
              <w:rPr>
                <w:rFonts w:hint="eastAsia" w:ascii="宋体" w:hAnsi="宋体" w:cs="宋体"/>
                <w:color w:val="auto"/>
                <w:sz w:val="21"/>
                <w:szCs w:val="22"/>
                <w:highlight w:val="none"/>
              </w:rPr>
              <w:t>路桥或相关专业高级工程师及以上职称，持有公路工程（交通工程专业）试验检测师资格证书。具有5年及以上公路试验检测工作经验，为投标人自有人员。</w:t>
            </w:r>
          </w:p>
          <w:p>
            <w:pPr>
              <w:snapToGrid w:val="0"/>
              <w:rPr>
                <w:rFonts w:hint="eastAsia" w:ascii="宋体" w:hAnsi="宋体" w:cs="宋体"/>
                <w:color w:val="auto"/>
                <w:sz w:val="21"/>
                <w:szCs w:val="22"/>
                <w:highlight w:val="none"/>
              </w:rPr>
            </w:pPr>
            <w:r>
              <w:rPr>
                <w:rFonts w:hint="eastAsia" w:ascii="宋体" w:hAnsi="宋体" w:cs="宋体"/>
                <w:color w:val="auto"/>
                <w:sz w:val="21"/>
                <w:szCs w:val="22"/>
                <w:highlight w:val="none"/>
              </w:rPr>
              <w:t>试验检测师资格证书专业</w:t>
            </w:r>
            <w:r>
              <w:rPr>
                <w:rFonts w:hint="eastAsia" w:ascii="宋体" w:hAnsi="宋体" w:cs="宋体"/>
                <w:color w:val="auto"/>
                <w:sz w:val="21"/>
                <w:szCs w:val="22"/>
                <w:highlight w:val="none"/>
                <w:lang w:val="en-US" w:eastAsia="zh-CN"/>
              </w:rPr>
              <w:t>含</w:t>
            </w:r>
            <w:r>
              <w:rPr>
                <w:rFonts w:hint="eastAsia" w:ascii="宋体" w:hAnsi="宋体" w:cs="宋体"/>
                <w:color w:val="auto"/>
                <w:sz w:val="21"/>
                <w:szCs w:val="22"/>
                <w:highlight w:val="none"/>
              </w:rPr>
              <w:t>桥梁</w:t>
            </w:r>
            <w:r>
              <w:rPr>
                <w:rFonts w:hint="eastAsia" w:ascii="宋体" w:hAnsi="宋体" w:cs="宋体"/>
                <w:color w:val="auto"/>
                <w:sz w:val="21"/>
                <w:szCs w:val="22"/>
                <w:highlight w:val="none"/>
                <w:lang w:val="en-US" w:eastAsia="zh-CN"/>
              </w:rPr>
              <w:t>专业</w:t>
            </w:r>
            <w:r>
              <w:rPr>
                <w:rFonts w:hint="eastAsia" w:ascii="宋体" w:hAnsi="宋体" w:cs="宋体"/>
                <w:color w:val="auto"/>
                <w:sz w:val="21"/>
                <w:szCs w:val="22"/>
                <w:highlight w:val="none"/>
              </w:rPr>
              <w:t>。</w:t>
            </w:r>
          </w:p>
        </w:tc>
        <w:tc>
          <w:tcPr>
            <w:tcW w:w="1890"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ind w:firstLine="420" w:firstLineChars="200"/>
              <w:rPr>
                <w:rFonts w:hint="eastAsia" w:ascii="宋体" w:hAnsi="宋体" w:cs="宋体"/>
                <w:color w:val="auto"/>
                <w:sz w:val="21"/>
                <w:szCs w:val="22"/>
                <w:highlight w:val="none"/>
              </w:rPr>
            </w:pPr>
          </w:p>
        </w:tc>
      </w:tr>
      <w:tr>
        <w:tblPrEx>
          <w:tblCellMar>
            <w:top w:w="0" w:type="dxa"/>
            <w:left w:w="0" w:type="dxa"/>
            <w:bottom w:w="0" w:type="dxa"/>
            <w:right w:w="0" w:type="dxa"/>
          </w:tblCellMar>
        </w:tblPrEx>
        <w:trPr>
          <w:trHeight w:val="735" w:hRule="atLeast"/>
        </w:trPr>
        <w:tc>
          <w:tcPr>
            <w:tcW w:w="14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rFonts w:hint="eastAsia" w:ascii="宋体" w:hAnsi="宋体" w:cs="宋体"/>
                <w:color w:val="auto"/>
                <w:sz w:val="21"/>
                <w:szCs w:val="22"/>
                <w:highlight w:val="none"/>
                <w:lang w:eastAsia="en-US"/>
              </w:rPr>
            </w:pPr>
            <w:r>
              <w:rPr>
                <w:rFonts w:hint="eastAsia" w:ascii="宋体" w:hAnsi="宋体" w:cs="宋体"/>
                <w:color w:val="auto"/>
                <w:sz w:val="21"/>
                <w:szCs w:val="22"/>
                <w:highlight w:val="none"/>
                <w:lang w:eastAsia="en-US"/>
              </w:rPr>
              <w:t>技术人员</w:t>
            </w:r>
          </w:p>
        </w:tc>
        <w:tc>
          <w:tcPr>
            <w:tcW w:w="7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rFonts w:hint="eastAsia"/>
                <w:b/>
                <w:color w:val="auto"/>
                <w:kern w:val="2"/>
                <w:sz w:val="28"/>
                <w:highlight w:val="none"/>
              </w:rPr>
            </w:pPr>
            <w:r>
              <w:rPr>
                <w:rFonts w:hint="eastAsia"/>
                <w:b/>
                <w:color w:val="auto"/>
                <w:kern w:val="2"/>
                <w:sz w:val="28"/>
                <w:highlight w:val="none"/>
              </w:rPr>
              <w:t>9</w:t>
            </w:r>
          </w:p>
        </w:tc>
        <w:tc>
          <w:tcPr>
            <w:tcW w:w="5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rPr>
                <w:rFonts w:hint="eastAsia" w:ascii="宋体" w:hAnsi="宋体" w:cs="宋体"/>
                <w:color w:val="auto"/>
                <w:sz w:val="21"/>
                <w:szCs w:val="22"/>
                <w:highlight w:val="none"/>
              </w:rPr>
            </w:pPr>
            <w:r>
              <w:rPr>
                <w:rFonts w:hint="eastAsia" w:ascii="宋体" w:hAnsi="宋体" w:cs="宋体"/>
                <w:color w:val="auto"/>
                <w:sz w:val="21"/>
                <w:szCs w:val="22"/>
                <w:highlight w:val="none"/>
              </w:rPr>
              <w:t>路桥或相关专业工程师及以上职称。</w:t>
            </w:r>
          </w:p>
          <w:p>
            <w:pPr>
              <w:snapToGrid w:val="0"/>
              <w:rPr>
                <w:rFonts w:hint="eastAsia" w:ascii="宋体" w:hAnsi="宋体" w:cs="宋体"/>
                <w:color w:val="auto"/>
                <w:sz w:val="21"/>
                <w:szCs w:val="22"/>
                <w:highlight w:val="none"/>
              </w:rPr>
            </w:pPr>
            <w:r>
              <w:rPr>
                <w:rFonts w:ascii="宋体" w:hAnsi="宋体" w:cs="宋体"/>
                <w:color w:val="auto"/>
                <w:sz w:val="21"/>
                <w:szCs w:val="22"/>
                <w:highlight w:val="none"/>
              </w:rPr>
              <w:t>具有</w:t>
            </w:r>
            <w:r>
              <w:rPr>
                <w:rFonts w:hint="eastAsia" w:ascii="宋体" w:hAnsi="宋体" w:cs="宋体"/>
                <w:color w:val="auto"/>
                <w:sz w:val="21"/>
                <w:szCs w:val="22"/>
                <w:highlight w:val="none"/>
              </w:rPr>
              <w:t>3</w:t>
            </w:r>
            <w:r>
              <w:rPr>
                <w:rFonts w:ascii="宋体" w:hAnsi="宋体" w:cs="宋体"/>
                <w:color w:val="auto"/>
                <w:sz w:val="21"/>
                <w:szCs w:val="22"/>
                <w:highlight w:val="none"/>
              </w:rPr>
              <w:t>年及以上公路试验检测工作经验</w:t>
            </w:r>
            <w:r>
              <w:rPr>
                <w:rFonts w:hint="eastAsia" w:ascii="宋体" w:hAnsi="宋体" w:cs="宋体"/>
                <w:color w:val="auto"/>
                <w:sz w:val="21"/>
                <w:szCs w:val="22"/>
                <w:highlight w:val="none"/>
              </w:rPr>
              <w:t>。</w:t>
            </w:r>
          </w:p>
          <w:p>
            <w:pPr>
              <w:snapToGrid w:val="0"/>
              <w:rPr>
                <w:rFonts w:ascii="宋体" w:hAnsi="宋体" w:cs="宋体"/>
                <w:color w:val="auto"/>
                <w:sz w:val="21"/>
                <w:szCs w:val="22"/>
                <w:highlight w:val="none"/>
              </w:rPr>
            </w:pPr>
            <w:r>
              <w:rPr>
                <w:rFonts w:hint="eastAsia" w:ascii="宋体" w:hAnsi="宋体" w:cs="宋体"/>
                <w:color w:val="auto"/>
                <w:sz w:val="21"/>
                <w:szCs w:val="22"/>
                <w:highlight w:val="none"/>
              </w:rPr>
              <w:t>试验检测师资格证书专业</w:t>
            </w:r>
            <w:r>
              <w:rPr>
                <w:rFonts w:hint="eastAsia" w:ascii="宋体" w:hAnsi="宋体" w:cs="宋体"/>
                <w:color w:val="auto"/>
                <w:sz w:val="21"/>
                <w:szCs w:val="22"/>
                <w:highlight w:val="none"/>
                <w:lang w:val="en-US" w:eastAsia="zh-CN"/>
              </w:rPr>
              <w:t>含</w:t>
            </w:r>
            <w:r>
              <w:rPr>
                <w:rFonts w:hint="eastAsia" w:ascii="宋体" w:hAnsi="宋体" w:cs="宋体"/>
                <w:color w:val="auto"/>
                <w:sz w:val="21"/>
                <w:szCs w:val="22"/>
                <w:highlight w:val="none"/>
              </w:rPr>
              <w:t>桥梁</w:t>
            </w:r>
            <w:r>
              <w:rPr>
                <w:rFonts w:hint="eastAsia" w:ascii="宋体" w:hAnsi="宋体" w:cs="宋体"/>
                <w:color w:val="auto"/>
                <w:sz w:val="21"/>
                <w:szCs w:val="22"/>
                <w:highlight w:val="none"/>
                <w:lang w:val="en-US" w:eastAsia="zh-CN"/>
              </w:rPr>
              <w:t>专业</w:t>
            </w:r>
            <w:r>
              <w:rPr>
                <w:rFonts w:hint="eastAsia" w:ascii="宋体" w:hAnsi="宋体" w:cs="宋体"/>
                <w:color w:val="auto"/>
                <w:sz w:val="21"/>
                <w:szCs w:val="22"/>
                <w:highlight w:val="none"/>
              </w:rPr>
              <w:t>。</w:t>
            </w:r>
          </w:p>
        </w:tc>
        <w:tc>
          <w:tcPr>
            <w:tcW w:w="1890"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firstLine="420" w:firstLineChars="200"/>
              <w:rPr>
                <w:rFonts w:hint="eastAsia" w:ascii="宋体" w:hAnsi="宋体" w:cs="宋体"/>
                <w:color w:val="auto"/>
                <w:sz w:val="21"/>
                <w:szCs w:val="22"/>
                <w:highlight w:val="none"/>
              </w:rPr>
            </w:pPr>
          </w:p>
        </w:tc>
      </w:tr>
    </w:tbl>
    <w:p>
      <w:pPr>
        <w:snapToGrid w:val="0"/>
        <w:rPr>
          <w:b/>
          <w:color w:val="auto"/>
          <w:kern w:val="2"/>
          <w:sz w:val="28"/>
          <w:highlight w:val="none"/>
        </w:rPr>
      </w:pPr>
    </w:p>
    <w:p>
      <w:pPr>
        <w:snapToGrid w:val="0"/>
        <w:rPr>
          <w:b/>
          <w:color w:val="auto"/>
          <w:kern w:val="2"/>
          <w:sz w:val="28"/>
          <w:highlight w:val="none"/>
        </w:rPr>
      </w:pPr>
      <w:r>
        <w:rPr>
          <w:rFonts w:hint="eastAsia"/>
          <w:b/>
          <w:color w:val="auto"/>
          <w:kern w:val="2"/>
          <w:sz w:val="28"/>
          <w:highlight w:val="none"/>
        </w:rPr>
        <w:t>合同段：MSJC</w:t>
      </w:r>
    </w:p>
    <w:tbl>
      <w:tblPr>
        <w:tblStyle w:val="2"/>
        <w:tblW w:w="9747" w:type="dxa"/>
        <w:tblInd w:w="0" w:type="dxa"/>
        <w:tblLayout w:type="fixed"/>
        <w:tblCellMar>
          <w:top w:w="0" w:type="dxa"/>
          <w:left w:w="0" w:type="dxa"/>
          <w:bottom w:w="0" w:type="dxa"/>
          <w:right w:w="0" w:type="dxa"/>
        </w:tblCellMar>
      </w:tblPr>
      <w:tblGrid>
        <w:gridCol w:w="1467"/>
        <w:gridCol w:w="795"/>
        <w:gridCol w:w="5595"/>
        <w:gridCol w:w="1890"/>
      </w:tblGrid>
      <w:tr>
        <w:tblPrEx>
          <w:tblCellMar>
            <w:top w:w="0" w:type="dxa"/>
            <w:left w:w="0" w:type="dxa"/>
            <w:bottom w:w="0" w:type="dxa"/>
            <w:right w:w="0" w:type="dxa"/>
          </w:tblCellMar>
        </w:tblPrEx>
        <w:trPr>
          <w:trHeight w:val="198" w:hRule="atLeast"/>
        </w:trPr>
        <w:tc>
          <w:tcPr>
            <w:tcW w:w="14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color w:val="auto"/>
                <w:kern w:val="2"/>
                <w:sz w:val="28"/>
                <w:highlight w:val="none"/>
              </w:rPr>
            </w:pPr>
            <w:r>
              <w:rPr>
                <w:rFonts w:hint="eastAsia"/>
                <w:color w:val="auto"/>
                <w:kern w:val="2"/>
                <w:sz w:val="28"/>
                <w:highlight w:val="none"/>
                <w:lang w:eastAsia="en-US"/>
              </w:rPr>
              <w:t>人员</w:t>
            </w:r>
          </w:p>
        </w:tc>
        <w:tc>
          <w:tcPr>
            <w:tcW w:w="7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color w:val="auto"/>
                <w:kern w:val="2"/>
                <w:sz w:val="28"/>
                <w:highlight w:val="none"/>
              </w:rPr>
            </w:pPr>
            <w:r>
              <w:rPr>
                <w:rFonts w:hint="eastAsia"/>
                <w:color w:val="auto"/>
                <w:kern w:val="2"/>
                <w:sz w:val="28"/>
                <w:highlight w:val="none"/>
                <w:lang w:eastAsia="en-US"/>
              </w:rPr>
              <w:t>数量</w:t>
            </w:r>
          </w:p>
        </w:tc>
        <w:tc>
          <w:tcPr>
            <w:tcW w:w="5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color w:val="auto"/>
                <w:kern w:val="2"/>
                <w:sz w:val="28"/>
                <w:highlight w:val="none"/>
              </w:rPr>
            </w:pPr>
            <w:r>
              <w:rPr>
                <w:rFonts w:hint="eastAsia"/>
                <w:color w:val="auto"/>
                <w:kern w:val="2"/>
                <w:sz w:val="28"/>
                <w:highlight w:val="none"/>
                <w:lang w:eastAsia="en-US"/>
              </w:rPr>
              <w:t>资格要求</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color w:val="auto"/>
                <w:kern w:val="2"/>
                <w:sz w:val="28"/>
                <w:highlight w:val="none"/>
              </w:rPr>
            </w:pPr>
            <w:r>
              <w:rPr>
                <w:rFonts w:hint="eastAsia"/>
                <w:color w:val="auto"/>
                <w:kern w:val="2"/>
                <w:sz w:val="28"/>
                <w:highlight w:val="none"/>
                <w:lang w:eastAsia="en-US"/>
              </w:rPr>
              <w:t>在岗要求</w:t>
            </w:r>
          </w:p>
        </w:tc>
      </w:tr>
      <w:tr>
        <w:tblPrEx>
          <w:tblCellMar>
            <w:top w:w="0" w:type="dxa"/>
            <w:left w:w="0" w:type="dxa"/>
            <w:bottom w:w="0" w:type="dxa"/>
            <w:right w:w="0" w:type="dxa"/>
          </w:tblCellMar>
        </w:tblPrEx>
        <w:trPr>
          <w:trHeight w:val="695" w:hRule="atLeast"/>
        </w:trPr>
        <w:tc>
          <w:tcPr>
            <w:tcW w:w="14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color w:val="auto"/>
                <w:kern w:val="2"/>
                <w:sz w:val="28"/>
                <w:highlight w:val="none"/>
              </w:rPr>
            </w:pPr>
            <w:r>
              <w:rPr>
                <w:rFonts w:ascii="宋体" w:hAnsi="宋体" w:cs="宋体"/>
                <w:color w:val="auto"/>
                <w:sz w:val="21"/>
                <w:szCs w:val="22"/>
                <w:highlight w:val="none"/>
                <w:lang w:eastAsia="en-US"/>
              </w:rPr>
              <w:t>项目负责人</w:t>
            </w:r>
          </w:p>
        </w:tc>
        <w:tc>
          <w:tcPr>
            <w:tcW w:w="7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rFonts w:hint="eastAsia"/>
                <w:b/>
                <w:color w:val="auto"/>
                <w:kern w:val="2"/>
                <w:sz w:val="28"/>
                <w:highlight w:val="none"/>
              </w:rPr>
            </w:pPr>
            <w:r>
              <w:rPr>
                <w:rFonts w:hint="eastAsia"/>
                <w:b/>
                <w:color w:val="auto"/>
                <w:kern w:val="2"/>
                <w:sz w:val="28"/>
                <w:highlight w:val="none"/>
              </w:rPr>
              <w:t>1</w:t>
            </w:r>
          </w:p>
        </w:tc>
        <w:tc>
          <w:tcPr>
            <w:tcW w:w="5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rPr>
                <w:rFonts w:hint="eastAsia" w:ascii="宋体" w:hAnsi="宋体" w:cs="宋体"/>
                <w:color w:val="auto"/>
                <w:sz w:val="21"/>
                <w:szCs w:val="22"/>
                <w:highlight w:val="none"/>
              </w:rPr>
            </w:pPr>
            <w:r>
              <w:rPr>
                <w:rFonts w:hint="eastAsia" w:ascii="宋体" w:hAnsi="宋体" w:cs="宋体"/>
                <w:color w:val="auto"/>
                <w:sz w:val="21"/>
                <w:szCs w:val="22"/>
                <w:highlight w:val="none"/>
              </w:rPr>
              <w:t>路桥或相关专业高级工程师及以上职称，持有公路工程试验检测师资格证书。且具有5年及以上公路试验检测工作经验，为投标人自有人员。</w:t>
            </w:r>
          </w:p>
          <w:p>
            <w:pPr>
              <w:snapToGrid w:val="0"/>
              <w:rPr>
                <w:rFonts w:hint="eastAsia" w:ascii="宋体" w:hAnsi="宋体" w:cs="宋体"/>
                <w:color w:val="auto"/>
                <w:sz w:val="21"/>
                <w:szCs w:val="22"/>
                <w:highlight w:val="none"/>
              </w:rPr>
            </w:pPr>
            <w:r>
              <w:rPr>
                <w:rFonts w:hint="eastAsia" w:ascii="宋体" w:hAnsi="宋体" w:cs="宋体"/>
                <w:color w:val="auto"/>
                <w:sz w:val="21"/>
                <w:szCs w:val="22"/>
                <w:highlight w:val="none"/>
              </w:rPr>
              <w:t>试验检测师资格证书专业应为道路工程</w:t>
            </w:r>
            <w:r>
              <w:rPr>
                <w:rFonts w:hint="eastAsia" w:ascii="宋体" w:hAnsi="宋体" w:cs="宋体"/>
                <w:color w:val="auto"/>
                <w:sz w:val="21"/>
                <w:szCs w:val="22"/>
                <w:highlight w:val="none"/>
                <w:lang w:val="en-US" w:eastAsia="zh-CN"/>
              </w:rPr>
              <w:t>或</w:t>
            </w:r>
            <w:r>
              <w:rPr>
                <w:rFonts w:hint="eastAsia" w:ascii="宋体" w:hAnsi="宋体" w:cs="宋体"/>
                <w:color w:val="auto"/>
                <w:sz w:val="21"/>
                <w:szCs w:val="22"/>
                <w:highlight w:val="none"/>
              </w:rPr>
              <w:t>桥梁隧道工程专业。</w:t>
            </w:r>
          </w:p>
        </w:tc>
        <w:tc>
          <w:tcPr>
            <w:tcW w:w="1890"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rPr>
                <w:rFonts w:hint="eastAsia" w:ascii="宋体" w:hAnsi="宋体" w:cs="宋体"/>
                <w:color w:val="auto"/>
                <w:sz w:val="21"/>
                <w:szCs w:val="22"/>
                <w:highlight w:val="none"/>
              </w:rPr>
            </w:pPr>
            <w:r>
              <w:rPr>
                <w:rFonts w:hint="eastAsia" w:ascii="宋体" w:hAnsi="宋体" w:cs="宋体"/>
                <w:color w:val="auto"/>
                <w:sz w:val="21"/>
                <w:szCs w:val="22"/>
                <w:highlight w:val="none"/>
              </w:rPr>
              <w:t>无在岗项目（指目前未在其他项目上任职，或虽在项目上任职但本项目中标后能够从该项目撤离）</w:t>
            </w:r>
          </w:p>
          <w:p>
            <w:pPr>
              <w:snapToGrid w:val="0"/>
              <w:ind w:firstLine="420" w:firstLineChars="200"/>
              <w:rPr>
                <w:rFonts w:hint="eastAsia" w:ascii="宋体" w:hAnsi="宋体" w:cs="宋体"/>
                <w:color w:val="auto"/>
                <w:sz w:val="21"/>
                <w:szCs w:val="22"/>
                <w:highlight w:val="none"/>
              </w:rPr>
            </w:pPr>
          </w:p>
        </w:tc>
      </w:tr>
      <w:tr>
        <w:tblPrEx>
          <w:tblCellMar>
            <w:top w:w="0" w:type="dxa"/>
            <w:left w:w="0" w:type="dxa"/>
            <w:bottom w:w="0" w:type="dxa"/>
            <w:right w:w="0" w:type="dxa"/>
          </w:tblCellMar>
        </w:tblPrEx>
        <w:trPr>
          <w:trHeight w:val="810" w:hRule="atLeast"/>
        </w:trPr>
        <w:tc>
          <w:tcPr>
            <w:tcW w:w="14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rFonts w:ascii="宋体" w:hAnsi="宋体" w:cs="宋体"/>
                <w:color w:val="auto"/>
                <w:sz w:val="21"/>
                <w:szCs w:val="22"/>
                <w:highlight w:val="none"/>
                <w:lang w:eastAsia="en-US"/>
              </w:rPr>
            </w:pPr>
            <w:r>
              <w:rPr>
                <w:rFonts w:hint="eastAsia" w:ascii="宋体" w:hAnsi="宋体" w:cs="宋体"/>
                <w:color w:val="auto"/>
                <w:sz w:val="21"/>
                <w:szCs w:val="22"/>
                <w:highlight w:val="none"/>
                <w:lang w:eastAsia="en-US"/>
              </w:rPr>
              <w:t>技术负责人</w:t>
            </w:r>
          </w:p>
        </w:tc>
        <w:tc>
          <w:tcPr>
            <w:tcW w:w="7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rFonts w:hint="eastAsia"/>
                <w:b/>
                <w:color w:val="auto"/>
                <w:kern w:val="2"/>
                <w:sz w:val="28"/>
                <w:highlight w:val="none"/>
              </w:rPr>
            </w:pPr>
            <w:r>
              <w:rPr>
                <w:rFonts w:hint="eastAsia"/>
                <w:b/>
                <w:color w:val="auto"/>
                <w:kern w:val="2"/>
                <w:sz w:val="28"/>
                <w:highlight w:val="none"/>
              </w:rPr>
              <w:t>1</w:t>
            </w:r>
          </w:p>
        </w:tc>
        <w:tc>
          <w:tcPr>
            <w:tcW w:w="5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rPr>
                <w:rFonts w:ascii="宋体" w:hAnsi="宋体" w:cs="宋体"/>
                <w:color w:val="auto"/>
                <w:sz w:val="21"/>
                <w:szCs w:val="22"/>
                <w:highlight w:val="none"/>
              </w:rPr>
            </w:pPr>
            <w:r>
              <w:rPr>
                <w:rFonts w:hint="eastAsia" w:ascii="宋体" w:hAnsi="宋体" w:cs="宋体"/>
                <w:color w:val="auto"/>
                <w:sz w:val="21"/>
                <w:szCs w:val="22"/>
                <w:highlight w:val="none"/>
              </w:rPr>
              <w:t>路桥或相关专业高级工程师及以上职称，持有公路工程（交通工程专业）试验检测师资格证书。具有5年及以上公路试验检测工作经验，为投标人自有人员。</w:t>
            </w:r>
          </w:p>
          <w:p>
            <w:pPr>
              <w:snapToGrid w:val="0"/>
              <w:rPr>
                <w:rFonts w:hint="eastAsia" w:ascii="宋体" w:hAnsi="宋体" w:cs="宋体"/>
                <w:color w:val="auto"/>
                <w:sz w:val="21"/>
                <w:szCs w:val="22"/>
                <w:highlight w:val="none"/>
              </w:rPr>
            </w:pPr>
            <w:r>
              <w:rPr>
                <w:rFonts w:hint="eastAsia" w:ascii="宋体" w:hAnsi="宋体" w:cs="宋体"/>
                <w:color w:val="auto"/>
                <w:sz w:val="21"/>
                <w:szCs w:val="22"/>
                <w:highlight w:val="none"/>
              </w:rPr>
              <w:t>试验检测师资格证书专业应为道路工程</w:t>
            </w:r>
            <w:r>
              <w:rPr>
                <w:rFonts w:hint="eastAsia" w:ascii="宋体" w:hAnsi="宋体" w:cs="宋体"/>
                <w:color w:val="auto"/>
                <w:sz w:val="21"/>
                <w:szCs w:val="22"/>
                <w:highlight w:val="none"/>
                <w:lang w:val="en-US" w:eastAsia="zh-CN"/>
              </w:rPr>
              <w:t>或</w:t>
            </w:r>
            <w:r>
              <w:rPr>
                <w:rFonts w:hint="eastAsia" w:ascii="宋体" w:hAnsi="宋体" w:cs="宋体"/>
                <w:color w:val="auto"/>
                <w:sz w:val="21"/>
                <w:szCs w:val="22"/>
                <w:highlight w:val="none"/>
              </w:rPr>
              <w:t>桥梁隧道工程专业。</w:t>
            </w:r>
          </w:p>
        </w:tc>
        <w:tc>
          <w:tcPr>
            <w:tcW w:w="1890"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ind w:firstLine="420" w:firstLineChars="200"/>
              <w:rPr>
                <w:rFonts w:hint="eastAsia" w:ascii="宋体" w:hAnsi="宋体" w:cs="宋体"/>
                <w:color w:val="auto"/>
                <w:sz w:val="21"/>
                <w:szCs w:val="22"/>
                <w:highlight w:val="none"/>
              </w:rPr>
            </w:pPr>
          </w:p>
        </w:tc>
      </w:tr>
      <w:tr>
        <w:tblPrEx>
          <w:tblCellMar>
            <w:top w:w="0" w:type="dxa"/>
            <w:left w:w="0" w:type="dxa"/>
            <w:bottom w:w="0" w:type="dxa"/>
            <w:right w:w="0" w:type="dxa"/>
          </w:tblCellMar>
        </w:tblPrEx>
        <w:trPr>
          <w:trHeight w:val="735" w:hRule="atLeast"/>
        </w:trPr>
        <w:tc>
          <w:tcPr>
            <w:tcW w:w="14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rFonts w:hint="eastAsia" w:ascii="宋体" w:hAnsi="宋体" w:cs="宋体"/>
                <w:color w:val="auto"/>
                <w:sz w:val="21"/>
                <w:szCs w:val="22"/>
                <w:highlight w:val="none"/>
                <w:lang w:eastAsia="en-US"/>
              </w:rPr>
            </w:pPr>
            <w:r>
              <w:rPr>
                <w:rFonts w:hint="eastAsia" w:ascii="宋体" w:hAnsi="宋体" w:cs="宋体"/>
                <w:color w:val="auto"/>
                <w:sz w:val="21"/>
                <w:szCs w:val="22"/>
                <w:highlight w:val="none"/>
                <w:lang w:eastAsia="en-US"/>
              </w:rPr>
              <w:t>技术人员</w:t>
            </w:r>
          </w:p>
        </w:tc>
        <w:tc>
          <w:tcPr>
            <w:tcW w:w="7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jc w:val="center"/>
              <w:rPr>
                <w:rFonts w:hint="eastAsia"/>
                <w:b/>
                <w:color w:val="auto"/>
                <w:kern w:val="2"/>
                <w:sz w:val="28"/>
                <w:highlight w:val="none"/>
              </w:rPr>
            </w:pPr>
            <w:r>
              <w:rPr>
                <w:rFonts w:hint="eastAsia"/>
                <w:b/>
                <w:color w:val="auto"/>
                <w:kern w:val="2"/>
                <w:sz w:val="28"/>
                <w:highlight w:val="none"/>
              </w:rPr>
              <w:t>9</w:t>
            </w:r>
          </w:p>
        </w:tc>
        <w:tc>
          <w:tcPr>
            <w:tcW w:w="5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rPr>
                <w:rFonts w:hint="eastAsia" w:ascii="宋体" w:hAnsi="宋体" w:cs="宋体"/>
                <w:color w:val="auto"/>
                <w:sz w:val="21"/>
                <w:szCs w:val="22"/>
                <w:highlight w:val="none"/>
                <w:lang w:eastAsia="zh-CN"/>
              </w:rPr>
            </w:pPr>
            <w:r>
              <w:rPr>
                <w:rFonts w:hint="eastAsia" w:ascii="宋体" w:hAnsi="宋体" w:cs="宋体"/>
                <w:color w:val="auto"/>
                <w:sz w:val="21"/>
                <w:szCs w:val="22"/>
                <w:highlight w:val="none"/>
              </w:rPr>
              <w:t>路桥或相关专业工程师及以上职称</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持有试验检测员或助理试验检测师及以上证书</w:t>
            </w:r>
            <w:r>
              <w:rPr>
                <w:rFonts w:hint="eastAsia" w:ascii="宋体" w:hAnsi="宋体" w:cs="宋体"/>
                <w:color w:val="auto"/>
                <w:sz w:val="21"/>
                <w:szCs w:val="22"/>
                <w:highlight w:val="none"/>
                <w:lang w:eastAsia="zh-CN"/>
              </w:rPr>
              <w:t>，</w:t>
            </w:r>
            <w:r>
              <w:rPr>
                <w:rFonts w:ascii="宋体" w:hAnsi="宋体" w:cs="宋体"/>
                <w:color w:val="auto"/>
                <w:sz w:val="21"/>
                <w:szCs w:val="22"/>
                <w:highlight w:val="none"/>
              </w:rPr>
              <w:t>具有</w:t>
            </w:r>
            <w:r>
              <w:rPr>
                <w:rFonts w:hint="eastAsia" w:ascii="宋体" w:hAnsi="宋体" w:cs="宋体"/>
                <w:color w:val="auto"/>
                <w:sz w:val="21"/>
                <w:szCs w:val="22"/>
                <w:highlight w:val="none"/>
              </w:rPr>
              <w:t>3</w:t>
            </w:r>
            <w:r>
              <w:rPr>
                <w:rFonts w:ascii="宋体" w:hAnsi="宋体" w:cs="宋体"/>
                <w:color w:val="auto"/>
                <w:sz w:val="21"/>
                <w:szCs w:val="22"/>
                <w:highlight w:val="none"/>
              </w:rPr>
              <w:t>年及以上公路试验检测工作经验</w:t>
            </w:r>
            <w:r>
              <w:rPr>
                <w:rFonts w:hint="eastAsia" w:ascii="宋体" w:hAnsi="宋体" w:cs="宋体"/>
                <w:color w:val="auto"/>
                <w:sz w:val="21"/>
                <w:szCs w:val="22"/>
                <w:highlight w:val="none"/>
              </w:rPr>
              <w:t>。</w:t>
            </w:r>
            <w:r>
              <w:rPr>
                <w:rFonts w:hint="eastAsia" w:ascii="宋体" w:hAnsi="宋体" w:cs="宋体"/>
                <w:b/>
                <w:bCs/>
                <w:color w:val="auto"/>
                <w:sz w:val="21"/>
                <w:szCs w:val="22"/>
                <w:highlight w:val="none"/>
                <w:lang w:val="en-US" w:eastAsia="zh-CN"/>
              </w:rPr>
              <w:t>持证</w:t>
            </w:r>
            <w:r>
              <w:rPr>
                <w:rFonts w:hint="eastAsia" w:ascii="宋体" w:hAnsi="宋体" w:cs="宋体"/>
                <w:b/>
                <w:bCs/>
                <w:color w:val="auto"/>
                <w:sz w:val="21"/>
                <w:szCs w:val="22"/>
                <w:highlight w:val="none"/>
              </w:rPr>
              <w:t>人员</w:t>
            </w:r>
            <w:r>
              <w:rPr>
                <w:rFonts w:hint="eastAsia" w:ascii="宋体" w:hAnsi="宋体" w:cs="宋体"/>
                <w:b/>
                <w:bCs/>
                <w:color w:val="auto"/>
                <w:sz w:val="21"/>
                <w:szCs w:val="22"/>
                <w:highlight w:val="none"/>
                <w:lang w:val="en-US" w:eastAsia="zh-CN"/>
              </w:rPr>
              <w:t>专业应涵盖</w:t>
            </w:r>
            <w:r>
              <w:rPr>
                <w:rFonts w:hint="eastAsia" w:ascii="宋体" w:hAnsi="宋体" w:cs="宋体"/>
                <w:b/>
                <w:bCs/>
                <w:color w:val="auto"/>
                <w:sz w:val="21"/>
                <w:szCs w:val="22"/>
                <w:highlight w:val="none"/>
              </w:rPr>
              <w:t>公路、桥梁、隧道</w:t>
            </w:r>
            <w:r>
              <w:rPr>
                <w:rFonts w:hint="eastAsia" w:ascii="宋体" w:hAnsi="宋体" w:cs="宋体"/>
                <w:b/>
                <w:bCs/>
                <w:color w:val="auto"/>
                <w:sz w:val="21"/>
                <w:szCs w:val="22"/>
                <w:highlight w:val="none"/>
                <w:lang w:eastAsia="zh-CN"/>
              </w:rPr>
              <w:t>、</w:t>
            </w:r>
            <w:r>
              <w:rPr>
                <w:rFonts w:hint="eastAsia" w:ascii="宋体" w:hAnsi="宋体" w:cs="宋体"/>
                <w:b/>
                <w:bCs/>
                <w:color w:val="auto"/>
                <w:sz w:val="21"/>
                <w:szCs w:val="22"/>
                <w:highlight w:val="none"/>
                <w:lang w:val="en-US" w:eastAsia="zh-CN"/>
              </w:rPr>
              <w:t>交安各专业（允许一人持有多个专业）</w:t>
            </w:r>
            <w:r>
              <w:rPr>
                <w:rFonts w:hint="eastAsia" w:ascii="宋体" w:hAnsi="宋体" w:cs="宋体"/>
                <w:b/>
                <w:bCs/>
                <w:color w:val="auto"/>
                <w:sz w:val="21"/>
                <w:szCs w:val="22"/>
                <w:highlight w:val="none"/>
              </w:rPr>
              <w:t>。</w:t>
            </w:r>
          </w:p>
        </w:tc>
        <w:tc>
          <w:tcPr>
            <w:tcW w:w="1890"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firstLine="420" w:firstLineChars="200"/>
              <w:rPr>
                <w:rFonts w:hint="eastAsia" w:ascii="宋体" w:hAnsi="宋体" w:cs="宋体"/>
                <w:color w:val="auto"/>
                <w:sz w:val="21"/>
                <w:szCs w:val="22"/>
                <w:highlight w:val="none"/>
              </w:rPr>
            </w:pPr>
          </w:p>
        </w:tc>
      </w:tr>
    </w:tbl>
    <w:p>
      <w:pPr>
        <w:widowControl/>
        <w:snapToGrid w:val="0"/>
        <w:rPr>
          <w:rFonts w:hint="eastAsia"/>
          <w:b/>
          <w:color w:val="auto"/>
          <w:kern w:val="2"/>
          <w:sz w:val="28"/>
          <w:highlight w:val="none"/>
        </w:rPr>
      </w:pPr>
    </w:p>
    <w:p>
      <w:pPr>
        <w:widowControl/>
        <w:snapToGrid w:val="0"/>
        <w:spacing w:line="360" w:lineRule="auto"/>
        <w:rPr>
          <w:rFonts w:hint="eastAsia"/>
          <w:color w:val="auto"/>
          <w:kern w:val="2"/>
          <w:highlight w:val="none"/>
        </w:rPr>
      </w:pPr>
      <w:r>
        <w:rPr>
          <w:rFonts w:hint="eastAsia"/>
          <w:color w:val="auto"/>
          <w:kern w:val="2"/>
          <w:highlight w:val="none"/>
        </w:rPr>
        <w:t>注：</w:t>
      </w:r>
    </w:p>
    <w:p>
      <w:pPr>
        <w:widowControl/>
        <w:snapToGrid w:val="0"/>
        <w:spacing w:line="360" w:lineRule="auto"/>
        <w:ind w:firstLine="210" w:firstLineChars="100"/>
        <w:rPr>
          <w:rFonts w:hint="eastAsia"/>
          <w:color w:val="auto"/>
          <w:kern w:val="2"/>
          <w:highlight w:val="none"/>
        </w:rPr>
      </w:pPr>
      <w:r>
        <w:rPr>
          <w:rFonts w:hint="eastAsia"/>
          <w:color w:val="auto"/>
          <w:kern w:val="2"/>
          <w:highlight w:val="none"/>
        </w:rPr>
        <w:t>1. 以上为本项目各合同段所需配备的最低人员要求，如不满足项目实际需求，招标人有权要求中标人加派人员直至满足项目要求；</w:t>
      </w:r>
    </w:p>
    <w:p>
      <w:pPr>
        <w:widowControl/>
        <w:snapToGrid w:val="0"/>
        <w:spacing w:line="360" w:lineRule="auto"/>
        <w:ind w:firstLine="210" w:firstLineChars="100"/>
        <w:rPr>
          <w:rFonts w:hint="eastAsia"/>
          <w:color w:val="auto"/>
          <w:kern w:val="2"/>
          <w:highlight w:val="none"/>
        </w:rPr>
      </w:pPr>
      <w:r>
        <w:rPr>
          <w:rFonts w:hint="eastAsia"/>
          <w:color w:val="auto"/>
          <w:kern w:val="2"/>
          <w:highlight w:val="none"/>
        </w:rPr>
        <w:t>2. 投标人拟投入的项目负责人、技术负责人应当在投标文件中填报，其他管理和技术人员无须在投标文件中填报，具体人选由招标人和中标人在合同谈判阶段确定，但其他管理和技术人员必须满足本表的要求；</w:t>
      </w:r>
    </w:p>
    <w:p>
      <w:pPr>
        <w:widowControl/>
        <w:snapToGrid w:val="0"/>
        <w:spacing w:line="360" w:lineRule="auto"/>
        <w:ind w:firstLine="210" w:firstLineChars="100"/>
        <w:rPr>
          <w:rFonts w:hint="eastAsia"/>
          <w:color w:val="auto"/>
          <w:kern w:val="2"/>
          <w:highlight w:val="none"/>
        </w:rPr>
      </w:pPr>
      <w:r>
        <w:rPr>
          <w:rFonts w:hint="eastAsia"/>
          <w:color w:val="auto"/>
          <w:kern w:val="2"/>
          <w:highlight w:val="none"/>
        </w:rPr>
        <w:t>3.项目负责人（技术负责人）须附的证明资料为：毕业证、身份证、职称证书、试验检测工程师证书、社保缴纳证明、业绩证明的复印件（如有），复印件需加盖投标人单位公章。业绩证明材料中须明示该人员担任项目负责人（技术负责人）。业绩证明资料:</w:t>
      </w:r>
      <w:r>
        <w:rPr>
          <w:rFonts w:hint="eastAsia"/>
          <w:color w:val="auto"/>
          <w:highlight w:val="none"/>
        </w:rPr>
        <w:t xml:space="preserve"> </w:t>
      </w:r>
      <w:r>
        <w:rPr>
          <w:rFonts w:hint="eastAsia"/>
          <w:color w:val="auto"/>
          <w:kern w:val="2"/>
          <w:highlight w:val="none"/>
        </w:rPr>
        <w:t>合同协议书和业主出具的相关证明文件复印件或者合同协议和质量监督部门出具的相关证明文件。如投标人未提供相关业绩证明材料的复印件或相关业绩证明材料的信息无法证实投标人满足招标文件规定的评分要求，则该业绩不予认定。</w:t>
      </w:r>
    </w:p>
    <w:p>
      <w:pPr>
        <w:widowControl/>
        <w:snapToGrid w:val="0"/>
        <w:rPr>
          <w:color w:val="auto"/>
          <w:kern w:val="2"/>
          <w:highlight w:val="none"/>
        </w:rPr>
      </w:pPr>
    </w:p>
    <w:p>
      <w:pPr>
        <w:widowControl/>
        <w:snapToGrid w:val="0"/>
        <w:rPr>
          <w:color w:val="auto"/>
          <w:kern w:val="2"/>
          <w:highlight w:val="none"/>
        </w:rPr>
      </w:pPr>
    </w:p>
    <w:p>
      <w:pPr>
        <w:widowControl/>
        <w:tabs>
          <w:tab w:val="left" w:pos="933"/>
        </w:tabs>
        <w:snapToGrid w:val="0"/>
        <w:rPr>
          <w:rFonts w:hint="eastAsia"/>
          <w:b/>
          <w:color w:val="auto"/>
          <w:kern w:val="2"/>
          <w:sz w:val="28"/>
          <w:highlight w:val="none"/>
        </w:rPr>
      </w:pPr>
      <w:r>
        <w:rPr>
          <w:color w:val="auto"/>
          <w:kern w:val="2"/>
          <w:highlight w:val="none"/>
        </w:rPr>
        <w:tab/>
      </w:r>
      <w:r>
        <w:rPr>
          <w:rFonts w:hint="eastAsia"/>
          <w:b/>
          <w:color w:val="auto"/>
          <w:kern w:val="2"/>
          <w:sz w:val="28"/>
          <w:highlight w:val="none"/>
        </w:rPr>
        <w:t>附录 5 资格审查条件（试验、检测设备及交通设施要求）</w:t>
      </w:r>
    </w:p>
    <w:p>
      <w:pPr>
        <w:snapToGrid w:val="0"/>
        <w:ind w:firstLine="420" w:firstLineChars="200"/>
        <w:jc w:val="both"/>
        <w:rPr>
          <w:rFonts w:hint="eastAsia" w:ascii="宋体" w:hAnsi="宋体" w:cs="宋体"/>
          <w:color w:val="auto"/>
          <w:sz w:val="21"/>
          <w:szCs w:val="22"/>
          <w:highlight w:val="yellow"/>
          <w:lang w:val="en-US" w:eastAsia="zh-CN"/>
        </w:rPr>
      </w:pPr>
    </w:p>
    <w:p>
      <w:pPr>
        <w:snapToGrid w:val="0"/>
        <w:ind w:firstLine="420" w:firstLineChars="200"/>
        <w:jc w:val="both"/>
        <w:rPr>
          <w:rFonts w:hint="default"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在进行“试验、检测设备及交通设施要求”资格审查时，只审查投标人在投标文件中提供的设备清单及有关承诺是否满足要求。如不满足所列资格审查要求，将被认为资格审查不合格。资格审查不要求提供证明材料。</w:t>
      </w:r>
    </w:p>
    <w:p>
      <w:pPr>
        <w:widowControl/>
        <w:snapToGrid w:val="0"/>
        <w:rPr>
          <w:rFonts w:hint="eastAsia"/>
          <w:b/>
          <w:color w:val="auto"/>
          <w:kern w:val="2"/>
          <w:sz w:val="28"/>
          <w:highlight w:val="none"/>
        </w:rPr>
      </w:pPr>
    </w:p>
    <w:p>
      <w:pPr>
        <w:widowControl/>
        <w:snapToGrid w:val="0"/>
        <w:rPr>
          <w:rFonts w:hint="eastAsia"/>
          <w:b/>
          <w:color w:val="auto"/>
          <w:kern w:val="2"/>
          <w:sz w:val="22"/>
          <w:szCs w:val="16"/>
          <w:highlight w:val="none"/>
        </w:rPr>
      </w:pPr>
      <w:r>
        <w:rPr>
          <w:rFonts w:hint="eastAsia"/>
          <w:b/>
          <w:color w:val="auto"/>
          <w:kern w:val="2"/>
          <w:sz w:val="22"/>
          <w:szCs w:val="16"/>
          <w:highlight w:val="none"/>
          <w:lang w:val="en-US" w:eastAsia="zh-CN"/>
        </w:rPr>
        <w:t xml:space="preserve">5-1 </w:t>
      </w:r>
      <w:r>
        <w:rPr>
          <w:rFonts w:hint="eastAsia"/>
          <w:b/>
          <w:color w:val="auto"/>
          <w:kern w:val="2"/>
          <w:sz w:val="22"/>
          <w:szCs w:val="16"/>
          <w:highlight w:val="none"/>
        </w:rPr>
        <w:t>试验、检测设备最低要求</w:t>
      </w:r>
    </w:p>
    <w:tbl>
      <w:tblPr>
        <w:tblStyle w:val="3"/>
        <w:tblpPr w:leftFromText="180" w:rightFromText="180" w:vertAnchor="text" w:horzAnchor="page" w:tblpX="1459" w:tblpY="3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3429"/>
        <w:gridCol w:w="805"/>
        <w:gridCol w:w="668"/>
        <w:gridCol w:w="3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序号</w:t>
            </w:r>
          </w:p>
        </w:tc>
        <w:tc>
          <w:tcPr>
            <w:tcW w:w="3429"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设备名称</w:t>
            </w:r>
          </w:p>
        </w:tc>
        <w:tc>
          <w:tcPr>
            <w:tcW w:w="805"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单位</w:t>
            </w:r>
          </w:p>
        </w:tc>
        <w:tc>
          <w:tcPr>
            <w:tcW w:w="668"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数量</w:t>
            </w:r>
          </w:p>
        </w:tc>
        <w:tc>
          <w:tcPr>
            <w:tcW w:w="3683" w:type="dxa"/>
            <w:noWrap w:val="0"/>
            <w:vAlign w:val="top"/>
          </w:tcPr>
          <w:p>
            <w:pPr>
              <w:snapToGrid w:val="0"/>
              <w:jc w:val="center"/>
              <w:rPr>
                <w:rFonts w:hint="default"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1</w:t>
            </w:r>
          </w:p>
        </w:tc>
        <w:tc>
          <w:tcPr>
            <w:tcW w:w="3429" w:type="dxa"/>
            <w:noWrap w:val="0"/>
            <w:vAlign w:val="top"/>
          </w:tcPr>
          <w:p>
            <w:pPr>
              <w:snapToGrid w:val="0"/>
              <w:jc w:val="center"/>
              <w:rPr>
                <w:rFonts w:hint="eastAsia" w:ascii="宋体" w:hAnsi="宋体" w:cs="宋体"/>
                <w:color w:val="auto"/>
                <w:sz w:val="21"/>
                <w:szCs w:val="22"/>
                <w:highlight w:val="none"/>
              </w:rPr>
            </w:pPr>
            <w:r>
              <w:rPr>
                <w:rFonts w:ascii="VMSAPD+CIDFont+F6" w:hAnsi="VMSAPD+CIDFont+F6" w:cs="VMSAPD+CIDFont+F6"/>
                <w:color w:val="auto"/>
                <w:sz w:val="21"/>
                <w:szCs w:val="22"/>
                <w:highlight w:val="none"/>
                <w:lang w:val="en-US" w:eastAsia="en-US" w:bidi="ar-SA"/>
              </w:rPr>
              <w:t>静态数据采集系统</w:t>
            </w:r>
          </w:p>
        </w:tc>
        <w:tc>
          <w:tcPr>
            <w:tcW w:w="805"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lang w:val="en-US" w:eastAsia="zh-CN"/>
              </w:rPr>
              <w:t>套</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lang w:val="en-US" w:eastAsia="zh-CN"/>
              </w:rPr>
              <w:t>1</w:t>
            </w:r>
          </w:p>
        </w:tc>
        <w:tc>
          <w:tcPr>
            <w:tcW w:w="3683" w:type="dxa"/>
            <w:vMerge w:val="restart"/>
            <w:noWrap w:val="0"/>
            <w:vAlign w:val="top"/>
          </w:tcPr>
          <w:p>
            <w:pPr>
              <w:snapToGrid w:val="0"/>
              <w:rPr>
                <w:rFonts w:hint="eastAsia" w:ascii="宋体" w:hAnsi="宋体" w:cs="宋体"/>
                <w:color w:val="auto"/>
                <w:sz w:val="21"/>
                <w:szCs w:val="22"/>
                <w:highlight w:val="none"/>
                <w:lang w:eastAsia="zh-CN"/>
              </w:rPr>
            </w:pPr>
            <w:r>
              <w:rPr>
                <w:rFonts w:hint="eastAsia" w:ascii="宋体" w:hAnsi="宋体" w:cs="宋体"/>
                <w:color w:val="auto"/>
                <w:sz w:val="21"/>
                <w:szCs w:val="22"/>
                <w:highlight w:val="none"/>
                <w:lang w:val="en-US" w:eastAsia="zh-CN"/>
              </w:rPr>
              <w:t>1.</w:t>
            </w:r>
            <w:r>
              <w:rPr>
                <w:rFonts w:hint="eastAsia" w:ascii="宋体" w:hAnsi="宋体" w:cs="宋体"/>
                <w:color w:val="auto"/>
                <w:sz w:val="21"/>
                <w:szCs w:val="22"/>
                <w:highlight w:val="none"/>
              </w:rPr>
              <w:t>同一台仪器设备具有两种及以上测试功能的，视为符合相应数量要求</w:t>
            </w:r>
            <w:r>
              <w:rPr>
                <w:rFonts w:hint="eastAsia" w:ascii="宋体" w:hAnsi="宋体" w:cs="宋体"/>
                <w:color w:val="auto"/>
                <w:sz w:val="21"/>
                <w:szCs w:val="22"/>
                <w:highlight w:val="none"/>
                <w:lang w:eastAsia="zh-CN"/>
              </w:rPr>
              <w:t>。</w:t>
            </w:r>
          </w:p>
          <w:p>
            <w:pPr>
              <w:snapToGrid w:val="0"/>
              <w:rPr>
                <w:rFonts w:hint="eastAsia" w:ascii="宋体" w:hAnsi="宋体" w:cs="宋体"/>
                <w:color w:val="auto"/>
                <w:sz w:val="21"/>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2</w:t>
            </w:r>
          </w:p>
        </w:tc>
        <w:tc>
          <w:tcPr>
            <w:tcW w:w="3429" w:type="dxa"/>
            <w:noWrap w:val="0"/>
            <w:vAlign w:val="top"/>
          </w:tcPr>
          <w:p>
            <w:pPr>
              <w:snapToGrid w:val="0"/>
              <w:jc w:val="center"/>
              <w:rPr>
                <w:rFonts w:hint="eastAsia" w:ascii="宋体" w:hAnsi="宋体" w:cs="宋体"/>
                <w:color w:val="auto"/>
                <w:sz w:val="21"/>
                <w:szCs w:val="22"/>
                <w:highlight w:val="none"/>
              </w:rPr>
            </w:pPr>
            <w:r>
              <w:rPr>
                <w:rFonts w:ascii="VMSAPD+CIDFont+F6" w:hAnsi="VMSAPD+CIDFont+F6" w:cs="VMSAPD+CIDFont+F6"/>
                <w:color w:val="auto"/>
                <w:sz w:val="21"/>
                <w:szCs w:val="22"/>
                <w:highlight w:val="none"/>
                <w:lang w:val="en-US" w:eastAsia="en-US" w:bidi="ar-SA"/>
              </w:rPr>
              <w:t>动态数据采集系统</w:t>
            </w:r>
          </w:p>
        </w:tc>
        <w:tc>
          <w:tcPr>
            <w:tcW w:w="805"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lang w:val="en-US" w:eastAsia="zh-CN"/>
              </w:rPr>
              <w:t>套</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lang w:val="en-US" w:eastAsia="zh-CN"/>
              </w:rPr>
              <w:t>1</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3</w:t>
            </w:r>
          </w:p>
        </w:tc>
        <w:tc>
          <w:tcPr>
            <w:tcW w:w="3429" w:type="dxa"/>
            <w:noWrap w:val="0"/>
            <w:vAlign w:val="top"/>
          </w:tcPr>
          <w:p>
            <w:pPr>
              <w:snapToGrid w:val="0"/>
              <w:jc w:val="center"/>
              <w:rPr>
                <w:rFonts w:hint="eastAsia" w:ascii="宋体" w:hAnsi="宋体" w:cs="宋体"/>
                <w:color w:val="auto"/>
                <w:sz w:val="21"/>
                <w:szCs w:val="22"/>
                <w:highlight w:val="none"/>
              </w:rPr>
            </w:pPr>
            <w:r>
              <w:rPr>
                <w:rFonts w:ascii="VMSAPD+CIDFont+F6" w:hAnsi="VMSAPD+CIDFont+F6" w:cs="VMSAPD+CIDFont+F6"/>
                <w:color w:val="auto"/>
                <w:sz w:val="21"/>
                <w:szCs w:val="22"/>
                <w:highlight w:val="none"/>
                <w:lang w:val="en-US" w:eastAsia="en-US" w:bidi="ar-SA"/>
              </w:rPr>
              <w:t>桥梁动挠度仪</w:t>
            </w:r>
          </w:p>
        </w:tc>
        <w:tc>
          <w:tcPr>
            <w:tcW w:w="805"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lang w:val="en-US" w:eastAsia="zh-CN"/>
              </w:rPr>
              <w:t>1</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4</w:t>
            </w:r>
          </w:p>
        </w:tc>
        <w:tc>
          <w:tcPr>
            <w:tcW w:w="3429" w:type="dxa"/>
            <w:noWrap w:val="0"/>
            <w:vAlign w:val="top"/>
          </w:tcPr>
          <w:p>
            <w:pPr>
              <w:snapToGrid w:val="0"/>
              <w:jc w:val="center"/>
              <w:rPr>
                <w:rFonts w:hint="eastAsia" w:ascii="宋体" w:hAnsi="宋体" w:cs="宋体"/>
                <w:color w:val="auto"/>
                <w:sz w:val="21"/>
                <w:szCs w:val="22"/>
                <w:highlight w:val="none"/>
              </w:rPr>
            </w:pPr>
            <w:r>
              <w:rPr>
                <w:rFonts w:ascii="VMSAPD+CIDFont+F6" w:hAnsi="VMSAPD+CIDFont+F6" w:cs="VMSAPD+CIDFont+F6"/>
                <w:color w:val="auto"/>
                <w:spacing w:val="1"/>
                <w:sz w:val="21"/>
                <w:szCs w:val="22"/>
                <w:highlight w:val="none"/>
                <w:lang w:val="en-US" w:eastAsia="en-US" w:bidi="ar-SA"/>
              </w:rPr>
              <w:t>全站仪</w:t>
            </w:r>
          </w:p>
        </w:tc>
        <w:tc>
          <w:tcPr>
            <w:tcW w:w="805" w:type="dxa"/>
            <w:noWrap w:val="0"/>
            <w:vAlign w:val="top"/>
          </w:tcPr>
          <w:p>
            <w:pPr>
              <w:snapToGrid w:val="0"/>
              <w:jc w:val="center"/>
              <w:rPr>
                <w:rFonts w:hint="eastAsia" w:ascii="宋体" w:hAnsi="宋体" w:cs="宋体"/>
                <w:color w:val="auto"/>
                <w:sz w:val="21"/>
                <w:szCs w:val="22"/>
                <w:highlight w:val="none"/>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lang w:val="en-US" w:eastAsia="zh-CN"/>
              </w:rPr>
              <w:t>1</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5</w:t>
            </w:r>
          </w:p>
        </w:tc>
        <w:tc>
          <w:tcPr>
            <w:tcW w:w="3429" w:type="dxa"/>
            <w:noWrap w:val="0"/>
            <w:vAlign w:val="top"/>
          </w:tcPr>
          <w:p>
            <w:pPr>
              <w:snapToGrid w:val="0"/>
              <w:jc w:val="center"/>
              <w:rPr>
                <w:rFonts w:hint="eastAsia" w:ascii="宋体" w:hAnsi="宋体" w:cs="宋体"/>
                <w:color w:val="auto"/>
                <w:sz w:val="21"/>
                <w:szCs w:val="22"/>
                <w:highlight w:val="none"/>
              </w:rPr>
            </w:pPr>
            <w:r>
              <w:rPr>
                <w:rFonts w:ascii="VMSAPD+CIDFont+F6" w:hAnsi="VMSAPD+CIDFont+F6" w:cs="VMSAPD+CIDFont+F6"/>
                <w:color w:val="auto"/>
                <w:spacing w:val="1"/>
                <w:sz w:val="21"/>
                <w:szCs w:val="22"/>
                <w:highlight w:val="none"/>
                <w:lang w:val="en-US" w:eastAsia="en-US" w:bidi="ar-SA"/>
              </w:rPr>
              <w:t>光学水准仪</w:t>
            </w:r>
          </w:p>
        </w:tc>
        <w:tc>
          <w:tcPr>
            <w:tcW w:w="805" w:type="dxa"/>
            <w:noWrap w:val="0"/>
            <w:vAlign w:val="top"/>
          </w:tcPr>
          <w:p>
            <w:pPr>
              <w:snapToGrid w:val="0"/>
              <w:jc w:val="center"/>
              <w:rPr>
                <w:rFonts w:hint="eastAsia" w:ascii="宋体" w:hAnsi="宋体" w:cs="宋体"/>
                <w:color w:val="auto"/>
                <w:sz w:val="21"/>
                <w:szCs w:val="22"/>
                <w:highlight w:val="none"/>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lang w:val="en-US" w:eastAsia="zh-CN"/>
              </w:rPr>
              <w:t>2</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6</w:t>
            </w:r>
          </w:p>
        </w:tc>
        <w:tc>
          <w:tcPr>
            <w:tcW w:w="3429" w:type="dxa"/>
            <w:noWrap w:val="0"/>
            <w:vAlign w:val="top"/>
          </w:tcPr>
          <w:p>
            <w:pPr>
              <w:snapToGrid w:val="0"/>
              <w:jc w:val="center"/>
              <w:rPr>
                <w:rFonts w:hint="eastAsia" w:ascii="宋体" w:hAnsi="宋体" w:cs="宋体"/>
                <w:color w:val="auto"/>
                <w:sz w:val="21"/>
                <w:szCs w:val="22"/>
                <w:highlight w:val="none"/>
              </w:rPr>
            </w:pPr>
            <w:r>
              <w:rPr>
                <w:rFonts w:ascii="VMSAPD+CIDFont+F6" w:hAnsi="VMSAPD+CIDFont+F6" w:cs="VMSAPD+CIDFont+F6"/>
                <w:color w:val="auto"/>
                <w:spacing w:val="1"/>
                <w:sz w:val="21"/>
                <w:szCs w:val="22"/>
                <w:highlight w:val="none"/>
                <w:lang w:val="en-US" w:eastAsia="en-US" w:bidi="ar-SA"/>
              </w:rPr>
              <w:t>智能裂缝测宽仪</w:t>
            </w:r>
          </w:p>
        </w:tc>
        <w:tc>
          <w:tcPr>
            <w:tcW w:w="805" w:type="dxa"/>
            <w:noWrap w:val="0"/>
            <w:vAlign w:val="top"/>
          </w:tcPr>
          <w:p>
            <w:pPr>
              <w:snapToGrid w:val="0"/>
              <w:jc w:val="center"/>
              <w:rPr>
                <w:rFonts w:hint="eastAsia" w:ascii="宋体" w:hAnsi="宋体" w:cs="宋体"/>
                <w:color w:val="auto"/>
                <w:sz w:val="21"/>
                <w:szCs w:val="22"/>
                <w:highlight w:val="none"/>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lang w:val="en-US" w:eastAsia="zh-CN"/>
              </w:rPr>
              <w:t>1</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7</w:t>
            </w:r>
          </w:p>
        </w:tc>
        <w:tc>
          <w:tcPr>
            <w:tcW w:w="3429" w:type="dxa"/>
            <w:noWrap w:val="0"/>
            <w:vAlign w:val="top"/>
          </w:tcPr>
          <w:p>
            <w:pPr>
              <w:snapToGrid w:val="0"/>
              <w:jc w:val="center"/>
              <w:rPr>
                <w:rFonts w:hint="eastAsia" w:ascii="宋体" w:hAnsi="宋体" w:cs="宋体"/>
                <w:color w:val="auto"/>
                <w:sz w:val="21"/>
                <w:szCs w:val="22"/>
                <w:highlight w:val="none"/>
              </w:rPr>
            </w:pPr>
            <w:r>
              <w:rPr>
                <w:rFonts w:ascii="VMSAPD+CIDFont+F6" w:hAnsi="VMSAPD+CIDFont+F6" w:cs="VMSAPD+CIDFont+F6"/>
                <w:color w:val="auto"/>
                <w:spacing w:val="1"/>
                <w:sz w:val="21"/>
                <w:szCs w:val="22"/>
                <w:highlight w:val="none"/>
                <w:lang w:val="en-US" w:eastAsia="en-US" w:bidi="ar-SA"/>
              </w:rPr>
              <w:t>回弹仪</w:t>
            </w:r>
          </w:p>
        </w:tc>
        <w:tc>
          <w:tcPr>
            <w:tcW w:w="805" w:type="dxa"/>
            <w:noWrap w:val="0"/>
            <w:vAlign w:val="top"/>
          </w:tcPr>
          <w:p>
            <w:pPr>
              <w:snapToGrid w:val="0"/>
              <w:jc w:val="center"/>
              <w:rPr>
                <w:rFonts w:hint="eastAsia" w:ascii="宋体" w:hAnsi="宋体" w:cs="宋体"/>
                <w:color w:val="auto"/>
                <w:sz w:val="21"/>
                <w:szCs w:val="22"/>
                <w:highlight w:val="none"/>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lang w:val="en-US" w:eastAsia="zh-CN"/>
              </w:rPr>
              <w:t>2</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93" w:type="dxa"/>
            <w:noWrap w:val="0"/>
            <w:vAlign w:val="top"/>
          </w:tcPr>
          <w:p>
            <w:pPr>
              <w:snapToGrid w:val="0"/>
              <w:jc w:val="center"/>
              <w:rPr>
                <w:rFonts w:hint="default"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8</w:t>
            </w:r>
          </w:p>
        </w:tc>
        <w:tc>
          <w:tcPr>
            <w:tcW w:w="3429" w:type="dxa"/>
            <w:noWrap w:val="0"/>
            <w:vAlign w:val="top"/>
          </w:tcPr>
          <w:p>
            <w:pPr>
              <w:snapToGrid w:val="0"/>
              <w:jc w:val="center"/>
              <w:rPr>
                <w:rFonts w:hint="eastAsia" w:ascii="宋体" w:hAnsi="宋体" w:cs="宋体"/>
                <w:color w:val="auto"/>
                <w:sz w:val="21"/>
                <w:szCs w:val="22"/>
                <w:highlight w:val="none"/>
              </w:rPr>
            </w:pPr>
            <w:r>
              <w:rPr>
                <w:rFonts w:ascii="VMSAPD+CIDFont+F6" w:hAnsi="VMSAPD+CIDFont+F6" w:cs="VMSAPD+CIDFont+F6"/>
                <w:color w:val="auto"/>
                <w:sz w:val="21"/>
                <w:szCs w:val="22"/>
                <w:highlight w:val="none"/>
                <w:lang w:val="en-US" w:eastAsia="en-US" w:bidi="ar-SA"/>
              </w:rPr>
              <w:t>钢筋保护层厚度检测仪</w:t>
            </w:r>
          </w:p>
        </w:tc>
        <w:tc>
          <w:tcPr>
            <w:tcW w:w="805" w:type="dxa"/>
            <w:noWrap w:val="0"/>
            <w:vAlign w:val="top"/>
          </w:tcPr>
          <w:p>
            <w:pPr>
              <w:snapToGrid w:val="0"/>
              <w:jc w:val="center"/>
              <w:rPr>
                <w:rFonts w:hint="eastAsia" w:ascii="宋体" w:hAnsi="宋体" w:cs="宋体"/>
                <w:color w:val="auto"/>
                <w:sz w:val="21"/>
                <w:szCs w:val="22"/>
                <w:highlight w:val="none"/>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lang w:val="en-US" w:eastAsia="zh-CN"/>
              </w:rPr>
              <w:t>1</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93" w:type="dxa"/>
            <w:noWrap w:val="0"/>
            <w:vAlign w:val="top"/>
          </w:tcPr>
          <w:p>
            <w:pPr>
              <w:snapToGrid w:val="0"/>
              <w:jc w:val="center"/>
              <w:rPr>
                <w:rFonts w:hint="default" w:ascii="宋体" w:hAnsi="宋体" w:cs="宋体"/>
                <w:color w:val="auto"/>
                <w:sz w:val="21"/>
                <w:szCs w:val="22"/>
                <w:highlight w:val="none"/>
                <w:lang w:val="en-US" w:eastAsia="zh-CN" w:bidi="ar-SA"/>
              </w:rPr>
            </w:pPr>
            <w:r>
              <w:rPr>
                <w:rFonts w:hint="eastAsia" w:ascii="宋体" w:hAnsi="宋体" w:cs="宋体"/>
                <w:color w:val="auto"/>
                <w:sz w:val="21"/>
                <w:szCs w:val="22"/>
                <w:highlight w:val="none"/>
                <w:lang w:val="en-US" w:eastAsia="zh-CN"/>
              </w:rPr>
              <w:t>9</w:t>
            </w:r>
          </w:p>
        </w:tc>
        <w:tc>
          <w:tcPr>
            <w:tcW w:w="3429" w:type="dxa"/>
            <w:noWrap w:val="0"/>
            <w:vAlign w:val="top"/>
          </w:tcPr>
          <w:p>
            <w:pPr>
              <w:snapToGrid w:val="0"/>
              <w:jc w:val="center"/>
              <w:rPr>
                <w:rFonts w:hint="eastAsia" w:ascii="VMSAPD+CIDFont+F6" w:hAnsi="VMSAPD+CIDFont+F6" w:cs="VMSAPD+CIDFont+F6"/>
                <w:color w:val="auto"/>
                <w:spacing w:val="1"/>
                <w:sz w:val="21"/>
                <w:szCs w:val="22"/>
                <w:highlight w:val="none"/>
                <w:lang w:val="en-US" w:eastAsia="en-US" w:bidi="ar-SA"/>
              </w:rPr>
            </w:pPr>
            <w:r>
              <w:rPr>
                <w:rFonts w:hint="eastAsia" w:ascii="VMSAPD+CIDFont+F6" w:hAnsi="VMSAPD+CIDFont+F6" w:cs="VMSAPD+CIDFont+F6"/>
                <w:color w:val="auto"/>
                <w:sz w:val="21"/>
                <w:szCs w:val="22"/>
                <w:highlight w:val="none"/>
                <w:lang w:val="en-US" w:eastAsia="en-US" w:bidi="ar-SA"/>
              </w:rPr>
              <w:t>桥梁综合检测车</w:t>
            </w:r>
          </w:p>
        </w:tc>
        <w:tc>
          <w:tcPr>
            <w:tcW w:w="805" w:type="dxa"/>
            <w:noWrap w:val="0"/>
            <w:vAlign w:val="top"/>
          </w:tcPr>
          <w:p>
            <w:pPr>
              <w:snapToGrid w:val="0"/>
              <w:jc w:val="center"/>
              <w:rPr>
                <w:rFonts w:hint="eastAsia" w:ascii="宋体" w:hAnsi="宋体" w:cs="宋体"/>
                <w:color w:val="auto"/>
                <w:sz w:val="21"/>
                <w:szCs w:val="22"/>
                <w:highlight w:val="none"/>
              </w:rPr>
            </w:pPr>
            <w:r>
              <w:rPr>
                <w:rFonts w:hint="eastAsia" w:ascii="宋体" w:hAnsi="宋体" w:eastAsia="宋体" w:cs="宋体"/>
                <w:color w:val="auto"/>
                <w:sz w:val="21"/>
                <w:szCs w:val="22"/>
                <w:highlight w:val="none"/>
                <w:lang w:val="en-US" w:eastAsia="zh-CN"/>
              </w:rPr>
              <w:t>辆</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eastAsia="宋体" w:cs="宋体"/>
                <w:color w:val="auto"/>
                <w:sz w:val="21"/>
                <w:szCs w:val="22"/>
                <w:highlight w:val="none"/>
                <w:lang w:val="en-US" w:eastAsia="zh-CN"/>
              </w:rPr>
              <w:t>2</w:t>
            </w:r>
          </w:p>
        </w:tc>
        <w:tc>
          <w:tcPr>
            <w:tcW w:w="3683" w:type="dxa"/>
            <w:vMerge w:val="continue"/>
            <w:noWrap w:val="0"/>
            <w:vAlign w:val="top"/>
          </w:tcPr>
          <w:p>
            <w:pPr>
              <w:snapToGrid w:val="0"/>
              <w:rPr>
                <w:rFonts w:hint="eastAsia" w:ascii="宋体" w:hAnsi="宋体" w:cs="宋体"/>
                <w:color w:val="auto"/>
                <w:sz w:val="21"/>
                <w:szCs w:val="22"/>
                <w:highlight w:val="none"/>
              </w:rPr>
            </w:pPr>
          </w:p>
        </w:tc>
      </w:tr>
    </w:tbl>
    <w:p>
      <w:pPr>
        <w:snapToGrid w:val="0"/>
        <w:jc w:val="both"/>
        <w:rPr>
          <w:rFonts w:hint="eastAsia" w:ascii="宋体" w:hAnsi="宋体" w:cs="宋体"/>
          <w:color w:val="auto"/>
          <w:sz w:val="21"/>
          <w:szCs w:val="22"/>
          <w:highlight w:val="none"/>
        </w:rPr>
      </w:pPr>
      <w:r>
        <w:rPr>
          <w:rFonts w:hint="eastAsia" w:ascii="宋体" w:hAnsi="宋体" w:cs="宋体"/>
          <w:color w:val="auto"/>
          <w:sz w:val="21"/>
          <w:szCs w:val="22"/>
          <w:highlight w:val="none"/>
        </w:rPr>
        <w:t>适用合同段：MSQJ-1、MSQJ-2、MSQJ-3</w:t>
      </w:r>
    </w:p>
    <w:p>
      <w:pPr>
        <w:snapToGrid w:val="0"/>
        <w:rPr>
          <w:color w:val="auto"/>
          <w:kern w:val="2"/>
          <w:sz w:val="21"/>
          <w:highlight w:val="none"/>
        </w:rPr>
      </w:pPr>
    </w:p>
    <w:p>
      <w:pPr>
        <w:snapToGrid w:val="0"/>
        <w:rPr>
          <w:color w:val="auto"/>
          <w:kern w:val="2"/>
          <w:sz w:val="21"/>
          <w:highlight w:val="none"/>
        </w:rPr>
      </w:pPr>
    </w:p>
    <w:p>
      <w:pPr>
        <w:snapToGrid w:val="0"/>
        <w:jc w:val="both"/>
        <w:rPr>
          <w:color w:val="auto"/>
          <w:kern w:val="2"/>
          <w:sz w:val="21"/>
          <w:highlight w:val="none"/>
        </w:rPr>
      </w:pPr>
      <w:r>
        <w:rPr>
          <w:rFonts w:hint="eastAsia" w:ascii="宋体" w:hAnsi="宋体" w:cs="宋体"/>
          <w:color w:val="auto"/>
          <w:sz w:val="21"/>
          <w:szCs w:val="22"/>
          <w:highlight w:val="none"/>
          <w:lang w:val="en-US" w:eastAsia="zh-CN"/>
        </w:rPr>
        <w:t>适用合同段：</w:t>
      </w:r>
      <w:r>
        <w:rPr>
          <w:rFonts w:hint="eastAsia" w:ascii="宋体" w:hAnsi="宋体" w:cs="宋体"/>
          <w:color w:val="auto"/>
          <w:sz w:val="21"/>
          <w:szCs w:val="22"/>
          <w:highlight w:val="none"/>
        </w:rPr>
        <w:t>MSJC</w:t>
      </w:r>
    </w:p>
    <w:tbl>
      <w:tblPr>
        <w:tblStyle w:val="3"/>
        <w:tblpPr w:leftFromText="180" w:rightFromText="180" w:vertAnchor="text" w:horzAnchor="page" w:tblpX="1458" w:tblpY="1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3429"/>
        <w:gridCol w:w="805"/>
        <w:gridCol w:w="668"/>
        <w:gridCol w:w="3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序号</w:t>
            </w:r>
          </w:p>
        </w:tc>
        <w:tc>
          <w:tcPr>
            <w:tcW w:w="3429"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设备名称</w:t>
            </w:r>
          </w:p>
        </w:tc>
        <w:tc>
          <w:tcPr>
            <w:tcW w:w="805"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单位</w:t>
            </w:r>
          </w:p>
        </w:tc>
        <w:tc>
          <w:tcPr>
            <w:tcW w:w="668"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数量</w:t>
            </w:r>
          </w:p>
        </w:tc>
        <w:tc>
          <w:tcPr>
            <w:tcW w:w="3683" w:type="dxa"/>
            <w:noWrap w:val="0"/>
            <w:vAlign w:val="top"/>
          </w:tcPr>
          <w:p>
            <w:pPr>
              <w:snapToGrid w:val="0"/>
              <w:jc w:val="center"/>
              <w:rPr>
                <w:rFonts w:hint="default"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1</w:t>
            </w:r>
          </w:p>
        </w:tc>
        <w:tc>
          <w:tcPr>
            <w:tcW w:w="3429" w:type="dxa"/>
            <w:noWrap w:val="0"/>
            <w:vAlign w:val="top"/>
          </w:tcPr>
          <w:p>
            <w:pPr>
              <w:snapToGrid w:val="0"/>
              <w:jc w:val="center"/>
              <w:rPr>
                <w:rFonts w:hint="eastAsia" w:ascii="宋体" w:hAnsi="宋体" w:cs="宋体"/>
                <w:color w:val="auto"/>
                <w:sz w:val="21"/>
                <w:szCs w:val="22"/>
                <w:highlight w:val="none"/>
                <w:lang w:val="en-US" w:eastAsia="en-US"/>
              </w:rPr>
            </w:pPr>
            <w:r>
              <w:rPr>
                <w:rFonts w:hint="eastAsia" w:ascii="宋体" w:hAnsi="宋体" w:cs="宋体"/>
                <w:color w:val="auto"/>
                <w:sz w:val="21"/>
                <w:szCs w:val="22"/>
                <w:highlight w:val="none"/>
                <w:lang w:val="en-US" w:eastAsia="en-US"/>
              </w:rPr>
              <w:t>自动弯沉仪</w:t>
            </w:r>
          </w:p>
        </w:tc>
        <w:tc>
          <w:tcPr>
            <w:tcW w:w="805"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1</w:t>
            </w:r>
          </w:p>
        </w:tc>
        <w:tc>
          <w:tcPr>
            <w:tcW w:w="3683" w:type="dxa"/>
            <w:vMerge w:val="restart"/>
            <w:noWrap w:val="0"/>
            <w:vAlign w:val="top"/>
          </w:tcPr>
          <w:p>
            <w:pPr>
              <w:snapToGrid w:val="0"/>
              <w:rPr>
                <w:rFonts w:hint="eastAsia" w:ascii="宋体" w:hAnsi="宋体" w:cs="宋体"/>
                <w:color w:val="auto"/>
                <w:sz w:val="21"/>
                <w:szCs w:val="22"/>
                <w:highlight w:val="none"/>
                <w:lang w:eastAsia="zh-CN"/>
              </w:rPr>
            </w:pPr>
            <w:r>
              <w:rPr>
                <w:rFonts w:hint="eastAsia" w:ascii="宋体" w:hAnsi="宋体" w:cs="宋体"/>
                <w:color w:val="auto"/>
                <w:sz w:val="21"/>
                <w:szCs w:val="22"/>
                <w:highlight w:val="none"/>
                <w:lang w:val="en-US" w:eastAsia="zh-CN"/>
              </w:rPr>
              <w:t>1.</w:t>
            </w:r>
            <w:r>
              <w:rPr>
                <w:rFonts w:hint="eastAsia" w:ascii="宋体" w:hAnsi="宋体" w:cs="宋体"/>
                <w:color w:val="auto"/>
                <w:sz w:val="21"/>
                <w:szCs w:val="22"/>
                <w:highlight w:val="none"/>
              </w:rPr>
              <w:t>同一台仪器设备具有两种及以上测试功能的，视为符合相应数量要求</w:t>
            </w:r>
            <w:r>
              <w:rPr>
                <w:rFonts w:hint="eastAsia" w:ascii="宋体" w:hAnsi="宋体" w:cs="宋体"/>
                <w:color w:val="auto"/>
                <w:sz w:val="21"/>
                <w:szCs w:val="22"/>
                <w:highlight w:val="none"/>
                <w:lang w:eastAsia="zh-CN"/>
              </w:rPr>
              <w:t>。</w:t>
            </w:r>
          </w:p>
          <w:p>
            <w:pPr>
              <w:snapToGrid w:val="0"/>
              <w:jc w:val="center"/>
              <w:rPr>
                <w:rFonts w:hint="eastAsia" w:ascii="宋体" w:hAnsi="宋体" w:cs="宋体"/>
                <w:color w:val="auto"/>
                <w:sz w:val="21"/>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2</w:t>
            </w:r>
          </w:p>
        </w:tc>
        <w:tc>
          <w:tcPr>
            <w:tcW w:w="3429" w:type="dxa"/>
            <w:noWrap w:val="0"/>
            <w:vAlign w:val="top"/>
          </w:tcPr>
          <w:p>
            <w:pPr>
              <w:snapToGrid w:val="0"/>
              <w:jc w:val="center"/>
              <w:rPr>
                <w:rFonts w:hint="eastAsia" w:ascii="宋体" w:hAnsi="宋体" w:cs="宋体"/>
                <w:color w:val="auto"/>
                <w:sz w:val="21"/>
                <w:szCs w:val="22"/>
                <w:highlight w:val="none"/>
                <w:lang w:val="en-US" w:eastAsia="en-US"/>
              </w:rPr>
            </w:pPr>
            <w:r>
              <w:rPr>
                <w:rFonts w:hint="eastAsia" w:ascii="宋体" w:hAnsi="宋体" w:cs="宋体"/>
                <w:color w:val="auto"/>
                <w:sz w:val="21"/>
                <w:szCs w:val="22"/>
                <w:highlight w:val="none"/>
                <w:lang w:val="en-US" w:eastAsia="en-US"/>
              </w:rPr>
              <w:t>自动平整度测试设备</w:t>
            </w:r>
          </w:p>
        </w:tc>
        <w:tc>
          <w:tcPr>
            <w:tcW w:w="805"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1</w:t>
            </w:r>
          </w:p>
        </w:tc>
        <w:tc>
          <w:tcPr>
            <w:tcW w:w="3683" w:type="dxa"/>
            <w:vMerge w:val="continue"/>
            <w:noWrap w:val="0"/>
            <w:vAlign w:val="top"/>
          </w:tcPr>
          <w:p>
            <w:pPr>
              <w:snapToGrid w:val="0"/>
              <w:jc w:val="center"/>
              <w:rPr>
                <w:rFonts w:hint="eastAsia" w:ascii="宋体" w:hAnsi="宋体" w:cs="宋体"/>
                <w:color w:val="auto"/>
                <w:sz w:val="21"/>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3</w:t>
            </w:r>
          </w:p>
        </w:tc>
        <w:tc>
          <w:tcPr>
            <w:tcW w:w="3429" w:type="dxa"/>
            <w:noWrap w:val="0"/>
            <w:vAlign w:val="top"/>
          </w:tcPr>
          <w:p>
            <w:pPr>
              <w:snapToGrid w:val="0"/>
              <w:jc w:val="center"/>
              <w:rPr>
                <w:rFonts w:hint="eastAsia" w:ascii="宋体" w:hAnsi="宋体" w:cs="宋体"/>
                <w:color w:val="auto"/>
                <w:sz w:val="21"/>
                <w:szCs w:val="22"/>
                <w:highlight w:val="none"/>
                <w:lang w:val="en-US" w:eastAsia="en-US"/>
              </w:rPr>
            </w:pPr>
            <w:r>
              <w:rPr>
                <w:rFonts w:hint="eastAsia" w:ascii="宋体" w:hAnsi="宋体" w:cs="宋体"/>
                <w:color w:val="auto"/>
                <w:sz w:val="21"/>
                <w:szCs w:val="22"/>
                <w:highlight w:val="none"/>
                <w:lang w:val="en-US" w:eastAsia="en-US"/>
              </w:rPr>
              <w:t>地质雷达</w:t>
            </w:r>
          </w:p>
        </w:tc>
        <w:tc>
          <w:tcPr>
            <w:tcW w:w="805"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1</w:t>
            </w:r>
          </w:p>
        </w:tc>
        <w:tc>
          <w:tcPr>
            <w:tcW w:w="3683" w:type="dxa"/>
            <w:vMerge w:val="continue"/>
            <w:noWrap w:val="0"/>
            <w:vAlign w:val="top"/>
          </w:tcPr>
          <w:p>
            <w:pPr>
              <w:snapToGrid w:val="0"/>
              <w:jc w:val="center"/>
              <w:rPr>
                <w:rFonts w:hint="eastAsia" w:ascii="宋体" w:hAnsi="宋体" w:cs="宋体"/>
                <w:color w:val="auto"/>
                <w:sz w:val="21"/>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4</w:t>
            </w:r>
          </w:p>
        </w:tc>
        <w:tc>
          <w:tcPr>
            <w:tcW w:w="3429" w:type="dxa"/>
            <w:noWrap w:val="0"/>
            <w:vAlign w:val="top"/>
          </w:tcPr>
          <w:p>
            <w:pPr>
              <w:snapToGrid w:val="0"/>
              <w:jc w:val="center"/>
              <w:rPr>
                <w:rFonts w:hint="eastAsia" w:ascii="VMSAPD+CIDFont+F6" w:hAnsi="VMSAPD+CIDFont+F6" w:cs="VMSAPD+CIDFont+F6"/>
                <w:color w:val="auto"/>
                <w:spacing w:val="1"/>
                <w:sz w:val="21"/>
                <w:szCs w:val="22"/>
                <w:highlight w:val="none"/>
                <w:lang w:val="en-US" w:eastAsia="en-US" w:bidi="ar-SA"/>
              </w:rPr>
            </w:pPr>
            <w:r>
              <w:rPr>
                <w:rFonts w:ascii="VMSAPD+CIDFont+F6" w:hAnsi="VMSAPD+CIDFont+F6" w:cs="VMSAPD+CIDFont+F6"/>
                <w:color w:val="auto"/>
                <w:spacing w:val="1"/>
                <w:sz w:val="21"/>
                <w:szCs w:val="22"/>
                <w:highlight w:val="none"/>
                <w:lang w:val="en-US" w:eastAsia="en-US" w:bidi="ar-SA"/>
              </w:rPr>
              <w:t>摩擦系数测定仪</w:t>
            </w:r>
          </w:p>
        </w:tc>
        <w:tc>
          <w:tcPr>
            <w:tcW w:w="805" w:type="dxa"/>
            <w:noWrap w:val="0"/>
            <w:vAlign w:val="top"/>
          </w:tcPr>
          <w:p>
            <w:pPr>
              <w:snapToGrid w:val="0"/>
              <w:jc w:val="center"/>
              <w:rPr>
                <w:rFonts w:hint="eastAsia" w:ascii="宋体" w:hAnsi="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1</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5</w:t>
            </w:r>
          </w:p>
        </w:tc>
        <w:tc>
          <w:tcPr>
            <w:tcW w:w="3429" w:type="dxa"/>
            <w:noWrap w:val="0"/>
            <w:vAlign w:val="top"/>
          </w:tcPr>
          <w:p>
            <w:pPr>
              <w:snapToGrid w:val="0"/>
              <w:jc w:val="center"/>
              <w:rPr>
                <w:rFonts w:hint="eastAsia" w:ascii="VMSAPD+CIDFont+F6" w:hAnsi="VMSAPD+CIDFont+F6" w:cs="VMSAPD+CIDFont+F6"/>
                <w:color w:val="auto"/>
                <w:spacing w:val="1"/>
                <w:sz w:val="21"/>
                <w:szCs w:val="22"/>
                <w:highlight w:val="none"/>
                <w:lang w:val="en-US" w:eastAsia="en-US" w:bidi="ar-SA"/>
              </w:rPr>
            </w:pPr>
            <w:r>
              <w:rPr>
                <w:rFonts w:ascii="VMSAPD+CIDFont+F6" w:hAnsi="VMSAPD+CIDFont+F6" w:cs="VMSAPD+CIDFont+F6"/>
                <w:color w:val="auto"/>
                <w:spacing w:val="1"/>
                <w:sz w:val="21"/>
                <w:szCs w:val="22"/>
                <w:highlight w:val="none"/>
                <w:lang w:val="en-US" w:eastAsia="en-US" w:bidi="ar-SA"/>
              </w:rPr>
              <w:t>路面构造深度自动测定仪</w:t>
            </w:r>
          </w:p>
        </w:tc>
        <w:tc>
          <w:tcPr>
            <w:tcW w:w="805" w:type="dxa"/>
            <w:noWrap w:val="0"/>
            <w:vAlign w:val="top"/>
          </w:tcPr>
          <w:p>
            <w:pPr>
              <w:snapToGrid w:val="0"/>
              <w:jc w:val="center"/>
              <w:rPr>
                <w:rFonts w:hint="eastAsia" w:ascii="宋体" w:hAnsi="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1</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6</w:t>
            </w:r>
          </w:p>
        </w:tc>
        <w:tc>
          <w:tcPr>
            <w:tcW w:w="3429" w:type="dxa"/>
            <w:noWrap w:val="0"/>
            <w:vAlign w:val="top"/>
          </w:tcPr>
          <w:p>
            <w:pPr>
              <w:snapToGrid w:val="0"/>
              <w:jc w:val="center"/>
              <w:rPr>
                <w:rFonts w:hint="eastAsia" w:ascii="VMSAPD+CIDFont+F6" w:hAnsi="VMSAPD+CIDFont+F6" w:cs="VMSAPD+CIDFont+F6"/>
                <w:color w:val="auto"/>
                <w:spacing w:val="1"/>
                <w:sz w:val="21"/>
                <w:szCs w:val="22"/>
                <w:highlight w:val="none"/>
                <w:lang w:val="en-US" w:eastAsia="en-US" w:bidi="ar-SA"/>
              </w:rPr>
            </w:pPr>
            <w:r>
              <w:rPr>
                <w:rFonts w:ascii="VMSAPD+CIDFont+F6" w:hAnsi="VMSAPD+CIDFont+F6" w:cs="VMSAPD+CIDFont+F6"/>
                <w:color w:val="auto"/>
                <w:spacing w:val="1"/>
                <w:sz w:val="21"/>
                <w:szCs w:val="22"/>
                <w:highlight w:val="none"/>
                <w:lang w:val="en-US" w:eastAsia="en-US" w:bidi="ar-SA"/>
              </w:rPr>
              <w:t>路面横向力系数测定车</w:t>
            </w:r>
          </w:p>
        </w:tc>
        <w:tc>
          <w:tcPr>
            <w:tcW w:w="805" w:type="dxa"/>
            <w:noWrap w:val="0"/>
            <w:vAlign w:val="top"/>
          </w:tcPr>
          <w:p>
            <w:pPr>
              <w:snapToGrid w:val="0"/>
              <w:jc w:val="center"/>
              <w:rPr>
                <w:rFonts w:hint="eastAsia" w:ascii="宋体" w:hAnsi="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2</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93" w:type="dxa"/>
            <w:noWrap w:val="0"/>
            <w:vAlign w:val="top"/>
          </w:tcPr>
          <w:p>
            <w:pPr>
              <w:snapToGrid w:val="0"/>
              <w:jc w:val="center"/>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2"/>
                <w:highlight w:val="none"/>
                <w:lang w:val="en-US" w:eastAsia="zh-CN"/>
              </w:rPr>
              <w:t>7</w:t>
            </w:r>
          </w:p>
        </w:tc>
        <w:tc>
          <w:tcPr>
            <w:tcW w:w="3429" w:type="dxa"/>
            <w:noWrap w:val="0"/>
            <w:vAlign w:val="top"/>
          </w:tcPr>
          <w:p>
            <w:pPr>
              <w:snapToGrid w:val="0"/>
              <w:jc w:val="center"/>
              <w:rPr>
                <w:rFonts w:hint="eastAsia" w:ascii="VMSAPD+CIDFont+F6" w:hAnsi="VMSAPD+CIDFont+F6" w:cs="VMSAPD+CIDFont+F6"/>
                <w:color w:val="auto"/>
                <w:sz w:val="21"/>
                <w:szCs w:val="22"/>
                <w:highlight w:val="none"/>
                <w:lang w:val="en-US" w:eastAsia="en-US" w:bidi="ar-SA"/>
              </w:rPr>
            </w:pPr>
            <w:r>
              <w:rPr>
                <w:rFonts w:ascii="VMSAPD+CIDFont+F6" w:hAnsi="VMSAPD+CIDFont+F6" w:cs="VMSAPD+CIDFont+F6"/>
                <w:color w:val="auto"/>
                <w:spacing w:val="1"/>
                <w:sz w:val="21"/>
                <w:szCs w:val="22"/>
                <w:highlight w:val="none"/>
                <w:lang w:val="en-US" w:eastAsia="en-US" w:bidi="ar-SA"/>
              </w:rPr>
              <w:t>隧道激光断面仪</w:t>
            </w:r>
          </w:p>
        </w:tc>
        <w:tc>
          <w:tcPr>
            <w:tcW w:w="805" w:type="dxa"/>
            <w:noWrap w:val="0"/>
            <w:vAlign w:val="top"/>
          </w:tcPr>
          <w:p>
            <w:pPr>
              <w:snapToGrid w:val="0"/>
              <w:jc w:val="center"/>
              <w:rPr>
                <w:rFonts w:hint="eastAsia" w:ascii="宋体" w:hAnsi="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2</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93" w:type="dxa"/>
            <w:noWrap w:val="0"/>
            <w:vAlign w:val="top"/>
          </w:tcPr>
          <w:p>
            <w:pPr>
              <w:snapToGrid w:val="0"/>
              <w:jc w:val="center"/>
              <w:rPr>
                <w:rFonts w:hint="default"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8</w:t>
            </w:r>
          </w:p>
        </w:tc>
        <w:tc>
          <w:tcPr>
            <w:tcW w:w="3429" w:type="dxa"/>
            <w:noWrap w:val="0"/>
            <w:vAlign w:val="top"/>
          </w:tcPr>
          <w:p>
            <w:pPr>
              <w:snapToGrid w:val="0"/>
              <w:jc w:val="center"/>
              <w:rPr>
                <w:rFonts w:hint="eastAsia" w:ascii="VMSAPD+CIDFont+F6" w:hAnsi="VMSAPD+CIDFont+F6" w:cs="VMSAPD+CIDFont+F6"/>
                <w:color w:val="auto"/>
                <w:sz w:val="21"/>
                <w:szCs w:val="22"/>
                <w:highlight w:val="none"/>
                <w:lang w:val="en-US" w:eastAsia="en-US" w:bidi="ar-SA"/>
              </w:rPr>
            </w:pPr>
            <w:r>
              <w:rPr>
                <w:rFonts w:ascii="VMSAPD+CIDFont+F6" w:hAnsi="VMSAPD+CIDFont+F6" w:cs="VMSAPD+CIDFont+F6"/>
                <w:color w:val="auto"/>
                <w:spacing w:val="1"/>
                <w:sz w:val="21"/>
                <w:szCs w:val="22"/>
                <w:highlight w:val="none"/>
                <w:lang w:val="en-US" w:eastAsia="en-US" w:bidi="ar-SA"/>
              </w:rPr>
              <w:t>逆反射系数测量仪</w:t>
            </w:r>
          </w:p>
        </w:tc>
        <w:tc>
          <w:tcPr>
            <w:tcW w:w="805" w:type="dxa"/>
            <w:noWrap w:val="0"/>
            <w:vAlign w:val="top"/>
          </w:tcPr>
          <w:p>
            <w:pPr>
              <w:snapToGrid w:val="0"/>
              <w:jc w:val="center"/>
              <w:rPr>
                <w:rFonts w:hint="eastAsia" w:ascii="宋体" w:hAnsi="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1</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93" w:type="dxa"/>
            <w:noWrap w:val="0"/>
            <w:vAlign w:val="top"/>
          </w:tcPr>
          <w:p>
            <w:pPr>
              <w:snapToGrid w:val="0"/>
              <w:jc w:val="center"/>
              <w:rPr>
                <w:rFonts w:hint="default" w:ascii="宋体" w:hAnsi="宋体" w:cs="宋体"/>
                <w:color w:val="auto"/>
                <w:sz w:val="21"/>
                <w:szCs w:val="22"/>
                <w:highlight w:val="none"/>
                <w:lang w:val="en-US" w:eastAsia="zh-CN" w:bidi="ar-SA"/>
              </w:rPr>
            </w:pPr>
            <w:r>
              <w:rPr>
                <w:rFonts w:hint="eastAsia" w:ascii="宋体" w:hAnsi="宋体" w:cs="宋体"/>
                <w:color w:val="auto"/>
                <w:sz w:val="21"/>
                <w:szCs w:val="22"/>
                <w:highlight w:val="none"/>
                <w:lang w:val="en-US" w:eastAsia="zh-CN"/>
              </w:rPr>
              <w:t>9</w:t>
            </w:r>
          </w:p>
        </w:tc>
        <w:tc>
          <w:tcPr>
            <w:tcW w:w="3429" w:type="dxa"/>
            <w:noWrap w:val="0"/>
            <w:vAlign w:val="top"/>
          </w:tcPr>
          <w:p>
            <w:pPr>
              <w:snapToGrid w:val="0"/>
              <w:jc w:val="center"/>
              <w:rPr>
                <w:rFonts w:hint="eastAsia" w:ascii="VMSAPD+CIDFont+F6" w:hAnsi="VMSAPD+CIDFont+F6" w:cs="VMSAPD+CIDFont+F6"/>
                <w:color w:val="auto"/>
                <w:sz w:val="21"/>
                <w:szCs w:val="22"/>
                <w:highlight w:val="none"/>
                <w:lang w:val="en-US" w:eastAsia="en-US" w:bidi="ar-SA"/>
              </w:rPr>
            </w:pPr>
            <w:r>
              <w:rPr>
                <w:rFonts w:ascii="VMSAPD+CIDFont+F6" w:hAnsi="VMSAPD+CIDFont+F6" w:cs="VMSAPD+CIDFont+F6"/>
                <w:color w:val="auto"/>
                <w:spacing w:val="1"/>
                <w:sz w:val="21"/>
                <w:szCs w:val="22"/>
                <w:highlight w:val="none"/>
                <w:lang w:val="en-US" w:eastAsia="en-US" w:bidi="ar-SA"/>
              </w:rPr>
              <w:t>路面雷达</w:t>
            </w:r>
          </w:p>
        </w:tc>
        <w:tc>
          <w:tcPr>
            <w:tcW w:w="805" w:type="dxa"/>
            <w:noWrap w:val="0"/>
            <w:vAlign w:val="top"/>
          </w:tcPr>
          <w:p>
            <w:pPr>
              <w:snapToGrid w:val="0"/>
              <w:jc w:val="center"/>
              <w:rPr>
                <w:rFonts w:hint="eastAsia" w:ascii="宋体" w:hAnsi="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套</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1</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93" w:type="dxa"/>
            <w:noWrap w:val="0"/>
            <w:vAlign w:val="top"/>
          </w:tcPr>
          <w:p>
            <w:pPr>
              <w:snapToGrid w:val="0"/>
              <w:jc w:val="center"/>
              <w:rPr>
                <w:rFonts w:hint="default" w:ascii="宋体" w:hAnsi="宋体" w:cs="宋体"/>
                <w:color w:val="auto"/>
                <w:sz w:val="21"/>
                <w:szCs w:val="22"/>
                <w:highlight w:val="none"/>
                <w:lang w:val="en-US" w:eastAsia="zh-CN" w:bidi="ar-SA"/>
              </w:rPr>
            </w:pPr>
            <w:r>
              <w:rPr>
                <w:rFonts w:hint="eastAsia" w:ascii="宋体" w:hAnsi="宋体" w:cs="宋体"/>
                <w:color w:val="auto"/>
                <w:sz w:val="21"/>
                <w:szCs w:val="22"/>
                <w:highlight w:val="none"/>
                <w:lang w:val="en-US" w:eastAsia="zh-CN" w:bidi="ar-SA"/>
              </w:rPr>
              <w:t>10</w:t>
            </w:r>
          </w:p>
        </w:tc>
        <w:tc>
          <w:tcPr>
            <w:tcW w:w="3429" w:type="dxa"/>
            <w:noWrap w:val="0"/>
            <w:vAlign w:val="top"/>
          </w:tcPr>
          <w:p>
            <w:pPr>
              <w:snapToGrid w:val="0"/>
              <w:jc w:val="center"/>
              <w:rPr>
                <w:rFonts w:ascii="VMSAPD+CIDFont+F6" w:hAnsi="VMSAPD+CIDFont+F6" w:cs="VMSAPD+CIDFont+F6"/>
                <w:color w:val="auto"/>
                <w:spacing w:val="1"/>
                <w:sz w:val="21"/>
                <w:szCs w:val="22"/>
                <w:highlight w:val="none"/>
                <w:lang w:val="en-US" w:eastAsia="en-US" w:bidi="ar-SA"/>
              </w:rPr>
            </w:pPr>
            <w:r>
              <w:rPr>
                <w:rFonts w:ascii="VMSAPD+CIDFont+F6" w:hAnsi="VMSAPD+CIDFont+F6" w:cs="VMSAPD+CIDFont+F6"/>
                <w:color w:val="auto"/>
                <w:spacing w:val="1"/>
                <w:sz w:val="21"/>
                <w:szCs w:val="22"/>
                <w:highlight w:val="none"/>
                <w:lang w:val="en-US" w:eastAsia="en-US" w:bidi="ar-SA"/>
              </w:rPr>
              <w:t>激光或超声波车辙仪</w:t>
            </w:r>
          </w:p>
        </w:tc>
        <w:tc>
          <w:tcPr>
            <w:tcW w:w="805" w:type="dxa"/>
            <w:noWrap w:val="0"/>
            <w:vAlign w:val="top"/>
          </w:tcPr>
          <w:p>
            <w:pPr>
              <w:snapToGrid w:val="0"/>
              <w:jc w:val="center"/>
              <w:rPr>
                <w:rFonts w:hint="eastAsia" w:ascii="宋体" w:hAnsi="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1</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93" w:type="dxa"/>
            <w:noWrap w:val="0"/>
            <w:vAlign w:val="top"/>
          </w:tcPr>
          <w:p>
            <w:pPr>
              <w:snapToGrid w:val="0"/>
              <w:jc w:val="center"/>
              <w:rPr>
                <w:rFonts w:hint="default" w:ascii="宋体" w:hAnsi="宋体" w:cs="宋体"/>
                <w:color w:val="auto"/>
                <w:sz w:val="21"/>
                <w:szCs w:val="22"/>
                <w:highlight w:val="none"/>
                <w:lang w:val="en-US" w:eastAsia="zh-CN" w:bidi="ar-SA"/>
              </w:rPr>
            </w:pPr>
            <w:r>
              <w:rPr>
                <w:rFonts w:hint="eastAsia" w:ascii="宋体" w:hAnsi="宋体" w:cs="宋体"/>
                <w:color w:val="auto"/>
                <w:sz w:val="21"/>
                <w:szCs w:val="22"/>
                <w:highlight w:val="none"/>
                <w:lang w:val="en-US" w:eastAsia="zh-CN" w:bidi="ar-SA"/>
              </w:rPr>
              <w:t>11</w:t>
            </w:r>
          </w:p>
        </w:tc>
        <w:tc>
          <w:tcPr>
            <w:tcW w:w="3429" w:type="dxa"/>
            <w:noWrap w:val="0"/>
            <w:vAlign w:val="top"/>
          </w:tcPr>
          <w:p>
            <w:pPr>
              <w:snapToGrid w:val="0"/>
              <w:jc w:val="center"/>
              <w:rPr>
                <w:rFonts w:ascii="VMSAPD+CIDFont+F6" w:hAnsi="VMSAPD+CIDFont+F6" w:cs="VMSAPD+CIDFont+F6"/>
                <w:color w:val="auto"/>
                <w:sz w:val="21"/>
                <w:szCs w:val="22"/>
                <w:highlight w:val="none"/>
                <w:lang w:val="en-US" w:eastAsia="en-US" w:bidi="ar-SA"/>
              </w:rPr>
            </w:pPr>
            <w:r>
              <w:rPr>
                <w:rFonts w:hint="eastAsia" w:ascii="VMSAPD+CIDFont+F6" w:hAnsi="VMSAPD+CIDFont+F6" w:cs="VMSAPD+CIDFont+F6"/>
                <w:color w:val="auto"/>
                <w:sz w:val="21"/>
                <w:szCs w:val="22"/>
                <w:highlight w:val="none"/>
                <w:lang w:val="en-US" w:eastAsia="en-US" w:bidi="ar-SA"/>
              </w:rPr>
              <w:t>混凝土碳化深度尺</w:t>
            </w:r>
          </w:p>
        </w:tc>
        <w:tc>
          <w:tcPr>
            <w:tcW w:w="805" w:type="dxa"/>
            <w:noWrap w:val="0"/>
            <w:vAlign w:val="top"/>
          </w:tcPr>
          <w:p>
            <w:pPr>
              <w:snapToGrid w:val="0"/>
              <w:jc w:val="center"/>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套</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1</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93" w:type="dxa"/>
            <w:noWrap w:val="0"/>
            <w:vAlign w:val="top"/>
          </w:tcPr>
          <w:p>
            <w:pPr>
              <w:snapToGrid w:val="0"/>
              <w:jc w:val="center"/>
              <w:rPr>
                <w:rFonts w:hint="default" w:ascii="宋体" w:hAnsi="宋体" w:cs="宋体"/>
                <w:color w:val="auto"/>
                <w:sz w:val="21"/>
                <w:szCs w:val="22"/>
                <w:highlight w:val="none"/>
                <w:lang w:val="en-US" w:eastAsia="zh-CN" w:bidi="ar-SA"/>
              </w:rPr>
            </w:pPr>
            <w:r>
              <w:rPr>
                <w:rFonts w:hint="eastAsia" w:ascii="宋体" w:hAnsi="宋体" w:cs="宋体"/>
                <w:color w:val="auto"/>
                <w:sz w:val="21"/>
                <w:szCs w:val="22"/>
                <w:highlight w:val="none"/>
                <w:lang w:val="en-US" w:eastAsia="zh-CN"/>
              </w:rPr>
              <w:t>12</w:t>
            </w:r>
          </w:p>
        </w:tc>
        <w:tc>
          <w:tcPr>
            <w:tcW w:w="3429" w:type="dxa"/>
            <w:noWrap w:val="0"/>
            <w:vAlign w:val="top"/>
          </w:tcPr>
          <w:p>
            <w:pPr>
              <w:snapToGrid w:val="0"/>
              <w:jc w:val="center"/>
              <w:rPr>
                <w:rFonts w:hint="eastAsia" w:ascii="VMSAPD+CIDFont+F6" w:hAnsi="VMSAPD+CIDFont+F6" w:cs="VMSAPD+CIDFont+F6"/>
                <w:color w:val="auto"/>
                <w:sz w:val="21"/>
                <w:szCs w:val="22"/>
                <w:highlight w:val="none"/>
                <w:lang w:val="en-US" w:eastAsia="en-US" w:bidi="ar-SA"/>
              </w:rPr>
            </w:pPr>
            <w:r>
              <w:rPr>
                <w:rFonts w:hint="eastAsia" w:ascii="VMSAPD+CIDFont+F6" w:hAnsi="VMSAPD+CIDFont+F6" w:cs="VMSAPD+CIDFont+F6"/>
                <w:color w:val="auto"/>
                <w:sz w:val="21"/>
                <w:szCs w:val="22"/>
                <w:highlight w:val="none"/>
                <w:lang w:val="en-US" w:eastAsia="en-US" w:bidi="ar-SA"/>
              </w:rPr>
              <w:t>混凝土钢筋检测仪</w:t>
            </w:r>
          </w:p>
        </w:tc>
        <w:tc>
          <w:tcPr>
            <w:tcW w:w="805" w:type="dxa"/>
            <w:noWrap w:val="0"/>
            <w:vAlign w:val="top"/>
          </w:tcPr>
          <w:p>
            <w:pPr>
              <w:snapToGrid w:val="0"/>
              <w:jc w:val="center"/>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1</w:t>
            </w:r>
          </w:p>
        </w:tc>
        <w:tc>
          <w:tcPr>
            <w:tcW w:w="3683" w:type="dxa"/>
            <w:vMerge w:val="continue"/>
            <w:noWrap w:val="0"/>
            <w:vAlign w:val="top"/>
          </w:tcPr>
          <w:p>
            <w:pPr>
              <w:snapToGrid w:val="0"/>
              <w:rPr>
                <w:rFonts w:hint="eastAsia" w:ascii="宋体" w:hAnsi="宋体" w:cs="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93" w:type="dxa"/>
            <w:noWrap w:val="0"/>
            <w:vAlign w:val="top"/>
          </w:tcPr>
          <w:p>
            <w:pPr>
              <w:snapToGrid w:val="0"/>
              <w:jc w:val="center"/>
              <w:rPr>
                <w:rFonts w:hint="default" w:ascii="宋体" w:hAnsi="宋体" w:cs="宋体"/>
                <w:color w:val="auto"/>
                <w:sz w:val="21"/>
                <w:szCs w:val="22"/>
                <w:highlight w:val="none"/>
                <w:lang w:val="en-US" w:eastAsia="zh-CN" w:bidi="ar-SA"/>
              </w:rPr>
            </w:pPr>
            <w:r>
              <w:rPr>
                <w:rFonts w:hint="eastAsia" w:ascii="宋体" w:hAnsi="宋体" w:cs="宋体"/>
                <w:color w:val="auto"/>
                <w:sz w:val="21"/>
                <w:szCs w:val="22"/>
                <w:highlight w:val="none"/>
                <w:lang w:val="en-US" w:eastAsia="zh-CN"/>
              </w:rPr>
              <w:t>13</w:t>
            </w:r>
          </w:p>
        </w:tc>
        <w:tc>
          <w:tcPr>
            <w:tcW w:w="3429" w:type="dxa"/>
            <w:noWrap w:val="0"/>
            <w:vAlign w:val="top"/>
          </w:tcPr>
          <w:p>
            <w:pPr>
              <w:snapToGrid w:val="0"/>
              <w:jc w:val="center"/>
              <w:rPr>
                <w:rFonts w:hint="eastAsia" w:ascii="VMSAPD+CIDFont+F6" w:hAnsi="VMSAPD+CIDFont+F6" w:cs="VMSAPD+CIDFont+F6"/>
                <w:color w:val="auto"/>
                <w:sz w:val="21"/>
                <w:szCs w:val="22"/>
                <w:highlight w:val="none"/>
                <w:lang w:val="en-US" w:eastAsia="en-US" w:bidi="ar-SA"/>
              </w:rPr>
            </w:pPr>
            <w:r>
              <w:rPr>
                <w:rFonts w:hint="eastAsia" w:ascii="VMSAPD+CIDFont+F6" w:hAnsi="VMSAPD+CIDFont+F6" w:cs="VMSAPD+CIDFont+F6"/>
                <w:color w:val="auto"/>
                <w:sz w:val="21"/>
                <w:szCs w:val="22"/>
                <w:highlight w:val="none"/>
                <w:lang w:val="en-US" w:eastAsia="en-US" w:bidi="ar-SA"/>
              </w:rPr>
              <w:t>裂缝综合测试仪</w:t>
            </w:r>
          </w:p>
        </w:tc>
        <w:tc>
          <w:tcPr>
            <w:tcW w:w="805" w:type="dxa"/>
            <w:noWrap w:val="0"/>
            <w:vAlign w:val="top"/>
          </w:tcPr>
          <w:p>
            <w:pPr>
              <w:snapToGrid w:val="0"/>
              <w:jc w:val="center"/>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台</w:t>
            </w:r>
          </w:p>
        </w:tc>
        <w:tc>
          <w:tcPr>
            <w:tcW w:w="668" w:type="dxa"/>
            <w:noWrap w:val="0"/>
            <w:vAlign w:val="top"/>
          </w:tcPr>
          <w:p>
            <w:pPr>
              <w:snapToGrid w:val="0"/>
              <w:jc w:val="center"/>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1"/>
                <w:szCs w:val="22"/>
                <w:highlight w:val="none"/>
                <w:lang w:val="en-US" w:eastAsia="zh-CN"/>
              </w:rPr>
              <w:t>1</w:t>
            </w:r>
          </w:p>
        </w:tc>
        <w:tc>
          <w:tcPr>
            <w:tcW w:w="3683" w:type="dxa"/>
            <w:vMerge w:val="continue"/>
            <w:noWrap w:val="0"/>
            <w:vAlign w:val="top"/>
          </w:tcPr>
          <w:p>
            <w:pPr>
              <w:snapToGrid w:val="0"/>
              <w:rPr>
                <w:rFonts w:hint="eastAsia" w:ascii="宋体" w:hAnsi="宋体" w:cs="宋体"/>
                <w:color w:val="auto"/>
                <w:sz w:val="21"/>
                <w:szCs w:val="22"/>
                <w:highlight w:val="none"/>
              </w:rPr>
            </w:pPr>
          </w:p>
        </w:tc>
      </w:tr>
    </w:tbl>
    <w:p>
      <w:pPr>
        <w:snapToGrid w:val="0"/>
        <w:rPr>
          <w:color w:val="auto"/>
          <w:kern w:val="2"/>
          <w:sz w:val="21"/>
          <w:highlight w:val="none"/>
        </w:rPr>
      </w:pPr>
    </w:p>
    <w:p>
      <w:pPr>
        <w:snapToGrid w:val="0"/>
        <w:rPr>
          <w:color w:val="auto"/>
          <w:kern w:val="2"/>
          <w:sz w:val="21"/>
          <w:highlight w:val="none"/>
        </w:rPr>
      </w:pPr>
      <w:r>
        <w:rPr>
          <w:rFonts w:hint="eastAsia"/>
          <w:color w:val="auto"/>
          <w:kern w:val="2"/>
          <w:sz w:val="21"/>
          <w:highlight w:val="none"/>
          <w:lang w:val="en-US" w:eastAsia="zh-CN"/>
        </w:rPr>
        <w:t>备</w:t>
      </w:r>
      <w:r>
        <w:rPr>
          <w:color w:val="auto"/>
          <w:kern w:val="2"/>
          <w:sz w:val="21"/>
          <w:highlight w:val="none"/>
        </w:rPr>
        <w:t>注：</w:t>
      </w:r>
    </w:p>
    <w:p>
      <w:pPr>
        <w:snapToGrid w:val="0"/>
        <w:jc w:val="both"/>
        <w:rPr>
          <w:rFonts w:hint="eastAsia" w:eastAsia="宋体"/>
          <w:color w:val="auto"/>
          <w:kern w:val="2"/>
          <w:sz w:val="21"/>
          <w:szCs w:val="22"/>
          <w:highlight w:val="none"/>
          <w:lang w:eastAsia="zh-CN"/>
        </w:rPr>
      </w:pPr>
      <w:r>
        <w:rPr>
          <w:rFonts w:hint="eastAsia"/>
          <w:color w:val="auto"/>
          <w:kern w:val="2"/>
          <w:sz w:val="21"/>
          <w:szCs w:val="22"/>
          <w:highlight w:val="none"/>
          <w:lang w:val="en-US" w:eastAsia="zh-CN"/>
        </w:rPr>
        <w:t>1.试验、检测</w:t>
      </w:r>
      <w:r>
        <w:rPr>
          <w:rFonts w:hint="eastAsia"/>
          <w:color w:val="auto"/>
          <w:kern w:val="2"/>
          <w:sz w:val="21"/>
          <w:szCs w:val="22"/>
          <w:highlight w:val="none"/>
        </w:rPr>
        <w:t>设备不得低于本表要求，并应结合本工程项目实际情况配备设备、仪器，数量充足，确保各种设备、仪器全面满足试验检测工作需要，试验设备应包含设备的全套配件，并自行完善试验设备的安全防护装置。</w:t>
      </w:r>
      <w:r>
        <w:rPr>
          <w:rFonts w:hint="eastAsia"/>
          <w:color w:val="auto"/>
          <w:kern w:val="2"/>
          <w:sz w:val="21"/>
          <w:szCs w:val="22"/>
          <w:highlight w:val="none"/>
          <w:lang w:eastAsia="zh-CN"/>
        </w:rPr>
        <w:t>（</w:t>
      </w:r>
      <w:r>
        <w:rPr>
          <w:rFonts w:hint="eastAsia"/>
          <w:color w:val="auto"/>
          <w:kern w:val="2"/>
          <w:sz w:val="21"/>
          <w:szCs w:val="22"/>
          <w:highlight w:val="none"/>
          <w:lang w:val="en-US" w:eastAsia="zh-CN"/>
        </w:rPr>
        <w:t>投标人提供承诺加盖公章</w:t>
      </w:r>
      <w:r>
        <w:rPr>
          <w:rFonts w:hint="eastAsia"/>
          <w:color w:val="auto"/>
          <w:kern w:val="2"/>
          <w:sz w:val="21"/>
          <w:szCs w:val="22"/>
          <w:highlight w:val="none"/>
          <w:lang w:eastAsia="zh-CN"/>
        </w:rPr>
        <w:t>）</w:t>
      </w:r>
    </w:p>
    <w:p>
      <w:pPr>
        <w:snapToGrid w:val="0"/>
        <w:jc w:val="both"/>
        <w:rPr>
          <w:rFonts w:hint="eastAsia"/>
          <w:color w:val="auto"/>
          <w:kern w:val="2"/>
          <w:sz w:val="21"/>
          <w:szCs w:val="22"/>
          <w:highlight w:val="none"/>
        </w:rPr>
      </w:pPr>
      <w:r>
        <w:rPr>
          <w:rFonts w:hint="eastAsia"/>
          <w:color w:val="auto"/>
          <w:kern w:val="2"/>
          <w:sz w:val="21"/>
          <w:szCs w:val="22"/>
          <w:highlight w:val="none"/>
          <w:lang w:val="en-US" w:eastAsia="zh-CN"/>
        </w:rPr>
        <w:t>2</w:t>
      </w:r>
      <w:r>
        <w:rPr>
          <w:rFonts w:hint="eastAsia"/>
          <w:color w:val="auto"/>
          <w:kern w:val="2"/>
          <w:sz w:val="21"/>
          <w:szCs w:val="22"/>
          <w:highlight w:val="none"/>
        </w:rPr>
        <w:t>.投入的试验、检测设备应能满足项目交竣工试验检测及桥梁荷载试验检测、外观检查评定、上部结构实体检测的需求。在试验检测过程中，如需要投入更多的试验、检测设备，中标人须无条件增加投入实际工程所需的试验、检测设备的种类和数量，直至满足工程需要。产生的费用包含在投标报价中，不再另行支付。</w:t>
      </w:r>
      <w:r>
        <w:rPr>
          <w:rFonts w:hint="eastAsia"/>
          <w:color w:val="auto"/>
          <w:kern w:val="2"/>
          <w:sz w:val="21"/>
          <w:szCs w:val="22"/>
          <w:highlight w:val="none"/>
          <w:lang w:eastAsia="zh-CN"/>
        </w:rPr>
        <w:t>（</w:t>
      </w:r>
      <w:r>
        <w:rPr>
          <w:rFonts w:hint="eastAsia"/>
          <w:color w:val="auto"/>
          <w:kern w:val="2"/>
          <w:sz w:val="21"/>
          <w:szCs w:val="22"/>
          <w:highlight w:val="none"/>
          <w:lang w:val="en-US" w:eastAsia="zh-CN"/>
        </w:rPr>
        <w:t>投标人提供承诺加盖公章</w:t>
      </w:r>
      <w:r>
        <w:rPr>
          <w:rFonts w:hint="eastAsia"/>
          <w:color w:val="auto"/>
          <w:kern w:val="2"/>
          <w:sz w:val="21"/>
          <w:szCs w:val="22"/>
          <w:highlight w:val="none"/>
          <w:lang w:eastAsia="zh-CN"/>
        </w:rPr>
        <w:t>）</w:t>
      </w:r>
    </w:p>
    <w:p>
      <w:pPr>
        <w:snapToGrid w:val="0"/>
        <w:jc w:val="both"/>
        <w:rPr>
          <w:rFonts w:hint="eastAsia"/>
          <w:b/>
          <w:color w:val="auto"/>
          <w:kern w:val="2"/>
          <w:sz w:val="22"/>
          <w:szCs w:val="16"/>
          <w:highlight w:val="none"/>
          <w:lang w:val="en-US" w:eastAsia="zh-CN"/>
        </w:rPr>
      </w:pPr>
    </w:p>
    <w:p>
      <w:pPr>
        <w:snapToGrid w:val="0"/>
        <w:jc w:val="both"/>
        <w:rPr>
          <w:rFonts w:hint="eastAsia"/>
          <w:b/>
          <w:color w:val="auto"/>
          <w:kern w:val="2"/>
          <w:sz w:val="22"/>
          <w:szCs w:val="16"/>
          <w:highlight w:val="none"/>
          <w:lang w:val="en-US" w:eastAsia="zh-CN"/>
        </w:rPr>
      </w:pPr>
    </w:p>
    <w:p>
      <w:pPr>
        <w:snapToGrid w:val="0"/>
        <w:jc w:val="both"/>
        <w:rPr>
          <w:rFonts w:hint="eastAsia"/>
          <w:b/>
          <w:color w:val="auto"/>
          <w:kern w:val="2"/>
          <w:sz w:val="22"/>
          <w:szCs w:val="16"/>
          <w:highlight w:val="none"/>
        </w:rPr>
      </w:pPr>
      <w:r>
        <w:rPr>
          <w:rFonts w:hint="eastAsia"/>
          <w:b/>
          <w:color w:val="auto"/>
          <w:kern w:val="2"/>
          <w:sz w:val="22"/>
          <w:szCs w:val="16"/>
          <w:highlight w:val="none"/>
          <w:lang w:val="en-US" w:eastAsia="zh-CN"/>
        </w:rPr>
        <w:t xml:space="preserve">5-2 </w:t>
      </w:r>
      <w:r>
        <w:rPr>
          <w:rFonts w:hint="eastAsia"/>
          <w:b/>
          <w:color w:val="auto"/>
          <w:kern w:val="2"/>
          <w:sz w:val="22"/>
          <w:szCs w:val="16"/>
          <w:highlight w:val="none"/>
        </w:rPr>
        <w:t>办公、交通设备的最低要求</w:t>
      </w:r>
    </w:p>
    <w:p>
      <w:pPr>
        <w:snapToGrid w:val="0"/>
        <w:jc w:val="both"/>
        <w:rPr>
          <w:color w:val="auto"/>
          <w:kern w:val="2"/>
          <w:sz w:val="21"/>
          <w:highlight w:val="none"/>
        </w:rPr>
      </w:pPr>
      <w:r>
        <w:rPr>
          <w:rFonts w:hint="eastAsia" w:ascii="宋体" w:hAnsi="宋体" w:cs="宋体"/>
          <w:color w:val="auto"/>
          <w:sz w:val="21"/>
          <w:szCs w:val="22"/>
          <w:highlight w:val="none"/>
        </w:rPr>
        <w:t>适用合同段：MSQJ-1、MSQJ-2、MSQJ-3</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MSJC</w:t>
      </w:r>
    </w:p>
    <w:p>
      <w:pPr>
        <w:snapToGrid w:val="0"/>
        <w:jc w:val="both"/>
        <w:rPr>
          <w:rFonts w:hint="eastAsia" w:eastAsia="宋体"/>
          <w:b/>
          <w:color w:val="auto"/>
          <w:kern w:val="2"/>
          <w:sz w:val="22"/>
          <w:szCs w:val="16"/>
          <w:highlight w:val="none"/>
          <w:lang w:eastAsia="zh-CN"/>
        </w:rPr>
      </w:pPr>
    </w:p>
    <w:tbl>
      <w:tblPr>
        <w:tblStyle w:val="2"/>
        <w:tblW w:w="9339" w:type="dxa"/>
        <w:tblInd w:w="-5" w:type="dxa"/>
        <w:tblLayout w:type="fixed"/>
        <w:tblCellMar>
          <w:top w:w="0" w:type="dxa"/>
          <w:left w:w="0" w:type="dxa"/>
          <w:bottom w:w="0" w:type="dxa"/>
          <w:right w:w="0" w:type="dxa"/>
        </w:tblCellMar>
      </w:tblPr>
      <w:tblGrid>
        <w:gridCol w:w="794"/>
        <w:gridCol w:w="4784"/>
        <w:gridCol w:w="1115"/>
        <w:gridCol w:w="1450"/>
        <w:gridCol w:w="1196"/>
      </w:tblGrid>
      <w:tr>
        <w:tblPrEx>
          <w:tblCellMar>
            <w:top w:w="0" w:type="dxa"/>
            <w:left w:w="0" w:type="dxa"/>
            <w:bottom w:w="0" w:type="dxa"/>
            <w:right w:w="0" w:type="dxa"/>
          </w:tblCellMar>
        </w:tblPrEx>
        <w:trPr>
          <w:trHeight w:val="50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10"/>
              <w:ind w:right="171"/>
              <w:jc w:val="both"/>
              <w:rPr>
                <w:color w:val="auto"/>
                <w:kern w:val="2"/>
                <w:sz w:val="21"/>
                <w:highlight w:val="none"/>
              </w:rPr>
            </w:pPr>
            <w:r>
              <w:rPr>
                <w:color w:val="auto"/>
                <w:kern w:val="2"/>
                <w:sz w:val="21"/>
                <w:highlight w:val="none"/>
              </w:rPr>
              <w:t>序号</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10"/>
              <w:ind w:left="1799" w:right="1792"/>
              <w:jc w:val="center"/>
              <w:rPr>
                <w:color w:val="auto"/>
                <w:kern w:val="2"/>
                <w:sz w:val="21"/>
                <w:highlight w:val="none"/>
              </w:rPr>
            </w:pPr>
            <w:r>
              <w:rPr>
                <w:color w:val="auto"/>
                <w:kern w:val="2"/>
                <w:sz w:val="21"/>
                <w:highlight w:val="none"/>
              </w:rPr>
              <w:t>规格名称</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10"/>
              <w:ind w:left="272" w:right="268"/>
              <w:jc w:val="center"/>
              <w:rPr>
                <w:color w:val="auto"/>
                <w:kern w:val="2"/>
                <w:sz w:val="21"/>
                <w:highlight w:val="none"/>
              </w:rPr>
            </w:pPr>
            <w:r>
              <w:rPr>
                <w:color w:val="auto"/>
                <w:kern w:val="2"/>
                <w:sz w:val="21"/>
                <w:highlight w:val="none"/>
              </w:rPr>
              <w:t>单位</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10"/>
              <w:ind w:left="505" w:right="500"/>
              <w:jc w:val="center"/>
              <w:rPr>
                <w:color w:val="auto"/>
                <w:kern w:val="2"/>
                <w:sz w:val="21"/>
                <w:highlight w:val="none"/>
              </w:rPr>
            </w:pPr>
            <w:r>
              <w:rPr>
                <w:color w:val="auto"/>
                <w:kern w:val="2"/>
                <w:sz w:val="21"/>
                <w:highlight w:val="none"/>
              </w:rPr>
              <w:t>数量</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10"/>
              <w:ind w:left="389"/>
              <w:rPr>
                <w:color w:val="auto"/>
                <w:kern w:val="2"/>
                <w:sz w:val="21"/>
                <w:highlight w:val="none"/>
              </w:rPr>
            </w:pPr>
            <w:r>
              <w:rPr>
                <w:color w:val="auto"/>
                <w:kern w:val="2"/>
                <w:sz w:val="21"/>
                <w:highlight w:val="none"/>
              </w:rPr>
              <w:t>备注</w:t>
            </w:r>
          </w:p>
        </w:tc>
      </w:tr>
      <w:tr>
        <w:tblPrEx>
          <w:tblCellMar>
            <w:top w:w="0" w:type="dxa"/>
            <w:left w:w="0" w:type="dxa"/>
            <w:bottom w:w="0" w:type="dxa"/>
            <w:right w:w="0" w:type="dxa"/>
          </w:tblCellMar>
        </w:tblPrEx>
        <w:trPr>
          <w:trHeight w:val="49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7"/>
              <w:jc w:val="center"/>
              <w:rPr>
                <w:b/>
                <w:color w:val="auto"/>
                <w:kern w:val="2"/>
                <w:sz w:val="21"/>
                <w:highlight w:val="none"/>
              </w:rPr>
            </w:pPr>
            <w:r>
              <w:rPr>
                <w:b/>
                <w:color w:val="auto"/>
                <w:kern w:val="2"/>
                <w:sz w:val="21"/>
                <w:highlight w:val="none"/>
              </w:rPr>
              <w:t>一</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108"/>
              <w:rPr>
                <w:b/>
                <w:color w:val="auto"/>
                <w:kern w:val="2"/>
                <w:sz w:val="21"/>
                <w:highlight w:val="none"/>
              </w:rPr>
            </w:pPr>
            <w:r>
              <w:rPr>
                <w:b/>
                <w:color w:val="auto"/>
                <w:kern w:val="2"/>
                <w:sz w:val="21"/>
                <w:highlight w:val="none"/>
              </w:rPr>
              <w:t>办公设备</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49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8"/>
              <w:jc w:val="center"/>
              <w:rPr>
                <w:color w:val="auto"/>
                <w:kern w:val="2"/>
                <w:sz w:val="21"/>
                <w:highlight w:val="none"/>
              </w:rPr>
            </w:pPr>
            <w:r>
              <w:rPr>
                <w:color w:val="auto"/>
                <w:kern w:val="2"/>
                <w:sz w:val="21"/>
                <w:highlight w:val="none"/>
              </w:rPr>
              <w:t>1</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108"/>
              <w:rPr>
                <w:color w:val="auto"/>
                <w:kern w:val="2"/>
                <w:sz w:val="21"/>
                <w:highlight w:val="none"/>
              </w:rPr>
            </w:pPr>
            <w:r>
              <w:rPr>
                <w:color w:val="auto"/>
                <w:kern w:val="2"/>
                <w:sz w:val="21"/>
                <w:highlight w:val="none"/>
              </w:rPr>
              <w:t>电脑（含笔记本电脑一台）</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7"/>
              <w:jc w:val="center"/>
              <w:rPr>
                <w:color w:val="auto"/>
                <w:kern w:val="2"/>
                <w:sz w:val="21"/>
                <w:highlight w:val="none"/>
              </w:rPr>
            </w:pPr>
            <w:r>
              <w:rPr>
                <w:color w:val="auto"/>
                <w:kern w:val="2"/>
                <w:sz w:val="21"/>
                <w:highlight w:val="none"/>
              </w:rPr>
              <w:t>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505" w:right="496"/>
              <w:jc w:val="center"/>
              <w:rPr>
                <w:rFonts w:hint="eastAsia" w:eastAsia="宋体"/>
                <w:color w:val="auto"/>
                <w:kern w:val="2"/>
                <w:sz w:val="21"/>
                <w:highlight w:val="none"/>
                <w:lang w:val="en-US" w:eastAsia="zh-CN"/>
              </w:rPr>
            </w:pPr>
            <w:r>
              <w:rPr>
                <w:rFonts w:hint="eastAsia"/>
                <w:color w:val="auto"/>
                <w:kern w:val="2"/>
                <w:sz w:val="21"/>
                <w:highlight w:val="none"/>
                <w:lang w:val="en-US" w:eastAsia="zh-CN"/>
              </w:rPr>
              <w:t>据实</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49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4"/>
              <w:ind w:left="8"/>
              <w:jc w:val="center"/>
              <w:rPr>
                <w:color w:val="auto"/>
                <w:kern w:val="2"/>
                <w:sz w:val="21"/>
                <w:highlight w:val="none"/>
              </w:rPr>
            </w:pPr>
            <w:r>
              <w:rPr>
                <w:color w:val="auto"/>
                <w:kern w:val="2"/>
                <w:sz w:val="21"/>
                <w:highlight w:val="none"/>
              </w:rPr>
              <w:t>2</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4"/>
              <w:ind w:left="108"/>
              <w:rPr>
                <w:color w:val="auto"/>
                <w:kern w:val="2"/>
                <w:sz w:val="21"/>
                <w:highlight w:val="none"/>
              </w:rPr>
            </w:pPr>
            <w:r>
              <w:rPr>
                <w:color w:val="auto"/>
                <w:kern w:val="2"/>
                <w:sz w:val="21"/>
                <w:highlight w:val="none"/>
              </w:rPr>
              <w:t>复印机（能复A3、A4等幅面）</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4"/>
              <w:ind w:left="7"/>
              <w:jc w:val="center"/>
              <w:rPr>
                <w:color w:val="auto"/>
                <w:kern w:val="2"/>
                <w:sz w:val="21"/>
                <w:highlight w:val="none"/>
              </w:rPr>
            </w:pPr>
            <w:r>
              <w:rPr>
                <w:color w:val="auto"/>
                <w:kern w:val="2"/>
                <w:sz w:val="21"/>
                <w:highlight w:val="none"/>
              </w:rPr>
              <w:t>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4"/>
              <w:ind w:left="9"/>
              <w:jc w:val="center"/>
              <w:rPr>
                <w:rFonts w:hint="eastAsia" w:eastAsia="宋体"/>
                <w:color w:val="auto"/>
                <w:kern w:val="2"/>
                <w:sz w:val="21"/>
                <w:highlight w:val="none"/>
                <w:lang w:val="en-US" w:eastAsia="zh-CN"/>
              </w:rPr>
            </w:pPr>
            <w:r>
              <w:rPr>
                <w:rFonts w:hint="eastAsia"/>
                <w:color w:val="auto"/>
                <w:kern w:val="2"/>
                <w:sz w:val="21"/>
                <w:highlight w:val="none"/>
                <w:lang w:val="en-US" w:eastAsia="zh-CN"/>
              </w:rPr>
              <w:t>1</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49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8"/>
              <w:jc w:val="center"/>
              <w:rPr>
                <w:color w:val="auto"/>
                <w:kern w:val="2"/>
                <w:sz w:val="21"/>
                <w:highlight w:val="none"/>
              </w:rPr>
            </w:pPr>
            <w:r>
              <w:rPr>
                <w:color w:val="auto"/>
                <w:kern w:val="2"/>
                <w:sz w:val="21"/>
                <w:highlight w:val="none"/>
              </w:rPr>
              <w:t>3</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108"/>
              <w:rPr>
                <w:color w:val="auto"/>
                <w:kern w:val="2"/>
                <w:sz w:val="21"/>
                <w:highlight w:val="none"/>
              </w:rPr>
            </w:pPr>
            <w:r>
              <w:rPr>
                <w:color w:val="auto"/>
                <w:kern w:val="2"/>
                <w:sz w:val="21"/>
                <w:highlight w:val="none"/>
              </w:rPr>
              <w:t>传真机</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7"/>
              <w:jc w:val="center"/>
              <w:rPr>
                <w:color w:val="auto"/>
                <w:kern w:val="2"/>
                <w:sz w:val="21"/>
                <w:highlight w:val="none"/>
              </w:rPr>
            </w:pPr>
            <w:r>
              <w:rPr>
                <w:color w:val="auto"/>
                <w:kern w:val="2"/>
                <w:sz w:val="21"/>
                <w:highlight w:val="none"/>
              </w:rPr>
              <w:t>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9"/>
              <w:jc w:val="center"/>
              <w:rPr>
                <w:rFonts w:hint="eastAsia" w:eastAsia="宋体"/>
                <w:color w:val="auto"/>
                <w:kern w:val="2"/>
                <w:sz w:val="21"/>
                <w:highlight w:val="none"/>
                <w:lang w:val="en-US" w:eastAsia="zh-CN"/>
              </w:rPr>
            </w:pPr>
            <w:r>
              <w:rPr>
                <w:rFonts w:hint="eastAsia"/>
                <w:color w:val="auto"/>
                <w:kern w:val="2"/>
                <w:sz w:val="21"/>
                <w:highlight w:val="none"/>
                <w:lang w:val="en-US" w:eastAsia="zh-CN"/>
              </w:rPr>
              <w:t>1</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608"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64"/>
              <w:ind w:left="8"/>
              <w:jc w:val="center"/>
              <w:rPr>
                <w:color w:val="auto"/>
                <w:kern w:val="2"/>
                <w:sz w:val="21"/>
                <w:highlight w:val="none"/>
              </w:rPr>
            </w:pPr>
            <w:r>
              <w:rPr>
                <w:color w:val="auto"/>
                <w:kern w:val="2"/>
                <w:sz w:val="21"/>
                <w:highlight w:val="none"/>
              </w:rPr>
              <w:t>4</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64"/>
              <w:ind w:left="108"/>
              <w:rPr>
                <w:color w:val="auto"/>
                <w:kern w:val="2"/>
                <w:sz w:val="21"/>
                <w:highlight w:val="none"/>
              </w:rPr>
            </w:pPr>
            <w:r>
              <w:rPr>
                <w:color w:val="auto"/>
                <w:kern w:val="2"/>
                <w:sz w:val="21"/>
                <w:highlight w:val="none"/>
              </w:rPr>
              <w:t>打印机（激光打印机，可打印A3、A4纸）</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64"/>
              <w:ind w:left="7"/>
              <w:jc w:val="center"/>
              <w:rPr>
                <w:color w:val="auto"/>
                <w:kern w:val="2"/>
                <w:sz w:val="21"/>
                <w:highlight w:val="none"/>
              </w:rPr>
            </w:pPr>
            <w:r>
              <w:rPr>
                <w:color w:val="auto"/>
                <w:kern w:val="2"/>
                <w:sz w:val="21"/>
                <w:highlight w:val="none"/>
              </w:rPr>
              <w:t>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64"/>
              <w:ind w:left="9"/>
              <w:jc w:val="center"/>
              <w:rPr>
                <w:rFonts w:hint="eastAsia" w:eastAsia="宋体"/>
                <w:color w:val="auto"/>
                <w:kern w:val="2"/>
                <w:sz w:val="21"/>
                <w:highlight w:val="none"/>
                <w:lang w:val="en-US" w:eastAsia="zh-CN"/>
              </w:rPr>
            </w:pPr>
            <w:r>
              <w:rPr>
                <w:rFonts w:hint="eastAsia"/>
                <w:color w:val="auto"/>
                <w:kern w:val="2"/>
                <w:sz w:val="21"/>
                <w:highlight w:val="none"/>
                <w:lang w:val="en-US" w:eastAsia="zh-CN"/>
              </w:rPr>
              <w:t>1</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49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8"/>
              <w:jc w:val="center"/>
              <w:rPr>
                <w:color w:val="auto"/>
                <w:kern w:val="2"/>
                <w:sz w:val="21"/>
                <w:highlight w:val="none"/>
              </w:rPr>
            </w:pPr>
            <w:r>
              <w:rPr>
                <w:color w:val="auto"/>
                <w:kern w:val="2"/>
                <w:sz w:val="21"/>
                <w:highlight w:val="none"/>
              </w:rPr>
              <w:t>5</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108"/>
              <w:rPr>
                <w:color w:val="auto"/>
                <w:kern w:val="2"/>
                <w:sz w:val="21"/>
                <w:highlight w:val="none"/>
              </w:rPr>
            </w:pPr>
            <w:r>
              <w:rPr>
                <w:color w:val="auto"/>
                <w:kern w:val="2"/>
                <w:sz w:val="21"/>
                <w:highlight w:val="none"/>
              </w:rPr>
              <w:t>数码摄像机</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7"/>
              <w:jc w:val="center"/>
              <w:rPr>
                <w:color w:val="auto"/>
                <w:kern w:val="2"/>
                <w:sz w:val="21"/>
                <w:highlight w:val="none"/>
              </w:rPr>
            </w:pPr>
            <w:r>
              <w:rPr>
                <w:color w:val="auto"/>
                <w:kern w:val="2"/>
                <w:sz w:val="21"/>
                <w:highlight w:val="none"/>
              </w:rPr>
              <w:t>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9"/>
              <w:jc w:val="center"/>
              <w:rPr>
                <w:rFonts w:hint="eastAsia" w:eastAsia="宋体"/>
                <w:color w:val="auto"/>
                <w:kern w:val="2"/>
                <w:sz w:val="21"/>
                <w:highlight w:val="none"/>
                <w:lang w:val="en-US" w:eastAsia="zh-CN"/>
              </w:rPr>
            </w:pPr>
            <w:r>
              <w:rPr>
                <w:rFonts w:hint="eastAsia"/>
                <w:color w:val="auto"/>
                <w:kern w:val="2"/>
                <w:sz w:val="21"/>
                <w:highlight w:val="none"/>
                <w:lang w:val="en-US" w:eastAsia="zh-CN"/>
              </w:rPr>
              <w:t>1</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49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8"/>
              <w:jc w:val="center"/>
              <w:rPr>
                <w:color w:val="auto"/>
                <w:kern w:val="2"/>
                <w:sz w:val="21"/>
                <w:highlight w:val="none"/>
              </w:rPr>
            </w:pPr>
            <w:r>
              <w:rPr>
                <w:color w:val="auto"/>
                <w:kern w:val="2"/>
                <w:sz w:val="21"/>
                <w:highlight w:val="none"/>
              </w:rPr>
              <w:t>6</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108"/>
              <w:rPr>
                <w:color w:val="auto"/>
                <w:kern w:val="2"/>
                <w:sz w:val="21"/>
                <w:highlight w:val="none"/>
              </w:rPr>
            </w:pPr>
            <w:r>
              <w:rPr>
                <w:color w:val="auto"/>
                <w:kern w:val="2"/>
                <w:sz w:val="21"/>
                <w:highlight w:val="none"/>
              </w:rPr>
              <w:t>数码照相机</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7"/>
              <w:jc w:val="center"/>
              <w:rPr>
                <w:color w:val="auto"/>
                <w:kern w:val="2"/>
                <w:sz w:val="21"/>
                <w:highlight w:val="none"/>
              </w:rPr>
            </w:pPr>
            <w:r>
              <w:rPr>
                <w:color w:val="auto"/>
                <w:kern w:val="2"/>
                <w:sz w:val="21"/>
                <w:highlight w:val="none"/>
              </w:rPr>
              <w:t>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9"/>
              <w:jc w:val="center"/>
              <w:rPr>
                <w:rFonts w:hint="eastAsia" w:eastAsia="宋体"/>
                <w:color w:val="auto"/>
                <w:kern w:val="2"/>
                <w:sz w:val="21"/>
                <w:highlight w:val="none"/>
                <w:lang w:val="en-US" w:eastAsia="zh-CN"/>
              </w:rPr>
            </w:pPr>
            <w:r>
              <w:rPr>
                <w:rFonts w:hint="eastAsia"/>
                <w:color w:val="auto"/>
                <w:kern w:val="2"/>
                <w:sz w:val="21"/>
                <w:highlight w:val="none"/>
                <w:lang w:val="en-US" w:eastAsia="zh-CN"/>
              </w:rPr>
              <w:t>1</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498"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8"/>
              <w:jc w:val="center"/>
              <w:rPr>
                <w:color w:val="auto"/>
                <w:kern w:val="2"/>
                <w:sz w:val="21"/>
                <w:highlight w:val="none"/>
              </w:rPr>
            </w:pPr>
            <w:r>
              <w:rPr>
                <w:color w:val="auto"/>
                <w:kern w:val="2"/>
                <w:sz w:val="21"/>
                <w:highlight w:val="none"/>
              </w:rPr>
              <w:t>7</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108"/>
              <w:rPr>
                <w:color w:val="auto"/>
                <w:kern w:val="2"/>
                <w:sz w:val="21"/>
                <w:highlight w:val="none"/>
              </w:rPr>
            </w:pPr>
            <w:r>
              <w:rPr>
                <w:color w:val="auto"/>
                <w:kern w:val="2"/>
                <w:sz w:val="21"/>
                <w:highlight w:val="none"/>
              </w:rPr>
              <w:t>固定电话</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7"/>
              <w:jc w:val="center"/>
              <w:rPr>
                <w:color w:val="auto"/>
                <w:kern w:val="2"/>
                <w:sz w:val="21"/>
                <w:highlight w:val="none"/>
              </w:rPr>
            </w:pPr>
            <w:r>
              <w:rPr>
                <w:color w:val="auto"/>
                <w:kern w:val="2"/>
                <w:sz w:val="21"/>
                <w:highlight w:val="none"/>
              </w:rPr>
              <w:t>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9"/>
              <w:jc w:val="center"/>
              <w:rPr>
                <w:rFonts w:hint="eastAsia" w:eastAsia="宋体"/>
                <w:color w:val="auto"/>
                <w:kern w:val="2"/>
                <w:sz w:val="21"/>
                <w:highlight w:val="none"/>
                <w:lang w:val="en-US" w:eastAsia="zh-CN"/>
              </w:rPr>
            </w:pPr>
            <w:r>
              <w:rPr>
                <w:rFonts w:hint="eastAsia"/>
                <w:color w:val="auto"/>
                <w:kern w:val="2"/>
                <w:sz w:val="21"/>
                <w:highlight w:val="none"/>
                <w:lang w:val="en-US" w:eastAsia="zh-CN"/>
              </w:rPr>
              <w:t>1</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608"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63"/>
              <w:ind w:left="8"/>
              <w:jc w:val="center"/>
              <w:rPr>
                <w:color w:val="auto"/>
                <w:kern w:val="2"/>
                <w:sz w:val="21"/>
                <w:highlight w:val="none"/>
              </w:rPr>
            </w:pPr>
            <w:r>
              <w:rPr>
                <w:color w:val="auto"/>
                <w:kern w:val="2"/>
                <w:sz w:val="21"/>
                <w:highlight w:val="none"/>
              </w:rPr>
              <w:t>8</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63"/>
              <w:ind w:left="108"/>
              <w:rPr>
                <w:color w:val="auto"/>
                <w:kern w:val="2"/>
                <w:sz w:val="21"/>
                <w:highlight w:val="none"/>
              </w:rPr>
            </w:pPr>
            <w:r>
              <w:rPr>
                <w:color w:val="auto"/>
                <w:kern w:val="2"/>
                <w:sz w:val="21"/>
                <w:highlight w:val="none"/>
              </w:rPr>
              <w:t>办公场所均须配置宽带通讯网络，并接入宽带</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63"/>
              <w:ind w:left="505" w:right="500"/>
              <w:jc w:val="center"/>
              <w:rPr>
                <w:color w:val="auto"/>
                <w:kern w:val="2"/>
                <w:sz w:val="21"/>
                <w:highlight w:val="none"/>
              </w:rPr>
            </w:pPr>
            <w:r>
              <w:rPr>
                <w:color w:val="auto"/>
                <w:kern w:val="2"/>
                <w:sz w:val="21"/>
                <w:highlight w:val="none"/>
              </w:rPr>
              <w:t>若干</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49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7"/>
              <w:jc w:val="center"/>
              <w:rPr>
                <w:b/>
                <w:color w:val="auto"/>
                <w:kern w:val="2"/>
                <w:sz w:val="21"/>
                <w:highlight w:val="none"/>
              </w:rPr>
            </w:pPr>
            <w:r>
              <w:rPr>
                <w:b/>
                <w:color w:val="auto"/>
                <w:kern w:val="2"/>
                <w:sz w:val="21"/>
                <w:highlight w:val="none"/>
              </w:rPr>
              <w:t>二</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108"/>
              <w:rPr>
                <w:b/>
                <w:color w:val="auto"/>
                <w:kern w:val="2"/>
                <w:sz w:val="21"/>
                <w:highlight w:val="none"/>
              </w:rPr>
            </w:pPr>
            <w:r>
              <w:rPr>
                <w:b/>
                <w:color w:val="auto"/>
                <w:kern w:val="2"/>
                <w:sz w:val="21"/>
                <w:highlight w:val="none"/>
              </w:rPr>
              <w:t>办公、生活用房及试验室</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49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8"/>
              <w:jc w:val="center"/>
              <w:rPr>
                <w:color w:val="auto"/>
                <w:kern w:val="2"/>
                <w:sz w:val="21"/>
                <w:highlight w:val="none"/>
              </w:rPr>
            </w:pPr>
            <w:r>
              <w:rPr>
                <w:color w:val="auto"/>
                <w:kern w:val="2"/>
                <w:sz w:val="21"/>
                <w:highlight w:val="none"/>
              </w:rPr>
              <w:t>1</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108"/>
              <w:rPr>
                <w:color w:val="auto"/>
                <w:kern w:val="2"/>
                <w:sz w:val="21"/>
                <w:highlight w:val="none"/>
              </w:rPr>
            </w:pPr>
            <w:r>
              <w:rPr>
                <w:color w:val="auto"/>
                <w:kern w:val="2"/>
                <w:sz w:val="21"/>
                <w:highlight w:val="none"/>
              </w:rPr>
              <w:t>办公用房</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275" w:right="268"/>
              <w:jc w:val="center"/>
              <w:rPr>
                <w:color w:val="auto"/>
                <w:kern w:val="2"/>
                <w:sz w:val="21"/>
                <w:highlight w:val="none"/>
              </w:rPr>
            </w:pPr>
            <w:r>
              <w:rPr>
                <w:color w:val="auto"/>
                <w:kern w:val="2"/>
                <w:sz w:val="21"/>
                <w:highlight w:val="none"/>
              </w:rPr>
              <w:t>㎡/人</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505" w:right="496"/>
              <w:jc w:val="center"/>
              <w:rPr>
                <w:rFonts w:hint="default" w:eastAsia="宋体"/>
                <w:color w:val="auto"/>
                <w:kern w:val="2"/>
                <w:sz w:val="21"/>
                <w:highlight w:val="none"/>
                <w:lang w:val="en-US" w:eastAsia="zh-CN"/>
              </w:rPr>
            </w:pPr>
            <w:r>
              <w:rPr>
                <w:rFonts w:hint="eastAsia"/>
                <w:color w:val="auto"/>
                <w:kern w:val="2"/>
                <w:sz w:val="21"/>
                <w:highlight w:val="none"/>
                <w:lang w:val="en-US" w:eastAsia="zh-CN"/>
              </w:rPr>
              <w:t>据实</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49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4"/>
              <w:ind w:left="8"/>
              <w:jc w:val="center"/>
              <w:rPr>
                <w:color w:val="auto"/>
                <w:kern w:val="2"/>
                <w:sz w:val="21"/>
                <w:highlight w:val="none"/>
              </w:rPr>
            </w:pPr>
            <w:r>
              <w:rPr>
                <w:color w:val="auto"/>
                <w:kern w:val="2"/>
                <w:sz w:val="21"/>
                <w:highlight w:val="none"/>
              </w:rPr>
              <w:t>2</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4"/>
              <w:ind w:left="108"/>
              <w:rPr>
                <w:color w:val="auto"/>
                <w:kern w:val="2"/>
                <w:sz w:val="21"/>
                <w:highlight w:val="none"/>
              </w:rPr>
            </w:pPr>
            <w:r>
              <w:rPr>
                <w:color w:val="auto"/>
                <w:kern w:val="2"/>
                <w:sz w:val="21"/>
                <w:highlight w:val="none"/>
              </w:rPr>
              <w:t>生活用房（人员总数含后勤人员）</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4"/>
              <w:ind w:left="275" w:right="268"/>
              <w:jc w:val="center"/>
              <w:rPr>
                <w:color w:val="auto"/>
                <w:kern w:val="2"/>
                <w:sz w:val="21"/>
                <w:highlight w:val="none"/>
              </w:rPr>
            </w:pPr>
            <w:r>
              <w:rPr>
                <w:color w:val="auto"/>
                <w:kern w:val="2"/>
                <w:sz w:val="21"/>
                <w:highlight w:val="none"/>
              </w:rPr>
              <w:t>㎡/人</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4"/>
              <w:ind w:left="505" w:right="496"/>
              <w:jc w:val="center"/>
              <w:rPr>
                <w:color w:val="auto"/>
                <w:kern w:val="2"/>
                <w:sz w:val="21"/>
                <w:highlight w:val="none"/>
              </w:rPr>
            </w:pPr>
            <w:r>
              <w:rPr>
                <w:rFonts w:hint="eastAsia"/>
                <w:color w:val="auto"/>
                <w:kern w:val="2"/>
                <w:sz w:val="21"/>
                <w:highlight w:val="none"/>
                <w:lang w:val="en-US" w:eastAsia="zh-CN"/>
              </w:rPr>
              <w:t>据实</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49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8"/>
              <w:jc w:val="center"/>
              <w:rPr>
                <w:color w:val="auto"/>
                <w:kern w:val="2"/>
                <w:sz w:val="21"/>
                <w:highlight w:val="none"/>
              </w:rPr>
            </w:pPr>
            <w:r>
              <w:rPr>
                <w:color w:val="auto"/>
                <w:kern w:val="2"/>
                <w:sz w:val="21"/>
                <w:highlight w:val="none"/>
              </w:rPr>
              <w:t>3</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108"/>
              <w:rPr>
                <w:color w:val="auto"/>
                <w:kern w:val="2"/>
                <w:sz w:val="21"/>
                <w:highlight w:val="none"/>
              </w:rPr>
            </w:pPr>
            <w:r>
              <w:rPr>
                <w:color w:val="auto"/>
                <w:kern w:val="2"/>
                <w:sz w:val="21"/>
                <w:highlight w:val="none"/>
              </w:rPr>
              <w:t>试验室面积要求</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7"/>
              <w:jc w:val="center"/>
              <w:rPr>
                <w:color w:val="auto"/>
                <w:kern w:val="2"/>
                <w:sz w:val="21"/>
                <w:highlight w:val="none"/>
              </w:rPr>
            </w:pPr>
            <w:r>
              <w:rPr>
                <w:color w:val="auto"/>
                <w:kern w:val="2"/>
                <w:sz w:val="21"/>
                <w:highlight w:val="none"/>
              </w:rPr>
              <w:t>㎡</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505" w:right="496"/>
              <w:jc w:val="center"/>
              <w:rPr>
                <w:color w:val="auto"/>
                <w:kern w:val="2"/>
                <w:sz w:val="21"/>
                <w:highlight w:val="none"/>
              </w:rPr>
            </w:pPr>
            <w:r>
              <w:rPr>
                <w:rFonts w:hint="eastAsia"/>
                <w:color w:val="auto"/>
                <w:kern w:val="2"/>
                <w:sz w:val="21"/>
                <w:highlight w:val="none"/>
                <w:lang w:val="en-US" w:eastAsia="zh-CN"/>
              </w:rPr>
              <w:t>据实</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49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8"/>
              <w:jc w:val="center"/>
              <w:rPr>
                <w:color w:val="auto"/>
                <w:kern w:val="2"/>
                <w:sz w:val="21"/>
                <w:highlight w:val="none"/>
              </w:rPr>
            </w:pPr>
            <w:r>
              <w:rPr>
                <w:color w:val="auto"/>
                <w:kern w:val="2"/>
                <w:sz w:val="21"/>
                <w:highlight w:val="none"/>
              </w:rPr>
              <w:t>4</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108"/>
              <w:rPr>
                <w:color w:val="auto"/>
                <w:kern w:val="2"/>
                <w:sz w:val="21"/>
                <w:highlight w:val="none"/>
              </w:rPr>
            </w:pPr>
            <w:r>
              <w:rPr>
                <w:color w:val="auto"/>
                <w:kern w:val="2"/>
                <w:sz w:val="21"/>
                <w:highlight w:val="none"/>
              </w:rPr>
              <w:t>资料室</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7"/>
              <w:jc w:val="center"/>
              <w:rPr>
                <w:color w:val="auto"/>
                <w:kern w:val="2"/>
                <w:sz w:val="21"/>
                <w:highlight w:val="none"/>
              </w:rPr>
            </w:pPr>
            <w:r>
              <w:rPr>
                <w:color w:val="auto"/>
                <w:kern w:val="2"/>
                <w:sz w:val="21"/>
                <w:highlight w:val="none"/>
              </w:rPr>
              <w:t>㎡</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505" w:right="496"/>
              <w:jc w:val="center"/>
              <w:rPr>
                <w:color w:val="auto"/>
                <w:kern w:val="2"/>
                <w:sz w:val="21"/>
                <w:highlight w:val="none"/>
              </w:rPr>
            </w:pPr>
            <w:r>
              <w:rPr>
                <w:rFonts w:hint="eastAsia"/>
                <w:color w:val="auto"/>
                <w:kern w:val="2"/>
                <w:sz w:val="21"/>
                <w:highlight w:val="none"/>
                <w:lang w:val="en-US" w:eastAsia="zh-CN"/>
              </w:rPr>
              <w:t>据实</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498"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4"/>
              <w:ind w:left="7"/>
              <w:jc w:val="center"/>
              <w:rPr>
                <w:b/>
                <w:color w:val="auto"/>
                <w:kern w:val="2"/>
                <w:sz w:val="21"/>
                <w:highlight w:val="none"/>
              </w:rPr>
            </w:pPr>
            <w:r>
              <w:rPr>
                <w:b/>
                <w:color w:val="auto"/>
                <w:kern w:val="2"/>
                <w:sz w:val="21"/>
                <w:highlight w:val="none"/>
              </w:rPr>
              <w:t>三</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4"/>
              <w:ind w:left="108"/>
              <w:rPr>
                <w:b/>
                <w:color w:val="auto"/>
                <w:kern w:val="2"/>
                <w:sz w:val="21"/>
                <w:highlight w:val="none"/>
              </w:rPr>
            </w:pPr>
            <w:r>
              <w:rPr>
                <w:b/>
                <w:color w:val="auto"/>
                <w:kern w:val="2"/>
                <w:sz w:val="21"/>
                <w:highlight w:val="none"/>
              </w:rPr>
              <w:t>交通工具</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4"/>
              <w:ind w:left="244" w:right="235"/>
              <w:jc w:val="center"/>
              <w:rPr>
                <w:color w:val="auto"/>
                <w:kern w:val="2"/>
                <w:sz w:val="21"/>
                <w:highlight w:val="none"/>
              </w:rPr>
            </w:pP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49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8"/>
              <w:jc w:val="center"/>
              <w:rPr>
                <w:color w:val="auto"/>
                <w:kern w:val="2"/>
                <w:sz w:val="21"/>
                <w:highlight w:val="none"/>
              </w:rPr>
            </w:pPr>
            <w:r>
              <w:rPr>
                <w:color w:val="auto"/>
                <w:kern w:val="2"/>
                <w:sz w:val="21"/>
                <w:highlight w:val="none"/>
              </w:rPr>
              <w:t>1</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108"/>
              <w:rPr>
                <w:color w:val="auto"/>
                <w:kern w:val="2"/>
                <w:sz w:val="21"/>
                <w:highlight w:val="none"/>
              </w:rPr>
            </w:pPr>
            <w:r>
              <w:rPr>
                <w:color w:val="auto"/>
                <w:kern w:val="2"/>
                <w:sz w:val="21"/>
                <w:highlight w:val="none"/>
              </w:rPr>
              <w:t>四轮驱动越野车</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7"/>
              <w:jc w:val="center"/>
              <w:rPr>
                <w:color w:val="auto"/>
                <w:kern w:val="2"/>
                <w:sz w:val="21"/>
                <w:highlight w:val="none"/>
              </w:rPr>
            </w:pPr>
            <w:r>
              <w:rPr>
                <w:color w:val="auto"/>
                <w:kern w:val="2"/>
                <w:sz w:val="21"/>
                <w:highlight w:val="none"/>
              </w:rPr>
              <w:t>辆</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5"/>
              <w:ind w:left="9" w:firstLine="630" w:firstLineChars="300"/>
              <w:jc w:val="both"/>
              <w:rPr>
                <w:rFonts w:hint="eastAsia" w:eastAsia="宋体"/>
                <w:color w:val="auto"/>
                <w:kern w:val="2"/>
                <w:sz w:val="21"/>
                <w:highlight w:val="none"/>
                <w:lang w:val="en-US" w:eastAsia="zh-CN"/>
              </w:rPr>
            </w:pPr>
            <w:r>
              <w:rPr>
                <w:rFonts w:hint="eastAsia"/>
                <w:color w:val="auto"/>
                <w:kern w:val="2"/>
                <w:sz w:val="21"/>
                <w:highlight w:val="none"/>
                <w:lang w:val="en-US" w:eastAsia="zh-CN"/>
              </w:rPr>
              <w:t>1</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r>
        <w:tblPrEx>
          <w:tblCellMar>
            <w:top w:w="0" w:type="dxa"/>
            <w:left w:w="0" w:type="dxa"/>
            <w:bottom w:w="0" w:type="dxa"/>
            <w:right w:w="0" w:type="dxa"/>
          </w:tblCellMar>
        </w:tblPrEx>
        <w:trPr>
          <w:trHeight w:val="509" w:hRule="atLeast"/>
        </w:trPr>
        <w:tc>
          <w:tcPr>
            <w:tcW w:w="79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8"/>
              <w:jc w:val="center"/>
              <w:rPr>
                <w:color w:val="auto"/>
                <w:kern w:val="2"/>
                <w:sz w:val="21"/>
                <w:highlight w:val="none"/>
              </w:rPr>
            </w:pPr>
            <w:r>
              <w:rPr>
                <w:color w:val="auto"/>
                <w:kern w:val="2"/>
                <w:sz w:val="21"/>
                <w:highlight w:val="none"/>
              </w:rPr>
              <w:t>2</w:t>
            </w:r>
          </w:p>
        </w:tc>
        <w:tc>
          <w:tcPr>
            <w:tcW w:w="478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108"/>
              <w:rPr>
                <w:color w:val="auto"/>
                <w:kern w:val="2"/>
                <w:sz w:val="21"/>
                <w:highlight w:val="none"/>
              </w:rPr>
            </w:pPr>
            <w:r>
              <w:rPr>
                <w:color w:val="auto"/>
                <w:kern w:val="2"/>
                <w:sz w:val="21"/>
                <w:highlight w:val="none"/>
              </w:rPr>
              <w:t>试验检测用车（四驱皮卡工具车）</w:t>
            </w:r>
          </w:p>
        </w:tc>
        <w:tc>
          <w:tcPr>
            <w:tcW w:w="111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7"/>
              <w:jc w:val="center"/>
              <w:rPr>
                <w:color w:val="auto"/>
                <w:kern w:val="2"/>
                <w:sz w:val="21"/>
                <w:highlight w:val="none"/>
              </w:rPr>
            </w:pPr>
            <w:r>
              <w:rPr>
                <w:color w:val="auto"/>
                <w:kern w:val="2"/>
                <w:sz w:val="21"/>
                <w:highlight w:val="none"/>
              </w:rPr>
              <w:t>辆</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spacing w:before="106"/>
              <w:ind w:left="505" w:right="496"/>
              <w:jc w:val="center"/>
              <w:rPr>
                <w:rFonts w:hint="eastAsia" w:eastAsia="宋体"/>
                <w:color w:val="auto"/>
                <w:kern w:val="2"/>
                <w:sz w:val="21"/>
                <w:highlight w:val="none"/>
                <w:lang w:val="en-US" w:eastAsia="zh-CN"/>
              </w:rPr>
            </w:pPr>
            <w:r>
              <w:rPr>
                <w:rFonts w:hint="eastAsia"/>
                <w:color w:val="auto"/>
                <w:kern w:val="2"/>
                <w:sz w:val="21"/>
                <w:highlight w:val="none"/>
                <w:lang w:val="en-US" w:eastAsia="zh-CN"/>
              </w:rPr>
              <w:t>2</w:t>
            </w:r>
          </w:p>
        </w:tc>
        <w:tc>
          <w:tcPr>
            <w:tcW w:w="119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napToGrid w:val="0"/>
              <w:rPr>
                <w:color w:val="auto"/>
                <w:kern w:val="2"/>
                <w:sz w:val="20"/>
                <w:highlight w:val="none"/>
              </w:rPr>
            </w:pPr>
          </w:p>
        </w:tc>
      </w:tr>
    </w:tbl>
    <w:p>
      <w:pPr>
        <w:snapToGrid w:val="0"/>
        <w:ind w:left="100"/>
        <w:rPr>
          <w:color w:val="auto"/>
          <w:kern w:val="2"/>
          <w:sz w:val="21"/>
          <w:highlight w:val="none"/>
        </w:rPr>
      </w:pPr>
    </w:p>
    <w:p>
      <w:pPr>
        <w:snapToGrid w:val="0"/>
        <w:rPr>
          <w:color w:val="auto"/>
          <w:kern w:val="2"/>
          <w:sz w:val="21"/>
          <w:highlight w:val="none"/>
        </w:rPr>
      </w:pPr>
      <w:r>
        <w:rPr>
          <w:rFonts w:hint="eastAsia"/>
          <w:color w:val="auto"/>
          <w:kern w:val="2"/>
          <w:sz w:val="21"/>
          <w:highlight w:val="none"/>
          <w:lang w:val="en-US" w:eastAsia="zh-CN"/>
        </w:rPr>
        <w:t>备</w:t>
      </w:r>
      <w:r>
        <w:rPr>
          <w:color w:val="auto"/>
          <w:kern w:val="2"/>
          <w:sz w:val="21"/>
          <w:highlight w:val="none"/>
        </w:rPr>
        <w:t>注：</w:t>
      </w:r>
    </w:p>
    <w:p>
      <w:pPr>
        <w:snapToGrid w:val="0"/>
        <w:ind w:left="100"/>
        <w:rPr>
          <w:color w:val="auto"/>
          <w:kern w:val="2"/>
          <w:sz w:val="21"/>
          <w:highlight w:val="none"/>
        </w:rPr>
      </w:pPr>
      <w:r>
        <w:rPr>
          <w:color w:val="auto"/>
          <w:kern w:val="2"/>
          <w:sz w:val="21"/>
          <w:highlight w:val="none"/>
        </w:rPr>
        <w:t>1</w:t>
      </w:r>
      <w:r>
        <w:rPr>
          <w:rFonts w:hint="eastAsia"/>
          <w:color w:val="auto"/>
          <w:kern w:val="2"/>
          <w:sz w:val="21"/>
          <w:highlight w:val="none"/>
          <w:lang w:val="en-US" w:eastAsia="zh-CN"/>
        </w:rPr>
        <w:t>.</w:t>
      </w:r>
      <w:r>
        <w:rPr>
          <w:color w:val="auto"/>
          <w:kern w:val="2"/>
          <w:sz w:val="21"/>
          <w:highlight w:val="none"/>
        </w:rPr>
        <w:t>投标人所配备的主要办公设施、交通工具不局限于上表要求，可根据工程具体情况和工作实际需要配置，但不得少于和低于上述配置要求。若上述办公室、交通设备不满足工作需要时，中标人必须按照</w:t>
      </w:r>
      <w:r>
        <w:rPr>
          <w:rFonts w:hint="eastAsia"/>
          <w:color w:val="auto"/>
          <w:kern w:val="2"/>
          <w:sz w:val="21"/>
          <w:highlight w:val="none"/>
          <w:lang w:val="en-US" w:eastAsia="zh-CN"/>
        </w:rPr>
        <w:t>招标</w:t>
      </w:r>
      <w:r>
        <w:rPr>
          <w:color w:val="auto"/>
          <w:kern w:val="2"/>
          <w:sz w:val="21"/>
          <w:highlight w:val="none"/>
        </w:rPr>
        <w:t>人</w:t>
      </w:r>
      <w:r>
        <w:rPr>
          <w:rFonts w:hint="eastAsia"/>
          <w:color w:val="auto"/>
          <w:kern w:val="2"/>
          <w:sz w:val="21"/>
          <w:highlight w:val="none"/>
          <w:lang w:val="en-US" w:eastAsia="zh-CN"/>
        </w:rPr>
        <w:t>的</w:t>
      </w:r>
      <w:r>
        <w:rPr>
          <w:color w:val="auto"/>
          <w:kern w:val="2"/>
          <w:sz w:val="21"/>
          <w:highlight w:val="none"/>
        </w:rPr>
        <w:t>要求增加相应的办公、交通设备，在投标时投标人应综合考虑该因素，该费用已包含在投标人综合报价中，发包人不再另行支付费用。</w:t>
      </w:r>
      <w:r>
        <w:rPr>
          <w:rFonts w:hint="eastAsia"/>
          <w:color w:val="auto"/>
          <w:kern w:val="2"/>
          <w:sz w:val="21"/>
          <w:szCs w:val="22"/>
          <w:highlight w:val="none"/>
          <w:lang w:eastAsia="zh-CN"/>
        </w:rPr>
        <w:t>（</w:t>
      </w:r>
      <w:r>
        <w:rPr>
          <w:rFonts w:hint="eastAsia"/>
          <w:color w:val="auto"/>
          <w:kern w:val="2"/>
          <w:sz w:val="21"/>
          <w:szCs w:val="22"/>
          <w:highlight w:val="none"/>
          <w:lang w:val="en-US" w:eastAsia="zh-CN"/>
        </w:rPr>
        <w:t>投标人提供承诺加盖公章</w:t>
      </w:r>
      <w:r>
        <w:rPr>
          <w:rFonts w:hint="eastAsia"/>
          <w:color w:val="auto"/>
          <w:kern w:val="2"/>
          <w:sz w:val="21"/>
          <w:szCs w:val="22"/>
          <w:highlight w:val="none"/>
          <w:lang w:eastAsia="zh-CN"/>
        </w:rPr>
        <w:t>）</w:t>
      </w:r>
    </w:p>
    <w:p>
      <w:pPr>
        <w:numPr>
          <w:ilvl w:val="0"/>
          <w:numId w:val="0"/>
        </w:numPr>
        <w:snapToGrid w:val="0"/>
        <w:rPr>
          <w:color w:val="auto"/>
          <w:kern w:val="2"/>
          <w:sz w:val="21"/>
          <w:highlight w:val="none"/>
        </w:rPr>
      </w:pPr>
      <w:r>
        <w:rPr>
          <w:rFonts w:hint="eastAsia"/>
          <w:color w:val="auto"/>
          <w:kern w:val="2"/>
          <w:sz w:val="21"/>
          <w:highlight w:val="none"/>
          <w:lang w:val="en-US" w:eastAsia="zh-CN"/>
        </w:rPr>
        <w:t>2.</w:t>
      </w:r>
      <w:r>
        <w:rPr>
          <w:color w:val="auto"/>
          <w:kern w:val="2"/>
          <w:sz w:val="21"/>
          <w:highlight w:val="none"/>
        </w:rPr>
        <w:t>招标人将在合同谈判阶段要求中标人按照本表的最低要求填报为本标段配备的主要设备，在经招标人审批后作为投入本标段的主要设备</w:t>
      </w:r>
      <w:r>
        <w:rPr>
          <w:rFonts w:hint="eastAsia"/>
          <w:color w:val="auto"/>
          <w:kern w:val="2"/>
          <w:sz w:val="21"/>
          <w:szCs w:val="22"/>
          <w:highlight w:val="none"/>
          <w:lang w:eastAsia="zh-CN"/>
        </w:rPr>
        <w:t>（</w:t>
      </w:r>
      <w:r>
        <w:rPr>
          <w:rFonts w:hint="eastAsia"/>
          <w:color w:val="auto"/>
          <w:kern w:val="2"/>
          <w:sz w:val="21"/>
          <w:szCs w:val="22"/>
          <w:highlight w:val="none"/>
          <w:lang w:val="en-US" w:eastAsia="zh-CN"/>
        </w:rPr>
        <w:t>投标人提供承诺加盖公章</w:t>
      </w:r>
      <w:r>
        <w:rPr>
          <w:rFonts w:hint="eastAsia"/>
          <w:color w:val="auto"/>
          <w:kern w:val="2"/>
          <w:sz w:val="21"/>
          <w:szCs w:val="22"/>
          <w:highlight w:val="none"/>
          <w:lang w:eastAsia="zh-CN"/>
        </w:rPr>
        <w:t>）</w:t>
      </w:r>
    </w:p>
    <w:p>
      <w:pPr>
        <w:numPr>
          <w:ilvl w:val="0"/>
          <w:numId w:val="0"/>
        </w:numPr>
        <w:snapToGrid w:val="0"/>
        <w:rPr>
          <w:color w:val="auto"/>
          <w:kern w:val="2"/>
          <w:sz w:val="21"/>
          <w:highlight w:val="none"/>
        </w:rPr>
      </w:pPr>
      <w:r>
        <w:rPr>
          <w:color w:val="auto"/>
          <w:kern w:val="2"/>
          <w:sz w:val="21"/>
          <w:highlight w:val="none"/>
        </w:rPr>
        <w:t>3</w:t>
      </w:r>
      <w:r>
        <w:rPr>
          <w:rFonts w:hint="eastAsia"/>
          <w:color w:val="auto"/>
          <w:kern w:val="2"/>
          <w:sz w:val="21"/>
          <w:highlight w:val="none"/>
          <w:lang w:val="en-US" w:eastAsia="zh-CN"/>
        </w:rPr>
        <w:t>.</w:t>
      </w:r>
      <w:r>
        <w:rPr>
          <w:color w:val="auto"/>
          <w:kern w:val="2"/>
          <w:sz w:val="21"/>
          <w:highlight w:val="none"/>
        </w:rPr>
        <w:t>车辆配置：现场配置的车辆按发包人项目管理要求应安装GPS，并将行使数据上传至</w:t>
      </w:r>
      <w:r>
        <w:rPr>
          <w:rFonts w:hint="eastAsia"/>
          <w:color w:val="auto"/>
          <w:kern w:val="2"/>
          <w:sz w:val="21"/>
          <w:highlight w:val="none"/>
          <w:lang w:eastAsia="zh-CN"/>
        </w:rPr>
        <w:t>项目公司</w:t>
      </w:r>
      <w:r>
        <w:rPr>
          <w:color w:val="auto"/>
          <w:kern w:val="2"/>
          <w:sz w:val="21"/>
          <w:highlight w:val="none"/>
        </w:rPr>
        <w:t>。</w:t>
      </w:r>
      <w:r>
        <w:rPr>
          <w:rFonts w:hint="eastAsia"/>
          <w:color w:val="auto"/>
          <w:kern w:val="2"/>
          <w:sz w:val="21"/>
          <w:szCs w:val="22"/>
          <w:highlight w:val="none"/>
          <w:lang w:eastAsia="zh-CN"/>
        </w:rPr>
        <w:t>（</w:t>
      </w:r>
      <w:r>
        <w:rPr>
          <w:rFonts w:hint="eastAsia"/>
          <w:color w:val="auto"/>
          <w:kern w:val="2"/>
          <w:sz w:val="21"/>
          <w:szCs w:val="22"/>
          <w:highlight w:val="none"/>
          <w:lang w:val="en-US" w:eastAsia="zh-CN"/>
        </w:rPr>
        <w:t>投标人提供承诺加盖公章</w:t>
      </w:r>
      <w:r>
        <w:rPr>
          <w:rFonts w:hint="eastAsia"/>
          <w:color w:val="auto"/>
          <w:kern w:val="2"/>
          <w:sz w:val="21"/>
          <w:szCs w:val="22"/>
          <w:highlight w:val="none"/>
          <w:lang w:eastAsia="zh-CN"/>
        </w:rPr>
        <w:t>）</w:t>
      </w:r>
    </w:p>
    <w:p>
      <w:pPr>
        <w:snapToGrid w:val="0"/>
        <w:jc w:val="both"/>
        <w:rPr>
          <w:rFonts w:hint="eastAsia" w:ascii="宋体" w:hAnsi="宋体" w:cs="宋体"/>
          <w:color w:val="auto"/>
          <w:sz w:val="21"/>
          <w:szCs w:val="22"/>
          <w:highlight w:val="none"/>
        </w:rPr>
      </w:pPr>
    </w:p>
    <w:p>
      <w:pPr>
        <w:rPr>
          <w:rFonts w:hint="eastAsia"/>
          <w:lang w:eastAsia="zh-CN"/>
        </w:rPr>
      </w:pPr>
      <w:r>
        <w:rPr>
          <w:rFonts w:hint="eastAsia"/>
          <w:lang w:eastAsia="zh-CN"/>
        </w:rPr>
        <w:br w:type="page"/>
      </w:r>
    </w:p>
    <w:p>
      <w:pPr>
        <w:jc w:val="center"/>
        <w:rPr>
          <w:rFonts w:hint="eastAsia"/>
          <w:b/>
          <w:bCs/>
          <w:sz w:val="28"/>
          <w:szCs w:val="36"/>
          <w:lang w:val="en-US" w:eastAsia="zh-CN"/>
        </w:rPr>
      </w:pPr>
      <w:r>
        <w:rPr>
          <w:rFonts w:hint="eastAsia"/>
          <w:b/>
          <w:bCs/>
          <w:sz w:val="28"/>
          <w:szCs w:val="36"/>
          <w:lang w:eastAsia="zh-CN"/>
        </w:rPr>
        <w:t>附件二</w:t>
      </w:r>
      <w:r>
        <w:rPr>
          <w:rFonts w:hint="eastAsia"/>
          <w:b/>
          <w:bCs/>
          <w:sz w:val="28"/>
          <w:szCs w:val="36"/>
          <w:lang w:val="en-US" w:eastAsia="zh-CN"/>
        </w:rPr>
        <w:t xml:space="preserve">  评标办法</w:t>
      </w:r>
    </w:p>
    <w:p>
      <w:pPr>
        <w:snapToGrid w:val="0"/>
        <w:spacing w:before="97" w:line="357" w:lineRule="auto"/>
        <w:ind w:right="170"/>
        <w:rPr>
          <w:color w:val="auto"/>
          <w:kern w:val="2"/>
          <w:highlight w:val="none"/>
        </w:rPr>
      </w:pPr>
      <w:r>
        <w:rPr>
          <w:rFonts w:hint="eastAsia"/>
          <w:color w:val="auto"/>
          <w:kern w:val="2"/>
          <w:highlight w:val="none"/>
        </w:rPr>
        <w:t>评标办法前附表</w:t>
      </w:r>
    </w:p>
    <w:tbl>
      <w:tblPr>
        <w:tblStyle w:val="2"/>
        <w:tblW w:w="0" w:type="auto"/>
        <w:jc w:val="center"/>
        <w:tblLayout w:type="fixed"/>
        <w:tblCellMar>
          <w:top w:w="0" w:type="dxa"/>
          <w:left w:w="0" w:type="dxa"/>
          <w:bottom w:w="0" w:type="dxa"/>
          <w:right w:w="0" w:type="dxa"/>
        </w:tblCellMar>
      </w:tblPr>
      <w:tblGrid>
        <w:gridCol w:w="935"/>
        <w:gridCol w:w="1065"/>
        <w:gridCol w:w="7639"/>
      </w:tblGrid>
      <w:tr>
        <w:tblPrEx>
          <w:tblCellMar>
            <w:top w:w="0" w:type="dxa"/>
            <w:left w:w="0" w:type="dxa"/>
            <w:bottom w:w="0" w:type="dxa"/>
            <w:right w:w="0" w:type="dxa"/>
          </w:tblCellMar>
        </w:tblPrEx>
        <w:trPr>
          <w:jc w:val="center"/>
        </w:trPr>
        <w:tc>
          <w:tcPr>
            <w:tcW w:w="20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288" w:lineRule="auto"/>
              <w:ind w:left="100" w:right="170"/>
              <w:jc w:val="center"/>
              <w:rPr>
                <w:rFonts w:ascii="黑体" w:hAnsi="黑体" w:eastAsia="黑体"/>
                <w:color w:val="auto"/>
                <w:kern w:val="2"/>
                <w:sz w:val="28"/>
                <w:szCs w:val="28"/>
                <w:highlight w:val="none"/>
              </w:rPr>
            </w:pPr>
            <w:r>
              <w:rPr>
                <w:rFonts w:hint="eastAsia" w:ascii="黑体" w:hAnsi="黑体" w:eastAsia="黑体"/>
                <w:color w:val="auto"/>
                <w:kern w:val="2"/>
                <w:sz w:val="28"/>
                <w:szCs w:val="28"/>
                <w:highlight w:val="none"/>
              </w:rPr>
              <w:t>条款号</w:t>
            </w:r>
          </w:p>
        </w:tc>
        <w:tc>
          <w:tcPr>
            <w:tcW w:w="76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288" w:lineRule="auto"/>
              <w:ind w:left="100" w:right="170"/>
              <w:jc w:val="center"/>
              <w:rPr>
                <w:rFonts w:ascii="黑体" w:hAnsi="黑体" w:eastAsia="黑体"/>
                <w:color w:val="auto"/>
                <w:kern w:val="2"/>
                <w:sz w:val="28"/>
                <w:szCs w:val="28"/>
                <w:highlight w:val="none"/>
              </w:rPr>
            </w:pPr>
            <w:r>
              <w:rPr>
                <w:rFonts w:hint="eastAsia" w:ascii="黑体" w:hAnsi="黑体" w:eastAsia="黑体"/>
                <w:color w:val="auto"/>
                <w:kern w:val="2"/>
                <w:sz w:val="28"/>
                <w:szCs w:val="28"/>
                <w:highlight w:val="none"/>
              </w:rPr>
              <w:t>评审因素与评审标准</w:t>
            </w:r>
          </w:p>
        </w:tc>
      </w:tr>
      <w:tr>
        <w:tblPrEx>
          <w:tblCellMar>
            <w:top w:w="0" w:type="dxa"/>
            <w:left w:w="0" w:type="dxa"/>
            <w:bottom w:w="0" w:type="dxa"/>
            <w:right w:w="0" w:type="dxa"/>
          </w:tblCellMar>
        </w:tblPrEx>
        <w:trPr>
          <w:jc w:val="center"/>
        </w:trPr>
        <w:tc>
          <w:tcPr>
            <w:tcW w:w="9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left="100" w:right="170"/>
              <w:jc w:val="center"/>
              <w:rPr>
                <w:color w:val="auto"/>
                <w:kern w:val="2"/>
                <w:sz w:val="24"/>
                <w:szCs w:val="24"/>
                <w:highlight w:val="none"/>
              </w:rPr>
            </w:pPr>
            <w:r>
              <w:rPr>
                <w:color w:val="auto"/>
                <w:kern w:val="2"/>
                <w:sz w:val="24"/>
                <w:szCs w:val="24"/>
                <w:highlight w:val="none"/>
              </w:rPr>
              <w:t>1</w:t>
            </w:r>
          </w:p>
        </w:tc>
        <w:tc>
          <w:tcPr>
            <w:tcW w:w="10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left="-113" w:right="-11"/>
              <w:jc w:val="center"/>
              <w:rPr>
                <w:color w:val="auto"/>
                <w:kern w:val="2"/>
                <w:sz w:val="24"/>
                <w:szCs w:val="24"/>
                <w:highlight w:val="none"/>
              </w:rPr>
            </w:pPr>
            <w:r>
              <w:rPr>
                <w:color w:val="auto"/>
                <w:kern w:val="2"/>
                <w:sz w:val="24"/>
                <w:szCs w:val="24"/>
                <w:highlight w:val="none"/>
              </w:rPr>
              <w:t>评标办法</w:t>
            </w:r>
          </w:p>
        </w:tc>
        <w:tc>
          <w:tcPr>
            <w:tcW w:w="76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right="170"/>
              <w:jc w:val="both"/>
              <w:rPr>
                <w:color w:val="auto"/>
                <w:kern w:val="2"/>
                <w:sz w:val="24"/>
                <w:szCs w:val="24"/>
                <w:highlight w:val="none"/>
              </w:rPr>
            </w:pPr>
            <w:r>
              <w:rPr>
                <w:color w:val="auto"/>
                <w:kern w:val="2"/>
                <w:sz w:val="24"/>
                <w:szCs w:val="24"/>
                <w:highlight w:val="none"/>
              </w:rPr>
              <w:t>综合评分相等时，评标委员会依次按照以下优先顺序推荐中标候选人或确定中标人</w:t>
            </w:r>
          </w:p>
          <w:p>
            <w:pPr>
              <w:snapToGrid w:val="0"/>
              <w:spacing w:line="288" w:lineRule="auto"/>
              <w:ind w:left="850" w:right="170" w:hanging="425"/>
              <w:jc w:val="both"/>
              <w:rPr>
                <w:color w:val="auto"/>
                <w:kern w:val="2"/>
                <w:sz w:val="24"/>
                <w:szCs w:val="24"/>
                <w:highlight w:val="none"/>
              </w:rPr>
            </w:pPr>
            <w:r>
              <w:rPr>
                <w:color w:val="auto"/>
                <w:kern w:val="2"/>
                <w:sz w:val="24"/>
                <w:szCs w:val="24"/>
                <w:highlight w:val="none"/>
              </w:rPr>
              <w:t>1）评标价低的投标人优先</w:t>
            </w:r>
          </w:p>
          <w:p>
            <w:pPr>
              <w:snapToGrid w:val="0"/>
              <w:spacing w:line="288" w:lineRule="auto"/>
              <w:ind w:left="850" w:right="170" w:hanging="425"/>
              <w:jc w:val="both"/>
              <w:rPr>
                <w:color w:val="auto"/>
                <w:kern w:val="2"/>
                <w:sz w:val="24"/>
                <w:szCs w:val="24"/>
                <w:highlight w:val="none"/>
              </w:rPr>
            </w:pPr>
            <w:r>
              <w:rPr>
                <w:color w:val="auto"/>
                <w:kern w:val="2"/>
                <w:sz w:val="24"/>
                <w:szCs w:val="24"/>
                <w:highlight w:val="none"/>
              </w:rPr>
              <w:t>2）</w:t>
            </w:r>
            <w:r>
              <w:rPr>
                <w:rFonts w:hint="eastAsia"/>
                <w:color w:val="auto"/>
                <w:kern w:val="2"/>
                <w:sz w:val="24"/>
                <w:szCs w:val="24"/>
                <w:highlight w:val="none"/>
              </w:rPr>
              <w:t>以评标时采用的信用等级较高的的投标人优先；</w:t>
            </w:r>
          </w:p>
          <w:p>
            <w:pPr>
              <w:snapToGrid w:val="0"/>
              <w:spacing w:line="288" w:lineRule="auto"/>
              <w:ind w:left="850" w:right="170" w:hanging="425"/>
              <w:jc w:val="both"/>
              <w:rPr>
                <w:color w:val="auto"/>
                <w:kern w:val="2"/>
                <w:sz w:val="24"/>
                <w:szCs w:val="24"/>
                <w:highlight w:val="none"/>
              </w:rPr>
            </w:pPr>
            <w:r>
              <w:rPr>
                <w:color w:val="auto"/>
                <w:kern w:val="2"/>
                <w:sz w:val="24"/>
                <w:szCs w:val="24"/>
                <w:highlight w:val="none"/>
              </w:rPr>
              <w:t>3）商务和技术得分较高的投标人优先</w:t>
            </w:r>
          </w:p>
          <w:p>
            <w:pPr>
              <w:snapToGrid w:val="0"/>
              <w:spacing w:line="288" w:lineRule="auto"/>
              <w:ind w:left="850" w:right="170" w:hanging="425"/>
              <w:jc w:val="both"/>
              <w:rPr>
                <w:rFonts w:hint="eastAsia"/>
                <w:color w:val="auto"/>
                <w:kern w:val="2"/>
                <w:sz w:val="24"/>
                <w:szCs w:val="24"/>
                <w:highlight w:val="none"/>
              </w:rPr>
            </w:pPr>
            <w:r>
              <w:rPr>
                <w:rFonts w:hint="eastAsia"/>
                <w:color w:val="auto"/>
                <w:kern w:val="2"/>
                <w:sz w:val="24"/>
                <w:szCs w:val="24"/>
                <w:highlight w:val="none"/>
              </w:rPr>
              <w:t>4）标书款交纳时间较早的优先。</w:t>
            </w:r>
          </w:p>
        </w:tc>
      </w:tr>
      <w:tr>
        <w:tblPrEx>
          <w:tblCellMar>
            <w:top w:w="0" w:type="dxa"/>
            <w:left w:w="0" w:type="dxa"/>
            <w:bottom w:w="0" w:type="dxa"/>
            <w:right w:w="0" w:type="dxa"/>
          </w:tblCellMar>
        </w:tblPrEx>
        <w:trPr>
          <w:jc w:val="center"/>
        </w:trPr>
        <w:tc>
          <w:tcPr>
            <w:tcW w:w="9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left="100" w:right="170"/>
              <w:jc w:val="center"/>
              <w:rPr>
                <w:color w:val="auto"/>
                <w:kern w:val="2"/>
                <w:sz w:val="24"/>
                <w:szCs w:val="24"/>
                <w:highlight w:val="none"/>
              </w:rPr>
            </w:pPr>
            <w:r>
              <w:rPr>
                <w:color w:val="auto"/>
                <w:kern w:val="2"/>
                <w:sz w:val="24"/>
                <w:szCs w:val="24"/>
                <w:highlight w:val="none"/>
              </w:rPr>
              <w:t>2.1.1</w:t>
            </w:r>
          </w:p>
        </w:tc>
        <w:tc>
          <w:tcPr>
            <w:tcW w:w="10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left="-113" w:right="-11"/>
              <w:jc w:val="center"/>
              <w:rPr>
                <w:color w:val="auto"/>
                <w:kern w:val="2"/>
                <w:sz w:val="24"/>
                <w:szCs w:val="24"/>
                <w:highlight w:val="none"/>
              </w:rPr>
            </w:pPr>
            <w:r>
              <w:rPr>
                <w:color w:val="auto"/>
                <w:kern w:val="2"/>
                <w:sz w:val="24"/>
                <w:szCs w:val="24"/>
                <w:highlight w:val="none"/>
              </w:rPr>
              <w:t>形式评审与响应性评审标准</w:t>
            </w:r>
          </w:p>
        </w:tc>
        <w:tc>
          <w:tcPr>
            <w:tcW w:w="76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left="100" w:right="170"/>
              <w:jc w:val="both"/>
              <w:rPr>
                <w:color w:val="auto"/>
                <w:kern w:val="2"/>
                <w:sz w:val="24"/>
                <w:szCs w:val="24"/>
                <w:highlight w:val="none"/>
              </w:rPr>
            </w:pPr>
            <w:r>
              <w:rPr>
                <w:color w:val="auto"/>
                <w:kern w:val="2"/>
                <w:sz w:val="24"/>
                <w:szCs w:val="24"/>
                <w:highlight w:val="none"/>
              </w:rPr>
              <w:t>第一信封（商务及技术文件）评审标准：</w:t>
            </w:r>
          </w:p>
          <w:p>
            <w:pPr>
              <w:numPr>
                <w:ilvl w:val="0"/>
                <w:numId w:val="1"/>
              </w:numPr>
              <w:snapToGrid w:val="0"/>
              <w:spacing w:line="288" w:lineRule="auto"/>
              <w:ind w:left="425"/>
              <w:rPr>
                <w:color w:val="auto"/>
                <w:kern w:val="2"/>
                <w:sz w:val="24"/>
                <w:szCs w:val="24"/>
                <w:highlight w:val="none"/>
              </w:rPr>
            </w:pPr>
            <w:r>
              <w:rPr>
                <w:color w:val="auto"/>
                <w:kern w:val="2"/>
                <w:sz w:val="24"/>
                <w:szCs w:val="24"/>
                <w:highlight w:val="none"/>
              </w:rPr>
              <w:t>投标文件按照招标文件规定的额格式、内容填写、字迹清晰可辨；</w:t>
            </w:r>
          </w:p>
          <w:p>
            <w:pPr>
              <w:numPr>
                <w:ilvl w:val="0"/>
                <w:numId w:val="2"/>
              </w:numPr>
              <w:snapToGrid w:val="0"/>
              <w:spacing w:line="288" w:lineRule="auto"/>
              <w:ind w:firstLine="496"/>
              <w:rPr>
                <w:color w:val="auto"/>
                <w:kern w:val="2"/>
                <w:sz w:val="24"/>
                <w:szCs w:val="24"/>
                <w:highlight w:val="none"/>
              </w:rPr>
            </w:pPr>
            <w:r>
              <w:rPr>
                <w:rFonts w:hint="eastAsia"/>
                <w:color w:val="auto"/>
                <w:kern w:val="2"/>
                <w:sz w:val="24"/>
                <w:szCs w:val="24"/>
                <w:highlight w:val="none"/>
              </w:rPr>
              <w:t>投标函按招标文件规定填报了项目名称、补遗书编号（如有）、服务期限、工程质量要求及安全目标</w:t>
            </w:r>
            <w:r>
              <w:rPr>
                <w:color w:val="auto"/>
                <w:kern w:val="2"/>
                <w:sz w:val="24"/>
                <w:szCs w:val="24"/>
                <w:highlight w:val="none"/>
              </w:rPr>
              <w:t>；</w:t>
            </w:r>
          </w:p>
          <w:p>
            <w:pPr>
              <w:numPr>
                <w:ilvl w:val="0"/>
                <w:numId w:val="2"/>
              </w:numPr>
              <w:snapToGrid w:val="0"/>
              <w:spacing w:line="288" w:lineRule="auto"/>
              <w:ind w:firstLine="496"/>
              <w:rPr>
                <w:color w:val="auto"/>
                <w:kern w:val="2"/>
                <w:sz w:val="24"/>
                <w:szCs w:val="24"/>
                <w:highlight w:val="none"/>
              </w:rPr>
            </w:pPr>
            <w:r>
              <w:rPr>
                <w:color w:val="auto"/>
                <w:kern w:val="2"/>
                <w:sz w:val="24"/>
                <w:szCs w:val="24"/>
                <w:highlight w:val="none"/>
              </w:rPr>
              <w:t>投标文件组成齐全完整，内容均按规定填写。</w:t>
            </w:r>
          </w:p>
          <w:p>
            <w:pPr>
              <w:numPr>
                <w:ilvl w:val="0"/>
                <w:numId w:val="1"/>
              </w:numPr>
              <w:snapToGrid w:val="0"/>
              <w:spacing w:line="288" w:lineRule="auto"/>
              <w:ind w:left="425"/>
              <w:rPr>
                <w:color w:val="auto"/>
                <w:kern w:val="2"/>
                <w:sz w:val="24"/>
                <w:szCs w:val="24"/>
                <w:highlight w:val="none"/>
              </w:rPr>
            </w:pPr>
            <w:r>
              <w:rPr>
                <w:color w:val="auto"/>
                <w:kern w:val="2"/>
                <w:sz w:val="24"/>
                <w:szCs w:val="24"/>
                <w:highlight w:val="none"/>
              </w:rPr>
              <w:t>投标文件上法定代表人或其委托代理人的签字、投标人的单位盖章齐全，符合招标文件规定。</w:t>
            </w:r>
          </w:p>
          <w:p>
            <w:pPr>
              <w:numPr>
                <w:ilvl w:val="0"/>
                <w:numId w:val="1"/>
              </w:numPr>
              <w:snapToGrid w:val="0"/>
              <w:spacing w:line="288" w:lineRule="auto"/>
              <w:ind w:left="425"/>
              <w:rPr>
                <w:color w:val="auto"/>
                <w:kern w:val="2"/>
                <w:sz w:val="24"/>
                <w:szCs w:val="24"/>
                <w:highlight w:val="none"/>
              </w:rPr>
            </w:pPr>
            <w:r>
              <w:rPr>
                <w:color w:val="auto"/>
                <w:kern w:val="2"/>
                <w:sz w:val="24"/>
                <w:szCs w:val="24"/>
                <w:highlight w:val="none"/>
              </w:rPr>
              <w:t>投标人按照招标文件的规定提供了投标保证金；</w:t>
            </w:r>
          </w:p>
          <w:p>
            <w:pPr>
              <w:numPr>
                <w:ilvl w:val="0"/>
                <w:numId w:val="3"/>
              </w:numPr>
              <w:snapToGrid w:val="0"/>
              <w:spacing w:line="288" w:lineRule="auto"/>
              <w:ind w:firstLine="496"/>
              <w:rPr>
                <w:color w:val="auto"/>
                <w:kern w:val="2"/>
                <w:sz w:val="24"/>
                <w:szCs w:val="24"/>
                <w:highlight w:val="none"/>
              </w:rPr>
            </w:pPr>
            <w:r>
              <w:rPr>
                <w:color w:val="auto"/>
                <w:kern w:val="2"/>
                <w:sz w:val="24"/>
                <w:szCs w:val="24"/>
                <w:highlight w:val="none"/>
              </w:rPr>
              <w:t>投标保证金金额符合招标文件规定的金额，且投标保证金有效期不少于投标有效期；</w:t>
            </w:r>
          </w:p>
          <w:p>
            <w:pPr>
              <w:numPr>
                <w:ilvl w:val="0"/>
                <w:numId w:val="3"/>
              </w:numPr>
              <w:snapToGrid w:val="0"/>
              <w:spacing w:line="288" w:lineRule="auto"/>
              <w:ind w:firstLine="496"/>
              <w:rPr>
                <w:color w:val="auto"/>
                <w:kern w:val="2"/>
                <w:sz w:val="24"/>
                <w:szCs w:val="24"/>
                <w:highlight w:val="none"/>
              </w:rPr>
            </w:pPr>
            <w:r>
              <w:rPr>
                <w:color w:val="auto"/>
                <w:kern w:val="2"/>
                <w:sz w:val="24"/>
                <w:szCs w:val="24"/>
                <w:highlight w:val="none"/>
              </w:rPr>
              <w:t>若投标保证金采用现金或支票形式提交，投标人应在递交投标文件截止时间之前，将投标保证金由投标人的基本账户转入招标人指定账户:</w:t>
            </w:r>
          </w:p>
          <w:p>
            <w:pPr>
              <w:numPr>
                <w:ilvl w:val="0"/>
                <w:numId w:val="3"/>
              </w:numPr>
              <w:snapToGrid w:val="0"/>
              <w:spacing w:line="288" w:lineRule="auto"/>
              <w:ind w:firstLine="496"/>
              <w:rPr>
                <w:color w:val="auto"/>
                <w:kern w:val="2"/>
                <w:sz w:val="24"/>
                <w:szCs w:val="24"/>
                <w:highlight w:val="none"/>
              </w:rPr>
            </w:pPr>
            <w:r>
              <w:rPr>
                <w:color w:val="auto"/>
                <w:kern w:val="2"/>
                <w:sz w:val="24"/>
                <w:szCs w:val="24"/>
                <w:highlight w:val="none"/>
              </w:rPr>
              <w:t>若投标保证金采用银行保函形式提交，银行保函的格式、开具保函的银行均满足招标文件要求，且在递交投标文件截止时间之前向招标人提交了银行保函原件。</w:t>
            </w:r>
          </w:p>
          <w:p>
            <w:pPr>
              <w:numPr>
                <w:ilvl w:val="0"/>
                <w:numId w:val="1"/>
              </w:numPr>
              <w:snapToGrid w:val="0"/>
              <w:spacing w:line="288" w:lineRule="auto"/>
              <w:ind w:left="425"/>
              <w:rPr>
                <w:color w:val="auto"/>
                <w:kern w:val="2"/>
                <w:sz w:val="24"/>
                <w:szCs w:val="24"/>
                <w:highlight w:val="none"/>
              </w:rPr>
            </w:pPr>
            <w:r>
              <w:rPr>
                <w:color w:val="auto"/>
                <w:kern w:val="2"/>
                <w:sz w:val="24"/>
                <w:szCs w:val="24"/>
                <w:highlight w:val="none"/>
              </w:rPr>
              <w:t>投标人法定代表人授权委托代理人签署投标文件的，须提交授权委托书，且授权人和被授权人均在授权委托书上签名，未使用印章签名章或其他电子制版签名代替。</w:t>
            </w:r>
          </w:p>
          <w:p>
            <w:pPr>
              <w:numPr>
                <w:ilvl w:val="0"/>
                <w:numId w:val="1"/>
              </w:numPr>
              <w:snapToGrid w:val="0"/>
              <w:spacing w:line="288" w:lineRule="auto"/>
              <w:ind w:left="425"/>
              <w:rPr>
                <w:rFonts w:hint="eastAsia"/>
                <w:color w:val="auto"/>
                <w:kern w:val="2"/>
                <w:sz w:val="24"/>
                <w:szCs w:val="24"/>
                <w:highlight w:val="none"/>
              </w:rPr>
            </w:pPr>
            <w:r>
              <w:rPr>
                <w:color w:val="auto"/>
                <w:kern w:val="2"/>
                <w:sz w:val="24"/>
                <w:szCs w:val="24"/>
                <w:highlight w:val="none"/>
              </w:rPr>
              <w:t>投标人法定代表人亲自签署投标文件的，提供了法定代表人身份证明，且法定代表人在法定代表人身份证明上签名，未使用印章、签名章或其他电子制版签名代替。</w:t>
            </w:r>
          </w:p>
          <w:p>
            <w:pPr>
              <w:numPr>
                <w:ilvl w:val="0"/>
                <w:numId w:val="1"/>
              </w:numPr>
              <w:snapToGrid w:val="0"/>
              <w:spacing w:line="288" w:lineRule="auto"/>
              <w:ind w:left="425"/>
              <w:rPr>
                <w:color w:val="auto"/>
                <w:kern w:val="2"/>
                <w:sz w:val="24"/>
                <w:szCs w:val="24"/>
                <w:highlight w:val="none"/>
              </w:rPr>
            </w:pPr>
            <w:r>
              <w:rPr>
                <w:color w:val="auto"/>
                <w:kern w:val="2"/>
                <w:sz w:val="24"/>
                <w:szCs w:val="24"/>
                <w:highlight w:val="none"/>
              </w:rPr>
              <w:t>同一投标人未提交两个以上不同的投标文件</w:t>
            </w:r>
            <w:r>
              <w:rPr>
                <w:rFonts w:hint="eastAsia"/>
                <w:color w:val="auto"/>
                <w:kern w:val="2"/>
                <w:sz w:val="24"/>
                <w:szCs w:val="24"/>
                <w:highlight w:val="none"/>
              </w:rPr>
              <w:t>。</w:t>
            </w:r>
          </w:p>
          <w:p>
            <w:pPr>
              <w:numPr>
                <w:ilvl w:val="0"/>
                <w:numId w:val="1"/>
              </w:numPr>
              <w:snapToGrid w:val="0"/>
              <w:spacing w:line="288" w:lineRule="auto"/>
              <w:ind w:left="425"/>
              <w:rPr>
                <w:color w:val="auto"/>
                <w:kern w:val="2"/>
                <w:sz w:val="24"/>
                <w:szCs w:val="24"/>
                <w:highlight w:val="none"/>
              </w:rPr>
            </w:pPr>
            <w:r>
              <w:rPr>
                <w:color w:val="auto"/>
                <w:kern w:val="2"/>
                <w:sz w:val="24"/>
                <w:szCs w:val="24"/>
                <w:highlight w:val="none"/>
              </w:rPr>
              <w:t>投标文件中未出现有关投标报价的内容。</w:t>
            </w:r>
          </w:p>
          <w:p>
            <w:pPr>
              <w:numPr>
                <w:ilvl w:val="0"/>
                <w:numId w:val="1"/>
              </w:numPr>
              <w:tabs>
                <w:tab w:val="left" w:pos="496"/>
              </w:tabs>
              <w:snapToGrid w:val="0"/>
              <w:spacing w:line="288" w:lineRule="auto"/>
              <w:ind w:firstLine="0"/>
              <w:rPr>
                <w:color w:val="auto"/>
                <w:kern w:val="2"/>
                <w:sz w:val="24"/>
                <w:szCs w:val="24"/>
                <w:highlight w:val="none"/>
              </w:rPr>
            </w:pPr>
            <w:r>
              <w:rPr>
                <w:color w:val="auto"/>
                <w:kern w:val="2"/>
                <w:sz w:val="24"/>
                <w:szCs w:val="24"/>
                <w:highlight w:val="none"/>
              </w:rPr>
              <w:t>投标文件载明的招标项目完成期限未超过招标文件规定的时限。</w:t>
            </w:r>
          </w:p>
          <w:p>
            <w:pPr>
              <w:numPr>
                <w:ilvl w:val="0"/>
                <w:numId w:val="1"/>
              </w:numPr>
              <w:tabs>
                <w:tab w:val="left" w:pos="496"/>
              </w:tabs>
              <w:snapToGrid w:val="0"/>
              <w:spacing w:line="288" w:lineRule="auto"/>
              <w:ind w:firstLine="0"/>
              <w:rPr>
                <w:color w:val="auto"/>
                <w:kern w:val="2"/>
                <w:sz w:val="24"/>
                <w:szCs w:val="24"/>
                <w:highlight w:val="none"/>
              </w:rPr>
            </w:pPr>
            <w:r>
              <w:rPr>
                <w:color w:val="auto"/>
                <w:kern w:val="2"/>
                <w:sz w:val="24"/>
                <w:szCs w:val="24"/>
                <w:highlight w:val="none"/>
              </w:rPr>
              <w:t>投标文件对招标文件的实质性要求和条件作出响应。</w:t>
            </w:r>
          </w:p>
          <w:p>
            <w:pPr>
              <w:numPr>
                <w:ilvl w:val="0"/>
                <w:numId w:val="1"/>
              </w:numPr>
              <w:tabs>
                <w:tab w:val="left" w:pos="496"/>
              </w:tabs>
              <w:snapToGrid w:val="0"/>
              <w:spacing w:line="288" w:lineRule="auto"/>
              <w:ind w:firstLine="0"/>
              <w:rPr>
                <w:color w:val="auto"/>
                <w:kern w:val="2"/>
                <w:sz w:val="24"/>
                <w:szCs w:val="24"/>
                <w:highlight w:val="none"/>
              </w:rPr>
            </w:pPr>
            <w:r>
              <w:rPr>
                <w:color w:val="auto"/>
                <w:kern w:val="2"/>
                <w:sz w:val="24"/>
                <w:szCs w:val="24"/>
                <w:highlight w:val="none"/>
              </w:rPr>
              <w:t>权利义务符合招标文件规定:</w:t>
            </w:r>
          </w:p>
          <w:p>
            <w:pPr>
              <w:snapToGrid w:val="0"/>
              <w:spacing w:line="288" w:lineRule="auto"/>
              <w:ind w:firstLine="495"/>
              <w:rPr>
                <w:color w:val="auto"/>
                <w:kern w:val="2"/>
                <w:sz w:val="24"/>
                <w:szCs w:val="24"/>
                <w:highlight w:val="none"/>
              </w:rPr>
            </w:pPr>
            <w:r>
              <w:rPr>
                <w:color w:val="auto"/>
                <w:kern w:val="2"/>
                <w:sz w:val="24"/>
                <w:szCs w:val="24"/>
                <w:highlight w:val="none"/>
              </w:rPr>
              <w:t>a.投标人应接受招标文件规定的风险划分原则，未提出新的风险划分办法;</w:t>
            </w:r>
          </w:p>
          <w:p>
            <w:pPr>
              <w:snapToGrid w:val="0"/>
              <w:spacing w:line="288" w:lineRule="auto"/>
              <w:ind w:firstLine="495"/>
              <w:rPr>
                <w:color w:val="auto"/>
                <w:kern w:val="2"/>
                <w:sz w:val="24"/>
                <w:szCs w:val="24"/>
                <w:highlight w:val="none"/>
              </w:rPr>
            </w:pPr>
            <w:r>
              <w:rPr>
                <w:color w:val="auto"/>
                <w:kern w:val="2"/>
                <w:sz w:val="24"/>
                <w:szCs w:val="24"/>
                <w:highlight w:val="none"/>
              </w:rPr>
              <w:t>b.投标人未增加委托人的责任范围，或减少投标人义务;</w:t>
            </w:r>
          </w:p>
          <w:p>
            <w:pPr>
              <w:snapToGrid w:val="0"/>
              <w:spacing w:line="288" w:lineRule="auto"/>
              <w:ind w:firstLine="495"/>
              <w:rPr>
                <w:color w:val="auto"/>
                <w:kern w:val="2"/>
                <w:sz w:val="24"/>
                <w:szCs w:val="24"/>
                <w:highlight w:val="none"/>
              </w:rPr>
            </w:pPr>
            <w:r>
              <w:rPr>
                <w:color w:val="auto"/>
                <w:kern w:val="2"/>
                <w:sz w:val="24"/>
                <w:szCs w:val="24"/>
                <w:highlight w:val="none"/>
              </w:rPr>
              <w:t>c.投标人未提出不同的支付办法:</w:t>
            </w:r>
          </w:p>
          <w:p>
            <w:pPr>
              <w:snapToGrid w:val="0"/>
              <w:spacing w:line="288" w:lineRule="auto"/>
              <w:ind w:firstLine="495"/>
              <w:rPr>
                <w:color w:val="auto"/>
                <w:kern w:val="2"/>
                <w:sz w:val="24"/>
                <w:szCs w:val="24"/>
                <w:highlight w:val="none"/>
              </w:rPr>
            </w:pPr>
            <w:r>
              <w:rPr>
                <w:color w:val="auto"/>
                <w:kern w:val="2"/>
                <w:sz w:val="24"/>
                <w:szCs w:val="24"/>
                <w:highlight w:val="none"/>
              </w:rPr>
              <w:t>d.投标人对合同纠纷、事故处理办法未提出异议:</w:t>
            </w:r>
          </w:p>
          <w:p>
            <w:pPr>
              <w:snapToGrid w:val="0"/>
              <w:spacing w:line="288" w:lineRule="auto"/>
              <w:ind w:firstLine="495"/>
              <w:rPr>
                <w:color w:val="auto"/>
                <w:kern w:val="2"/>
                <w:sz w:val="24"/>
                <w:szCs w:val="24"/>
                <w:highlight w:val="none"/>
              </w:rPr>
            </w:pPr>
            <w:r>
              <w:rPr>
                <w:color w:val="auto"/>
                <w:kern w:val="2"/>
                <w:sz w:val="24"/>
                <w:szCs w:val="24"/>
                <w:highlight w:val="none"/>
              </w:rPr>
              <w:t>e.投标人在投标活动中无欺诈行为:</w:t>
            </w:r>
          </w:p>
          <w:p>
            <w:pPr>
              <w:snapToGrid w:val="0"/>
              <w:spacing w:line="288" w:lineRule="auto"/>
              <w:ind w:firstLine="495"/>
              <w:rPr>
                <w:color w:val="auto"/>
                <w:kern w:val="2"/>
                <w:sz w:val="24"/>
                <w:szCs w:val="24"/>
                <w:highlight w:val="none"/>
              </w:rPr>
            </w:pPr>
            <w:r>
              <w:rPr>
                <w:color w:val="auto"/>
                <w:kern w:val="2"/>
                <w:sz w:val="24"/>
                <w:szCs w:val="24"/>
                <w:highlight w:val="none"/>
              </w:rPr>
              <w:t>f.投标人未对合同条款有重要保留。</w:t>
            </w:r>
          </w:p>
          <w:p>
            <w:pPr>
              <w:numPr>
                <w:ilvl w:val="0"/>
                <w:numId w:val="1"/>
              </w:numPr>
              <w:tabs>
                <w:tab w:val="left" w:pos="496"/>
              </w:tabs>
              <w:snapToGrid w:val="0"/>
              <w:spacing w:line="288" w:lineRule="auto"/>
              <w:ind w:firstLine="0"/>
              <w:rPr>
                <w:color w:val="auto"/>
                <w:kern w:val="2"/>
                <w:sz w:val="24"/>
                <w:szCs w:val="24"/>
                <w:highlight w:val="none"/>
              </w:rPr>
            </w:pPr>
            <w:r>
              <w:rPr>
                <w:color w:val="auto"/>
                <w:kern w:val="2"/>
                <w:sz w:val="24"/>
                <w:szCs w:val="24"/>
                <w:highlight w:val="none"/>
              </w:rPr>
              <w:t>投标文件正、副本份数符合招标文件第二章"投标人须知"第3.7.4项规定。</w:t>
            </w:r>
          </w:p>
          <w:p>
            <w:pPr>
              <w:snapToGrid w:val="0"/>
              <w:spacing w:line="288" w:lineRule="auto"/>
              <w:ind w:left="100" w:right="170"/>
              <w:jc w:val="both"/>
              <w:rPr>
                <w:color w:val="auto"/>
                <w:kern w:val="2"/>
                <w:sz w:val="24"/>
                <w:szCs w:val="24"/>
                <w:highlight w:val="none"/>
              </w:rPr>
            </w:pPr>
            <w:r>
              <w:rPr>
                <w:color w:val="auto"/>
                <w:kern w:val="2"/>
                <w:sz w:val="24"/>
                <w:szCs w:val="24"/>
                <w:highlight w:val="none"/>
              </w:rPr>
              <w:t>第二个信封(报价文件)评审标准:</w:t>
            </w:r>
          </w:p>
          <w:p>
            <w:pPr>
              <w:numPr>
                <w:ilvl w:val="0"/>
                <w:numId w:val="4"/>
              </w:numPr>
              <w:snapToGrid w:val="0"/>
              <w:spacing w:line="288" w:lineRule="auto"/>
              <w:ind w:left="425"/>
              <w:rPr>
                <w:color w:val="auto"/>
                <w:kern w:val="2"/>
                <w:sz w:val="24"/>
                <w:szCs w:val="24"/>
                <w:highlight w:val="none"/>
              </w:rPr>
            </w:pPr>
            <w:r>
              <w:rPr>
                <w:color w:val="auto"/>
                <w:kern w:val="2"/>
                <w:sz w:val="24"/>
                <w:szCs w:val="24"/>
                <w:highlight w:val="none"/>
              </w:rPr>
              <w:t>投标文件按照招标文件规定的格式、内容填写，字迹清晰可辨，内容齐全完整:</w:t>
            </w:r>
          </w:p>
          <w:p>
            <w:pPr>
              <w:snapToGrid w:val="0"/>
              <w:spacing w:line="288" w:lineRule="auto"/>
              <w:ind w:firstLine="495"/>
              <w:rPr>
                <w:color w:val="auto"/>
                <w:kern w:val="2"/>
                <w:sz w:val="24"/>
                <w:szCs w:val="24"/>
                <w:highlight w:val="none"/>
              </w:rPr>
            </w:pPr>
            <w:r>
              <w:rPr>
                <w:color w:val="auto"/>
                <w:kern w:val="2"/>
                <w:sz w:val="24"/>
                <w:szCs w:val="24"/>
                <w:highlight w:val="none"/>
              </w:rPr>
              <w:t>a.投标函按招标文件规定填报了项目名称、标段号、补遗书编号(如有)、投标价(包括大写金额和小写金额);</w:t>
            </w:r>
          </w:p>
          <w:p>
            <w:pPr>
              <w:snapToGrid w:val="0"/>
              <w:spacing w:line="288" w:lineRule="auto"/>
              <w:ind w:firstLine="495"/>
              <w:rPr>
                <w:color w:val="auto"/>
                <w:kern w:val="2"/>
                <w:sz w:val="24"/>
                <w:szCs w:val="24"/>
                <w:highlight w:val="none"/>
              </w:rPr>
            </w:pPr>
            <w:r>
              <w:rPr>
                <w:color w:val="auto"/>
                <w:kern w:val="2"/>
                <w:sz w:val="24"/>
                <w:szCs w:val="24"/>
                <w:highlight w:val="none"/>
              </w:rPr>
              <w:t>b.己标价报价清单说明文字与招标文件规定一致，未进行实质性修改和删减;</w:t>
            </w:r>
          </w:p>
          <w:p>
            <w:pPr>
              <w:snapToGrid w:val="0"/>
              <w:spacing w:line="288" w:lineRule="auto"/>
              <w:ind w:firstLine="495"/>
              <w:rPr>
                <w:color w:val="auto"/>
                <w:kern w:val="2"/>
                <w:sz w:val="24"/>
                <w:szCs w:val="24"/>
                <w:highlight w:val="none"/>
              </w:rPr>
            </w:pPr>
            <w:r>
              <w:rPr>
                <w:color w:val="auto"/>
                <w:kern w:val="2"/>
                <w:sz w:val="24"/>
                <w:szCs w:val="24"/>
                <w:highlight w:val="none"/>
              </w:rPr>
              <w:t>c.投标文件组成齐全完整，内容均按规定填写。</w:t>
            </w:r>
          </w:p>
          <w:p>
            <w:pPr>
              <w:numPr>
                <w:ilvl w:val="0"/>
                <w:numId w:val="4"/>
              </w:numPr>
              <w:snapToGrid w:val="0"/>
              <w:spacing w:line="288" w:lineRule="auto"/>
              <w:ind w:left="425"/>
              <w:rPr>
                <w:color w:val="auto"/>
                <w:kern w:val="2"/>
                <w:sz w:val="24"/>
                <w:szCs w:val="24"/>
                <w:highlight w:val="none"/>
              </w:rPr>
            </w:pPr>
            <w:r>
              <w:rPr>
                <w:rFonts w:hint="eastAsia"/>
                <w:color w:val="auto"/>
                <w:kern w:val="2"/>
                <w:sz w:val="24"/>
                <w:szCs w:val="24"/>
                <w:highlight w:val="none"/>
              </w:rPr>
              <w:t>投标文件上法定代表人或其委托代理人的签字、投标人的单位章盖 章齐全，符合招标文件规定。检测服务费用报价表由投标人法定代表人或其授权委托人逐页签字并加盖投标人公章。若由授权代理人签署，报价函签署的日期应在授权委托书委托期限以内。</w:t>
            </w:r>
          </w:p>
          <w:p>
            <w:pPr>
              <w:numPr>
                <w:ilvl w:val="0"/>
                <w:numId w:val="4"/>
              </w:numPr>
              <w:snapToGrid w:val="0"/>
              <w:spacing w:line="288" w:lineRule="auto"/>
              <w:ind w:left="425"/>
              <w:rPr>
                <w:color w:val="auto"/>
                <w:kern w:val="2"/>
                <w:sz w:val="24"/>
                <w:szCs w:val="24"/>
                <w:highlight w:val="none"/>
              </w:rPr>
            </w:pPr>
            <w:r>
              <w:rPr>
                <w:color w:val="auto"/>
                <w:kern w:val="2"/>
                <w:sz w:val="24"/>
                <w:szCs w:val="24"/>
                <w:highlight w:val="none"/>
              </w:rPr>
              <w:t>投标报价未超过招标文件设定的最高投标限价</w:t>
            </w:r>
            <w:r>
              <w:rPr>
                <w:rFonts w:hint="eastAsia"/>
                <w:color w:val="auto"/>
                <w:kern w:val="2"/>
                <w:sz w:val="24"/>
                <w:szCs w:val="24"/>
                <w:highlight w:val="none"/>
                <w:lang w:eastAsia="zh-CN"/>
              </w:rPr>
              <w:t>，</w:t>
            </w:r>
            <w:r>
              <w:rPr>
                <w:color w:val="auto"/>
                <w:kern w:val="2"/>
                <w:sz w:val="24"/>
                <w:szCs w:val="24"/>
                <w:highlight w:val="none"/>
              </w:rPr>
              <w:t>投标报价的大写金额能够确定具体数值。</w:t>
            </w:r>
          </w:p>
          <w:p>
            <w:pPr>
              <w:numPr>
                <w:ilvl w:val="0"/>
                <w:numId w:val="4"/>
              </w:numPr>
              <w:snapToGrid w:val="0"/>
              <w:spacing w:line="288" w:lineRule="auto"/>
              <w:ind w:left="425"/>
              <w:rPr>
                <w:color w:val="auto"/>
                <w:kern w:val="2"/>
                <w:sz w:val="24"/>
                <w:szCs w:val="24"/>
                <w:highlight w:val="none"/>
              </w:rPr>
            </w:pPr>
            <w:r>
              <w:rPr>
                <w:color w:val="auto"/>
                <w:kern w:val="2"/>
                <w:sz w:val="24"/>
                <w:szCs w:val="24"/>
                <w:highlight w:val="none"/>
              </w:rPr>
              <w:t>同一投标人未提交两个以上不同的投标报价，但招标文件要求提交备选投标的除外。</w:t>
            </w:r>
          </w:p>
          <w:p>
            <w:pPr>
              <w:numPr>
                <w:ilvl w:val="0"/>
                <w:numId w:val="4"/>
              </w:numPr>
              <w:snapToGrid w:val="0"/>
              <w:spacing w:line="288" w:lineRule="auto"/>
              <w:ind w:left="425"/>
              <w:rPr>
                <w:color w:val="auto"/>
                <w:kern w:val="2"/>
                <w:sz w:val="24"/>
                <w:szCs w:val="24"/>
                <w:highlight w:val="none"/>
              </w:rPr>
            </w:pPr>
            <w:r>
              <w:rPr>
                <w:color w:val="auto"/>
                <w:kern w:val="2"/>
                <w:sz w:val="24"/>
                <w:szCs w:val="24"/>
                <w:highlight w:val="none"/>
              </w:rPr>
              <w:t>投标文件正、副本份数符合招标文件第二章"投标人须知"第3.7.4项规定。</w:t>
            </w:r>
          </w:p>
        </w:tc>
      </w:tr>
      <w:tr>
        <w:tblPrEx>
          <w:tblCellMar>
            <w:top w:w="0" w:type="dxa"/>
            <w:left w:w="0" w:type="dxa"/>
            <w:bottom w:w="0" w:type="dxa"/>
            <w:right w:w="0" w:type="dxa"/>
          </w:tblCellMar>
        </w:tblPrEx>
        <w:trPr>
          <w:jc w:val="center"/>
        </w:trPr>
        <w:tc>
          <w:tcPr>
            <w:tcW w:w="9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left="-113" w:right="-11"/>
              <w:jc w:val="center"/>
              <w:rPr>
                <w:color w:val="auto"/>
                <w:kern w:val="2"/>
                <w:sz w:val="24"/>
                <w:szCs w:val="24"/>
                <w:highlight w:val="none"/>
              </w:rPr>
            </w:pPr>
            <w:r>
              <w:rPr>
                <w:color w:val="auto"/>
                <w:kern w:val="2"/>
                <w:sz w:val="24"/>
                <w:szCs w:val="24"/>
                <w:highlight w:val="none"/>
              </w:rPr>
              <w:t>2.1.2</w:t>
            </w:r>
          </w:p>
        </w:tc>
        <w:tc>
          <w:tcPr>
            <w:tcW w:w="10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left="-113" w:right="-11"/>
              <w:jc w:val="center"/>
              <w:rPr>
                <w:color w:val="auto"/>
                <w:kern w:val="2"/>
                <w:sz w:val="24"/>
                <w:szCs w:val="24"/>
                <w:highlight w:val="none"/>
              </w:rPr>
            </w:pPr>
            <w:r>
              <w:rPr>
                <w:color w:val="auto"/>
                <w:kern w:val="2"/>
                <w:sz w:val="24"/>
                <w:szCs w:val="24"/>
                <w:highlight w:val="none"/>
              </w:rPr>
              <w:t>资格评审标准</w:t>
            </w:r>
          </w:p>
        </w:tc>
        <w:tc>
          <w:tcPr>
            <w:tcW w:w="76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numPr>
                <w:ilvl w:val="0"/>
                <w:numId w:val="5"/>
              </w:numPr>
              <w:snapToGrid w:val="0"/>
              <w:spacing w:line="288" w:lineRule="auto"/>
              <w:ind w:left="425"/>
              <w:rPr>
                <w:color w:val="auto"/>
                <w:kern w:val="2"/>
                <w:sz w:val="24"/>
                <w:szCs w:val="24"/>
                <w:highlight w:val="none"/>
              </w:rPr>
            </w:pPr>
            <w:r>
              <w:rPr>
                <w:color w:val="auto"/>
                <w:kern w:val="2"/>
                <w:sz w:val="24"/>
                <w:szCs w:val="24"/>
                <w:highlight w:val="none"/>
              </w:rPr>
              <w:t>投标人具备有效的营业执照、组织机构代码证</w:t>
            </w:r>
            <w:r>
              <w:rPr>
                <w:rFonts w:hint="eastAsia"/>
                <w:color w:val="auto"/>
                <w:kern w:val="2"/>
                <w:sz w:val="24"/>
                <w:szCs w:val="24"/>
                <w:highlight w:val="none"/>
              </w:rPr>
              <w:t>（三证合一的除外）</w:t>
            </w:r>
            <w:r>
              <w:rPr>
                <w:color w:val="auto"/>
                <w:kern w:val="2"/>
                <w:sz w:val="24"/>
                <w:szCs w:val="24"/>
                <w:highlight w:val="none"/>
              </w:rPr>
              <w:t>、资质证书和基本账户开户许可证。</w:t>
            </w:r>
          </w:p>
          <w:p>
            <w:pPr>
              <w:numPr>
                <w:ilvl w:val="0"/>
                <w:numId w:val="5"/>
              </w:numPr>
              <w:snapToGrid w:val="0"/>
              <w:spacing w:line="288" w:lineRule="auto"/>
              <w:ind w:left="425"/>
              <w:rPr>
                <w:color w:val="auto"/>
                <w:kern w:val="2"/>
                <w:sz w:val="24"/>
                <w:szCs w:val="24"/>
                <w:highlight w:val="none"/>
              </w:rPr>
            </w:pPr>
            <w:r>
              <w:rPr>
                <w:color w:val="auto"/>
                <w:kern w:val="2"/>
                <w:sz w:val="24"/>
                <w:szCs w:val="24"/>
                <w:highlight w:val="none"/>
              </w:rPr>
              <w:t>投标人的资质等级符合招标文件规定。</w:t>
            </w:r>
          </w:p>
          <w:p>
            <w:pPr>
              <w:numPr>
                <w:ilvl w:val="0"/>
                <w:numId w:val="5"/>
              </w:numPr>
              <w:snapToGrid w:val="0"/>
              <w:spacing w:line="288" w:lineRule="auto"/>
              <w:ind w:left="425"/>
              <w:rPr>
                <w:color w:val="auto"/>
                <w:kern w:val="2"/>
                <w:sz w:val="24"/>
                <w:szCs w:val="24"/>
                <w:highlight w:val="none"/>
              </w:rPr>
            </w:pPr>
            <w:r>
              <w:rPr>
                <w:color w:val="auto"/>
                <w:kern w:val="2"/>
                <w:sz w:val="24"/>
                <w:szCs w:val="24"/>
                <w:highlight w:val="none"/>
              </w:rPr>
              <w:t>投标人的类似项目业绩符合招标文件规定。</w:t>
            </w:r>
          </w:p>
          <w:p>
            <w:pPr>
              <w:numPr>
                <w:ilvl w:val="0"/>
                <w:numId w:val="5"/>
              </w:numPr>
              <w:snapToGrid w:val="0"/>
              <w:spacing w:line="288" w:lineRule="auto"/>
              <w:ind w:left="425"/>
              <w:rPr>
                <w:color w:val="auto"/>
                <w:kern w:val="2"/>
                <w:sz w:val="24"/>
                <w:szCs w:val="24"/>
                <w:highlight w:val="none"/>
              </w:rPr>
            </w:pPr>
            <w:r>
              <w:rPr>
                <w:color w:val="auto"/>
                <w:kern w:val="2"/>
                <w:sz w:val="24"/>
                <w:szCs w:val="24"/>
                <w:highlight w:val="none"/>
              </w:rPr>
              <w:t>投标人的信誉符合招标文件规定。</w:t>
            </w:r>
          </w:p>
          <w:p>
            <w:pPr>
              <w:numPr>
                <w:ilvl w:val="0"/>
                <w:numId w:val="5"/>
              </w:numPr>
              <w:snapToGrid w:val="0"/>
              <w:spacing w:line="288" w:lineRule="auto"/>
              <w:ind w:left="425"/>
              <w:rPr>
                <w:color w:val="auto"/>
                <w:kern w:val="2"/>
                <w:sz w:val="24"/>
                <w:szCs w:val="24"/>
                <w:highlight w:val="none"/>
              </w:rPr>
            </w:pPr>
            <w:r>
              <w:rPr>
                <w:rFonts w:hint="eastAsia"/>
                <w:color w:val="auto"/>
                <w:kern w:val="2"/>
                <w:sz w:val="24"/>
                <w:szCs w:val="24"/>
                <w:highlight w:val="none"/>
              </w:rPr>
              <w:t>投标人的项目负责人资格符合招标文件规定</w:t>
            </w:r>
            <w:r>
              <w:rPr>
                <w:color w:val="auto"/>
                <w:kern w:val="2"/>
                <w:sz w:val="24"/>
                <w:szCs w:val="24"/>
                <w:highlight w:val="none"/>
              </w:rPr>
              <w:t>。</w:t>
            </w:r>
          </w:p>
          <w:p>
            <w:pPr>
              <w:numPr>
                <w:ilvl w:val="0"/>
                <w:numId w:val="5"/>
              </w:numPr>
              <w:snapToGrid w:val="0"/>
              <w:spacing w:line="288" w:lineRule="auto"/>
              <w:ind w:left="425"/>
              <w:rPr>
                <w:color w:val="auto"/>
                <w:kern w:val="2"/>
                <w:sz w:val="24"/>
                <w:szCs w:val="24"/>
                <w:highlight w:val="none"/>
              </w:rPr>
            </w:pPr>
            <w:r>
              <w:rPr>
                <w:color w:val="auto"/>
                <w:kern w:val="2"/>
                <w:sz w:val="24"/>
                <w:szCs w:val="24"/>
                <w:highlight w:val="none"/>
              </w:rPr>
              <w:t>投标人的其他要求符合招标文件规定。</w:t>
            </w:r>
          </w:p>
          <w:p>
            <w:pPr>
              <w:numPr>
                <w:ilvl w:val="0"/>
                <w:numId w:val="5"/>
              </w:numPr>
              <w:snapToGrid w:val="0"/>
              <w:spacing w:line="288" w:lineRule="auto"/>
              <w:ind w:left="425"/>
              <w:rPr>
                <w:color w:val="auto"/>
                <w:kern w:val="2"/>
                <w:sz w:val="24"/>
                <w:szCs w:val="24"/>
                <w:highlight w:val="none"/>
              </w:rPr>
            </w:pPr>
            <w:r>
              <w:rPr>
                <w:color w:val="auto"/>
                <w:kern w:val="2"/>
                <w:sz w:val="24"/>
                <w:szCs w:val="24"/>
                <w:highlight w:val="none"/>
              </w:rPr>
              <w:t>投标人不存在第二章"投标人须知"第1.4.3项或第1.4.4项规定的任何一种情形。</w:t>
            </w:r>
          </w:p>
          <w:p>
            <w:pPr>
              <w:numPr>
                <w:ilvl w:val="0"/>
                <w:numId w:val="5"/>
              </w:numPr>
              <w:snapToGrid w:val="0"/>
              <w:spacing w:line="288" w:lineRule="auto"/>
              <w:ind w:left="425"/>
              <w:rPr>
                <w:color w:val="auto"/>
                <w:kern w:val="2"/>
                <w:sz w:val="24"/>
                <w:szCs w:val="24"/>
                <w:highlight w:val="none"/>
              </w:rPr>
            </w:pPr>
            <w:r>
              <w:rPr>
                <w:color w:val="auto"/>
                <w:kern w:val="2"/>
                <w:sz w:val="24"/>
                <w:szCs w:val="24"/>
                <w:highlight w:val="none"/>
              </w:rPr>
              <w:t>投标人符合第二章"投标人须知"第1.4.5项规定。</w:t>
            </w:r>
          </w:p>
        </w:tc>
      </w:tr>
      <w:tr>
        <w:tblPrEx>
          <w:tblCellMar>
            <w:top w:w="0" w:type="dxa"/>
            <w:left w:w="0" w:type="dxa"/>
            <w:bottom w:w="0" w:type="dxa"/>
            <w:right w:w="0" w:type="dxa"/>
          </w:tblCellMar>
        </w:tblPrEx>
        <w:trPr>
          <w:jc w:val="center"/>
        </w:trPr>
        <w:tc>
          <w:tcPr>
            <w:tcW w:w="9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left="-113" w:right="-11"/>
              <w:jc w:val="center"/>
              <w:rPr>
                <w:color w:val="auto"/>
                <w:kern w:val="2"/>
                <w:sz w:val="24"/>
                <w:szCs w:val="24"/>
                <w:highlight w:val="none"/>
              </w:rPr>
            </w:pPr>
            <w:r>
              <w:rPr>
                <w:color w:val="auto"/>
                <w:kern w:val="2"/>
                <w:sz w:val="24"/>
                <w:szCs w:val="24"/>
                <w:highlight w:val="none"/>
              </w:rPr>
              <w:t>2.2.1</w:t>
            </w:r>
          </w:p>
        </w:tc>
        <w:tc>
          <w:tcPr>
            <w:tcW w:w="10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left="-113" w:right="-11"/>
              <w:jc w:val="center"/>
              <w:rPr>
                <w:color w:val="auto"/>
                <w:kern w:val="2"/>
                <w:sz w:val="24"/>
                <w:szCs w:val="24"/>
                <w:highlight w:val="none"/>
              </w:rPr>
            </w:pPr>
            <w:r>
              <w:rPr>
                <w:color w:val="auto"/>
                <w:kern w:val="2"/>
                <w:sz w:val="24"/>
                <w:szCs w:val="24"/>
                <w:highlight w:val="none"/>
              </w:rPr>
              <w:t>分值构成</w:t>
            </w:r>
          </w:p>
        </w:tc>
        <w:tc>
          <w:tcPr>
            <w:tcW w:w="76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rPr>
                <w:color w:val="auto"/>
                <w:kern w:val="2"/>
                <w:sz w:val="24"/>
                <w:szCs w:val="24"/>
                <w:highlight w:val="none"/>
              </w:rPr>
            </w:pPr>
            <w:r>
              <w:rPr>
                <w:color w:val="auto"/>
                <w:kern w:val="2"/>
                <w:sz w:val="24"/>
                <w:szCs w:val="24"/>
                <w:highlight w:val="none"/>
              </w:rPr>
              <w:t>第一信封（商务及技术文件）评分分值构成：</w:t>
            </w:r>
          </w:p>
          <w:p>
            <w:pPr>
              <w:snapToGrid w:val="0"/>
              <w:spacing w:line="288" w:lineRule="auto"/>
              <w:rPr>
                <w:color w:val="auto"/>
                <w:kern w:val="2"/>
                <w:sz w:val="24"/>
                <w:szCs w:val="24"/>
                <w:highlight w:val="none"/>
              </w:rPr>
            </w:pPr>
            <w:r>
              <w:rPr>
                <w:color w:val="auto"/>
                <w:kern w:val="2"/>
                <w:sz w:val="24"/>
                <w:szCs w:val="24"/>
                <w:highlight w:val="none"/>
              </w:rPr>
              <w:t>技术建议书：</w:t>
            </w:r>
            <w:r>
              <w:rPr>
                <w:rFonts w:hint="eastAsia"/>
                <w:color w:val="auto"/>
                <w:kern w:val="2"/>
                <w:sz w:val="24"/>
                <w:szCs w:val="24"/>
                <w:highlight w:val="none"/>
              </w:rPr>
              <w:t>4</w:t>
            </w:r>
            <w:r>
              <w:rPr>
                <w:rFonts w:hint="eastAsia"/>
                <w:color w:val="auto"/>
                <w:kern w:val="2"/>
                <w:sz w:val="24"/>
                <w:szCs w:val="24"/>
                <w:highlight w:val="none"/>
                <w:lang w:val="en-US" w:eastAsia="zh-CN"/>
              </w:rPr>
              <w:t>0</w:t>
            </w:r>
            <w:r>
              <w:rPr>
                <w:color w:val="auto"/>
                <w:kern w:val="2"/>
                <w:sz w:val="24"/>
                <w:szCs w:val="24"/>
                <w:highlight w:val="none"/>
              </w:rPr>
              <w:t>分</w:t>
            </w:r>
          </w:p>
          <w:p>
            <w:pPr>
              <w:snapToGrid w:val="0"/>
              <w:spacing w:line="288" w:lineRule="auto"/>
              <w:rPr>
                <w:color w:val="auto"/>
                <w:kern w:val="2"/>
                <w:sz w:val="24"/>
                <w:szCs w:val="24"/>
                <w:highlight w:val="none"/>
              </w:rPr>
            </w:pPr>
            <w:r>
              <w:rPr>
                <w:color w:val="auto"/>
                <w:kern w:val="2"/>
                <w:sz w:val="24"/>
                <w:szCs w:val="24"/>
                <w:highlight w:val="none"/>
              </w:rPr>
              <w:t>主要人员：</w:t>
            </w:r>
            <w:r>
              <w:rPr>
                <w:rFonts w:hint="eastAsia"/>
                <w:color w:val="auto"/>
                <w:kern w:val="2"/>
                <w:sz w:val="24"/>
                <w:szCs w:val="24"/>
                <w:highlight w:val="none"/>
              </w:rPr>
              <w:t>16</w:t>
            </w:r>
            <w:r>
              <w:rPr>
                <w:color w:val="auto"/>
                <w:kern w:val="2"/>
                <w:sz w:val="24"/>
                <w:szCs w:val="24"/>
                <w:highlight w:val="none"/>
              </w:rPr>
              <w:t>分</w:t>
            </w:r>
          </w:p>
          <w:p>
            <w:pPr>
              <w:snapToGrid w:val="0"/>
              <w:spacing w:line="288" w:lineRule="auto"/>
              <w:rPr>
                <w:rFonts w:hint="eastAsia"/>
                <w:color w:val="auto"/>
                <w:kern w:val="2"/>
                <w:sz w:val="24"/>
                <w:szCs w:val="24"/>
                <w:highlight w:val="none"/>
              </w:rPr>
            </w:pPr>
            <w:r>
              <w:rPr>
                <w:rFonts w:hint="eastAsia"/>
                <w:color w:val="auto"/>
                <w:kern w:val="2"/>
                <w:sz w:val="24"/>
                <w:szCs w:val="24"/>
                <w:highlight w:val="none"/>
              </w:rPr>
              <w:t>其他因素：</w:t>
            </w:r>
            <w:r>
              <w:rPr>
                <w:rFonts w:hint="eastAsia"/>
                <w:color w:val="auto"/>
                <w:kern w:val="2"/>
                <w:sz w:val="24"/>
                <w:szCs w:val="24"/>
                <w:highlight w:val="none"/>
                <w:lang w:val="en-US" w:eastAsia="zh-CN"/>
              </w:rPr>
              <w:t>34</w:t>
            </w:r>
            <w:r>
              <w:rPr>
                <w:rFonts w:hint="eastAsia"/>
                <w:color w:val="auto"/>
                <w:kern w:val="2"/>
                <w:sz w:val="24"/>
                <w:szCs w:val="24"/>
                <w:highlight w:val="none"/>
              </w:rPr>
              <w:t>分</w:t>
            </w:r>
          </w:p>
          <w:p>
            <w:pPr>
              <w:snapToGrid w:val="0"/>
              <w:spacing w:line="288" w:lineRule="auto"/>
              <w:rPr>
                <w:color w:val="auto"/>
                <w:kern w:val="2"/>
                <w:sz w:val="24"/>
                <w:szCs w:val="24"/>
                <w:highlight w:val="none"/>
              </w:rPr>
            </w:pPr>
            <w:r>
              <w:rPr>
                <w:color w:val="auto"/>
                <w:kern w:val="2"/>
                <w:sz w:val="24"/>
                <w:szCs w:val="24"/>
                <w:highlight w:val="none"/>
              </w:rPr>
              <w:t>第二信封（报价文件）评分分值构成：</w:t>
            </w:r>
          </w:p>
          <w:p>
            <w:pPr>
              <w:snapToGrid w:val="0"/>
              <w:spacing w:line="288" w:lineRule="auto"/>
              <w:rPr>
                <w:color w:val="auto"/>
                <w:kern w:val="2"/>
                <w:sz w:val="24"/>
                <w:szCs w:val="24"/>
                <w:highlight w:val="none"/>
              </w:rPr>
            </w:pPr>
            <w:r>
              <w:rPr>
                <w:color w:val="auto"/>
                <w:kern w:val="2"/>
                <w:sz w:val="24"/>
                <w:szCs w:val="24"/>
                <w:highlight w:val="none"/>
              </w:rPr>
              <w:t>评标价：10分</w:t>
            </w:r>
          </w:p>
        </w:tc>
      </w:tr>
      <w:tr>
        <w:tblPrEx>
          <w:tblCellMar>
            <w:top w:w="0" w:type="dxa"/>
            <w:left w:w="0" w:type="dxa"/>
            <w:bottom w:w="0" w:type="dxa"/>
            <w:right w:w="0" w:type="dxa"/>
          </w:tblCellMar>
        </w:tblPrEx>
        <w:trPr>
          <w:jc w:val="center"/>
        </w:trPr>
        <w:tc>
          <w:tcPr>
            <w:tcW w:w="9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left="-113" w:right="-11"/>
              <w:jc w:val="center"/>
              <w:rPr>
                <w:color w:val="auto"/>
                <w:kern w:val="2"/>
                <w:sz w:val="24"/>
                <w:szCs w:val="24"/>
                <w:highlight w:val="none"/>
              </w:rPr>
            </w:pPr>
            <w:r>
              <w:rPr>
                <w:color w:val="auto"/>
                <w:kern w:val="2"/>
                <w:sz w:val="24"/>
                <w:szCs w:val="24"/>
                <w:highlight w:val="none"/>
              </w:rPr>
              <w:t>2.2.2</w:t>
            </w:r>
          </w:p>
        </w:tc>
        <w:tc>
          <w:tcPr>
            <w:tcW w:w="10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left="-113" w:right="-11"/>
              <w:jc w:val="center"/>
              <w:rPr>
                <w:color w:val="auto"/>
                <w:kern w:val="2"/>
                <w:sz w:val="24"/>
                <w:szCs w:val="24"/>
                <w:highlight w:val="none"/>
              </w:rPr>
            </w:pPr>
            <w:r>
              <w:rPr>
                <w:color w:val="auto"/>
                <w:kern w:val="2"/>
                <w:sz w:val="24"/>
                <w:szCs w:val="24"/>
                <w:highlight w:val="none"/>
              </w:rPr>
              <w:t xml:space="preserve">评标基准价计算方法 </w:t>
            </w:r>
          </w:p>
        </w:tc>
        <w:tc>
          <w:tcPr>
            <w:tcW w:w="76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rPr>
                <w:color w:val="auto"/>
                <w:kern w:val="2"/>
                <w:sz w:val="24"/>
                <w:szCs w:val="24"/>
                <w:highlight w:val="none"/>
              </w:rPr>
            </w:pPr>
            <w:r>
              <w:rPr>
                <w:color w:val="auto"/>
                <w:kern w:val="2"/>
                <w:sz w:val="24"/>
                <w:szCs w:val="24"/>
                <w:highlight w:val="none"/>
              </w:rPr>
              <w:t>评标基准价的计算：</w:t>
            </w:r>
          </w:p>
          <w:p>
            <w:pPr>
              <w:snapToGrid w:val="0"/>
              <w:spacing w:line="288" w:lineRule="auto"/>
              <w:rPr>
                <w:color w:val="auto"/>
                <w:kern w:val="2"/>
                <w:sz w:val="24"/>
                <w:szCs w:val="24"/>
                <w:highlight w:val="none"/>
              </w:rPr>
            </w:pPr>
            <w:r>
              <w:rPr>
                <w:color w:val="auto"/>
                <w:kern w:val="2"/>
                <w:sz w:val="24"/>
                <w:szCs w:val="24"/>
                <w:highlight w:val="none"/>
              </w:rPr>
              <w:t>在开标现场，招标人将当场计算并宣布评标基准价。</w:t>
            </w:r>
          </w:p>
          <w:p>
            <w:pPr>
              <w:numPr>
                <w:ilvl w:val="0"/>
                <w:numId w:val="6"/>
              </w:numPr>
              <w:snapToGrid w:val="0"/>
              <w:spacing w:line="288" w:lineRule="auto"/>
              <w:ind w:left="425"/>
              <w:rPr>
                <w:color w:val="auto"/>
                <w:kern w:val="2"/>
                <w:sz w:val="24"/>
                <w:szCs w:val="24"/>
                <w:highlight w:val="none"/>
              </w:rPr>
            </w:pPr>
            <w:r>
              <w:rPr>
                <w:color w:val="auto"/>
                <w:kern w:val="2"/>
                <w:sz w:val="24"/>
                <w:szCs w:val="24"/>
                <w:highlight w:val="none"/>
              </w:rPr>
              <w:t>评标价的确定：</w:t>
            </w:r>
          </w:p>
          <w:p>
            <w:pPr>
              <w:snapToGrid w:val="0"/>
              <w:spacing w:line="288" w:lineRule="auto"/>
              <w:rPr>
                <w:color w:val="auto"/>
                <w:kern w:val="2"/>
                <w:sz w:val="24"/>
                <w:szCs w:val="24"/>
                <w:highlight w:val="none"/>
              </w:rPr>
            </w:pPr>
            <w:r>
              <w:rPr>
                <w:color w:val="auto"/>
                <w:kern w:val="2"/>
                <w:sz w:val="24"/>
                <w:szCs w:val="24"/>
                <w:highlight w:val="none"/>
              </w:rPr>
              <w:t>评标价=投标函文字的报价</w:t>
            </w:r>
          </w:p>
          <w:p>
            <w:pPr>
              <w:numPr>
                <w:ilvl w:val="0"/>
                <w:numId w:val="6"/>
              </w:numPr>
              <w:snapToGrid w:val="0"/>
              <w:spacing w:line="288" w:lineRule="auto"/>
              <w:ind w:left="425"/>
              <w:rPr>
                <w:color w:val="auto"/>
                <w:kern w:val="2"/>
                <w:sz w:val="24"/>
                <w:szCs w:val="24"/>
                <w:highlight w:val="none"/>
              </w:rPr>
            </w:pPr>
            <w:r>
              <w:rPr>
                <w:color w:val="auto"/>
                <w:kern w:val="2"/>
                <w:sz w:val="24"/>
                <w:szCs w:val="24"/>
                <w:highlight w:val="none"/>
              </w:rPr>
              <w:t>评标价的平均值的计算：</w:t>
            </w:r>
          </w:p>
          <w:p>
            <w:pPr>
              <w:snapToGrid w:val="0"/>
              <w:spacing w:line="288" w:lineRule="auto"/>
              <w:ind w:firstLine="480" w:firstLineChars="200"/>
              <w:rPr>
                <w:rFonts w:hint="eastAsia"/>
                <w:color w:val="auto"/>
                <w:kern w:val="2"/>
                <w:sz w:val="24"/>
                <w:szCs w:val="24"/>
                <w:highlight w:val="none"/>
              </w:rPr>
            </w:pPr>
            <w:r>
              <w:rPr>
                <w:rFonts w:hint="eastAsia"/>
                <w:color w:val="auto"/>
                <w:kern w:val="2"/>
                <w:sz w:val="24"/>
                <w:szCs w:val="24"/>
                <w:highlight w:val="none"/>
              </w:rPr>
              <w:t>除</w:t>
            </w:r>
            <w:r>
              <w:rPr>
                <w:color w:val="auto"/>
                <w:kern w:val="2"/>
                <w:sz w:val="24"/>
                <w:szCs w:val="24"/>
                <w:highlight w:val="none"/>
              </w:rPr>
              <w:t>按</w:t>
            </w:r>
            <w:r>
              <w:rPr>
                <w:rFonts w:hint="eastAsia"/>
                <w:color w:val="auto"/>
                <w:kern w:val="2"/>
                <w:sz w:val="24"/>
                <w:szCs w:val="24"/>
                <w:highlight w:val="none"/>
              </w:rPr>
              <w:t>以下a、</w:t>
            </w:r>
            <w:r>
              <w:rPr>
                <w:color w:val="auto"/>
                <w:kern w:val="2"/>
                <w:sz w:val="24"/>
                <w:szCs w:val="24"/>
                <w:highlight w:val="none"/>
              </w:rPr>
              <w:t>b</w:t>
            </w:r>
            <w:r>
              <w:rPr>
                <w:rFonts w:hint="eastAsia"/>
                <w:color w:val="auto"/>
                <w:kern w:val="2"/>
                <w:sz w:val="24"/>
                <w:szCs w:val="24"/>
                <w:highlight w:val="none"/>
              </w:rPr>
              <w:t>两条不</w:t>
            </w:r>
            <w:r>
              <w:rPr>
                <w:color w:val="auto"/>
                <w:kern w:val="2"/>
                <w:sz w:val="24"/>
                <w:szCs w:val="24"/>
                <w:highlight w:val="none"/>
              </w:rPr>
              <w:t>进入评标基准价计算的投标报价之外，所有投标人的投标价的算术平均值即为评标价平均值</w:t>
            </w:r>
            <w:r>
              <w:rPr>
                <w:rFonts w:hint="eastAsia"/>
                <w:color w:val="auto"/>
                <w:kern w:val="2"/>
                <w:sz w:val="24"/>
                <w:szCs w:val="24"/>
                <w:highlight w:val="none"/>
              </w:rPr>
              <w:t>。</w:t>
            </w:r>
          </w:p>
          <w:p>
            <w:pPr>
              <w:snapToGrid w:val="0"/>
              <w:spacing w:line="288" w:lineRule="auto"/>
              <w:rPr>
                <w:color w:val="auto"/>
                <w:kern w:val="2"/>
                <w:sz w:val="24"/>
                <w:szCs w:val="24"/>
                <w:highlight w:val="none"/>
              </w:rPr>
            </w:pPr>
            <w:r>
              <w:rPr>
                <w:rFonts w:hint="eastAsia"/>
                <w:color w:val="auto"/>
                <w:kern w:val="2"/>
                <w:sz w:val="24"/>
                <w:szCs w:val="24"/>
                <w:highlight w:val="none"/>
              </w:rPr>
              <w:t>a、</w:t>
            </w:r>
            <w:r>
              <w:rPr>
                <w:color w:val="auto"/>
                <w:kern w:val="2"/>
                <w:sz w:val="24"/>
                <w:szCs w:val="24"/>
                <w:highlight w:val="none"/>
              </w:rPr>
              <w:t>按第二章“投标人须知”第5.2.4项规定开标现场被宣布为不进入评标基准价计算的投标报价</w:t>
            </w:r>
            <w:r>
              <w:rPr>
                <w:rFonts w:hint="eastAsia"/>
                <w:color w:val="auto"/>
                <w:kern w:val="2"/>
                <w:sz w:val="24"/>
                <w:szCs w:val="24"/>
                <w:highlight w:val="none"/>
              </w:rPr>
              <w:t>。</w:t>
            </w:r>
          </w:p>
          <w:p>
            <w:pPr>
              <w:snapToGrid w:val="0"/>
              <w:spacing w:line="288" w:lineRule="auto"/>
              <w:rPr>
                <w:rFonts w:hint="eastAsia"/>
                <w:color w:val="auto"/>
                <w:kern w:val="2"/>
                <w:sz w:val="24"/>
                <w:szCs w:val="24"/>
                <w:highlight w:val="none"/>
              </w:rPr>
            </w:pPr>
            <w:r>
              <w:rPr>
                <w:rFonts w:hint="eastAsia"/>
                <w:color w:val="auto"/>
                <w:kern w:val="2"/>
                <w:sz w:val="24"/>
                <w:szCs w:val="24"/>
                <w:highlight w:val="none"/>
              </w:rPr>
              <w:t>b、投标报价递交函中的投标报价低于最高投标限价的8</w:t>
            </w:r>
            <w:r>
              <w:rPr>
                <w:color w:val="auto"/>
                <w:kern w:val="2"/>
                <w:sz w:val="24"/>
                <w:szCs w:val="24"/>
                <w:highlight w:val="none"/>
              </w:rPr>
              <w:t>0%</w:t>
            </w:r>
            <w:r>
              <w:rPr>
                <w:rFonts w:hint="eastAsia"/>
                <w:color w:val="auto"/>
                <w:kern w:val="2"/>
                <w:sz w:val="24"/>
                <w:szCs w:val="24"/>
                <w:highlight w:val="none"/>
              </w:rPr>
              <w:t>。</w:t>
            </w:r>
          </w:p>
          <w:p>
            <w:pPr>
              <w:numPr>
                <w:ilvl w:val="0"/>
                <w:numId w:val="6"/>
              </w:numPr>
              <w:snapToGrid w:val="0"/>
              <w:spacing w:line="288" w:lineRule="auto"/>
              <w:ind w:left="425"/>
              <w:rPr>
                <w:color w:val="auto"/>
                <w:kern w:val="2"/>
                <w:sz w:val="24"/>
                <w:szCs w:val="24"/>
                <w:highlight w:val="none"/>
              </w:rPr>
            </w:pPr>
            <w:r>
              <w:rPr>
                <w:color w:val="auto"/>
                <w:kern w:val="2"/>
                <w:sz w:val="24"/>
                <w:szCs w:val="24"/>
                <w:highlight w:val="none"/>
              </w:rPr>
              <w:t>评标基准价的确定</w:t>
            </w:r>
          </w:p>
          <w:p>
            <w:pPr>
              <w:snapToGrid w:val="0"/>
              <w:spacing w:line="288" w:lineRule="auto"/>
              <w:rPr>
                <w:color w:val="auto"/>
                <w:kern w:val="2"/>
                <w:sz w:val="24"/>
                <w:szCs w:val="24"/>
                <w:highlight w:val="none"/>
              </w:rPr>
            </w:pPr>
            <w:r>
              <w:rPr>
                <w:color w:val="auto"/>
                <w:kern w:val="2"/>
                <w:sz w:val="24"/>
                <w:szCs w:val="24"/>
                <w:highlight w:val="none"/>
              </w:rPr>
              <w:t>将评标价平均值直接作为评标基准价。</w:t>
            </w:r>
            <w:r>
              <w:rPr>
                <w:rFonts w:hint="eastAsia"/>
                <w:color w:val="auto"/>
                <w:kern w:val="2"/>
                <w:sz w:val="24"/>
                <w:szCs w:val="24"/>
                <w:highlight w:val="none"/>
              </w:rPr>
              <w:t>（评标基准价，四舍五入保留两位小数）</w:t>
            </w:r>
          </w:p>
        </w:tc>
      </w:tr>
      <w:tr>
        <w:tblPrEx>
          <w:tblCellMar>
            <w:top w:w="0" w:type="dxa"/>
            <w:left w:w="0" w:type="dxa"/>
            <w:bottom w:w="0" w:type="dxa"/>
            <w:right w:w="0" w:type="dxa"/>
          </w:tblCellMar>
        </w:tblPrEx>
        <w:trPr>
          <w:jc w:val="center"/>
        </w:trPr>
        <w:tc>
          <w:tcPr>
            <w:tcW w:w="9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left="-113" w:right="-11"/>
              <w:jc w:val="center"/>
              <w:rPr>
                <w:color w:val="auto"/>
                <w:kern w:val="2"/>
                <w:sz w:val="24"/>
                <w:szCs w:val="24"/>
                <w:highlight w:val="none"/>
              </w:rPr>
            </w:pPr>
            <w:r>
              <w:rPr>
                <w:rFonts w:hint="eastAsia"/>
                <w:color w:val="auto"/>
                <w:kern w:val="2"/>
                <w:sz w:val="24"/>
                <w:szCs w:val="24"/>
                <w:highlight w:val="none"/>
              </w:rPr>
              <w:t>2.2.3</w:t>
            </w:r>
          </w:p>
        </w:tc>
        <w:tc>
          <w:tcPr>
            <w:tcW w:w="10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ind w:left="-113" w:right="-11"/>
              <w:jc w:val="center"/>
              <w:rPr>
                <w:color w:val="auto"/>
                <w:kern w:val="2"/>
                <w:sz w:val="24"/>
                <w:szCs w:val="24"/>
                <w:highlight w:val="none"/>
              </w:rPr>
            </w:pPr>
            <w:r>
              <w:rPr>
                <w:rFonts w:hint="eastAsia"/>
                <w:color w:val="auto"/>
                <w:kern w:val="2"/>
                <w:sz w:val="24"/>
                <w:szCs w:val="24"/>
                <w:highlight w:val="none"/>
              </w:rPr>
              <w:t>评标价的偏差率计算公式</w:t>
            </w:r>
          </w:p>
        </w:tc>
        <w:tc>
          <w:tcPr>
            <w:tcW w:w="76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88" w:lineRule="auto"/>
              <w:rPr>
                <w:color w:val="auto"/>
                <w:kern w:val="2"/>
                <w:sz w:val="24"/>
                <w:szCs w:val="24"/>
                <w:highlight w:val="none"/>
              </w:rPr>
            </w:pPr>
            <w:r>
              <w:rPr>
                <w:rFonts w:hint="eastAsia"/>
                <w:color w:val="auto"/>
                <w:kern w:val="2"/>
                <w:sz w:val="24"/>
                <w:szCs w:val="24"/>
                <w:highlight w:val="none"/>
              </w:rPr>
              <w:t>偏差率=100%*（投标人评标价-评标基准价）/评标基准价</w:t>
            </w:r>
          </w:p>
          <w:p>
            <w:pPr>
              <w:snapToGrid w:val="0"/>
              <w:spacing w:line="288" w:lineRule="auto"/>
              <w:rPr>
                <w:color w:val="auto"/>
                <w:kern w:val="2"/>
                <w:sz w:val="24"/>
                <w:szCs w:val="24"/>
                <w:highlight w:val="none"/>
              </w:rPr>
            </w:pPr>
            <w:r>
              <w:rPr>
                <w:rFonts w:hint="eastAsia"/>
                <w:color w:val="auto"/>
                <w:kern w:val="2"/>
                <w:sz w:val="24"/>
                <w:szCs w:val="24"/>
                <w:highlight w:val="none"/>
              </w:rPr>
              <w:t>偏差率保留2位小数</w:t>
            </w:r>
          </w:p>
        </w:tc>
      </w:tr>
    </w:tbl>
    <w:p>
      <w:pPr>
        <w:snapToGrid w:val="0"/>
        <w:rPr>
          <w:color w:val="auto"/>
          <w:kern w:val="2"/>
          <w:highlight w:val="none"/>
        </w:rPr>
      </w:pPr>
    </w:p>
    <w:p>
      <w:pPr>
        <w:snapToGrid w:val="0"/>
        <w:ind w:left="-405" w:leftChars="-193" w:firstLine="420" w:firstLineChars="200"/>
        <w:rPr>
          <w:color w:val="auto"/>
          <w:kern w:val="2"/>
          <w:highlight w:val="none"/>
        </w:rPr>
      </w:pPr>
      <w:r>
        <w:rPr>
          <w:rFonts w:hint="eastAsia"/>
          <w:color w:val="auto"/>
          <w:kern w:val="2"/>
          <w:highlight w:val="none"/>
        </w:rPr>
        <w:t>注：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p>
      <w:pPr>
        <w:snapToGrid w:val="0"/>
        <w:spacing w:before="97" w:line="357" w:lineRule="auto"/>
        <w:ind w:right="170"/>
        <w:rPr>
          <w:color w:val="auto"/>
          <w:kern w:val="2"/>
          <w:highlight w:val="none"/>
        </w:rPr>
      </w:pPr>
      <w:r>
        <w:rPr>
          <w:color w:val="auto"/>
          <w:kern w:val="2"/>
          <w:highlight w:val="none"/>
        </w:rPr>
        <w:br w:type="page"/>
      </w:r>
      <w:r>
        <w:rPr>
          <w:rFonts w:hint="eastAsia"/>
          <w:color w:val="auto"/>
          <w:kern w:val="2"/>
          <w:highlight w:val="none"/>
        </w:rPr>
        <w:t>续上表</w:t>
      </w:r>
    </w:p>
    <w:p>
      <w:pPr>
        <w:snapToGrid w:val="0"/>
        <w:rPr>
          <w:b/>
          <w:color w:val="auto"/>
          <w:kern w:val="2"/>
          <w:sz w:val="24"/>
          <w:highlight w:val="none"/>
        </w:rPr>
      </w:pPr>
      <w:r>
        <w:rPr>
          <w:rFonts w:hint="eastAsia"/>
          <w:b/>
          <w:color w:val="auto"/>
          <w:kern w:val="2"/>
          <w:sz w:val="24"/>
          <w:highlight w:val="none"/>
        </w:rPr>
        <w:t>评分标准</w:t>
      </w:r>
    </w:p>
    <w:tbl>
      <w:tblPr>
        <w:tblStyle w:val="2"/>
        <w:tblW w:w="9923" w:type="dxa"/>
        <w:jc w:val="center"/>
        <w:tblLayout w:type="fixed"/>
        <w:tblCellMar>
          <w:top w:w="0" w:type="dxa"/>
          <w:left w:w="0" w:type="dxa"/>
          <w:bottom w:w="0" w:type="dxa"/>
          <w:right w:w="0" w:type="dxa"/>
        </w:tblCellMar>
      </w:tblPr>
      <w:tblGrid>
        <w:gridCol w:w="596"/>
        <w:gridCol w:w="709"/>
        <w:gridCol w:w="567"/>
        <w:gridCol w:w="1984"/>
        <w:gridCol w:w="1134"/>
        <w:gridCol w:w="4933"/>
      </w:tblGrid>
      <w:tr>
        <w:tblPrEx>
          <w:tblCellMar>
            <w:top w:w="0" w:type="dxa"/>
            <w:left w:w="0" w:type="dxa"/>
            <w:bottom w:w="0" w:type="dxa"/>
            <w:right w:w="0" w:type="dxa"/>
          </w:tblCellMar>
        </w:tblPrEx>
        <w:trPr>
          <w:jc w:val="center"/>
        </w:trPr>
        <w:tc>
          <w:tcPr>
            <w:tcW w:w="499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color w:val="auto"/>
                <w:kern w:val="2"/>
                <w:highlight w:val="none"/>
              </w:rPr>
            </w:pPr>
            <w:r>
              <w:rPr>
                <w:rFonts w:hint="eastAsia"/>
                <w:color w:val="auto"/>
                <w:kern w:val="2"/>
                <w:highlight w:val="none"/>
              </w:rPr>
              <w:t>评分因素与权重分值</w:t>
            </w:r>
          </w:p>
        </w:tc>
        <w:tc>
          <w:tcPr>
            <w:tcW w:w="4933"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color w:val="auto"/>
                <w:kern w:val="2"/>
                <w:sz w:val="20"/>
                <w:highlight w:val="none"/>
              </w:rPr>
            </w:pPr>
            <w:r>
              <w:rPr>
                <w:rFonts w:hint="eastAsia"/>
                <w:color w:val="auto"/>
                <w:kern w:val="2"/>
                <w:highlight w:val="none"/>
              </w:rPr>
              <w:t>评分标准</w:t>
            </w:r>
          </w:p>
        </w:tc>
      </w:tr>
      <w:tr>
        <w:tblPrEx>
          <w:tblCellMar>
            <w:top w:w="0" w:type="dxa"/>
            <w:left w:w="0" w:type="dxa"/>
            <w:bottom w:w="0" w:type="dxa"/>
            <w:right w:w="0" w:type="dxa"/>
          </w:tblCellMar>
        </w:tblPrEx>
        <w:trPr>
          <w:trHeight w:val="90" w:hRule="atLeast"/>
          <w:jc w:val="center"/>
        </w:trPr>
        <w:tc>
          <w:tcPr>
            <w:tcW w:w="5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color w:val="auto"/>
                <w:kern w:val="2"/>
                <w:highlight w:val="none"/>
              </w:rPr>
            </w:pPr>
            <w:r>
              <w:rPr>
                <w:rFonts w:hint="eastAsia"/>
                <w:color w:val="auto"/>
                <w:kern w:val="2"/>
                <w:highlight w:val="none"/>
              </w:rPr>
              <w:t>条款号</w:t>
            </w:r>
          </w:p>
        </w:tc>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color w:val="auto"/>
                <w:kern w:val="2"/>
                <w:highlight w:val="none"/>
              </w:rPr>
            </w:pPr>
            <w:r>
              <w:rPr>
                <w:rFonts w:hint="eastAsia"/>
                <w:color w:val="auto"/>
                <w:kern w:val="2"/>
                <w:highlight w:val="none"/>
              </w:rPr>
              <w:t>评分因素</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color w:val="auto"/>
                <w:kern w:val="2"/>
                <w:highlight w:val="none"/>
              </w:rPr>
            </w:pPr>
            <w:r>
              <w:rPr>
                <w:rFonts w:hint="eastAsia"/>
                <w:color w:val="auto"/>
                <w:kern w:val="2"/>
                <w:highlight w:val="none"/>
              </w:rPr>
              <w:t>评分因素权重分值</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color w:val="auto"/>
                <w:kern w:val="2"/>
                <w:highlight w:val="none"/>
              </w:rPr>
            </w:pPr>
            <w:r>
              <w:rPr>
                <w:rFonts w:hint="eastAsia"/>
                <w:color w:val="auto"/>
                <w:kern w:val="2"/>
                <w:highlight w:val="none"/>
              </w:rPr>
              <w:t>各项因素细分项</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color w:val="auto"/>
                <w:kern w:val="2"/>
                <w:highlight w:val="none"/>
              </w:rPr>
            </w:pPr>
            <w:r>
              <w:rPr>
                <w:rFonts w:hint="eastAsia"/>
                <w:color w:val="auto"/>
                <w:kern w:val="2"/>
                <w:highlight w:val="none"/>
              </w:rPr>
              <w:t>分值</w:t>
            </w:r>
          </w:p>
        </w:tc>
        <w:tc>
          <w:tcPr>
            <w:tcW w:w="4933"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color w:val="auto"/>
                <w:kern w:val="2"/>
                <w:sz w:val="20"/>
                <w:highlight w:val="none"/>
              </w:rPr>
            </w:pPr>
          </w:p>
        </w:tc>
      </w:tr>
      <w:tr>
        <w:tblPrEx>
          <w:tblCellMar>
            <w:top w:w="0" w:type="dxa"/>
            <w:left w:w="0" w:type="dxa"/>
            <w:bottom w:w="0" w:type="dxa"/>
            <w:right w:w="0" w:type="dxa"/>
          </w:tblCellMar>
        </w:tblPrEx>
        <w:trPr>
          <w:trHeight w:val="1242" w:hRule="atLeast"/>
          <w:jc w:val="center"/>
        </w:trPr>
        <w:tc>
          <w:tcPr>
            <w:tcW w:w="596"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rPr>
              <w:t>2.2.4（1）</w:t>
            </w:r>
          </w:p>
        </w:tc>
        <w:tc>
          <w:tcPr>
            <w:tcW w:w="709"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rPr>
              <w:t>技术建议书</w:t>
            </w:r>
          </w:p>
        </w:tc>
        <w:tc>
          <w:tcPr>
            <w:tcW w:w="567"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rPr>
              <w:t>4</w:t>
            </w:r>
            <w:r>
              <w:rPr>
                <w:rFonts w:hint="eastAsia"/>
                <w:color w:val="auto"/>
                <w:kern w:val="2"/>
                <w:highlight w:val="none"/>
                <w:lang w:val="en-US" w:eastAsia="zh-CN"/>
              </w:rPr>
              <w:t>0</w:t>
            </w:r>
            <w:r>
              <w:rPr>
                <w:rFonts w:hint="eastAsia"/>
                <w:color w:val="auto"/>
                <w:kern w:val="2"/>
                <w:highlight w:val="none"/>
              </w:rPr>
              <w:t>分</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color w:val="auto"/>
                <w:kern w:val="2"/>
                <w:highlight w:val="none"/>
              </w:rPr>
            </w:pPr>
            <w:r>
              <w:rPr>
                <w:rFonts w:hint="eastAsia"/>
                <w:color w:val="auto"/>
                <w:kern w:val="2"/>
                <w:highlight w:val="none"/>
              </w:rPr>
              <w:t>服务大纲（或服务方案或对项目的理解）</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r>
              <w:rPr>
                <w:rFonts w:hint="eastAsia"/>
                <w:color w:val="auto"/>
                <w:kern w:val="2"/>
                <w:highlight w:val="none"/>
              </w:rPr>
              <w:t>5</w:t>
            </w: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210" w:firstLineChars="100"/>
              <w:jc w:val="both"/>
              <w:rPr>
                <w:rFonts w:hint="eastAsia"/>
                <w:color w:val="auto"/>
                <w:kern w:val="2"/>
                <w:highlight w:val="none"/>
              </w:rPr>
            </w:pPr>
            <w:r>
              <w:rPr>
                <w:rFonts w:hint="eastAsia"/>
                <w:color w:val="auto"/>
                <w:kern w:val="2"/>
                <w:highlight w:val="none"/>
              </w:rPr>
              <w:t>根据投标人的工作方法、流程是否可行，能否充分满足本项目工程质量、进度、安全、施工环境保护、费用控制的要求进行评定，对项目技术服务范围和任务是否理解。</w:t>
            </w:r>
          </w:p>
          <w:p>
            <w:pPr>
              <w:snapToGrid w:val="0"/>
              <w:spacing w:line="276" w:lineRule="auto"/>
              <w:jc w:val="both"/>
              <w:rPr>
                <w:color w:val="auto"/>
                <w:kern w:val="2"/>
                <w:highlight w:val="none"/>
              </w:rPr>
            </w:pPr>
            <w:r>
              <w:rPr>
                <w:rFonts w:hint="eastAsia"/>
                <w:color w:val="auto"/>
                <w:kern w:val="2"/>
                <w:highlight w:val="none"/>
              </w:rPr>
              <w:t>优：5-4.7分；良：4.6-4.2分；中：4.1-3.8分；差：3.4-3.7分。不提供不得分。</w:t>
            </w:r>
          </w:p>
        </w:tc>
      </w:tr>
      <w:tr>
        <w:tblPrEx>
          <w:tblCellMar>
            <w:top w:w="0" w:type="dxa"/>
            <w:left w:w="0" w:type="dxa"/>
            <w:bottom w:w="0" w:type="dxa"/>
            <w:right w:w="0" w:type="dxa"/>
          </w:tblCellMar>
        </w:tblPrEx>
        <w:trPr>
          <w:trHeight w:val="1543" w:hRule="atLeast"/>
          <w:jc w:val="center"/>
        </w:trPr>
        <w:tc>
          <w:tcPr>
            <w:tcW w:w="596"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709"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567"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rFonts w:hint="eastAsia"/>
                <w:color w:val="auto"/>
                <w:kern w:val="2"/>
                <w:highlight w:val="none"/>
              </w:rPr>
            </w:pPr>
            <w:r>
              <w:rPr>
                <w:rFonts w:hint="eastAsia"/>
                <w:color w:val="auto"/>
                <w:kern w:val="2"/>
                <w:highlight w:val="none"/>
              </w:rPr>
              <w:t>对本工程重点、难点、关键性技术对策及措施</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eastAsia="宋体"/>
                <w:color w:val="auto"/>
                <w:kern w:val="2"/>
                <w:highlight w:val="none"/>
                <w:lang w:eastAsia="zh-CN"/>
              </w:rPr>
            </w:pPr>
            <w:r>
              <w:rPr>
                <w:rFonts w:hint="eastAsia"/>
                <w:color w:val="auto"/>
                <w:kern w:val="2"/>
                <w:highlight w:val="none"/>
                <w:lang w:val="en-US" w:eastAsia="zh-CN"/>
              </w:rPr>
              <w:t>9</w:t>
            </w: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210" w:firstLineChars="100"/>
              <w:jc w:val="both"/>
              <w:rPr>
                <w:color w:val="auto"/>
                <w:kern w:val="2"/>
                <w:highlight w:val="none"/>
              </w:rPr>
            </w:pPr>
            <w:r>
              <w:rPr>
                <w:rFonts w:hint="eastAsia"/>
                <w:color w:val="auto"/>
                <w:kern w:val="2"/>
                <w:highlight w:val="none"/>
              </w:rPr>
              <w:t>根据投标人对本工程重点、难点、关键性技术的把握程度及所提出的相应处理措施的合理性、可行性和有效性进行评定。优：</w:t>
            </w:r>
            <w:r>
              <w:rPr>
                <w:rFonts w:hint="eastAsia"/>
                <w:color w:val="auto"/>
                <w:kern w:val="2"/>
                <w:highlight w:val="none"/>
                <w:lang w:val="en-US" w:eastAsia="zh-CN"/>
              </w:rPr>
              <w:t>8</w:t>
            </w:r>
            <w:r>
              <w:rPr>
                <w:rFonts w:hint="eastAsia"/>
                <w:color w:val="auto"/>
                <w:kern w:val="2"/>
                <w:highlight w:val="none"/>
              </w:rPr>
              <w:t>-</w:t>
            </w:r>
            <w:r>
              <w:rPr>
                <w:rFonts w:hint="eastAsia"/>
                <w:color w:val="auto"/>
                <w:kern w:val="2"/>
                <w:highlight w:val="none"/>
                <w:lang w:val="en-US" w:eastAsia="zh-CN"/>
              </w:rPr>
              <w:t>9</w:t>
            </w:r>
            <w:r>
              <w:rPr>
                <w:rFonts w:hint="eastAsia"/>
                <w:color w:val="auto"/>
                <w:kern w:val="2"/>
                <w:highlight w:val="none"/>
              </w:rPr>
              <w:t>分；良：</w:t>
            </w:r>
            <w:r>
              <w:rPr>
                <w:rFonts w:hint="eastAsia"/>
                <w:color w:val="auto"/>
                <w:kern w:val="2"/>
                <w:highlight w:val="none"/>
                <w:lang w:val="en-US" w:eastAsia="zh-CN"/>
              </w:rPr>
              <w:t>7</w:t>
            </w:r>
            <w:r>
              <w:rPr>
                <w:rFonts w:hint="eastAsia"/>
                <w:color w:val="auto"/>
                <w:kern w:val="2"/>
                <w:highlight w:val="none"/>
              </w:rPr>
              <w:t>-</w:t>
            </w:r>
            <w:r>
              <w:rPr>
                <w:rFonts w:hint="eastAsia"/>
                <w:color w:val="auto"/>
                <w:kern w:val="2"/>
                <w:highlight w:val="none"/>
                <w:lang w:val="en-US" w:eastAsia="zh-CN"/>
              </w:rPr>
              <w:t>7.9</w:t>
            </w:r>
            <w:r>
              <w:rPr>
                <w:rFonts w:hint="eastAsia"/>
                <w:color w:val="auto"/>
                <w:kern w:val="2"/>
                <w:highlight w:val="none"/>
              </w:rPr>
              <w:t>分；中：6-6.9分；差：</w:t>
            </w:r>
            <w:r>
              <w:rPr>
                <w:rFonts w:hint="eastAsia"/>
                <w:color w:val="auto"/>
                <w:kern w:val="2"/>
                <w:highlight w:val="none"/>
                <w:lang w:val="en-US" w:eastAsia="zh-CN"/>
              </w:rPr>
              <w:t>5</w:t>
            </w:r>
            <w:r>
              <w:rPr>
                <w:rFonts w:hint="eastAsia"/>
                <w:color w:val="auto"/>
                <w:kern w:val="2"/>
                <w:highlight w:val="none"/>
              </w:rPr>
              <w:t>-</w:t>
            </w:r>
            <w:r>
              <w:rPr>
                <w:rFonts w:hint="eastAsia"/>
                <w:color w:val="auto"/>
                <w:kern w:val="2"/>
                <w:highlight w:val="none"/>
                <w:lang w:val="en-US" w:eastAsia="zh-CN"/>
              </w:rPr>
              <w:t>5</w:t>
            </w:r>
            <w:r>
              <w:rPr>
                <w:rFonts w:hint="eastAsia"/>
                <w:color w:val="auto"/>
                <w:kern w:val="2"/>
                <w:highlight w:val="none"/>
              </w:rPr>
              <w:t>.9分。不提供不得分。</w:t>
            </w:r>
          </w:p>
        </w:tc>
      </w:tr>
      <w:tr>
        <w:tblPrEx>
          <w:tblCellMar>
            <w:top w:w="0" w:type="dxa"/>
            <w:left w:w="0" w:type="dxa"/>
            <w:bottom w:w="0" w:type="dxa"/>
            <w:right w:w="0" w:type="dxa"/>
          </w:tblCellMar>
        </w:tblPrEx>
        <w:trPr>
          <w:trHeight w:val="1543" w:hRule="atLeast"/>
          <w:jc w:val="center"/>
        </w:trPr>
        <w:tc>
          <w:tcPr>
            <w:tcW w:w="596"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709"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567"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rFonts w:hint="eastAsia"/>
                <w:color w:val="auto"/>
                <w:kern w:val="2"/>
                <w:highlight w:val="none"/>
              </w:rPr>
            </w:pPr>
            <w:r>
              <w:rPr>
                <w:rFonts w:hint="eastAsia"/>
                <w:color w:val="auto"/>
                <w:kern w:val="2"/>
                <w:highlight w:val="none"/>
              </w:rPr>
              <w:t>检测方法和评价方法（包括配合专项检查工作内容）</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eastAsia="宋体"/>
                <w:color w:val="auto"/>
                <w:kern w:val="2"/>
                <w:highlight w:val="none"/>
                <w:lang w:eastAsia="zh-CN"/>
              </w:rPr>
            </w:pPr>
            <w:r>
              <w:rPr>
                <w:rFonts w:hint="eastAsia"/>
                <w:color w:val="auto"/>
                <w:kern w:val="2"/>
                <w:highlight w:val="none"/>
                <w:lang w:val="en-US" w:eastAsia="zh-CN"/>
              </w:rPr>
              <w:t>8</w:t>
            </w: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210" w:firstLineChars="100"/>
              <w:jc w:val="both"/>
              <w:rPr>
                <w:color w:val="auto"/>
                <w:kern w:val="2"/>
                <w:highlight w:val="none"/>
              </w:rPr>
            </w:pPr>
            <w:r>
              <w:rPr>
                <w:rFonts w:hint="eastAsia"/>
                <w:color w:val="auto"/>
                <w:kern w:val="2"/>
                <w:highlight w:val="none"/>
              </w:rPr>
              <w:t>根据投标人对本工程的检测方法、评价方法及配合专项检查的工作内容的合理性、可行性和有效性进行综合评定。优：</w:t>
            </w:r>
            <w:r>
              <w:rPr>
                <w:rFonts w:hint="eastAsia"/>
                <w:color w:val="auto"/>
                <w:kern w:val="2"/>
                <w:highlight w:val="none"/>
                <w:lang w:val="en-US" w:eastAsia="zh-CN"/>
              </w:rPr>
              <w:t>7</w:t>
            </w:r>
            <w:r>
              <w:rPr>
                <w:rFonts w:hint="eastAsia"/>
                <w:color w:val="auto"/>
                <w:kern w:val="2"/>
                <w:highlight w:val="none"/>
              </w:rPr>
              <w:t>-</w:t>
            </w:r>
            <w:r>
              <w:rPr>
                <w:rFonts w:hint="eastAsia"/>
                <w:color w:val="auto"/>
                <w:kern w:val="2"/>
                <w:highlight w:val="none"/>
                <w:lang w:val="en-US" w:eastAsia="zh-CN"/>
              </w:rPr>
              <w:t>8</w:t>
            </w:r>
            <w:r>
              <w:rPr>
                <w:rFonts w:hint="eastAsia"/>
                <w:color w:val="auto"/>
                <w:kern w:val="2"/>
                <w:highlight w:val="none"/>
              </w:rPr>
              <w:t>分；良：6-6.9分；中：</w:t>
            </w:r>
            <w:r>
              <w:rPr>
                <w:rFonts w:hint="eastAsia"/>
                <w:color w:val="auto"/>
                <w:kern w:val="2"/>
                <w:highlight w:val="none"/>
                <w:lang w:val="en-US" w:eastAsia="zh-CN"/>
              </w:rPr>
              <w:t>5</w:t>
            </w:r>
            <w:r>
              <w:rPr>
                <w:rFonts w:hint="eastAsia"/>
                <w:color w:val="auto"/>
                <w:kern w:val="2"/>
                <w:highlight w:val="none"/>
              </w:rPr>
              <w:t>-</w:t>
            </w:r>
            <w:r>
              <w:rPr>
                <w:rFonts w:hint="eastAsia"/>
                <w:color w:val="auto"/>
                <w:kern w:val="2"/>
                <w:highlight w:val="none"/>
                <w:lang w:val="en-US" w:eastAsia="zh-CN"/>
              </w:rPr>
              <w:t>5</w:t>
            </w:r>
            <w:r>
              <w:rPr>
                <w:rFonts w:hint="eastAsia"/>
                <w:color w:val="auto"/>
                <w:kern w:val="2"/>
                <w:highlight w:val="none"/>
              </w:rPr>
              <w:t>.9分；差：</w:t>
            </w:r>
            <w:r>
              <w:rPr>
                <w:rFonts w:hint="eastAsia"/>
                <w:color w:val="auto"/>
                <w:kern w:val="2"/>
                <w:highlight w:val="none"/>
                <w:lang w:val="en-US" w:eastAsia="zh-CN"/>
              </w:rPr>
              <w:t>4</w:t>
            </w:r>
            <w:r>
              <w:rPr>
                <w:rFonts w:hint="eastAsia"/>
                <w:color w:val="auto"/>
                <w:kern w:val="2"/>
                <w:highlight w:val="none"/>
              </w:rPr>
              <w:t>-</w:t>
            </w:r>
            <w:r>
              <w:rPr>
                <w:rFonts w:hint="eastAsia"/>
                <w:color w:val="auto"/>
                <w:kern w:val="2"/>
                <w:highlight w:val="none"/>
                <w:lang w:val="en-US" w:eastAsia="zh-CN"/>
              </w:rPr>
              <w:t>4</w:t>
            </w:r>
            <w:r>
              <w:rPr>
                <w:rFonts w:hint="eastAsia"/>
                <w:color w:val="auto"/>
                <w:kern w:val="2"/>
                <w:highlight w:val="none"/>
              </w:rPr>
              <w:t>.9分。不提供不得分。</w:t>
            </w:r>
          </w:p>
        </w:tc>
      </w:tr>
      <w:tr>
        <w:tblPrEx>
          <w:tblCellMar>
            <w:top w:w="0" w:type="dxa"/>
            <w:left w:w="0" w:type="dxa"/>
            <w:bottom w:w="0" w:type="dxa"/>
            <w:right w:w="0" w:type="dxa"/>
          </w:tblCellMar>
        </w:tblPrEx>
        <w:trPr>
          <w:jc w:val="center"/>
        </w:trPr>
        <w:tc>
          <w:tcPr>
            <w:tcW w:w="596"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709"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567"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color w:val="auto"/>
                <w:kern w:val="2"/>
                <w:highlight w:val="none"/>
              </w:rPr>
            </w:pPr>
            <w:r>
              <w:rPr>
                <w:rFonts w:hint="eastAsia"/>
                <w:color w:val="auto"/>
                <w:kern w:val="2"/>
                <w:highlight w:val="none"/>
              </w:rPr>
              <w:t>对本工程的建议</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r>
              <w:rPr>
                <w:rFonts w:hint="eastAsia"/>
                <w:color w:val="auto"/>
                <w:kern w:val="2"/>
                <w:highlight w:val="none"/>
              </w:rPr>
              <w:t>2</w:t>
            </w: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r>
              <w:rPr>
                <w:rFonts w:hint="eastAsia"/>
                <w:color w:val="auto"/>
                <w:kern w:val="2"/>
                <w:highlight w:val="none"/>
              </w:rPr>
              <w:t>对投标人所提建议的合理性、可实施性、项目针对性进行评分。优：1.</w:t>
            </w:r>
            <w:r>
              <w:rPr>
                <w:rFonts w:hint="eastAsia"/>
                <w:color w:val="auto"/>
                <w:kern w:val="2"/>
                <w:highlight w:val="none"/>
                <w:lang w:val="en-US" w:eastAsia="zh-CN"/>
              </w:rPr>
              <w:t>7</w:t>
            </w:r>
            <w:r>
              <w:rPr>
                <w:rFonts w:hint="eastAsia"/>
                <w:color w:val="auto"/>
                <w:kern w:val="2"/>
                <w:highlight w:val="none"/>
              </w:rPr>
              <w:t>-2分；良：1</w:t>
            </w:r>
            <w:r>
              <w:rPr>
                <w:rFonts w:hint="eastAsia"/>
                <w:color w:val="auto"/>
                <w:kern w:val="2"/>
                <w:highlight w:val="none"/>
                <w:lang w:val="en-US" w:eastAsia="zh-CN"/>
              </w:rPr>
              <w:t>.3</w:t>
            </w:r>
            <w:r>
              <w:rPr>
                <w:rFonts w:hint="eastAsia"/>
                <w:color w:val="auto"/>
                <w:kern w:val="2"/>
                <w:highlight w:val="none"/>
              </w:rPr>
              <w:t>-1.</w:t>
            </w:r>
            <w:r>
              <w:rPr>
                <w:rFonts w:hint="eastAsia"/>
                <w:color w:val="auto"/>
                <w:kern w:val="2"/>
                <w:highlight w:val="none"/>
                <w:lang w:val="en-US" w:eastAsia="zh-CN"/>
              </w:rPr>
              <w:t>6</w:t>
            </w:r>
            <w:r>
              <w:rPr>
                <w:rFonts w:hint="eastAsia"/>
                <w:color w:val="auto"/>
                <w:kern w:val="2"/>
                <w:highlight w:val="none"/>
              </w:rPr>
              <w:t>分；中：0.</w:t>
            </w:r>
            <w:r>
              <w:rPr>
                <w:rFonts w:hint="eastAsia"/>
                <w:color w:val="auto"/>
                <w:kern w:val="2"/>
                <w:highlight w:val="none"/>
                <w:lang w:val="en-US" w:eastAsia="zh-CN"/>
              </w:rPr>
              <w:t>9-1.2</w:t>
            </w:r>
            <w:r>
              <w:rPr>
                <w:rFonts w:hint="eastAsia"/>
                <w:color w:val="auto"/>
                <w:kern w:val="2"/>
                <w:highlight w:val="none"/>
              </w:rPr>
              <w:t>分；差：</w:t>
            </w:r>
            <w:r>
              <w:rPr>
                <w:rFonts w:hint="eastAsia"/>
                <w:color w:val="auto"/>
                <w:kern w:val="2"/>
                <w:highlight w:val="none"/>
                <w:lang w:val="en-US" w:eastAsia="zh-CN"/>
              </w:rPr>
              <w:t>0.5</w:t>
            </w:r>
            <w:r>
              <w:rPr>
                <w:rFonts w:hint="eastAsia"/>
                <w:color w:val="auto"/>
                <w:kern w:val="2"/>
                <w:highlight w:val="none"/>
              </w:rPr>
              <w:t>-</w:t>
            </w:r>
            <w:r>
              <w:rPr>
                <w:rFonts w:hint="eastAsia"/>
                <w:color w:val="auto"/>
                <w:kern w:val="2"/>
                <w:highlight w:val="none"/>
                <w:lang w:val="en-US" w:eastAsia="zh-CN"/>
              </w:rPr>
              <w:t>0.8</w:t>
            </w:r>
            <w:r>
              <w:rPr>
                <w:rFonts w:hint="eastAsia"/>
                <w:color w:val="auto"/>
                <w:kern w:val="2"/>
                <w:highlight w:val="none"/>
              </w:rPr>
              <w:t>分。不提供不得分。</w:t>
            </w:r>
          </w:p>
        </w:tc>
      </w:tr>
      <w:tr>
        <w:tblPrEx>
          <w:tblCellMar>
            <w:top w:w="0" w:type="dxa"/>
            <w:left w:w="0" w:type="dxa"/>
            <w:bottom w:w="0" w:type="dxa"/>
            <w:right w:w="0" w:type="dxa"/>
          </w:tblCellMar>
        </w:tblPrEx>
        <w:trPr>
          <w:jc w:val="center"/>
        </w:trPr>
        <w:tc>
          <w:tcPr>
            <w:tcW w:w="596"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709"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567"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color w:val="auto"/>
                <w:kern w:val="2"/>
                <w:highlight w:val="none"/>
              </w:rPr>
            </w:pPr>
            <w:r>
              <w:rPr>
                <w:rFonts w:hint="eastAsia"/>
                <w:color w:val="auto"/>
                <w:kern w:val="2"/>
                <w:highlight w:val="none"/>
              </w:rPr>
              <w:t>检测服务工作质量、安全保证体系</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rPr>
              <w:t>4</w:t>
            </w: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210" w:firstLineChars="100"/>
              <w:rPr>
                <w:color w:val="auto"/>
                <w:kern w:val="2"/>
                <w:highlight w:val="none"/>
              </w:rPr>
            </w:pPr>
            <w:r>
              <w:rPr>
                <w:rFonts w:hint="eastAsia"/>
                <w:color w:val="auto"/>
                <w:kern w:val="2"/>
                <w:highlight w:val="none"/>
              </w:rPr>
              <w:t>对检测服务工作质量、安全保证体系的合理性、可行性和有效性进行评分。优：4-3.7分；良3.3-3.6分；中2.9-3.2分；差2.</w:t>
            </w:r>
            <w:r>
              <w:rPr>
                <w:rFonts w:hint="eastAsia"/>
                <w:color w:val="auto"/>
                <w:kern w:val="2"/>
                <w:highlight w:val="none"/>
                <w:lang w:val="en-US" w:eastAsia="zh-CN"/>
              </w:rPr>
              <w:t>5</w:t>
            </w:r>
            <w:r>
              <w:rPr>
                <w:rFonts w:hint="eastAsia"/>
                <w:color w:val="auto"/>
                <w:kern w:val="2"/>
                <w:highlight w:val="none"/>
              </w:rPr>
              <w:t>-2.8分。不提供不得分。</w:t>
            </w:r>
          </w:p>
        </w:tc>
      </w:tr>
      <w:tr>
        <w:tblPrEx>
          <w:tblCellMar>
            <w:top w:w="0" w:type="dxa"/>
            <w:left w:w="0" w:type="dxa"/>
            <w:bottom w:w="0" w:type="dxa"/>
            <w:right w:w="0" w:type="dxa"/>
          </w:tblCellMar>
        </w:tblPrEx>
        <w:trPr>
          <w:jc w:val="center"/>
        </w:trPr>
        <w:tc>
          <w:tcPr>
            <w:tcW w:w="596"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709"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567"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rFonts w:hint="eastAsia"/>
                <w:color w:val="auto"/>
                <w:kern w:val="2"/>
                <w:highlight w:val="none"/>
              </w:rPr>
            </w:pPr>
            <w:r>
              <w:rPr>
                <w:rFonts w:hint="eastAsia"/>
                <w:color w:val="auto"/>
                <w:kern w:val="2"/>
                <w:highlight w:val="none"/>
              </w:rPr>
              <w:t>项目组织机构及主要人员安排</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rPr>
              <w:t>4</w:t>
            </w: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210" w:firstLineChars="100"/>
              <w:rPr>
                <w:rFonts w:hint="eastAsia"/>
                <w:color w:val="auto"/>
                <w:kern w:val="2"/>
                <w:highlight w:val="none"/>
              </w:rPr>
            </w:pPr>
            <w:r>
              <w:rPr>
                <w:rFonts w:hint="eastAsia"/>
                <w:color w:val="auto"/>
                <w:kern w:val="2"/>
                <w:highlight w:val="none"/>
              </w:rPr>
              <w:t>对项目组织机构及人员安排的合理性、可实施性及是否满足实际检测服务要求进行综合评分。优：4-3.7分；良3.3-3.6分；中2.9-3.2分；差2.</w:t>
            </w:r>
            <w:r>
              <w:rPr>
                <w:rFonts w:hint="eastAsia"/>
                <w:color w:val="auto"/>
                <w:kern w:val="2"/>
                <w:highlight w:val="none"/>
                <w:lang w:val="en-US" w:eastAsia="zh-CN"/>
              </w:rPr>
              <w:t>5</w:t>
            </w:r>
            <w:r>
              <w:rPr>
                <w:rFonts w:hint="eastAsia"/>
                <w:color w:val="auto"/>
                <w:kern w:val="2"/>
                <w:highlight w:val="none"/>
              </w:rPr>
              <w:t>-2.8分。不提供不得分。</w:t>
            </w:r>
          </w:p>
        </w:tc>
      </w:tr>
      <w:tr>
        <w:tblPrEx>
          <w:tblCellMar>
            <w:top w:w="0" w:type="dxa"/>
            <w:left w:w="0" w:type="dxa"/>
            <w:bottom w:w="0" w:type="dxa"/>
            <w:right w:w="0" w:type="dxa"/>
          </w:tblCellMar>
        </w:tblPrEx>
        <w:trPr>
          <w:trHeight w:val="720" w:hRule="atLeast"/>
          <w:jc w:val="center"/>
        </w:trPr>
        <w:tc>
          <w:tcPr>
            <w:tcW w:w="596"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709"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567"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40"/>
              <w:jc w:val="both"/>
              <w:rPr>
                <w:color w:val="auto"/>
                <w:kern w:val="2"/>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jc w:val="center"/>
              <w:rPr>
                <w:rFonts w:hint="eastAsia"/>
                <w:color w:val="auto"/>
                <w:kern w:val="2"/>
                <w:highlight w:val="none"/>
              </w:rPr>
            </w:pPr>
            <w:r>
              <w:rPr>
                <w:rFonts w:hint="eastAsia"/>
                <w:color w:val="auto"/>
                <w:kern w:val="2"/>
                <w:highlight w:val="none"/>
              </w:rPr>
              <w:t>工作进度计划</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eastAsia="宋体"/>
                <w:color w:val="auto"/>
                <w:kern w:val="2"/>
                <w:highlight w:val="none"/>
                <w:lang w:eastAsia="zh-CN"/>
              </w:rPr>
            </w:pPr>
            <w:r>
              <w:rPr>
                <w:rFonts w:hint="eastAsia"/>
                <w:color w:val="auto"/>
                <w:kern w:val="2"/>
                <w:highlight w:val="none"/>
                <w:lang w:val="en-US" w:eastAsia="zh-CN"/>
              </w:rPr>
              <w:t>8</w:t>
            </w: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210" w:firstLineChars="100"/>
              <w:rPr>
                <w:color w:val="auto"/>
                <w:kern w:val="2"/>
                <w:highlight w:val="none"/>
              </w:rPr>
            </w:pPr>
            <w:r>
              <w:rPr>
                <w:rFonts w:hint="eastAsia"/>
                <w:color w:val="auto"/>
                <w:kern w:val="2"/>
                <w:highlight w:val="none"/>
              </w:rPr>
              <w:t>对检测服务工作进度安排合理性、可实施性进行综合评分。优：</w:t>
            </w:r>
            <w:r>
              <w:rPr>
                <w:rFonts w:hint="eastAsia"/>
                <w:color w:val="auto"/>
                <w:kern w:val="2"/>
                <w:highlight w:val="none"/>
                <w:lang w:val="en-US" w:eastAsia="zh-CN"/>
              </w:rPr>
              <w:t>7</w:t>
            </w:r>
            <w:r>
              <w:rPr>
                <w:rFonts w:hint="eastAsia"/>
                <w:color w:val="auto"/>
                <w:kern w:val="2"/>
                <w:highlight w:val="none"/>
              </w:rPr>
              <w:t>-</w:t>
            </w:r>
            <w:r>
              <w:rPr>
                <w:rFonts w:hint="eastAsia"/>
                <w:color w:val="auto"/>
                <w:kern w:val="2"/>
                <w:highlight w:val="none"/>
                <w:lang w:val="en-US" w:eastAsia="zh-CN"/>
              </w:rPr>
              <w:t>8</w:t>
            </w:r>
            <w:r>
              <w:rPr>
                <w:rFonts w:hint="eastAsia"/>
                <w:color w:val="auto"/>
                <w:kern w:val="2"/>
                <w:highlight w:val="none"/>
              </w:rPr>
              <w:t>分；良：6-6.9分；中：</w:t>
            </w:r>
            <w:r>
              <w:rPr>
                <w:rFonts w:hint="eastAsia"/>
                <w:color w:val="auto"/>
                <w:kern w:val="2"/>
                <w:highlight w:val="none"/>
                <w:lang w:val="en-US" w:eastAsia="zh-CN"/>
              </w:rPr>
              <w:t>5</w:t>
            </w:r>
            <w:r>
              <w:rPr>
                <w:rFonts w:hint="eastAsia"/>
                <w:color w:val="auto"/>
                <w:kern w:val="2"/>
                <w:highlight w:val="none"/>
              </w:rPr>
              <w:t>-</w:t>
            </w:r>
            <w:r>
              <w:rPr>
                <w:rFonts w:hint="eastAsia"/>
                <w:color w:val="auto"/>
                <w:kern w:val="2"/>
                <w:highlight w:val="none"/>
                <w:lang w:val="en-US" w:eastAsia="zh-CN"/>
              </w:rPr>
              <w:t>5</w:t>
            </w:r>
            <w:r>
              <w:rPr>
                <w:rFonts w:hint="eastAsia"/>
                <w:color w:val="auto"/>
                <w:kern w:val="2"/>
                <w:highlight w:val="none"/>
              </w:rPr>
              <w:t>.9分；差：</w:t>
            </w:r>
            <w:r>
              <w:rPr>
                <w:rFonts w:hint="eastAsia"/>
                <w:color w:val="auto"/>
                <w:kern w:val="2"/>
                <w:highlight w:val="none"/>
                <w:lang w:val="en-US" w:eastAsia="zh-CN"/>
              </w:rPr>
              <w:t>4</w:t>
            </w:r>
            <w:r>
              <w:rPr>
                <w:rFonts w:hint="eastAsia"/>
                <w:color w:val="auto"/>
                <w:kern w:val="2"/>
                <w:highlight w:val="none"/>
              </w:rPr>
              <w:t>-</w:t>
            </w:r>
            <w:r>
              <w:rPr>
                <w:rFonts w:hint="eastAsia"/>
                <w:color w:val="auto"/>
                <w:kern w:val="2"/>
                <w:highlight w:val="none"/>
                <w:lang w:val="en-US" w:eastAsia="zh-CN"/>
              </w:rPr>
              <w:t>4</w:t>
            </w:r>
            <w:r>
              <w:rPr>
                <w:rFonts w:hint="eastAsia"/>
                <w:color w:val="auto"/>
                <w:kern w:val="2"/>
                <w:highlight w:val="none"/>
              </w:rPr>
              <w:t>.9分。不提供不得分。</w:t>
            </w:r>
          </w:p>
        </w:tc>
      </w:tr>
      <w:tr>
        <w:tblPrEx>
          <w:tblCellMar>
            <w:top w:w="0" w:type="dxa"/>
            <w:left w:w="0" w:type="dxa"/>
            <w:bottom w:w="0" w:type="dxa"/>
            <w:right w:w="0" w:type="dxa"/>
          </w:tblCellMar>
        </w:tblPrEx>
        <w:trPr>
          <w:jc w:val="center"/>
        </w:trPr>
        <w:tc>
          <w:tcPr>
            <w:tcW w:w="596"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rPr>
              <w:t>2.2.4（2）</w:t>
            </w:r>
          </w:p>
        </w:tc>
        <w:tc>
          <w:tcPr>
            <w:tcW w:w="709"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rPr>
              <w:t>主要人员</w:t>
            </w:r>
          </w:p>
        </w:tc>
        <w:tc>
          <w:tcPr>
            <w:tcW w:w="567"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rPr>
              <w:t>16</w:t>
            </w:r>
          </w:p>
        </w:tc>
        <w:tc>
          <w:tcPr>
            <w:tcW w:w="1984"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rPr>
              <w:t>项目负责人和技术负责人任职资格与业绩（注：加分的个人业绩应满足招标文件第六章投标文件格式的相关要求，否则不予认可）</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r>
              <w:rPr>
                <w:rFonts w:hint="eastAsia"/>
                <w:color w:val="auto"/>
                <w:kern w:val="2"/>
                <w:highlight w:val="none"/>
              </w:rPr>
              <w:t>16</w:t>
            </w:r>
          </w:p>
          <w:p>
            <w:pPr>
              <w:snapToGrid w:val="0"/>
              <w:spacing w:line="276" w:lineRule="auto"/>
              <w:rPr>
                <w:color w:val="auto"/>
                <w:kern w:val="2"/>
                <w:highlight w:val="none"/>
              </w:rPr>
            </w:pPr>
            <w:r>
              <w:rPr>
                <w:rFonts w:hint="eastAsia"/>
                <w:color w:val="auto"/>
                <w:kern w:val="2"/>
                <w:highlight w:val="none"/>
              </w:rPr>
              <w:t>（适用合同段：MSQJ-1、MSQJ-2、MSQJ-3）</w:t>
            </w: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szCs w:val="22"/>
                <w:highlight w:val="none"/>
              </w:rPr>
            </w:pPr>
          </w:p>
          <w:p>
            <w:pPr>
              <w:snapToGrid w:val="0"/>
              <w:spacing w:line="276" w:lineRule="auto"/>
              <w:ind w:firstLine="420" w:firstLineChars="200"/>
              <w:rPr>
                <w:rFonts w:hint="eastAsia"/>
                <w:color w:val="auto"/>
                <w:kern w:val="2"/>
                <w:szCs w:val="22"/>
                <w:highlight w:val="none"/>
              </w:rPr>
            </w:pPr>
            <w:r>
              <w:rPr>
                <w:rFonts w:hint="eastAsia"/>
                <w:color w:val="auto"/>
                <w:kern w:val="2"/>
                <w:szCs w:val="22"/>
                <w:highlight w:val="none"/>
              </w:rPr>
              <w:t>最近5年（ 2015年1月1日～至投标文件递交截止之日，以合同协议书和业主出具的相关证明文件（两项证明文件必须同时具备）或者合同协议和质量监督部门出具的证明中的业绩（两项证明文件必须同时具备）完成日期为准。</w:t>
            </w:r>
          </w:p>
          <w:p>
            <w:pPr>
              <w:snapToGrid w:val="0"/>
              <w:spacing w:line="276" w:lineRule="auto"/>
              <w:ind w:firstLine="420" w:firstLineChars="200"/>
              <w:rPr>
                <w:rFonts w:hint="eastAsia"/>
                <w:color w:val="auto"/>
                <w:kern w:val="2"/>
                <w:szCs w:val="22"/>
                <w:highlight w:val="none"/>
              </w:rPr>
            </w:pPr>
          </w:p>
          <w:p>
            <w:pPr>
              <w:snapToGrid w:val="0"/>
              <w:spacing w:line="276" w:lineRule="auto"/>
              <w:rPr>
                <w:rFonts w:hint="eastAsia"/>
                <w:color w:val="auto"/>
                <w:kern w:val="2"/>
                <w:highlight w:val="none"/>
              </w:rPr>
            </w:pPr>
            <w:r>
              <w:rPr>
                <w:rFonts w:hint="eastAsia"/>
                <w:color w:val="auto"/>
                <w:kern w:val="2"/>
                <w:highlight w:val="none"/>
              </w:rPr>
              <w:t>项目负责人</w:t>
            </w:r>
          </w:p>
          <w:p>
            <w:pPr>
              <w:snapToGrid w:val="0"/>
              <w:spacing w:line="276" w:lineRule="auto"/>
              <w:rPr>
                <w:rFonts w:hint="eastAsia"/>
                <w:color w:val="auto"/>
                <w:kern w:val="2"/>
                <w:highlight w:val="none"/>
              </w:rPr>
            </w:pPr>
            <w:r>
              <w:rPr>
                <w:rFonts w:hint="eastAsia"/>
                <w:color w:val="auto"/>
                <w:kern w:val="2"/>
                <w:highlight w:val="none"/>
              </w:rPr>
              <w:t>①满足资格审查条件要求得2分；</w:t>
            </w:r>
          </w:p>
          <w:p>
            <w:pPr>
              <w:snapToGrid w:val="0"/>
              <w:spacing w:line="276" w:lineRule="auto"/>
              <w:rPr>
                <w:rFonts w:hint="eastAsia"/>
                <w:color w:val="auto"/>
                <w:kern w:val="2"/>
                <w:highlight w:val="none"/>
              </w:rPr>
            </w:pPr>
            <w:r>
              <w:rPr>
                <w:rFonts w:hint="eastAsia"/>
                <w:color w:val="auto"/>
                <w:kern w:val="2"/>
                <w:highlight w:val="none"/>
              </w:rPr>
              <w:t>②提供已完成项目负责人业绩</w:t>
            </w:r>
            <w:r>
              <w:rPr>
                <w:rFonts w:hint="eastAsia"/>
                <w:color w:val="auto"/>
                <w:kern w:val="2"/>
                <w:highlight w:val="none"/>
                <w:lang w:val="en-US" w:eastAsia="zh-CN"/>
              </w:rPr>
              <w:t>含</w:t>
            </w:r>
            <w:r>
              <w:rPr>
                <w:rFonts w:hint="eastAsia"/>
                <w:color w:val="auto"/>
                <w:kern w:val="2"/>
                <w:highlight w:val="none"/>
              </w:rPr>
              <w:t>高速公路桥梁荷载试验检测的，每提供1项加2分</w:t>
            </w:r>
            <w:r>
              <w:rPr>
                <w:rFonts w:hint="eastAsia"/>
                <w:color w:val="auto"/>
                <w:kern w:val="2"/>
                <w:highlight w:val="none"/>
                <w:lang w:eastAsia="zh-CN"/>
              </w:rPr>
              <w:t>，</w:t>
            </w:r>
            <w:r>
              <w:rPr>
                <w:color w:val="auto"/>
                <w:kern w:val="2"/>
                <w:highlight w:val="none"/>
              </w:rPr>
              <w:t>最多加</w:t>
            </w:r>
            <w:r>
              <w:rPr>
                <w:rFonts w:hint="eastAsia"/>
                <w:color w:val="auto"/>
                <w:kern w:val="2"/>
                <w:highlight w:val="none"/>
              </w:rPr>
              <w:t>6</w:t>
            </w:r>
            <w:r>
              <w:rPr>
                <w:color w:val="auto"/>
                <w:kern w:val="2"/>
                <w:highlight w:val="none"/>
              </w:rPr>
              <w:t>分。</w:t>
            </w:r>
          </w:p>
          <w:p>
            <w:pPr>
              <w:snapToGrid w:val="0"/>
              <w:spacing w:line="276" w:lineRule="auto"/>
              <w:rPr>
                <w:color w:val="auto"/>
                <w:kern w:val="2"/>
                <w:highlight w:val="none"/>
              </w:rPr>
            </w:pPr>
          </w:p>
          <w:p>
            <w:pPr>
              <w:snapToGrid w:val="0"/>
              <w:spacing w:line="276" w:lineRule="auto"/>
              <w:rPr>
                <w:rFonts w:hint="eastAsia"/>
                <w:color w:val="auto"/>
                <w:kern w:val="2"/>
                <w:highlight w:val="none"/>
              </w:rPr>
            </w:pPr>
            <w:r>
              <w:rPr>
                <w:rFonts w:hint="eastAsia"/>
                <w:color w:val="auto"/>
                <w:kern w:val="2"/>
                <w:highlight w:val="none"/>
              </w:rPr>
              <w:t>技术负责人：</w:t>
            </w:r>
          </w:p>
          <w:p>
            <w:pPr>
              <w:numPr>
                <w:ilvl w:val="0"/>
                <w:numId w:val="7"/>
              </w:numPr>
              <w:snapToGrid w:val="0"/>
              <w:spacing w:line="276" w:lineRule="auto"/>
              <w:rPr>
                <w:rFonts w:hint="eastAsia"/>
                <w:color w:val="auto"/>
                <w:kern w:val="2"/>
                <w:highlight w:val="none"/>
              </w:rPr>
            </w:pPr>
            <w:r>
              <w:rPr>
                <w:rFonts w:hint="eastAsia"/>
                <w:color w:val="auto"/>
                <w:kern w:val="2"/>
                <w:highlight w:val="none"/>
              </w:rPr>
              <w:t>满足资格审查条件要求得2分；</w:t>
            </w:r>
          </w:p>
          <w:p>
            <w:pPr>
              <w:snapToGrid w:val="0"/>
              <w:spacing w:line="276" w:lineRule="auto"/>
              <w:rPr>
                <w:color w:val="auto"/>
                <w:kern w:val="2"/>
                <w:highlight w:val="none"/>
              </w:rPr>
            </w:pPr>
            <w:r>
              <w:rPr>
                <w:rFonts w:hint="eastAsia"/>
                <w:color w:val="auto"/>
                <w:kern w:val="2"/>
                <w:highlight w:val="none"/>
              </w:rPr>
              <w:t>②提供已完成技术负责人业绩</w:t>
            </w:r>
            <w:r>
              <w:rPr>
                <w:rFonts w:hint="eastAsia"/>
                <w:color w:val="auto"/>
                <w:kern w:val="2"/>
                <w:highlight w:val="none"/>
                <w:lang w:val="en-US" w:eastAsia="zh-CN"/>
              </w:rPr>
              <w:t>含</w:t>
            </w:r>
            <w:r>
              <w:rPr>
                <w:rFonts w:hint="eastAsia"/>
                <w:color w:val="auto"/>
                <w:kern w:val="2"/>
                <w:highlight w:val="none"/>
              </w:rPr>
              <w:t>高速公路桥梁荷载试验检测的，每提供1项加2分</w:t>
            </w:r>
            <w:r>
              <w:rPr>
                <w:color w:val="auto"/>
                <w:kern w:val="2"/>
                <w:highlight w:val="none"/>
              </w:rPr>
              <w:t>，最多加</w:t>
            </w:r>
            <w:r>
              <w:rPr>
                <w:rFonts w:hint="eastAsia"/>
                <w:color w:val="auto"/>
                <w:kern w:val="2"/>
                <w:highlight w:val="none"/>
              </w:rPr>
              <w:t>6</w:t>
            </w:r>
            <w:r>
              <w:rPr>
                <w:color w:val="auto"/>
                <w:kern w:val="2"/>
                <w:highlight w:val="none"/>
              </w:rPr>
              <w:t>分。</w:t>
            </w:r>
          </w:p>
          <w:p>
            <w:pPr>
              <w:snapToGrid w:val="0"/>
              <w:spacing w:line="276" w:lineRule="auto"/>
              <w:rPr>
                <w:rFonts w:hint="eastAsia"/>
                <w:color w:val="auto"/>
                <w:kern w:val="2"/>
                <w:highlight w:val="none"/>
              </w:rPr>
            </w:pPr>
          </w:p>
        </w:tc>
      </w:tr>
      <w:tr>
        <w:tblPrEx>
          <w:tblCellMar>
            <w:top w:w="0" w:type="dxa"/>
            <w:left w:w="0" w:type="dxa"/>
            <w:bottom w:w="0" w:type="dxa"/>
            <w:right w:w="0" w:type="dxa"/>
          </w:tblCellMar>
        </w:tblPrEx>
        <w:trPr>
          <w:jc w:val="center"/>
        </w:trPr>
        <w:tc>
          <w:tcPr>
            <w:tcW w:w="596"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p>
        </w:tc>
        <w:tc>
          <w:tcPr>
            <w:tcW w:w="709"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p>
        </w:tc>
        <w:tc>
          <w:tcPr>
            <w:tcW w:w="567"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p>
        </w:tc>
        <w:tc>
          <w:tcPr>
            <w:tcW w:w="1984"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r>
              <w:rPr>
                <w:rFonts w:hint="eastAsia"/>
                <w:color w:val="auto"/>
                <w:kern w:val="2"/>
                <w:highlight w:val="none"/>
              </w:rPr>
              <w:t>16</w:t>
            </w:r>
          </w:p>
          <w:p>
            <w:pPr>
              <w:snapToGrid w:val="0"/>
              <w:spacing w:line="276" w:lineRule="auto"/>
              <w:rPr>
                <w:rFonts w:hint="eastAsia"/>
                <w:color w:val="auto"/>
                <w:kern w:val="2"/>
                <w:highlight w:val="none"/>
              </w:rPr>
            </w:pPr>
            <w:r>
              <w:rPr>
                <w:rFonts w:hint="eastAsia"/>
                <w:color w:val="auto"/>
                <w:kern w:val="2"/>
                <w:highlight w:val="none"/>
              </w:rPr>
              <w:t>（适用合同段：</w:t>
            </w:r>
            <w:r>
              <w:rPr>
                <w:color w:val="auto"/>
                <w:kern w:val="2"/>
                <w:highlight w:val="none"/>
              </w:rPr>
              <w:t>MSJC</w:t>
            </w:r>
            <w:r>
              <w:rPr>
                <w:rFonts w:hint="eastAsia"/>
                <w:color w:val="auto"/>
                <w:kern w:val="2"/>
                <w:highlight w:val="none"/>
              </w:rPr>
              <w:t>）</w:t>
            </w:r>
          </w:p>
          <w:p>
            <w:pPr>
              <w:snapToGrid w:val="0"/>
              <w:spacing w:line="276" w:lineRule="auto"/>
              <w:rPr>
                <w:rFonts w:hint="eastAsia"/>
                <w:color w:val="auto"/>
                <w:kern w:val="2"/>
                <w:highlight w:val="none"/>
              </w:rPr>
            </w:pP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szCs w:val="22"/>
                <w:highlight w:val="none"/>
              </w:rPr>
            </w:pPr>
          </w:p>
          <w:p>
            <w:pPr>
              <w:snapToGrid w:val="0"/>
              <w:spacing w:line="276" w:lineRule="auto"/>
              <w:ind w:firstLine="420" w:firstLineChars="200"/>
              <w:rPr>
                <w:rFonts w:hint="eastAsia"/>
                <w:color w:val="auto"/>
                <w:kern w:val="2"/>
                <w:szCs w:val="22"/>
                <w:highlight w:val="none"/>
              </w:rPr>
            </w:pPr>
            <w:r>
              <w:rPr>
                <w:rFonts w:hint="eastAsia"/>
                <w:color w:val="auto"/>
                <w:kern w:val="2"/>
                <w:szCs w:val="22"/>
                <w:highlight w:val="none"/>
              </w:rPr>
              <w:t>最近5年（ 2015年1月1日～至投标文件递交截止之日，以合同协议书和业主出具的相关证明文件（两项证明文件必须同时具备）或者合同协议和质量监督部门出具的证明中的业绩（两项证明文件必须同时具备）完成日期为准。</w:t>
            </w:r>
          </w:p>
          <w:p>
            <w:pPr>
              <w:snapToGrid w:val="0"/>
              <w:spacing w:line="276" w:lineRule="auto"/>
              <w:rPr>
                <w:rFonts w:hint="eastAsia"/>
                <w:color w:val="auto"/>
                <w:kern w:val="2"/>
                <w:highlight w:val="none"/>
              </w:rPr>
            </w:pPr>
          </w:p>
          <w:p>
            <w:pPr>
              <w:snapToGrid w:val="0"/>
              <w:spacing w:line="276" w:lineRule="auto"/>
              <w:rPr>
                <w:rFonts w:hint="eastAsia"/>
                <w:color w:val="auto"/>
                <w:kern w:val="2"/>
                <w:highlight w:val="none"/>
              </w:rPr>
            </w:pPr>
          </w:p>
          <w:p>
            <w:pPr>
              <w:snapToGrid w:val="0"/>
              <w:spacing w:line="276" w:lineRule="auto"/>
              <w:rPr>
                <w:rFonts w:hint="eastAsia"/>
                <w:color w:val="auto"/>
                <w:kern w:val="2"/>
                <w:highlight w:val="none"/>
              </w:rPr>
            </w:pPr>
            <w:r>
              <w:rPr>
                <w:rFonts w:hint="eastAsia"/>
                <w:color w:val="auto"/>
                <w:kern w:val="2"/>
                <w:highlight w:val="none"/>
              </w:rPr>
              <w:t>项目负责人</w:t>
            </w:r>
          </w:p>
          <w:p>
            <w:pPr>
              <w:numPr>
                <w:ilvl w:val="0"/>
                <w:numId w:val="8"/>
              </w:numPr>
              <w:snapToGrid w:val="0"/>
              <w:spacing w:line="276" w:lineRule="auto"/>
              <w:rPr>
                <w:rFonts w:hint="eastAsia"/>
                <w:color w:val="auto"/>
                <w:kern w:val="2"/>
                <w:highlight w:val="none"/>
              </w:rPr>
            </w:pPr>
            <w:r>
              <w:rPr>
                <w:rFonts w:hint="eastAsia"/>
                <w:color w:val="auto"/>
                <w:kern w:val="2"/>
                <w:highlight w:val="none"/>
              </w:rPr>
              <w:t>满足资格审查条件要求得2分；</w:t>
            </w:r>
          </w:p>
          <w:p>
            <w:pPr>
              <w:numPr>
                <w:ilvl w:val="0"/>
                <w:numId w:val="8"/>
              </w:numPr>
              <w:snapToGrid w:val="0"/>
              <w:spacing w:line="276" w:lineRule="auto"/>
              <w:rPr>
                <w:rFonts w:hint="eastAsia"/>
                <w:color w:val="auto"/>
                <w:kern w:val="2"/>
                <w:highlight w:val="none"/>
              </w:rPr>
            </w:pPr>
            <w:r>
              <w:rPr>
                <w:rFonts w:hint="eastAsia"/>
                <w:color w:val="auto"/>
                <w:kern w:val="2"/>
                <w:highlight w:val="none"/>
              </w:rPr>
              <w:t>提供已完成的高速公路竣工或交工验收试验检测业绩的项目负责人业绩，每提供1项加2分，</w:t>
            </w:r>
            <w:r>
              <w:rPr>
                <w:color w:val="auto"/>
                <w:kern w:val="2"/>
                <w:highlight w:val="none"/>
              </w:rPr>
              <w:t>同一高速公路项目不重复计分，最多加</w:t>
            </w:r>
            <w:r>
              <w:rPr>
                <w:rFonts w:hint="eastAsia"/>
                <w:color w:val="auto"/>
                <w:kern w:val="2"/>
                <w:highlight w:val="none"/>
              </w:rPr>
              <w:t>6</w:t>
            </w:r>
            <w:r>
              <w:rPr>
                <w:color w:val="auto"/>
                <w:kern w:val="2"/>
                <w:highlight w:val="none"/>
              </w:rPr>
              <w:t>分。</w:t>
            </w:r>
            <w:r>
              <w:rPr>
                <w:rFonts w:hint="eastAsia"/>
                <w:color w:val="auto"/>
                <w:kern w:val="2"/>
                <w:highlight w:val="none"/>
              </w:rPr>
              <w:t>（本项业绩加分需以业主或质量监督部门出具的证明为准）</w:t>
            </w:r>
          </w:p>
          <w:p>
            <w:pPr>
              <w:snapToGrid w:val="0"/>
              <w:spacing w:line="276" w:lineRule="auto"/>
              <w:rPr>
                <w:color w:val="auto"/>
                <w:kern w:val="2"/>
                <w:highlight w:val="none"/>
              </w:rPr>
            </w:pPr>
          </w:p>
          <w:p>
            <w:pPr>
              <w:snapToGrid w:val="0"/>
              <w:spacing w:line="276" w:lineRule="auto"/>
              <w:rPr>
                <w:rFonts w:hint="eastAsia"/>
                <w:color w:val="auto"/>
                <w:kern w:val="2"/>
                <w:highlight w:val="none"/>
              </w:rPr>
            </w:pPr>
            <w:r>
              <w:rPr>
                <w:rFonts w:hint="eastAsia"/>
                <w:color w:val="auto"/>
                <w:kern w:val="2"/>
                <w:highlight w:val="none"/>
              </w:rPr>
              <w:t>技术负责人：</w:t>
            </w:r>
          </w:p>
          <w:p>
            <w:pPr>
              <w:numPr>
                <w:ilvl w:val="0"/>
                <w:numId w:val="9"/>
              </w:numPr>
              <w:snapToGrid w:val="0"/>
              <w:spacing w:line="276" w:lineRule="auto"/>
              <w:rPr>
                <w:rFonts w:hint="eastAsia"/>
                <w:color w:val="auto"/>
                <w:kern w:val="2"/>
                <w:highlight w:val="none"/>
              </w:rPr>
            </w:pPr>
            <w:r>
              <w:rPr>
                <w:rFonts w:hint="eastAsia"/>
                <w:color w:val="auto"/>
                <w:kern w:val="2"/>
                <w:highlight w:val="none"/>
              </w:rPr>
              <w:t>满足资格审查条件要求得2分；</w:t>
            </w:r>
          </w:p>
          <w:p>
            <w:pPr>
              <w:numPr>
                <w:ilvl w:val="0"/>
                <w:numId w:val="9"/>
              </w:numPr>
              <w:snapToGrid w:val="0"/>
              <w:spacing w:line="276" w:lineRule="auto"/>
              <w:rPr>
                <w:rFonts w:hint="eastAsia"/>
                <w:color w:val="auto"/>
                <w:kern w:val="2"/>
                <w:highlight w:val="none"/>
              </w:rPr>
            </w:pPr>
            <w:r>
              <w:rPr>
                <w:rFonts w:hint="eastAsia"/>
                <w:color w:val="auto"/>
                <w:kern w:val="2"/>
                <w:highlight w:val="none"/>
              </w:rPr>
              <w:t>提供已完成的高速公路竣工或交工验收试验检测业绩的技术负责人业绩，每提供1项加2分，</w:t>
            </w:r>
            <w:r>
              <w:rPr>
                <w:color w:val="auto"/>
                <w:kern w:val="2"/>
                <w:highlight w:val="none"/>
              </w:rPr>
              <w:t>同一高速公路项目不重复计分，最多加</w:t>
            </w:r>
            <w:r>
              <w:rPr>
                <w:rFonts w:hint="eastAsia"/>
                <w:color w:val="auto"/>
                <w:kern w:val="2"/>
                <w:highlight w:val="none"/>
              </w:rPr>
              <w:t>6</w:t>
            </w:r>
            <w:r>
              <w:rPr>
                <w:color w:val="auto"/>
                <w:kern w:val="2"/>
                <w:highlight w:val="none"/>
              </w:rPr>
              <w:t>分。</w:t>
            </w:r>
          </w:p>
        </w:tc>
      </w:tr>
      <w:tr>
        <w:tblPrEx>
          <w:tblCellMar>
            <w:top w:w="0" w:type="dxa"/>
            <w:left w:w="0" w:type="dxa"/>
            <w:bottom w:w="0" w:type="dxa"/>
            <w:right w:w="0" w:type="dxa"/>
          </w:tblCellMar>
        </w:tblPrEx>
        <w:trPr>
          <w:jc w:val="center"/>
        </w:trPr>
        <w:tc>
          <w:tcPr>
            <w:tcW w:w="5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r>
              <w:rPr>
                <w:rFonts w:hint="eastAsia"/>
                <w:color w:val="auto"/>
                <w:kern w:val="2"/>
                <w:highlight w:val="none"/>
              </w:rPr>
              <w:t>2.2.4（3）</w:t>
            </w:r>
          </w:p>
        </w:tc>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r>
              <w:rPr>
                <w:rFonts w:hint="eastAsia"/>
                <w:color w:val="auto"/>
                <w:kern w:val="2"/>
                <w:sz w:val="24"/>
                <w:szCs w:val="24"/>
                <w:highlight w:val="none"/>
              </w:rPr>
              <w:t>试验检测设施和设备</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eastAsia="宋体"/>
                <w:color w:val="auto"/>
                <w:kern w:val="2"/>
                <w:highlight w:val="none"/>
                <w:lang w:eastAsia="zh-CN"/>
              </w:rPr>
            </w:pPr>
            <w:r>
              <w:rPr>
                <w:rFonts w:hint="eastAsia"/>
                <w:color w:val="auto"/>
                <w:kern w:val="2"/>
                <w:highlight w:val="none"/>
                <w:lang w:val="en-US" w:eastAsia="zh-CN"/>
              </w:rPr>
              <w:t>3</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r>
              <w:rPr>
                <w:rFonts w:hint="eastAsia"/>
                <w:color w:val="auto"/>
                <w:kern w:val="2"/>
                <w:sz w:val="24"/>
                <w:szCs w:val="24"/>
                <w:highlight w:val="none"/>
              </w:rPr>
              <w:t>试验检测设施和设备配备方案</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eastAsia="宋体"/>
                <w:color w:val="auto"/>
                <w:kern w:val="2"/>
                <w:highlight w:val="none"/>
                <w:lang w:eastAsia="zh-CN"/>
              </w:rPr>
            </w:pPr>
            <w:r>
              <w:rPr>
                <w:rFonts w:hint="eastAsia"/>
                <w:color w:val="auto"/>
                <w:kern w:val="2"/>
                <w:highlight w:val="none"/>
                <w:lang w:val="en-US" w:eastAsia="zh-CN"/>
              </w:rPr>
              <w:t>3</w:t>
            </w: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lang w:val="en-US" w:eastAsia="zh-CN"/>
              </w:rPr>
            </w:pPr>
            <w:r>
              <w:rPr>
                <w:rFonts w:hint="eastAsia"/>
                <w:color w:val="auto"/>
                <w:kern w:val="2"/>
                <w:highlight w:val="none"/>
              </w:rPr>
              <w:t>由评委根据设施与设备的配备合理性，在</w:t>
            </w:r>
            <w:r>
              <w:rPr>
                <w:rFonts w:hint="eastAsia"/>
                <w:color w:val="auto"/>
                <w:kern w:val="2"/>
                <w:highlight w:val="none"/>
                <w:lang w:val="en-US" w:eastAsia="zh-CN"/>
              </w:rPr>
              <w:t>1</w:t>
            </w:r>
            <w:r>
              <w:rPr>
                <w:rFonts w:hint="eastAsia"/>
                <w:color w:val="auto"/>
                <w:kern w:val="2"/>
                <w:highlight w:val="none"/>
              </w:rPr>
              <w:t>~</w:t>
            </w:r>
            <w:r>
              <w:rPr>
                <w:rFonts w:hint="eastAsia"/>
                <w:color w:val="auto"/>
                <w:kern w:val="2"/>
                <w:highlight w:val="none"/>
                <w:lang w:val="en-US" w:eastAsia="zh-CN"/>
              </w:rPr>
              <w:t>3</w:t>
            </w:r>
            <w:r>
              <w:rPr>
                <w:rFonts w:hint="eastAsia"/>
                <w:color w:val="auto"/>
                <w:kern w:val="2"/>
                <w:highlight w:val="none"/>
              </w:rPr>
              <w:t>分之间酌情打分</w:t>
            </w:r>
            <w:r>
              <w:rPr>
                <w:rFonts w:hint="eastAsia"/>
                <w:color w:val="auto"/>
                <w:kern w:val="2"/>
                <w:highlight w:val="none"/>
                <w:lang w:eastAsia="zh-CN"/>
              </w:rPr>
              <w:t>。</w:t>
            </w:r>
            <w:r>
              <w:rPr>
                <w:rFonts w:hint="eastAsia"/>
                <w:color w:val="auto"/>
                <w:kern w:val="2"/>
                <w:highlight w:val="none"/>
                <w:lang w:val="en-US" w:eastAsia="zh-CN"/>
              </w:rPr>
              <w:t xml:space="preserve"> </w:t>
            </w:r>
          </w:p>
          <w:p>
            <w:pPr>
              <w:snapToGrid w:val="0"/>
              <w:spacing w:line="276" w:lineRule="auto"/>
              <w:ind w:firstLine="210" w:firstLineChars="100"/>
              <w:rPr>
                <w:rFonts w:hint="eastAsia" w:eastAsia="宋体"/>
                <w:color w:val="auto"/>
                <w:kern w:val="2"/>
                <w:highlight w:val="none"/>
                <w:lang w:val="en-US" w:eastAsia="zh-CN"/>
              </w:rPr>
            </w:pPr>
            <w:r>
              <w:rPr>
                <w:rFonts w:hint="eastAsia"/>
                <w:color w:val="auto"/>
                <w:kern w:val="2"/>
                <w:highlight w:val="none"/>
                <w:lang w:eastAsia="zh-CN"/>
              </w:rPr>
              <w:t>（试验检测仪器及设备</w:t>
            </w:r>
            <w:r>
              <w:rPr>
                <w:rFonts w:hint="eastAsia"/>
                <w:color w:val="auto"/>
                <w:kern w:val="2"/>
                <w:highlight w:val="none"/>
                <w:lang w:val="en-US" w:eastAsia="zh-CN"/>
              </w:rPr>
              <w:t>80%及以上</w:t>
            </w:r>
            <w:r>
              <w:rPr>
                <w:rFonts w:hint="eastAsia"/>
                <w:color w:val="auto"/>
                <w:kern w:val="2"/>
                <w:highlight w:val="none"/>
                <w:lang w:eastAsia="zh-CN"/>
              </w:rPr>
              <w:t>必须是自有设备，且应提供设备采购发票扫描件，同时盖单位公章。</w:t>
            </w:r>
            <w:r>
              <w:rPr>
                <w:rFonts w:hint="eastAsia"/>
                <w:color w:val="auto"/>
                <w:kern w:val="2"/>
                <w:highlight w:val="none"/>
                <w:lang w:val="en-US" w:eastAsia="zh-CN"/>
              </w:rPr>
              <w:t>若不满足以上要求，则此项得分为0分。</w:t>
            </w:r>
            <w:r>
              <w:rPr>
                <w:rFonts w:hint="eastAsia"/>
                <w:color w:val="auto"/>
                <w:kern w:val="2"/>
                <w:highlight w:val="none"/>
                <w:lang w:eastAsia="zh-CN"/>
              </w:rPr>
              <w:t>）</w:t>
            </w:r>
          </w:p>
        </w:tc>
      </w:tr>
      <w:tr>
        <w:tblPrEx>
          <w:tblCellMar>
            <w:top w:w="0" w:type="dxa"/>
            <w:left w:w="0" w:type="dxa"/>
            <w:bottom w:w="0" w:type="dxa"/>
            <w:right w:w="0" w:type="dxa"/>
          </w:tblCellMar>
        </w:tblPrEx>
        <w:trPr>
          <w:jc w:val="center"/>
        </w:trPr>
        <w:tc>
          <w:tcPr>
            <w:tcW w:w="596"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r>
              <w:rPr>
                <w:rFonts w:hint="eastAsia"/>
                <w:color w:val="auto"/>
                <w:kern w:val="2"/>
                <w:highlight w:val="none"/>
              </w:rPr>
              <w:t>2.2.4（4）</w:t>
            </w:r>
          </w:p>
        </w:tc>
        <w:tc>
          <w:tcPr>
            <w:tcW w:w="709"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sz w:val="24"/>
                <w:szCs w:val="24"/>
                <w:highlight w:val="none"/>
              </w:rPr>
            </w:pPr>
            <w:r>
              <w:rPr>
                <w:rFonts w:hint="eastAsia"/>
                <w:color w:val="auto"/>
                <w:kern w:val="2"/>
                <w:highlight w:val="none"/>
              </w:rPr>
              <w:t>业绩</w:t>
            </w:r>
          </w:p>
        </w:tc>
        <w:tc>
          <w:tcPr>
            <w:tcW w:w="567"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default" w:eastAsia="宋体"/>
                <w:color w:val="auto"/>
                <w:kern w:val="2"/>
                <w:highlight w:val="none"/>
                <w:lang w:val="en-US" w:eastAsia="zh-CN"/>
              </w:rPr>
            </w:pPr>
            <w:r>
              <w:rPr>
                <w:rFonts w:hint="eastAsia"/>
                <w:color w:val="auto"/>
                <w:kern w:val="2"/>
                <w:highlight w:val="none"/>
                <w:lang w:val="en-US" w:eastAsia="zh-CN"/>
              </w:rPr>
              <w:t>28</w:t>
            </w:r>
          </w:p>
        </w:tc>
        <w:tc>
          <w:tcPr>
            <w:tcW w:w="1984"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sz w:val="24"/>
                <w:szCs w:val="24"/>
                <w:highlight w:val="none"/>
              </w:rPr>
            </w:pPr>
            <w:r>
              <w:rPr>
                <w:rFonts w:hint="eastAsia"/>
                <w:color w:val="auto"/>
                <w:kern w:val="2"/>
                <w:highlight w:val="none"/>
              </w:rPr>
              <w:t>企业类似业绩</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lang w:val="en-US" w:eastAsia="zh-CN"/>
              </w:rPr>
              <w:t>28</w:t>
            </w:r>
            <w:r>
              <w:rPr>
                <w:rFonts w:hint="eastAsia"/>
                <w:color w:val="auto"/>
                <w:kern w:val="2"/>
                <w:highlight w:val="none"/>
              </w:rPr>
              <w:t>（适用合同段：MSQJ-1、MSQJ-2）</w:t>
            </w:r>
          </w:p>
          <w:p>
            <w:pPr>
              <w:snapToGrid w:val="0"/>
              <w:spacing w:line="276" w:lineRule="auto"/>
              <w:rPr>
                <w:color w:val="auto"/>
                <w:kern w:val="2"/>
                <w:highlight w:val="none"/>
              </w:rPr>
            </w:pP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szCs w:val="22"/>
                <w:highlight w:val="none"/>
              </w:rPr>
            </w:pPr>
          </w:p>
          <w:p>
            <w:pPr>
              <w:snapToGrid w:val="0"/>
              <w:spacing w:line="276" w:lineRule="auto"/>
              <w:ind w:firstLine="420" w:firstLineChars="200"/>
              <w:rPr>
                <w:rFonts w:hint="eastAsia"/>
                <w:color w:val="auto"/>
                <w:kern w:val="2"/>
                <w:szCs w:val="22"/>
                <w:highlight w:val="none"/>
              </w:rPr>
            </w:pPr>
            <w:r>
              <w:rPr>
                <w:rFonts w:hint="eastAsia"/>
                <w:color w:val="auto"/>
                <w:kern w:val="2"/>
                <w:szCs w:val="22"/>
                <w:highlight w:val="none"/>
              </w:rPr>
              <w:t>最近5年（ 2015年1月1日～至投标文件递交截止之日，以合同协议书和业主出具的相关证明文件（两项证明文件必须同时具备）或者合同协议和质量监督部门出具的证明中的业绩（两项证明文件必须同时具备）完成日期为准。</w:t>
            </w:r>
          </w:p>
          <w:p>
            <w:pPr>
              <w:snapToGrid w:val="0"/>
              <w:spacing w:line="276" w:lineRule="auto"/>
              <w:ind w:firstLine="420" w:firstLineChars="200"/>
              <w:rPr>
                <w:rFonts w:hint="eastAsia"/>
                <w:color w:val="auto"/>
                <w:kern w:val="2"/>
                <w:szCs w:val="22"/>
                <w:highlight w:val="none"/>
              </w:rPr>
            </w:pPr>
          </w:p>
          <w:p>
            <w:pPr>
              <w:snapToGrid w:val="0"/>
              <w:spacing w:line="276" w:lineRule="auto"/>
              <w:rPr>
                <w:rFonts w:hint="eastAsia"/>
                <w:color w:val="auto"/>
                <w:kern w:val="2"/>
                <w:szCs w:val="22"/>
                <w:highlight w:val="none"/>
              </w:rPr>
            </w:pPr>
            <w:r>
              <w:rPr>
                <w:rFonts w:hint="eastAsia"/>
                <w:color w:val="auto"/>
                <w:kern w:val="2"/>
                <w:szCs w:val="22"/>
                <w:highlight w:val="none"/>
              </w:rPr>
              <w:t>①每提供1项已完成的业绩</w:t>
            </w:r>
            <w:r>
              <w:rPr>
                <w:rFonts w:hint="eastAsia"/>
                <w:color w:val="auto"/>
                <w:kern w:val="2"/>
                <w:szCs w:val="22"/>
                <w:highlight w:val="none"/>
                <w:lang w:val="en-US" w:eastAsia="zh-CN"/>
              </w:rPr>
              <w:t>含</w:t>
            </w:r>
            <w:r>
              <w:rPr>
                <w:rFonts w:hint="eastAsia"/>
                <w:color w:val="auto"/>
                <w:kern w:val="2"/>
                <w:szCs w:val="22"/>
                <w:highlight w:val="none"/>
              </w:rPr>
              <w:t>高速公路桥梁荷载试验检测</w:t>
            </w:r>
            <w:r>
              <w:rPr>
                <w:rFonts w:hint="eastAsia"/>
                <w:color w:val="auto"/>
                <w:kern w:val="2"/>
                <w:szCs w:val="22"/>
                <w:highlight w:val="none"/>
                <w:lang w:val="en-US" w:eastAsia="zh-CN"/>
              </w:rPr>
              <w:t>的，</w:t>
            </w:r>
            <w:r>
              <w:rPr>
                <w:rFonts w:hint="eastAsia"/>
                <w:color w:val="auto"/>
                <w:kern w:val="2"/>
                <w:szCs w:val="22"/>
                <w:highlight w:val="none"/>
              </w:rPr>
              <w:t>得2分</w:t>
            </w:r>
            <w:r>
              <w:rPr>
                <w:rFonts w:hint="eastAsia"/>
                <w:color w:val="auto"/>
                <w:kern w:val="2"/>
                <w:szCs w:val="22"/>
                <w:highlight w:val="none"/>
                <w:lang w:eastAsia="zh-CN"/>
              </w:rPr>
              <w:t>。</w:t>
            </w:r>
            <w:r>
              <w:rPr>
                <w:rFonts w:hint="eastAsia"/>
                <w:color w:val="auto"/>
                <w:kern w:val="2"/>
                <w:szCs w:val="22"/>
                <w:highlight w:val="none"/>
              </w:rPr>
              <w:t>最多加</w:t>
            </w:r>
            <w:r>
              <w:rPr>
                <w:rFonts w:hint="eastAsia"/>
                <w:color w:val="auto"/>
                <w:kern w:val="2"/>
                <w:szCs w:val="22"/>
                <w:highlight w:val="none"/>
                <w:lang w:val="en-US" w:eastAsia="zh-CN"/>
              </w:rPr>
              <w:t>6</w:t>
            </w:r>
            <w:r>
              <w:rPr>
                <w:rFonts w:hint="eastAsia"/>
                <w:color w:val="auto"/>
                <w:kern w:val="2"/>
                <w:szCs w:val="22"/>
                <w:highlight w:val="none"/>
              </w:rPr>
              <w:t>分。</w:t>
            </w:r>
          </w:p>
          <w:p>
            <w:pPr>
              <w:snapToGrid w:val="0"/>
              <w:spacing w:line="276" w:lineRule="auto"/>
              <w:ind w:firstLine="210" w:firstLineChars="100"/>
              <w:rPr>
                <w:rFonts w:hint="eastAsia"/>
                <w:color w:val="auto"/>
                <w:kern w:val="2"/>
                <w:szCs w:val="22"/>
                <w:highlight w:val="none"/>
              </w:rPr>
            </w:pPr>
          </w:p>
          <w:p>
            <w:pPr>
              <w:snapToGrid w:val="0"/>
              <w:spacing w:line="276" w:lineRule="auto"/>
              <w:rPr>
                <w:rFonts w:hint="eastAsia"/>
                <w:color w:val="auto"/>
                <w:kern w:val="2"/>
                <w:szCs w:val="22"/>
                <w:highlight w:val="none"/>
              </w:rPr>
            </w:pPr>
            <w:r>
              <w:rPr>
                <w:rFonts w:hint="eastAsia"/>
                <w:color w:val="auto"/>
                <w:kern w:val="2"/>
                <w:szCs w:val="22"/>
                <w:highlight w:val="none"/>
              </w:rPr>
              <w:t>②每提供1项已完成的业绩</w:t>
            </w:r>
            <w:r>
              <w:rPr>
                <w:rFonts w:hint="eastAsia"/>
                <w:color w:val="auto"/>
                <w:kern w:val="2"/>
                <w:szCs w:val="22"/>
                <w:highlight w:val="none"/>
                <w:lang w:val="en-US" w:eastAsia="zh-CN"/>
              </w:rPr>
              <w:t>含</w:t>
            </w:r>
            <w:r>
              <w:rPr>
                <w:rFonts w:hint="eastAsia"/>
                <w:color w:val="auto"/>
                <w:kern w:val="2"/>
                <w:szCs w:val="22"/>
                <w:highlight w:val="none"/>
              </w:rPr>
              <w:t>高速公路</w:t>
            </w:r>
            <w:r>
              <w:rPr>
                <w:rFonts w:hint="eastAsia"/>
                <w:color w:val="auto"/>
                <w:kern w:val="2"/>
                <w:szCs w:val="22"/>
                <w:highlight w:val="none"/>
                <w:lang w:eastAsia="zh-CN"/>
              </w:rPr>
              <w:t>或其他公路工程</w:t>
            </w:r>
            <w:r>
              <w:rPr>
                <w:rFonts w:hint="eastAsia"/>
                <w:color w:val="auto"/>
                <w:kern w:val="2"/>
                <w:szCs w:val="22"/>
                <w:highlight w:val="none"/>
              </w:rPr>
              <w:t>连续刚构桥桥梁荷载试验检测</w:t>
            </w:r>
            <w:r>
              <w:rPr>
                <w:rFonts w:hint="eastAsia"/>
                <w:color w:val="auto"/>
                <w:kern w:val="2"/>
                <w:szCs w:val="22"/>
                <w:highlight w:val="none"/>
                <w:lang w:val="en-US" w:eastAsia="zh-CN"/>
              </w:rPr>
              <w:t>的，</w:t>
            </w:r>
            <w:r>
              <w:rPr>
                <w:rFonts w:hint="eastAsia"/>
                <w:color w:val="auto"/>
                <w:kern w:val="2"/>
                <w:szCs w:val="22"/>
                <w:highlight w:val="none"/>
              </w:rPr>
              <w:t>得2分，最多加</w:t>
            </w:r>
            <w:r>
              <w:rPr>
                <w:rFonts w:hint="eastAsia"/>
                <w:color w:val="auto"/>
                <w:kern w:val="2"/>
                <w:szCs w:val="22"/>
                <w:highlight w:val="none"/>
                <w:lang w:val="en-US" w:eastAsia="zh-CN"/>
              </w:rPr>
              <w:t>4</w:t>
            </w:r>
            <w:r>
              <w:rPr>
                <w:rFonts w:hint="eastAsia"/>
                <w:color w:val="auto"/>
                <w:kern w:val="2"/>
                <w:szCs w:val="22"/>
                <w:highlight w:val="none"/>
              </w:rPr>
              <w:t>分。</w:t>
            </w:r>
          </w:p>
          <w:p>
            <w:pPr>
              <w:snapToGrid w:val="0"/>
              <w:spacing w:line="276" w:lineRule="auto"/>
              <w:rPr>
                <w:rFonts w:hint="eastAsia"/>
                <w:color w:val="auto"/>
                <w:kern w:val="2"/>
                <w:szCs w:val="22"/>
                <w:highlight w:val="none"/>
              </w:rPr>
            </w:pPr>
          </w:p>
          <w:p>
            <w:pPr>
              <w:numPr>
                <w:ilvl w:val="0"/>
                <w:numId w:val="0"/>
              </w:numPr>
              <w:snapToGrid w:val="0"/>
              <w:spacing w:line="276" w:lineRule="auto"/>
              <w:ind w:leftChars="0"/>
              <w:rPr>
                <w:color w:val="auto"/>
                <w:kern w:val="2"/>
                <w:szCs w:val="22"/>
                <w:highlight w:val="none"/>
              </w:rPr>
            </w:pPr>
            <w:r>
              <w:rPr>
                <w:rFonts w:hint="eastAsia"/>
                <w:color w:val="auto"/>
                <w:kern w:val="2"/>
                <w:szCs w:val="22"/>
                <w:highlight w:val="none"/>
              </w:rPr>
              <w:t>③每提供1项已完成的合同金额不低于</w:t>
            </w:r>
            <w:r>
              <w:rPr>
                <w:rFonts w:hint="eastAsia"/>
                <w:color w:val="auto"/>
                <w:kern w:val="2"/>
                <w:szCs w:val="22"/>
                <w:highlight w:val="none"/>
                <w:lang w:val="en-US" w:eastAsia="zh-CN"/>
              </w:rPr>
              <w:t>5</w:t>
            </w:r>
            <w:r>
              <w:rPr>
                <w:rFonts w:hint="eastAsia"/>
                <w:color w:val="auto"/>
                <w:kern w:val="2"/>
                <w:szCs w:val="22"/>
                <w:highlight w:val="none"/>
              </w:rPr>
              <w:t>00万</w:t>
            </w:r>
            <w:r>
              <w:rPr>
                <w:rFonts w:hint="eastAsia"/>
                <w:color w:val="auto"/>
                <w:kern w:val="2"/>
                <w:szCs w:val="22"/>
                <w:highlight w:val="none"/>
                <w:lang w:eastAsia="zh-CN"/>
              </w:rPr>
              <w:t>（含</w:t>
            </w:r>
            <w:r>
              <w:rPr>
                <w:rFonts w:hint="eastAsia"/>
                <w:color w:val="auto"/>
                <w:kern w:val="2"/>
                <w:szCs w:val="22"/>
                <w:highlight w:val="none"/>
                <w:lang w:val="en-US" w:eastAsia="zh-CN"/>
              </w:rPr>
              <w:t>500万</w:t>
            </w:r>
            <w:r>
              <w:rPr>
                <w:rFonts w:hint="eastAsia"/>
                <w:color w:val="auto"/>
                <w:kern w:val="2"/>
                <w:szCs w:val="22"/>
                <w:highlight w:val="none"/>
                <w:lang w:eastAsia="zh-CN"/>
              </w:rPr>
              <w:t>）</w:t>
            </w:r>
            <w:r>
              <w:rPr>
                <w:rFonts w:hint="eastAsia"/>
                <w:color w:val="auto"/>
                <w:kern w:val="2"/>
                <w:szCs w:val="22"/>
                <w:highlight w:val="none"/>
              </w:rPr>
              <w:t>的</w:t>
            </w:r>
            <w:r>
              <w:rPr>
                <w:rFonts w:hint="eastAsia"/>
                <w:color w:val="auto"/>
                <w:kern w:val="2"/>
                <w:szCs w:val="22"/>
                <w:highlight w:val="none"/>
                <w:lang w:val="en-US" w:eastAsia="zh-CN"/>
              </w:rPr>
              <w:t>业绩含</w:t>
            </w:r>
            <w:r>
              <w:rPr>
                <w:rFonts w:hint="eastAsia"/>
                <w:color w:val="auto"/>
                <w:kern w:val="2"/>
                <w:szCs w:val="22"/>
                <w:highlight w:val="none"/>
              </w:rPr>
              <w:t>高速公路</w:t>
            </w:r>
            <w:r>
              <w:rPr>
                <w:rFonts w:hint="eastAsia"/>
                <w:color w:val="auto"/>
                <w:kern w:val="2"/>
                <w:szCs w:val="22"/>
                <w:highlight w:val="none"/>
                <w:lang w:eastAsia="zh-CN"/>
              </w:rPr>
              <w:t>或其他公路工程</w:t>
            </w:r>
            <w:r>
              <w:rPr>
                <w:rFonts w:hint="eastAsia"/>
                <w:color w:val="auto"/>
                <w:kern w:val="2"/>
                <w:szCs w:val="22"/>
                <w:highlight w:val="none"/>
              </w:rPr>
              <w:t>桥梁荷载试验检测</w:t>
            </w:r>
            <w:r>
              <w:rPr>
                <w:rFonts w:hint="eastAsia"/>
                <w:color w:val="auto"/>
                <w:kern w:val="2"/>
                <w:szCs w:val="22"/>
                <w:highlight w:val="none"/>
                <w:lang w:val="en-US" w:eastAsia="zh-CN"/>
              </w:rPr>
              <w:t>的</w:t>
            </w:r>
            <w:r>
              <w:rPr>
                <w:rFonts w:hint="eastAsia"/>
                <w:color w:val="auto"/>
                <w:kern w:val="2"/>
                <w:szCs w:val="22"/>
                <w:highlight w:val="none"/>
              </w:rPr>
              <w:t>，每项加</w:t>
            </w:r>
            <w:r>
              <w:rPr>
                <w:rFonts w:hint="eastAsia"/>
                <w:color w:val="auto"/>
                <w:kern w:val="2"/>
                <w:szCs w:val="22"/>
                <w:highlight w:val="none"/>
                <w:lang w:val="en-US" w:eastAsia="zh-CN"/>
              </w:rPr>
              <w:t>3</w:t>
            </w:r>
            <w:r>
              <w:rPr>
                <w:rFonts w:hint="eastAsia"/>
                <w:color w:val="auto"/>
                <w:kern w:val="2"/>
                <w:szCs w:val="22"/>
                <w:highlight w:val="none"/>
              </w:rPr>
              <w:t>分，最多加</w:t>
            </w:r>
            <w:r>
              <w:rPr>
                <w:rFonts w:hint="eastAsia"/>
                <w:color w:val="auto"/>
                <w:kern w:val="2"/>
                <w:szCs w:val="22"/>
                <w:highlight w:val="none"/>
                <w:lang w:val="en-US" w:eastAsia="zh-CN"/>
              </w:rPr>
              <w:t>18</w:t>
            </w:r>
            <w:r>
              <w:rPr>
                <w:rFonts w:hint="eastAsia"/>
                <w:color w:val="auto"/>
                <w:kern w:val="2"/>
                <w:szCs w:val="22"/>
                <w:highlight w:val="none"/>
              </w:rPr>
              <w:t>分。</w:t>
            </w:r>
          </w:p>
          <w:p>
            <w:pPr>
              <w:snapToGrid w:val="0"/>
              <w:spacing w:line="276" w:lineRule="auto"/>
              <w:rPr>
                <w:rFonts w:hint="eastAsia"/>
                <w:color w:val="auto"/>
                <w:kern w:val="2"/>
                <w:szCs w:val="22"/>
                <w:highlight w:val="none"/>
              </w:rPr>
            </w:pPr>
            <w:r>
              <w:rPr>
                <w:rFonts w:hint="eastAsia"/>
                <w:color w:val="auto"/>
                <w:kern w:val="2"/>
                <w:szCs w:val="22"/>
                <w:highlight w:val="none"/>
              </w:rPr>
              <w:t>（业绩分别满足以上①、②</w:t>
            </w:r>
            <w:r>
              <w:rPr>
                <w:rFonts w:hint="eastAsia"/>
                <w:color w:val="auto"/>
                <w:kern w:val="2"/>
                <w:szCs w:val="22"/>
                <w:highlight w:val="none"/>
                <w:lang w:eastAsia="zh-CN"/>
              </w:rPr>
              <w:t>、</w:t>
            </w:r>
            <w:r>
              <w:rPr>
                <w:rFonts w:hint="eastAsia"/>
                <w:color w:val="auto"/>
                <w:kern w:val="2"/>
                <w:szCs w:val="22"/>
                <w:highlight w:val="none"/>
              </w:rPr>
              <w:t>③项的可以累计加分。加分业绩应满足招标文件第六章投标文件格式的相关要求，否则不予认可）</w:t>
            </w:r>
          </w:p>
        </w:tc>
      </w:tr>
      <w:tr>
        <w:tblPrEx>
          <w:tblCellMar>
            <w:top w:w="0" w:type="dxa"/>
            <w:left w:w="0" w:type="dxa"/>
            <w:bottom w:w="0" w:type="dxa"/>
            <w:right w:w="0" w:type="dxa"/>
          </w:tblCellMar>
        </w:tblPrEx>
        <w:trPr>
          <w:jc w:val="center"/>
        </w:trPr>
        <w:tc>
          <w:tcPr>
            <w:tcW w:w="596" w:type="dxa"/>
            <w:vMerge w:val="continue"/>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p>
        </w:tc>
        <w:tc>
          <w:tcPr>
            <w:tcW w:w="709" w:type="dxa"/>
            <w:vMerge w:val="continue"/>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p>
        </w:tc>
        <w:tc>
          <w:tcPr>
            <w:tcW w:w="567" w:type="dxa"/>
            <w:vMerge w:val="continue"/>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p>
        </w:tc>
        <w:tc>
          <w:tcPr>
            <w:tcW w:w="1984" w:type="dxa"/>
            <w:vMerge w:val="continue"/>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r>
              <w:rPr>
                <w:rFonts w:hint="eastAsia"/>
                <w:color w:val="auto"/>
                <w:kern w:val="2"/>
                <w:highlight w:val="none"/>
                <w:lang w:val="en-US" w:eastAsia="zh-CN"/>
              </w:rPr>
              <w:t>28</w:t>
            </w:r>
            <w:r>
              <w:rPr>
                <w:rFonts w:hint="eastAsia"/>
                <w:color w:val="auto"/>
                <w:kern w:val="2"/>
                <w:highlight w:val="none"/>
              </w:rPr>
              <w:t>（适用合同段：MSQJ-3）</w:t>
            </w: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420" w:firstLineChars="200"/>
              <w:rPr>
                <w:rFonts w:hint="eastAsia"/>
                <w:color w:val="auto"/>
                <w:kern w:val="2"/>
                <w:szCs w:val="22"/>
                <w:highlight w:val="none"/>
              </w:rPr>
            </w:pPr>
            <w:r>
              <w:rPr>
                <w:rFonts w:hint="eastAsia"/>
                <w:color w:val="auto"/>
                <w:kern w:val="2"/>
                <w:szCs w:val="22"/>
                <w:highlight w:val="none"/>
              </w:rPr>
              <w:t>最近5年（ 2015年1月1日～至投标文件递交截止之日，以合同协议书和业主出具的相关证明文件（两项证明文件必须同时具备）或者合同协议和质量监督部门出具的证明中的业绩（两项证明文件必须同时具备）完成日期为准。</w:t>
            </w:r>
          </w:p>
          <w:p>
            <w:pPr>
              <w:snapToGrid w:val="0"/>
              <w:spacing w:line="276" w:lineRule="auto"/>
              <w:ind w:firstLine="420" w:firstLineChars="200"/>
              <w:rPr>
                <w:rFonts w:hint="eastAsia"/>
                <w:color w:val="auto"/>
                <w:kern w:val="2"/>
                <w:szCs w:val="22"/>
                <w:highlight w:val="none"/>
              </w:rPr>
            </w:pPr>
          </w:p>
          <w:p>
            <w:pPr>
              <w:snapToGrid w:val="0"/>
              <w:spacing w:line="276" w:lineRule="auto"/>
              <w:ind w:firstLine="210" w:firstLineChars="100"/>
              <w:rPr>
                <w:rFonts w:hint="eastAsia"/>
                <w:color w:val="auto"/>
                <w:kern w:val="2"/>
                <w:szCs w:val="22"/>
                <w:highlight w:val="none"/>
              </w:rPr>
            </w:pPr>
            <w:r>
              <w:rPr>
                <w:rFonts w:hint="eastAsia"/>
                <w:color w:val="auto"/>
                <w:kern w:val="2"/>
                <w:szCs w:val="22"/>
                <w:highlight w:val="none"/>
              </w:rPr>
              <w:t>①每提供1项已完成的业绩</w:t>
            </w:r>
            <w:r>
              <w:rPr>
                <w:rFonts w:hint="eastAsia"/>
                <w:color w:val="auto"/>
                <w:kern w:val="2"/>
                <w:szCs w:val="22"/>
                <w:highlight w:val="none"/>
                <w:lang w:val="en-US" w:eastAsia="zh-CN"/>
              </w:rPr>
              <w:t>含</w:t>
            </w:r>
            <w:r>
              <w:rPr>
                <w:rFonts w:hint="eastAsia"/>
                <w:color w:val="auto"/>
                <w:kern w:val="2"/>
                <w:szCs w:val="22"/>
                <w:highlight w:val="none"/>
              </w:rPr>
              <w:t>高速公路桥梁荷载试验检测</w:t>
            </w:r>
            <w:r>
              <w:rPr>
                <w:rFonts w:hint="eastAsia"/>
                <w:color w:val="auto"/>
                <w:kern w:val="2"/>
                <w:szCs w:val="22"/>
                <w:highlight w:val="none"/>
                <w:lang w:val="en-US" w:eastAsia="zh-CN"/>
              </w:rPr>
              <w:t>的，</w:t>
            </w:r>
            <w:r>
              <w:rPr>
                <w:rFonts w:hint="eastAsia"/>
                <w:color w:val="auto"/>
                <w:kern w:val="2"/>
                <w:szCs w:val="22"/>
                <w:highlight w:val="none"/>
              </w:rPr>
              <w:t>得2分</w:t>
            </w:r>
            <w:r>
              <w:rPr>
                <w:rFonts w:hint="eastAsia"/>
                <w:color w:val="auto"/>
                <w:kern w:val="2"/>
                <w:szCs w:val="22"/>
                <w:highlight w:val="none"/>
                <w:lang w:eastAsia="zh-CN"/>
              </w:rPr>
              <w:t>。</w:t>
            </w:r>
            <w:r>
              <w:rPr>
                <w:rFonts w:hint="eastAsia"/>
                <w:color w:val="auto"/>
                <w:kern w:val="2"/>
                <w:szCs w:val="22"/>
                <w:highlight w:val="none"/>
              </w:rPr>
              <w:t>最多加</w:t>
            </w:r>
            <w:r>
              <w:rPr>
                <w:rFonts w:hint="eastAsia"/>
                <w:color w:val="auto"/>
                <w:kern w:val="2"/>
                <w:szCs w:val="22"/>
                <w:highlight w:val="none"/>
                <w:lang w:val="en-US" w:eastAsia="zh-CN"/>
              </w:rPr>
              <w:t>6</w:t>
            </w:r>
            <w:r>
              <w:rPr>
                <w:rFonts w:hint="eastAsia"/>
                <w:color w:val="auto"/>
                <w:kern w:val="2"/>
                <w:szCs w:val="22"/>
                <w:highlight w:val="none"/>
              </w:rPr>
              <w:t>分。</w:t>
            </w:r>
          </w:p>
          <w:p>
            <w:pPr>
              <w:snapToGrid w:val="0"/>
              <w:spacing w:line="276" w:lineRule="auto"/>
              <w:ind w:firstLine="210" w:firstLineChars="100"/>
              <w:rPr>
                <w:rFonts w:hint="eastAsia"/>
                <w:color w:val="auto"/>
                <w:kern w:val="2"/>
                <w:szCs w:val="22"/>
                <w:highlight w:val="none"/>
              </w:rPr>
            </w:pPr>
          </w:p>
          <w:p>
            <w:pPr>
              <w:snapToGrid w:val="0"/>
              <w:spacing w:line="276" w:lineRule="auto"/>
              <w:rPr>
                <w:rFonts w:hint="eastAsia"/>
                <w:color w:val="auto"/>
                <w:kern w:val="2"/>
                <w:szCs w:val="22"/>
                <w:highlight w:val="none"/>
              </w:rPr>
            </w:pPr>
            <w:r>
              <w:rPr>
                <w:rFonts w:hint="eastAsia"/>
                <w:color w:val="auto"/>
                <w:kern w:val="2"/>
                <w:szCs w:val="22"/>
                <w:highlight w:val="none"/>
              </w:rPr>
              <w:t>②每提供1项已完成的高速公路</w:t>
            </w:r>
            <w:r>
              <w:rPr>
                <w:rFonts w:hint="eastAsia"/>
                <w:color w:val="auto"/>
                <w:kern w:val="2"/>
                <w:szCs w:val="22"/>
                <w:highlight w:val="none"/>
                <w:lang w:eastAsia="zh-CN"/>
              </w:rPr>
              <w:t>或其他公路工程</w:t>
            </w:r>
            <w:r>
              <w:rPr>
                <w:rFonts w:hint="eastAsia"/>
                <w:color w:val="auto"/>
                <w:kern w:val="2"/>
                <w:szCs w:val="22"/>
                <w:highlight w:val="none"/>
                <w:lang w:val="en-US" w:eastAsia="zh-CN"/>
              </w:rPr>
              <w:t>500米及以上</w:t>
            </w:r>
            <w:r>
              <w:rPr>
                <w:rFonts w:hint="eastAsia"/>
                <w:color w:val="auto"/>
                <w:kern w:val="2"/>
                <w:szCs w:val="22"/>
                <w:highlight w:val="none"/>
                <w:lang w:eastAsia="zh-CN"/>
              </w:rPr>
              <w:t>悬索</w:t>
            </w:r>
            <w:r>
              <w:rPr>
                <w:rFonts w:hint="eastAsia"/>
                <w:color w:val="auto"/>
                <w:kern w:val="2"/>
                <w:szCs w:val="22"/>
                <w:highlight w:val="none"/>
              </w:rPr>
              <w:t>桥</w:t>
            </w:r>
            <w:r>
              <w:rPr>
                <w:rFonts w:hint="eastAsia"/>
                <w:color w:val="auto"/>
                <w:kern w:val="2"/>
                <w:szCs w:val="22"/>
                <w:highlight w:val="none"/>
                <w:lang w:eastAsia="zh-CN"/>
              </w:rPr>
              <w:t>（</w:t>
            </w:r>
            <w:r>
              <w:rPr>
                <w:rFonts w:hint="eastAsia"/>
                <w:color w:val="auto"/>
                <w:kern w:val="2"/>
                <w:szCs w:val="22"/>
                <w:highlight w:val="none"/>
                <w:lang w:val="en-US" w:eastAsia="zh-CN"/>
              </w:rPr>
              <w:t>或斜拉桥</w:t>
            </w:r>
            <w:r>
              <w:rPr>
                <w:rFonts w:hint="eastAsia"/>
                <w:color w:val="auto"/>
                <w:kern w:val="2"/>
                <w:szCs w:val="22"/>
                <w:highlight w:val="none"/>
                <w:lang w:eastAsia="zh-CN"/>
              </w:rPr>
              <w:t>）</w:t>
            </w:r>
            <w:r>
              <w:rPr>
                <w:rFonts w:hint="eastAsia"/>
                <w:color w:val="auto"/>
                <w:kern w:val="2"/>
                <w:szCs w:val="22"/>
                <w:highlight w:val="none"/>
              </w:rPr>
              <w:t>的桥梁荷载试验检测业绩得2分，同一高速公路项目</w:t>
            </w:r>
            <w:r>
              <w:rPr>
                <w:rFonts w:hint="eastAsia"/>
                <w:color w:val="auto"/>
                <w:kern w:val="2"/>
                <w:szCs w:val="22"/>
                <w:highlight w:val="none"/>
                <w:lang w:eastAsia="zh-CN"/>
              </w:rPr>
              <w:t>（或其他公路工程）</w:t>
            </w:r>
            <w:r>
              <w:rPr>
                <w:rFonts w:hint="eastAsia"/>
                <w:color w:val="auto"/>
                <w:kern w:val="2"/>
                <w:szCs w:val="22"/>
                <w:highlight w:val="none"/>
              </w:rPr>
              <w:t>不重复计分，最多加</w:t>
            </w:r>
            <w:r>
              <w:rPr>
                <w:rFonts w:hint="eastAsia"/>
                <w:color w:val="auto"/>
                <w:kern w:val="2"/>
                <w:szCs w:val="22"/>
                <w:highlight w:val="none"/>
                <w:lang w:val="en-US" w:eastAsia="zh-CN"/>
              </w:rPr>
              <w:t>4</w:t>
            </w:r>
            <w:r>
              <w:rPr>
                <w:rFonts w:hint="eastAsia"/>
                <w:color w:val="auto"/>
                <w:kern w:val="2"/>
                <w:szCs w:val="22"/>
                <w:highlight w:val="none"/>
              </w:rPr>
              <w:t>分。</w:t>
            </w:r>
          </w:p>
          <w:p>
            <w:pPr>
              <w:snapToGrid w:val="0"/>
              <w:spacing w:line="276" w:lineRule="auto"/>
              <w:rPr>
                <w:rFonts w:hint="eastAsia"/>
                <w:color w:val="auto"/>
                <w:kern w:val="2"/>
                <w:szCs w:val="22"/>
                <w:highlight w:val="none"/>
              </w:rPr>
            </w:pPr>
          </w:p>
          <w:p>
            <w:pPr>
              <w:numPr>
                <w:ilvl w:val="0"/>
                <w:numId w:val="0"/>
              </w:numPr>
              <w:snapToGrid w:val="0"/>
              <w:spacing w:line="276" w:lineRule="auto"/>
              <w:ind w:leftChars="0"/>
              <w:rPr>
                <w:color w:val="auto"/>
                <w:kern w:val="2"/>
                <w:szCs w:val="22"/>
                <w:highlight w:val="none"/>
              </w:rPr>
            </w:pPr>
            <w:r>
              <w:rPr>
                <w:rFonts w:hint="eastAsia"/>
                <w:color w:val="auto"/>
                <w:kern w:val="2"/>
                <w:szCs w:val="22"/>
                <w:highlight w:val="none"/>
              </w:rPr>
              <w:t>③每提供1项已完成的合同金额不低于</w:t>
            </w:r>
            <w:r>
              <w:rPr>
                <w:rFonts w:hint="eastAsia"/>
                <w:color w:val="auto"/>
                <w:kern w:val="2"/>
                <w:szCs w:val="22"/>
                <w:highlight w:val="none"/>
                <w:lang w:val="en-US" w:eastAsia="zh-CN"/>
              </w:rPr>
              <w:t>5</w:t>
            </w:r>
            <w:r>
              <w:rPr>
                <w:rFonts w:hint="eastAsia"/>
                <w:color w:val="auto"/>
                <w:kern w:val="2"/>
                <w:szCs w:val="22"/>
                <w:highlight w:val="none"/>
              </w:rPr>
              <w:t>00万</w:t>
            </w:r>
            <w:r>
              <w:rPr>
                <w:rFonts w:hint="eastAsia"/>
                <w:color w:val="auto"/>
                <w:kern w:val="2"/>
                <w:szCs w:val="22"/>
                <w:highlight w:val="none"/>
                <w:lang w:eastAsia="zh-CN"/>
              </w:rPr>
              <w:t>（含</w:t>
            </w:r>
            <w:r>
              <w:rPr>
                <w:rFonts w:hint="eastAsia"/>
                <w:color w:val="auto"/>
                <w:kern w:val="2"/>
                <w:szCs w:val="22"/>
                <w:highlight w:val="none"/>
                <w:lang w:val="en-US" w:eastAsia="zh-CN"/>
              </w:rPr>
              <w:t>500万</w:t>
            </w:r>
            <w:r>
              <w:rPr>
                <w:rFonts w:hint="eastAsia"/>
                <w:color w:val="auto"/>
                <w:kern w:val="2"/>
                <w:szCs w:val="22"/>
                <w:highlight w:val="none"/>
                <w:lang w:eastAsia="zh-CN"/>
              </w:rPr>
              <w:t>）的业绩含高速公路桥梁荷载试验检测的</w:t>
            </w:r>
            <w:r>
              <w:rPr>
                <w:rFonts w:hint="eastAsia"/>
                <w:color w:val="auto"/>
                <w:kern w:val="2"/>
                <w:szCs w:val="22"/>
                <w:highlight w:val="none"/>
              </w:rPr>
              <w:t>，每项加</w:t>
            </w:r>
            <w:r>
              <w:rPr>
                <w:rFonts w:hint="eastAsia"/>
                <w:color w:val="auto"/>
                <w:kern w:val="2"/>
                <w:szCs w:val="22"/>
                <w:highlight w:val="none"/>
                <w:lang w:val="en-US" w:eastAsia="zh-CN"/>
              </w:rPr>
              <w:t>3</w:t>
            </w:r>
            <w:r>
              <w:rPr>
                <w:rFonts w:hint="eastAsia"/>
                <w:color w:val="auto"/>
                <w:kern w:val="2"/>
                <w:szCs w:val="22"/>
                <w:highlight w:val="none"/>
              </w:rPr>
              <w:t>分，最多加</w:t>
            </w:r>
            <w:r>
              <w:rPr>
                <w:rFonts w:hint="eastAsia"/>
                <w:color w:val="auto"/>
                <w:kern w:val="2"/>
                <w:szCs w:val="22"/>
                <w:highlight w:val="none"/>
                <w:lang w:val="en-US" w:eastAsia="zh-CN"/>
              </w:rPr>
              <w:t>18</w:t>
            </w:r>
            <w:r>
              <w:rPr>
                <w:rFonts w:hint="eastAsia"/>
                <w:color w:val="auto"/>
                <w:kern w:val="2"/>
                <w:szCs w:val="22"/>
                <w:highlight w:val="none"/>
              </w:rPr>
              <w:t>分。</w:t>
            </w:r>
          </w:p>
          <w:p>
            <w:pPr>
              <w:snapToGrid w:val="0"/>
              <w:spacing w:line="276" w:lineRule="auto"/>
              <w:rPr>
                <w:rFonts w:hint="eastAsia"/>
                <w:color w:val="auto"/>
                <w:kern w:val="2"/>
                <w:szCs w:val="22"/>
                <w:highlight w:val="none"/>
              </w:rPr>
            </w:pPr>
            <w:r>
              <w:rPr>
                <w:rFonts w:hint="eastAsia"/>
                <w:color w:val="auto"/>
                <w:kern w:val="2"/>
                <w:szCs w:val="22"/>
                <w:highlight w:val="none"/>
              </w:rPr>
              <w:t>（业绩分别满足以上①、②</w:t>
            </w:r>
            <w:r>
              <w:rPr>
                <w:rFonts w:hint="eastAsia"/>
                <w:color w:val="auto"/>
                <w:kern w:val="2"/>
                <w:szCs w:val="22"/>
                <w:highlight w:val="none"/>
                <w:lang w:eastAsia="zh-CN"/>
              </w:rPr>
              <w:t>、</w:t>
            </w:r>
            <w:r>
              <w:rPr>
                <w:rFonts w:hint="eastAsia"/>
                <w:color w:val="auto"/>
                <w:kern w:val="2"/>
                <w:szCs w:val="22"/>
                <w:highlight w:val="none"/>
              </w:rPr>
              <w:t>③项的可以累计加分。加分业绩应满足招标文件第六章投标文件格式的相关要求，否则不予认可）</w:t>
            </w:r>
          </w:p>
        </w:tc>
      </w:tr>
      <w:tr>
        <w:tblPrEx>
          <w:tblCellMar>
            <w:top w:w="0" w:type="dxa"/>
            <w:left w:w="0" w:type="dxa"/>
            <w:bottom w:w="0" w:type="dxa"/>
            <w:right w:w="0" w:type="dxa"/>
          </w:tblCellMar>
        </w:tblPrEx>
        <w:trPr>
          <w:jc w:val="center"/>
        </w:trPr>
        <w:tc>
          <w:tcPr>
            <w:tcW w:w="596"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p>
        </w:tc>
        <w:tc>
          <w:tcPr>
            <w:tcW w:w="709"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p>
        </w:tc>
        <w:tc>
          <w:tcPr>
            <w:tcW w:w="567"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p>
        </w:tc>
        <w:tc>
          <w:tcPr>
            <w:tcW w:w="1984"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lang w:val="en-US" w:eastAsia="zh-CN"/>
              </w:rPr>
              <w:t>28</w:t>
            </w:r>
            <w:r>
              <w:rPr>
                <w:rFonts w:hint="eastAsia"/>
                <w:color w:val="auto"/>
                <w:kern w:val="2"/>
                <w:highlight w:val="none"/>
              </w:rPr>
              <w:t>（适用合同段：</w:t>
            </w:r>
            <w:r>
              <w:rPr>
                <w:color w:val="auto"/>
                <w:kern w:val="2"/>
                <w:highlight w:val="none"/>
              </w:rPr>
              <w:t>MSCJ</w:t>
            </w:r>
            <w:r>
              <w:rPr>
                <w:rFonts w:hint="eastAsia"/>
                <w:color w:val="auto"/>
                <w:kern w:val="2"/>
                <w:highlight w:val="none"/>
              </w:rPr>
              <w:t>）</w:t>
            </w:r>
          </w:p>
          <w:p>
            <w:pPr>
              <w:snapToGrid w:val="0"/>
              <w:spacing w:line="276" w:lineRule="auto"/>
              <w:rPr>
                <w:color w:val="auto"/>
                <w:kern w:val="2"/>
                <w:highlight w:val="none"/>
              </w:rPr>
            </w:pPr>
          </w:p>
          <w:p>
            <w:pPr>
              <w:snapToGrid w:val="0"/>
              <w:spacing w:line="276" w:lineRule="auto"/>
              <w:rPr>
                <w:rFonts w:hint="eastAsia"/>
                <w:color w:val="auto"/>
                <w:kern w:val="2"/>
                <w:highlight w:val="none"/>
              </w:rPr>
            </w:pP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ind w:firstLine="210" w:firstLineChars="100"/>
              <w:rPr>
                <w:rFonts w:hint="eastAsia"/>
                <w:color w:val="auto"/>
                <w:kern w:val="2"/>
                <w:szCs w:val="22"/>
                <w:highlight w:val="none"/>
              </w:rPr>
            </w:pPr>
            <w:r>
              <w:rPr>
                <w:rFonts w:hint="eastAsia"/>
                <w:color w:val="auto"/>
                <w:kern w:val="2"/>
                <w:szCs w:val="22"/>
                <w:highlight w:val="none"/>
              </w:rPr>
              <w:t>最近5年（ 2015年1月1日～至投标文件递交截止之日，以合同协议书和业主出具的相关证明文件（两项证明文件必须同时具备）或者合同协议和质量监督部门出具的证明中的业绩（两项证明文件必须同时具备）完成日期为准。</w:t>
            </w:r>
          </w:p>
          <w:p>
            <w:pPr>
              <w:snapToGrid w:val="0"/>
              <w:spacing w:line="276" w:lineRule="auto"/>
              <w:ind w:firstLine="420" w:firstLineChars="200"/>
              <w:rPr>
                <w:rFonts w:hint="eastAsia"/>
                <w:color w:val="auto"/>
                <w:kern w:val="2"/>
                <w:szCs w:val="22"/>
                <w:highlight w:val="none"/>
              </w:rPr>
            </w:pPr>
          </w:p>
          <w:p>
            <w:pPr>
              <w:numPr>
                <w:ilvl w:val="0"/>
                <w:numId w:val="0"/>
              </w:numPr>
              <w:snapToGrid w:val="0"/>
              <w:spacing w:line="276" w:lineRule="auto"/>
              <w:ind w:firstLine="210" w:firstLineChars="100"/>
              <w:rPr>
                <w:rFonts w:hint="eastAsia"/>
                <w:color w:val="auto"/>
                <w:kern w:val="2"/>
                <w:szCs w:val="22"/>
                <w:highlight w:val="none"/>
              </w:rPr>
            </w:pPr>
            <w:r>
              <w:rPr>
                <w:rFonts w:hint="eastAsia"/>
                <w:color w:val="auto"/>
                <w:kern w:val="2"/>
                <w:szCs w:val="22"/>
                <w:highlight w:val="none"/>
              </w:rPr>
              <w:t>①每提供1项已完成的</w:t>
            </w:r>
            <w:r>
              <w:rPr>
                <w:rFonts w:hint="eastAsia"/>
                <w:color w:val="auto"/>
                <w:kern w:val="2"/>
                <w:highlight w:val="none"/>
              </w:rPr>
              <w:t>高速公路竣工或交工</w:t>
            </w:r>
            <w:r>
              <w:rPr>
                <w:rFonts w:hint="eastAsia"/>
                <w:color w:val="auto"/>
                <w:kern w:val="2"/>
                <w:szCs w:val="22"/>
                <w:highlight w:val="none"/>
              </w:rPr>
              <w:t>验收</w:t>
            </w:r>
            <w:r>
              <w:rPr>
                <w:rFonts w:hint="eastAsia"/>
                <w:color w:val="auto"/>
                <w:kern w:val="2"/>
                <w:highlight w:val="none"/>
              </w:rPr>
              <w:t>试验检测业绩，单个合同</w:t>
            </w:r>
            <w:r>
              <w:rPr>
                <w:rFonts w:hint="eastAsia"/>
                <w:color w:val="auto"/>
                <w:kern w:val="2"/>
                <w:szCs w:val="22"/>
                <w:highlight w:val="none"/>
              </w:rPr>
              <w:t>主线里程</w:t>
            </w:r>
            <w:r>
              <w:rPr>
                <w:rFonts w:hint="eastAsia"/>
                <w:color w:val="auto"/>
                <w:kern w:val="2"/>
                <w:szCs w:val="22"/>
                <w:highlight w:val="none"/>
                <w:lang w:val="en-US" w:eastAsia="zh-CN"/>
              </w:rPr>
              <w:t>4</w:t>
            </w:r>
            <w:r>
              <w:rPr>
                <w:rFonts w:hint="eastAsia"/>
                <w:color w:val="auto"/>
                <w:kern w:val="2"/>
                <w:szCs w:val="22"/>
                <w:highlight w:val="none"/>
              </w:rPr>
              <w:t>0km及以上的</w:t>
            </w:r>
            <w:r>
              <w:rPr>
                <w:rFonts w:hint="eastAsia"/>
                <w:color w:val="auto"/>
                <w:kern w:val="2"/>
                <w:szCs w:val="22"/>
                <w:highlight w:val="none"/>
                <w:lang w:eastAsia="zh-CN"/>
              </w:rPr>
              <w:t>，</w:t>
            </w:r>
            <w:r>
              <w:rPr>
                <w:rFonts w:hint="eastAsia"/>
                <w:color w:val="auto"/>
                <w:kern w:val="2"/>
                <w:szCs w:val="22"/>
                <w:highlight w:val="none"/>
              </w:rPr>
              <w:t>每项加</w:t>
            </w:r>
            <w:r>
              <w:rPr>
                <w:rFonts w:hint="eastAsia"/>
                <w:color w:val="auto"/>
                <w:kern w:val="2"/>
                <w:szCs w:val="22"/>
                <w:highlight w:val="none"/>
                <w:lang w:val="en-US" w:eastAsia="zh-CN"/>
              </w:rPr>
              <w:t>3</w:t>
            </w:r>
            <w:r>
              <w:rPr>
                <w:rFonts w:hint="eastAsia"/>
                <w:color w:val="auto"/>
                <w:kern w:val="2"/>
                <w:szCs w:val="22"/>
                <w:highlight w:val="none"/>
              </w:rPr>
              <w:t>分，同一高速公路项目不重复计分，最多加</w:t>
            </w:r>
            <w:r>
              <w:rPr>
                <w:rFonts w:hint="eastAsia"/>
                <w:color w:val="auto"/>
                <w:kern w:val="2"/>
                <w:szCs w:val="22"/>
                <w:highlight w:val="none"/>
                <w:lang w:val="en-US" w:eastAsia="zh-CN"/>
              </w:rPr>
              <w:t>12</w:t>
            </w:r>
            <w:r>
              <w:rPr>
                <w:rFonts w:hint="eastAsia"/>
                <w:color w:val="auto"/>
                <w:kern w:val="2"/>
                <w:szCs w:val="22"/>
                <w:highlight w:val="none"/>
              </w:rPr>
              <w:t>分。</w:t>
            </w:r>
          </w:p>
          <w:p>
            <w:pPr>
              <w:numPr>
                <w:ilvl w:val="0"/>
                <w:numId w:val="0"/>
              </w:numPr>
              <w:snapToGrid w:val="0"/>
              <w:spacing w:line="276" w:lineRule="auto"/>
              <w:ind w:firstLine="210" w:firstLineChars="100"/>
              <w:rPr>
                <w:rFonts w:hint="eastAsia"/>
                <w:color w:val="auto"/>
                <w:kern w:val="2"/>
                <w:szCs w:val="22"/>
                <w:highlight w:val="none"/>
              </w:rPr>
            </w:pPr>
          </w:p>
          <w:p>
            <w:pPr>
              <w:numPr>
                <w:ilvl w:val="0"/>
                <w:numId w:val="0"/>
              </w:numPr>
              <w:snapToGrid w:val="0"/>
              <w:spacing w:line="276" w:lineRule="auto"/>
              <w:ind w:firstLine="210" w:firstLineChars="100"/>
              <w:rPr>
                <w:rFonts w:hint="eastAsia"/>
                <w:color w:val="auto"/>
                <w:kern w:val="2"/>
                <w:szCs w:val="22"/>
                <w:highlight w:val="none"/>
              </w:rPr>
            </w:pPr>
            <w:r>
              <w:rPr>
                <w:rFonts w:hint="eastAsia"/>
                <w:color w:val="auto"/>
                <w:kern w:val="2"/>
                <w:szCs w:val="22"/>
                <w:highlight w:val="none"/>
              </w:rPr>
              <w:t>②每提供1项已完成</w:t>
            </w:r>
            <w:r>
              <w:rPr>
                <w:rFonts w:hint="eastAsia"/>
                <w:color w:val="auto"/>
                <w:kern w:val="2"/>
                <w:highlight w:val="none"/>
              </w:rPr>
              <w:t>高速公路竣工或交工验收试验检测业绩，单个合同金额超过</w:t>
            </w:r>
            <w:r>
              <w:rPr>
                <w:rFonts w:hint="eastAsia"/>
                <w:color w:val="auto"/>
                <w:kern w:val="2"/>
                <w:highlight w:val="none"/>
                <w:lang w:val="en-US" w:eastAsia="zh-CN"/>
              </w:rPr>
              <w:t>3</w:t>
            </w:r>
            <w:r>
              <w:rPr>
                <w:rFonts w:hint="eastAsia"/>
                <w:color w:val="auto"/>
                <w:kern w:val="2"/>
                <w:highlight w:val="none"/>
              </w:rPr>
              <w:t>00万元的</w:t>
            </w:r>
            <w:r>
              <w:rPr>
                <w:rFonts w:hint="eastAsia"/>
                <w:color w:val="auto"/>
                <w:kern w:val="2"/>
                <w:szCs w:val="22"/>
                <w:highlight w:val="none"/>
              </w:rPr>
              <w:t>，每项加</w:t>
            </w:r>
            <w:r>
              <w:rPr>
                <w:rFonts w:hint="eastAsia"/>
                <w:color w:val="auto"/>
                <w:kern w:val="2"/>
                <w:szCs w:val="22"/>
                <w:highlight w:val="none"/>
                <w:lang w:val="en-US" w:eastAsia="zh-CN"/>
              </w:rPr>
              <w:t>4</w:t>
            </w:r>
            <w:r>
              <w:rPr>
                <w:rFonts w:hint="eastAsia"/>
                <w:color w:val="auto"/>
                <w:kern w:val="2"/>
                <w:szCs w:val="22"/>
                <w:highlight w:val="none"/>
              </w:rPr>
              <w:t>分，同一高速公路项目不重复计分，最多加</w:t>
            </w:r>
            <w:r>
              <w:rPr>
                <w:rFonts w:hint="eastAsia"/>
                <w:color w:val="auto"/>
                <w:kern w:val="2"/>
                <w:szCs w:val="22"/>
                <w:highlight w:val="none"/>
                <w:lang w:val="en-US" w:eastAsia="zh-CN"/>
              </w:rPr>
              <w:t>16</w:t>
            </w:r>
            <w:r>
              <w:rPr>
                <w:rFonts w:hint="eastAsia"/>
                <w:color w:val="auto"/>
                <w:kern w:val="2"/>
                <w:szCs w:val="22"/>
                <w:highlight w:val="none"/>
              </w:rPr>
              <w:t>分。</w:t>
            </w:r>
          </w:p>
          <w:p>
            <w:pPr>
              <w:numPr>
                <w:ilvl w:val="0"/>
                <w:numId w:val="0"/>
              </w:numPr>
              <w:snapToGrid w:val="0"/>
              <w:spacing w:line="276" w:lineRule="auto"/>
              <w:ind w:firstLine="210" w:firstLineChars="100"/>
              <w:rPr>
                <w:rFonts w:hint="eastAsia"/>
                <w:color w:val="auto"/>
                <w:kern w:val="2"/>
                <w:szCs w:val="22"/>
                <w:highlight w:val="none"/>
              </w:rPr>
            </w:pPr>
          </w:p>
          <w:p>
            <w:pPr>
              <w:snapToGrid w:val="0"/>
              <w:spacing w:line="276" w:lineRule="auto"/>
              <w:rPr>
                <w:rFonts w:hint="eastAsia"/>
                <w:color w:val="auto"/>
                <w:kern w:val="2"/>
                <w:szCs w:val="22"/>
                <w:highlight w:val="none"/>
              </w:rPr>
            </w:pPr>
            <w:r>
              <w:rPr>
                <w:rFonts w:hint="eastAsia"/>
                <w:color w:val="auto"/>
                <w:kern w:val="2"/>
                <w:szCs w:val="22"/>
                <w:highlight w:val="none"/>
              </w:rPr>
              <w:t>（业绩分别满足以上①、②项的可以累计加分。加分业绩应满足招标文件第六章投标文件格式的相关要求，否则不予认可）</w:t>
            </w:r>
          </w:p>
        </w:tc>
      </w:tr>
      <w:tr>
        <w:tblPrEx>
          <w:tblCellMar>
            <w:top w:w="0" w:type="dxa"/>
            <w:left w:w="0" w:type="dxa"/>
            <w:bottom w:w="0" w:type="dxa"/>
            <w:right w:w="0" w:type="dxa"/>
          </w:tblCellMar>
        </w:tblPrEx>
        <w:trPr>
          <w:trHeight w:val="657" w:hRule="atLeast"/>
          <w:jc w:val="center"/>
        </w:trPr>
        <w:tc>
          <w:tcPr>
            <w:tcW w:w="5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sz w:val="24"/>
                <w:szCs w:val="24"/>
                <w:highlight w:val="none"/>
              </w:rPr>
            </w:pPr>
            <w:r>
              <w:rPr>
                <w:color w:val="auto"/>
                <w:kern w:val="2"/>
                <w:sz w:val="24"/>
                <w:szCs w:val="24"/>
                <w:highlight w:val="none"/>
              </w:rPr>
              <w:t>履约信誉</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r>
              <w:rPr>
                <w:rFonts w:hint="eastAsia"/>
                <w:color w:val="auto"/>
                <w:kern w:val="2"/>
                <w:highlight w:val="none"/>
              </w:rPr>
              <w:t>3</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sz w:val="24"/>
                <w:szCs w:val="24"/>
                <w:highlight w:val="none"/>
              </w:rPr>
            </w:pPr>
            <w:r>
              <w:rPr>
                <w:color w:val="auto"/>
                <w:kern w:val="2"/>
                <w:sz w:val="24"/>
                <w:szCs w:val="24"/>
                <w:highlight w:val="none"/>
              </w:rPr>
              <w:t>履约信誉</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highlight w:val="none"/>
              </w:rPr>
            </w:pPr>
            <w:r>
              <w:rPr>
                <w:rFonts w:hint="eastAsia"/>
                <w:color w:val="auto"/>
                <w:kern w:val="2"/>
                <w:highlight w:val="none"/>
              </w:rPr>
              <w:t>3</w:t>
            </w:r>
          </w:p>
        </w:tc>
        <w:tc>
          <w:tcPr>
            <w:tcW w:w="49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rFonts w:hint="eastAsia"/>
                <w:color w:val="auto"/>
                <w:kern w:val="2"/>
                <w:szCs w:val="22"/>
                <w:highlight w:val="none"/>
                <w:lang w:eastAsia="en-US"/>
              </w:rPr>
            </w:pPr>
            <w:r>
              <w:rPr>
                <w:rFonts w:hint="eastAsia"/>
                <w:color w:val="auto"/>
                <w:kern w:val="2"/>
                <w:szCs w:val="22"/>
                <w:highlight w:val="none"/>
                <w:lang w:eastAsia="en-US"/>
              </w:rPr>
              <w:t>参照贵州省交通运输厅关于印发《贵州省高速公路设计施工企业信用评价实施细则（试行）》的通知（黔交建设[2016]279号文件）和《关于高速公路设计施工企业信用评价结果引用的补充通知》（黔交建设[2016]291号文件）（可在贵州省交通运输厅网站信用等级www.qjt.gov.cn上查询）《交通运输部关于印发〈公路水运工程试检测信用评价办法〉的通知》交安监发〔2018〕78号中有关规定以及在“公路水运工程试验检测管理信息系统”上查询到的最新的试验检测信用评价结果确定信用等级。</w:t>
            </w:r>
          </w:p>
          <w:p>
            <w:pPr>
              <w:snapToGrid w:val="0"/>
              <w:spacing w:line="276" w:lineRule="auto"/>
              <w:rPr>
                <w:rFonts w:hint="eastAsia"/>
                <w:color w:val="auto"/>
                <w:kern w:val="2"/>
                <w:szCs w:val="22"/>
                <w:highlight w:val="none"/>
              </w:rPr>
            </w:pPr>
            <w:r>
              <w:rPr>
                <w:rFonts w:hint="eastAsia"/>
                <w:color w:val="auto"/>
                <w:kern w:val="2"/>
                <w:szCs w:val="22"/>
                <w:highlight w:val="none"/>
              </w:rPr>
              <w:t>按上述规定确定的最新信用等级评价，评价为 AA 级得 3 分；A 级得 1.5 分；B 级</w:t>
            </w:r>
            <w:r>
              <w:rPr>
                <w:rFonts w:hint="eastAsia"/>
                <w:color w:val="auto"/>
                <w:kern w:val="2"/>
                <w:szCs w:val="22"/>
                <w:highlight w:val="none"/>
                <w:lang w:eastAsia="zh-CN"/>
              </w:rPr>
              <w:t>、</w:t>
            </w:r>
            <w:r>
              <w:rPr>
                <w:rFonts w:hint="eastAsia"/>
                <w:color w:val="auto"/>
                <w:kern w:val="2"/>
                <w:szCs w:val="22"/>
                <w:highlight w:val="none"/>
                <w:lang w:val="en-US" w:eastAsia="zh-CN"/>
              </w:rPr>
              <w:t>C级</w:t>
            </w:r>
            <w:r>
              <w:rPr>
                <w:rFonts w:hint="eastAsia"/>
                <w:color w:val="auto"/>
                <w:kern w:val="2"/>
                <w:szCs w:val="22"/>
                <w:highlight w:val="none"/>
              </w:rPr>
              <w:t>得 0 分。</w:t>
            </w:r>
          </w:p>
        </w:tc>
      </w:tr>
      <w:tr>
        <w:tblPrEx>
          <w:tblCellMar>
            <w:top w:w="0" w:type="dxa"/>
            <w:left w:w="0" w:type="dxa"/>
            <w:bottom w:w="0" w:type="dxa"/>
            <w:right w:w="0" w:type="dxa"/>
          </w:tblCellMar>
        </w:tblPrEx>
        <w:trPr>
          <w:jc w:val="center"/>
        </w:trPr>
        <w:tc>
          <w:tcPr>
            <w:tcW w:w="5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rPr>
              <w:t>2.2.4（5）</w:t>
            </w:r>
          </w:p>
        </w:tc>
        <w:tc>
          <w:tcPr>
            <w:tcW w:w="7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rPr>
              <w:t>评标价</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rPr>
              <w:t>10</w:t>
            </w:r>
          </w:p>
        </w:tc>
        <w:tc>
          <w:tcPr>
            <w:tcW w:w="805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76" w:lineRule="auto"/>
              <w:rPr>
                <w:color w:val="auto"/>
                <w:kern w:val="2"/>
                <w:highlight w:val="none"/>
              </w:rPr>
            </w:pPr>
            <w:r>
              <w:rPr>
                <w:rFonts w:hint="eastAsia"/>
                <w:color w:val="auto"/>
                <w:kern w:val="2"/>
                <w:highlight w:val="none"/>
              </w:rPr>
              <w:t>（</w:t>
            </w:r>
            <w:r>
              <w:rPr>
                <w:color w:val="auto"/>
                <w:kern w:val="2"/>
                <w:highlight w:val="none"/>
              </w:rPr>
              <w:t>1</w:t>
            </w:r>
            <w:r>
              <w:rPr>
                <w:rFonts w:hint="eastAsia"/>
                <w:color w:val="auto"/>
                <w:kern w:val="2"/>
                <w:highlight w:val="none"/>
              </w:rPr>
              <w:t>）如果投标报价＞评标基准价，则投标报价得分</w:t>
            </w:r>
            <w:r>
              <w:rPr>
                <w:color w:val="auto"/>
                <w:kern w:val="2"/>
                <w:highlight w:val="none"/>
              </w:rPr>
              <w:t>=10-</w:t>
            </w:r>
            <w:r>
              <w:rPr>
                <w:rFonts w:hint="eastAsia"/>
                <w:color w:val="auto"/>
                <w:kern w:val="2"/>
                <w:highlight w:val="none"/>
              </w:rPr>
              <w:t>偏差</w:t>
            </w:r>
          </w:p>
          <w:p>
            <w:pPr>
              <w:snapToGrid w:val="0"/>
              <w:spacing w:line="276" w:lineRule="auto"/>
              <w:rPr>
                <w:color w:val="auto"/>
                <w:kern w:val="2"/>
                <w:highlight w:val="none"/>
              </w:rPr>
            </w:pPr>
            <w:r>
              <w:rPr>
                <w:rFonts w:hint="eastAsia"/>
                <w:color w:val="auto"/>
                <w:kern w:val="2"/>
                <w:highlight w:val="none"/>
              </w:rPr>
              <w:t>率</w:t>
            </w:r>
            <w:r>
              <w:rPr>
                <w:color w:val="auto"/>
                <w:kern w:val="2"/>
                <w:highlight w:val="none"/>
              </w:rPr>
              <w:t>×100×E1</w:t>
            </w:r>
            <w:r>
              <w:rPr>
                <w:rFonts w:hint="eastAsia"/>
                <w:color w:val="auto"/>
                <w:kern w:val="2"/>
                <w:highlight w:val="none"/>
              </w:rPr>
              <w:t>；</w:t>
            </w:r>
          </w:p>
          <w:p>
            <w:pPr>
              <w:snapToGrid w:val="0"/>
              <w:spacing w:line="276" w:lineRule="auto"/>
              <w:rPr>
                <w:color w:val="auto"/>
                <w:kern w:val="2"/>
                <w:highlight w:val="none"/>
              </w:rPr>
            </w:pPr>
            <w:r>
              <w:rPr>
                <w:rFonts w:hint="eastAsia"/>
                <w:color w:val="auto"/>
                <w:kern w:val="2"/>
                <w:highlight w:val="none"/>
              </w:rPr>
              <w:t>（</w:t>
            </w:r>
            <w:r>
              <w:rPr>
                <w:color w:val="auto"/>
                <w:kern w:val="2"/>
                <w:highlight w:val="none"/>
              </w:rPr>
              <w:t>2</w:t>
            </w:r>
            <w:r>
              <w:rPr>
                <w:rFonts w:hint="eastAsia"/>
                <w:color w:val="auto"/>
                <w:kern w:val="2"/>
                <w:highlight w:val="none"/>
              </w:rPr>
              <w:t>）如果投标报价</w:t>
            </w:r>
            <w:r>
              <w:rPr>
                <w:color w:val="auto"/>
                <w:kern w:val="2"/>
                <w:highlight w:val="none"/>
              </w:rPr>
              <w:t>≤</w:t>
            </w:r>
            <w:r>
              <w:rPr>
                <w:rFonts w:hint="eastAsia"/>
                <w:color w:val="auto"/>
                <w:kern w:val="2"/>
                <w:highlight w:val="none"/>
              </w:rPr>
              <w:t>评标基准价，且偏差率</w:t>
            </w:r>
            <w:r>
              <w:rPr>
                <w:color w:val="auto"/>
                <w:kern w:val="2"/>
                <w:highlight w:val="none"/>
              </w:rPr>
              <w:t>&gt;= -</w:t>
            </w:r>
            <w:r>
              <w:rPr>
                <w:rFonts w:hint="eastAsia"/>
                <w:color w:val="auto"/>
                <w:kern w:val="2"/>
                <w:highlight w:val="none"/>
              </w:rPr>
              <w:t>15</w:t>
            </w:r>
            <w:r>
              <w:rPr>
                <w:color w:val="auto"/>
                <w:kern w:val="2"/>
                <w:highlight w:val="none"/>
              </w:rPr>
              <w:t>%</w:t>
            </w:r>
            <w:r>
              <w:rPr>
                <w:rFonts w:hint="eastAsia"/>
                <w:color w:val="auto"/>
                <w:kern w:val="2"/>
                <w:highlight w:val="none"/>
              </w:rPr>
              <w:t>，则投标</w:t>
            </w:r>
          </w:p>
          <w:p>
            <w:pPr>
              <w:snapToGrid w:val="0"/>
              <w:spacing w:line="276" w:lineRule="auto"/>
              <w:rPr>
                <w:color w:val="auto"/>
                <w:kern w:val="2"/>
                <w:highlight w:val="none"/>
              </w:rPr>
            </w:pPr>
            <w:r>
              <w:rPr>
                <w:rFonts w:hint="eastAsia"/>
                <w:color w:val="auto"/>
                <w:kern w:val="2"/>
                <w:highlight w:val="none"/>
              </w:rPr>
              <w:t>报价得分</w:t>
            </w:r>
            <w:r>
              <w:rPr>
                <w:color w:val="auto"/>
                <w:kern w:val="2"/>
                <w:highlight w:val="none"/>
              </w:rPr>
              <w:t>=10+</w:t>
            </w:r>
            <w:r>
              <w:rPr>
                <w:rFonts w:hint="eastAsia"/>
                <w:color w:val="auto"/>
                <w:kern w:val="2"/>
                <w:highlight w:val="none"/>
              </w:rPr>
              <w:t>偏差率</w:t>
            </w:r>
            <w:r>
              <w:rPr>
                <w:color w:val="auto"/>
                <w:kern w:val="2"/>
                <w:highlight w:val="none"/>
              </w:rPr>
              <w:t>×100×E2</w:t>
            </w:r>
            <w:r>
              <w:rPr>
                <w:rFonts w:hint="eastAsia"/>
                <w:color w:val="auto"/>
                <w:kern w:val="2"/>
                <w:highlight w:val="none"/>
              </w:rPr>
              <w:t>；</w:t>
            </w:r>
          </w:p>
          <w:p>
            <w:pPr>
              <w:snapToGrid w:val="0"/>
              <w:spacing w:line="276" w:lineRule="auto"/>
              <w:rPr>
                <w:color w:val="auto"/>
                <w:kern w:val="2"/>
                <w:highlight w:val="none"/>
              </w:rPr>
            </w:pPr>
            <w:r>
              <w:rPr>
                <w:rFonts w:hint="eastAsia"/>
                <w:color w:val="auto"/>
                <w:kern w:val="2"/>
                <w:highlight w:val="none"/>
              </w:rPr>
              <w:t>（</w:t>
            </w:r>
            <w:r>
              <w:rPr>
                <w:color w:val="auto"/>
                <w:kern w:val="2"/>
                <w:highlight w:val="none"/>
              </w:rPr>
              <w:t>3</w:t>
            </w:r>
            <w:r>
              <w:rPr>
                <w:rFonts w:hint="eastAsia"/>
                <w:color w:val="auto"/>
                <w:kern w:val="2"/>
                <w:highlight w:val="none"/>
              </w:rPr>
              <w:t>）如果投标报价</w:t>
            </w:r>
            <w:r>
              <w:rPr>
                <w:color w:val="auto"/>
                <w:kern w:val="2"/>
                <w:highlight w:val="none"/>
              </w:rPr>
              <w:t>≤</w:t>
            </w:r>
            <w:r>
              <w:rPr>
                <w:rFonts w:hint="eastAsia"/>
                <w:color w:val="auto"/>
                <w:kern w:val="2"/>
                <w:highlight w:val="none"/>
              </w:rPr>
              <w:t>评标基准价，且偏差率</w:t>
            </w:r>
            <w:r>
              <w:rPr>
                <w:color w:val="auto"/>
                <w:kern w:val="2"/>
                <w:highlight w:val="none"/>
              </w:rPr>
              <w:t>&lt; -</w:t>
            </w:r>
            <w:r>
              <w:rPr>
                <w:rFonts w:hint="eastAsia"/>
                <w:color w:val="auto"/>
                <w:kern w:val="2"/>
                <w:highlight w:val="none"/>
              </w:rPr>
              <w:t>15</w:t>
            </w:r>
            <w:r>
              <w:rPr>
                <w:color w:val="auto"/>
                <w:kern w:val="2"/>
                <w:highlight w:val="none"/>
              </w:rPr>
              <w:t>%</w:t>
            </w:r>
            <w:r>
              <w:rPr>
                <w:rFonts w:hint="eastAsia"/>
                <w:color w:val="auto"/>
                <w:kern w:val="2"/>
                <w:highlight w:val="none"/>
              </w:rPr>
              <w:t>，则投标</w:t>
            </w:r>
          </w:p>
          <w:p>
            <w:pPr>
              <w:snapToGrid w:val="0"/>
              <w:spacing w:line="276" w:lineRule="auto"/>
              <w:rPr>
                <w:color w:val="auto"/>
                <w:kern w:val="2"/>
                <w:highlight w:val="none"/>
              </w:rPr>
            </w:pPr>
            <w:r>
              <w:rPr>
                <w:rFonts w:hint="eastAsia"/>
                <w:color w:val="auto"/>
                <w:kern w:val="2"/>
                <w:highlight w:val="none"/>
              </w:rPr>
              <w:t>报价得分</w:t>
            </w:r>
            <w:r>
              <w:rPr>
                <w:color w:val="auto"/>
                <w:kern w:val="2"/>
                <w:highlight w:val="none"/>
              </w:rPr>
              <w:t>=10+</w:t>
            </w:r>
            <w:r>
              <w:rPr>
                <w:rFonts w:hint="eastAsia"/>
                <w:color w:val="auto"/>
                <w:kern w:val="2"/>
                <w:highlight w:val="none"/>
              </w:rPr>
              <w:t>偏差率</w:t>
            </w:r>
            <w:r>
              <w:rPr>
                <w:color w:val="auto"/>
                <w:kern w:val="2"/>
                <w:highlight w:val="none"/>
              </w:rPr>
              <w:t>×100×E1</w:t>
            </w:r>
            <w:r>
              <w:rPr>
                <w:rFonts w:hint="eastAsia"/>
                <w:color w:val="auto"/>
                <w:kern w:val="2"/>
                <w:highlight w:val="none"/>
              </w:rPr>
              <w:t>；</w:t>
            </w:r>
          </w:p>
          <w:p>
            <w:pPr>
              <w:snapToGrid w:val="0"/>
              <w:spacing w:line="276" w:lineRule="auto"/>
              <w:rPr>
                <w:color w:val="auto"/>
                <w:kern w:val="2"/>
                <w:highlight w:val="none"/>
              </w:rPr>
            </w:pPr>
            <w:r>
              <w:rPr>
                <w:rFonts w:hint="eastAsia"/>
                <w:color w:val="auto"/>
                <w:kern w:val="2"/>
                <w:highlight w:val="none"/>
              </w:rPr>
              <w:t>其中：</w:t>
            </w:r>
            <w:r>
              <w:rPr>
                <w:color w:val="auto"/>
                <w:kern w:val="2"/>
                <w:highlight w:val="none"/>
              </w:rPr>
              <w:t xml:space="preserve"> E1=0.</w:t>
            </w:r>
            <w:r>
              <w:rPr>
                <w:rFonts w:hint="eastAsia"/>
                <w:color w:val="auto"/>
                <w:kern w:val="2"/>
                <w:highlight w:val="none"/>
              </w:rPr>
              <w:t>15；</w:t>
            </w:r>
            <w:r>
              <w:rPr>
                <w:color w:val="auto"/>
                <w:kern w:val="2"/>
                <w:highlight w:val="none"/>
              </w:rPr>
              <w:t xml:space="preserve"> E2=0.1</w:t>
            </w:r>
            <w:r>
              <w:rPr>
                <w:rFonts w:hint="eastAsia"/>
                <w:color w:val="auto"/>
                <w:kern w:val="2"/>
                <w:highlight w:val="none"/>
              </w:rPr>
              <w:t>。</w:t>
            </w:r>
          </w:p>
          <w:p>
            <w:pPr>
              <w:snapToGrid w:val="0"/>
              <w:spacing w:line="276" w:lineRule="auto"/>
              <w:rPr>
                <w:rFonts w:hint="eastAsia"/>
                <w:color w:val="auto"/>
                <w:kern w:val="2"/>
                <w:highlight w:val="none"/>
              </w:rPr>
            </w:pPr>
            <w:r>
              <w:rPr>
                <w:rFonts w:hint="eastAsia"/>
                <w:color w:val="auto"/>
                <w:kern w:val="2"/>
                <w:highlight w:val="none"/>
              </w:rPr>
              <w:t>投标报价得分最低为</w:t>
            </w:r>
            <w:r>
              <w:rPr>
                <w:color w:val="auto"/>
                <w:kern w:val="2"/>
                <w:highlight w:val="none"/>
              </w:rPr>
              <w:t xml:space="preserve">0 </w:t>
            </w:r>
            <w:r>
              <w:rPr>
                <w:rFonts w:hint="eastAsia"/>
                <w:color w:val="auto"/>
                <w:kern w:val="2"/>
                <w:highlight w:val="none"/>
              </w:rPr>
              <w:t>分。保留两位小数。</w:t>
            </w:r>
          </w:p>
          <w:p>
            <w:pPr>
              <w:snapToGrid w:val="0"/>
              <w:spacing w:line="276" w:lineRule="auto"/>
              <w:rPr>
                <w:rFonts w:hint="eastAsia"/>
                <w:color w:val="auto"/>
                <w:kern w:val="2"/>
                <w:highlight w:val="none"/>
              </w:rPr>
            </w:pPr>
            <w:r>
              <w:rPr>
                <w:rFonts w:hint="eastAsia"/>
                <w:color w:val="auto"/>
                <w:kern w:val="2"/>
                <w:highlight w:val="none"/>
              </w:rPr>
              <w:t>（4）投标报价高于投标限价的，投标报价得分为0分。</w:t>
            </w:r>
          </w:p>
        </w:tc>
      </w:tr>
    </w:tbl>
    <w:p>
      <w:pPr>
        <w:snapToGrid w:val="0"/>
        <w:rPr>
          <w:b/>
          <w:color w:val="auto"/>
          <w:kern w:val="2"/>
          <w:sz w:val="24"/>
          <w:highlight w:val="none"/>
        </w:rPr>
      </w:pPr>
    </w:p>
    <w:p>
      <w:pPr>
        <w:snapToGrid w:val="0"/>
        <w:rPr>
          <w:color w:val="auto"/>
          <w:kern w:val="2"/>
          <w:highlight w:val="none"/>
        </w:rPr>
      </w:pPr>
    </w:p>
    <w:p>
      <w:pPr>
        <w:snapToGrid w:val="0"/>
        <w:spacing w:line="276" w:lineRule="auto"/>
        <w:rPr>
          <w:color w:val="auto"/>
          <w:kern w:val="2"/>
          <w:sz w:val="24"/>
          <w:highlight w:val="none"/>
        </w:rPr>
      </w:pPr>
      <w:r>
        <w:rPr>
          <w:color w:val="auto"/>
          <w:kern w:val="2"/>
          <w:highlight w:val="none"/>
        </w:rPr>
        <w:br w:type="page"/>
      </w:r>
      <w:r>
        <w:rPr>
          <w:rFonts w:hint="eastAsia"/>
          <w:color w:val="auto"/>
          <w:kern w:val="2"/>
          <w:sz w:val="24"/>
          <w:highlight w:val="none"/>
        </w:rPr>
        <w:t>1评标方法</w:t>
      </w:r>
    </w:p>
    <w:p>
      <w:pPr>
        <w:widowControl/>
        <w:snapToGrid w:val="0"/>
        <w:spacing w:line="360" w:lineRule="auto"/>
        <w:ind w:firstLine="480"/>
        <w:rPr>
          <w:color w:val="auto"/>
          <w:kern w:val="2"/>
          <w:sz w:val="24"/>
          <w:highlight w:val="none"/>
        </w:rPr>
      </w:pPr>
      <w:r>
        <w:rPr>
          <w:rFonts w:hint="eastAsia"/>
          <w:color w:val="auto"/>
          <w:kern w:val="2"/>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widowControl/>
        <w:snapToGrid w:val="0"/>
        <w:spacing w:line="360" w:lineRule="auto"/>
        <w:rPr>
          <w:color w:val="auto"/>
          <w:kern w:val="2"/>
          <w:sz w:val="24"/>
          <w:highlight w:val="none"/>
        </w:rPr>
      </w:pPr>
      <w:r>
        <w:rPr>
          <w:rFonts w:hint="eastAsia"/>
          <w:color w:val="auto"/>
          <w:kern w:val="2"/>
          <w:sz w:val="24"/>
          <w:highlight w:val="none"/>
        </w:rPr>
        <w:t>2评审标准</w:t>
      </w:r>
    </w:p>
    <w:p>
      <w:pPr>
        <w:widowControl/>
        <w:snapToGrid w:val="0"/>
        <w:spacing w:line="360" w:lineRule="auto"/>
        <w:rPr>
          <w:color w:val="auto"/>
          <w:kern w:val="2"/>
          <w:sz w:val="24"/>
          <w:highlight w:val="none"/>
        </w:rPr>
      </w:pPr>
      <w:r>
        <w:rPr>
          <w:rFonts w:hint="eastAsia"/>
          <w:color w:val="auto"/>
          <w:kern w:val="2"/>
          <w:sz w:val="24"/>
          <w:highlight w:val="none"/>
        </w:rPr>
        <w:t>2.1初步评审标准</w:t>
      </w:r>
    </w:p>
    <w:p>
      <w:pPr>
        <w:widowControl/>
        <w:snapToGrid w:val="0"/>
        <w:spacing w:line="360" w:lineRule="auto"/>
        <w:ind w:firstLine="480"/>
        <w:rPr>
          <w:color w:val="auto"/>
          <w:kern w:val="2"/>
          <w:sz w:val="24"/>
          <w:highlight w:val="none"/>
        </w:rPr>
      </w:pPr>
      <w:r>
        <w:rPr>
          <w:color w:val="auto"/>
          <w:kern w:val="2"/>
          <w:sz w:val="24"/>
          <w:highlight w:val="none"/>
        </w:rPr>
        <w:t>2.1.1</w:t>
      </w:r>
      <w:r>
        <w:rPr>
          <w:rFonts w:hint="eastAsia"/>
          <w:color w:val="auto"/>
          <w:kern w:val="2"/>
          <w:sz w:val="24"/>
          <w:highlight w:val="none"/>
        </w:rPr>
        <w:t>形式评审与响应性评审标准</w:t>
      </w:r>
    </w:p>
    <w:p>
      <w:pPr>
        <w:snapToGrid w:val="0"/>
        <w:ind w:firstLine="480"/>
        <w:rPr>
          <w:color w:val="auto"/>
          <w:kern w:val="2"/>
          <w:sz w:val="24"/>
          <w:highlight w:val="none"/>
        </w:rPr>
      </w:pPr>
      <w:r>
        <w:rPr>
          <w:rFonts w:hint="eastAsia"/>
          <w:color w:val="auto"/>
          <w:kern w:val="2"/>
          <w:sz w:val="24"/>
          <w:highlight w:val="none"/>
        </w:rPr>
        <w:t>2.1.2资格评审标准:见评标办法前附表(适用于未进行资格预</w:t>
      </w:r>
      <w:r>
        <w:rPr>
          <w:rFonts w:hint="eastAsia"/>
          <w:color w:val="auto"/>
          <w:kern w:val="2"/>
          <w:highlight w:val="none"/>
        </w:rPr>
        <w:t>招标人确定扣分分值，</w:t>
      </w:r>
      <w:r>
        <w:rPr>
          <w:rFonts w:hint="eastAsia"/>
          <w:color w:val="auto"/>
          <w:kern w:val="2"/>
          <w:sz w:val="24"/>
          <w:highlight w:val="none"/>
        </w:rPr>
        <w:t>审的)。</w:t>
      </w:r>
    </w:p>
    <w:p>
      <w:pPr>
        <w:widowControl/>
        <w:snapToGrid w:val="0"/>
        <w:spacing w:line="360" w:lineRule="auto"/>
        <w:ind w:firstLine="480"/>
        <w:rPr>
          <w:color w:val="auto"/>
          <w:kern w:val="2"/>
          <w:sz w:val="24"/>
          <w:highlight w:val="none"/>
        </w:rPr>
      </w:pPr>
      <w:r>
        <w:rPr>
          <w:color w:val="auto"/>
          <w:kern w:val="2"/>
          <w:sz w:val="24"/>
          <w:highlight w:val="none"/>
        </w:rPr>
        <w:t>2.1.3</w:t>
      </w:r>
    </w:p>
    <w:p>
      <w:pPr>
        <w:widowControl/>
        <w:snapToGrid w:val="0"/>
        <w:spacing w:line="360" w:lineRule="auto"/>
        <w:rPr>
          <w:color w:val="auto"/>
          <w:kern w:val="2"/>
          <w:sz w:val="24"/>
          <w:highlight w:val="none"/>
        </w:rPr>
      </w:pPr>
      <w:r>
        <w:rPr>
          <w:rFonts w:hint="eastAsia"/>
          <w:color w:val="auto"/>
          <w:kern w:val="2"/>
          <w:sz w:val="24"/>
          <w:highlight w:val="none"/>
        </w:rPr>
        <w:t>2.2分值构成与评分标准</w:t>
      </w:r>
    </w:p>
    <w:p>
      <w:pPr>
        <w:widowControl/>
        <w:snapToGrid w:val="0"/>
        <w:spacing w:line="360" w:lineRule="auto"/>
        <w:ind w:firstLine="480"/>
        <w:rPr>
          <w:color w:val="auto"/>
          <w:kern w:val="2"/>
          <w:sz w:val="24"/>
          <w:highlight w:val="none"/>
        </w:rPr>
      </w:pPr>
      <w:r>
        <w:rPr>
          <w:rFonts w:hint="eastAsia"/>
          <w:color w:val="auto"/>
          <w:kern w:val="2"/>
          <w:sz w:val="24"/>
          <w:highlight w:val="none"/>
        </w:rPr>
        <w:t>2.2.1分值构成</w:t>
      </w:r>
    </w:p>
    <w:p>
      <w:pPr>
        <w:widowControl/>
        <w:snapToGrid w:val="0"/>
        <w:spacing w:line="360" w:lineRule="auto"/>
        <w:ind w:firstLine="480"/>
        <w:rPr>
          <w:color w:val="auto"/>
          <w:kern w:val="2"/>
          <w:sz w:val="24"/>
          <w:highlight w:val="none"/>
        </w:rPr>
      </w:pPr>
      <w:r>
        <w:rPr>
          <w:rFonts w:hint="eastAsia"/>
          <w:color w:val="auto"/>
          <w:kern w:val="2"/>
          <w:sz w:val="24"/>
          <w:highlight w:val="none"/>
        </w:rPr>
        <w:t>(1)技术建议书:见评标办法前附表；</w:t>
      </w:r>
    </w:p>
    <w:p>
      <w:pPr>
        <w:widowControl/>
        <w:snapToGrid w:val="0"/>
        <w:spacing w:line="360" w:lineRule="auto"/>
        <w:ind w:firstLine="480"/>
        <w:rPr>
          <w:color w:val="auto"/>
          <w:kern w:val="2"/>
          <w:sz w:val="24"/>
          <w:highlight w:val="none"/>
        </w:rPr>
      </w:pPr>
      <w:r>
        <w:rPr>
          <w:rFonts w:hint="eastAsia"/>
          <w:color w:val="auto"/>
          <w:kern w:val="2"/>
          <w:sz w:val="24"/>
          <w:highlight w:val="none"/>
        </w:rPr>
        <w:t>(2)主要人员:见评标办法前附表；</w:t>
      </w:r>
    </w:p>
    <w:p>
      <w:pPr>
        <w:widowControl/>
        <w:snapToGrid w:val="0"/>
        <w:spacing w:line="360" w:lineRule="auto"/>
        <w:ind w:firstLine="480"/>
        <w:rPr>
          <w:color w:val="auto"/>
          <w:kern w:val="2"/>
          <w:sz w:val="24"/>
          <w:highlight w:val="none"/>
        </w:rPr>
      </w:pPr>
      <w:r>
        <w:rPr>
          <w:rFonts w:hint="eastAsia"/>
          <w:color w:val="auto"/>
          <w:kern w:val="2"/>
          <w:sz w:val="24"/>
          <w:highlight w:val="none"/>
        </w:rPr>
        <w:t>(3)评标价:见评标办法前附表；</w:t>
      </w:r>
    </w:p>
    <w:p>
      <w:pPr>
        <w:widowControl/>
        <w:snapToGrid w:val="0"/>
        <w:spacing w:line="360" w:lineRule="auto"/>
        <w:ind w:firstLine="480"/>
        <w:rPr>
          <w:color w:val="auto"/>
          <w:kern w:val="2"/>
          <w:sz w:val="24"/>
          <w:highlight w:val="none"/>
        </w:rPr>
      </w:pPr>
      <w:r>
        <w:rPr>
          <w:rFonts w:hint="eastAsia"/>
          <w:color w:val="auto"/>
          <w:kern w:val="2"/>
          <w:sz w:val="24"/>
          <w:highlight w:val="none"/>
        </w:rPr>
        <w:t>(4)其他评分因素:见评标办法前附表。</w:t>
      </w:r>
    </w:p>
    <w:p>
      <w:pPr>
        <w:widowControl/>
        <w:snapToGrid w:val="0"/>
        <w:spacing w:line="360" w:lineRule="auto"/>
        <w:ind w:firstLine="480"/>
        <w:rPr>
          <w:color w:val="auto"/>
          <w:kern w:val="2"/>
          <w:sz w:val="24"/>
          <w:highlight w:val="none"/>
        </w:rPr>
      </w:pPr>
      <w:r>
        <w:rPr>
          <w:rFonts w:hint="eastAsia"/>
          <w:color w:val="auto"/>
          <w:kern w:val="2"/>
          <w:sz w:val="24"/>
          <w:highlight w:val="none"/>
        </w:rPr>
        <w:t>2.2.2评标基准价计算</w:t>
      </w:r>
    </w:p>
    <w:p>
      <w:pPr>
        <w:widowControl/>
        <w:snapToGrid w:val="0"/>
        <w:spacing w:line="360" w:lineRule="auto"/>
        <w:ind w:firstLine="480"/>
        <w:rPr>
          <w:color w:val="auto"/>
          <w:kern w:val="2"/>
          <w:sz w:val="24"/>
          <w:highlight w:val="none"/>
        </w:rPr>
      </w:pPr>
      <w:r>
        <w:rPr>
          <w:rFonts w:hint="eastAsia"/>
          <w:color w:val="auto"/>
          <w:kern w:val="2"/>
          <w:sz w:val="24"/>
          <w:highlight w:val="none"/>
        </w:rPr>
        <w:t>2.2.3评标价的偏差率计算</w:t>
      </w:r>
    </w:p>
    <w:p>
      <w:pPr>
        <w:widowControl/>
        <w:snapToGrid w:val="0"/>
        <w:spacing w:line="360" w:lineRule="auto"/>
        <w:ind w:firstLine="1080"/>
        <w:rPr>
          <w:color w:val="auto"/>
          <w:kern w:val="2"/>
          <w:sz w:val="24"/>
          <w:highlight w:val="none"/>
        </w:rPr>
      </w:pPr>
      <w:r>
        <w:rPr>
          <w:rFonts w:hint="eastAsia"/>
          <w:color w:val="auto"/>
          <w:kern w:val="2"/>
          <w:sz w:val="24"/>
          <w:highlight w:val="none"/>
        </w:rPr>
        <w:t>评标价的偏差率计算公式:见评标办法前附表。</w:t>
      </w:r>
    </w:p>
    <w:p>
      <w:pPr>
        <w:widowControl/>
        <w:snapToGrid w:val="0"/>
        <w:spacing w:line="360" w:lineRule="auto"/>
        <w:ind w:firstLine="480"/>
        <w:rPr>
          <w:color w:val="auto"/>
          <w:kern w:val="2"/>
          <w:sz w:val="24"/>
          <w:highlight w:val="none"/>
        </w:rPr>
      </w:pPr>
      <w:r>
        <w:rPr>
          <w:rFonts w:hint="eastAsia"/>
          <w:color w:val="auto"/>
          <w:kern w:val="2"/>
          <w:sz w:val="24"/>
          <w:highlight w:val="none"/>
        </w:rPr>
        <w:t>2.2.4评分标准</w:t>
      </w:r>
    </w:p>
    <w:p>
      <w:pPr>
        <w:widowControl/>
        <w:snapToGrid w:val="0"/>
        <w:spacing w:line="360" w:lineRule="auto"/>
        <w:ind w:firstLine="480"/>
        <w:rPr>
          <w:color w:val="auto"/>
          <w:kern w:val="2"/>
          <w:sz w:val="24"/>
          <w:highlight w:val="none"/>
        </w:rPr>
      </w:pPr>
      <w:r>
        <w:rPr>
          <w:rFonts w:hint="eastAsia"/>
          <w:color w:val="auto"/>
          <w:kern w:val="2"/>
          <w:sz w:val="24"/>
          <w:highlight w:val="none"/>
        </w:rPr>
        <w:t>(1)技术建议书评分标准:见评标办法前附表；</w:t>
      </w:r>
    </w:p>
    <w:p>
      <w:pPr>
        <w:widowControl/>
        <w:snapToGrid w:val="0"/>
        <w:spacing w:line="360" w:lineRule="auto"/>
        <w:ind w:firstLine="480"/>
        <w:rPr>
          <w:color w:val="auto"/>
          <w:kern w:val="2"/>
          <w:sz w:val="24"/>
          <w:highlight w:val="none"/>
        </w:rPr>
      </w:pPr>
      <w:r>
        <w:rPr>
          <w:rFonts w:hint="eastAsia"/>
          <w:color w:val="auto"/>
          <w:kern w:val="2"/>
          <w:sz w:val="24"/>
          <w:highlight w:val="none"/>
        </w:rPr>
        <w:t>(2)主要人员评分标准:见评标办法前附表；</w:t>
      </w:r>
    </w:p>
    <w:p>
      <w:pPr>
        <w:widowControl/>
        <w:snapToGrid w:val="0"/>
        <w:spacing w:line="360" w:lineRule="auto"/>
        <w:ind w:firstLine="480"/>
        <w:rPr>
          <w:color w:val="auto"/>
          <w:kern w:val="2"/>
          <w:sz w:val="24"/>
          <w:highlight w:val="none"/>
        </w:rPr>
      </w:pPr>
      <w:r>
        <w:rPr>
          <w:rFonts w:hint="eastAsia"/>
          <w:color w:val="auto"/>
          <w:kern w:val="2"/>
          <w:sz w:val="24"/>
          <w:highlight w:val="none"/>
        </w:rPr>
        <w:t>(3)评标价评分标准:见评标办法前附表；</w:t>
      </w:r>
    </w:p>
    <w:p>
      <w:pPr>
        <w:widowControl/>
        <w:snapToGrid w:val="0"/>
        <w:spacing w:line="360" w:lineRule="auto"/>
        <w:ind w:firstLine="480"/>
        <w:rPr>
          <w:color w:val="auto"/>
          <w:kern w:val="2"/>
          <w:sz w:val="24"/>
          <w:highlight w:val="none"/>
        </w:rPr>
      </w:pPr>
      <w:r>
        <w:rPr>
          <w:rFonts w:hint="eastAsia"/>
          <w:color w:val="auto"/>
          <w:kern w:val="2"/>
          <w:sz w:val="24"/>
          <w:highlight w:val="none"/>
        </w:rPr>
        <w:t>(4)其他因素评分标准:见评标办法前附表。</w:t>
      </w:r>
    </w:p>
    <w:p>
      <w:pPr>
        <w:widowControl/>
        <w:snapToGrid w:val="0"/>
        <w:spacing w:line="360" w:lineRule="auto"/>
        <w:rPr>
          <w:color w:val="auto"/>
          <w:kern w:val="2"/>
          <w:sz w:val="24"/>
          <w:highlight w:val="none"/>
        </w:rPr>
      </w:pPr>
      <w:r>
        <w:rPr>
          <w:rFonts w:hint="eastAsia"/>
          <w:color w:val="auto"/>
          <w:kern w:val="2"/>
          <w:sz w:val="24"/>
          <w:highlight w:val="none"/>
        </w:rPr>
        <w:t>3评标程序</w:t>
      </w:r>
    </w:p>
    <w:p>
      <w:pPr>
        <w:widowControl/>
        <w:snapToGrid w:val="0"/>
        <w:spacing w:line="360" w:lineRule="auto"/>
        <w:rPr>
          <w:color w:val="auto"/>
          <w:kern w:val="2"/>
          <w:sz w:val="24"/>
          <w:highlight w:val="none"/>
        </w:rPr>
      </w:pPr>
      <w:r>
        <w:rPr>
          <w:rFonts w:hint="eastAsia"/>
          <w:color w:val="auto"/>
          <w:kern w:val="2"/>
          <w:sz w:val="24"/>
          <w:highlight w:val="none"/>
        </w:rPr>
        <w:t>3.1第一个信封初步评审</w:t>
      </w:r>
    </w:p>
    <w:p>
      <w:pPr>
        <w:widowControl/>
        <w:snapToGrid w:val="0"/>
        <w:spacing w:line="360" w:lineRule="auto"/>
        <w:ind w:firstLine="480"/>
        <w:rPr>
          <w:color w:val="auto"/>
          <w:kern w:val="2"/>
          <w:sz w:val="24"/>
          <w:highlight w:val="none"/>
        </w:rPr>
      </w:pPr>
      <w:r>
        <w:rPr>
          <w:rFonts w:hint="eastAsia"/>
          <w:color w:val="auto"/>
          <w:kern w:val="2"/>
          <w:sz w:val="24"/>
          <w:highlight w:val="none"/>
        </w:rPr>
        <w:t>3.1.1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w:t>
      </w:r>
    </w:p>
    <w:p>
      <w:pPr>
        <w:widowControl/>
        <w:snapToGrid w:val="0"/>
        <w:spacing w:line="360" w:lineRule="auto"/>
        <w:rPr>
          <w:color w:val="auto"/>
          <w:kern w:val="2"/>
          <w:sz w:val="24"/>
          <w:highlight w:val="none"/>
        </w:rPr>
      </w:pPr>
      <w:r>
        <w:rPr>
          <w:rFonts w:hint="eastAsia"/>
          <w:color w:val="auto"/>
          <w:kern w:val="2"/>
          <w:sz w:val="24"/>
          <w:highlight w:val="none"/>
        </w:rPr>
        <w:t>3.2第一个信封详细评审</w:t>
      </w:r>
    </w:p>
    <w:p>
      <w:pPr>
        <w:widowControl/>
        <w:snapToGrid w:val="0"/>
        <w:spacing w:line="360" w:lineRule="auto"/>
        <w:ind w:firstLine="480"/>
        <w:rPr>
          <w:color w:val="auto"/>
          <w:kern w:val="2"/>
          <w:sz w:val="24"/>
          <w:highlight w:val="none"/>
        </w:rPr>
      </w:pPr>
      <w:r>
        <w:rPr>
          <w:rFonts w:hint="eastAsia"/>
          <w:color w:val="auto"/>
          <w:kern w:val="2"/>
          <w:sz w:val="24"/>
          <w:highlight w:val="none"/>
        </w:rPr>
        <w:t>3.2.1评标委员会按本章第2.2款规定的量化因素和分值进行打分，并计算出各投标人的商务和技术得分。</w:t>
      </w:r>
    </w:p>
    <w:p>
      <w:pPr>
        <w:widowControl/>
        <w:snapToGrid w:val="0"/>
        <w:spacing w:line="360" w:lineRule="auto"/>
        <w:ind w:firstLine="480"/>
        <w:rPr>
          <w:color w:val="auto"/>
          <w:kern w:val="2"/>
          <w:sz w:val="24"/>
          <w:highlight w:val="none"/>
        </w:rPr>
      </w:pPr>
      <w:r>
        <w:rPr>
          <w:rFonts w:hint="eastAsia"/>
          <w:color w:val="auto"/>
          <w:kern w:val="2"/>
          <w:sz w:val="24"/>
          <w:highlight w:val="none"/>
        </w:rPr>
        <w:t>(1)按本章第2.2.4项(1)目规定的评审因素和分值对技术建议书部分计算出得分A；</w:t>
      </w:r>
    </w:p>
    <w:p>
      <w:pPr>
        <w:widowControl/>
        <w:snapToGrid w:val="0"/>
        <w:spacing w:line="360" w:lineRule="auto"/>
        <w:ind w:firstLine="480"/>
        <w:rPr>
          <w:color w:val="auto"/>
          <w:kern w:val="2"/>
          <w:sz w:val="24"/>
          <w:highlight w:val="none"/>
        </w:rPr>
      </w:pPr>
      <w:r>
        <w:rPr>
          <w:rFonts w:hint="eastAsia"/>
          <w:color w:val="auto"/>
          <w:kern w:val="2"/>
          <w:sz w:val="24"/>
          <w:highlight w:val="none"/>
        </w:rPr>
        <w:t>(2)按本章第2.2.4项(2)目规定的评审因素和分值对主要人员部分计算出得分B；</w:t>
      </w:r>
    </w:p>
    <w:p>
      <w:pPr>
        <w:widowControl/>
        <w:snapToGrid w:val="0"/>
        <w:spacing w:line="360" w:lineRule="auto"/>
        <w:ind w:firstLine="480"/>
        <w:rPr>
          <w:color w:val="auto"/>
          <w:kern w:val="2"/>
          <w:sz w:val="24"/>
          <w:highlight w:val="none"/>
        </w:rPr>
      </w:pPr>
      <w:r>
        <w:rPr>
          <w:rFonts w:hint="eastAsia"/>
          <w:color w:val="auto"/>
          <w:kern w:val="2"/>
          <w:sz w:val="24"/>
          <w:highlight w:val="none"/>
        </w:rPr>
        <w:t>(3)按本章第2.2.4项(4)目规定的评审因素和分值对其他部分计算出得分D。</w:t>
      </w:r>
    </w:p>
    <w:p>
      <w:pPr>
        <w:widowControl/>
        <w:snapToGrid w:val="0"/>
        <w:spacing w:line="360" w:lineRule="auto"/>
        <w:ind w:firstLine="480"/>
        <w:rPr>
          <w:color w:val="auto"/>
          <w:kern w:val="2"/>
          <w:sz w:val="24"/>
          <w:highlight w:val="none"/>
        </w:rPr>
      </w:pPr>
      <w:r>
        <w:rPr>
          <w:rFonts w:hint="eastAsia"/>
          <w:color w:val="auto"/>
          <w:kern w:val="2"/>
          <w:sz w:val="24"/>
          <w:highlight w:val="none"/>
        </w:rPr>
        <w:t>3.2.2投标人的商务和技术得分分值计算保留小数点后两位，小数点后第三位“四舍五入”。</w:t>
      </w:r>
    </w:p>
    <w:p>
      <w:pPr>
        <w:widowControl/>
        <w:snapToGrid w:val="0"/>
        <w:spacing w:line="360" w:lineRule="auto"/>
        <w:ind w:firstLine="480"/>
        <w:rPr>
          <w:color w:val="auto"/>
          <w:kern w:val="2"/>
          <w:sz w:val="24"/>
          <w:highlight w:val="none"/>
        </w:rPr>
      </w:pPr>
      <w:r>
        <w:rPr>
          <w:rFonts w:hint="eastAsia"/>
          <w:color w:val="auto"/>
          <w:kern w:val="2"/>
          <w:sz w:val="24"/>
          <w:highlight w:val="none"/>
        </w:rPr>
        <w:t>3.2.3投标人的商务和技术得分=A+B+D。</w:t>
      </w:r>
    </w:p>
    <w:p>
      <w:pPr>
        <w:widowControl/>
        <w:snapToGrid w:val="0"/>
        <w:spacing w:line="360" w:lineRule="auto"/>
        <w:rPr>
          <w:color w:val="auto"/>
          <w:kern w:val="2"/>
          <w:sz w:val="24"/>
          <w:highlight w:val="none"/>
        </w:rPr>
      </w:pPr>
      <w:r>
        <w:rPr>
          <w:rFonts w:hint="eastAsia"/>
          <w:color w:val="auto"/>
          <w:kern w:val="2"/>
          <w:sz w:val="24"/>
          <w:highlight w:val="none"/>
        </w:rPr>
        <w:t>3.3第二个信封开标</w:t>
      </w:r>
    </w:p>
    <w:p>
      <w:pPr>
        <w:widowControl/>
        <w:snapToGrid w:val="0"/>
        <w:spacing w:line="360" w:lineRule="auto"/>
        <w:ind w:firstLine="480"/>
        <w:rPr>
          <w:color w:val="auto"/>
          <w:kern w:val="2"/>
          <w:sz w:val="24"/>
          <w:highlight w:val="none"/>
        </w:rPr>
      </w:pPr>
      <w:r>
        <w:rPr>
          <w:rFonts w:hint="eastAsia"/>
          <w:color w:val="auto"/>
          <w:kern w:val="2"/>
          <w:sz w:val="24"/>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pPr>
        <w:widowControl/>
        <w:snapToGrid w:val="0"/>
        <w:spacing w:line="360" w:lineRule="auto"/>
        <w:rPr>
          <w:color w:val="auto"/>
          <w:kern w:val="2"/>
          <w:sz w:val="24"/>
          <w:highlight w:val="none"/>
        </w:rPr>
      </w:pPr>
      <w:r>
        <w:rPr>
          <w:rFonts w:hint="eastAsia"/>
          <w:color w:val="auto"/>
          <w:kern w:val="2"/>
          <w:sz w:val="24"/>
          <w:highlight w:val="none"/>
        </w:rPr>
        <w:t>3.4第二个信封初步评审</w:t>
      </w:r>
    </w:p>
    <w:p>
      <w:pPr>
        <w:widowControl/>
        <w:snapToGrid w:val="0"/>
        <w:spacing w:line="360" w:lineRule="auto"/>
        <w:ind w:firstLine="480"/>
        <w:rPr>
          <w:color w:val="auto"/>
          <w:kern w:val="2"/>
          <w:sz w:val="24"/>
          <w:highlight w:val="none"/>
        </w:rPr>
      </w:pPr>
      <w:r>
        <w:rPr>
          <w:rFonts w:hint="eastAsia"/>
          <w:color w:val="auto"/>
          <w:kern w:val="2"/>
          <w:sz w:val="24"/>
          <w:highlight w:val="none"/>
        </w:rPr>
        <w:t>3.4.1评标委员会依据本章第2.1.1项、第2.1.3项规定的评审标准对投标文件第二个信封(报价文件)进行初步评审。有一项不符合评审标准的，评标委员会应否决其投标。</w:t>
      </w:r>
    </w:p>
    <w:p>
      <w:pPr>
        <w:widowControl/>
        <w:snapToGrid w:val="0"/>
        <w:spacing w:line="360" w:lineRule="auto"/>
        <w:ind w:firstLine="480"/>
        <w:rPr>
          <w:color w:val="auto"/>
          <w:kern w:val="2"/>
          <w:sz w:val="24"/>
          <w:highlight w:val="none"/>
        </w:rPr>
      </w:pPr>
      <w:r>
        <w:rPr>
          <w:rFonts w:hint="eastAsia"/>
          <w:color w:val="auto"/>
          <w:kern w:val="2"/>
          <w:sz w:val="24"/>
          <w:highlight w:val="none"/>
        </w:rPr>
        <w:t>3.4.2投标报价有算术错误的，评标委员会按以下原则对投标报价进行修正，修正的价格经投标人书面确认后具有约束力。投标人不接受修正价格的，评标委员会应否决其投标。</w:t>
      </w:r>
    </w:p>
    <w:p>
      <w:pPr>
        <w:widowControl/>
        <w:snapToGrid w:val="0"/>
        <w:spacing w:line="360" w:lineRule="auto"/>
        <w:ind w:firstLine="480"/>
        <w:rPr>
          <w:color w:val="auto"/>
          <w:kern w:val="2"/>
          <w:sz w:val="24"/>
          <w:highlight w:val="none"/>
        </w:rPr>
      </w:pPr>
      <w:r>
        <w:rPr>
          <w:rFonts w:hint="eastAsia"/>
          <w:color w:val="auto"/>
          <w:kern w:val="2"/>
          <w:sz w:val="24"/>
          <w:highlight w:val="none"/>
        </w:rPr>
        <w:t>(1)投标文件中的大写金额与小写金额不一致的，以大写金额为准；</w:t>
      </w:r>
    </w:p>
    <w:p>
      <w:pPr>
        <w:widowControl/>
        <w:snapToGrid w:val="0"/>
        <w:spacing w:line="360" w:lineRule="auto"/>
        <w:ind w:firstLine="480"/>
        <w:rPr>
          <w:color w:val="auto"/>
          <w:kern w:val="2"/>
          <w:sz w:val="24"/>
          <w:highlight w:val="none"/>
        </w:rPr>
      </w:pPr>
      <w:r>
        <w:rPr>
          <w:rFonts w:hint="eastAsia"/>
          <w:color w:val="auto"/>
          <w:kern w:val="2"/>
          <w:sz w:val="24"/>
          <w:highlight w:val="none"/>
        </w:rPr>
        <w:t>(2)总价金额与依据单价计算出的结果不一致的，以单价金额为准修正总价，但单价金额小数点有明显错误的除外；</w:t>
      </w:r>
    </w:p>
    <w:p>
      <w:pPr>
        <w:widowControl/>
        <w:snapToGrid w:val="0"/>
        <w:spacing w:line="360" w:lineRule="auto"/>
        <w:ind w:firstLine="480"/>
        <w:rPr>
          <w:color w:val="auto"/>
          <w:kern w:val="2"/>
          <w:sz w:val="24"/>
          <w:highlight w:val="none"/>
        </w:rPr>
      </w:pPr>
      <w:r>
        <w:rPr>
          <w:rFonts w:hint="eastAsia"/>
          <w:color w:val="auto"/>
          <w:kern w:val="2"/>
          <w:sz w:val="24"/>
          <w:highlight w:val="none"/>
        </w:rPr>
        <w:t>(3)当单价与数量相乘不等于合价时，以单价计算为准，如果单价有明显的小数点位置差错，应以标出的合价为准，同时对单价予以修正:</w:t>
      </w:r>
    </w:p>
    <w:p>
      <w:pPr>
        <w:widowControl/>
        <w:snapToGrid w:val="0"/>
        <w:spacing w:line="360" w:lineRule="auto"/>
        <w:ind w:firstLine="480"/>
        <w:rPr>
          <w:color w:val="auto"/>
          <w:kern w:val="2"/>
          <w:sz w:val="24"/>
          <w:highlight w:val="none"/>
        </w:rPr>
      </w:pPr>
      <w:r>
        <w:rPr>
          <w:rFonts w:hint="eastAsia"/>
          <w:color w:val="auto"/>
          <w:kern w:val="2"/>
          <w:sz w:val="24"/>
          <w:highlight w:val="none"/>
        </w:rPr>
        <w:t>(4)当各子目的合价累计不等于总价时，应以各子目合价累计数为准，修正总</w:t>
      </w:r>
    </w:p>
    <w:p>
      <w:pPr>
        <w:widowControl/>
        <w:snapToGrid w:val="0"/>
        <w:spacing w:line="360" w:lineRule="auto"/>
        <w:ind w:firstLine="480"/>
        <w:rPr>
          <w:color w:val="auto"/>
          <w:kern w:val="2"/>
          <w:sz w:val="24"/>
          <w:highlight w:val="none"/>
        </w:rPr>
      </w:pPr>
      <w:r>
        <w:rPr>
          <w:rFonts w:hint="eastAsia"/>
          <w:color w:val="auto"/>
          <w:kern w:val="2"/>
          <w:sz w:val="24"/>
          <w:highlight w:val="none"/>
        </w:rPr>
        <w:t>3.4.3修正后的最终投标报价若超过最高投标限价(如有)，评标委员会应否决其投标。</w:t>
      </w:r>
    </w:p>
    <w:p>
      <w:pPr>
        <w:widowControl/>
        <w:snapToGrid w:val="0"/>
        <w:spacing w:line="360" w:lineRule="auto"/>
        <w:ind w:firstLine="480"/>
        <w:rPr>
          <w:color w:val="auto"/>
          <w:kern w:val="2"/>
          <w:sz w:val="24"/>
          <w:highlight w:val="none"/>
        </w:rPr>
      </w:pPr>
      <w:r>
        <w:rPr>
          <w:rFonts w:hint="eastAsia"/>
          <w:color w:val="auto"/>
          <w:kern w:val="2"/>
          <w:sz w:val="24"/>
          <w:highlight w:val="none"/>
        </w:rPr>
        <w:t>3.4.4修正后的最终投标报价仅作为签订合同的一个依据，不参与评标价得分的计算。</w:t>
      </w:r>
    </w:p>
    <w:p>
      <w:pPr>
        <w:widowControl/>
        <w:snapToGrid w:val="0"/>
        <w:spacing w:line="360" w:lineRule="auto"/>
        <w:rPr>
          <w:color w:val="auto"/>
          <w:kern w:val="2"/>
          <w:sz w:val="24"/>
          <w:highlight w:val="none"/>
        </w:rPr>
      </w:pPr>
      <w:r>
        <w:rPr>
          <w:rFonts w:hint="eastAsia"/>
          <w:color w:val="auto"/>
          <w:kern w:val="2"/>
          <w:sz w:val="24"/>
          <w:highlight w:val="none"/>
        </w:rPr>
        <w:t>3.5第二个信封详细评审</w:t>
      </w:r>
    </w:p>
    <w:p>
      <w:pPr>
        <w:widowControl/>
        <w:snapToGrid w:val="0"/>
        <w:spacing w:line="360" w:lineRule="auto"/>
        <w:ind w:firstLine="480"/>
        <w:rPr>
          <w:color w:val="auto"/>
          <w:kern w:val="2"/>
          <w:sz w:val="24"/>
          <w:highlight w:val="none"/>
        </w:rPr>
      </w:pPr>
      <w:r>
        <w:rPr>
          <w:rFonts w:hint="eastAsia"/>
          <w:color w:val="auto"/>
          <w:kern w:val="2"/>
          <w:sz w:val="24"/>
          <w:highlight w:val="none"/>
        </w:rPr>
        <w:t>3.5.1评标委员会按本章第2.2.4项(3)目规定的评审因素和分值对评标价计算出得分C。评标价得分分值计算保留小数点后两位，小数点后第三位“四舍五入”。</w:t>
      </w:r>
    </w:p>
    <w:p>
      <w:pPr>
        <w:widowControl/>
        <w:snapToGrid w:val="0"/>
        <w:spacing w:line="360" w:lineRule="auto"/>
        <w:ind w:firstLine="480"/>
        <w:rPr>
          <w:color w:val="auto"/>
          <w:kern w:val="2"/>
          <w:sz w:val="24"/>
          <w:highlight w:val="none"/>
        </w:rPr>
      </w:pPr>
      <w:r>
        <w:rPr>
          <w:rFonts w:hint="eastAsia"/>
          <w:color w:val="auto"/>
          <w:kern w:val="2"/>
          <w:sz w:val="24"/>
          <w:highlight w:val="none"/>
        </w:rPr>
        <w:t>3.5.2投标人综合得分=投标人的商务和技术得分+C。</w:t>
      </w:r>
    </w:p>
    <w:p>
      <w:pPr>
        <w:widowControl/>
        <w:snapToGrid w:val="0"/>
        <w:spacing w:line="360" w:lineRule="auto"/>
        <w:ind w:firstLine="480"/>
        <w:rPr>
          <w:color w:val="auto"/>
          <w:kern w:val="2"/>
          <w:sz w:val="24"/>
          <w:highlight w:val="none"/>
        </w:rPr>
      </w:pPr>
      <w:r>
        <w:rPr>
          <w:rFonts w:hint="eastAsia"/>
          <w:color w:val="auto"/>
          <w:kern w:val="2"/>
          <w:sz w:val="24"/>
          <w:highlight w:val="none"/>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widowControl/>
        <w:snapToGrid w:val="0"/>
        <w:spacing w:line="360" w:lineRule="auto"/>
        <w:ind w:firstLine="480"/>
        <w:rPr>
          <w:color w:val="auto"/>
          <w:kern w:val="2"/>
          <w:sz w:val="24"/>
          <w:highlight w:val="none"/>
        </w:rPr>
      </w:pPr>
      <w:r>
        <w:rPr>
          <w:rFonts w:hint="eastAsia"/>
          <w:color w:val="auto"/>
          <w:kern w:val="2"/>
          <w:sz w:val="24"/>
          <w:highlight w:val="none"/>
        </w:rPr>
        <w:t>评标委员会应认定该投标人以低于成本报价竞标，并否决其投标。</w:t>
      </w:r>
    </w:p>
    <w:p>
      <w:pPr>
        <w:widowControl/>
        <w:snapToGrid w:val="0"/>
        <w:spacing w:line="360" w:lineRule="auto"/>
        <w:rPr>
          <w:color w:val="auto"/>
          <w:kern w:val="2"/>
          <w:sz w:val="24"/>
          <w:highlight w:val="none"/>
        </w:rPr>
      </w:pPr>
      <w:r>
        <w:rPr>
          <w:rFonts w:hint="eastAsia"/>
          <w:color w:val="auto"/>
          <w:kern w:val="2"/>
          <w:sz w:val="24"/>
          <w:highlight w:val="none"/>
        </w:rPr>
        <w:t>3.6投标文件相关信息的核查</w:t>
      </w:r>
    </w:p>
    <w:p>
      <w:pPr>
        <w:widowControl/>
        <w:snapToGrid w:val="0"/>
        <w:spacing w:line="360" w:lineRule="auto"/>
        <w:ind w:firstLine="480"/>
        <w:rPr>
          <w:color w:val="auto"/>
          <w:kern w:val="2"/>
          <w:sz w:val="24"/>
          <w:highlight w:val="none"/>
        </w:rPr>
      </w:pPr>
      <w:r>
        <w:rPr>
          <w:rFonts w:hint="eastAsia"/>
          <w:color w:val="auto"/>
          <w:kern w:val="2"/>
          <w:sz w:val="24"/>
          <w:highlight w:val="none"/>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widowControl/>
        <w:snapToGrid w:val="0"/>
        <w:spacing w:line="360" w:lineRule="auto"/>
        <w:ind w:firstLine="480"/>
        <w:rPr>
          <w:color w:val="auto"/>
          <w:kern w:val="2"/>
          <w:sz w:val="24"/>
          <w:highlight w:val="none"/>
        </w:rPr>
      </w:pPr>
      <w:r>
        <w:rPr>
          <w:rFonts w:hint="eastAsia"/>
          <w:color w:val="auto"/>
          <w:kern w:val="2"/>
          <w:sz w:val="24"/>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pPr>
        <w:widowControl/>
        <w:snapToGrid w:val="0"/>
        <w:spacing w:line="360" w:lineRule="auto"/>
        <w:ind w:firstLine="480"/>
        <w:rPr>
          <w:color w:val="auto"/>
          <w:kern w:val="2"/>
          <w:sz w:val="24"/>
          <w:highlight w:val="none"/>
        </w:rPr>
      </w:pPr>
    </w:p>
    <w:p>
      <w:pPr>
        <w:widowControl/>
        <w:snapToGrid w:val="0"/>
        <w:spacing w:line="360" w:lineRule="auto"/>
        <w:ind w:firstLine="480"/>
        <w:rPr>
          <w:color w:val="auto"/>
          <w:kern w:val="2"/>
          <w:sz w:val="24"/>
          <w:highlight w:val="none"/>
        </w:rPr>
      </w:pPr>
      <w:r>
        <w:rPr>
          <w:rFonts w:hint="eastAsia"/>
          <w:color w:val="auto"/>
          <w:kern w:val="2"/>
          <w:sz w:val="24"/>
          <w:highlight w:val="none"/>
        </w:rPr>
        <w:t>(1)有下列情形之一的，属于投标人相互串通投标：</w:t>
      </w:r>
    </w:p>
    <w:p>
      <w:pPr>
        <w:widowControl/>
        <w:snapToGrid w:val="0"/>
        <w:spacing w:line="360" w:lineRule="auto"/>
        <w:ind w:firstLine="566"/>
        <w:rPr>
          <w:color w:val="auto"/>
          <w:kern w:val="2"/>
          <w:sz w:val="24"/>
          <w:highlight w:val="none"/>
        </w:rPr>
      </w:pPr>
      <w:r>
        <w:rPr>
          <w:rFonts w:hint="eastAsia"/>
          <w:color w:val="auto"/>
          <w:kern w:val="2"/>
          <w:sz w:val="24"/>
          <w:highlight w:val="none"/>
        </w:rPr>
        <w:t>a.投标人之间协商投标报价等投标文件的实质性内容；</w:t>
      </w:r>
    </w:p>
    <w:p>
      <w:pPr>
        <w:widowControl/>
        <w:snapToGrid w:val="0"/>
        <w:spacing w:line="360" w:lineRule="auto"/>
        <w:ind w:firstLine="566"/>
        <w:rPr>
          <w:color w:val="auto"/>
          <w:kern w:val="2"/>
          <w:sz w:val="24"/>
          <w:highlight w:val="none"/>
        </w:rPr>
      </w:pPr>
      <w:r>
        <w:rPr>
          <w:rFonts w:hint="eastAsia"/>
          <w:color w:val="auto"/>
          <w:kern w:val="2"/>
          <w:sz w:val="24"/>
          <w:highlight w:val="none"/>
        </w:rPr>
        <w:t>b.投标人之间约定中标人；</w:t>
      </w:r>
    </w:p>
    <w:p>
      <w:pPr>
        <w:widowControl/>
        <w:snapToGrid w:val="0"/>
        <w:spacing w:line="360" w:lineRule="auto"/>
        <w:ind w:firstLine="566"/>
        <w:rPr>
          <w:color w:val="auto"/>
          <w:kern w:val="2"/>
          <w:sz w:val="24"/>
          <w:highlight w:val="none"/>
        </w:rPr>
      </w:pPr>
      <w:r>
        <w:rPr>
          <w:rFonts w:hint="eastAsia"/>
          <w:color w:val="auto"/>
          <w:kern w:val="2"/>
          <w:sz w:val="24"/>
          <w:highlight w:val="none"/>
        </w:rPr>
        <w:t>c.投标人之间约定部分投标人放弃投标或中标；</w:t>
      </w:r>
    </w:p>
    <w:p>
      <w:pPr>
        <w:widowControl/>
        <w:snapToGrid w:val="0"/>
        <w:spacing w:line="360" w:lineRule="auto"/>
        <w:ind w:firstLine="566"/>
        <w:rPr>
          <w:color w:val="auto"/>
          <w:kern w:val="2"/>
          <w:sz w:val="24"/>
          <w:highlight w:val="none"/>
        </w:rPr>
      </w:pPr>
      <w:r>
        <w:rPr>
          <w:rFonts w:hint="eastAsia"/>
          <w:color w:val="auto"/>
          <w:kern w:val="2"/>
          <w:sz w:val="24"/>
          <w:highlight w:val="none"/>
        </w:rPr>
        <w:t>d.属于同一集团、协会、商会等组织成员的投标人按照该组织要求协同投标；</w:t>
      </w:r>
    </w:p>
    <w:p>
      <w:pPr>
        <w:widowControl/>
        <w:snapToGrid w:val="0"/>
        <w:spacing w:line="360" w:lineRule="auto"/>
        <w:ind w:firstLine="566"/>
        <w:rPr>
          <w:color w:val="auto"/>
          <w:kern w:val="2"/>
          <w:sz w:val="24"/>
          <w:highlight w:val="none"/>
        </w:rPr>
      </w:pPr>
      <w:r>
        <w:rPr>
          <w:rFonts w:hint="eastAsia"/>
          <w:color w:val="auto"/>
          <w:kern w:val="2"/>
          <w:sz w:val="24"/>
          <w:highlight w:val="none"/>
        </w:rPr>
        <w:t>e.投标人之间为谋取中标或排斥特定投标人而采取的其他联合行动。</w:t>
      </w:r>
    </w:p>
    <w:p>
      <w:pPr>
        <w:widowControl/>
        <w:snapToGrid w:val="0"/>
        <w:spacing w:line="360" w:lineRule="auto"/>
        <w:ind w:firstLine="480"/>
        <w:rPr>
          <w:color w:val="auto"/>
          <w:kern w:val="2"/>
          <w:sz w:val="24"/>
          <w:highlight w:val="none"/>
        </w:rPr>
      </w:pPr>
    </w:p>
    <w:p>
      <w:pPr>
        <w:widowControl/>
        <w:snapToGrid w:val="0"/>
        <w:spacing w:line="360" w:lineRule="auto"/>
        <w:ind w:firstLine="480"/>
        <w:rPr>
          <w:color w:val="auto"/>
          <w:kern w:val="2"/>
          <w:sz w:val="24"/>
          <w:highlight w:val="none"/>
        </w:rPr>
      </w:pPr>
      <w:r>
        <w:rPr>
          <w:rFonts w:hint="eastAsia"/>
          <w:color w:val="auto"/>
          <w:kern w:val="2"/>
          <w:sz w:val="24"/>
          <w:highlight w:val="none"/>
        </w:rPr>
        <w:t>(2)有下列情形之一的，视为投标人相互串通投标:</w:t>
      </w:r>
    </w:p>
    <w:p>
      <w:pPr>
        <w:widowControl/>
        <w:snapToGrid w:val="0"/>
        <w:spacing w:line="360" w:lineRule="auto"/>
        <w:ind w:firstLine="566"/>
        <w:rPr>
          <w:color w:val="auto"/>
          <w:kern w:val="2"/>
          <w:sz w:val="24"/>
          <w:highlight w:val="none"/>
        </w:rPr>
      </w:pPr>
      <w:r>
        <w:rPr>
          <w:rFonts w:hint="eastAsia"/>
          <w:color w:val="auto"/>
          <w:kern w:val="2"/>
          <w:sz w:val="24"/>
          <w:highlight w:val="none"/>
        </w:rPr>
        <w:t>a.不同投标人的投标文件由同一单位或个人编制；</w:t>
      </w:r>
    </w:p>
    <w:p>
      <w:pPr>
        <w:widowControl/>
        <w:snapToGrid w:val="0"/>
        <w:spacing w:line="360" w:lineRule="auto"/>
        <w:ind w:firstLine="566"/>
        <w:rPr>
          <w:color w:val="auto"/>
          <w:kern w:val="2"/>
          <w:sz w:val="24"/>
          <w:highlight w:val="none"/>
        </w:rPr>
      </w:pPr>
      <w:r>
        <w:rPr>
          <w:rFonts w:hint="eastAsia"/>
          <w:color w:val="auto"/>
          <w:kern w:val="2"/>
          <w:sz w:val="24"/>
          <w:highlight w:val="none"/>
        </w:rPr>
        <w:t>b.不同投标人委托同一单位或个人办理投标事宜；</w:t>
      </w:r>
    </w:p>
    <w:p>
      <w:pPr>
        <w:widowControl/>
        <w:snapToGrid w:val="0"/>
        <w:spacing w:line="360" w:lineRule="auto"/>
        <w:ind w:firstLine="566"/>
        <w:rPr>
          <w:color w:val="auto"/>
          <w:kern w:val="2"/>
          <w:sz w:val="24"/>
          <w:highlight w:val="none"/>
        </w:rPr>
      </w:pPr>
      <w:r>
        <w:rPr>
          <w:rFonts w:hint="eastAsia"/>
          <w:color w:val="auto"/>
          <w:kern w:val="2"/>
          <w:sz w:val="24"/>
          <w:highlight w:val="none"/>
        </w:rPr>
        <w:t>c.不同投标人的投标文件载明的项目管理成员为同一人；</w:t>
      </w:r>
    </w:p>
    <w:p>
      <w:pPr>
        <w:widowControl/>
        <w:snapToGrid w:val="0"/>
        <w:spacing w:line="360" w:lineRule="auto"/>
        <w:ind w:firstLine="566"/>
        <w:rPr>
          <w:color w:val="auto"/>
          <w:kern w:val="2"/>
          <w:sz w:val="24"/>
          <w:highlight w:val="none"/>
        </w:rPr>
      </w:pPr>
      <w:r>
        <w:rPr>
          <w:rFonts w:hint="eastAsia"/>
          <w:color w:val="auto"/>
          <w:kern w:val="2"/>
          <w:sz w:val="24"/>
          <w:highlight w:val="none"/>
        </w:rPr>
        <w:t>d.不同投标人的投标文件异常一致或投标报价呈规律性差异；</w:t>
      </w:r>
    </w:p>
    <w:p>
      <w:pPr>
        <w:widowControl/>
        <w:snapToGrid w:val="0"/>
        <w:spacing w:line="360" w:lineRule="auto"/>
        <w:ind w:firstLine="566"/>
        <w:rPr>
          <w:color w:val="auto"/>
          <w:kern w:val="2"/>
          <w:sz w:val="24"/>
          <w:highlight w:val="none"/>
        </w:rPr>
      </w:pPr>
      <w:r>
        <w:rPr>
          <w:rFonts w:hint="eastAsia"/>
          <w:color w:val="auto"/>
          <w:kern w:val="2"/>
          <w:sz w:val="24"/>
          <w:highlight w:val="none"/>
        </w:rPr>
        <w:t>e.不同投标人的投标文件相互混装；</w:t>
      </w:r>
    </w:p>
    <w:p>
      <w:pPr>
        <w:widowControl/>
        <w:snapToGrid w:val="0"/>
        <w:spacing w:line="360" w:lineRule="auto"/>
        <w:ind w:firstLine="566"/>
        <w:rPr>
          <w:color w:val="auto"/>
          <w:kern w:val="2"/>
          <w:sz w:val="24"/>
          <w:highlight w:val="none"/>
        </w:rPr>
      </w:pPr>
      <w:r>
        <w:rPr>
          <w:rFonts w:hint="eastAsia"/>
          <w:color w:val="auto"/>
          <w:kern w:val="2"/>
          <w:sz w:val="24"/>
          <w:highlight w:val="none"/>
        </w:rPr>
        <w:t>f</w:t>
      </w:r>
      <w:r>
        <w:rPr>
          <w:color w:val="auto"/>
          <w:kern w:val="2"/>
          <w:sz w:val="24"/>
          <w:highlight w:val="none"/>
        </w:rPr>
        <w:t>.</w:t>
      </w:r>
      <w:r>
        <w:rPr>
          <w:rFonts w:hint="eastAsia"/>
          <w:color w:val="auto"/>
          <w:kern w:val="2"/>
          <w:sz w:val="24"/>
          <w:highlight w:val="none"/>
        </w:rPr>
        <w:t>不同投标人的投标保证金从同一单位或个人的账户转出。</w:t>
      </w:r>
    </w:p>
    <w:p>
      <w:pPr>
        <w:widowControl/>
        <w:snapToGrid w:val="0"/>
        <w:spacing w:line="360" w:lineRule="auto"/>
        <w:ind w:firstLine="566"/>
        <w:rPr>
          <w:color w:val="auto"/>
          <w:kern w:val="2"/>
          <w:sz w:val="24"/>
          <w:highlight w:val="none"/>
        </w:rPr>
      </w:pPr>
      <w:r>
        <w:rPr>
          <w:rFonts w:hint="eastAsia"/>
          <w:color w:val="auto"/>
          <w:kern w:val="2"/>
          <w:sz w:val="24"/>
          <w:highlight w:val="none"/>
        </w:rPr>
        <w:t>(3)有下列情形之一的，属于招标人与投标人串通投标:</w:t>
      </w:r>
    </w:p>
    <w:p>
      <w:pPr>
        <w:widowControl/>
        <w:snapToGrid w:val="0"/>
        <w:spacing w:line="360" w:lineRule="auto"/>
        <w:ind w:firstLine="566"/>
        <w:rPr>
          <w:color w:val="auto"/>
          <w:kern w:val="2"/>
          <w:sz w:val="24"/>
          <w:highlight w:val="none"/>
        </w:rPr>
      </w:pPr>
      <w:r>
        <w:rPr>
          <w:rFonts w:hint="eastAsia"/>
          <w:color w:val="auto"/>
          <w:kern w:val="2"/>
          <w:sz w:val="24"/>
          <w:highlight w:val="none"/>
        </w:rPr>
        <w:t>a.招标人在开标前开启投标文件并将有关信息泄露给其他投标人；</w:t>
      </w:r>
    </w:p>
    <w:p>
      <w:pPr>
        <w:widowControl/>
        <w:snapToGrid w:val="0"/>
        <w:spacing w:line="360" w:lineRule="auto"/>
        <w:ind w:firstLine="566"/>
        <w:rPr>
          <w:color w:val="auto"/>
          <w:kern w:val="2"/>
          <w:sz w:val="24"/>
          <w:highlight w:val="none"/>
        </w:rPr>
      </w:pPr>
      <w:r>
        <w:rPr>
          <w:rFonts w:hint="eastAsia"/>
          <w:color w:val="auto"/>
          <w:kern w:val="2"/>
          <w:sz w:val="24"/>
          <w:highlight w:val="none"/>
        </w:rPr>
        <w:t>b招标人直接或间接向投标人泄露标底、评标委员会成员等信息；</w:t>
      </w:r>
    </w:p>
    <w:p>
      <w:pPr>
        <w:widowControl/>
        <w:snapToGrid w:val="0"/>
        <w:spacing w:line="360" w:lineRule="auto"/>
        <w:ind w:firstLine="566"/>
        <w:rPr>
          <w:color w:val="auto"/>
          <w:kern w:val="2"/>
          <w:sz w:val="24"/>
          <w:highlight w:val="none"/>
        </w:rPr>
      </w:pPr>
      <w:r>
        <w:rPr>
          <w:rFonts w:hint="eastAsia"/>
          <w:color w:val="auto"/>
          <w:kern w:val="2"/>
          <w:sz w:val="24"/>
          <w:highlight w:val="none"/>
        </w:rPr>
        <w:t>c招标人明示或暗示投标人压低或抬高投标报价；</w:t>
      </w:r>
    </w:p>
    <w:p>
      <w:pPr>
        <w:widowControl/>
        <w:snapToGrid w:val="0"/>
        <w:spacing w:line="360" w:lineRule="auto"/>
        <w:ind w:firstLine="566"/>
        <w:rPr>
          <w:color w:val="auto"/>
          <w:kern w:val="2"/>
          <w:sz w:val="24"/>
          <w:highlight w:val="none"/>
        </w:rPr>
      </w:pPr>
      <w:r>
        <w:rPr>
          <w:rFonts w:hint="eastAsia"/>
          <w:color w:val="auto"/>
          <w:kern w:val="2"/>
          <w:sz w:val="24"/>
          <w:highlight w:val="none"/>
        </w:rPr>
        <w:t>d.招标人授意投标人撤换、修改投标文件；</w:t>
      </w:r>
    </w:p>
    <w:p>
      <w:pPr>
        <w:widowControl/>
        <w:snapToGrid w:val="0"/>
        <w:spacing w:line="360" w:lineRule="auto"/>
        <w:ind w:firstLine="566"/>
        <w:rPr>
          <w:color w:val="auto"/>
          <w:kern w:val="2"/>
          <w:sz w:val="24"/>
          <w:highlight w:val="none"/>
        </w:rPr>
      </w:pPr>
      <w:r>
        <w:rPr>
          <w:rFonts w:hint="eastAsia"/>
          <w:color w:val="auto"/>
          <w:kern w:val="2"/>
          <w:sz w:val="24"/>
          <w:highlight w:val="none"/>
        </w:rPr>
        <w:t>e.招标人明示或暗示投标人为特定投标人中标提供方便；</w:t>
      </w:r>
    </w:p>
    <w:p>
      <w:pPr>
        <w:widowControl/>
        <w:snapToGrid w:val="0"/>
        <w:spacing w:line="360" w:lineRule="auto"/>
        <w:ind w:firstLine="566"/>
        <w:rPr>
          <w:color w:val="auto"/>
          <w:kern w:val="2"/>
          <w:sz w:val="24"/>
          <w:highlight w:val="none"/>
        </w:rPr>
      </w:pPr>
      <w:r>
        <w:rPr>
          <w:rFonts w:hint="eastAsia"/>
          <w:color w:val="auto"/>
          <w:kern w:val="2"/>
          <w:sz w:val="24"/>
          <w:highlight w:val="none"/>
        </w:rPr>
        <w:t>f</w:t>
      </w:r>
      <w:r>
        <w:rPr>
          <w:color w:val="auto"/>
          <w:kern w:val="2"/>
          <w:sz w:val="24"/>
          <w:highlight w:val="none"/>
        </w:rPr>
        <w:t>.</w:t>
      </w:r>
      <w:r>
        <w:rPr>
          <w:rFonts w:hint="eastAsia"/>
          <w:color w:val="auto"/>
          <w:kern w:val="2"/>
          <w:sz w:val="24"/>
          <w:highlight w:val="none"/>
        </w:rPr>
        <w:t>招标人与投标人为谋求特定投标人中标而采取的其他串通行为。</w:t>
      </w:r>
    </w:p>
    <w:p>
      <w:pPr>
        <w:widowControl/>
        <w:snapToGrid w:val="0"/>
        <w:spacing w:line="360" w:lineRule="auto"/>
        <w:ind w:firstLine="566"/>
        <w:rPr>
          <w:color w:val="auto"/>
          <w:kern w:val="2"/>
          <w:sz w:val="24"/>
          <w:highlight w:val="none"/>
        </w:rPr>
      </w:pPr>
    </w:p>
    <w:p>
      <w:pPr>
        <w:widowControl/>
        <w:snapToGrid w:val="0"/>
        <w:spacing w:line="360" w:lineRule="auto"/>
        <w:ind w:firstLine="566"/>
        <w:rPr>
          <w:color w:val="auto"/>
          <w:kern w:val="2"/>
          <w:sz w:val="24"/>
          <w:highlight w:val="none"/>
        </w:rPr>
      </w:pPr>
      <w:r>
        <w:rPr>
          <w:rFonts w:hint="eastAsia"/>
          <w:color w:val="auto"/>
          <w:kern w:val="2"/>
          <w:sz w:val="24"/>
          <w:highlight w:val="none"/>
        </w:rPr>
        <w:t>(4)投标人有下列情形之一的，属于弄虚作假的行为:</w:t>
      </w:r>
    </w:p>
    <w:p>
      <w:pPr>
        <w:widowControl/>
        <w:snapToGrid w:val="0"/>
        <w:spacing w:line="360" w:lineRule="auto"/>
        <w:ind w:firstLine="566"/>
        <w:rPr>
          <w:color w:val="auto"/>
          <w:kern w:val="2"/>
          <w:sz w:val="24"/>
          <w:highlight w:val="none"/>
        </w:rPr>
      </w:pPr>
      <w:r>
        <w:rPr>
          <w:rFonts w:hint="eastAsia"/>
          <w:color w:val="auto"/>
          <w:kern w:val="2"/>
          <w:sz w:val="24"/>
          <w:highlight w:val="none"/>
        </w:rPr>
        <w:t>a.使用通过受让或租借等方式获取的资格、资质证书投标；</w:t>
      </w:r>
    </w:p>
    <w:p>
      <w:pPr>
        <w:widowControl/>
        <w:snapToGrid w:val="0"/>
        <w:spacing w:line="360" w:lineRule="auto"/>
        <w:ind w:firstLine="566"/>
        <w:rPr>
          <w:color w:val="auto"/>
          <w:kern w:val="2"/>
          <w:sz w:val="24"/>
          <w:highlight w:val="none"/>
        </w:rPr>
      </w:pPr>
      <w:r>
        <w:rPr>
          <w:rFonts w:hint="eastAsia"/>
          <w:color w:val="auto"/>
          <w:kern w:val="2"/>
          <w:sz w:val="24"/>
          <w:highlight w:val="none"/>
        </w:rPr>
        <w:t>b.使用伪造、变造的许可证件；</w:t>
      </w:r>
    </w:p>
    <w:p>
      <w:pPr>
        <w:widowControl/>
        <w:snapToGrid w:val="0"/>
        <w:spacing w:line="360" w:lineRule="auto"/>
        <w:ind w:firstLine="566"/>
        <w:rPr>
          <w:color w:val="auto"/>
          <w:kern w:val="2"/>
          <w:sz w:val="24"/>
          <w:highlight w:val="none"/>
        </w:rPr>
      </w:pPr>
      <w:r>
        <w:rPr>
          <w:rFonts w:hint="eastAsia"/>
          <w:color w:val="auto"/>
          <w:kern w:val="2"/>
          <w:sz w:val="24"/>
          <w:highlight w:val="none"/>
        </w:rPr>
        <w:t>c.提供虚假的业绩；</w:t>
      </w:r>
    </w:p>
    <w:p>
      <w:pPr>
        <w:widowControl/>
        <w:snapToGrid w:val="0"/>
        <w:spacing w:line="360" w:lineRule="auto"/>
        <w:ind w:firstLine="566"/>
        <w:rPr>
          <w:color w:val="auto"/>
          <w:kern w:val="2"/>
          <w:sz w:val="24"/>
          <w:highlight w:val="none"/>
        </w:rPr>
      </w:pPr>
      <w:r>
        <w:rPr>
          <w:rFonts w:hint="eastAsia"/>
          <w:color w:val="auto"/>
          <w:kern w:val="2"/>
          <w:sz w:val="24"/>
          <w:highlight w:val="none"/>
        </w:rPr>
        <w:t>d.提供虚假的项目负责人或主要技术人员简历、劳动关系证明；</w:t>
      </w:r>
    </w:p>
    <w:p>
      <w:pPr>
        <w:widowControl/>
        <w:snapToGrid w:val="0"/>
        <w:spacing w:line="360" w:lineRule="auto"/>
        <w:ind w:firstLine="566"/>
        <w:rPr>
          <w:color w:val="auto"/>
          <w:kern w:val="2"/>
          <w:sz w:val="24"/>
          <w:highlight w:val="none"/>
        </w:rPr>
      </w:pPr>
      <w:r>
        <w:rPr>
          <w:rFonts w:hint="eastAsia"/>
          <w:color w:val="auto"/>
          <w:kern w:val="2"/>
          <w:sz w:val="24"/>
          <w:highlight w:val="none"/>
        </w:rPr>
        <w:t>e.提供虚假的信用状况；</w:t>
      </w:r>
    </w:p>
    <w:p>
      <w:pPr>
        <w:widowControl/>
        <w:snapToGrid w:val="0"/>
        <w:spacing w:line="360" w:lineRule="auto"/>
        <w:ind w:firstLine="566"/>
        <w:rPr>
          <w:color w:val="auto"/>
          <w:kern w:val="2"/>
          <w:sz w:val="24"/>
          <w:highlight w:val="none"/>
        </w:rPr>
      </w:pPr>
      <w:r>
        <w:rPr>
          <w:rFonts w:hint="eastAsia"/>
          <w:color w:val="auto"/>
          <w:kern w:val="2"/>
          <w:sz w:val="24"/>
          <w:highlight w:val="none"/>
        </w:rPr>
        <w:t>f</w:t>
      </w:r>
      <w:r>
        <w:rPr>
          <w:color w:val="auto"/>
          <w:kern w:val="2"/>
          <w:sz w:val="24"/>
          <w:highlight w:val="none"/>
        </w:rPr>
        <w:t>.</w:t>
      </w:r>
      <w:r>
        <w:rPr>
          <w:rFonts w:hint="eastAsia"/>
          <w:color w:val="auto"/>
          <w:kern w:val="2"/>
          <w:sz w:val="24"/>
          <w:highlight w:val="none"/>
        </w:rPr>
        <w:t>其他弄虚作假的行为。</w:t>
      </w:r>
    </w:p>
    <w:p>
      <w:pPr>
        <w:widowControl/>
        <w:snapToGrid w:val="0"/>
        <w:spacing w:line="360" w:lineRule="auto"/>
        <w:rPr>
          <w:color w:val="auto"/>
          <w:kern w:val="2"/>
          <w:sz w:val="24"/>
          <w:highlight w:val="none"/>
        </w:rPr>
      </w:pPr>
      <w:r>
        <w:rPr>
          <w:rFonts w:hint="eastAsia"/>
          <w:color w:val="auto"/>
          <w:kern w:val="2"/>
          <w:sz w:val="24"/>
          <w:highlight w:val="none"/>
        </w:rPr>
        <w:t>3.7投标文件的澄清和说明</w:t>
      </w:r>
    </w:p>
    <w:p>
      <w:pPr>
        <w:widowControl/>
        <w:snapToGrid w:val="0"/>
        <w:spacing w:line="360" w:lineRule="auto"/>
        <w:ind w:firstLine="480"/>
        <w:rPr>
          <w:color w:val="auto"/>
          <w:kern w:val="2"/>
          <w:sz w:val="24"/>
          <w:highlight w:val="none"/>
        </w:rPr>
      </w:pPr>
      <w:r>
        <w:rPr>
          <w:rFonts w:hint="eastAsia"/>
          <w:color w:val="auto"/>
          <w:kern w:val="2"/>
          <w:sz w:val="24"/>
          <w:highlight w:val="none"/>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widowControl/>
        <w:snapToGrid w:val="0"/>
        <w:spacing w:line="360" w:lineRule="auto"/>
        <w:ind w:firstLine="480"/>
        <w:rPr>
          <w:color w:val="auto"/>
          <w:kern w:val="2"/>
          <w:sz w:val="24"/>
          <w:highlight w:val="none"/>
        </w:rPr>
      </w:pPr>
      <w:r>
        <w:rPr>
          <w:rFonts w:hint="eastAsia"/>
          <w:color w:val="auto"/>
          <w:kern w:val="2"/>
          <w:sz w:val="24"/>
          <w:highlight w:val="none"/>
        </w:rPr>
        <w:t>3.7.2澄清和说明不得超出投标文件的范围或改变投标文件的实质性内容(算术性错误的修正除外)。投标人的书面澄清、说明属于投标文件的组成部分。</w:t>
      </w:r>
    </w:p>
    <w:p>
      <w:pPr>
        <w:widowControl/>
        <w:snapToGrid w:val="0"/>
        <w:spacing w:line="360" w:lineRule="auto"/>
        <w:ind w:firstLine="480"/>
        <w:rPr>
          <w:color w:val="auto"/>
          <w:kern w:val="2"/>
          <w:sz w:val="24"/>
          <w:highlight w:val="none"/>
        </w:rPr>
      </w:pPr>
      <w:r>
        <w:rPr>
          <w:rFonts w:hint="eastAsia"/>
          <w:color w:val="auto"/>
          <w:kern w:val="2"/>
          <w:sz w:val="24"/>
          <w:highlight w:val="none"/>
        </w:rPr>
        <w:t>3.7.3评标委员会不得暗示或诱导投标人作出澄清、说明，对投标人提交的澄清、说明有疑问的，可以要求投标人进一步澄清或说明，直至满足评标委员会的要求。</w:t>
      </w:r>
    </w:p>
    <w:p>
      <w:pPr>
        <w:widowControl/>
        <w:snapToGrid w:val="0"/>
        <w:spacing w:line="360" w:lineRule="auto"/>
        <w:ind w:firstLine="480"/>
        <w:rPr>
          <w:color w:val="auto"/>
          <w:kern w:val="2"/>
          <w:sz w:val="24"/>
          <w:highlight w:val="none"/>
        </w:rPr>
      </w:pPr>
      <w:r>
        <w:rPr>
          <w:rFonts w:hint="eastAsia"/>
          <w:color w:val="auto"/>
          <w:kern w:val="2"/>
          <w:sz w:val="24"/>
          <w:highlight w:val="none"/>
        </w:rPr>
        <w:t>3.7.4凡超出招标文件规定的或给委托人带来未曾要求的利益的变化、偏差或其</w:t>
      </w:r>
    </w:p>
    <w:p>
      <w:pPr>
        <w:widowControl/>
        <w:snapToGrid w:val="0"/>
        <w:spacing w:line="360" w:lineRule="auto"/>
        <w:rPr>
          <w:color w:val="auto"/>
          <w:kern w:val="2"/>
          <w:sz w:val="24"/>
          <w:highlight w:val="none"/>
        </w:rPr>
      </w:pPr>
      <w:r>
        <w:rPr>
          <w:rFonts w:hint="eastAsia"/>
          <w:color w:val="auto"/>
          <w:kern w:val="2"/>
          <w:sz w:val="24"/>
          <w:highlight w:val="none"/>
        </w:rPr>
        <w:t>他因素在评标时不予考虑。</w:t>
      </w:r>
    </w:p>
    <w:p>
      <w:pPr>
        <w:widowControl/>
        <w:snapToGrid w:val="0"/>
        <w:spacing w:line="360" w:lineRule="auto"/>
        <w:rPr>
          <w:color w:val="auto"/>
          <w:kern w:val="2"/>
          <w:sz w:val="24"/>
          <w:highlight w:val="none"/>
        </w:rPr>
      </w:pPr>
      <w:r>
        <w:rPr>
          <w:rFonts w:hint="eastAsia"/>
          <w:color w:val="auto"/>
          <w:kern w:val="2"/>
          <w:sz w:val="24"/>
          <w:highlight w:val="none"/>
        </w:rPr>
        <w:t>3.8不得否决投标的情形</w:t>
      </w:r>
    </w:p>
    <w:p>
      <w:pPr>
        <w:widowControl/>
        <w:snapToGrid w:val="0"/>
        <w:spacing w:line="360" w:lineRule="auto"/>
        <w:ind w:firstLine="480"/>
        <w:rPr>
          <w:color w:val="auto"/>
          <w:kern w:val="2"/>
          <w:sz w:val="24"/>
          <w:highlight w:val="none"/>
        </w:rPr>
      </w:pPr>
      <w:r>
        <w:rPr>
          <w:rFonts w:hint="eastAsia"/>
          <w:color w:val="auto"/>
          <w:kern w:val="2"/>
          <w:sz w:val="24"/>
          <w:highlight w:val="none"/>
        </w:rPr>
        <w:t>投标文件存在第二章“投标人须知”第1.12.3项所列情形的，均视为细微偏差，评标委员会不得否决投标人的投标，应按照第二章“投标人须知”第1.12.4项规定的原则处理。</w:t>
      </w:r>
    </w:p>
    <w:p>
      <w:pPr>
        <w:widowControl/>
        <w:snapToGrid w:val="0"/>
        <w:spacing w:line="360" w:lineRule="auto"/>
        <w:rPr>
          <w:color w:val="auto"/>
          <w:kern w:val="2"/>
          <w:sz w:val="24"/>
          <w:highlight w:val="none"/>
        </w:rPr>
      </w:pPr>
      <w:r>
        <w:rPr>
          <w:rFonts w:hint="eastAsia"/>
          <w:color w:val="auto"/>
          <w:kern w:val="2"/>
          <w:sz w:val="24"/>
          <w:highlight w:val="none"/>
        </w:rPr>
        <w:t>3.9评标结果</w:t>
      </w:r>
    </w:p>
    <w:p>
      <w:pPr>
        <w:widowControl/>
        <w:snapToGrid w:val="0"/>
        <w:spacing w:line="360" w:lineRule="auto"/>
        <w:ind w:firstLine="480"/>
        <w:rPr>
          <w:color w:val="auto"/>
          <w:kern w:val="2"/>
          <w:sz w:val="24"/>
          <w:highlight w:val="none"/>
        </w:rPr>
      </w:pPr>
      <w:r>
        <w:rPr>
          <w:rFonts w:hint="eastAsia"/>
          <w:color w:val="auto"/>
          <w:kern w:val="2"/>
          <w:sz w:val="24"/>
          <w:highlight w:val="none"/>
        </w:rPr>
        <w:t>3.9.1除第二章“投标人须知”前附表授权直接确定中标人外，评标委员会按照得分由高到低的顺序推荐中标候选人，并标明排序。</w:t>
      </w:r>
    </w:p>
    <w:p>
      <w:pPr>
        <w:jc w:val="both"/>
        <w:rPr>
          <w:rFonts w:hint="default"/>
          <w:b/>
          <w:bCs/>
          <w:sz w:val="28"/>
          <w:szCs w:val="36"/>
          <w:lang w:val="en-US" w:eastAsia="zh-CN"/>
        </w:rPr>
      </w:pPr>
      <w:r>
        <w:rPr>
          <w:rFonts w:hint="eastAsia"/>
          <w:color w:val="auto"/>
          <w:kern w:val="2"/>
          <w:sz w:val="24"/>
          <w:highlight w:val="none"/>
        </w:rPr>
        <w:t>3.9.2评标委员会完成评标后，应向招标人提交书面评标报告。</w:t>
      </w:r>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MSAPD+CIDFont+F6">
    <w:altName w:val="Verdana"/>
    <w:panose1 w:val="02010600030101010101"/>
    <w:charset w:val="01"/>
    <w:family w:val="auto"/>
    <w:pitch w:val="default"/>
    <w:sig w:usb0="00000000" w:usb1="00000000" w:usb2="01010101" w:usb3="01010101" w:csb0="01010101" w:csb1="01010101"/>
  </w:font>
  <w:font w:name="Verdana">
    <w:panose1 w:val="020B0604030504040204"/>
    <w:charset w:val="00"/>
    <w:family w:val="auto"/>
    <w:pitch w:val="default"/>
    <w:sig w:usb0="A10006FF" w:usb1="4000205B" w:usb2="00000010" w:usb3="00000000" w:csb0="2000019F" w:csb1="00000000"/>
  </w:font>
  <w:font w:name="Verdana">
    <w:panose1 w:val="020B0604030504040204"/>
    <w:charset w:val="01"/>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53ED0"/>
    <w:multiLevelType w:val="multilevel"/>
    <w:tmpl w:val="1FA53ED0"/>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5A67AD"/>
    <w:multiLevelType w:val="multilevel"/>
    <w:tmpl w:val="205A67A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9D7DA8"/>
    <w:multiLevelType w:val="multilevel"/>
    <w:tmpl w:val="539D7DA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946298"/>
    <w:multiLevelType w:val="singleLevel"/>
    <w:tmpl w:val="5C946298"/>
    <w:lvl w:ilvl="0" w:tentative="0">
      <w:start w:val="1"/>
      <w:numFmt w:val="decimal"/>
      <w:lvlText w:val="(%1)"/>
      <w:lvlJc w:val="left"/>
      <w:pPr>
        <w:ind w:left="0" w:hanging="425"/>
      </w:pPr>
      <w:rPr>
        <w:rFonts w:hint="default"/>
        <w:w w:val="100"/>
      </w:rPr>
    </w:lvl>
  </w:abstractNum>
  <w:abstractNum w:abstractNumId="4">
    <w:nsid w:val="5C946299"/>
    <w:multiLevelType w:val="singleLevel"/>
    <w:tmpl w:val="5C946299"/>
    <w:lvl w:ilvl="0" w:tentative="0">
      <w:start w:val="1"/>
      <w:numFmt w:val="lowerLetter"/>
      <w:lvlText w:val="%1."/>
      <w:lvlJc w:val="left"/>
      <w:pPr>
        <w:ind w:left="0" w:hanging="425"/>
      </w:pPr>
      <w:rPr>
        <w:rFonts w:hint="default"/>
        <w:w w:val="100"/>
      </w:rPr>
    </w:lvl>
  </w:abstractNum>
  <w:abstractNum w:abstractNumId="5">
    <w:nsid w:val="5C94629B"/>
    <w:multiLevelType w:val="singleLevel"/>
    <w:tmpl w:val="5C94629B"/>
    <w:lvl w:ilvl="0" w:tentative="0">
      <w:start w:val="1"/>
      <w:numFmt w:val="lowerLetter"/>
      <w:lvlText w:val="%1."/>
      <w:lvlJc w:val="left"/>
      <w:pPr>
        <w:ind w:left="0" w:hanging="425"/>
      </w:pPr>
      <w:rPr>
        <w:rFonts w:hint="default"/>
        <w:w w:val="100"/>
      </w:rPr>
    </w:lvl>
  </w:abstractNum>
  <w:abstractNum w:abstractNumId="6">
    <w:nsid w:val="5C94629C"/>
    <w:multiLevelType w:val="singleLevel"/>
    <w:tmpl w:val="5C94629C"/>
    <w:lvl w:ilvl="0" w:tentative="0">
      <w:start w:val="1"/>
      <w:numFmt w:val="decimal"/>
      <w:lvlText w:val="(%1)"/>
      <w:lvlJc w:val="left"/>
      <w:pPr>
        <w:ind w:left="0" w:hanging="425"/>
      </w:pPr>
      <w:rPr>
        <w:rFonts w:hint="default"/>
        <w:w w:val="100"/>
      </w:rPr>
    </w:lvl>
  </w:abstractNum>
  <w:abstractNum w:abstractNumId="7">
    <w:nsid w:val="5C94629D"/>
    <w:multiLevelType w:val="singleLevel"/>
    <w:tmpl w:val="5C94629D"/>
    <w:lvl w:ilvl="0" w:tentative="0">
      <w:start w:val="1"/>
      <w:numFmt w:val="decimal"/>
      <w:lvlText w:val="(%1)"/>
      <w:lvlJc w:val="left"/>
      <w:pPr>
        <w:ind w:left="0" w:hanging="425"/>
      </w:pPr>
      <w:rPr>
        <w:rFonts w:hint="default"/>
        <w:w w:val="100"/>
      </w:rPr>
    </w:lvl>
  </w:abstractNum>
  <w:abstractNum w:abstractNumId="8">
    <w:nsid w:val="5C94629E"/>
    <w:multiLevelType w:val="singleLevel"/>
    <w:tmpl w:val="5C94629E"/>
    <w:lvl w:ilvl="0" w:tentative="0">
      <w:start w:val="1"/>
      <w:numFmt w:val="decimal"/>
      <w:lvlText w:val="(%1)"/>
      <w:lvlJc w:val="left"/>
      <w:pPr>
        <w:ind w:left="0" w:hanging="425"/>
      </w:pPr>
      <w:rPr>
        <w:rFonts w:hint="default"/>
        <w:w w:val="100"/>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92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autoSpaceDE/>
      <w:autoSpaceDN/>
      <w:spacing w:before="0" w:after="0" w:line="240" w:lineRule="auto"/>
      <w:ind w:left="0" w:firstLine="0"/>
    </w:pPr>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hiong</cp:lastModifiedBy>
  <dcterms:modified xsi:type="dcterms:W3CDTF">2020-03-23T09:10:23Z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