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sz w:val="28"/>
          <w:szCs w:val="28"/>
        </w:rPr>
      </w:pPr>
      <w:bookmarkStart w:id="0" w:name="_GoBack"/>
      <w:bookmarkEnd w:id="0"/>
      <w:r>
        <w:rPr>
          <w:rFonts w:hint="eastAsia" w:hAnsi="宋体" w:cs="宋体"/>
          <w:b/>
          <w:sz w:val="28"/>
          <w:szCs w:val="28"/>
        </w:rPr>
        <w:t>附录1 资格审查条件（资质最低条件）</w:t>
      </w:r>
    </w:p>
    <w:p>
      <w:pPr>
        <w:jc w:val="center"/>
        <w:rPr>
          <w:rFonts w:hAnsi="宋体" w:cs="宋体"/>
          <w:b/>
          <w:sz w:val="24"/>
          <w:szCs w:val="28"/>
        </w:rPr>
      </w:pPr>
    </w:p>
    <w:tbl>
      <w:tblPr>
        <w:tblStyle w:val="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90" w:hRule="atLeast"/>
          <w:tblHeader/>
        </w:trPr>
        <w:tc>
          <w:tcPr>
            <w:tcW w:w="9288" w:type="dxa"/>
            <w:vAlign w:val="center"/>
          </w:tcPr>
          <w:p>
            <w:pPr>
              <w:jc w:val="center"/>
              <w:rPr>
                <w:rFonts w:hAnsi="宋体" w:cs="宋体"/>
                <w:b/>
                <w:sz w:val="28"/>
                <w:szCs w:val="28"/>
              </w:rPr>
            </w:pPr>
            <w:r>
              <w:rPr>
                <w:rFonts w:hint="eastAsia" w:hAnsi="宋体" w:cs="宋体"/>
                <w:b/>
                <w:sz w:val="28"/>
                <w:szCs w:val="28"/>
              </w:rPr>
              <w:t>投标单位资质等级要求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6778" w:hRule="atLeast"/>
        </w:trPr>
        <w:tc>
          <w:tcPr>
            <w:tcW w:w="9288" w:type="dxa"/>
            <w:vAlign w:val="center"/>
          </w:tcPr>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一、</w:t>
            </w:r>
            <w:r>
              <w:rPr>
                <w:rFonts w:ascii="Times New Roman"/>
                <w:sz w:val="24"/>
                <w:szCs w:val="24"/>
              </w:rPr>
              <w:t>本次招标要求具有独立法人资格的水泥制造商或者水泥制造商特许的合法代理商（代理商须具有制造商针对</w:t>
            </w:r>
            <w:r>
              <w:rPr>
                <w:rFonts w:ascii="Times New Roman"/>
                <w:b/>
                <w:sz w:val="24"/>
                <w:szCs w:val="24"/>
              </w:rPr>
              <w:t>本项目</w:t>
            </w:r>
            <w:r>
              <w:rPr>
                <w:rFonts w:ascii="Times New Roman"/>
                <w:sz w:val="24"/>
                <w:szCs w:val="24"/>
              </w:rPr>
              <w:t>投标的唯一授权书，具有合法的经营资格）</w:t>
            </w:r>
            <w:r>
              <w:rPr>
                <w:rFonts w:hint="eastAsia" w:ascii="Times New Roman"/>
                <w:sz w:val="24"/>
                <w:szCs w:val="24"/>
              </w:rPr>
              <w:t>，并满足招标文件规定的其他要求</w:t>
            </w:r>
            <w:r>
              <w:rPr>
                <w:rFonts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1、</w:t>
            </w:r>
            <w:r>
              <w:rPr>
                <w:rFonts w:ascii="Times New Roman"/>
                <w:sz w:val="24"/>
                <w:szCs w:val="24"/>
              </w:rPr>
              <w:t>若为水泥制造商</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（1）</w:t>
            </w:r>
            <w:r>
              <w:rPr>
                <w:rFonts w:ascii="Times New Roman"/>
                <w:sz w:val="24"/>
                <w:szCs w:val="24"/>
              </w:rPr>
              <w:t>具备</w:t>
            </w:r>
            <w:r>
              <w:rPr>
                <w:rFonts w:hint="eastAsia" w:ascii="Times New Roman"/>
                <w:sz w:val="24"/>
                <w:szCs w:val="24"/>
              </w:rPr>
              <w:t>有效的</w:t>
            </w:r>
            <w:r>
              <w:rPr>
                <w:rFonts w:ascii="Times New Roman"/>
                <w:sz w:val="24"/>
                <w:szCs w:val="24"/>
              </w:rPr>
              <w:t>企业</w:t>
            </w:r>
            <w:r>
              <w:rPr>
                <w:rFonts w:hint="eastAsia" w:ascii="Times New Roman"/>
                <w:sz w:val="24"/>
                <w:szCs w:val="24"/>
              </w:rPr>
              <w:t>法人</w:t>
            </w:r>
            <w:r>
              <w:rPr>
                <w:rFonts w:ascii="Times New Roman"/>
                <w:sz w:val="24"/>
                <w:szCs w:val="24"/>
              </w:rPr>
              <w:t>营业执照</w:t>
            </w:r>
            <w:r>
              <w:rPr>
                <w:rFonts w:hint="eastAsia" w:ascii="Times New Roman"/>
                <w:sz w:val="24"/>
                <w:szCs w:val="24"/>
              </w:rPr>
              <w:t>和基本账户开户许可证；</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（2）</w:t>
            </w:r>
            <w:r>
              <w:rPr>
                <w:rFonts w:ascii="Times New Roman"/>
                <w:sz w:val="24"/>
                <w:szCs w:val="24"/>
              </w:rPr>
              <w:t>具有有效的ISO9000质量认证（认证范围覆盖本次招标货物）</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（3）</w:t>
            </w:r>
            <w:r>
              <w:rPr>
                <w:rFonts w:ascii="Times New Roman"/>
                <w:sz w:val="24"/>
                <w:szCs w:val="24"/>
              </w:rPr>
              <w:t>具有有效的本次招标货物的全国工业产品生产许可证（含附后明细栏）</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（4）拥有</w:t>
            </w:r>
            <w:r>
              <w:rPr>
                <w:rFonts w:ascii="Times New Roman"/>
                <w:sz w:val="24"/>
                <w:szCs w:val="24"/>
              </w:rPr>
              <w:t>新型干法单旋窑水泥年产60万吨及以上生产线，年水泥产能100万吨以上</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（5）</w:t>
            </w:r>
            <w:r>
              <w:rPr>
                <w:rFonts w:hint="eastAsia" w:hAnsi="宋体" w:cs="宋体"/>
                <w:sz w:val="24"/>
              </w:rPr>
              <w:t>提供2019年至今，省部级质量检测机构出具的本次投标产品中任意一个品规的质量检测合格报告</w:t>
            </w:r>
            <w:r>
              <w:rPr>
                <w:rFonts w:hint="eastAsia" w:ascii="Times New Roman"/>
                <w:sz w:val="24"/>
                <w:szCs w:val="24"/>
              </w:rPr>
              <w:t>。</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（6）</w:t>
            </w:r>
            <w:r>
              <w:rPr>
                <w:rFonts w:ascii="Times New Roman"/>
                <w:sz w:val="24"/>
                <w:szCs w:val="24"/>
              </w:rPr>
              <w:t>投标水泥必须在原厂生产线制造，不允许使用原产地生产许可证投标，异地生产供货；不允许粉磨站生产厂投标。</w:t>
            </w:r>
          </w:p>
          <w:p>
            <w:pPr>
              <w:widowControl/>
              <w:shd w:val="clear" w:color="auto" w:fill="FFFFFF"/>
              <w:spacing w:line="300" w:lineRule="auto"/>
              <w:ind w:firstLine="480" w:firstLineChars="200"/>
              <w:rPr>
                <w:rFonts w:ascii="Times New Roman"/>
                <w:sz w:val="24"/>
                <w:szCs w:val="24"/>
              </w:rPr>
            </w:pPr>
            <w:r>
              <w:rPr>
                <w:rFonts w:hint="eastAsia" w:ascii="Times New Roman"/>
                <w:sz w:val="24"/>
                <w:szCs w:val="24"/>
              </w:rPr>
              <w:t>2、</w:t>
            </w:r>
            <w:r>
              <w:rPr>
                <w:rFonts w:ascii="Times New Roman"/>
                <w:sz w:val="24"/>
                <w:szCs w:val="24"/>
              </w:rPr>
              <w:t xml:space="preserve"> 若为特许代理商</w:t>
            </w:r>
            <w:r>
              <w:rPr>
                <w:rFonts w:hint="eastAsia" w:ascii="Times New Roman"/>
                <w:sz w:val="24"/>
                <w:szCs w:val="24"/>
              </w:rPr>
              <w:t>：</w:t>
            </w:r>
          </w:p>
          <w:p>
            <w:pPr>
              <w:widowControl/>
              <w:shd w:val="clear" w:color="auto" w:fill="FFFFFF"/>
              <w:spacing w:line="300" w:lineRule="auto"/>
              <w:ind w:left="480"/>
              <w:rPr>
                <w:rFonts w:ascii="Times New Roman"/>
                <w:sz w:val="24"/>
                <w:szCs w:val="24"/>
              </w:rPr>
            </w:pPr>
            <w:r>
              <w:rPr>
                <w:rFonts w:hint="eastAsia" w:ascii="Times New Roman"/>
                <w:sz w:val="24"/>
                <w:szCs w:val="24"/>
              </w:rPr>
              <w:t>（1）</w:t>
            </w:r>
            <w:r>
              <w:rPr>
                <w:rFonts w:ascii="Times New Roman"/>
                <w:sz w:val="24"/>
                <w:szCs w:val="24"/>
              </w:rPr>
              <w:t>具备</w:t>
            </w:r>
            <w:r>
              <w:rPr>
                <w:rFonts w:hint="eastAsia" w:ascii="Times New Roman"/>
                <w:sz w:val="24"/>
                <w:szCs w:val="24"/>
              </w:rPr>
              <w:t>有效的</w:t>
            </w:r>
            <w:r>
              <w:rPr>
                <w:rFonts w:ascii="Times New Roman"/>
                <w:sz w:val="24"/>
                <w:szCs w:val="24"/>
              </w:rPr>
              <w:t>企业</w:t>
            </w:r>
            <w:r>
              <w:rPr>
                <w:rFonts w:hint="eastAsia" w:ascii="Times New Roman"/>
                <w:sz w:val="24"/>
                <w:szCs w:val="24"/>
              </w:rPr>
              <w:t>法人</w:t>
            </w:r>
            <w:r>
              <w:rPr>
                <w:rFonts w:ascii="Times New Roman"/>
                <w:sz w:val="24"/>
                <w:szCs w:val="24"/>
              </w:rPr>
              <w:t>营业执照</w:t>
            </w:r>
            <w:r>
              <w:rPr>
                <w:rFonts w:hint="eastAsia" w:ascii="Times New Roman"/>
                <w:sz w:val="24"/>
                <w:szCs w:val="24"/>
              </w:rPr>
              <w:t>和基本账户开户许可证。</w:t>
            </w:r>
          </w:p>
          <w:p>
            <w:pPr>
              <w:widowControl/>
              <w:shd w:val="clear" w:color="auto" w:fill="FFFFFF"/>
              <w:spacing w:line="300" w:lineRule="auto"/>
              <w:ind w:left="480"/>
              <w:rPr>
                <w:rFonts w:ascii="Times New Roman"/>
                <w:sz w:val="24"/>
                <w:szCs w:val="24"/>
              </w:rPr>
            </w:pPr>
            <w:r>
              <w:rPr>
                <w:rFonts w:hint="eastAsia" w:ascii="Times New Roman"/>
                <w:sz w:val="24"/>
                <w:szCs w:val="24"/>
              </w:rPr>
              <w:t>（2）</w:t>
            </w:r>
            <w:r>
              <w:rPr>
                <w:rFonts w:ascii="Times New Roman"/>
                <w:sz w:val="24"/>
                <w:szCs w:val="24"/>
              </w:rPr>
              <w:t>其投标货物的制造商应</w:t>
            </w:r>
            <w:r>
              <w:rPr>
                <w:rFonts w:hint="eastAsia" w:ascii="Times New Roman"/>
                <w:sz w:val="24"/>
                <w:szCs w:val="24"/>
              </w:rPr>
              <w:t>满足3.2款对制造商的相关要求。</w:t>
            </w:r>
          </w:p>
          <w:p>
            <w:pPr>
              <w:spacing w:line="300" w:lineRule="auto"/>
              <w:ind w:firstLine="480" w:firstLineChars="200"/>
              <w:jc w:val="both"/>
              <w:rPr>
                <w:rFonts w:hAnsi="宋体" w:cs="宋体"/>
                <w:sz w:val="24"/>
              </w:rPr>
            </w:pPr>
            <w:r>
              <w:rPr>
                <w:rFonts w:hint="eastAsia" w:hAnsi="宋体" w:cs="宋体"/>
                <w:sz w:val="24"/>
              </w:rPr>
              <w:t>3、本次招标采取资格后审方式，不接受联合体，不允许分包。投标人可以对3个合同段进行投标，但只能中1个合同段。</w:t>
            </w:r>
          </w:p>
          <w:p>
            <w:pPr>
              <w:spacing w:line="300" w:lineRule="auto"/>
              <w:ind w:firstLine="480" w:firstLineChars="200"/>
              <w:jc w:val="both"/>
              <w:rPr>
                <w:rFonts w:hAnsi="宋体" w:cs="宋体"/>
                <w:sz w:val="24"/>
              </w:rPr>
            </w:pPr>
            <w:r>
              <w:rPr>
                <w:rFonts w:hint="eastAsia" w:hAnsi="宋体" w:cs="宋体"/>
                <w:sz w:val="24"/>
              </w:rPr>
              <w:t>4、与招标人存在利害关系可能影响招标公正性的法人、其他组织或者个人，不得参加投标。</w:t>
            </w:r>
          </w:p>
          <w:p>
            <w:pPr>
              <w:snapToGrid w:val="0"/>
              <w:ind w:firstLine="480" w:firstLineChars="200"/>
              <w:rPr>
                <w:rFonts w:hAnsi="宋体" w:cs="宋体"/>
                <w:sz w:val="24"/>
              </w:rPr>
            </w:pPr>
            <w:r>
              <w:rPr>
                <w:rFonts w:hint="eastAsia" w:hAnsi="宋体" w:cs="宋体"/>
                <w:sz w:val="24"/>
              </w:rPr>
              <w:t>单位负责人为同一人或者存在控股、管理关系的不同单位，不得参加同一标段投标或者未划分标段的统一招标项目投标。</w:t>
            </w:r>
          </w:p>
          <w:p>
            <w:pPr>
              <w:spacing w:line="360" w:lineRule="auto"/>
              <w:ind w:firstLine="480" w:firstLineChars="200"/>
              <w:rPr>
                <w:rFonts w:ascii="Times New Roman"/>
                <w:sz w:val="24"/>
                <w:szCs w:val="24"/>
              </w:rPr>
            </w:pPr>
            <w:r>
              <w:rPr>
                <w:rFonts w:hint="eastAsia" w:ascii="Times New Roman"/>
                <w:sz w:val="24"/>
                <w:szCs w:val="24"/>
              </w:rPr>
              <w:t>违反前两款规定的，相关投标均无效。</w:t>
            </w:r>
          </w:p>
          <w:p>
            <w:pPr>
              <w:spacing w:line="360" w:lineRule="auto"/>
              <w:ind w:firstLine="480" w:firstLineChars="200"/>
              <w:rPr>
                <w:rFonts w:ascii="Times New Roman"/>
                <w:sz w:val="24"/>
              </w:rPr>
            </w:pPr>
            <w:r>
              <w:rPr>
                <w:rFonts w:hint="eastAsia" w:hAnsi="宋体" w:cs="Arial"/>
                <w:sz w:val="24"/>
              </w:rPr>
              <w:t xml:space="preserve">5、 </w:t>
            </w:r>
            <w:r>
              <w:rPr>
                <w:rFonts w:ascii="Times New Roman"/>
                <w:sz w:val="24"/>
                <w:szCs w:val="24"/>
              </w:rPr>
              <w:t>一个制造（生产）商仅能委托一个代理商参加</w:t>
            </w:r>
            <w:r>
              <w:rPr>
                <w:rFonts w:hint="eastAsia" w:ascii="Times New Roman"/>
                <w:sz w:val="24"/>
                <w:szCs w:val="24"/>
              </w:rPr>
              <w:t>本项目</w:t>
            </w:r>
            <w:r>
              <w:rPr>
                <w:rFonts w:ascii="Times New Roman"/>
                <w:sz w:val="24"/>
                <w:szCs w:val="24"/>
              </w:rPr>
              <w:t>投标</w:t>
            </w:r>
            <w:r>
              <w:rPr>
                <w:rFonts w:hint="eastAsia" w:ascii="Times New Roman"/>
                <w:sz w:val="24"/>
                <w:szCs w:val="24"/>
              </w:rPr>
              <w:t>(同一制造（生产）商不允许委托不同代理商在不同标段分别投标)</w:t>
            </w:r>
            <w:r>
              <w:rPr>
                <w:rFonts w:ascii="Times New Roman"/>
                <w:sz w:val="24"/>
                <w:szCs w:val="24"/>
              </w:rPr>
              <w:t>，</w:t>
            </w:r>
            <w:r>
              <w:rPr>
                <w:rFonts w:ascii="Times New Roman"/>
                <w:sz w:val="24"/>
              </w:rPr>
              <w:t>且同一产品的</w:t>
            </w:r>
            <w:r>
              <w:rPr>
                <w:rFonts w:ascii="Times New Roman"/>
                <w:sz w:val="24"/>
                <w:szCs w:val="24"/>
              </w:rPr>
              <w:t>制造（生产）</w:t>
            </w:r>
            <w:r>
              <w:rPr>
                <w:rFonts w:ascii="Times New Roman"/>
                <w:sz w:val="24"/>
              </w:rPr>
              <w:t>商和其代理商不得同时参加投标，</w:t>
            </w:r>
            <w:r>
              <w:rPr>
                <w:rFonts w:ascii="Times New Roman"/>
                <w:sz w:val="24"/>
                <w:szCs w:val="24"/>
              </w:rPr>
              <w:t>否则其</w:t>
            </w:r>
            <w:r>
              <w:rPr>
                <w:rFonts w:ascii="Times New Roman"/>
                <w:sz w:val="24"/>
              </w:rPr>
              <w:t>投标文件将均被否决</w:t>
            </w:r>
            <w:r>
              <w:rPr>
                <w:rFonts w:hint="eastAsia" w:ascii="Times New Roman"/>
                <w:sz w:val="24"/>
              </w:rPr>
              <w:t>。</w:t>
            </w:r>
          </w:p>
          <w:p>
            <w:pPr>
              <w:spacing w:line="360" w:lineRule="auto"/>
              <w:ind w:firstLine="480" w:firstLineChars="200"/>
              <w:rPr>
                <w:rFonts w:hAnsi="宋体" w:cs="Arial"/>
                <w:sz w:val="24"/>
              </w:rPr>
            </w:pPr>
            <w:r>
              <w:rPr>
                <w:rFonts w:hint="eastAsia" w:ascii="Times New Roman"/>
                <w:sz w:val="24"/>
                <w:szCs w:val="24"/>
              </w:rPr>
              <w:t>一个</w:t>
            </w:r>
            <w:r>
              <w:rPr>
                <w:rFonts w:ascii="Times New Roman"/>
                <w:sz w:val="24"/>
                <w:szCs w:val="24"/>
              </w:rPr>
              <w:t>特许</w:t>
            </w:r>
            <w:r>
              <w:rPr>
                <w:rFonts w:hint="eastAsia" w:ascii="Times New Roman"/>
                <w:sz w:val="24"/>
                <w:szCs w:val="24"/>
              </w:rPr>
              <w:t>代理商只能代理一家</w:t>
            </w:r>
            <w:r>
              <w:rPr>
                <w:rFonts w:ascii="Times New Roman"/>
                <w:sz w:val="24"/>
                <w:szCs w:val="24"/>
              </w:rPr>
              <w:t>制造（生产）</w:t>
            </w:r>
            <w:r>
              <w:rPr>
                <w:rFonts w:hint="eastAsia" w:ascii="Times New Roman"/>
                <w:sz w:val="24"/>
                <w:szCs w:val="24"/>
              </w:rPr>
              <w:t>商的产品参与一个标段的投标</w:t>
            </w:r>
          </w:p>
        </w:tc>
      </w:tr>
    </w:tbl>
    <w:p>
      <w:pPr>
        <w:jc w:val="center"/>
        <w:rPr>
          <w:rFonts w:hAnsi="宋体" w:cs="宋体"/>
          <w:b/>
          <w:sz w:val="28"/>
          <w:szCs w:val="28"/>
        </w:rPr>
      </w:pPr>
    </w:p>
    <w:p>
      <w:pPr>
        <w:jc w:val="center"/>
        <w:rPr>
          <w:rFonts w:hAnsi="宋体" w:cs="宋体"/>
          <w:b/>
          <w:sz w:val="28"/>
          <w:szCs w:val="28"/>
        </w:rPr>
      </w:pPr>
    </w:p>
    <w:p>
      <w:pPr>
        <w:jc w:val="center"/>
        <w:rPr>
          <w:rFonts w:hAnsi="宋体" w:cs="宋体"/>
          <w:b/>
          <w:sz w:val="28"/>
          <w:szCs w:val="28"/>
        </w:rPr>
      </w:pPr>
    </w:p>
    <w:p>
      <w:pPr>
        <w:jc w:val="center"/>
        <w:rPr>
          <w:rFonts w:hAnsi="宋体" w:cs="宋体"/>
          <w:b/>
          <w:sz w:val="28"/>
          <w:szCs w:val="28"/>
        </w:rPr>
      </w:pPr>
      <w:r>
        <w:rPr>
          <w:rFonts w:hint="eastAsia" w:hAnsi="宋体" w:cs="宋体"/>
          <w:b/>
          <w:sz w:val="28"/>
          <w:szCs w:val="28"/>
        </w:rPr>
        <w:t>附录2 资格审查条件（财务最低要求）</w:t>
      </w:r>
    </w:p>
    <w:p>
      <w:pPr>
        <w:jc w:val="center"/>
        <w:rPr>
          <w:rFonts w:hAnsi="宋体" w:cs="宋体"/>
          <w:b/>
          <w:sz w:val="28"/>
          <w:szCs w:val="28"/>
        </w:rPr>
      </w:pPr>
    </w:p>
    <w:tbl>
      <w:tblPr>
        <w:tblStyle w:val="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28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95" w:hRule="atLeast"/>
          <w:tblHeader/>
        </w:trPr>
        <w:tc>
          <w:tcPr>
            <w:tcW w:w="9288" w:type="dxa"/>
            <w:vAlign w:val="center"/>
          </w:tcPr>
          <w:p>
            <w:pPr>
              <w:ind w:firstLine="560" w:firstLineChars="200"/>
              <w:jc w:val="center"/>
              <w:rPr>
                <w:rFonts w:hAnsi="宋体" w:cs="宋体"/>
                <w:sz w:val="28"/>
                <w:szCs w:val="28"/>
              </w:rPr>
            </w:pPr>
            <w:r>
              <w:rPr>
                <w:rFonts w:hint="eastAsia" w:hAnsi="宋体" w:cs="宋体"/>
                <w:sz w:val="28"/>
                <w:szCs w:val="28"/>
              </w:rPr>
              <w:t>财务要求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2179" w:hRule="atLeast"/>
        </w:trPr>
        <w:tc>
          <w:tcPr>
            <w:tcW w:w="9288" w:type="dxa"/>
            <w:vAlign w:val="center"/>
          </w:tcPr>
          <w:p>
            <w:pPr>
              <w:spacing w:line="300" w:lineRule="auto"/>
              <w:jc w:val="both"/>
              <w:rPr>
                <w:rFonts w:hAnsi="宋体" w:cs="宋体"/>
                <w:sz w:val="24"/>
                <w:szCs w:val="24"/>
              </w:rPr>
            </w:pPr>
            <w:r>
              <w:rPr>
                <w:rFonts w:hint="eastAsia" w:hAnsi="宋体" w:cs="宋体"/>
                <w:sz w:val="24"/>
                <w:szCs w:val="24"/>
              </w:rPr>
              <w:t>代理商或制造商，提供2018年度财务报表。</w:t>
            </w:r>
          </w:p>
          <w:p>
            <w:pPr>
              <w:spacing w:line="300" w:lineRule="auto"/>
              <w:jc w:val="both"/>
              <w:rPr>
                <w:rFonts w:hAnsi="宋体" w:cs="宋体"/>
                <w:sz w:val="24"/>
                <w:szCs w:val="24"/>
              </w:rPr>
            </w:pPr>
          </w:p>
        </w:tc>
      </w:tr>
    </w:tbl>
    <w:p>
      <w:pPr>
        <w:spacing w:line="360" w:lineRule="auto"/>
        <w:jc w:val="center"/>
        <w:rPr>
          <w:rFonts w:hAnsi="宋体" w:cs="宋体"/>
          <w:b/>
          <w:sz w:val="28"/>
          <w:szCs w:val="28"/>
        </w:rPr>
      </w:pPr>
      <w:r>
        <w:rPr>
          <w:rFonts w:hint="eastAsia" w:hAnsi="宋体" w:cs="宋体"/>
          <w:b/>
          <w:sz w:val="28"/>
          <w:szCs w:val="28"/>
        </w:rPr>
        <w:t>附录3 业绩要求</w:t>
      </w:r>
    </w:p>
    <w:tbl>
      <w:tblPr>
        <w:tblStyle w:val="6"/>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6" w:type="dxa"/>
          </w:tcPr>
          <w:p>
            <w:pPr>
              <w:jc w:val="center"/>
              <w:rPr>
                <w:rFonts w:hAnsi="宋体" w:cs="宋体"/>
                <w:sz w:val="28"/>
                <w:szCs w:val="28"/>
              </w:rPr>
            </w:pPr>
            <w:r>
              <w:rPr>
                <w:rFonts w:hint="eastAsia" w:hAnsi="宋体" w:cs="宋体"/>
                <w:sz w:val="28"/>
                <w:szCs w:val="28"/>
              </w:rPr>
              <w:t>无最低业绩要求</w:t>
            </w:r>
          </w:p>
        </w:tc>
      </w:tr>
    </w:tbl>
    <w:p>
      <w:pPr>
        <w:jc w:val="center"/>
        <w:rPr>
          <w:rFonts w:hAnsi="宋体" w:cs="宋体"/>
          <w:b/>
          <w:sz w:val="28"/>
          <w:szCs w:val="28"/>
        </w:rPr>
      </w:pPr>
      <w:r>
        <w:rPr>
          <w:rFonts w:hint="eastAsia" w:hAnsi="宋体" w:cs="宋体"/>
          <w:b/>
          <w:sz w:val="28"/>
          <w:szCs w:val="28"/>
        </w:rPr>
        <w:t>附录4 资格审查条件（信誉最低要求）</w:t>
      </w:r>
    </w:p>
    <w:tbl>
      <w:tblPr>
        <w:tblStyle w:val="6"/>
        <w:tblW w:w="911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95" w:hRule="atLeast"/>
          <w:tblHeader/>
        </w:trPr>
        <w:tc>
          <w:tcPr>
            <w:tcW w:w="9118" w:type="dxa"/>
            <w:vAlign w:val="center"/>
          </w:tcPr>
          <w:p>
            <w:pPr>
              <w:jc w:val="center"/>
              <w:rPr>
                <w:rFonts w:hAnsi="宋体" w:cs="宋体"/>
                <w:sz w:val="28"/>
                <w:szCs w:val="28"/>
              </w:rPr>
            </w:pPr>
            <w:r>
              <w:rPr>
                <w:rFonts w:hint="eastAsia" w:hAnsi="宋体" w:cs="宋体"/>
                <w:sz w:val="28"/>
                <w:szCs w:val="28"/>
              </w:rPr>
              <w:t>信誉要求</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2179" w:hRule="atLeast"/>
        </w:trPr>
        <w:tc>
          <w:tcPr>
            <w:tcW w:w="9118" w:type="dxa"/>
            <w:vAlign w:val="center"/>
          </w:tcPr>
          <w:p>
            <w:pPr>
              <w:spacing w:line="0" w:lineRule="atLeast"/>
              <w:jc w:val="both"/>
              <w:rPr>
                <w:rFonts w:hAnsi="宋体" w:cs="宋体"/>
                <w:sz w:val="24"/>
                <w:szCs w:val="24"/>
              </w:rPr>
            </w:pPr>
            <w:r>
              <w:rPr>
                <w:rFonts w:hint="eastAsia" w:hAnsi="宋体" w:cs="宋体"/>
                <w:sz w:val="24"/>
                <w:szCs w:val="24"/>
              </w:rPr>
              <w:t>（1）未被省级及以上交通运输主管部门取消招标项目所在地的投标资格且处于有效期内；</w:t>
            </w:r>
          </w:p>
          <w:p>
            <w:pPr>
              <w:spacing w:line="0" w:lineRule="atLeast"/>
              <w:jc w:val="both"/>
              <w:rPr>
                <w:rFonts w:hAnsi="宋体" w:cs="宋体"/>
                <w:sz w:val="24"/>
                <w:szCs w:val="24"/>
              </w:rPr>
            </w:pPr>
            <w:r>
              <w:rPr>
                <w:rFonts w:hint="eastAsia" w:hAnsi="宋体" w:cs="宋体"/>
                <w:sz w:val="24"/>
                <w:szCs w:val="24"/>
              </w:rPr>
              <w:t>（2）未被责令停业，未被暂扣或吊销执照，或未被吊销资质证书；</w:t>
            </w:r>
          </w:p>
          <w:p>
            <w:pPr>
              <w:spacing w:line="0" w:lineRule="atLeast"/>
              <w:jc w:val="both"/>
              <w:rPr>
                <w:rFonts w:hAnsi="宋体" w:cs="宋体"/>
                <w:sz w:val="24"/>
                <w:szCs w:val="24"/>
              </w:rPr>
            </w:pPr>
            <w:r>
              <w:rPr>
                <w:rFonts w:hint="eastAsia" w:hAnsi="宋体" w:cs="宋体"/>
                <w:sz w:val="24"/>
                <w:szCs w:val="24"/>
              </w:rPr>
              <w:t>（3）未进入清算程序，或未被被宣告破产，或未存在其他丧失履约能力的情形；</w:t>
            </w:r>
          </w:p>
          <w:p>
            <w:pPr>
              <w:spacing w:line="0" w:lineRule="atLeast"/>
              <w:jc w:val="both"/>
              <w:rPr>
                <w:rFonts w:hAnsi="宋体" w:cs="宋体"/>
                <w:sz w:val="24"/>
                <w:szCs w:val="24"/>
              </w:rPr>
            </w:pPr>
            <w:r>
              <w:rPr>
                <w:rFonts w:hint="eastAsia" w:hAnsi="宋体" w:cs="宋体"/>
                <w:sz w:val="24"/>
                <w:szCs w:val="24"/>
              </w:rPr>
              <w:t>（4）未在国家企业信用信息公示系统（http://www.gsxt.gov.cn/）中被列入严重违法失信企业名单；</w:t>
            </w:r>
          </w:p>
          <w:p>
            <w:pPr>
              <w:spacing w:line="0" w:lineRule="atLeast"/>
              <w:jc w:val="both"/>
              <w:rPr>
                <w:rFonts w:hAnsi="宋体" w:cs="宋体"/>
                <w:sz w:val="24"/>
                <w:szCs w:val="24"/>
              </w:rPr>
            </w:pPr>
            <w:r>
              <w:rPr>
                <w:rFonts w:hint="eastAsia" w:hAnsi="宋体" w:cs="宋体"/>
                <w:sz w:val="24"/>
                <w:szCs w:val="24"/>
              </w:rPr>
              <w:t>（5）未在“信用中国”网站（</w:t>
            </w:r>
            <w:r>
              <w:fldChar w:fldCharType="begin"/>
            </w:r>
            <w:r>
              <w:instrText xml:space="preserve"> HYPERLINK "http://www.creditchina.gov.cn/" </w:instrText>
            </w:r>
            <w:r>
              <w:fldChar w:fldCharType="separate"/>
            </w:r>
            <w:r>
              <w:rPr>
                <w:rFonts w:hint="eastAsia" w:hAnsi="宋体" w:cs="宋体"/>
                <w:sz w:val="24"/>
                <w:szCs w:val="24"/>
              </w:rPr>
              <w:t>http://www.creditchina.gov.cn/</w:t>
            </w:r>
            <w:r>
              <w:rPr>
                <w:rFonts w:hint="eastAsia" w:hAnsi="宋体" w:cs="宋体"/>
                <w:sz w:val="24"/>
                <w:szCs w:val="24"/>
              </w:rPr>
              <w:fldChar w:fldCharType="end"/>
            </w:r>
            <w:r>
              <w:rPr>
                <w:rFonts w:hint="eastAsia" w:hAnsi="宋体" w:cs="宋体"/>
                <w:sz w:val="24"/>
                <w:szCs w:val="24"/>
              </w:rPr>
              <w:t>）中被列入失信被执行人名单；</w:t>
            </w:r>
          </w:p>
          <w:p>
            <w:pPr>
              <w:spacing w:line="0" w:lineRule="atLeast"/>
              <w:jc w:val="both"/>
              <w:rPr>
                <w:rFonts w:hAnsi="宋体" w:cs="宋体"/>
                <w:sz w:val="24"/>
                <w:szCs w:val="24"/>
              </w:rPr>
            </w:pPr>
            <w:r>
              <w:rPr>
                <w:rFonts w:hint="eastAsia" w:hAnsi="宋体" w:cs="宋体"/>
                <w:sz w:val="24"/>
                <w:szCs w:val="24"/>
              </w:rPr>
              <w:t>（6）未发生法律法规或投标人须知前附表规定的其他情形。</w:t>
            </w:r>
          </w:p>
          <w:p>
            <w:pPr>
              <w:spacing w:line="0" w:lineRule="atLeast"/>
              <w:jc w:val="both"/>
              <w:rPr>
                <w:rFonts w:hAnsi="宋体"/>
                <w:sz w:val="24"/>
              </w:rPr>
            </w:pPr>
          </w:p>
        </w:tc>
      </w:tr>
    </w:tbl>
    <w:p>
      <w:pPr>
        <w:spacing w:line="300" w:lineRule="auto"/>
        <w:jc w:val="both"/>
        <w:rPr>
          <w:rFonts w:hAnsi="宋体" w:cs="宋体"/>
          <w:b/>
          <w:sz w:val="28"/>
          <w:szCs w:val="28"/>
        </w:rPr>
      </w:pPr>
    </w:p>
    <w:p>
      <w:pPr>
        <w:spacing w:line="300" w:lineRule="auto"/>
        <w:ind w:firstLine="422" w:firstLineChars="150"/>
        <w:jc w:val="center"/>
        <w:rPr>
          <w:rFonts w:hAnsi="宋体" w:cs="宋体"/>
          <w:b/>
          <w:sz w:val="28"/>
          <w:szCs w:val="28"/>
        </w:rPr>
      </w:pPr>
      <w:r>
        <w:rPr>
          <w:rFonts w:hint="eastAsia" w:hAnsi="宋体" w:cs="宋体"/>
          <w:b/>
          <w:sz w:val="28"/>
          <w:szCs w:val="28"/>
        </w:rPr>
        <w:t>附录5 其他要求</w:t>
      </w:r>
    </w:p>
    <w:tbl>
      <w:tblPr>
        <w:tblStyle w:val="6"/>
        <w:tblW w:w="9118"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1654" w:hRule="atLeast"/>
        </w:trPr>
        <w:tc>
          <w:tcPr>
            <w:tcW w:w="9118" w:type="dxa"/>
            <w:vAlign w:val="center"/>
          </w:tcPr>
          <w:p>
            <w:pPr>
              <w:spacing w:line="300" w:lineRule="auto"/>
              <w:ind w:firstLine="240" w:firstLineChars="100"/>
              <w:jc w:val="both"/>
              <w:rPr>
                <w:rFonts w:hAnsi="宋体" w:cs="宋体"/>
                <w:sz w:val="24"/>
                <w:szCs w:val="24"/>
              </w:rPr>
            </w:pPr>
            <w:r>
              <w:rPr>
                <w:rFonts w:hint="eastAsia" w:hAnsi="宋体" w:cs="宋体"/>
                <w:sz w:val="24"/>
              </w:rPr>
              <w:t>提供2019年至今，省部级质量检测机构出具的本次投标产品中任意一个品规的质量检测合格报告</w:t>
            </w:r>
          </w:p>
        </w:tc>
      </w:tr>
    </w:tbl>
    <w:p>
      <w:pPr>
        <w:spacing w:line="360" w:lineRule="auto"/>
        <w:rPr>
          <w:rFonts w:hAnsi="宋体" w:cs="宋体"/>
          <w:b/>
          <w:sz w:val="24"/>
        </w:rPr>
      </w:pPr>
    </w:p>
    <w:p>
      <w:pPr>
        <w:widowControl/>
        <w:autoSpaceDE/>
        <w:autoSpaceDN/>
        <w:adjustRightInd/>
        <w:textAlignment w:val="auto"/>
      </w:pPr>
      <w:r>
        <w:br w:type="page"/>
      </w:r>
    </w:p>
    <w:p>
      <w:pPr>
        <w:jc w:val="center"/>
        <w:rPr>
          <w:rFonts w:hAnsi="宋体" w:cs="宋体"/>
          <w:b/>
          <w:sz w:val="36"/>
          <w:szCs w:val="36"/>
        </w:rPr>
      </w:pPr>
      <w:r>
        <w:rPr>
          <w:rFonts w:hint="eastAsia" w:hAnsi="宋体" w:cs="宋体"/>
          <w:b/>
          <w:sz w:val="36"/>
          <w:szCs w:val="36"/>
        </w:rPr>
        <w:t>评标办法（经评审的最低投标价法）</w:t>
      </w:r>
    </w:p>
    <w:p>
      <w:pPr>
        <w:rPr>
          <w:rFonts w:hAnsi="宋体" w:cs="宋体"/>
          <w:b/>
          <w:sz w:val="28"/>
          <w:szCs w:val="28"/>
        </w:rPr>
      </w:pPr>
      <w:r>
        <w:rPr>
          <w:rFonts w:hint="eastAsia" w:hAnsi="宋体" w:cs="宋体"/>
          <w:b/>
          <w:sz w:val="28"/>
          <w:szCs w:val="28"/>
        </w:rPr>
        <w:t>评标办法前附表</w:t>
      </w:r>
    </w:p>
    <w:tbl>
      <w:tblPr>
        <w:tblStyle w:val="6"/>
        <w:tblW w:w="94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76"/>
        <w:gridCol w:w="200"/>
        <w:gridCol w:w="4136"/>
        <w:gridCol w:w="27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18" w:type="dxa"/>
            <w:gridSpan w:val="2"/>
          </w:tcPr>
          <w:p>
            <w:pPr>
              <w:spacing w:line="300" w:lineRule="auto"/>
              <w:ind w:firstLine="420"/>
              <w:jc w:val="center"/>
              <w:rPr>
                <w:rFonts w:hAnsi="宋体" w:cs="宋体"/>
                <w:b/>
                <w:kern w:val="2"/>
                <w:sz w:val="24"/>
                <w:szCs w:val="21"/>
              </w:rPr>
            </w:pPr>
            <w:r>
              <w:rPr>
                <w:rFonts w:hint="eastAsia" w:hAnsi="宋体" w:cs="宋体"/>
                <w:b/>
                <w:kern w:val="2"/>
                <w:sz w:val="24"/>
                <w:szCs w:val="21"/>
              </w:rPr>
              <w:t>条款号</w:t>
            </w:r>
          </w:p>
        </w:tc>
        <w:tc>
          <w:tcPr>
            <w:tcW w:w="7096" w:type="dxa"/>
            <w:gridSpan w:val="3"/>
          </w:tcPr>
          <w:p>
            <w:pPr>
              <w:spacing w:line="300" w:lineRule="auto"/>
              <w:ind w:firstLine="420"/>
              <w:jc w:val="both"/>
              <w:rPr>
                <w:rFonts w:hAnsi="宋体" w:cs="宋体"/>
                <w:b/>
                <w:kern w:val="2"/>
                <w:sz w:val="24"/>
                <w:szCs w:val="21"/>
              </w:rPr>
            </w:pPr>
            <w:r>
              <w:rPr>
                <w:rFonts w:hint="eastAsia" w:hAnsi="宋体" w:cs="宋体"/>
                <w:b/>
                <w:kern w:val="2"/>
                <w:sz w:val="24"/>
                <w:szCs w:val="21"/>
              </w:rPr>
              <w:t>评审因素与标准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00" w:lineRule="auto"/>
              <w:rPr>
                <w:rFonts w:hAnsi="宋体" w:cs="宋体"/>
                <w:kern w:val="2"/>
                <w:sz w:val="24"/>
                <w:szCs w:val="21"/>
              </w:rPr>
            </w:pPr>
            <w:r>
              <w:rPr>
                <w:rFonts w:hint="eastAsia" w:hAnsi="宋体" w:cs="宋体"/>
                <w:kern w:val="2"/>
                <w:sz w:val="24"/>
                <w:szCs w:val="21"/>
              </w:rPr>
              <w:t>2.1.1</w:t>
            </w:r>
          </w:p>
          <w:p>
            <w:pPr>
              <w:spacing w:line="300" w:lineRule="auto"/>
              <w:rPr>
                <w:rFonts w:hAnsi="宋体" w:cs="宋体"/>
                <w:b/>
                <w:kern w:val="2"/>
                <w:sz w:val="24"/>
                <w:szCs w:val="21"/>
              </w:rPr>
            </w:pPr>
            <w:r>
              <w:rPr>
                <w:rFonts w:hint="eastAsia" w:hAnsi="宋体" w:cs="宋体"/>
                <w:kern w:val="2"/>
                <w:sz w:val="24"/>
                <w:szCs w:val="21"/>
              </w:rPr>
              <w:t>2.1.3</w:t>
            </w:r>
          </w:p>
        </w:tc>
        <w:tc>
          <w:tcPr>
            <w:tcW w:w="1076" w:type="dxa"/>
            <w:vAlign w:val="center"/>
          </w:tcPr>
          <w:p>
            <w:pPr>
              <w:spacing w:line="300" w:lineRule="auto"/>
              <w:rPr>
                <w:rFonts w:hAnsi="宋体" w:cs="宋体"/>
                <w:b/>
                <w:kern w:val="2"/>
                <w:sz w:val="24"/>
                <w:szCs w:val="21"/>
              </w:rPr>
            </w:pPr>
            <w:r>
              <w:rPr>
                <w:rFonts w:hint="eastAsia" w:hAnsi="宋体" w:cs="宋体"/>
                <w:b/>
                <w:kern w:val="2"/>
                <w:sz w:val="24"/>
                <w:szCs w:val="21"/>
              </w:rPr>
              <w:t>第一信封形式评审与响应性评审标准</w:t>
            </w:r>
          </w:p>
        </w:tc>
        <w:tc>
          <w:tcPr>
            <w:tcW w:w="7096" w:type="dxa"/>
            <w:gridSpan w:val="3"/>
          </w:tcPr>
          <w:p>
            <w:pPr>
              <w:spacing w:line="300" w:lineRule="auto"/>
              <w:jc w:val="both"/>
              <w:rPr>
                <w:rFonts w:hAnsi="宋体" w:cs="宋体"/>
                <w:kern w:val="2"/>
                <w:sz w:val="24"/>
                <w:szCs w:val="21"/>
              </w:rPr>
            </w:pPr>
            <w:r>
              <w:rPr>
                <w:rFonts w:hint="eastAsia" w:hAnsi="宋体" w:cs="宋体"/>
                <w:kern w:val="2"/>
                <w:sz w:val="24"/>
                <w:szCs w:val="21"/>
              </w:rPr>
              <w:t>（1）投标文件按照招标文件规定的格式、内容填写，字迹清晰可辨：</w:t>
            </w:r>
          </w:p>
          <w:p>
            <w:pPr>
              <w:spacing w:line="300" w:lineRule="auto"/>
              <w:jc w:val="both"/>
              <w:rPr>
                <w:rFonts w:hAnsi="宋体" w:cs="宋体"/>
                <w:kern w:val="2"/>
                <w:sz w:val="24"/>
                <w:szCs w:val="21"/>
              </w:rPr>
            </w:pPr>
            <w:r>
              <w:rPr>
                <w:rFonts w:hint="eastAsia" w:hAnsi="宋体" w:cs="宋体"/>
                <w:kern w:val="2"/>
                <w:sz w:val="24"/>
                <w:szCs w:val="21"/>
              </w:rPr>
              <w:t>（2）投标文件上法定代表人的签字或者印章，或其授权代理人的签字、投标人的单位章盖章齐全，符合招标文件规定（投标人须知前附表3.7.3款）。</w:t>
            </w:r>
          </w:p>
          <w:p>
            <w:pPr>
              <w:spacing w:line="300" w:lineRule="auto"/>
              <w:ind w:firstLine="420"/>
              <w:jc w:val="both"/>
              <w:rPr>
                <w:rFonts w:hAnsi="宋体" w:cs="宋体"/>
                <w:kern w:val="2"/>
                <w:sz w:val="24"/>
                <w:szCs w:val="21"/>
              </w:rPr>
            </w:pPr>
            <w:r>
              <w:rPr>
                <w:rFonts w:hint="eastAsia" w:hAnsi="宋体" w:cs="宋体"/>
                <w:kern w:val="2"/>
                <w:sz w:val="24"/>
                <w:szCs w:val="21"/>
              </w:rPr>
              <w:t>投标文件应用不褪色的材料书写或打印，</w:t>
            </w:r>
            <w:r>
              <w:rPr>
                <w:rFonts w:hint="eastAsia" w:hAnsi="宋体" w:cs="宋体"/>
                <w:b/>
                <w:kern w:val="2"/>
                <w:sz w:val="24"/>
                <w:szCs w:val="21"/>
                <w:u w:val="single"/>
              </w:rPr>
              <w:t>投标函</w:t>
            </w:r>
            <w:r>
              <w:rPr>
                <w:rFonts w:hint="eastAsia" w:hAnsi="宋体" w:cs="宋体"/>
                <w:kern w:val="2"/>
                <w:sz w:val="24"/>
                <w:szCs w:val="21"/>
              </w:rPr>
              <w:t>、</w:t>
            </w:r>
            <w:r>
              <w:rPr>
                <w:rFonts w:hint="eastAsia" w:hAnsi="宋体" w:cs="宋体"/>
                <w:b/>
                <w:kern w:val="2"/>
                <w:sz w:val="24"/>
                <w:szCs w:val="21"/>
                <w:u w:val="single"/>
              </w:rPr>
              <w:t>投标货物数量、承诺函</w:t>
            </w:r>
            <w:r>
              <w:rPr>
                <w:rFonts w:hint="eastAsia" w:hAnsi="宋体" w:cs="宋体"/>
                <w:kern w:val="2"/>
                <w:sz w:val="24"/>
                <w:szCs w:val="21"/>
              </w:rPr>
              <w:t>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ind w:firstLine="420"/>
              <w:jc w:val="both"/>
              <w:rPr>
                <w:rFonts w:hAnsi="宋体" w:cs="宋体"/>
                <w:sz w:val="24"/>
                <w:szCs w:val="24"/>
              </w:rPr>
            </w:pPr>
            <w:r>
              <w:rPr>
                <w:rFonts w:hint="eastAsia" w:hAnsi="宋体" w:cs="宋体"/>
                <w:sz w:val="24"/>
                <w:szCs w:val="24"/>
              </w:rPr>
              <w:t>制造商出具的产品代理/销售授权书要求法定代表人或者授权代理人签字或印章</w:t>
            </w:r>
            <w:r>
              <w:rPr>
                <w:rFonts w:hint="eastAsia" w:hAnsi="宋体" w:cs="宋体"/>
                <w:b/>
                <w:sz w:val="24"/>
                <w:szCs w:val="24"/>
              </w:rPr>
              <w:t>（需提供制造商营业执照）</w:t>
            </w:r>
            <w:r>
              <w:rPr>
                <w:rFonts w:hint="eastAsia" w:hAnsi="宋体" w:cs="宋体"/>
                <w:sz w:val="24"/>
                <w:szCs w:val="24"/>
              </w:rPr>
              <w:t>，若为授权代理人签署，应提供授权书（或者委托书）复印件。</w:t>
            </w:r>
          </w:p>
          <w:p>
            <w:pPr>
              <w:spacing w:line="300" w:lineRule="auto"/>
              <w:ind w:firstLine="360" w:firstLineChars="150"/>
              <w:jc w:val="both"/>
              <w:rPr>
                <w:rFonts w:hAnsi="宋体" w:cs="宋体"/>
                <w:kern w:val="2"/>
                <w:sz w:val="24"/>
                <w:szCs w:val="21"/>
              </w:rPr>
            </w:pPr>
            <w:r>
              <w:rPr>
                <w:rFonts w:hint="eastAsia" w:hAnsi="宋体" w:cs="宋体"/>
                <w:kern w:val="2"/>
                <w:sz w:val="24"/>
                <w:szCs w:val="21"/>
              </w:rPr>
              <w:t>若由授权代理人签署，投标函、投标货物数量及分项报价表、</w:t>
            </w:r>
            <w:r>
              <w:rPr>
                <w:rFonts w:hint="eastAsia" w:hAnsi="宋体" w:cs="宋体"/>
                <w:b/>
                <w:kern w:val="2"/>
                <w:sz w:val="24"/>
                <w:szCs w:val="21"/>
                <w:u w:val="single"/>
              </w:rPr>
              <w:t>承诺函</w:t>
            </w:r>
            <w:r>
              <w:rPr>
                <w:rFonts w:hint="eastAsia" w:hAnsi="宋体" w:cs="宋体"/>
                <w:kern w:val="2"/>
                <w:sz w:val="24"/>
                <w:szCs w:val="21"/>
              </w:rPr>
              <w:t>签署的日期应在授权委托书委托期限以内。</w:t>
            </w:r>
          </w:p>
          <w:p>
            <w:pPr>
              <w:spacing w:line="300" w:lineRule="auto"/>
              <w:jc w:val="both"/>
              <w:rPr>
                <w:rFonts w:hAnsi="宋体" w:cs="宋体"/>
                <w:kern w:val="2"/>
                <w:sz w:val="24"/>
                <w:szCs w:val="21"/>
              </w:rPr>
            </w:pPr>
            <w:r>
              <w:rPr>
                <w:rFonts w:hint="eastAsia" w:hAnsi="宋体" w:cs="宋体"/>
                <w:kern w:val="2"/>
                <w:sz w:val="24"/>
                <w:szCs w:val="21"/>
              </w:rPr>
              <w:t>（3）投标人按照招标文件规定的金额、形式、时效和内容提供了投标担保，并符合投标人须知3.4.1款的要求：</w:t>
            </w:r>
          </w:p>
          <w:p>
            <w:pPr>
              <w:spacing w:line="300" w:lineRule="auto"/>
              <w:ind w:firstLine="600" w:firstLineChars="250"/>
              <w:jc w:val="both"/>
              <w:rPr>
                <w:rFonts w:hAnsi="宋体" w:cs="宋体"/>
                <w:kern w:val="2"/>
                <w:sz w:val="24"/>
                <w:szCs w:val="21"/>
              </w:rPr>
            </w:pPr>
            <w:r>
              <w:rPr>
                <w:rFonts w:hint="eastAsia" w:hAnsi="宋体" w:cs="宋体"/>
                <w:kern w:val="2"/>
                <w:sz w:val="24"/>
                <w:szCs w:val="21"/>
              </w:rPr>
              <w:t>a.投标担保金额符合招标文件规定的金额；</w:t>
            </w:r>
          </w:p>
          <w:p>
            <w:pPr>
              <w:spacing w:line="300" w:lineRule="auto"/>
              <w:ind w:firstLine="600" w:firstLineChars="250"/>
              <w:jc w:val="both"/>
              <w:rPr>
                <w:rFonts w:hAnsi="宋体" w:cs="宋体"/>
                <w:kern w:val="2"/>
                <w:sz w:val="24"/>
                <w:szCs w:val="21"/>
              </w:rPr>
            </w:pPr>
            <w:r>
              <w:rPr>
                <w:rFonts w:hint="eastAsia" w:hAnsi="宋体" w:cs="宋体"/>
                <w:kern w:val="2"/>
                <w:sz w:val="24"/>
                <w:szCs w:val="21"/>
              </w:rPr>
              <w:t>b.若采用电汇，投标人在投标人须知前附表规定的时间之前，将投标保证金由投标人的基本账户一次性汇入招标人指定账户，并按照要求在投标文件中附</w:t>
            </w:r>
            <w:r>
              <w:rPr>
                <w:rFonts w:hint="eastAsia" w:hAnsi="宋体" w:cs="宋体"/>
                <w:b/>
                <w:kern w:val="2"/>
                <w:sz w:val="24"/>
                <w:szCs w:val="21"/>
              </w:rPr>
              <w:t>汇款单据（或银行进帐单）</w:t>
            </w:r>
            <w:r>
              <w:rPr>
                <w:rFonts w:hint="eastAsia" w:hAnsi="宋体" w:cs="宋体"/>
                <w:kern w:val="2"/>
                <w:sz w:val="24"/>
                <w:szCs w:val="21"/>
              </w:rPr>
              <w:t>及</w:t>
            </w:r>
            <w:r>
              <w:rPr>
                <w:rFonts w:hint="eastAsia" w:hAnsi="宋体" w:cs="宋体"/>
                <w:b/>
                <w:kern w:val="2"/>
                <w:sz w:val="24"/>
                <w:szCs w:val="21"/>
              </w:rPr>
              <w:t>基本账户开户许可证复印件</w:t>
            </w:r>
            <w:r>
              <w:rPr>
                <w:rFonts w:hint="eastAsia" w:hAnsi="宋体" w:cs="宋体"/>
                <w:b/>
                <w:sz w:val="24"/>
              </w:rPr>
              <w:t>（或者扫描彩色打印件）</w:t>
            </w:r>
            <w:r>
              <w:rPr>
                <w:rFonts w:hint="eastAsia" w:hAnsi="宋体" w:cs="宋体"/>
                <w:kern w:val="2"/>
                <w:sz w:val="24"/>
                <w:szCs w:val="21"/>
              </w:rPr>
              <w:t>；</w:t>
            </w:r>
          </w:p>
          <w:p>
            <w:pPr>
              <w:spacing w:line="300" w:lineRule="auto"/>
              <w:ind w:firstLine="600" w:firstLineChars="250"/>
              <w:jc w:val="both"/>
              <w:rPr>
                <w:rFonts w:hAnsi="宋体" w:cs="宋体"/>
                <w:kern w:val="2"/>
                <w:sz w:val="24"/>
                <w:szCs w:val="21"/>
              </w:rPr>
            </w:pPr>
            <w:r>
              <w:rPr>
                <w:rFonts w:hint="eastAsia" w:hAnsi="宋体" w:cs="宋体"/>
                <w:sz w:val="24"/>
              </w:rPr>
              <w:t>c.若采用银行保函，银行保函的格式、开具保函的银行、银行保函的有效期均满足招标文件要求，且银行保函原件装订在投标文件的正本之中，若基本账户开户银行不具备开具保函资格，则必须由开户银行的上级银行开具并附相关证明材料。</w:t>
            </w:r>
          </w:p>
          <w:p>
            <w:pPr>
              <w:spacing w:line="300" w:lineRule="auto"/>
              <w:jc w:val="both"/>
              <w:rPr>
                <w:rFonts w:hAnsi="宋体" w:cs="宋体"/>
                <w:kern w:val="2"/>
                <w:sz w:val="24"/>
                <w:szCs w:val="21"/>
              </w:rPr>
            </w:pPr>
            <w:r>
              <w:rPr>
                <w:rFonts w:hint="eastAsia" w:hAnsi="宋体" w:cs="宋体"/>
                <w:kern w:val="2"/>
                <w:sz w:val="24"/>
                <w:szCs w:val="21"/>
              </w:rPr>
              <w:t>（4）投标人法定代表人的授权代理人，需提交附有法定代表人身份证明的授权委托书，并符合下列要求：</w:t>
            </w:r>
          </w:p>
          <w:p>
            <w:pPr>
              <w:spacing w:line="300" w:lineRule="auto"/>
              <w:ind w:firstLine="240" w:firstLineChars="100"/>
              <w:jc w:val="both"/>
              <w:rPr>
                <w:rFonts w:hAnsi="宋体" w:cs="宋体"/>
                <w:kern w:val="2"/>
                <w:sz w:val="24"/>
                <w:szCs w:val="21"/>
              </w:rPr>
            </w:pPr>
            <w:r>
              <w:rPr>
                <w:rFonts w:hint="eastAsia" w:hAnsi="宋体" w:cs="宋体"/>
                <w:kern w:val="2"/>
                <w:sz w:val="24"/>
                <w:szCs w:val="21"/>
              </w:rPr>
              <w:t>a.授权人和被授权人均在授权书上签名，未使用印章、签名章或其他电子制版签名；</w:t>
            </w:r>
          </w:p>
          <w:p>
            <w:pPr>
              <w:spacing w:line="300" w:lineRule="auto"/>
              <w:jc w:val="both"/>
              <w:rPr>
                <w:rFonts w:hAnsi="宋体" w:cs="宋体"/>
                <w:kern w:val="2"/>
                <w:sz w:val="24"/>
                <w:szCs w:val="21"/>
              </w:rPr>
            </w:pPr>
            <w:r>
              <w:rPr>
                <w:rFonts w:hint="eastAsia" w:hAnsi="宋体" w:cs="宋体"/>
                <w:kern w:val="2"/>
                <w:sz w:val="24"/>
                <w:szCs w:val="21"/>
              </w:rPr>
              <w:t>（5）投标人法定代表人若亲自签署投标文件，提供了法定代表人身份证明，并符合下列要求：</w:t>
            </w:r>
          </w:p>
          <w:p>
            <w:pPr>
              <w:spacing w:line="300" w:lineRule="auto"/>
              <w:ind w:firstLine="240" w:firstLineChars="100"/>
              <w:jc w:val="both"/>
              <w:rPr>
                <w:rFonts w:hAnsi="宋体" w:cs="宋体"/>
                <w:kern w:val="2"/>
                <w:sz w:val="24"/>
                <w:szCs w:val="21"/>
              </w:rPr>
            </w:pPr>
            <w:r>
              <w:rPr>
                <w:rFonts w:hint="eastAsia" w:hAnsi="宋体" w:cs="宋体"/>
                <w:kern w:val="2"/>
                <w:sz w:val="24"/>
                <w:szCs w:val="21"/>
              </w:rPr>
              <w:t>a.法定代表人在法定代表人身份证明上签名，未使用印章、签名章或其他电子制版签名；</w:t>
            </w:r>
          </w:p>
          <w:p>
            <w:pPr>
              <w:spacing w:line="300" w:lineRule="auto"/>
              <w:jc w:val="both"/>
              <w:rPr>
                <w:rFonts w:hAnsi="宋体" w:cs="宋体"/>
                <w:kern w:val="2"/>
                <w:sz w:val="24"/>
                <w:szCs w:val="21"/>
              </w:rPr>
            </w:pPr>
            <w:r>
              <w:rPr>
                <w:rFonts w:hint="eastAsia" w:hAnsi="宋体" w:cs="宋体"/>
                <w:kern w:val="2"/>
                <w:sz w:val="24"/>
                <w:szCs w:val="21"/>
              </w:rPr>
              <w:t>（6）投标文件正、副本份数符合投标人须知3.7.4款的要求；（正本一册、副本一册）</w:t>
            </w:r>
          </w:p>
          <w:p>
            <w:pPr>
              <w:spacing w:line="300" w:lineRule="auto"/>
              <w:ind w:left="-700" w:leftChars="-206" w:firstLine="739" w:firstLineChars="308"/>
              <w:jc w:val="both"/>
              <w:rPr>
                <w:rFonts w:hAnsi="宋体" w:cs="宋体"/>
                <w:kern w:val="2"/>
                <w:sz w:val="24"/>
                <w:szCs w:val="21"/>
              </w:rPr>
            </w:pPr>
            <w:r>
              <w:rPr>
                <w:rFonts w:hint="eastAsia" w:hAnsi="宋体" w:cs="宋体"/>
                <w:kern w:val="2"/>
                <w:sz w:val="24"/>
                <w:szCs w:val="21"/>
              </w:rPr>
              <w:t>（7）投标文件载明的交货期限未超过招标文件规定的时限。</w:t>
            </w:r>
          </w:p>
          <w:p>
            <w:pPr>
              <w:spacing w:line="300" w:lineRule="auto"/>
              <w:ind w:left="-700" w:leftChars="-206" w:firstLine="739" w:firstLineChars="308"/>
              <w:jc w:val="both"/>
              <w:rPr>
                <w:rFonts w:hAnsi="宋体" w:cs="宋体"/>
                <w:kern w:val="2"/>
                <w:sz w:val="24"/>
                <w:szCs w:val="21"/>
              </w:rPr>
            </w:pPr>
            <w:r>
              <w:rPr>
                <w:rFonts w:hint="eastAsia" w:hAnsi="宋体" w:cs="宋体"/>
                <w:kern w:val="2"/>
                <w:sz w:val="24"/>
                <w:szCs w:val="21"/>
              </w:rPr>
              <w:t>（8）投标文件未附有招标人不能接受的条件。</w:t>
            </w:r>
          </w:p>
          <w:p>
            <w:pPr>
              <w:spacing w:line="300" w:lineRule="auto"/>
              <w:ind w:left="-700" w:leftChars="-206" w:firstLine="739" w:firstLineChars="308"/>
              <w:jc w:val="both"/>
              <w:rPr>
                <w:rFonts w:hAnsi="宋体" w:cs="宋体"/>
                <w:kern w:val="2"/>
                <w:sz w:val="24"/>
                <w:szCs w:val="21"/>
              </w:rPr>
            </w:pPr>
            <w:r>
              <w:rPr>
                <w:rFonts w:hint="eastAsia" w:hAnsi="宋体" w:cs="宋体"/>
                <w:kern w:val="2"/>
                <w:sz w:val="24"/>
                <w:szCs w:val="21"/>
              </w:rPr>
              <w:t>（9）权利义务符合招标文件规定：</w:t>
            </w:r>
          </w:p>
          <w:p>
            <w:pPr>
              <w:spacing w:line="300" w:lineRule="auto"/>
              <w:ind w:firstLine="420"/>
              <w:jc w:val="both"/>
              <w:rPr>
                <w:rFonts w:hAnsi="宋体" w:cs="宋体"/>
                <w:kern w:val="2"/>
                <w:sz w:val="24"/>
                <w:szCs w:val="21"/>
              </w:rPr>
            </w:pPr>
            <w:r>
              <w:rPr>
                <w:rFonts w:hint="eastAsia" w:hAnsi="宋体" w:cs="宋体"/>
                <w:kern w:val="2"/>
                <w:sz w:val="24"/>
                <w:szCs w:val="21"/>
              </w:rPr>
              <w:t>a.投标人应接受招标文件规定的风险划分原则，未提出新的风险划分办法；</w:t>
            </w:r>
          </w:p>
          <w:p>
            <w:pPr>
              <w:spacing w:line="300" w:lineRule="auto"/>
              <w:ind w:left="-700" w:leftChars="-206" w:firstLine="1216" w:firstLineChars="507"/>
              <w:jc w:val="both"/>
              <w:rPr>
                <w:rFonts w:hAnsi="宋体" w:cs="宋体"/>
                <w:kern w:val="2"/>
                <w:sz w:val="24"/>
                <w:szCs w:val="21"/>
              </w:rPr>
            </w:pPr>
            <w:r>
              <w:rPr>
                <w:rFonts w:hint="eastAsia" w:hAnsi="宋体" w:cs="宋体"/>
                <w:kern w:val="2"/>
                <w:sz w:val="24"/>
                <w:szCs w:val="21"/>
              </w:rPr>
              <w:t>b.投标人未增加招标人的责任范围，或减少投标人义务；</w:t>
            </w:r>
          </w:p>
          <w:p>
            <w:pPr>
              <w:spacing w:line="300" w:lineRule="auto"/>
              <w:ind w:left="-700" w:leftChars="-206" w:firstLine="1216" w:firstLineChars="507"/>
              <w:jc w:val="both"/>
              <w:rPr>
                <w:rFonts w:hAnsi="宋体" w:cs="宋体"/>
                <w:kern w:val="2"/>
                <w:sz w:val="24"/>
                <w:szCs w:val="21"/>
              </w:rPr>
            </w:pPr>
            <w:r>
              <w:rPr>
                <w:rFonts w:hint="eastAsia" w:hAnsi="宋体" w:cs="宋体"/>
                <w:kern w:val="2"/>
                <w:sz w:val="24"/>
                <w:szCs w:val="21"/>
              </w:rPr>
              <w:t>c.投标人未提出不同的工程验收、计量、支付办法；</w:t>
            </w:r>
          </w:p>
          <w:p>
            <w:pPr>
              <w:spacing w:line="300" w:lineRule="auto"/>
              <w:ind w:left="-700" w:leftChars="-206" w:firstLine="1216" w:firstLineChars="507"/>
              <w:jc w:val="both"/>
              <w:rPr>
                <w:rFonts w:hAnsi="宋体" w:cs="宋体"/>
                <w:kern w:val="2"/>
                <w:sz w:val="24"/>
                <w:szCs w:val="21"/>
              </w:rPr>
            </w:pPr>
            <w:r>
              <w:rPr>
                <w:rFonts w:hint="eastAsia" w:hAnsi="宋体" w:cs="宋体"/>
                <w:kern w:val="2"/>
                <w:sz w:val="24"/>
                <w:szCs w:val="21"/>
              </w:rPr>
              <w:t>d.投标人对合同纠纷、事故处理办法未提出异议；</w:t>
            </w:r>
          </w:p>
          <w:p>
            <w:pPr>
              <w:spacing w:line="300" w:lineRule="auto"/>
              <w:ind w:left="-700" w:leftChars="-206" w:firstLine="1216" w:firstLineChars="507"/>
              <w:jc w:val="both"/>
              <w:rPr>
                <w:rFonts w:hAnsi="宋体" w:cs="宋体"/>
                <w:kern w:val="2"/>
                <w:sz w:val="24"/>
                <w:szCs w:val="21"/>
              </w:rPr>
            </w:pPr>
            <w:r>
              <w:rPr>
                <w:rFonts w:hint="eastAsia" w:hAnsi="宋体" w:cs="宋体"/>
                <w:kern w:val="2"/>
                <w:sz w:val="24"/>
                <w:szCs w:val="21"/>
              </w:rPr>
              <w:t>e.投标人在投标活动中无欺诈行为；</w:t>
            </w:r>
          </w:p>
          <w:p>
            <w:pPr>
              <w:spacing w:line="300" w:lineRule="auto"/>
              <w:ind w:left="-700" w:leftChars="-206" w:firstLine="1216" w:firstLineChars="507"/>
              <w:jc w:val="both"/>
              <w:rPr>
                <w:rFonts w:hAnsi="宋体" w:cs="宋体"/>
                <w:kern w:val="2"/>
                <w:sz w:val="24"/>
                <w:szCs w:val="21"/>
              </w:rPr>
            </w:pPr>
            <w:r>
              <w:rPr>
                <w:rFonts w:hint="eastAsia" w:hAnsi="宋体" w:cs="宋体"/>
                <w:kern w:val="2"/>
                <w:sz w:val="24"/>
                <w:szCs w:val="21"/>
              </w:rPr>
              <w:t>f.投标人未对合同条款有重要保留。</w:t>
            </w:r>
          </w:p>
          <w:p>
            <w:pPr>
              <w:spacing w:line="300" w:lineRule="auto"/>
              <w:jc w:val="both"/>
              <w:rPr>
                <w:rFonts w:hAnsi="宋体" w:cs="宋体"/>
                <w:kern w:val="2"/>
                <w:sz w:val="24"/>
                <w:szCs w:val="21"/>
              </w:rPr>
            </w:pPr>
            <w:r>
              <w:rPr>
                <w:rFonts w:hint="eastAsia" w:hAnsi="宋体" w:cs="宋体"/>
                <w:kern w:val="2"/>
                <w:sz w:val="24"/>
                <w:szCs w:val="21"/>
              </w:rPr>
              <w:t>（10）投标人未提供虚假资料。</w:t>
            </w:r>
          </w:p>
          <w:p>
            <w:pPr>
              <w:spacing w:line="300" w:lineRule="auto"/>
              <w:jc w:val="both"/>
              <w:rPr>
                <w:rFonts w:hAnsi="宋体" w:cs="宋体"/>
                <w:kern w:val="2"/>
                <w:sz w:val="24"/>
                <w:szCs w:val="21"/>
              </w:rPr>
            </w:pPr>
            <w:r>
              <w:rPr>
                <w:rFonts w:hint="eastAsia" w:hAnsi="宋体" w:cs="宋体"/>
                <w:kern w:val="2"/>
                <w:sz w:val="24"/>
                <w:szCs w:val="21"/>
              </w:rPr>
              <w:t>（11）投标人不存在《中华人民共和国招标投标法实施条例》（国务院令第613号）第三十九条、第四十条、第四十一条所列的投标人相互串通投标、或者招标人与投标人串通投标情形之一的。</w:t>
            </w:r>
          </w:p>
          <w:p>
            <w:pPr>
              <w:spacing w:line="300" w:lineRule="auto"/>
              <w:jc w:val="both"/>
              <w:rPr>
                <w:rFonts w:hAnsi="宋体" w:cs="宋体"/>
                <w:kern w:val="2"/>
                <w:sz w:val="24"/>
                <w:szCs w:val="21"/>
              </w:rPr>
            </w:pPr>
            <w:r>
              <w:rPr>
                <w:rFonts w:hint="eastAsia" w:hAnsi="宋体" w:cs="宋体"/>
                <w:kern w:val="2"/>
                <w:sz w:val="24"/>
                <w:szCs w:val="21"/>
              </w:rPr>
              <w:t>（12）</w:t>
            </w:r>
            <w:r>
              <w:rPr>
                <w:rFonts w:hAnsi="宋体" w:cs="宋体"/>
                <w:kern w:val="2"/>
                <w:sz w:val="24"/>
                <w:szCs w:val="21"/>
              </w:rPr>
              <w:t>根据七部委《工程建设项目货物招标投标办法》第三十二条规定“…一个制造商对同一品牌同一型号的货物，仅能委托一个代理商参加投标”。</w:t>
            </w:r>
            <w:r>
              <w:rPr>
                <w:rFonts w:hint="eastAsia" w:hAnsi="宋体" w:cs="宋体"/>
                <w:kern w:val="2"/>
                <w:sz w:val="24"/>
                <w:szCs w:val="21"/>
              </w:rPr>
              <w:t>违反此条要求的投标文件将被拒绝。（即需针对项目进行唯一授权）</w:t>
            </w:r>
          </w:p>
          <w:p>
            <w:pPr>
              <w:spacing w:line="300" w:lineRule="auto"/>
              <w:jc w:val="both"/>
              <w:rPr>
                <w:rFonts w:hAnsi="宋体" w:cs="宋体"/>
                <w:kern w:val="2"/>
                <w:sz w:val="24"/>
                <w:szCs w:val="21"/>
              </w:rPr>
            </w:pPr>
            <w:r>
              <w:rPr>
                <w:rFonts w:hint="eastAsia" w:hAnsi="宋体" w:cs="宋体"/>
                <w:kern w:val="2"/>
                <w:sz w:val="24"/>
                <w:szCs w:val="21"/>
              </w:rPr>
              <w:t>（13）按照招标文件要求提供的相关证明材料原件应附在投标文件正本内，否则，其投标文件将被拒绝。</w:t>
            </w:r>
          </w:p>
          <w:p>
            <w:pPr>
              <w:spacing w:line="300" w:lineRule="auto"/>
              <w:jc w:val="both"/>
              <w:rPr>
                <w:rFonts w:hAnsi="宋体" w:cs="宋体"/>
                <w:kern w:val="2"/>
                <w:sz w:val="24"/>
                <w:szCs w:val="21"/>
              </w:rPr>
            </w:pPr>
            <w:r>
              <w:rPr>
                <w:rFonts w:hint="eastAsia" w:hAnsi="宋体" w:cs="宋体"/>
                <w:kern w:val="2"/>
                <w:sz w:val="24"/>
                <w:szCs w:val="21"/>
              </w:rPr>
              <w:t>（</w:t>
            </w:r>
            <w:r>
              <w:rPr>
                <w:rFonts w:hAnsi="宋体" w:cs="宋体"/>
                <w:kern w:val="2"/>
                <w:sz w:val="24"/>
                <w:szCs w:val="21"/>
              </w:rPr>
              <w:t>14）</w:t>
            </w:r>
            <w:r>
              <w:rPr>
                <w:rFonts w:hint="eastAsia" w:hAnsi="宋体" w:cs="宋体"/>
                <w:kern w:val="2"/>
                <w:sz w:val="24"/>
                <w:szCs w:val="21"/>
              </w:rPr>
              <w:t>投标人有以下情况的，其投标文件将均被否决：</w:t>
            </w:r>
          </w:p>
          <w:p>
            <w:pPr>
              <w:spacing w:line="300" w:lineRule="auto"/>
              <w:jc w:val="both"/>
              <w:rPr>
                <w:rFonts w:hAnsi="宋体" w:cs="宋体"/>
                <w:kern w:val="2"/>
                <w:sz w:val="24"/>
                <w:szCs w:val="21"/>
              </w:rPr>
            </w:pPr>
            <w:r>
              <w:rPr>
                <w:rFonts w:hint="eastAsia" w:hAnsi="宋体" w:cs="宋体"/>
                <w:kern w:val="2"/>
                <w:sz w:val="24"/>
                <w:szCs w:val="21"/>
              </w:rPr>
              <w:t>a.一个制造（生产）商授权多个代理商参加本项目投标的;</w:t>
            </w:r>
          </w:p>
          <w:p>
            <w:pPr>
              <w:spacing w:line="300" w:lineRule="auto"/>
              <w:jc w:val="both"/>
              <w:rPr>
                <w:rFonts w:hAnsi="宋体" w:cs="宋体"/>
                <w:kern w:val="2"/>
                <w:sz w:val="24"/>
                <w:szCs w:val="21"/>
              </w:rPr>
            </w:pPr>
            <w:r>
              <w:rPr>
                <w:rFonts w:hint="eastAsia" w:hAnsi="宋体" w:cs="宋体"/>
                <w:kern w:val="2"/>
                <w:sz w:val="24"/>
                <w:szCs w:val="21"/>
              </w:rPr>
              <w:t>b.同一产品的制造（生产）商和其授权代理商同时参加投标的;</w:t>
            </w:r>
          </w:p>
          <w:p>
            <w:pPr>
              <w:spacing w:line="300" w:lineRule="auto"/>
              <w:jc w:val="both"/>
              <w:rPr>
                <w:rFonts w:hAnsi="宋体" w:cs="宋体"/>
                <w:sz w:val="24"/>
                <w:szCs w:val="24"/>
              </w:rPr>
            </w:pPr>
            <w:r>
              <w:rPr>
                <w:rFonts w:hint="eastAsia" w:hAnsi="宋体" w:cs="宋体"/>
                <w:kern w:val="2"/>
                <w:sz w:val="24"/>
                <w:szCs w:val="21"/>
              </w:rPr>
              <w:t>c.在该合同段中，一个代理商代理一家以上的制造（生产）商的产品参与该合同段投标的。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00" w:lineRule="auto"/>
              <w:jc w:val="both"/>
              <w:rPr>
                <w:rFonts w:hAnsi="宋体" w:cs="宋体"/>
                <w:kern w:val="2"/>
                <w:sz w:val="24"/>
                <w:szCs w:val="21"/>
              </w:rPr>
            </w:pPr>
            <w:r>
              <w:rPr>
                <w:rFonts w:hint="eastAsia" w:hAnsi="宋体" w:cs="宋体"/>
                <w:kern w:val="2"/>
                <w:sz w:val="24"/>
                <w:szCs w:val="21"/>
              </w:rPr>
              <w:t>2.1.2</w:t>
            </w:r>
          </w:p>
        </w:tc>
        <w:tc>
          <w:tcPr>
            <w:tcW w:w="1076" w:type="dxa"/>
            <w:vAlign w:val="center"/>
          </w:tcPr>
          <w:p>
            <w:pPr>
              <w:spacing w:line="300" w:lineRule="auto"/>
              <w:jc w:val="both"/>
              <w:rPr>
                <w:rFonts w:hAnsi="宋体" w:cs="宋体"/>
                <w:kern w:val="2"/>
                <w:sz w:val="24"/>
                <w:szCs w:val="21"/>
              </w:rPr>
            </w:pPr>
            <w:r>
              <w:rPr>
                <w:rFonts w:hint="eastAsia" w:hAnsi="宋体" w:cs="宋体"/>
                <w:kern w:val="2"/>
                <w:sz w:val="24"/>
                <w:szCs w:val="21"/>
              </w:rPr>
              <w:t>第一信封形式评审与响应性评审标准资格评审标准</w:t>
            </w:r>
          </w:p>
        </w:tc>
        <w:tc>
          <w:tcPr>
            <w:tcW w:w="7096" w:type="dxa"/>
            <w:gridSpan w:val="3"/>
          </w:tcPr>
          <w:p>
            <w:pPr>
              <w:spacing w:line="300" w:lineRule="auto"/>
              <w:jc w:val="both"/>
              <w:rPr>
                <w:rFonts w:hAnsi="宋体" w:cs="宋体"/>
                <w:kern w:val="2"/>
                <w:sz w:val="24"/>
                <w:szCs w:val="21"/>
              </w:rPr>
            </w:pPr>
            <w:r>
              <w:rPr>
                <w:rFonts w:hint="eastAsia" w:hAnsi="宋体" w:cs="宋体"/>
                <w:kern w:val="2"/>
                <w:sz w:val="24"/>
                <w:szCs w:val="21"/>
              </w:rPr>
              <w:t>（1）投标人具备有效的企业法人营业执照、基本账户开户许可证；</w:t>
            </w:r>
          </w:p>
          <w:p>
            <w:pPr>
              <w:spacing w:line="300" w:lineRule="auto"/>
              <w:jc w:val="both"/>
              <w:rPr>
                <w:rFonts w:hAnsi="宋体" w:cs="宋体"/>
                <w:kern w:val="2"/>
                <w:sz w:val="24"/>
                <w:szCs w:val="21"/>
              </w:rPr>
            </w:pPr>
            <w:r>
              <w:rPr>
                <w:rFonts w:hint="eastAsia" w:hAnsi="宋体" w:cs="宋体"/>
                <w:kern w:val="2"/>
                <w:sz w:val="24"/>
                <w:szCs w:val="21"/>
              </w:rPr>
              <w:t>（2）投标人的资格条件满足招标文件投标人须知附录1的要求；</w:t>
            </w:r>
          </w:p>
          <w:p>
            <w:pPr>
              <w:spacing w:line="300" w:lineRule="auto"/>
              <w:jc w:val="both"/>
              <w:rPr>
                <w:rFonts w:hAnsi="宋体" w:cs="宋体"/>
                <w:kern w:val="2"/>
                <w:sz w:val="24"/>
                <w:szCs w:val="21"/>
              </w:rPr>
            </w:pPr>
            <w:r>
              <w:rPr>
                <w:rFonts w:hint="eastAsia" w:hAnsi="宋体" w:cs="宋体"/>
                <w:kern w:val="2"/>
                <w:sz w:val="24"/>
                <w:szCs w:val="21"/>
              </w:rPr>
              <w:t>（3）投标人的财务能力满足招标文件投标人须知附录2的要求；</w:t>
            </w:r>
          </w:p>
          <w:p>
            <w:pPr>
              <w:spacing w:line="300" w:lineRule="auto"/>
              <w:jc w:val="both"/>
              <w:rPr>
                <w:rFonts w:hAnsi="宋体" w:cs="宋体"/>
                <w:kern w:val="2"/>
                <w:sz w:val="24"/>
                <w:szCs w:val="21"/>
              </w:rPr>
            </w:pPr>
            <w:r>
              <w:rPr>
                <w:rFonts w:hint="eastAsia" w:hAnsi="宋体" w:cs="宋体"/>
                <w:kern w:val="2"/>
                <w:sz w:val="24"/>
                <w:szCs w:val="21"/>
              </w:rPr>
              <w:t>（4）投标人的业绩能力满足招标文件投标人须知附录3的要求；</w:t>
            </w:r>
          </w:p>
          <w:p>
            <w:pPr>
              <w:spacing w:line="300" w:lineRule="auto"/>
              <w:jc w:val="both"/>
              <w:rPr>
                <w:rFonts w:hAnsi="宋体" w:cs="宋体"/>
                <w:kern w:val="2"/>
                <w:sz w:val="24"/>
                <w:szCs w:val="21"/>
              </w:rPr>
            </w:pPr>
            <w:r>
              <w:rPr>
                <w:rFonts w:hint="eastAsia" w:hAnsi="宋体" w:cs="宋体"/>
                <w:kern w:val="2"/>
                <w:sz w:val="24"/>
                <w:szCs w:val="21"/>
              </w:rPr>
              <w:t>（5）投标人的信誉状况符合招标文件投标人须知附录4的要求；</w:t>
            </w:r>
          </w:p>
          <w:p>
            <w:pPr>
              <w:spacing w:line="300" w:lineRule="auto"/>
              <w:jc w:val="both"/>
              <w:rPr>
                <w:rFonts w:hAnsi="宋体" w:cs="宋体"/>
                <w:kern w:val="2"/>
                <w:sz w:val="24"/>
                <w:szCs w:val="21"/>
              </w:rPr>
            </w:pPr>
            <w:r>
              <w:rPr>
                <w:rFonts w:hint="eastAsia" w:hAnsi="宋体" w:cs="宋体"/>
                <w:kern w:val="2"/>
                <w:sz w:val="24"/>
                <w:szCs w:val="21"/>
              </w:rPr>
              <w:t>（6）投标人的其他状况符合招标文件投标人须知附录5的要求；</w:t>
            </w:r>
          </w:p>
          <w:p>
            <w:pPr>
              <w:spacing w:line="300" w:lineRule="auto"/>
              <w:jc w:val="both"/>
              <w:rPr>
                <w:rFonts w:hAnsi="宋体" w:cs="宋体"/>
                <w:kern w:val="2"/>
                <w:sz w:val="24"/>
                <w:szCs w:val="21"/>
              </w:rPr>
            </w:pPr>
            <w:r>
              <w:rPr>
                <w:rFonts w:hint="eastAsia" w:hAnsi="宋体" w:cs="宋体"/>
                <w:kern w:val="2"/>
                <w:sz w:val="24"/>
                <w:szCs w:val="21"/>
              </w:rPr>
              <w:t>（7）投标人未出现本招标文件招标公告3.3和3.4款规定的情形。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00" w:lineRule="auto"/>
              <w:jc w:val="both"/>
              <w:rPr>
                <w:rFonts w:hAnsi="宋体" w:cs="宋体"/>
                <w:kern w:val="2"/>
                <w:sz w:val="24"/>
                <w:szCs w:val="21"/>
              </w:rPr>
            </w:pPr>
            <w:r>
              <w:rPr>
                <w:rFonts w:hint="eastAsia" w:hAnsi="宋体" w:cs="宋体"/>
                <w:kern w:val="2"/>
                <w:sz w:val="24"/>
                <w:szCs w:val="21"/>
              </w:rPr>
              <w:t>2.1.4</w:t>
            </w:r>
          </w:p>
        </w:tc>
        <w:tc>
          <w:tcPr>
            <w:tcW w:w="5412" w:type="dxa"/>
            <w:gridSpan w:val="3"/>
          </w:tcPr>
          <w:p>
            <w:pPr>
              <w:spacing w:line="300" w:lineRule="auto"/>
              <w:jc w:val="both"/>
              <w:rPr>
                <w:rFonts w:hAnsi="宋体" w:cs="宋体"/>
                <w:kern w:val="2"/>
                <w:sz w:val="24"/>
                <w:szCs w:val="21"/>
              </w:rPr>
            </w:pPr>
            <w:r>
              <w:rPr>
                <w:rFonts w:hint="eastAsia" w:hAnsi="宋体" w:cs="宋体"/>
                <w:kern w:val="2"/>
                <w:sz w:val="24"/>
                <w:szCs w:val="21"/>
              </w:rPr>
              <w:t>施工组织设计和项目管理机构评审标准</w:t>
            </w:r>
          </w:p>
        </w:tc>
        <w:tc>
          <w:tcPr>
            <w:tcW w:w="2760" w:type="dxa"/>
          </w:tcPr>
          <w:p>
            <w:pPr>
              <w:spacing w:line="300" w:lineRule="auto"/>
              <w:ind w:firstLine="420"/>
              <w:jc w:val="both"/>
              <w:rPr>
                <w:rFonts w:hAnsi="宋体" w:cs="宋体"/>
                <w:kern w:val="2"/>
                <w:sz w:val="24"/>
                <w:szCs w:val="21"/>
              </w:rPr>
            </w:pPr>
            <w:r>
              <w:rPr>
                <w:rFonts w:hint="eastAsia" w:hAnsi="宋体" w:cs="宋体"/>
                <w:kern w:val="2"/>
                <w:sz w:val="24"/>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00" w:lineRule="auto"/>
              <w:jc w:val="both"/>
              <w:rPr>
                <w:rFonts w:hAnsi="宋体" w:cs="宋体"/>
                <w:kern w:val="2"/>
                <w:sz w:val="24"/>
                <w:szCs w:val="21"/>
              </w:rPr>
            </w:pPr>
            <w:r>
              <w:rPr>
                <w:rFonts w:hint="eastAsia" w:hAnsi="宋体" w:cs="宋体"/>
                <w:kern w:val="2"/>
                <w:sz w:val="24"/>
                <w:szCs w:val="21"/>
              </w:rPr>
              <w:t>补</w:t>
            </w:r>
          </w:p>
        </w:tc>
        <w:tc>
          <w:tcPr>
            <w:tcW w:w="8172" w:type="dxa"/>
            <w:gridSpan w:val="4"/>
          </w:tcPr>
          <w:p>
            <w:pPr>
              <w:spacing w:line="300" w:lineRule="auto"/>
              <w:ind w:firstLine="420"/>
              <w:jc w:val="both"/>
              <w:rPr>
                <w:rFonts w:hAnsi="宋体" w:cs="宋体"/>
                <w:kern w:val="2"/>
                <w:sz w:val="24"/>
                <w:szCs w:val="21"/>
              </w:rPr>
            </w:pPr>
            <w:r>
              <w:rPr>
                <w:rFonts w:hint="eastAsia" w:hAnsi="宋体" w:cs="宋体"/>
                <w:kern w:val="2"/>
                <w:sz w:val="24"/>
                <w:szCs w:val="21"/>
              </w:rPr>
              <w:t xml:space="preserve"> 第一信封评审结束后，按照招标人约定的时间和地点对通过第一信封评审的投标人的投标文件第二信封进行开启，并当场宣读投标人第二个信封（报价文件）的投标报价，投标报价经投标人和监督人员签字确认后，在整个评标过程中保持不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00" w:lineRule="auto"/>
              <w:jc w:val="both"/>
              <w:rPr>
                <w:rFonts w:hAnsi="宋体" w:cs="宋体"/>
                <w:kern w:val="2"/>
                <w:sz w:val="24"/>
                <w:szCs w:val="21"/>
              </w:rPr>
            </w:pPr>
            <w:r>
              <w:rPr>
                <w:rFonts w:hint="eastAsia" w:hAnsi="宋体" w:cs="宋体"/>
                <w:kern w:val="2"/>
                <w:sz w:val="24"/>
                <w:szCs w:val="21"/>
              </w:rPr>
              <w:t>补2.1.1、2.1.3</w:t>
            </w:r>
          </w:p>
        </w:tc>
        <w:tc>
          <w:tcPr>
            <w:tcW w:w="1276" w:type="dxa"/>
            <w:gridSpan w:val="2"/>
          </w:tcPr>
          <w:p>
            <w:pPr>
              <w:spacing w:line="300" w:lineRule="auto"/>
              <w:jc w:val="both"/>
              <w:rPr>
                <w:rFonts w:hAnsi="宋体" w:cs="宋体"/>
                <w:kern w:val="2"/>
                <w:sz w:val="24"/>
                <w:szCs w:val="21"/>
              </w:rPr>
            </w:pPr>
            <w:r>
              <w:rPr>
                <w:rFonts w:hint="eastAsia" w:hAnsi="宋体" w:cs="宋体"/>
                <w:kern w:val="2"/>
                <w:sz w:val="24"/>
                <w:szCs w:val="21"/>
              </w:rPr>
              <w:t>第二信封形式评审与响应性评审标准</w:t>
            </w:r>
          </w:p>
        </w:tc>
        <w:tc>
          <w:tcPr>
            <w:tcW w:w="6896" w:type="dxa"/>
            <w:gridSpan w:val="2"/>
          </w:tcPr>
          <w:p>
            <w:pPr>
              <w:spacing w:line="300" w:lineRule="auto"/>
              <w:ind w:firstLine="420"/>
              <w:jc w:val="both"/>
              <w:rPr>
                <w:rFonts w:hAnsi="宋体" w:cs="宋体"/>
                <w:kern w:val="2"/>
                <w:sz w:val="24"/>
                <w:szCs w:val="21"/>
              </w:rPr>
            </w:pPr>
            <w:r>
              <w:rPr>
                <w:rFonts w:hint="eastAsia" w:hAnsi="宋体" w:cs="宋体"/>
                <w:kern w:val="2"/>
                <w:sz w:val="24"/>
                <w:szCs w:val="21"/>
              </w:rPr>
              <w:t>（1）投标文件按照招标文件规定的格式、内容填写，字迹清晰可辨：</w:t>
            </w:r>
          </w:p>
          <w:p>
            <w:pPr>
              <w:spacing w:line="300" w:lineRule="auto"/>
              <w:ind w:firstLine="420"/>
              <w:jc w:val="both"/>
              <w:rPr>
                <w:rFonts w:hAnsi="宋体" w:cs="宋体"/>
                <w:kern w:val="2"/>
                <w:sz w:val="24"/>
                <w:szCs w:val="21"/>
              </w:rPr>
            </w:pPr>
            <w:r>
              <w:rPr>
                <w:rFonts w:hint="eastAsia" w:hAnsi="宋体" w:cs="宋体"/>
                <w:kern w:val="2"/>
                <w:sz w:val="24"/>
                <w:szCs w:val="21"/>
              </w:rPr>
              <w:t>a．投标报价及承诺函文字应符合招标文件的规定，未进行修改和删减；</w:t>
            </w:r>
          </w:p>
          <w:p>
            <w:pPr>
              <w:spacing w:line="300" w:lineRule="auto"/>
              <w:ind w:firstLine="420"/>
              <w:jc w:val="both"/>
              <w:rPr>
                <w:rFonts w:hAnsi="宋体" w:cs="宋体"/>
                <w:kern w:val="2"/>
                <w:sz w:val="24"/>
                <w:szCs w:val="21"/>
              </w:rPr>
            </w:pPr>
            <w:r>
              <w:rPr>
                <w:rFonts w:hint="eastAsia" w:hAnsi="宋体" w:cs="宋体"/>
                <w:kern w:val="2"/>
                <w:sz w:val="24"/>
                <w:szCs w:val="21"/>
              </w:rPr>
              <w:t>b．投标文件组成齐全完整，内容均按规定填写；</w:t>
            </w:r>
          </w:p>
          <w:p>
            <w:pPr>
              <w:spacing w:line="300" w:lineRule="auto"/>
              <w:ind w:firstLine="420"/>
              <w:jc w:val="both"/>
              <w:rPr>
                <w:rFonts w:hAnsi="宋体" w:cs="宋体"/>
                <w:kern w:val="2"/>
                <w:sz w:val="24"/>
                <w:szCs w:val="21"/>
              </w:rPr>
            </w:pPr>
            <w:r>
              <w:rPr>
                <w:rFonts w:hint="eastAsia" w:hAnsi="宋体" w:cs="宋体"/>
                <w:kern w:val="2"/>
                <w:sz w:val="24"/>
                <w:szCs w:val="21"/>
              </w:rPr>
              <w:t>（2）投标文件上法定代表人或其授权代理人的签字、投标人的单位章盖章齐全，符合招标文件规定：</w:t>
            </w:r>
          </w:p>
          <w:p>
            <w:pPr>
              <w:spacing w:line="300" w:lineRule="auto"/>
              <w:ind w:firstLine="420"/>
              <w:jc w:val="both"/>
              <w:rPr>
                <w:rFonts w:hAnsi="宋体" w:cs="宋体"/>
                <w:kern w:val="2"/>
                <w:sz w:val="24"/>
                <w:szCs w:val="21"/>
              </w:rPr>
            </w:pPr>
            <w:r>
              <w:rPr>
                <w:rFonts w:hint="eastAsia" w:hAnsi="宋体" w:cs="宋体"/>
                <w:kern w:val="2"/>
                <w:sz w:val="24"/>
                <w:szCs w:val="21"/>
              </w:rPr>
              <w:t>投标报价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00" w:lineRule="auto"/>
              <w:ind w:firstLine="420"/>
              <w:jc w:val="both"/>
              <w:rPr>
                <w:rFonts w:hAnsi="宋体" w:cs="宋体"/>
                <w:kern w:val="2"/>
                <w:sz w:val="24"/>
                <w:szCs w:val="21"/>
              </w:rPr>
            </w:pPr>
            <w:r>
              <w:rPr>
                <w:rFonts w:hint="eastAsia" w:hAnsi="宋体" w:cs="宋体"/>
                <w:kern w:val="2"/>
                <w:sz w:val="24"/>
                <w:szCs w:val="21"/>
              </w:rPr>
              <w:t>（3）一份投标文件应只有一个投标报价，未提交选择性报价。</w:t>
            </w:r>
          </w:p>
          <w:p>
            <w:pPr>
              <w:spacing w:line="300" w:lineRule="auto"/>
              <w:ind w:firstLine="420"/>
              <w:jc w:val="both"/>
              <w:rPr>
                <w:rFonts w:hAnsi="宋体" w:cs="宋体"/>
                <w:kern w:val="2"/>
                <w:sz w:val="24"/>
                <w:szCs w:val="21"/>
              </w:rPr>
            </w:pPr>
            <w:r>
              <w:rPr>
                <w:rFonts w:hint="eastAsia" w:hAnsi="宋体" w:cs="宋体"/>
                <w:kern w:val="2"/>
                <w:sz w:val="24"/>
                <w:szCs w:val="21"/>
              </w:rPr>
              <w:t>（4）投标文件中未出现下列情况：</w:t>
            </w:r>
          </w:p>
          <w:p>
            <w:pPr>
              <w:spacing w:line="300" w:lineRule="auto"/>
              <w:ind w:firstLine="420"/>
              <w:jc w:val="both"/>
              <w:rPr>
                <w:rFonts w:hAnsi="宋体" w:cs="宋体"/>
                <w:kern w:val="2"/>
                <w:sz w:val="24"/>
                <w:szCs w:val="21"/>
              </w:rPr>
            </w:pPr>
            <w:r>
              <w:rPr>
                <w:rFonts w:hint="eastAsia" w:hAnsi="宋体" w:cs="宋体"/>
                <w:kern w:val="2"/>
                <w:sz w:val="24"/>
                <w:szCs w:val="21"/>
              </w:rPr>
              <w:t>a. 未在投标函上填写投标总价大写金额；</w:t>
            </w:r>
          </w:p>
          <w:p>
            <w:pPr>
              <w:spacing w:line="300" w:lineRule="auto"/>
              <w:ind w:firstLine="420"/>
              <w:jc w:val="both"/>
              <w:rPr>
                <w:rFonts w:hAnsi="宋体" w:cs="宋体"/>
                <w:kern w:val="2"/>
                <w:sz w:val="24"/>
                <w:szCs w:val="21"/>
              </w:rPr>
            </w:pPr>
            <w:r>
              <w:rPr>
                <w:rFonts w:hint="eastAsia" w:hAnsi="宋体" w:cs="宋体"/>
                <w:kern w:val="2"/>
                <w:sz w:val="24"/>
                <w:szCs w:val="21"/>
              </w:rPr>
              <w:t xml:space="preserve">b. 投标函上的投标报价超出了招标人公布的最高投标限价； </w:t>
            </w:r>
          </w:p>
          <w:p>
            <w:pPr>
              <w:spacing w:line="300" w:lineRule="auto"/>
              <w:ind w:firstLine="420"/>
              <w:jc w:val="both"/>
              <w:rPr>
                <w:rFonts w:hAnsi="宋体" w:cs="宋体"/>
                <w:kern w:val="2"/>
                <w:sz w:val="24"/>
                <w:szCs w:val="21"/>
              </w:rPr>
            </w:pPr>
            <w:r>
              <w:rPr>
                <w:rFonts w:hint="eastAsia" w:hAnsi="宋体" w:cs="宋体"/>
                <w:kern w:val="2"/>
                <w:sz w:val="24"/>
                <w:szCs w:val="21"/>
              </w:rPr>
              <w:t>c. 投标函中的投标报价大写有错误且无法唱出；</w:t>
            </w:r>
          </w:p>
          <w:p>
            <w:pPr>
              <w:spacing w:line="300" w:lineRule="auto"/>
              <w:ind w:firstLine="420"/>
              <w:jc w:val="both"/>
              <w:rPr>
                <w:rFonts w:hAnsi="宋体" w:cs="宋体"/>
                <w:kern w:val="2"/>
                <w:sz w:val="24"/>
                <w:szCs w:val="21"/>
              </w:rPr>
            </w:pPr>
            <w:r>
              <w:rPr>
                <w:rFonts w:hint="eastAsia" w:hAnsi="宋体" w:cs="宋体"/>
                <w:kern w:val="2"/>
                <w:sz w:val="24"/>
                <w:szCs w:val="21"/>
              </w:rPr>
              <w:t>d. 提交了调价函；</w:t>
            </w:r>
          </w:p>
          <w:p>
            <w:pPr>
              <w:spacing w:line="300" w:lineRule="auto"/>
              <w:ind w:firstLine="420"/>
              <w:jc w:val="both"/>
              <w:rPr>
                <w:rFonts w:hAnsi="宋体" w:cs="宋体"/>
                <w:kern w:val="2"/>
                <w:sz w:val="24"/>
                <w:szCs w:val="21"/>
              </w:rPr>
            </w:pPr>
            <w:r>
              <w:rPr>
                <w:rFonts w:hint="eastAsia" w:hAnsi="宋体" w:cs="宋体"/>
                <w:kern w:val="2"/>
                <w:sz w:val="24"/>
                <w:szCs w:val="21"/>
              </w:rPr>
              <w:t>e. 开启的外层封套标段编号、投标文件封面的标段编号及投标函载明的标段编号不一致；</w:t>
            </w:r>
          </w:p>
          <w:p>
            <w:pPr>
              <w:spacing w:line="300" w:lineRule="auto"/>
              <w:ind w:firstLine="420"/>
              <w:jc w:val="both"/>
              <w:rPr>
                <w:rFonts w:hAnsi="宋体" w:cs="宋体"/>
                <w:kern w:val="2"/>
                <w:sz w:val="24"/>
                <w:szCs w:val="21"/>
              </w:rPr>
            </w:pPr>
            <w:r>
              <w:rPr>
                <w:rFonts w:hint="eastAsia" w:hAnsi="宋体" w:cs="宋体"/>
                <w:kern w:val="2"/>
                <w:sz w:val="24"/>
                <w:szCs w:val="21"/>
              </w:rPr>
              <w:t>f. 投标文件正、副本份数不符合招标文件规定。</w:t>
            </w:r>
          </w:p>
          <w:p>
            <w:pPr>
              <w:spacing w:line="300" w:lineRule="auto"/>
              <w:ind w:firstLine="420"/>
              <w:jc w:val="both"/>
              <w:rPr>
                <w:rFonts w:hAnsi="宋体" w:cs="宋体"/>
                <w:kern w:val="2"/>
                <w:sz w:val="24"/>
                <w:szCs w:val="21"/>
              </w:rPr>
            </w:pPr>
            <w:r>
              <w:rPr>
                <w:rFonts w:hint="eastAsia" w:hAnsi="宋体" w:cs="宋体"/>
                <w:kern w:val="2"/>
                <w:sz w:val="24"/>
                <w:szCs w:val="21"/>
              </w:rPr>
              <w:t>（5）投标文件未附有招标人不能接受的条件。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300" w:lineRule="auto"/>
              <w:ind w:firstLine="120" w:firstLineChars="50"/>
              <w:jc w:val="both"/>
              <w:rPr>
                <w:rFonts w:hAnsi="宋体" w:cs="宋体"/>
                <w:b/>
                <w:kern w:val="2"/>
                <w:sz w:val="24"/>
                <w:szCs w:val="21"/>
              </w:rPr>
            </w:pPr>
            <w:r>
              <w:rPr>
                <w:rFonts w:hint="eastAsia" w:hAnsi="宋体" w:cs="宋体"/>
                <w:b/>
                <w:kern w:val="2"/>
                <w:sz w:val="24"/>
                <w:szCs w:val="21"/>
              </w:rPr>
              <w:t>条款号</w:t>
            </w:r>
          </w:p>
        </w:tc>
        <w:tc>
          <w:tcPr>
            <w:tcW w:w="1276" w:type="dxa"/>
            <w:gridSpan w:val="2"/>
          </w:tcPr>
          <w:p>
            <w:pPr>
              <w:spacing w:line="300" w:lineRule="auto"/>
              <w:jc w:val="both"/>
              <w:rPr>
                <w:rFonts w:hAnsi="宋体" w:cs="宋体"/>
                <w:b/>
                <w:kern w:val="2"/>
                <w:sz w:val="24"/>
                <w:szCs w:val="21"/>
              </w:rPr>
            </w:pPr>
            <w:r>
              <w:rPr>
                <w:rFonts w:hint="eastAsia" w:hAnsi="宋体" w:cs="宋体"/>
                <w:b/>
                <w:kern w:val="2"/>
                <w:sz w:val="24"/>
                <w:szCs w:val="21"/>
              </w:rPr>
              <w:t>条款内容</w:t>
            </w:r>
          </w:p>
        </w:tc>
        <w:tc>
          <w:tcPr>
            <w:tcW w:w="6896" w:type="dxa"/>
            <w:gridSpan w:val="2"/>
          </w:tcPr>
          <w:p>
            <w:pPr>
              <w:spacing w:line="300" w:lineRule="auto"/>
              <w:ind w:firstLine="420"/>
              <w:jc w:val="both"/>
              <w:rPr>
                <w:rFonts w:hAnsi="宋体" w:cs="宋体"/>
                <w:b/>
                <w:kern w:val="2"/>
                <w:sz w:val="24"/>
                <w:szCs w:val="21"/>
              </w:rPr>
            </w:pPr>
            <w:r>
              <w:rPr>
                <w:rFonts w:hint="eastAsia" w:hAnsi="宋体" w:cs="宋体"/>
                <w:b/>
                <w:kern w:val="2"/>
                <w:sz w:val="24"/>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00" w:lineRule="auto"/>
              <w:rPr>
                <w:rFonts w:hAnsi="宋体" w:cs="宋体"/>
                <w:kern w:val="2"/>
                <w:sz w:val="24"/>
                <w:szCs w:val="21"/>
              </w:rPr>
            </w:pPr>
            <w:r>
              <w:rPr>
                <w:rFonts w:hint="eastAsia" w:hAnsi="宋体" w:cs="宋体"/>
                <w:kern w:val="2"/>
                <w:sz w:val="24"/>
                <w:szCs w:val="21"/>
              </w:rPr>
              <w:t>2.2</w:t>
            </w:r>
          </w:p>
        </w:tc>
        <w:tc>
          <w:tcPr>
            <w:tcW w:w="1276" w:type="dxa"/>
            <w:gridSpan w:val="2"/>
            <w:vAlign w:val="center"/>
          </w:tcPr>
          <w:p>
            <w:pPr>
              <w:spacing w:line="300" w:lineRule="auto"/>
              <w:jc w:val="center"/>
              <w:rPr>
                <w:rFonts w:hAnsi="宋体" w:cs="宋体"/>
                <w:kern w:val="2"/>
                <w:sz w:val="24"/>
                <w:szCs w:val="21"/>
              </w:rPr>
            </w:pPr>
            <w:r>
              <w:rPr>
                <w:rFonts w:hint="eastAsia" w:hAnsi="宋体" w:cs="宋体"/>
                <w:kern w:val="2"/>
                <w:sz w:val="24"/>
                <w:szCs w:val="21"/>
              </w:rPr>
              <w:t>详细评审标准</w:t>
            </w:r>
          </w:p>
        </w:tc>
        <w:tc>
          <w:tcPr>
            <w:tcW w:w="6896" w:type="dxa"/>
            <w:gridSpan w:val="2"/>
          </w:tcPr>
          <w:p>
            <w:pPr>
              <w:spacing w:line="300" w:lineRule="auto"/>
              <w:jc w:val="both"/>
              <w:rPr>
                <w:rFonts w:hAnsi="宋体" w:cs="宋体"/>
                <w:kern w:val="2"/>
                <w:sz w:val="24"/>
                <w:szCs w:val="21"/>
              </w:rPr>
            </w:pPr>
            <w:r>
              <w:rPr>
                <w:rFonts w:hint="eastAsia" w:hAnsi="宋体" w:cs="宋体"/>
                <w:kern w:val="2"/>
                <w:sz w:val="24"/>
                <w:szCs w:val="21"/>
              </w:rPr>
              <w:t>1. 经评审的投标价（评标价）=第二个信封（投标报价文件）投标函的文字报价</w:t>
            </w:r>
          </w:p>
          <w:p>
            <w:pPr>
              <w:spacing w:line="300" w:lineRule="auto"/>
              <w:jc w:val="both"/>
              <w:rPr>
                <w:rFonts w:hAnsi="宋体" w:cs="宋体"/>
                <w:kern w:val="2"/>
                <w:sz w:val="24"/>
                <w:szCs w:val="21"/>
              </w:rPr>
            </w:pPr>
            <w:r>
              <w:rPr>
                <w:rFonts w:hint="eastAsia" w:hAnsi="宋体" w:cs="宋体"/>
                <w:kern w:val="2"/>
                <w:sz w:val="24"/>
                <w:szCs w:val="21"/>
              </w:rPr>
              <w:t>2. 按经评审的投标价（评标价）由低到高的顺序推荐中标候选人。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00" w:lineRule="auto"/>
              <w:rPr>
                <w:rFonts w:hAnsi="宋体" w:cs="宋体"/>
                <w:kern w:val="2"/>
                <w:sz w:val="24"/>
                <w:szCs w:val="21"/>
              </w:rPr>
            </w:pPr>
            <w:r>
              <w:rPr>
                <w:rFonts w:hint="eastAsia" w:hAnsi="宋体" w:cs="宋体"/>
                <w:kern w:val="2"/>
                <w:sz w:val="24"/>
                <w:szCs w:val="21"/>
              </w:rPr>
              <w:t>补充</w:t>
            </w:r>
          </w:p>
          <w:p>
            <w:pPr>
              <w:spacing w:line="300" w:lineRule="auto"/>
              <w:rPr>
                <w:rFonts w:hAnsi="宋体" w:cs="宋体"/>
                <w:kern w:val="2"/>
                <w:sz w:val="24"/>
                <w:szCs w:val="21"/>
              </w:rPr>
            </w:pPr>
            <w:r>
              <w:rPr>
                <w:rFonts w:hint="eastAsia" w:hAnsi="宋体" w:cs="宋体"/>
                <w:kern w:val="2"/>
                <w:sz w:val="24"/>
                <w:szCs w:val="21"/>
              </w:rPr>
              <w:t>条款</w:t>
            </w:r>
          </w:p>
        </w:tc>
        <w:tc>
          <w:tcPr>
            <w:tcW w:w="8172" w:type="dxa"/>
            <w:gridSpan w:val="4"/>
          </w:tcPr>
          <w:p>
            <w:pPr>
              <w:spacing w:line="300" w:lineRule="auto"/>
              <w:jc w:val="both"/>
              <w:rPr>
                <w:rFonts w:hAnsi="宋体" w:cs="宋体"/>
                <w:kern w:val="2"/>
                <w:sz w:val="24"/>
                <w:szCs w:val="21"/>
              </w:rPr>
            </w:pPr>
            <w:r>
              <w:rPr>
                <w:rFonts w:hint="eastAsia" w:hAnsi="宋体" w:cs="宋体"/>
                <w:kern w:val="2"/>
                <w:sz w:val="24"/>
                <w:szCs w:val="21"/>
              </w:rPr>
              <w:t>1、本次评标采用经评审的最低投标价法。评标委员会对满足招标文件实质性要求的投标文件，按照本章第2.2款规定的评分标准进行打分，并按投标价（评标价）由低到高的顺序推荐2名中标候选人，但投标报价低于其成本的除外。若通过第一信封的投标人不足3名，评标委员会应否决所有投标文件；若通过第二信封初步评审的投标人为2名，评标委员会应讨论是否存在竞争性进而确定是否继续推荐中标候选人；若通过第二信封初步评审的投标人仅1名，应按相关规定重新招标。</w:t>
            </w:r>
          </w:p>
          <w:p>
            <w:pPr>
              <w:spacing w:line="300" w:lineRule="auto"/>
              <w:jc w:val="both"/>
              <w:rPr>
                <w:rFonts w:hAnsi="宋体" w:cs="宋体"/>
                <w:kern w:val="2"/>
                <w:sz w:val="24"/>
                <w:szCs w:val="21"/>
              </w:rPr>
            </w:pPr>
            <w:r>
              <w:rPr>
                <w:rFonts w:hint="eastAsia" w:hAnsi="宋体" w:cs="宋体"/>
                <w:kern w:val="2"/>
                <w:sz w:val="24"/>
                <w:szCs w:val="21"/>
              </w:rPr>
              <w:t>2、若同一合同段的不同投标人投标报价相同时，按2018年经审计的财务报表中流动资产合计高的优先。</w:t>
            </w:r>
            <w:r>
              <w:rPr>
                <w:rFonts w:ascii="Arial" w:hAnsi="Arial" w:cs="Arial"/>
                <w:kern w:val="2"/>
                <w:sz w:val="21"/>
                <w:szCs w:val="21"/>
              </w:rPr>
              <w:t>若</w:t>
            </w:r>
            <w:r>
              <w:rPr>
                <w:rFonts w:ascii="Arial" w:hAnsi="Arial" w:cs="Arial"/>
                <w:kern w:val="2"/>
                <w:sz w:val="21"/>
                <w:szCs w:val="21"/>
                <w:highlight w:val="yellow"/>
              </w:rPr>
              <w:t>2018年</w:t>
            </w:r>
            <w:r>
              <w:rPr>
                <w:rFonts w:ascii="Arial" w:hAnsi="Arial" w:cs="Arial"/>
                <w:kern w:val="2"/>
                <w:sz w:val="21"/>
                <w:szCs w:val="21"/>
              </w:rPr>
              <w:t>经审计的财务报表中流动资产合计相同，按购买招标文件缴费时间较早的优先；若购买招标文件缴费时间相同，则由评标委员会择优确定。</w:t>
            </w:r>
          </w:p>
          <w:p>
            <w:pPr>
              <w:spacing w:line="300" w:lineRule="auto"/>
              <w:jc w:val="both"/>
              <w:rPr>
                <w:rFonts w:hAnsi="宋体" w:cs="宋体"/>
                <w:kern w:val="2"/>
                <w:sz w:val="24"/>
                <w:szCs w:val="21"/>
              </w:rPr>
            </w:pPr>
            <w:r>
              <w:rPr>
                <w:rFonts w:hint="eastAsia" w:hAnsi="宋体" w:cs="宋体"/>
                <w:kern w:val="2"/>
                <w:sz w:val="24"/>
                <w:szCs w:val="21"/>
              </w:rPr>
              <w:t>3、本次投标同一投标人可参与3个合同段的投标，允许中1个合同段，若同一投标人在2个及以上合同段均排序第一，将按照合同段最高投标限价由大到小的顺序推荐其为最高投标限价金额较大合同段的第一中标候选人，其它合同段则由排序其后的投标人递补。</w:t>
            </w:r>
          </w:p>
        </w:tc>
      </w:tr>
    </w:tbl>
    <w:p>
      <w:pPr>
        <w:spacing w:line="300" w:lineRule="auto"/>
        <w:rPr>
          <w:rFonts w:hAnsi="宋体" w:cs="宋体"/>
          <w:b/>
          <w:sz w:val="28"/>
          <w:szCs w:val="28"/>
        </w:rPr>
      </w:pPr>
      <w:r>
        <w:rPr>
          <w:rFonts w:hint="eastAsia" w:hAnsi="宋体" w:cs="宋体"/>
          <w:b/>
          <w:sz w:val="28"/>
          <w:szCs w:val="28"/>
        </w:rPr>
        <w:br w:type="page"/>
      </w:r>
      <w:r>
        <w:rPr>
          <w:rFonts w:hint="eastAsia" w:hAnsi="宋体" w:cs="宋体"/>
          <w:b/>
          <w:sz w:val="28"/>
          <w:szCs w:val="28"/>
        </w:rPr>
        <w:t>1.评标方法</w:t>
      </w:r>
    </w:p>
    <w:p>
      <w:pPr>
        <w:spacing w:line="300" w:lineRule="auto"/>
        <w:rPr>
          <w:rFonts w:hAnsi="宋体" w:cs="宋体"/>
          <w:sz w:val="24"/>
          <w:szCs w:val="24"/>
        </w:rPr>
      </w:pPr>
      <w:r>
        <w:rPr>
          <w:rFonts w:hint="eastAsia" w:hAnsi="宋体" w:cs="宋体"/>
          <w:sz w:val="24"/>
          <w:szCs w:val="24"/>
        </w:rPr>
        <w:t xml:space="preserve">    本次评标采用经评审的最低评标价法。评标委员会对满足招标文件实质性要求的投标文件，按经评审的评标价由低到高的顺序推荐中标候选人，或根据招标人授权直接确定中标人，但投标报价低于其成本的除外。</w:t>
      </w:r>
      <w:r>
        <w:rPr>
          <w:rFonts w:hint="eastAsia" w:hAnsi="宋体" w:cs="宋体"/>
          <w:kern w:val="2"/>
          <w:sz w:val="24"/>
          <w:szCs w:val="21"/>
        </w:rPr>
        <w:t>若同一合同段的不同投标人投标报价相同时，按2018年经审计的财务报表中流动资产合计高的优先。</w:t>
      </w:r>
    </w:p>
    <w:p>
      <w:pPr>
        <w:spacing w:line="300" w:lineRule="auto"/>
        <w:rPr>
          <w:rFonts w:hAnsi="宋体" w:cs="宋体"/>
          <w:b/>
          <w:sz w:val="28"/>
          <w:szCs w:val="28"/>
        </w:rPr>
      </w:pPr>
      <w:r>
        <w:rPr>
          <w:rFonts w:hint="eastAsia" w:hAnsi="宋体" w:cs="宋体"/>
          <w:b/>
          <w:sz w:val="28"/>
          <w:szCs w:val="28"/>
        </w:rPr>
        <w:t>2.评审标准</w:t>
      </w:r>
    </w:p>
    <w:p>
      <w:pPr>
        <w:spacing w:line="300" w:lineRule="auto"/>
        <w:rPr>
          <w:rFonts w:hAnsi="宋体" w:cs="宋体"/>
          <w:b/>
          <w:sz w:val="24"/>
          <w:szCs w:val="24"/>
        </w:rPr>
      </w:pPr>
      <w:r>
        <w:rPr>
          <w:rFonts w:hint="eastAsia" w:hAnsi="宋体" w:cs="宋体"/>
          <w:b/>
          <w:sz w:val="24"/>
          <w:szCs w:val="24"/>
        </w:rPr>
        <w:t>2.1  初步评审标准</w:t>
      </w:r>
    </w:p>
    <w:p>
      <w:pPr>
        <w:spacing w:line="300" w:lineRule="auto"/>
        <w:rPr>
          <w:rFonts w:hAnsi="宋体" w:cs="宋体"/>
          <w:sz w:val="24"/>
          <w:szCs w:val="24"/>
        </w:rPr>
      </w:pPr>
      <w:r>
        <w:rPr>
          <w:rFonts w:hint="eastAsia" w:hAnsi="宋体" w:cs="宋体"/>
          <w:sz w:val="24"/>
          <w:szCs w:val="24"/>
        </w:rPr>
        <w:t xml:space="preserve">  2.1.1 形式评审标准：见评标办法前附表。</w:t>
      </w:r>
    </w:p>
    <w:p>
      <w:pPr>
        <w:spacing w:line="300" w:lineRule="auto"/>
        <w:ind w:firstLine="240" w:firstLineChars="100"/>
        <w:rPr>
          <w:rFonts w:hAnsi="宋体" w:cs="宋体"/>
          <w:sz w:val="24"/>
          <w:szCs w:val="24"/>
        </w:rPr>
      </w:pPr>
      <w:r>
        <w:rPr>
          <w:rFonts w:hint="eastAsia" w:hAnsi="宋体" w:cs="宋体"/>
          <w:sz w:val="24"/>
          <w:szCs w:val="24"/>
        </w:rPr>
        <w:t>2.1.2 资格审查标准：见评标办法前附表。</w:t>
      </w:r>
    </w:p>
    <w:p>
      <w:pPr>
        <w:spacing w:line="300" w:lineRule="auto"/>
        <w:ind w:firstLine="240" w:firstLineChars="100"/>
        <w:rPr>
          <w:rFonts w:hAnsi="宋体" w:cs="宋体"/>
          <w:sz w:val="24"/>
          <w:szCs w:val="24"/>
        </w:rPr>
      </w:pPr>
      <w:r>
        <w:rPr>
          <w:rFonts w:hint="eastAsia" w:hAnsi="宋体" w:cs="宋体"/>
          <w:sz w:val="24"/>
          <w:szCs w:val="24"/>
        </w:rPr>
        <w:t>2.1.3 响应性评审标准：见评标办法前附表。</w:t>
      </w:r>
    </w:p>
    <w:p>
      <w:pPr>
        <w:spacing w:line="300" w:lineRule="auto"/>
        <w:ind w:firstLine="240" w:firstLineChars="100"/>
        <w:rPr>
          <w:rFonts w:hAnsi="宋体" w:cs="宋体"/>
          <w:sz w:val="24"/>
          <w:szCs w:val="24"/>
        </w:rPr>
      </w:pPr>
      <w:r>
        <w:rPr>
          <w:rFonts w:hint="eastAsia" w:hAnsi="宋体" w:cs="宋体"/>
          <w:sz w:val="24"/>
          <w:szCs w:val="24"/>
        </w:rPr>
        <w:t>2.1.4 施工组织设计和项目管理机构评审标准：见评标办法前附表。</w:t>
      </w:r>
    </w:p>
    <w:p>
      <w:pPr>
        <w:spacing w:line="300" w:lineRule="auto"/>
        <w:rPr>
          <w:rFonts w:hAnsi="宋体" w:cs="宋体"/>
          <w:b/>
          <w:sz w:val="24"/>
          <w:szCs w:val="24"/>
        </w:rPr>
      </w:pPr>
      <w:r>
        <w:rPr>
          <w:rFonts w:hint="eastAsia" w:hAnsi="宋体" w:cs="宋体"/>
          <w:b/>
          <w:sz w:val="24"/>
          <w:szCs w:val="24"/>
        </w:rPr>
        <w:t>2.2  详细评审标准</w:t>
      </w:r>
    </w:p>
    <w:p>
      <w:pPr>
        <w:spacing w:line="300" w:lineRule="auto"/>
        <w:rPr>
          <w:rFonts w:hAnsi="宋体" w:cs="宋体"/>
          <w:sz w:val="24"/>
          <w:szCs w:val="24"/>
        </w:rPr>
      </w:pPr>
      <w:r>
        <w:rPr>
          <w:rFonts w:hint="eastAsia" w:hAnsi="宋体" w:cs="宋体"/>
          <w:sz w:val="24"/>
          <w:szCs w:val="24"/>
        </w:rPr>
        <w:t xml:space="preserve">     见评标办法前附表。</w:t>
      </w:r>
    </w:p>
    <w:p>
      <w:pPr>
        <w:spacing w:line="300" w:lineRule="auto"/>
        <w:rPr>
          <w:rFonts w:hAnsi="宋体" w:cs="宋体"/>
          <w:b/>
          <w:sz w:val="28"/>
          <w:szCs w:val="28"/>
        </w:rPr>
      </w:pPr>
      <w:r>
        <w:rPr>
          <w:rFonts w:hint="eastAsia" w:hAnsi="宋体" w:cs="宋体"/>
          <w:sz w:val="24"/>
          <w:szCs w:val="24"/>
        </w:rPr>
        <w:t xml:space="preserve">    </w:t>
      </w:r>
      <w:r>
        <w:rPr>
          <w:rFonts w:hint="eastAsia" w:hAnsi="宋体" w:cs="宋体"/>
          <w:b/>
          <w:sz w:val="28"/>
          <w:szCs w:val="28"/>
        </w:rPr>
        <w:t>3.评标程序</w:t>
      </w:r>
    </w:p>
    <w:p>
      <w:pPr>
        <w:spacing w:line="300" w:lineRule="auto"/>
        <w:rPr>
          <w:rFonts w:hAnsi="宋体" w:cs="宋体"/>
          <w:b/>
          <w:sz w:val="24"/>
          <w:szCs w:val="24"/>
        </w:rPr>
      </w:pPr>
      <w:r>
        <w:rPr>
          <w:rFonts w:hint="eastAsia" w:hAnsi="宋体" w:cs="宋体"/>
          <w:b/>
          <w:sz w:val="24"/>
          <w:szCs w:val="24"/>
        </w:rPr>
        <w:t>3.1  初步评审</w:t>
      </w:r>
    </w:p>
    <w:p>
      <w:pPr>
        <w:spacing w:line="300" w:lineRule="auto"/>
        <w:rPr>
          <w:rFonts w:hAnsi="宋体" w:cs="宋体"/>
          <w:sz w:val="24"/>
          <w:szCs w:val="24"/>
        </w:rPr>
      </w:pPr>
      <w:r>
        <w:rPr>
          <w:rFonts w:hint="eastAsia" w:hAnsi="宋体" w:cs="宋体"/>
          <w:sz w:val="24"/>
          <w:szCs w:val="24"/>
        </w:rPr>
        <w:t xml:space="preserve">     3.1.1 评标委员会依据本章第2.1.1项、第2.1.3项、第2.1.4项规定的标准对投标文件进行初步评审。有一项不符合评审标准的，作否决投标处理。</w:t>
      </w:r>
    </w:p>
    <w:p>
      <w:pPr>
        <w:spacing w:line="300" w:lineRule="auto"/>
        <w:rPr>
          <w:rFonts w:hAnsi="宋体" w:cs="宋体"/>
          <w:sz w:val="24"/>
          <w:szCs w:val="24"/>
        </w:rPr>
      </w:pPr>
      <w:r>
        <w:rPr>
          <w:rFonts w:hint="eastAsia" w:hAnsi="宋体" w:cs="宋体"/>
          <w:sz w:val="28"/>
          <w:szCs w:val="28"/>
        </w:rPr>
        <w:t xml:space="preserve">    </w:t>
      </w:r>
      <w:r>
        <w:rPr>
          <w:rFonts w:hint="eastAsia" w:hAnsi="宋体" w:cs="宋体"/>
          <w:sz w:val="24"/>
          <w:szCs w:val="24"/>
        </w:rPr>
        <w:t xml:space="preserve"> 3.1.2 投标人有以下情形之一的，其投标作废标处理。</w:t>
      </w:r>
    </w:p>
    <w:p>
      <w:pPr>
        <w:spacing w:line="300" w:lineRule="auto"/>
        <w:rPr>
          <w:rFonts w:hAnsi="宋体" w:cs="宋体"/>
          <w:sz w:val="24"/>
          <w:szCs w:val="24"/>
        </w:rPr>
      </w:pPr>
      <w:r>
        <w:rPr>
          <w:rFonts w:hint="eastAsia" w:hAnsi="宋体" w:cs="宋体"/>
          <w:sz w:val="24"/>
          <w:szCs w:val="24"/>
        </w:rPr>
        <w:tab/>
      </w:r>
      <w:r>
        <w:rPr>
          <w:rFonts w:hint="eastAsia" w:hAnsi="宋体" w:cs="宋体"/>
          <w:sz w:val="24"/>
          <w:szCs w:val="24"/>
        </w:rPr>
        <w:t>（1）第二章“投标人须知”第1.4.3项规定的任何一种情形的；</w:t>
      </w:r>
    </w:p>
    <w:p>
      <w:pPr>
        <w:spacing w:line="300" w:lineRule="auto"/>
        <w:rPr>
          <w:rFonts w:hAnsi="宋体" w:cs="宋体"/>
          <w:sz w:val="24"/>
          <w:szCs w:val="24"/>
        </w:rPr>
      </w:pPr>
      <w:r>
        <w:rPr>
          <w:rFonts w:hint="eastAsia" w:hAnsi="宋体" w:cs="宋体"/>
          <w:sz w:val="24"/>
          <w:szCs w:val="24"/>
        </w:rPr>
        <w:tab/>
      </w:r>
      <w:r>
        <w:rPr>
          <w:rFonts w:hint="eastAsia" w:hAnsi="宋体" w:cs="宋体"/>
          <w:sz w:val="24"/>
          <w:szCs w:val="24"/>
        </w:rPr>
        <w:t>（2）串通投标或者弄虚作假或有其他违法行为的；</w:t>
      </w:r>
    </w:p>
    <w:p>
      <w:pPr>
        <w:spacing w:line="300" w:lineRule="auto"/>
        <w:rPr>
          <w:rFonts w:hAnsi="宋体" w:cs="宋体"/>
          <w:sz w:val="24"/>
          <w:szCs w:val="24"/>
        </w:rPr>
      </w:pPr>
      <w:r>
        <w:rPr>
          <w:rFonts w:hint="eastAsia" w:hAnsi="宋体" w:cs="宋体"/>
          <w:sz w:val="24"/>
          <w:szCs w:val="24"/>
        </w:rPr>
        <w:t xml:space="preserve">    （3）不按评标委员会要求澄清、说明或补正的。</w:t>
      </w:r>
    </w:p>
    <w:p>
      <w:pPr>
        <w:spacing w:line="300" w:lineRule="auto"/>
        <w:rPr>
          <w:rFonts w:hAnsi="宋体" w:cs="宋体"/>
          <w:sz w:val="24"/>
          <w:szCs w:val="24"/>
        </w:rPr>
      </w:pPr>
      <w:r>
        <w:rPr>
          <w:rFonts w:hint="eastAsia" w:hAnsi="宋体" w:cs="宋体"/>
          <w:sz w:val="28"/>
          <w:szCs w:val="28"/>
        </w:rPr>
        <w:t xml:space="preserve">   </w:t>
      </w:r>
      <w:r>
        <w:rPr>
          <w:rFonts w:hint="eastAsia" w:hAnsi="宋体" w:cs="宋体"/>
          <w:sz w:val="24"/>
          <w:szCs w:val="24"/>
        </w:rPr>
        <w:t xml:space="preserve">  3.1.3 投标报价有算术错误的，评标委员会按以下原则对投标报价进行修正，修正的价格经投标人书面确认后具有约束力。投标人不接受修正价格的，其投标作否决投标处理，其投标担保不予退还。</w:t>
      </w:r>
    </w:p>
    <w:p>
      <w:pPr>
        <w:spacing w:line="300" w:lineRule="auto"/>
        <w:ind w:firstLine="480" w:firstLineChars="200"/>
        <w:rPr>
          <w:rFonts w:hAnsi="宋体" w:cs="宋体"/>
          <w:sz w:val="24"/>
          <w:szCs w:val="24"/>
        </w:rPr>
      </w:pPr>
      <w:r>
        <w:rPr>
          <w:rFonts w:hint="eastAsia" w:hAnsi="宋体" w:cs="宋体"/>
          <w:sz w:val="24"/>
          <w:szCs w:val="24"/>
        </w:rPr>
        <w:t>（1）投标文件中的大写金额与小写金额不一致的，以大写金额为准；</w:t>
      </w:r>
    </w:p>
    <w:p>
      <w:pPr>
        <w:spacing w:line="300" w:lineRule="auto"/>
        <w:ind w:firstLine="480" w:firstLineChars="200"/>
        <w:rPr>
          <w:rFonts w:hAnsi="宋体" w:cs="宋体"/>
          <w:sz w:val="24"/>
          <w:szCs w:val="24"/>
        </w:rPr>
      </w:pPr>
      <w:r>
        <w:rPr>
          <w:rFonts w:hint="eastAsia" w:hAnsi="宋体" w:cs="宋体"/>
          <w:sz w:val="24"/>
          <w:szCs w:val="24"/>
        </w:rPr>
        <w:t>（2）总价金额与依据单价计算出的结果不一致的，以单价金额为准修正总价，但单价金额小数点有明显错误的除外；</w:t>
      </w:r>
    </w:p>
    <w:p>
      <w:pPr>
        <w:spacing w:line="300" w:lineRule="auto"/>
        <w:ind w:firstLine="480" w:firstLineChars="200"/>
        <w:rPr>
          <w:rFonts w:hAnsi="宋体" w:cs="宋体"/>
          <w:sz w:val="24"/>
          <w:szCs w:val="24"/>
        </w:rPr>
      </w:pPr>
      <w:r>
        <w:rPr>
          <w:rFonts w:hint="eastAsia" w:hAnsi="宋体" w:cs="宋体"/>
          <w:sz w:val="24"/>
          <w:szCs w:val="24"/>
        </w:rPr>
        <w:t>（3）当单价与数量相乘不等于合价时，以单价计算为准，如果单价有明显的小数点位置差错，应以标出的合价为准，同时对单价予以修正；</w:t>
      </w:r>
    </w:p>
    <w:p>
      <w:pPr>
        <w:spacing w:line="300" w:lineRule="auto"/>
        <w:ind w:firstLine="480" w:firstLineChars="200"/>
        <w:rPr>
          <w:rFonts w:hAnsi="宋体" w:cs="宋体"/>
          <w:sz w:val="24"/>
          <w:szCs w:val="24"/>
        </w:rPr>
      </w:pPr>
      <w:r>
        <w:rPr>
          <w:rFonts w:hint="eastAsia" w:hAnsi="宋体" w:cs="宋体"/>
          <w:sz w:val="24"/>
          <w:szCs w:val="24"/>
        </w:rPr>
        <w:t>（4）当各子目的合价累计不等于总价时，应以各子目合价累计数为准，修正总价。</w:t>
      </w:r>
    </w:p>
    <w:p>
      <w:pPr>
        <w:spacing w:line="300" w:lineRule="auto"/>
        <w:ind w:firstLine="480" w:firstLineChars="200"/>
        <w:rPr>
          <w:rFonts w:hAnsi="宋体" w:cs="宋体"/>
          <w:sz w:val="24"/>
          <w:szCs w:val="24"/>
        </w:rPr>
      </w:pPr>
      <w:r>
        <w:rPr>
          <w:rFonts w:hint="eastAsia" w:hAnsi="宋体" w:cs="宋体"/>
          <w:sz w:val="24"/>
          <w:szCs w:val="24"/>
        </w:rPr>
        <w:t>3.1.4  工程量清单中的投标报价有其他错误的，评标委员会按以下原则对投标报价进行修正，修正的价格经投标人书面确认后具有约束力。投标人不接受修正价格的，其投标作废处理，其投标担保不予退还。</w:t>
      </w:r>
    </w:p>
    <w:p>
      <w:pPr>
        <w:spacing w:line="300" w:lineRule="auto"/>
        <w:ind w:firstLine="480" w:firstLineChars="200"/>
        <w:rPr>
          <w:rFonts w:hAnsi="宋体" w:cs="宋体"/>
          <w:sz w:val="24"/>
          <w:szCs w:val="24"/>
        </w:rPr>
      </w:pPr>
      <w:r>
        <w:rPr>
          <w:rFonts w:hint="eastAsia" w:hAnsi="宋体" w:cs="宋体"/>
          <w:sz w:val="24"/>
          <w:szCs w:val="24"/>
        </w:rPr>
        <w:t>（1）如果未在投标货物数量及分项报价表中提供详细分项报价或其投标产品出现漏项，将视为没有实质性响应招标文件，其投标文件按废标处理。</w:t>
      </w:r>
    </w:p>
    <w:p>
      <w:pPr>
        <w:spacing w:line="300" w:lineRule="auto"/>
        <w:ind w:firstLine="480" w:firstLineChars="200"/>
        <w:rPr>
          <w:rFonts w:hAnsi="宋体" w:cs="宋体"/>
          <w:sz w:val="24"/>
          <w:szCs w:val="24"/>
        </w:rPr>
      </w:pPr>
      <w:r>
        <w:rPr>
          <w:rFonts w:hint="eastAsia" w:hAnsi="宋体" w:cs="宋体"/>
          <w:sz w:val="24"/>
          <w:szCs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00" w:lineRule="auto"/>
        <w:ind w:firstLine="480" w:firstLineChars="200"/>
        <w:rPr>
          <w:rFonts w:hAnsi="宋体" w:cs="宋体"/>
          <w:sz w:val="24"/>
          <w:szCs w:val="24"/>
        </w:rPr>
      </w:pPr>
      <w:r>
        <w:rPr>
          <w:rFonts w:hint="eastAsia" w:hAnsi="宋体" w:cs="宋体"/>
          <w:sz w:val="24"/>
          <w:szCs w:val="24"/>
        </w:rPr>
        <w:t>（3）当单价与数量的乘积与合价（金额）虽然一致，但投标人修改了该子目的工程数量，则其合价按招标人给定的工程数量乘以投标人所报单价予以修正。</w:t>
      </w:r>
    </w:p>
    <w:p>
      <w:pPr>
        <w:spacing w:line="300" w:lineRule="auto"/>
        <w:ind w:firstLine="480" w:firstLineChars="200"/>
        <w:rPr>
          <w:rFonts w:hAnsi="宋体" w:cs="宋体"/>
          <w:sz w:val="24"/>
          <w:szCs w:val="24"/>
        </w:rPr>
      </w:pPr>
      <w:r>
        <w:rPr>
          <w:rFonts w:hint="eastAsia" w:hAnsi="宋体" w:cs="宋体"/>
          <w:sz w:val="24"/>
          <w:szCs w:val="24"/>
        </w:rPr>
        <w:t>3.1.5  修正后的最终投标报价若超过最高投标限价（如果有），投标人的投标文件作废标处理。</w:t>
      </w:r>
    </w:p>
    <w:p>
      <w:pPr>
        <w:spacing w:line="300" w:lineRule="auto"/>
        <w:rPr>
          <w:rFonts w:hAnsi="宋体" w:cs="宋体"/>
          <w:b/>
          <w:sz w:val="24"/>
          <w:szCs w:val="24"/>
        </w:rPr>
      </w:pPr>
      <w:r>
        <w:rPr>
          <w:rFonts w:hint="eastAsia" w:hAnsi="宋体" w:cs="宋体"/>
          <w:b/>
          <w:sz w:val="24"/>
          <w:szCs w:val="24"/>
        </w:rPr>
        <w:t>3.2  详细评审</w:t>
      </w:r>
    </w:p>
    <w:p>
      <w:pPr>
        <w:spacing w:line="300" w:lineRule="auto"/>
        <w:ind w:firstLine="480"/>
        <w:rPr>
          <w:rFonts w:hAnsi="宋体" w:cs="宋体"/>
          <w:sz w:val="24"/>
          <w:szCs w:val="24"/>
        </w:rPr>
      </w:pPr>
      <w:r>
        <w:rPr>
          <w:rFonts w:hint="eastAsia" w:hAnsi="宋体" w:cs="宋体"/>
          <w:sz w:val="24"/>
          <w:szCs w:val="24"/>
        </w:rPr>
        <w:t>3.2.1 评标委员会按本章第2.2款规定的量化因素和标准进行价格折算，计算出评标价，并编制价格比较一览表。</w:t>
      </w:r>
    </w:p>
    <w:p>
      <w:pPr>
        <w:spacing w:line="300" w:lineRule="auto"/>
        <w:ind w:firstLine="480"/>
        <w:rPr>
          <w:rFonts w:hAnsi="宋体" w:cs="宋体"/>
          <w:sz w:val="24"/>
          <w:szCs w:val="24"/>
        </w:rPr>
      </w:pPr>
      <w:r>
        <w:rPr>
          <w:rFonts w:hint="eastAsia" w:hAnsi="宋体" w:cs="宋体"/>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低于成本报价竞标，其投标作否决投标处理。</w:t>
      </w:r>
    </w:p>
    <w:p>
      <w:pPr>
        <w:spacing w:line="300" w:lineRule="auto"/>
        <w:rPr>
          <w:rFonts w:hAnsi="宋体" w:cs="宋体"/>
          <w:b/>
          <w:sz w:val="24"/>
          <w:szCs w:val="24"/>
        </w:rPr>
      </w:pPr>
      <w:r>
        <w:rPr>
          <w:rFonts w:hint="eastAsia" w:hAnsi="宋体" w:cs="宋体"/>
          <w:sz w:val="24"/>
          <w:szCs w:val="24"/>
        </w:rPr>
        <w:t xml:space="preserve"> </w:t>
      </w:r>
      <w:r>
        <w:rPr>
          <w:rFonts w:hint="eastAsia" w:hAnsi="宋体" w:cs="宋体"/>
          <w:b/>
          <w:sz w:val="24"/>
          <w:szCs w:val="24"/>
        </w:rPr>
        <w:t>3.3  投标文件的澄清和补正</w:t>
      </w:r>
    </w:p>
    <w:p>
      <w:pPr>
        <w:spacing w:line="300" w:lineRule="auto"/>
        <w:rPr>
          <w:rFonts w:hAnsi="宋体" w:cs="宋体"/>
          <w:sz w:val="24"/>
          <w:szCs w:val="24"/>
        </w:rPr>
      </w:pPr>
      <w:r>
        <w:rPr>
          <w:rFonts w:hint="eastAsia" w:hAnsi="宋体" w:cs="宋体"/>
          <w:sz w:val="24"/>
          <w:szCs w:val="24"/>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spacing w:line="300" w:lineRule="auto"/>
        <w:rPr>
          <w:rFonts w:hAnsi="宋体" w:cs="宋体"/>
          <w:sz w:val="24"/>
          <w:szCs w:val="24"/>
        </w:rPr>
      </w:pPr>
      <w:r>
        <w:rPr>
          <w:rFonts w:hint="eastAsia" w:hAnsi="宋体" w:cs="宋体"/>
          <w:sz w:val="24"/>
          <w:szCs w:val="24"/>
        </w:rPr>
        <w:t xml:space="preserve">    3.3.2 澄清、说明和补正不得改变投标文件的实质性内容（算术性错误修正的除外）。投标人的书面澄清、说明和补正属于投标文件的组成部分。</w:t>
      </w:r>
    </w:p>
    <w:p>
      <w:pPr>
        <w:spacing w:line="300" w:lineRule="auto"/>
        <w:rPr>
          <w:rFonts w:hAnsi="宋体" w:cs="宋体"/>
          <w:sz w:val="24"/>
          <w:szCs w:val="24"/>
        </w:rPr>
      </w:pPr>
      <w:r>
        <w:rPr>
          <w:rFonts w:hint="eastAsia" w:hAnsi="宋体" w:cs="宋体"/>
          <w:sz w:val="24"/>
          <w:szCs w:val="24"/>
        </w:rPr>
        <w:t xml:space="preserve">    3.3.3 评标委员会对投标人提交的澄清、说明或者补正有疑问的，可以要求投标人进一步澄清、说明或者补正，直至满足评标委员会的要求。</w:t>
      </w:r>
    </w:p>
    <w:p>
      <w:pPr>
        <w:spacing w:line="300" w:lineRule="auto"/>
        <w:rPr>
          <w:rFonts w:hAnsi="宋体" w:cs="宋体"/>
          <w:b/>
          <w:sz w:val="24"/>
          <w:szCs w:val="24"/>
        </w:rPr>
      </w:pPr>
      <w:r>
        <w:rPr>
          <w:rFonts w:hint="eastAsia" w:hAnsi="宋体" w:cs="宋体"/>
          <w:b/>
          <w:sz w:val="24"/>
          <w:szCs w:val="24"/>
        </w:rPr>
        <w:t>3.4  评标结果</w:t>
      </w:r>
    </w:p>
    <w:p>
      <w:pPr>
        <w:spacing w:line="300" w:lineRule="auto"/>
        <w:rPr>
          <w:rFonts w:hAnsi="宋体" w:cs="宋体"/>
          <w:sz w:val="24"/>
          <w:szCs w:val="24"/>
        </w:rPr>
      </w:pPr>
      <w:r>
        <w:rPr>
          <w:rFonts w:hint="eastAsia" w:hAnsi="宋体" w:cs="宋体"/>
          <w:sz w:val="24"/>
          <w:szCs w:val="24"/>
        </w:rPr>
        <w:t xml:space="preserve">    3.4.1 除第二章“投标人须知“前附表授权直接确定中标人外，评标委员会按照经评审的价格由低到高的顺序推荐中标候选人。</w:t>
      </w:r>
    </w:p>
    <w:p>
      <w:r>
        <w:rPr>
          <w:rFonts w:hint="eastAsia" w:hAnsi="宋体" w:cs="宋体"/>
          <w:sz w:val="24"/>
          <w:szCs w:val="24"/>
        </w:rPr>
        <w:t>3.4.2 评标委员会完成评标后，应当向招标人提交书面评标报告。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399D"/>
    <w:rsid w:val="0000592A"/>
    <w:rsid w:val="00005C84"/>
    <w:rsid w:val="00007F89"/>
    <w:rsid w:val="00012E5B"/>
    <w:rsid w:val="00014211"/>
    <w:rsid w:val="00016865"/>
    <w:rsid w:val="000239A5"/>
    <w:rsid w:val="00025647"/>
    <w:rsid w:val="00027565"/>
    <w:rsid w:val="00037BEF"/>
    <w:rsid w:val="000429A5"/>
    <w:rsid w:val="00042ACF"/>
    <w:rsid w:val="000441CF"/>
    <w:rsid w:val="0004740A"/>
    <w:rsid w:val="00047721"/>
    <w:rsid w:val="00053F81"/>
    <w:rsid w:val="00054627"/>
    <w:rsid w:val="00060A39"/>
    <w:rsid w:val="00060FAA"/>
    <w:rsid w:val="00061E08"/>
    <w:rsid w:val="00064E5C"/>
    <w:rsid w:val="0007322C"/>
    <w:rsid w:val="00074776"/>
    <w:rsid w:val="00086CFF"/>
    <w:rsid w:val="000933A3"/>
    <w:rsid w:val="0009370F"/>
    <w:rsid w:val="00096B44"/>
    <w:rsid w:val="00097761"/>
    <w:rsid w:val="00097F23"/>
    <w:rsid w:val="00097F7A"/>
    <w:rsid w:val="000A7B9B"/>
    <w:rsid w:val="000B1756"/>
    <w:rsid w:val="000B34A5"/>
    <w:rsid w:val="000B4ECA"/>
    <w:rsid w:val="000B4FC4"/>
    <w:rsid w:val="000B7F94"/>
    <w:rsid w:val="000C369A"/>
    <w:rsid w:val="000C533F"/>
    <w:rsid w:val="000C574D"/>
    <w:rsid w:val="000D1092"/>
    <w:rsid w:val="000D147E"/>
    <w:rsid w:val="000D1886"/>
    <w:rsid w:val="000D1A07"/>
    <w:rsid w:val="000D211C"/>
    <w:rsid w:val="000D3CFF"/>
    <w:rsid w:val="000D3E2A"/>
    <w:rsid w:val="000D6CB6"/>
    <w:rsid w:val="000E05A3"/>
    <w:rsid w:val="000E1195"/>
    <w:rsid w:val="000E16FA"/>
    <w:rsid w:val="000E3254"/>
    <w:rsid w:val="000E50CD"/>
    <w:rsid w:val="000E5825"/>
    <w:rsid w:val="000E5BB3"/>
    <w:rsid w:val="000E65CC"/>
    <w:rsid w:val="000E6ED9"/>
    <w:rsid w:val="000E77A1"/>
    <w:rsid w:val="000F104E"/>
    <w:rsid w:val="000F1BAC"/>
    <w:rsid w:val="00100F3C"/>
    <w:rsid w:val="0010131A"/>
    <w:rsid w:val="00102E6B"/>
    <w:rsid w:val="00103FCB"/>
    <w:rsid w:val="00104B47"/>
    <w:rsid w:val="00105377"/>
    <w:rsid w:val="0011287F"/>
    <w:rsid w:val="001131FD"/>
    <w:rsid w:val="00113E00"/>
    <w:rsid w:val="00120637"/>
    <w:rsid w:val="00121894"/>
    <w:rsid w:val="00122444"/>
    <w:rsid w:val="00123293"/>
    <w:rsid w:val="001247B4"/>
    <w:rsid w:val="001262C2"/>
    <w:rsid w:val="00126572"/>
    <w:rsid w:val="001266BC"/>
    <w:rsid w:val="001271EA"/>
    <w:rsid w:val="00131F8A"/>
    <w:rsid w:val="001350E0"/>
    <w:rsid w:val="001404E4"/>
    <w:rsid w:val="00142895"/>
    <w:rsid w:val="00150D78"/>
    <w:rsid w:val="00151254"/>
    <w:rsid w:val="00152CD9"/>
    <w:rsid w:val="00155B19"/>
    <w:rsid w:val="001560EC"/>
    <w:rsid w:val="00160F55"/>
    <w:rsid w:val="00161458"/>
    <w:rsid w:val="00164C8B"/>
    <w:rsid w:val="00165277"/>
    <w:rsid w:val="001753F2"/>
    <w:rsid w:val="00175963"/>
    <w:rsid w:val="00175B88"/>
    <w:rsid w:val="00176332"/>
    <w:rsid w:val="00176393"/>
    <w:rsid w:val="0017714F"/>
    <w:rsid w:val="001775D7"/>
    <w:rsid w:val="00181EE7"/>
    <w:rsid w:val="00182338"/>
    <w:rsid w:val="001823CC"/>
    <w:rsid w:val="00183D30"/>
    <w:rsid w:val="001840CD"/>
    <w:rsid w:val="00185BDB"/>
    <w:rsid w:val="00185E63"/>
    <w:rsid w:val="00187A41"/>
    <w:rsid w:val="00194451"/>
    <w:rsid w:val="00197ACF"/>
    <w:rsid w:val="001A1D97"/>
    <w:rsid w:val="001A36A4"/>
    <w:rsid w:val="001A398E"/>
    <w:rsid w:val="001A4218"/>
    <w:rsid w:val="001A5BE4"/>
    <w:rsid w:val="001B0CA5"/>
    <w:rsid w:val="001B1843"/>
    <w:rsid w:val="001B20D6"/>
    <w:rsid w:val="001B3CC0"/>
    <w:rsid w:val="001B42C3"/>
    <w:rsid w:val="001B70D9"/>
    <w:rsid w:val="001C0CD3"/>
    <w:rsid w:val="001C2D61"/>
    <w:rsid w:val="001C522D"/>
    <w:rsid w:val="001C78AB"/>
    <w:rsid w:val="001D1571"/>
    <w:rsid w:val="001D2714"/>
    <w:rsid w:val="001D4316"/>
    <w:rsid w:val="001D5FB5"/>
    <w:rsid w:val="001E1720"/>
    <w:rsid w:val="001E3761"/>
    <w:rsid w:val="001E399D"/>
    <w:rsid w:val="001F1264"/>
    <w:rsid w:val="001F34CE"/>
    <w:rsid w:val="001F4A34"/>
    <w:rsid w:val="001F685A"/>
    <w:rsid w:val="001F7B98"/>
    <w:rsid w:val="002016C2"/>
    <w:rsid w:val="00203DE6"/>
    <w:rsid w:val="00206F2D"/>
    <w:rsid w:val="00210AFF"/>
    <w:rsid w:val="0021120C"/>
    <w:rsid w:val="0021476C"/>
    <w:rsid w:val="00214B91"/>
    <w:rsid w:val="00217FBF"/>
    <w:rsid w:val="00221C7F"/>
    <w:rsid w:val="0022592F"/>
    <w:rsid w:val="00225968"/>
    <w:rsid w:val="002301C6"/>
    <w:rsid w:val="00230BC0"/>
    <w:rsid w:val="002314C7"/>
    <w:rsid w:val="0023295C"/>
    <w:rsid w:val="00233018"/>
    <w:rsid w:val="00241375"/>
    <w:rsid w:val="00241E2A"/>
    <w:rsid w:val="00245018"/>
    <w:rsid w:val="00246AF4"/>
    <w:rsid w:val="00246C9C"/>
    <w:rsid w:val="0025137E"/>
    <w:rsid w:val="00253DDD"/>
    <w:rsid w:val="00254969"/>
    <w:rsid w:val="00254B2E"/>
    <w:rsid w:val="00255A75"/>
    <w:rsid w:val="002611D9"/>
    <w:rsid w:val="00263438"/>
    <w:rsid w:val="00263C95"/>
    <w:rsid w:val="00266DF4"/>
    <w:rsid w:val="00267EDB"/>
    <w:rsid w:val="00270046"/>
    <w:rsid w:val="002711CC"/>
    <w:rsid w:val="00273D01"/>
    <w:rsid w:val="002753A9"/>
    <w:rsid w:val="00277B9C"/>
    <w:rsid w:val="00281885"/>
    <w:rsid w:val="002841D3"/>
    <w:rsid w:val="002935A7"/>
    <w:rsid w:val="002940AA"/>
    <w:rsid w:val="002A00BE"/>
    <w:rsid w:val="002A026D"/>
    <w:rsid w:val="002A314D"/>
    <w:rsid w:val="002A45C7"/>
    <w:rsid w:val="002A6132"/>
    <w:rsid w:val="002B0035"/>
    <w:rsid w:val="002B0D76"/>
    <w:rsid w:val="002B19E8"/>
    <w:rsid w:val="002B2C92"/>
    <w:rsid w:val="002B33E7"/>
    <w:rsid w:val="002B5248"/>
    <w:rsid w:val="002B6634"/>
    <w:rsid w:val="002C2015"/>
    <w:rsid w:val="002C30AC"/>
    <w:rsid w:val="002C3AA1"/>
    <w:rsid w:val="002C5DC9"/>
    <w:rsid w:val="002C64F7"/>
    <w:rsid w:val="002D0813"/>
    <w:rsid w:val="002D4E97"/>
    <w:rsid w:val="002D5347"/>
    <w:rsid w:val="002D5E17"/>
    <w:rsid w:val="002D6089"/>
    <w:rsid w:val="002E033F"/>
    <w:rsid w:val="002E26B7"/>
    <w:rsid w:val="002E4784"/>
    <w:rsid w:val="002E712C"/>
    <w:rsid w:val="002E75CE"/>
    <w:rsid w:val="002E7DC0"/>
    <w:rsid w:val="002F1C2B"/>
    <w:rsid w:val="002F2459"/>
    <w:rsid w:val="00304FDE"/>
    <w:rsid w:val="00307ECC"/>
    <w:rsid w:val="00310E01"/>
    <w:rsid w:val="00322196"/>
    <w:rsid w:val="003221C1"/>
    <w:rsid w:val="003237D0"/>
    <w:rsid w:val="00324A82"/>
    <w:rsid w:val="00325902"/>
    <w:rsid w:val="003263FE"/>
    <w:rsid w:val="00326E2A"/>
    <w:rsid w:val="00327D13"/>
    <w:rsid w:val="003316CC"/>
    <w:rsid w:val="003320D3"/>
    <w:rsid w:val="00334146"/>
    <w:rsid w:val="003360D0"/>
    <w:rsid w:val="00336562"/>
    <w:rsid w:val="003369D9"/>
    <w:rsid w:val="00336ABD"/>
    <w:rsid w:val="00341026"/>
    <w:rsid w:val="00342E6C"/>
    <w:rsid w:val="0035125B"/>
    <w:rsid w:val="00355EDB"/>
    <w:rsid w:val="00356975"/>
    <w:rsid w:val="00356CC7"/>
    <w:rsid w:val="00357B61"/>
    <w:rsid w:val="00360CD1"/>
    <w:rsid w:val="003628A3"/>
    <w:rsid w:val="00364439"/>
    <w:rsid w:val="003668CE"/>
    <w:rsid w:val="0037017E"/>
    <w:rsid w:val="0037420A"/>
    <w:rsid w:val="00374216"/>
    <w:rsid w:val="00374A21"/>
    <w:rsid w:val="0037551E"/>
    <w:rsid w:val="003756E5"/>
    <w:rsid w:val="00376AC0"/>
    <w:rsid w:val="00377549"/>
    <w:rsid w:val="0038451F"/>
    <w:rsid w:val="00385D48"/>
    <w:rsid w:val="003900EB"/>
    <w:rsid w:val="00391531"/>
    <w:rsid w:val="00394A2F"/>
    <w:rsid w:val="003952F1"/>
    <w:rsid w:val="00395CB5"/>
    <w:rsid w:val="00396FD2"/>
    <w:rsid w:val="00397A34"/>
    <w:rsid w:val="003A2566"/>
    <w:rsid w:val="003A4A57"/>
    <w:rsid w:val="003A53AD"/>
    <w:rsid w:val="003A64FD"/>
    <w:rsid w:val="003A7E13"/>
    <w:rsid w:val="003B07BA"/>
    <w:rsid w:val="003B2B37"/>
    <w:rsid w:val="003B33E5"/>
    <w:rsid w:val="003C2B87"/>
    <w:rsid w:val="003C362B"/>
    <w:rsid w:val="003C485B"/>
    <w:rsid w:val="003C4AAE"/>
    <w:rsid w:val="003C4FB5"/>
    <w:rsid w:val="003C7199"/>
    <w:rsid w:val="003D0013"/>
    <w:rsid w:val="003D246A"/>
    <w:rsid w:val="003D3C3D"/>
    <w:rsid w:val="003D4988"/>
    <w:rsid w:val="003D7A7F"/>
    <w:rsid w:val="003E17F5"/>
    <w:rsid w:val="003E3240"/>
    <w:rsid w:val="003E3A8B"/>
    <w:rsid w:val="003E3C16"/>
    <w:rsid w:val="003E6F0F"/>
    <w:rsid w:val="003F4FB8"/>
    <w:rsid w:val="003F65CC"/>
    <w:rsid w:val="00400BE0"/>
    <w:rsid w:val="00401FC5"/>
    <w:rsid w:val="0041090A"/>
    <w:rsid w:val="00410DAF"/>
    <w:rsid w:val="0041102A"/>
    <w:rsid w:val="004120A3"/>
    <w:rsid w:val="00412340"/>
    <w:rsid w:val="00412DF5"/>
    <w:rsid w:val="004137F6"/>
    <w:rsid w:val="0042169C"/>
    <w:rsid w:val="00421C08"/>
    <w:rsid w:val="004237D1"/>
    <w:rsid w:val="00423FDA"/>
    <w:rsid w:val="004240E2"/>
    <w:rsid w:val="004249FF"/>
    <w:rsid w:val="00425ADE"/>
    <w:rsid w:val="00430059"/>
    <w:rsid w:val="004304EC"/>
    <w:rsid w:val="00431D65"/>
    <w:rsid w:val="00432263"/>
    <w:rsid w:val="00432EC1"/>
    <w:rsid w:val="00435221"/>
    <w:rsid w:val="004352F4"/>
    <w:rsid w:val="00436CD4"/>
    <w:rsid w:val="0043728A"/>
    <w:rsid w:val="004403E4"/>
    <w:rsid w:val="00442985"/>
    <w:rsid w:val="004467B1"/>
    <w:rsid w:val="00446BE5"/>
    <w:rsid w:val="00450004"/>
    <w:rsid w:val="00451B68"/>
    <w:rsid w:val="0045237B"/>
    <w:rsid w:val="004610D1"/>
    <w:rsid w:val="00462082"/>
    <w:rsid w:val="004632E8"/>
    <w:rsid w:val="0046684A"/>
    <w:rsid w:val="0047108B"/>
    <w:rsid w:val="004767A2"/>
    <w:rsid w:val="004810EB"/>
    <w:rsid w:val="004834A8"/>
    <w:rsid w:val="00483C49"/>
    <w:rsid w:val="004858A6"/>
    <w:rsid w:val="00485EBE"/>
    <w:rsid w:val="00492CE9"/>
    <w:rsid w:val="004948EE"/>
    <w:rsid w:val="00495E9A"/>
    <w:rsid w:val="004962C1"/>
    <w:rsid w:val="004A2A9E"/>
    <w:rsid w:val="004A44B2"/>
    <w:rsid w:val="004A44C9"/>
    <w:rsid w:val="004A7D58"/>
    <w:rsid w:val="004B02EF"/>
    <w:rsid w:val="004B0572"/>
    <w:rsid w:val="004B07F0"/>
    <w:rsid w:val="004B392B"/>
    <w:rsid w:val="004B49C8"/>
    <w:rsid w:val="004B695D"/>
    <w:rsid w:val="004C1D19"/>
    <w:rsid w:val="004C3ED0"/>
    <w:rsid w:val="004C61F8"/>
    <w:rsid w:val="004C7E4E"/>
    <w:rsid w:val="004D560C"/>
    <w:rsid w:val="004D5843"/>
    <w:rsid w:val="004D720E"/>
    <w:rsid w:val="004E4304"/>
    <w:rsid w:val="004E699C"/>
    <w:rsid w:val="004F2030"/>
    <w:rsid w:val="004F3DD0"/>
    <w:rsid w:val="004F437F"/>
    <w:rsid w:val="004F5A46"/>
    <w:rsid w:val="004F60B8"/>
    <w:rsid w:val="00501142"/>
    <w:rsid w:val="005025BA"/>
    <w:rsid w:val="00504827"/>
    <w:rsid w:val="0051302F"/>
    <w:rsid w:val="0051357F"/>
    <w:rsid w:val="00513968"/>
    <w:rsid w:val="00522E12"/>
    <w:rsid w:val="0052402F"/>
    <w:rsid w:val="005240CA"/>
    <w:rsid w:val="005241CE"/>
    <w:rsid w:val="005244F8"/>
    <w:rsid w:val="005270B5"/>
    <w:rsid w:val="005314B6"/>
    <w:rsid w:val="00532114"/>
    <w:rsid w:val="005328C5"/>
    <w:rsid w:val="00532EC2"/>
    <w:rsid w:val="005332AC"/>
    <w:rsid w:val="005404C0"/>
    <w:rsid w:val="005422C0"/>
    <w:rsid w:val="00543A05"/>
    <w:rsid w:val="00545525"/>
    <w:rsid w:val="00547A53"/>
    <w:rsid w:val="00547A6D"/>
    <w:rsid w:val="00553B1A"/>
    <w:rsid w:val="00556BA8"/>
    <w:rsid w:val="0056187A"/>
    <w:rsid w:val="0057213C"/>
    <w:rsid w:val="00583621"/>
    <w:rsid w:val="00583B37"/>
    <w:rsid w:val="0058508E"/>
    <w:rsid w:val="00585500"/>
    <w:rsid w:val="00585545"/>
    <w:rsid w:val="005867BD"/>
    <w:rsid w:val="0059166D"/>
    <w:rsid w:val="0059200C"/>
    <w:rsid w:val="00593B5B"/>
    <w:rsid w:val="00596D16"/>
    <w:rsid w:val="00597B63"/>
    <w:rsid w:val="005A2FA0"/>
    <w:rsid w:val="005A75CA"/>
    <w:rsid w:val="005B0E53"/>
    <w:rsid w:val="005B32DD"/>
    <w:rsid w:val="005B3A58"/>
    <w:rsid w:val="005B47B5"/>
    <w:rsid w:val="005C1CBA"/>
    <w:rsid w:val="005C58FB"/>
    <w:rsid w:val="005C7A15"/>
    <w:rsid w:val="005D1336"/>
    <w:rsid w:val="005D42A0"/>
    <w:rsid w:val="005D5BE8"/>
    <w:rsid w:val="005D688F"/>
    <w:rsid w:val="005D7A43"/>
    <w:rsid w:val="005D7CAD"/>
    <w:rsid w:val="005E1271"/>
    <w:rsid w:val="005E7451"/>
    <w:rsid w:val="005E7D00"/>
    <w:rsid w:val="005F042C"/>
    <w:rsid w:val="005F4319"/>
    <w:rsid w:val="005F642D"/>
    <w:rsid w:val="006023A1"/>
    <w:rsid w:val="00602E59"/>
    <w:rsid w:val="00603DCA"/>
    <w:rsid w:val="00606AE9"/>
    <w:rsid w:val="00607303"/>
    <w:rsid w:val="006131C9"/>
    <w:rsid w:val="00616611"/>
    <w:rsid w:val="00616FF5"/>
    <w:rsid w:val="006221AA"/>
    <w:rsid w:val="006246F2"/>
    <w:rsid w:val="00627978"/>
    <w:rsid w:val="00632674"/>
    <w:rsid w:val="00632F13"/>
    <w:rsid w:val="00634E49"/>
    <w:rsid w:val="00635220"/>
    <w:rsid w:val="00637F1B"/>
    <w:rsid w:val="0064389E"/>
    <w:rsid w:val="006439FE"/>
    <w:rsid w:val="00646EC7"/>
    <w:rsid w:val="006522A8"/>
    <w:rsid w:val="00652F07"/>
    <w:rsid w:val="006638AB"/>
    <w:rsid w:val="00664E8D"/>
    <w:rsid w:val="00666906"/>
    <w:rsid w:val="00666ED9"/>
    <w:rsid w:val="0066751B"/>
    <w:rsid w:val="006676F2"/>
    <w:rsid w:val="00674192"/>
    <w:rsid w:val="00681089"/>
    <w:rsid w:val="006811AF"/>
    <w:rsid w:val="00681E81"/>
    <w:rsid w:val="00683450"/>
    <w:rsid w:val="00685363"/>
    <w:rsid w:val="00685F9D"/>
    <w:rsid w:val="00691705"/>
    <w:rsid w:val="0069285F"/>
    <w:rsid w:val="00696025"/>
    <w:rsid w:val="006A21A2"/>
    <w:rsid w:val="006A25B6"/>
    <w:rsid w:val="006A2651"/>
    <w:rsid w:val="006A47A8"/>
    <w:rsid w:val="006A6C3D"/>
    <w:rsid w:val="006A6EF1"/>
    <w:rsid w:val="006A76FC"/>
    <w:rsid w:val="006B3851"/>
    <w:rsid w:val="006B407C"/>
    <w:rsid w:val="006B41CF"/>
    <w:rsid w:val="006B4BC7"/>
    <w:rsid w:val="006B4FB3"/>
    <w:rsid w:val="006B56C6"/>
    <w:rsid w:val="006B5EA8"/>
    <w:rsid w:val="006B63E2"/>
    <w:rsid w:val="006C21C7"/>
    <w:rsid w:val="006C334F"/>
    <w:rsid w:val="006C6459"/>
    <w:rsid w:val="006C6628"/>
    <w:rsid w:val="006C6D98"/>
    <w:rsid w:val="006D0C91"/>
    <w:rsid w:val="006D1B08"/>
    <w:rsid w:val="006D4C52"/>
    <w:rsid w:val="006E545F"/>
    <w:rsid w:val="006F2850"/>
    <w:rsid w:val="006F3EC2"/>
    <w:rsid w:val="006F49E2"/>
    <w:rsid w:val="006F568C"/>
    <w:rsid w:val="006F6ED9"/>
    <w:rsid w:val="006F70C7"/>
    <w:rsid w:val="006F7583"/>
    <w:rsid w:val="006F7BD9"/>
    <w:rsid w:val="006F7CC5"/>
    <w:rsid w:val="0070030A"/>
    <w:rsid w:val="0070290B"/>
    <w:rsid w:val="0070456A"/>
    <w:rsid w:val="00707B6A"/>
    <w:rsid w:val="00707E4F"/>
    <w:rsid w:val="00712C3D"/>
    <w:rsid w:val="00712F28"/>
    <w:rsid w:val="00715A07"/>
    <w:rsid w:val="00721998"/>
    <w:rsid w:val="007256F3"/>
    <w:rsid w:val="00727F1E"/>
    <w:rsid w:val="00731280"/>
    <w:rsid w:val="00731820"/>
    <w:rsid w:val="00731FC3"/>
    <w:rsid w:val="007363B2"/>
    <w:rsid w:val="00740C5E"/>
    <w:rsid w:val="007410B3"/>
    <w:rsid w:val="007417E7"/>
    <w:rsid w:val="00741A95"/>
    <w:rsid w:val="0074432D"/>
    <w:rsid w:val="00745DA7"/>
    <w:rsid w:val="007464D8"/>
    <w:rsid w:val="00750B20"/>
    <w:rsid w:val="007554FF"/>
    <w:rsid w:val="00760574"/>
    <w:rsid w:val="007606F8"/>
    <w:rsid w:val="00760853"/>
    <w:rsid w:val="00762662"/>
    <w:rsid w:val="00762F59"/>
    <w:rsid w:val="00763DF5"/>
    <w:rsid w:val="00766189"/>
    <w:rsid w:val="00766224"/>
    <w:rsid w:val="00767392"/>
    <w:rsid w:val="00773711"/>
    <w:rsid w:val="0077467D"/>
    <w:rsid w:val="00777529"/>
    <w:rsid w:val="007808E7"/>
    <w:rsid w:val="00780C9A"/>
    <w:rsid w:val="0078738E"/>
    <w:rsid w:val="00792707"/>
    <w:rsid w:val="00795759"/>
    <w:rsid w:val="007A5C57"/>
    <w:rsid w:val="007A7776"/>
    <w:rsid w:val="007B0901"/>
    <w:rsid w:val="007B166A"/>
    <w:rsid w:val="007B2D20"/>
    <w:rsid w:val="007B3A6C"/>
    <w:rsid w:val="007C0B00"/>
    <w:rsid w:val="007C3706"/>
    <w:rsid w:val="007C3DB8"/>
    <w:rsid w:val="007C6940"/>
    <w:rsid w:val="007C6C75"/>
    <w:rsid w:val="007C750C"/>
    <w:rsid w:val="007D7149"/>
    <w:rsid w:val="007E000F"/>
    <w:rsid w:val="007E06E7"/>
    <w:rsid w:val="007E1BC8"/>
    <w:rsid w:val="007E2BF7"/>
    <w:rsid w:val="007E6FDE"/>
    <w:rsid w:val="007E7AA9"/>
    <w:rsid w:val="007F25B0"/>
    <w:rsid w:val="007F6240"/>
    <w:rsid w:val="00807657"/>
    <w:rsid w:val="0081366A"/>
    <w:rsid w:val="008136C2"/>
    <w:rsid w:val="008164B4"/>
    <w:rsid w:val="00816534"/>
    <w:rsid w:val="008221E6"/>
    <w:rsid w:val="00823868"/>
    <w:rsid w:val="0082696B"/>
    <w:rsid w:val="00832031"/>
    <w:rsid w:val="00833D4F"/>
    <w:rsid w:val="00833F5F"/>
    <w:rsid w:val="008477C5"/>
    <w:rsid w:val="00850B17"/>
    <w:rsid w:val="008513CE"/>
    <w:rsid w:val="0085267A"/>
    <w:rsid w:val="00852846"/>
    <w:rsid w:val="008569F0"/>
    <w:rsid w:val="00862B02"/>
    <w:rsid w:val="0086339D"/>
    <w:rsid w:val="00866EE8"/>
    <w:rsid w:val="00871438"/>
    <w:rsid w:val="00874B12"/>
    <w:rsid w:val="00877303"/>
    <w:rsid w:val="00880AEE"/>
    <w:rsid w:val="00890345"/>
    <w:rsid w:val="00891355"/>
    <w:rsid w:val="008A0BDB"/>
    <w:rsid w:val="008A1F57"/>
    <w:rsid w:val="008A449E"/>
    <w:rsid w:val="008A4E82"/>
    <w:rsid w:val="008A78F1"/>
    <w:rsid w:val="008A7A21"/>
    <w:rsid w:val="008B12B5"/>
    <w:rsid w:val="008B2E92"/>
    <w:rsid w:val="008B419C"/>
    <w:rsid w:val="008B6907"/>
    <w:rsid w:val="008B6E72"/>
    <w:rsid w:val="008B703B"/>
    <w:rsid w:val="008C4170"/>
    <w:rsid w:val="008C6346"/>
    <w:rsid w:val="008C697F"/>
    <w:rsid w:val="008D4884"/>
    <w:rsid w:val="008D5819"/>
    <w:rsid w:val="008D5D04"/>
    <w:rsid w:val="008D75CD"/>
    <w:rsid w:val="008E0C4E"/>
    <w:rsid w:val="008F3FD7"/>
    <w:rsid w:val="008F5789"/>
    <w:rsid w:val="008F6052"/>
    <w:rsid w:val="008F60FA"/>
    <w:rsid w:val="009017B5"/>
    <w:rsid w:val="00903648"/>
    <w:rsid w:val="00903BB1"/>
    <w:rsid w:val="00906DEE"/>
    <w:rsid w:val="00907BA4"/>
    <w:rsid w:val="00911D38"/>
    <w:rsid w:val="009131FD"/>
    <w:rsid w:val="00916DA0"/>
    <w:rsid w:val="00917737"/>
    <w:rsid w:val="00921FF7"/>
    <w:rsid w:val="00925A07"/>
    <w:rsid w:val="00927CB3"/>
    <w:rsid w:val="00932737"/>
    <w:rsid w:val="00933821"/>
    <w:rsid w:val="00934C48"/>
    <w:rsid w:val="00936B05"/>
    <w:rsid w:val="00937EDB"/>
    <w:rsid w:val="0094133E"/>
    <w:rsid w:val="00950110"/>
    <w:rsid w:val="00951728"/>
    <w:rsid w:val="00951FDA"/>
    <w:rsid w:val="00952387"/>
    <w:rsid w:val="00952399"/>
    <w:rsid w:val="00953465"/>
    <w:rsid w:val="009549FC"/>
    <w:rsid w:val="00955E0A"/>
    <w:rsid w:val="00955F7E"/>
    <w:rsid w:val="0095762A"/>
    <w:rsid w:val="00962259"/>
    <w:rsid w:val="00964FFB"/>
    <w:rsid w:val="00966581"/>
    <w:rsid w:val="00970223"/>
    <w:rsid w:val="00970F6B"/>
    <w:rsid w:val="00972B4A"/>
    <w:rsid w:val="00972D09"/>
    <w:rsid w:val="00975198"/>
    <w:rsid w:val="00976891"/>
    <w:rsid w:val="00977464"/>
    <w:rsid w:val="009807EE"/>
    <w:rsid w:val="00987549"/>
    <w:rsid w:val="00990539"/>
    <w:rsid w:val="00991D6C"/>
    <w:rsid w:val="009A0A8B"/>
    <w:rsid w:val="009A0C5A"/>
    <w:rsid w:val="009A1447"/>
    <w:rsid w:val="009A1D43"/>
    <w:rsid w:val="009A28F6"/>
    <w:rsid w:val="009B4A31"/>
    <w:rsid w:val="009B5690"/>
    <w:rsid w:val="009B6498"/>
    <w:rsid w:val="009C3872"/>
    <w:rsid w:val="009C47BC"/>
    <w:rsid w:val="009D0053"/>
    <w:rsid w:val="009D21C3"/>
    <w:rsid w:val="009D7F95"/>
    <w:rsid w:val="009E3E18"/>
    <w:rsid w:val="009E707E"/>
    <w:rsid w:val="009F03EB"/>
    <w:rsid w:val="009F095C"/>
    <w:rsid w:val="00A02B73"/>
    <w:rsid w:val="00A03026"/>
    <w:rsid w:val="00A0377F"/>
    <w:rsid w:val="00A04479"/>
    <w:rsid w:val="00A05A58"/>
    <w:rsid w:val="00A10EB2"/>
    <w:rsid w:val="00A115C2"/>
    <w:rsid w:val="00A12441"/>
    <w:rsid w:val="00A1552B"/>
    <w:rsid w:val="00A16015"/>
    <w:rsid w:val="00A16019"/>
    <w:rsid w:val="00A166E2"/>
    <w:rsid w:val="00A174B3"/>
    <w:rsid w:val="00A228E6"/>
    <w:rsid w:val="00A24CE6"/>
    <w:rsid w:val="00A24D2D"/>
    <w:rsid w:val="00A251FD"/>
    <w:rsid w:val="00A256A6"/>
    <w:rsid w:val="00A303C6"/>
    <w:rsid w:val="00A30F71"/>
    <w:rsid w:val="00A32042"/>
    <w:rsid w:val="00A32D11"/>
    <w:rsid w:val="00A354CC"/>
    <w:rsid w:val="00A36859"/>
    <w:rsid w:val="00A43300"/>
    <w:rsid w:val="00A444DC"/>
    <w:rsid w:val="00A53A65"/>
    <w:rsid w:val="00A54604"/>
    <w:rsid w:val="00A56E7D"/>
    <w:rsid w:val="00A5788B"/>
    <w:rsid w:val="00A612D8"/>
    <w:rsid w:val="00A64F59"/>
    <w:rsid w:val="00A76302"/>
    <w:rsid w:val="00A77BB2"/>
    <w:rsid w:val="00A807BA"/>
    <w:rsid w:val="00A8081C"/>
    <w:rsid w:val="00A810C6"/>
    <w:rsid w:val="00A8127C"/>
    <w:rsid w:val="00A86086"/>
    <w:rsid w:val="00A86158"/>
    <w:rsid w:val="00A864B3"/>
    <w:rsid w:val="00A87F38"/>
    <w:rsid w:val="00A960DF"/>
    <w:rsid w:val="00A97227"/>
    <w:rsid w:val="00AA660F"/>
    <w:rsid w:val="00AB490E"/>
    <w:rsid w:val="00AC062C"/>
    <w:rsid w:val="00AC281D"/>
    <w:rsid w:val="00AC2BC9"/>
    <w:rsid w:val="00AC415F"/>
    <w:rsid w:val="00AC7141"/>
    <w:rsid w:val="00AD1145"/>
    <w:rsid w:val="00AD2A43"/>
    <w:rsid w:val="00AD3CD7"/>
    <w:rsid w:val="00AD431F"/>
    <w:rsid w:val="00AD434D"/>
    <w:rsid w:val="00AD5DF5"/>
    <w:rsid w:val="00AE0D49"/>
    <w:rsid w:val="00AE3084"/>
    <w:rsid w:val="00AE42B2"/>
    <w:rsid w:val="00AE5A5C"/>
    <w:rsid w:val="00AE7AC3"/>
    <w:rsid w:val="00AF3A17"/>
    <w:rsid w:val="00AF67BF"/>
    <w:rsid w:val="00AF7B49"/>
    <w:rsid w:val="00AF7FA0"/>
    <w:rsid w:val="00B00760"/>
    <w:rsid w:val="00B02796"/>
    <w:rsid w:val="00B0548B"/>
    <w:rsid w:val="00B1118A"/>
    <w:rsid w:val="00B1122B"/>
    <w:rsid w:val="00B13B4F"/>
    <w:rsid w:val="00B15D3A"/>
    <w:rsid w:val="00B15F20"/>
    <w:rsid w:val="00B23D64"/>
    <w:rsid w:val="00B31E93"/>
    <w:rsid w:val="00B35078"/>
    <w:rsid w:val="00B40917"/>
    <w:rsid w:val="00B42A12"/>
    <w:rsid w:val="00B43DA8"/>
    <w:rsid w:val="00B442B9"/>
    <w:rsid w:val="00B512F9"/>
    <w:rsid w:val="00B53178"/>
    <w:rsid w:val="00B57428"/>
    <w:rsid w:val="00B607C4"/>
    <w:rsid w:val="00B6149A"/>
    <w:rsid w:val="00B62C70"/>
    <w:rsid w:val="00B635F9"/>
    <w:rsid w:val="00B63917"/>
    <w:rsid w:val="00B63F14"/>
    <w:rsid w:val="00B6482F"/>
    <w:rsid w:val="00B7116C"/>
    <w:rsid w:val="00B74412"/>
    <w:rsid w:val="00B76A89"/>
    <w:rsid w:val="00B85191"/>
    <w:rsid w:val="00B87340"/>
    <w:rsid w:val="00B906BA"/>
    <w:rsid w:val="00B91741"/>
    <w:rsid w:val="00B92EC1"/>
    <w:rsid w:val="00B9414C"/>
    <w:rsid w:val="00B95C6B"/>
    <w:rsid w:val="00BA2D39"/>
    <w:rsid w:val="00BA3CC5"/>
    <w:rsid w:val="00BB07A5"/>
    <w:rsid w:val="00BB5D03"/>
    <w:rsid w:val="00BC03E6"/>
    <w:rsid w:val="00BC0AED"/>
    <w:rsid w:val="00BC2A71"/>
    <w:rsid w:val="00BD2E07"/>
    <w:rsid w:val="00BD71E0"/>
    <w:rsid w:val="00BD7D64"/>
    <w:rsid w:val="00BE2E53"/>
    <w:rsid w:val="00BE6038"/>
    <w:rsid w:val="00BE7C58"/>
    <w:rsid w:val="00BE7C99"/>
    <w:rsid w:val="00BF235E"/>
    <w:rsid w:val="00BF28EB"/>
    <w:rsid w:val="00BF2EFC"/>
    <w:rsid w:val="00BF458D"/>
    <w:rsid w:val="00BF4C45"/>
    <w:rsid w:val="00BF6AE9"/>
    <w:rsid w:val="00C0466F"/>
    <w:rsid w:val="00C0526F"/>
    <w:rsid w:val="00C068D2"/>
    <w:rsid w:val="00C06E4E"/>
    <w:rsid w:val="00C13DBF"/>
    <w:rsid w:val="00C17A9E"/>
    <w:rsid w:val="00C20F05"/>
    <w:rsid w:val="00C2110B"/>
    <w:rsid w:val="00C25EC8"/>
    <w:rsid w:val="00C30BD2"/>
    <w:rsid w:val="00C30C58"/>
    <w:rsid w:val="00C35ED8"/>
    <w:rsid w:val="00C40A6D"/>
    <w:rsid w:val="00C40FC2"/>
    <w:rsid w:val="00C41007"/>
    <w:rsid w:val="00C50D29"/>
    <w:rsid w:val="00C53045"/>
    <w:rsid w:val="00C53DD1"/>
    <w:rsid w:val="00C554BF"/>
    <w:rsid w:val="00C644E5"/>
    <w:rsid w:val="00C6659C"/>
    <w:rsid w:val="00C747B4"/>
    <w:rsid w:val="00C75D51"/>
    <w:rsid w:val="00C80082"/>
    <w:rsid w:val="00C822FF"/>
    <w:rsid w:val="00C86F29"/>
    <w:rsid w:val="00C90DA2"/>
    <w:rsid w:val="00C91D01"/>
    <w:rsid w:val="00C97496"/>
    <w:rsid w:val="00CA0A3C"/>
    <w:rsid w:val="00CA1727"/>
    <w:rsid w:val="00CA1DC7"/>
    <w:rsid w:val="00CA2F55"/>
    <w:rsid w:val="00CA4F7B"/>
    <w:rsid w:val="00CA5165"/>
    <w:rsid w:val="00CA5452"/>
    <w:rsid w:val="00CA6974"/>
    <w:rsid w:val="00CB33EA"/>
    <w:rsid w:val="00CB369D"/>
    <w:rsid w:val="00CB3A69"/>
    <w:rsid w:val="00CB64BF"/>
    <w:rsid w:val="00CB6D3B"/>
    <w:rsid w:val="00CC10D9"/>
    <w:rsid w:val="00CC70AF"/>
    <w:rsid w:val="00CD500C"/>
    <w:rsid w:val="00CD711F"/>
    <w:rsid w:val="00CD78AE"/>
    <w:rsid w:val="00CE1BB9"/>
    <w:rsid w:val="00CE1C4E"/>
    <w:rsid w:val="00CF061E"/>
    <w:rsid w:val="00CF23A2"/>
    <w:rsid w:val="00CF309A"/>
    <w:rsid w:val="00CF4EA0"/>
    <w:rsid w:val="00CF7571"/>
    <w:rsid w:val="00D020E7"/>
    <w:rsid w:val="00D034AC"/>
    <w:rsid w:val="00D0500D"/>
    <w:rsid w:val="00D10233"/>
    <w:rsid w:val="00D10481"/>
    <w:rsid w:val="00D1655A"/>
    <w:rsid w:val="00D16DC1"/>
    <w:rsid w:val="00D20A4E"/>
    <w:rsid w:val="00D242BA"/>
    <w:rsid w:val="00D25FDD"/>
    <w:rsid w:val="00D33526"/>
    <w:rsid w:val="00D34AC4"/>
    <w:rsid w:val="00D34DCA"/>
    <w:rsid w:val="00D34E3B"/>
    <w:rsid w:val="00D35082"/>
    <w:rsid w:val="00D35654"/>
    <w:rsid w:val="00D35810"/>
    <w:rsid w:val="00D41CFD"/>
    <w:rsid w:val="00D4611A"/>
    <w:rsid w:val="00D4729A"/>
    <w:rsid w:val="00D5414F"/>
    <w:rsid w:val="00D54B3A"/>
    <w:rsid w:val="00D54CEF"/>
    <w:rsid w:val="00D56603"/>
    <w:rsid w:val="00D629BF"/>
    <w:rsid w:val="00D7065F"/>
    <w:rsid w:val="00D722DD"/>
    <w:rsid w:val="00D72BA8"/>
    <w:rsid w:val="00D81960"/>
    <w:rsid w:val="00D853E9"/>
    <w:rsid w:val="00D8617E"/>
    <w:rsid w:val="00D87996"/>
    <w:rsid w:val="00D907C0"/>
    <w:rsid w:val="00D9352D"/>
    <w:rsid w:val="00D935FA"/>
    <w:rsid w:val="00D943AC"/>
    <w:rsid w:val="00D94739"/>
    <w:rsid w:val="00D94F4C"/>
    <w:rsid w:val="00D959E9"/>
    <w:rsid w:val="00D96145"/>
    <w:rsid w:val="00D96DD6"/>
    <w:rsid w:val="00D9759C"/>
    <w:rsid w:val="00D979D9"/>
    <w:rsid w:val="00DA1048"/>
    <w:rsid w:val="00DA227B"/>
    <w:rsid w:val="00DA39C6"/>
    <w:rsid w:val="00DA3B32"/>
    <w:rsid w:val="00DA55DF"/>
    <w:rsid w:val="00DB0356"/>
    <w:rsid w:val="00DB0F04"/>
    <w:rsid w:val="00DB495C"/>
    <w:rsid w:val="00DC1576"/>
    <w:rsid w:val="00DC7423"/>
    <w:rsid w:val="00DD1490"/>
    <w:rsid w:val="00DD176F"/>
    <w:rsid w:val="00DD519B"/>
    <w:rsid w:val="00DD5630"/>
    <w:rsid w:val="00DD5B5B"/>
    <w:rsid w:val="00DD6FE4"/>
    <w:rsid w:val="00DD7D46"/>
    <w:rsid w:val="00DE3517"/>
    <w:rsid w:val="00DE4581"/>
    <w:rsid w:val="00DE52EE"/>
    <w:rsid w:val="00DE6AD8"/>
    <w:rsid w:val="00DF0DB2"/>
    <w:rsid w:val="00DF5EF8"/>
    <w:rsid w:val="00DF78F9"/>
    <w:rsid w:val="00E008AF"/>
    <w:rsid w:val="00E00D41"/>
    <w:rsid w:val="00E02F62"/>
    <w:rsid w:val="00E05A2E"/>
    <w:rsid w:val="00E073FD"/>
    <w:rsid w:val="00E07B15"/>
    <w:rsid w:val="00E1012F"/>
    <w:rsid w:val="00E1026D"/>
    <w:rsid w:val="00E102E8"/>
    <w:rsid w:val="00E10B98"/>
    <w:rsid w:val="00E15567"/>
    <w:rsid w:val="00E1574A"/>
    <w:rsid w:val="00E17729"/>
    <w:rsid w:val="00E17880"/>
    <w:rsid w:val="00E209E0"/>
    <w:rsid w:val="00E24AF0"/>
    <w:rsid w:val="00E30E83"/>
    <w:rsid w:val="00E376C9"/>
    <w:rsid w:val="00E40AA1"/>
    <w:rsid w:val="00E422AF"/>
    <w:rsid w:val="00E45445"/>
    <w:rsid w:val="00E458B2"/>
    <w:rsid w:val="00E45D86"/>
    <w:rsid w:val="00E50EAE"/>
    <w:rsid w:val="00E5387E"/>
    <w:rsid w:val="00E538B0"/>
    <w:rsid w:val="00E53F55"/>
    <w:rsid w:val="00E57AC9"/>
    <w:rsid w:val="00E714DF"/>
    <w:rsid w:val="00E7227C"/>
    <w:rsid w:val="00E73094"/>
    <w:rsid w:val="00E73D6F"/>
    <w:rsid w:val="00E747EE"/>
    <w:rsid w:val="00E76451"/>
    <w:rsid w:val="00E865CC"/>
    <w:rsid w:val="00E9063E"/>
    <w:rsid w:val="00E908CC"/>
    <w:rsid w:val="00E944F0"/>
    <w:rsid w:val="00E96216"/>
    <w:rsid w:val="00EA1EE0"/>
    <w:rsid w:val="00EA2088"/>
    <w:rsid w:val="00EA2BA6"/>
    <w:rsid w:val="00EA4E7C"/>
    <w:rsid w:val="00EA57D4"/>
    <w:rsid w:val="00EA5819"/>
    <w:rsid w:val="00EA772E"/>
    <w:rsid w:val="00EA7731"/>
    <w:rsid w:val="00EB00E5"/>
    <w:rsid w:val="00EB1628"/>
    <w:rsid w:val="00EB3274"/>
    <w:rsid w:val="00EB5C46"/>
    <w:rsid w:val="00EC4840"/>
    <w:rsid w:val="00EC4E65"/>
    <w:rsid w:val="00EC7465"/>
    <w:rsid w:val="00ED0860"/>
    <w:rsid w:val="00ED140A"/>
    <w:rsid w:val="00ED201A"/>
    <w:rsid w:val="00ED209D"/>
    <w:rsid w:val="00ED4908"/>
    <w:rsid w:val="00ED6658"/>
    <w:rsid w:val="00ED7E87"/>
    <w:rsid w:val="00EE0ECD"/>
    <w:rsid w:val="00EE1D2A"/>
    <w:rsid w:val="00EE3397"/>
    <w:rsid w:val="00EE47BA"/>
    <w:rsid w:val="00EE486D"/>
    <w:rsid w:val="00EE516E"/>
    <w:rsid w:val="00EE673A"/>
    <w:rsid w:val="00EF6FB1"/>
    <w:rsid w:val="00EF7D8B"/>
    <w:rsid w:val="00F00191"/>
    <w:rsid w:val="00F012E6"/>
    <w:rsid w:val="00F018D7"/>
    <w:rsid w:val="00F032A7"/>
    <w:rsid w:val="00F128A8"/>
    <w:rsid w:val="00F12E5D"/>
    <w:rsid w:val="00F13E10"/>
    <w:rsid w:val="00F2609C"/>
    <w:rsid w:val="00F32B85"/>
    <w:rsid w:val="00F339E0"/>
    <w:rsid w:val="00F33CD8"/>
    <w:rsid w:val="00F358C2"/>
    <w:rsid w:val="00F40758"/>
    <w:rsid w:val="00F40B05"/>
    <w:rsid w:val="00F45E14"/>
    <w:rsid w:val="00F5412E"/>
    <w:rsid w:val="00F54C26"/>
    <w:rsid w:val="00F601F0"/>
    <w:rsid w:val="00F6084A"/>
    <w:rsid w:val="00F6102C"/>
    <w:rsid w:val="00F6144C"/>
    <w:rsid w:val="00F61CE4"/>
    <w:rsid w:val="00F628DF"/>
    <w:rsid w:val="00F633BA"/>
    <w:rsid w:val="00F64906"/>
    <w:rsid w:val="00F65C80"/>
    <w:rsid w:val="00F70685"/>
    <w:rsid w:val="00F71D65"/>
    <w:rsid w:val="00F80FBB"/>
    <w:rsid w:val="00F816EE"/>
    <w:rsid w:val="00F82947"/>
    <w:rsid w:val="00F90B67"/>
    <w:rsid w:val="00F90EC2"/>
    <w:rsid w:val="00F915CD"/>
    <w:rsid w:val="00F91EC4"/>
    <w:rsid w:val="00F943A2"/>
    <w:rsid w:val="00F946B7"/>
    <w:rsid w:val="00F95070"/>
    <w:rsid w:val="00FA085E"/>
    <w:rsid w:val="00FA13CC"/>
    <w:rsid w:val="00FA4708"/>
    <w:rsid w:val="00FA6C78"/>
    <w:rsid w:val="00FA74A4"/>
    <w:rsid w:val="00FA756C"/>
    <w:rsid w:val="00FB199A"/>
    <w:rsid w:val="00FB29E7"/>
    <w:rsid w:val="00FB49DA"/>
    <w:rsid w:val="00FB66C1"/>
    <w:rsid w:val="00FB7727"/>
    <w:rsid w:val="00FB7A95"/>
    <w:rsid w:val="00FC05B6"/>
    <w:rsid w:val="00FC1417"/>
    <w:rsid w:val="00FC422D"/>
    <w:rsid w:val="00FC46BF"/>
    <w:rsid w:val="00FC4FD7"/>
    <w:rsid w:val="00FD0B1A"/>
    <w:rsid w:val="00FD45B3"/>
    <w:rsid w:val="00FD4EE3"/>
    <w:rsid w:val="00FD5013"/>
    <w:rsid w:val="00FD539A"/>
    <w:rsid w:val="00FE20EF"/>
    <w:rsid w:val="00FE2CF8"/>
    <w:rsid w:val="00FE4551"/>
    <w:rsid w:val="00FE457A"/>
    <w:rsid w:val="00FF260B"/>
    <w:rsid w:val="00FF3168"/>
    <w:rsid w:val="00FF380A"/>
    <w:rsid w:val="00FF5AB5"/>
    <w:rsid w:val="00FF618D"/>
    <w:rsid w:val="00FF786A"/>
    <w:rsid w:val="1D4A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kern w:val="0"/>
      <w:sz w:val="3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adjustRightInd/>
      <w:spacing w:before="100" w:beforeAutospacing="1" w:after="100" w:afterAutospacing="1"/>
      <w:textAlignment w:val="auto"/>
    </w:pPr>
    <w:rPr>
      <w:rFonts w:hAnsi="宋体" w:cs="宋体"/>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rFonts w:ascii="宋体" w:hAnsi="Times New Roman" w:eastAsia="宋体" w:cs="Times New Roman"/>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1821</Words>
  <Characters>10384</Characters>
  <Lines>86</Lines>
  <Paragraphs>24</Paragraphs>
  <TotalTime>0</TotalTime>
  <ScaleCrop>false</ScaleCrop>
  <LinksUpToDate>false</LinksUpToDate>
  <CharactersWithSpaces>12181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2020-03-31T06:13:00Z</dcterms:created>
  <dc:creator>侯裔</dc:creator>
  <cp:lastModifiedBy>Smile.</cp:lastModifiedBy>
  <dcterms:modified xsi:type="dcterms:W3CDTF">2020-03-31T08:13:12Z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