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240" w:lineRule="atLeast"/>
        <w:jc w:val="center"/>
      </w:pPr>
      <w:bookmarkStart w:id="0" w:name="_Toc234832863"/>
      <w:bookmarkStart w:id="1" w:name="_Toc509993812"/>
      <w:bookmarkStart w:id="41" w:name="_GoBack"/>
      <w:bookmarkEnd w:id="41"/>
      <w:r>
        <w:rPr>
          <w:rFonts w:hint="eastAsia" w:ascii="黑体" w:eastAsia="黑体"/>
          <w:sz w:val="28"/>
          <w:szCs w:val="28"/>
        </w:rPr>
        <w:t>附录1  资格审查条件（资质最低要求）</w:t>
      </w:r>
      <w:bookmarkEnd w:id="0"/>
      <w:bookmarkEnd w:id="1"/>
    </w:p>
    <w:tbl>
      <w:tblPr>
        <w:tblStyle w:val="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873" w:type="dxa"/>
            <w:vAlign w:val="center"/>
          </w:tcPr>
          <w:p>
            <w:pPr>
              <w:adjustRightInd w:val="0"/>
              <w:snapToGrid w:val="0"/>
              <w:spacing w:line="400" w:lineRule="atLeast"/>
              <w:jc w:val="center"/>
              <w:rPr>
                <w:szCs w:val="21"/>
              </w:rPr>
            </w:pPr>
            <w:r>
              <w:rPr>
                <w:szCs w:val="21"/>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1" w:hRule="atLeast"/>
          <w:jc w:val="center"/>
        </w:trPr>
        <w:tc>
          <w:tcPr>
            <w:tcW w:w="8873" w:type="dxa"/>
            <w:vAlign w:val="center"/>
          </w:tcPr>
          <w:p>
            <w:pPr>
              <w:adjustRightInd w:val="0"/>
              <w:snapToGrid w:val="0"/>
              <w:spacing w:line="400" w:lineRule="atLeast"/>
              <w:jc w:val="left"/>
              <w:rPr>
                <w:szCs w:val="21"/>
              </w:rPr>
            </w:pPr>
            <w:r>
              <w:rPr>
                <w:rFonts w:hint="eastAsia"/>
                <w:szCs w:val="21"/>
              </w:rPr>
              <w:t>投标人须同时具备：</w:t>
            </w:r>
          </w:p>
          <w:p>
            <w:pPr>
              <w:adjustRightInd w:val="0"/>
              <w:snapToGrid w:val="0"/>
              <w:spacing w:line="400" w:lineRule="atLeast"/>
              <w:jc w:val="left"/>
              <w:rPr>
                <w:szCs w:val="21"/>
              </w:rPr>
            </w:pPr>
            <w:r>
              <w:rPr>
                <w:rFonts w:hint="eastAsia"/>
                <w:szCs w:val="21"/>
              </w:rPr>
              <w:t>（1）有效的企业法人营业执照；</w:t>
            </w:r>
          </w:p>
          <w:p>
            <w:pPr>
              <w:adjustRightInd w:val="0"/>
              <w:snapToGrid w:val="0"/>
              <w:spacing w:line="400" w:lineRule="atLeast"/>
              <w:jc w:val="left"/>
              <w:rPr>
                <w:szCs w:val="21"/>
              </w:rPr>
            </w:pPr>
            <w:r>
              <w:rPr>
                <w:rFonts w:hint="eastAsia"/>
                <w:szCs w:val="21"/>
              </w:rPr>
              <w:t>（2）工程勘察专业（岩土工程及工程测量）甲级或工程勘察综合类甲级资质；</w:t>
            </w:r>
          </w:p>
          <w:p>
            <w:pPr>
              <w:adjustRightInd w:val="0"/>
              <w:snapToGrid w:val="0"/>
              <w:spacing w:line="400" w:lineRule="atLeast"/>
              <w:jc w:val="left"/>
              <w:rPr>
                <w:szCs w:val="21"/>
              </w:rPr>
            </w:pPr>
            <w:r>
              <w:rPr>
                <w:rFonts w:hint="eastAsia"/>
                <w:szCs w:val="21"/>
              </w:rPr>
              <w:t>（3）水运行业设计甲级和公路行业设计甲级资质，或工程设计综合甲级资质。</w:t>
            </w:r>
          </w:p>
        </w:tc>
      </w:tr>
    </w:tbl>
    <w:p>
      <w:pPr>
        <w:adjustRightInd w:val="0"/>
        <w:snapToGrid w:val="0"/>
        <w:spacing w:line="300" w:lineRule="exact"/>
        <w:rPr>
          <w:rFonts w:eastAsia="隶书"/>
          <w:b/>
          <w:sz w:val="32"/>
        </w:rPr>
      </w:pPr>
    </w:p>
    <w:p>
      <w:pPr>
        <w:pStyle w:val="2"/>
        <w:spacing w:before="240" w:after="240" w:line="240" w:lineRule="atLeast"/>
        <w:jc w:val="center"/>
        <w:rPr>
          <w:rFonts w:ascii="黑体" w:eastAsia="黑体"/>
          <w:sz w:val="28"/>
          <w:szCs w:val="28"/>
        </w:rPr>
      </w:pPr>
      <w:bookmarkStart w:id="2" w:name="_Toc234832866"/>
      <w:bookmarkStart w:id="3" w:name="_Toc509993814"/>
    </w:p>
    <w:p>
      <w:pPr>
        <w:pStyle w:val="2"/>
        <w:spacing w:before="240" w:after="240" w:line="240" w:lineRule="atLeast"/>
        <w:jc w:val="center"/>
        <w:rPr>
          <w:rFonts w:ascii="黑体" w:eastAsia="黑体"/>
          <w:sz w:val="28"/>
          <w:szCs w:val="28"/>
        </w:rPr>
        <w:sectPr>
          <w:footerReference r:id="rId3" w:type="default"/>
          <w:footnotePr>
            <w:numFmt w:val="decimalEnclosedCircleChinese"/>
            <w:numRestart w:val="eachPage"/>
          </w:footnotePr>
          <w:pgSz w:w="11907" w:h="16840"/>
          <w:pgMar w:top="1588" w:right="1588" w:bottom="1474" w:left="1644" w:header="851" w:footer="851" w:gutter="0"/>
          <w:cols w:space="720" w:num="1"/>
          <w:docGrid w:linePitch="312" w:charSpace="0"/>
        </w:sectPr>
      </w:pPr>
    </w:p>
    <w:p>
      <w:pPr>
        <w:pStyle w:val="2"/>
        <w:spacing w:before="240" w:after="240" w:line="240" w:lineRule="atLeast"/>
        <w:jc w:val="center"/>
        <w:rPr>
          <w:rFonts w:ascii="黑体" w:eastAsia="黑体"/>
          <w:sz w:val="28"/>
          <w:szCs w:val="28"/>
        </w:rPr>
      </w:pPr>
      <w:r>
        <w:rPr>
          <w:rFonts w:ascii="黑体" w:eastAsia="黑体"/>
          <w:sz w:val="28"/>
          <w:szCs w:val="28"/>
        </w:rPr>
        <w:t>附录</w:t>
      </w:r>
      <w:r>
        <w:rPr>
          <w:rFonts w:hint="eastAsia" w:ascii="黑体" w:eastAsia="黑体"/>
          <w:sz w:val="28"/>
          <w:szCs w:val="28"/>
        </w:rPr>
        <w:t>2</w:t>
      </w:r>
      <w:r>
        <w:rPr>
          <w:rFonts w:ascii="黑体" w:eastAsia="黑体"/>
          <w:sz w:val="28"/>
          <w:szCs w:val="28"/>
        </w:rPr>
        <w:t xml:space="preserve">  资格审查条件（信誉最低要求</w:t>
      </w:r>
      <w:r>
        <w:rPr>
          <w:rFonts w:hint="eastAsia" w:ascii="黑体" w:eastAsia="黑体"/>
          <w:sz w:val="28"/>
          <w:szCs w:val="28"/>
        </w:rPr>
        <w:t>）</w:t>
      </w:r>
      <w:bookmarkEnd w:id="2"/>
      <w:bookmarkEnd w:id="3"/>
    </w:p>
    <w:tbl>
      <w:tblPr>
        <w:tblStyle w:val="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873" w:type="dxa"/>
            <w:vAlign w:val="center"/>
          </w:tcPr>
          <w:p>
            <w:pPr>
              <w:adjustRightInd w:val="0"/>
              <w:snapToGrid w:val="0"/>
              <w:spacing w:line="400" w:lineRule="atLeast"/>
              <w:jc w:val="center"/>
              <w:rPr>
                <w:szCs w:val="21"/>
              </w:rPr>
            </w:pPr>
            <w:r>
              <w:rPr>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8873" w:type="dxa"/>
            <w:vAlign w:val="center"/>
          </w:tcPr>
          <w:p>
            <w:pPr>
              <w:spacing w:line="400" w:lineRule="exact"/>
              <w:rPr>
                <w:szCs w:val="21"/>
              </w:rPr>
            </w:pPr>
            <w:r>
              <w:rPr>
                <w:rFonts w:hint="eastAsia"/>
                <w:szCs w:val="21"/>
              </w:rPr>
              <w:t>（1）未被省级及以上交通运输主管部门取消招标项目所在地的投标资格且处于有效期内；</w:t>
            </w:r>
          </w:p>
          <w:p>
            <w:pPr>
              <w:spacing w:line="400" w:lineRule="exact"/>
              <w:rPr>
                <w:szCs w:val="21"/>
              </w:rPr>
            </w:pPr>
            <w:r>
              <w:rPr>
                <w:rFonts w:hint="eastAsia"/>
                <w:szCs w:val="21"/>
              </w:rPr>
              <w:t>（2）未被责令停业，暂扣或吊销执照，或吊销资质证书；</w:t>
            </w:r>
          </w:p>
          <w:p>
            <w:pPr>
              <w:spacing w:line="400" w:lineRule="exact"/>
              <w:rPr>
                <w:szCs w:val="21"/>
              </w:rPr>
            </w:pPr>
            <w:r>
              <w:rPr>
                <w:rFonts w:hint="eastAsia"/>
                <w:szCs w:val="21"/>
              </w:rPr>
              <w:t>（3）未进入清算程序，或被宣告破产，或其他丧失履约能力的情形；</w:t>
            </w:r>
          </w:p>
          <w:p>
            <w:pPr>
              <w:spacing w:line="400" w:lineRule="exact"/>
              <w:rPr>
                <w:szCs w:val="21"/>
              </w:rPr>
            </w:pPr>
            <w:r>
              <w:rPr>
                <w:rFonts w:hint="eastAsia"/>
                <w:szCs w:val="21"/>
              </w:rPr>
              <w:t>（4）未在国家企业信用信息公示系统（http://www.gsxt.gov.cn/）中被列入严重违法失信企业名单；</w:t>
            </w:r>
          </w:p>
          <w:p>
            <w:pPr>
              <w:spacing w:line="400" w:lineRule="exact"/>
              <w:rPr>
                <w:szCs w:val="21"/>
              </w:rPr>
            </w:pPr>
            <w:r>
              <w:rPr>
                <w:rFonts w:hint="eastAsia"/>
                <w:szCs w:val="21"/>
              </w:rPr>
              <w:t>（5）未在“信用中国”网站（http://www.creditchina.gov.cn/）中被列入失信被执行人名单；</w:t>
            </w:r>
          </w:p>
          <w:p>
            <w:pPr>
              <w:spacing w:line="400" w:lineRule="exact"/>
              <w:jc w:val="left"/>
              <w:rPr>
                <w:szCs w:val="21"/>
              </w:rPr>
            </w:pPr>
            <w:r>
              <w:rPr>
                <w:rFonts w:hint="eastAsia"/>
                <w:szCs w:val="21"/>
              </w:rPr>
              <w:t>（6）在中国裁判文书网查询的近三年内（以查询日期为截止日，往前推算3个年度，有效的查询日期应为项目招标公告发布以后）投标人、其法定代表人、其拟委任的项目负责人均无行贿犯罪行为；</w:t>
            </w:r>
          </w:p>
          <w:p>
            <w:pPr>
              <w:spacing w:line="400" w:lineRule="exact"/>
              <w:jc w:val="left"/>
              <w:rPr>
                <w:szCs w:val="21"/>
              </w:rPr>
            </w:pPr>
            <w:r>
              <w:rPr>
                <w:rFonts w:hint="eastAsia"/>
                <w:szCs w:val="21"/>
              </w:rPr>
              <w:t>（7）按照招标公告第3.3款确定的投标人最新信用等级（水运工程设计企业及公路工程设计企业（综合）专业）均为“C”级及以上；</w:t>
            </w:r>
          </w:p>
          <w:p>
            <w:pPr>
              <w:spacing w:line="400" w:lineRule="exact"/>
              <w:jc w:val="left"/>
              <w:rPr>
                <w:szCs w:val="21"/>
              </w:rPr>
            </w:pPr>
            <w:r>
              <w:rPr>
                <w:rFonts w:hint="eastAsia"/>
                <w:szCs w:val="21"/>
              </w:rPr>
              <w:t>（8）投标人不为本项目勘察、设计单位，或与勘察、设计单位的负责人为同一人或存在控股、管理关系的不同单位。</w:t>
            </w:r>
          </w:p>
        </w:tc>
      </w:tr>
    </w:tbl>
    <w:p>
      <w:pPr>
        <w:adjustRightInd w:val="0"/>
        <w:snapToGrid w:val="0"/>
        <w:spacing w:line="300" w:lineRule="auto"/>
        <w:rPr>
          <w:bCs/>
        </w:rPr>
      </w:pPr>
    </w:p>
    <w:p>
      <w:pPr>
        <w:pStyle w:val="2"/>
        <w:spacing w:before="240" w:after="240" w:line="240" w:lineRule="atLeast"/>
        <w:jc w:val="center"/>
        <w:rPr>
          <w:rFonts w:ascii="黑体" w:eastAsia="黑体"/>
          <w:sz w:val="28"/>
          <w:szCs w:val="28"/>
        </w:rPr>
      </w:pPr>
      <w:bookmarkStart w:id="4" w:name="_Toc234832867"/>
      <w:bookmarkStart w:id="5" w:name="_Toc509993815"/>
      <w:r>
        <w:rPr>
          <w:rFonts w:ascii="黑体" w:eastAsia="黑体"/>
          <w:sz w:val="28"/>
          <w:szCs w:val="28"/>
        </w:rPr>
        <w:br w:type="column"/>
      </w:r>
      <w:r>
        <w:rPr>
          <w:rFonts w:ascii="黑体" w:eastAsia="黑体"/>
          <w:sz w:val="28"/>
          <w:szCs w:val="28"/>
        </w:rPr>
        <w:t>附录</w:t>
      </w:r>
      <w:r>
        <w:rPr>
          <w:rFonts w:hint="eastAsia" w:ascii="黑体" w:eastAsia="黑体"/>
          <w:sz w:val="28"/>
          <w:szCs w:val="28"/>
        </w:rPr>
        <w:t>3</w:t>
      </w:r>
      <w:r>
        <w:rPr>
          <w:rFonts w:ascii="黑体" w:eastAsia="黑体"/>
          <w:sz w:val="28"/>
          <w:szCs w:val="28"/>
        </w:rPr>
        <w:t xml:space="preserve">  资格审查条件（</w:t>
      </w:r>
      <w:r>
        <w:rPr>
          <w:rFonts w:hint="eastAsia" w:ascii="黑体" w:eastAsia="黑体"/>
          <w:sz w:val="28"/>
          <w:szCs w:val="28"/>
        </w:rPr>
        <w:t>主要人员</w:t>
      </w:r>
      <w:r>
        <w:rPr>
          <w:rFonts w:ascii="黑体" w:eastAsia="黑体"/>
          <w:sz w:val="28"/>
          <w:szCs w:val="28"/>
        </w:rPr>
        <w:t>最低要求</w:t>
      </w:r>
      <w:r>
        <w:rPr>
          <w:rFonts w:hint="eastAsia" w:ascii="黑体" w:eastAsia="黑体"/>
          <w:sz w:val="28"/>
          <w:szCs w:val="28"/>
        </w:rPr>
        <w:t>）</w:t>
      </w:r>
      <w:bookmarkEnd w:id="4"/>
      <w:bookmarkEnd w:id="5"/>
    </w:p>
    <w:tbl>
      <w:tblPr>
        <w:tblStyle w:val="5"/>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135"/>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90" w:type="dxa"/>
            <w:vAlign w:val="center"/>
          </w:tcPr>
          <w:p>
            <w:pPr>
              <w:adjustRightInd w:val="0"/>
              <w:snapToGrid w:val="0"/>
              <w:spacing w:line="300" w:lineRule="auto"/>
              <w:jc w:val="center"/>
              <w:rPr>
                <w:szCs w:val="21"/>
              </w:rPr>
            </w:pPr>
            <w:r>
              <w:rPr>
                <w:szCs w:val="21"/>
              </w:rPr>
              <w:t>人  员</w:t>
            </w:r>
          </w:p>
        </w:tc>
        <w:tc>
          <w:tcPr>
            <w:tcW w:w="1135" w:type="dxa"/>
            <w:vAlign w:val="center"/>
          </w:tcPr>
          <w:p>
            <w:pPr>
              <w:adjustRightInd w:val="0"/>
              <w:snapToGrid w:val="0"/>
              <w:spacing w:line="300" w:lineRule="auto"/>
              <w:jc w:val="center"/>
              <w:rPr>
                <w:szCs w:val="21"/>
              </w:rPr>
            </w:pPr>
            <w:r>
              <w:rPr>
                <w:szCs w:val="21"/>
              </w:rPr>
              <w:t>数  量</w:t>
            </w:r>
          </w:p>
        </w:tc>
        <w:tc>
          <w:tcPr>
            <w:tcW w:w="5336" w:type="dxa"/>
            <w:vAlign w:val="center"/>
          </w:tcPr>
          <w:p>
            <w:pPr>
              <w:adjustRightInd w:val="0"/>
              <w:snapToGrid w:val="0"/>
              <w:spacing w:line="300" w:lineRule="auto"/>
              <w:jc w:val="center"/>
              <w:rPr>
                <w:szCs w:val="21"/>
              </w:rPr>
            </w:pPr>
            <w:r>
              <w:rPr>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1390" w:type="dxa"/>
            <w:vAlign w:val="center"/>
          </w:tcPr>
          <w:p>
            <w:pPr>
              <w:spacing w:line="300" w:lineRule="auto"/>
              <w:jc w:val="center"/>
              <w:rPr>
                <w:szCs w:val="21"/>
              </w:rPr>
            </w:pPr>
            <w:r>
              <w:rPr>
                <w:szCs w:val="21"/>
              </w:rPr>
              <w:t>项目</w:t>
            </w:r>
            <w:r>
              <w:rPr>
                <w:rFonts w:hint="eastAsia"/>
                <w:szCs w:val="21"/>
              </w:rPr>
              <w:t>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水运工程或相关专业高级工程师及以上技术职称</w:t>
            </w:r>
            <w:r>
              <w:rPr>
                <w:szCs w:val="21"/>
              </w:rPr>
              <w:t>，</w:t>
            </w:r>
            <w:r>
              <w:rPr>
                <w:rFonts w:hint="eastAsia"/>
                <w:szCs w:val="21"/>
              </w:rPr>
              <w:t>具有10年及以上工作经验，作为项目负责人主持过1个</w:t>
            </w:r>
            <w:r>
              <w:rPr>
                <w:rFonts w:hint="eastAsia" w:ascii="宋体" w:hAnsi="宋体"/>
              </w:rPr>
              <w:t>四级及以上的内河航道工程或1个包含</w:t>
            </w:r>
            <w:r>
              <w:rPr>
                <w:rFonts w:hint="eastAsia"/>
                <w:szCs w:val="21"/>
              </w:rPr>
              <w:t>500</w:t>
            </w:r>
            <w:r>
              <w:rPr>
                <w:rFonts w:hint="eastAsia" w:ascii="宋体" w:hAnsi="宋体"/>
              </w:rPr>
              <w:t>吨级及以上通航设施（船闸工程或升船机）</w:t>
            </w:r>
            <w:r>
              <w:rPr>
                <w:rFonts w:hint="eastAsia" w:ascii="宋体" w:hAnsi="宋体" w:cs="宋体"/>
              </w:rPr>
              <w:t>项目</w:t>
            </w:r>
            <w:r>
              <w:rPr>
                <w:rFonts w:hint="eastAsia"/>
                <w:szCs w:val="21"/>
              </w:rPr>
              <w:t>的设计工作或设计审查工作</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390" w:type="dxa"/>
            <w:vAlign w:val="center"/>
          </w:tcPr>
          <w:p>
            <w:pPr>
              <w:spacing w:line="300" w:lineRule="auto"/>
              <w:jc w:val="center"/>
              <w:rPr>
                <w:szCs w:val="21"/>
              </w:rPr>
            </w:pPr>
            <w:r>
              <w:rPr>
                <w:rFonts w:hint="eastAsia"/>
                <w:szCs w:val="21"/>
              </w:rPr>
              <w:t>技术负责人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水运工程或相关专业高级工程师及以上技术职称</w:t>
            </w:r>
            <w:r>
              <w:rPr>
                <w:szCs w:val="21"/>
              </w:rPr>
              <w:t>，</w:t>
            </w:r>
            <w:r>
              <w:rPr>
                <w:rFonts w:hint="eastAsia"/>
                <w:szCs w:val="21"/>
              </w:rPr>
              <w:t>具有10年及以上工作经验，作为项目负责人（或技术负责人）主持过1个</w:t>
            </w:r>
            <w:r>
              <w:rPr>
                <w:rFonts w:hint="eastAsia" w:ascii="宋体" w:hAnsi="宋体"/>
              </w:rPr>
              <w:t>四级及以上的内河航道工程</w:t>
            </w:r>
            <w:r>
              <w:rPr>
                <w:rFonts w:hint="eastAsia" w:ascii="宋体" w:hAnsi="宋体"/>
                <w:bCs/>
              </w:rPr>
              <w:t>或</w:t>
            </w:r>
            <w:r>
              <w:rPr>
                <w:rFonts w:hint="eastAsia" w:ascii="宋体" w:hAnsi="宋体"/>
              </w:rPr>
              <w:t>1个包含</w:t>
            </w:r>
            <w:r>
              <w:rPr>
                <w:rFonts w:hint="eastAsia"/>
                <w:szCs w:val="21"/>
              </w:rPr>
              <w:t>500吨</w:t>
            </w:r>
            <w:r>
              <w:rPr>
                <w:rFonts w:hint="eastAsia" w:ascii="宋体" w:hAnsi="宋体"/>
              </w:rPr>
              <w:t>级及以上通航设施（船闸工程或升船机）</w:t>
            </w:r>
            <w:r>
              <w:rPr>
                <w:rFonts w:hint="eastAsia" w:ascii="宋体" w:hAnsi="宋体" w:cs="宋体"/>
              </w:rPr>
              <w:t>项目</w:t>
            </w:r>
            <w:r>
              <w:rPr>
                <w:rFonts w:hint="eastAsia"/>
                <w:szCs w:val="21"/>
              </w:rPr>
              <w:t>的设计工作或设计审查工作</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90" w:type="dxa"/>
            <w:vAlign w:val="center"/>
          </w:tcPr>
          <w:p>
            <w:pPr>
              <w:spacing w:line="300" w:lineRule="auto"/>
              <w:jc w:val="center"/>
              <w:rPr>
                <w:szCs w:val="21"/>
              </w:rPr>
            </w:pPr>
            <w:r>
              <w:rPr>
                <w:rFonts w:hint="eastAsia"/>
                <w:szCs w:val="21"/>
              </w:rPr>
              <w:t>船闸工程分项负责人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水运工程或相关专业高级工程师及以上技术职称，具有10年及以上工作经验，作为技术（专业）负责人，参与过1个包含船闸工程项目的设计工作或设计审查工作。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90" w:type="dxa"/>
            <w:vAlign w:val="center"/>
          </w:tcPr>
          <w:p>
            <w:pPr>
              <w:spacing w:line="300" w:lineRule="auto"/>
              <w:jc w:val="center"/>
              <w:rPr>
                <w:szCs w:val="21"/>
              </w:rPr>
            </w:pPr>
            <w:r>
              <w:rPr>
                <w:rFonts w:hint="eastAsia"/>
                <w:szCs w:val="21"/>
              </w:rPr>
              <w:t>隧洞分项负责人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隧道（洞）工程或相关专业高级工程师及以上技术职称，具有10年及以上工作经验，作为技术（专业）负责人，参与过</w:t>
            </w:r>
            <w:r>
              <w:rPr>
                <w:szCs w:val="21"/>
              </w:rPr>
              <w:t>1</w:t>
            </w:r>
            <w:r>
              <w:rPr>
                <w:rFonts w:hint="eastAsia"/>
                <w:szCs w:val="21"/>
              </w:rPr>
              <w:t>个</w:t>
            </w:r>
            <w:r>
              <w:rPr>
                <w:rFonts w:hint="eastAsia" w:ascii="宋体" w:hAnsi="宋体"/>
              </w:rPr>
              <w:t>包含</w:t>
            </w:r>
            <w:r>
              <w:rPr>
                <w:rFonts w:hint="eastAsia"/>
                <w:szCs w:val="21"/>
              </w:rPr>
              <w:t>单洞横断面积120㎡及以上隧洞（道）、地下结构、地下工程等的设计或设计审查工作。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90" w:type="dxa"/>
            <w:vAlign w:val="center"/>
          </w:tcPr>
          <w:p>
            <w:pPr>
              <w:spacing w:line="300" w:lineRule="auto"/>
              <w:jc w:val="center"/>
              <w:rPr>
                <w:szCs w:val="21"/>
              </w:rPr>
            </w:pPr>
            <w:r>
              <w:rPr>
                <w:rFonts w:hint="eastAsia"/>
                <w:szCs w:val="21"/>
              </w:rPr>
              <w:t>桥梁分项负责人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桥梁工程或相关专业高级工程师及以上技术职称，具有10年及以上工作经验，作为技术（专业）负责人，参与过</w:t>
            </w:r>
            <w:r>
              <w:rPr>
                <w:szCs w:val="21"/>
              </w:rPr>
              <w:t>1</w:t>
            </w:r>
            <w:r>
              <w:rPr>
                <w:rFonts w:hint="eastAsia"/>
                <w:szCs w:val="21"/>
              </w:rPr>
              <w:t>个</w:t>
            </w:r>
            <w:r>
              <w:rPr>
                <w:rFonts w:hint="eastAsia" w:ascii="宋体" w:hAnsi="宋体"/>
              </w:rPr>
              <w:t>包含</w:t>
            </w:r>
            <w:r>
              <w:rPr>
                <w:rFonts w:hint="eastAsia"/>
                <w:szCs w:val="21"/>
              </w:rPr>
              <w:t>桥梁项目的设计或设计审查工作。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90" w:type="dxa"/>
            <w:vAlign w:val="center"/>
          </w:tcPr>
          <w:p>
            <w:pPr>
              <w:spacing w:line="300" w:lineRule="auto"/>
              <w:jc w:val="center"/>
              <w:rPr>
                <w:szCs w:val="21"/>
              </w:rPr>
            </w:pPr>
            <w:r>
              <w:rPr>
                <w:rFonts w:hint="eastAsia"/>
                <w:szCs w:val="21"/>
              </w:rPr>
              <w:t>航道工程分项负责人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水运工程或相关专业高级工程师及以上技术职称，具有10年及以上工作经验。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90" w:type="dxa"/>
            <w:vAlign w:val="center"/>
          </w:tcPr>
          <w:p>
            <w:pPr>
              <w:spacing w:line="300" w:lineRule="auto"/>
              <w:jc w:val="center"/>
              <w:rPr>
                <w:szCs w:val="21"/>
              </w:rPr>
            </w:pPr>
            <w:r>
              <w:rPr>
                <w:rFonts w:hint="eastAsia"/>
                <w:szCs w:val="21"/>
              </w:rPr>
              <w:t>勘察分项负责人</w:t>
            </w:r>
          </w:p>
        </w:tc>
        <w:tc>
          <w:tcPr>
            <w:tcW w:w="1135" w:type="dxa"/>
            <w:vAlign w:val="center"/>
          </w:tcPr>
          <w:p>
            <w:pPr>
              <w:adjustRightInd w:val="0"/>
              <w:snapToGrid w:val="0"/>
              <w:spacing w:line="300" w:lineRule="auto"/>
              <w:jc w:val="center"/>
              <w:rPr>
                <w:szCs w:val="21"/>
              </w:rPr>
            </w:pPr>
            <w:r>
              <w:rPr>
                <w:rFonts w:hint="eastAsia"/>
                <w:szCs w:val="21"/>
              </w:rPr>
              <w:t>1</w:t>
            </w:r>
          </w:p>
        </w:tc>
        <w:tc>
          <w:tcPr>
            <w:tcW w:w="5336" w:type="dxa"/>
            <w:vAlign w:val="center"/>
          </w:tcPr>
          <w:p>
            <w:pPr>
              <w:adjustRightInd w:val="0"/>
              <w:snapToGrid w:val="0"/>
              <w:spacing w:line="300" w:lineRule="auto"/>
              <w:rPr>
                <w:szCs w:val="21"/>
              </w:rPr>
            </w:pPr>
            <w:r>
              <w:rPr>
                <w:rFonts w:hint="eastAsia"/>
                <w:szCs w:val="21"/>
              </w:rPr>
              <w:t>工程勘察（岩土工程、土木工程）或相关专业高级工程师及以上技术职称，具有10年及以上工作经验。</w:t>
            </w:r>
          </w:p>
        </w:tc>
      </w:tr>
    </w:tbl>
    <w:p>
      <w:pPr>
        <w:pStyle w:val="2"/>
        <w:spacing w:before="240" w:after="240" w:line="240" w:lineRule="auto"/>
        <w:rPr>
          <w:rFonts w:ascii="黑体" w:eastAsia="黑体"/>
          <w:b w:val="0"/>
          <w:sz w:val="28"/>
          <w:szCs w:val="28"/>
        </w:rPr>
        <w:sectPr>
          <w:footerReference r:id="rId4" w:type="default"/>
          <w:footnotePr>
            <w:numFmt w:val="decimalEnclosedCircleChinese"/>
            <w:numRestart w:val="eachPage"/>
          </w:footnotePr>
          <w:pgSz w:w="11907" w:h="16840"/>
          <w:pgMar w:top="1588" w:right="1588" w:bottom="1474" w:left="1644" w:header="851" w:footer="851" w:gutter="0"/>
          <w:cols w:space="720" w:num="1"/>
          <w:docGrid w:linePitch="312" w:charSpace="0"/>
        </w:sectPr>
      </w:pPr>
    </w:p>
    <w:p>
      <w:pPr>
        <w:pStyle w:val="2"/>
        <w:spacing w:before="480" w:after="240" w:line="380" w:lineRule="atLeast"/>
        <w:jc w:val="center"/>
        <w:rPr>
          <w:rFonts w:ascii="黑体" w:eastAsia="黑体"/>
          <w:b w:val="0"/>
        </w:rPr>
      </w:pPr>
      <w:r>
        <w:rPr>
          <w:rFonts w:ascii="黑体" w:eastAsia="黑体"/>
          <w:b w:val="0"/>
        </w:rPr>
        <w:t>评标办法（综合评估法）</w:t>
      </w:r>
    </w:p>
    <w:p>
      <w:pPr>
        <w:pStyle w:val="2"/>
        <w:spacing w:before="480" w:after="240" w:line="380" w:lineRule="atLeast"/>
        <w:rPr>
          <w:rFonts w:ascii="黑体" w:eastAsia="黑体"/>
          <w:b w:val="0"/>
          <w:sz w:val="24"/>
          <w:szCs w:val="24"/>
        </w:rPr>
      </w:pPr>
      <w:bookmarkStart w:id="6" w:name="_Toc234832943"/>
      <w:bookmarkStart w:id="7" w:name="_Toc509993882"/>
      <w:r>
        <w:rPr>
          <w:rFonts w:ascii="黑体" w:eastAsia="黑体"/>
          <w:b w:val="0"/>
          <w:sz w:val="24"/>
          <w:szCs w:val="24"/>
        </w:rPr>
        <w:t>评标办法前附表</w:t>
      </w:r>
      <w:bookmarkEnd w:id="6"/>
      <w:bookmarkEnd w:id="7"/>
    </w:p>
    <w:tbl>
      <w:tblPr>
        <w:tblStyle w:val="5"/>
        <w:tblW w:w="9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
        <w:gridCol w:w="1379"/>
        <w:gridCol w:w="7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2445" w:type="dxa"/>
            <w:gridSpan w:val="2"/>
            <w:tcBorders>
              <w:top w:val="single" w:color="auto" w:sz="4" w:space="0"/>
              <w:bottom w:val="single" w:color="auto" w:sz="4" w:space="0"/>
              <w:right w:val="single" w:color="auto" w:sz="4" w:space="0"/>
            </w:tcBorders>
            <w:vAlign w:val="center"/>
          </w:tcPr>
          <w:p>
            <w:pPr>
              <w:spacing w:line="380" w:lineRule="atLeast"/>
              <w:jc w:val="center"/>
              <w:rPr>
                <w:b/>
                <w:szCs w:val="21"/>
              </w:rPr>
            </w:pPr>
            <w:r>
              <w:rPr>
                <w:b/>
                <w:szCs w:val="21"/>
              </w:rPr>
              <w:t>条款号</w:t>
            </w:r>
          </w:p>
        </w:tc>
        <w:tc>
          <w:tcPr>
            <w:tcW w:w="713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b/>
                <w:spacing w:val="4"/>
                <w:szCs w:val="21"/>
              </w:rPr>
            </w:pPr>
            <w:r>
              <w:rPr>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1066" w:type="dxa"/>
            <w:tcBorders>
              <w:top w:val="single" w:color="auto" w:sz="4" w:space="0"/>
              <w:bottom w:val="single" w:color="auto" w:sz="4" w:space="0"/>
              <w:right w:val="single" w:color="auto" w:sz="4" w:space="0"/>
            </w:tcBorders>
            <w:vAlign w:val="center"/>
          </w:tcPr>
          <w:p>
            <w:pPr>
              <w:spacing w:line="380" w:lineRule="atLeast"/>
              <w:jc w:val="center"/>
              <w:rPr>
                <w:szCs w:val="21"/>
              </w:rPr>
            </w:pPr>
            <w:r>
              <w:rPr>
                <w:rFonts w:hint="eastAsia"/>
                <w:szCs w:val="21"/>
              </w:rPr>
              <w:t>1</w:t>
            </w:r>
          </w:p>
        </w:tc>
        <w:tc>
          <w:tcPr>
            <w:tcW w:w="1379" w:type="dxa"/>
            <w:tcBorders>
              <w:top w:val="single" w:color="auto" w:sz="4" w:space="0"/>
              <w:bottom w:val="single" w:color="auto" w:sz="4" w:space="0"/>
              <w:right w:val="single" w:color="auto" w:sz="4" w:space="0"/>
            </w:tcBorders>
            <w:vAlign w:val="center"/>
          </w:tcPr>
          <w:p>
            <w:pPr>
              <w:spacing w:line="380" w:lineRule="atLeast"/>
              <w:jc w:val="center"/>
              <w:rPr>
                <w:szCs w:val="21"/>
              </w:rPr>
            </w:pPr>
            <w:r>
              <w:rPr>
                <w:szCs w:val="21"/>
              </w:rPr>
              <w:t>评标方法</w:t>
            </w:r>
          </w:p>
        </w:tc>
        <w:tc>
          <w:tcPr>
            <w:tcW w:w="7135" w:type="dxa"/>
            <w:tcBorders>
              <w:top w:val="single" w:color="auto" w:sz="4" w:space="0"/>
              <w:left w:val="single" w:color="auto" w:sz="4" w:space="0"/>
              <w:right w:val="single" w:color="auto" w:sz="4" w:space="0"/>
            </w:tcBorders>
            <w:vAlign w:val="center"/>
          </w:tcPr>
          <w:p>
            <w:pPr>
              <w:numPr>
                <w:ilvl w:val="255"/>
                <w:numId w:val="0"/>
              </w:numPr>
              <w:spacing w:line="360" w:lineRule="atLeast"/>
              <w:ind w:firstLine="420" w:firstLineChars="200"/>
              <w:rPr>
                <w:szCs w:val="21"/>
              </w:rPr>
            </w:pPr>
            <w:r>
              <w:rPr>
                <w:rFonts w:hint="eastAsia"/>
                <w:szCs w:val="21"/>
              </w:rPr>
              <w:t>综合</w:t>
            </w:r>
            <w:r>
              <w:rPr>
                <w:szCs w:val="21"/>
              </w:rPr>
              <w:t>评分相等时，评标委员会依次按照以下优先顺序推荐中标候选人或确定中标人：</w:t>
            </w:r>
          </w:p>
          <w:p>
            <w:pPr>
              <w:spacing w:line="360" w:lineRule="atLeast"/>
              <w:ind w:firstLine="420" w:firstLineChars="200"/>
              <w:rPr>
                <w:szCs w:val="21"/>
              </w:rPr>
            </w:pPr>
            <w:r>
              <w:rPr>
                <w:rFonts w:hint="eastAsia"/>
                <w:szCs w:val="21"/>
              </w:rPr>
              <w:t>（1）商务和技术得分较高的投标人优先；</w:t>
            </w:r>
          </w:p>
          <w:p>
            <w:pPr>
              <w:spacing w:line="360" w:lineRule="atLeast"/>
              <w:ind w:firstLine="420" w:firstLineChars="200"/>
              <w:rPr>
                <w:szCs w:val="21"/>
              </w:rPr>
            </w:pPr>
            <w:r>
              <w:rPr>
                <w:rFonts w:hint="eastAsia"/>
                <w:szCs w:val="21"/>
              </w:rPr>
              <w:t>（2）被招标项目所在地省级交通运输主管部门评为较高信用等级</w:t>
            </w:r>
            <w:r>
              <w:rPr>
                <w:rFonts w:hint="eastAsia"/>
                <w:b/>
                <w:bCs/>
                <w:szCs w:val="21"/>
              </w:rPr>
              <w:t>（水运工程）</w:t>
            </w:r>
            <w:r>
              <w:rPr>
                <w:rFonts w:hint="eastAsia"/>
                <w:szCs w:val="21"/>
              </w:rPr>
              <w:t>的投标人优先；</w:t>
            </w:r>
          </w:p>
          <w:p>
            <w:pPr>
              <w:spacing w:line="360" w:lineRule="atLeast"/>
              <w:ind w:firstLine="420" w:firstLineChars="200"/>
              <w:rPr>
                <w:szCs w:val="21"/>
              </w:rPr>
            </w:pPr>
            <w:r>
              <w:rPr>
                <w:rFonts w:hint="eastAsia"/>
                <w:szCs w:val="21"/>
              </w:rPr>
              <w:t>（3）填报的投标报价低</w:t>
            </w:r>
            <w:r>
              <w:rPr>
                <w:szCs w:val="21"/>
              </w:rPr>
              <w:t>的投标人优先</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 w:type="dxa"/>
            <w:tcBorders>
              <w:top w:val="single" w:color="auto" w:sz="4" w:space="0"/>
              <w:bottom w:val="single" w:color="auto" w:sz="4" w:space="0"/>
              <w:right w:val="single" w:color="auto" w:sz="4" w:space="0"/>
            </w:tcBorders>
            <w:vAlign w:val="center"/>
          </w:tcPr>
          <w:p>
            <w:pPr>
              <w:spacing w:line="380" w:lineRule="atLeast"/>
              <w:jc w:val="center"/>
              <w:rPr>
                <w:szCs w:val="21"/>
              </w:rPr>
            </w:pPr>
            <w:r>
              <w:rPr>
                <w:szCs w:val="21"/>
              </w:rPr>
              <w:t>2.1.1</w:t>
            </w:r>
          </w:p>
          <w:p>
            <w:pPr>
              <w:spacing w:line="380" w:lineRule="atLeast"/>
              <w:jc w:val="center"/>
              <w:rPr>
                <w:szCs w:val="21"/>
              </w:rPr>
            </w:pPr>
            <w:r>
              <w:rPr>
                <w:szCs w:val="21"/>
              </w:rPr>
              <w:t>2.1.3</w:t>
            </w:r>
          </w:p>
        </w:tc>
        <w:tc>
          <w:tcPr>
            <w:tcW w:w="1379" w:type="dxa"/>
            <w:tcBorders>
              <w:top w:val="single" w:color="auto" w:sz="4" w:space="0"/>
              <w:bottom w:val="single" w:color="auto" w:sz="4" w:space="0"/>
              <w:right w:val="single" w:color="auto" w:sz="4" w:space="0"/>
            </w:tcBorders>
            <w:vAlign w:val="center"/>
          </w:tcPr>
          <w:p>
            <w:pPr>
              <w:spacing w:line="380" w:lineRule="atLeast"/>
              <w:jc w:val="center"/>
              <w:rPr>
                <w:szCs w:val="21"/>
              </w:rPr>
            </w:pPr>
            <w:r>
              <w:rPr>
                <w:szCs w:val="21"/>
              </w:rPr>
              <w:t>形式评审与响应性评审标准</w:t>
            </w:r>
          </w:p>
        </w:tc>
        <w:tc>
          <w:tcPr>
            <w:tcW w:w="7135" w:type="dxa"/>
            <w:tcBorders>
              <w:top w:val="single" w:color="auto" w:sz="4" w:space="0"/>
              <w:left w:val="single" w:color="auto" w:sz="4" w:space="0"/>
              <w:bottom w:val="single" w:color="auto" w:sz="4" w:space="0"/>
              <w:right w:val="single" w:color="auto" w:sz="4" w:space="0"/>
            </w:tcBorders>
            <w:vAlign w:val="center"/>
          </w:tcPr>
          <w:p>
            <w:pPr>
              <w:spacing w:line="340" w:lineRule="atLeast"/>
              <w:ind w:firstLine="420" w:firstLineChars="200"/>
              <w:rPr>
                <w:szCs w:val="21"/>
              </w:rPr>
            </w:pPr>
            <w:r>
              <w:rPr>
                <w:szCs w:val="21"/>
              </w:rPr>
              <w:t>（1）投标文件按照招标文件规定的格式、内容填写，字迹清晰可辨：</w:t>
            </w:r>
          </w:p>
          <w:p>
            <w:pPr>
              <w:spacing w:line="340" w:lineRule="atLeast"/>
              <w:ind w:firstLine="420" w:firstLineChars="200"/>
              <w:rPr>
                <w:szCs w:val="21"/>
              </w:rPr>
            </w:pPr>
            <w:r>
              <w:rPr>
                <w:szCs w:val="21"/>
              </w:rPr>
              <w:t>a.投标函按招标文件规定填报了</w:t>
            </w:r>
            <w:r>
              <w:rPr>
                <w:rFonts w:hint="eastAsia"/>
                <w:szCs w:val="21"/>
              </w:rPr>
              <w:t>项目名称、补遗书编号（如有）、</w:t>
            </w:r>
            <w:r>
              <w:rPr>
                <w:szCs w:val="21"/>
              </w:rPr>
              <w:t>服务期限</w:t>
            </w:r>
            <w:r>
              <w:rPr>
                <w:rFonts w:hint="eastAsia"/>
                <w:szCs w:val="21"/>
              </w:rPr>
              <w:t>、</w:t>
            </w:r>
            <w:r>
              <w:rPr>
                <w:szCs w:val="21"/>
              </w:rPr>
              <w:t>质量要求</w:t>
            </w:r>
            <w:r>
              <w:rPr>
                <w:rFonts w:hint="eastAsia"/>
                <w:szCs w:val="21"/>
              </w:rPr>
              <w:t>等</w:t>
            </w:r>
            <w:r>
              <w:rPr>
                <w:szCs w:val="21"/>
              </w:rPr>
              <w:t>；</w:t>
            </w:r>
          </w:p>
          <w:p>
            <w:pPr>
              <w:spacing w:line="340" w:lineRule="atLeast"/>
              <w:ind w:firstLine="420" w:firstLineChars="200"/>
              <w:rPr>
                <w:szCs w:val="21"/>
              </w:rPr>
            </w:pPr>
            <w:r>
              <w:rPr>
                <w:szCs w:val="21"/>
              </w:rPr>
              <w:t>b</w:t>
            </w:r>
            <w:r>
              <w:rPr>
                <w:rFonts w:hint="eastAsia"/>
                <w:szCs w:val="21"/>
              </w:rPr>
              <w:t>.</w:t>
            </w:r>
            <w:r>
              <w:rPr>
                <w:szCs w:val="21"/>
              </w:rPr>
              <w:t>投标文件组成齐全完整，内容均按规定填写。</w:t>
            </w:r>
          </w:p>
          <w:p>
            <w:pPr>
              <w:spacing w:line="340" w:lineRule="atLeast"/>
              <w:ind w:firstLine="420" w:firstLineChars="200"/>
              <w:rPr>
                <w:szCs w:val="21"/>
              </w:rPr>
            </w:pPr>
            <w:r>
              <w:rPr>
                <w:szCs w:val="21"/>
              </w:rPr>
              <w:t>（2）投标文件上法定代表人或其</w:t>
            </w:r>
            <w:r>
              <w:rPr>
                <w:rFonts w:hint="eastAsia"/>
                <w:szCs w:val="21"/>
              </w:rPr>
              <w:t>委托</w:t>
            </w:r>
            <w:r>
              <w:rPr>
                <w:szCs w:val="21"/>
              </w:rPr>
              <w:t>代理人的签字、投标人的单位章盖章齐全，符合招标文件规定</w:t>
            </w:r>
            <w:r>
              <w:rPr>
                <w:rFonts w:hint="eastAsia"/>
                <w:szCs w:val="21"/>
              </w:rPr>
              <w:t>。</w:t>
            </w:r>
          </w:p>
          <w:p>
            <w:pPr>
              <w:spacing w:line="340" w:lineRule="atLeast"/>
              <w:ind w:firstLine="420" w:firstLineChars="200"/>
              <w:rPr>
                <w:szCs w:val="21"/>
              </w:rPr>
            </w:pPr>
            <w:r>
              <w:rPr>
                <w:szCs w:val="21"/>
              </w:rPr>
              <w:t>（</w:t>
            </w:r>
            <w:r>
              <w:rPr>
                <w:rFonts w:hint="eastAsia"/>
                <w:szCs w:val="21"/>
              </w:rPr>
              <w:t>3</w:t>
            </w:r>
            <w:r>
              <w:rPr>
                <w:szCs w:val="21"/>
              </w:rPr>
              <w:t>）投标人按照招标文件</w:t>
            </w:r>
            <w:r>
              <w:rPr>
                <w:rFonts w:hint="eastAsia"/>
                <w:szCs w:val="21"/>
              </w:rPr>
              <w:t>的</w:t>
            </w:r>
            <w:r>
              <w:rPr>
                <w:szCs w:val="21"/>
              </w:rPr>
              <w:t>规定提供了投标保证金：</w:t>
            </w:r>
          </w:p>
          <w:p>
            <w:pPr>
              <w:spacing w:line="340" w:lineRule="atLeast"/>
              <w:ind w:firstLine="420" w:firstLineChars="200"/>
              <w:rPr>
                <w:szCs w:val="21"/>
              </w:rPr>
            </w:pPr>
            <w:r>
              <w:rPr>
                <w:szCs w:val="21"/>
              </w:rPr>
              <w:t>a.投标</w:t>
            </w:r>
            <w:r>
              <w:rPr>
                <w:rFonts w:hint="eastAsia"/>
                <w:szCs w:val="21"/>
              </w:rPr>
              <w:t>保证金</w:t>
            </w:r>
            <w:r>
              <w:rPr>
                <w:szCs w:val="21"/>
              </w:rPr>
              <w:t>金额符合招标文件规定的金额</w:t>
            </w:r>
            <w:r>
              <w:rPr>
                <w:rFonts w:hint="eastAsia"/>
                <w:szCs w:val="21"/>
              </w:rPr>
              <w:t>，且投标保证金有效期不少于投标有效期；</w:t>
            </w:r>
          </w:p>
          <w:p>
            <w:pPr>
              <w:spacing w:line="340" w:lineRule="atLeast"/>
              <w:ind w:firstLine="420" w:firstLineChars="200"/>
              <w:rPr>
                <w:szCs w:val="21"/>
              </w:rPr>
            </w:pPr>
            <w:r>
              <w:rPr>
                <w:szCs w:val="21"/>
              </w:rPr>
              <w:t>b.若投标保证金</w:t>
            </w:r>
            <w:r>
              <w:rPr>
                <w:rFonts w:hint="eastAsia"/>
                <w:szCs w:val="21"/>
              </w:rPr>
              <w:t>采用</w:t>
            </w:r>
            <w:r>
              <w:rPr>
                <w:szCs w:val="21"/>
              </w:rPr>
              <w:t>现金或支票形式提</w:t>
            </w:r>
            <w:r>
              <w:rPr>
                <w:rFonts w:hint="eastAsia"/>
                <w:szCs w:val="21"/>
              </w:rPr>
              <w:t>交</w:t>
            </w:r>
            <w:r>
              <w:rPr>
                <w:szCs w:val="21"/>
              </w:rPr>
              <w:t>，投标人</w:t>
            </w:r>
            <w:r>
              <w:rPr>
                <w:rFonts w:hint="eastAsia"/>
                <w:szCs w:val="21"/>
              </w:rPr>
              <w:t>应</w:t>
            </w:r>
            <w:r>
              <w:rPr>
                <w:szCs w:val="21"/>
              </w:rPr>
              <w:t>在</w:t>
            </w:r>
            <w:r>
              <w:rPr>
                <w:rFonts w:hint="eastAsia"/>
                <w:szCs w:val="21"/>
              </w:rPr>
              <w:t>递交投标</w:t>
            </w:r>
            <w:r>
              <w:rPr>
                <w:szCs w:val="21"/>
              </w:rPr>
              <w:t>文件</w:t>
            </w:r>
            <w:r>
              <w:rPr>
                <w:rFonts w:hint="eastAsia"/>
                <w:szCs w:val="21"/>
              </w:rPr>
              <w:t>截止时间之前</w:t>
            </w:r>
            <w:r>
              <w:rPr>
                <w:szCs w:val="21"/>
              </w:rPr>
              <w:t>，将投标保证金由投标人的基本账户</w:t>
            </w:r>
            <w:r>
              <w:rPr>
                <w:rFonts w:hint="eastAsia"/>
                <w:szCs w:val="21"/>
              </w:rPr>
              <w:t>转入</w:t>
            </w:r>
            <w:r>
              <w:rPr>
                <w:szCs w:val="21"/>
              </w:rPr>
              <w:t>招标人指定账户；</w:t>
            </w:r>
          </w:p>
          <w:p>
            <w:pPr>
              <w:spacing w:line="340" w:lineRule="atLeast"/>
              <w:ind w:firstLine="420" w:firstLineChars="200"/>
              <w:rPr>
                <w:szCs w:val="21"/>
              </w:rPr>
            </w:pPr>
            <w:r>
              <w:rPr>
                <w:szCs w:val="21"/>
              </w:rPr>
              <w:t>c.若投标保证金</w:t>
            </w:r>
            <w:r>
              <w:rPr>
                <w:rFonts w:hint="eastAsia"/>
                <w:szCs w:val="21"/>
              </w:rPr>
              <w:t>采用</w:t>
            </w:r>
            <w:r>
              <w:rPr>
                <w:szCs w:val="21"/>
              </w:rPr>
              <w:t>银行保函</w:t>
            </w:r>
            <w:r>
              <w:rPr>
                <w:rFonts w:hint="eastAsia"/>
                <w:szCs w:val="21"/>
              </w:rPr>
              <w:t>形式提交</w:t>
            </w:r>
            <w:r>
              <w:rPr>
                <w:szCs w:val="21"/>
              </w:rPr>
              <w:t>，银行保函的格式、开具保函的银行均满足招标文件要求，且在</w:t>
            </w:r>
            <w:r>
              <w:rPr>
                <w:rFonts w:hint="eastAsia"/>
                <w:szCs w:val="21"/>
              </w:rPr>
              <w:t>递交投标</w:t>
            </w:r>
            <w:r>
              <w:rPr>
                <w:szCs w:val="21"/>
              </w:rPr>
              <w:t>文件</w:t>
            </w:r>
            <w:r>
              <w:rPr>
                <w:rFonts w:hint="eastAsia"/>
                <w:szCs w:val="21"/>
              </w:rPr>
              <w:t>截止时间之前</w:t>
            </w:r>
            <w:r>
              <w:rPr>
                <w:szCs w:val="21"/>
              </w:rPr>
              <w:t>向招标人提交了银行保函原件。</w:t>
            </w:r>
          </w:p>
          <w:p>
            <w:pPr>
              <w:spacing w:line="340" w:lineRule="atLeast"/>
              <w:ind w:firstLine="420" w:firstLineChars="200"/>
              <w:rPr>
                <w:szCs w:val="21"/>
              </w:rPr>
            </w:pPr>
            <w:r>
              <w:rPr>
                <w:rFonts w:hint="eastAsia"/>
                <w:szCs w:val="21"/>
              </w:rPr>
              <w:t>d</w:t>
            </w:r>
            <w:r>
              <w:rPr>
                <w:szCs w:val="21"/>
              </w:rPr>
              <w:t>.若投标保证金</w:t>
            </w:r>
            <w:r>
              <w:rPr>
                <w:rFonts w:hint="eastAsia"/>
                <w:szCs w:val="21"/>
              </w:rPr>
              <w:t>采用保证金保险（电子保单）形式提交</w:t>
            </w:r>
            <w:r>
              <w:rPr>
                <w:szCs w:val="21"/>
              </w:rPr>
              <w:t>，</w:t>
            </w:r>
            <w:r>
              <w:rPr>
                <w:rFonts w:hint="eastAsia"/>
                <w:szCs w:val="21"/>
              </w:rPr>
              <w:t>保证金保险（电子保单）满足开具要求</w:t>
            </w:r>
            <w:r>
              <w:rPr>
                <w:szCs w:val="21"/>
              </w:rPr>
              <w:t>，且在</w:t>
            </w:r>
            <w:r>
              <w:rPr>
                <w:rFonts w:hint="eastAsia"/>
                <w:szCs w:val="21"/>
              </w:rPr>
              <w:t>递交投标</w:t>
            </w:r>
            <w:r>
              <w:rPr>
                <w:szCs w:val="21"/>
              </w:rPr>
              <w:t>文件</w:t>
            </w:r>
            <w:r>
              <w:rPr>
                <w:rFonts w:hint="eastAsia"/>
                <w:szCs w:val="21"/>
              </w:rPr>
              <w:t>截止时间之前</w:t>
            </w:r>
            <w:r>
              <w:rPr>
                <w:szCs w:val="21"/>
              </w:rPr>
              <w:t>向招标人提交了</w:t>
            </w:r>
            <w:r>
              <w:rPr>
                <w:rFonts w:hint="eastAsia"/>
                <w:szCs w:val="21"/>
              </w:rPr>
              <w:t>保证金保险（电子保单）</w:t>
            </w:r>
            <w:r>
              <w:rPr>
                <w:szCs w:val="21"/>
              </w:rPr>
              <w:t>原件。</w:t>
            </w:r>
          </w:p>
          <w:p>
            <w:pPr>
              <w:spacing w:line="340" w:lineRule="atLeast"/>
              <w:ind w:firstLine="420" w:firstLineChars="200"/>
              <w:rPr>
                <w:szCs w:val="21"/>
              </w:rPr>
            </w:pPr>
            <w:r>
              <w:rPr>
                <w:szCs w:val="21"/>
              </w:rPr>
              <w:t>（</w:t>
            </w:r>
            <w:r>
              <w:rPr>
                <w:rFonts w:hint="eastAsia"/>
                <w:szCs w:val="21"/>
              </w:rPr>
              <w:t>4</w:t>
            </w:r>
            <w:r>
              <w:rPr>
                <w:szCs w:val="21"/>
              </w:rPr>
              <w:t>）投标人法定代表人授权委托代理人</w:t>
            </w:r>
            <w:r>
              <w:rPr>
                <w:rFonts w:hint="eastAsia"/>
                <w:szCs w:val="21"/>
              </w:rPr>
              <w:t>签署</w:t>
            </w:r>
            <w:r>
              <w:rPr>
                <w:szCs w:val="21"/>
              </w:rPr>
              <w:t>投标文件的，须提交授权委托书，</w:t>
            </w:r>
            <w:r>
              <w:rPr>
                <w:rFonts w:hint="eastAsia"/>
                <w:szCs w:val="21"/>
              </w:rPr>
              <w:t>且</w:t>
            </w:r>
            <w:r>
              <w:rPr>
                <w:szCs w:val="21"/>
              </w:rPr>
              <w:t>授权人和被授权人均在授权</w:t>
            </w:r>
            <w:r>
              <w:rPr>
                <w:rFonts w:hint="eastAsia"/>
                <w:szCs w:val="21"/>
              </w:rPr>
              <w:t>委托</w:t>
            </w:r>
            <w:r>
              <w:rPr>
                <w:szCs w:val="21"/>
              </w:rPr>
              <w:t>书上签名，未使用印章、签名章或其他电子制版签名</w:t>
            </w:r>
            <w:r>
              <w:rPr>
                <w:rFonts w:hint="eastAsia"/>
                <w:szCs w:val="21"/>
              </w:rPr>
              <w:t>代替</w:t>
            </w:r>
            <w:r>
              <w:rPr>
                <w:szCs w:val="21"/>
              </w:rPr>
              <w:t>。</w:t>
            </w:r>
          </w:p>
          <w:p>
            <w:pPr>
              <w:spacing w:line="340" w:lineRule="atLeast"/>
              <w:ind w:firstLine="420" w:firstLineChars="200"/>
              <w:rPr>
                <w:szCs w:val="21"/>
              </w:rPr>
            </w:pPr>
            <w:r>
              <w:rPr>
                <w:szCs w:val="21"/>
              </w:rPr>
              <w:t>（</w:t>
            </w:r>
            <w:r>
              <w:rPr>
                <w:rFonts w:hint="eastAsia"/>
                <w:szCs w:val="21"/>
              </w:rPr>
              <w:t>5</w:t>
            </w:r>
            <w:r>
              <w:rPr>
                <w:szCs w:val="21"/>
              </w:rPr>
              <w:t>）投标人法定代表人亲自签署投标文件的，提供了法定代表人身份证明，</w:t>
            </w:r>
            <w:r>
              <w:rPr>
                <w:rFonts w:hint="eastAsia"/>
                <w:szCs w:val="21"/>
              </w:rPr>
              <w:t>且</w:t>
            </w:r>
            <w:r>
              <w:rPr>
                <w:szCs w:val="21"/>
              </w:rPr>
              <w:t>法定代表人在法定代表人身份证明上签名，未使用印章、签名章或其他电子制版签名</w:t>
            </w:r>
            <w:r>
              <w:rPr>
                <w:rFonts w:hint="eastAsia"/>
                <w:szCs w:val="21"/>
              </w:rPr>
              <w:t>代替</w:t>
            </w:r>
            <w:r>
              <w:rPr>
                <w:szCs w:val="21"/>
              </w:rPr>
              <w:t>。</w:t>
            </w:r>
          </w:p>
          <w:p>
            <w:pPr>
              <w:spacing w:line="340" w:lineRule="atLeast"/>
              <w:ind w:firstLine="420" w:firstLineChars="200"/>
              <w:rPr>
                <w:szCs w:val="21"/>
                <w:highlight w:val="yellow"/>
              </w:rPr>
            </w:pPr>
            <w:r>
              <w:rPr>
                <w:szCs w:val="21"/>
              </w:rPr>
              <w:t>（</w:t>
            </w:r>
            <w:r>
              <w:rPr>
                <w:rFonts w:hint="eastAsia"/>
                <w:szCs w:val="21"/>
              </w:rPr>
              <w:t>6</w:t>
            </w:r>
            <w:r>
              <w:rPr>
                <w:szCs w:val="21"/>
              </w:rPr>
              <w:t>）投标人以</w:t>
            </w:r>
            <w:r>
              <w:rPr>
                <w:rFonts w:hint="eastAsia"/>
                <w:szCs w:val="21"/>
              </w:rPr>
              <w:t>独家</w:t>
            </w:r>
            <w:r>
              <w:rPr>
                <w:szCs w:val="21"/>
              </w:rPr>
              <w:t>形式投标</w:t>
            </w:r>
            <w:r>
              <w:rPr>
                <w:rFonts w:hint="eastAsia"/>
                <w:szCs w:val="21"/>
              </w:rPr>
              <w:t>。</w:t>
            </w:r>
          </w:p>
          <w:p>
            <w:pPr>
              <w:spacing w:line="340" w:lineRule="atLeast"/>
              <w:ind w:firstLine="420" w:firstLineChars="200"/>
              <w:rPr>
                <w:szCs w:val="21"/>
              </w:rPr>
            </w:pPr>
            <w:r>
              <w:rPr>
                <w:szCs w:val="21"/>
              </w:rPr>
              <w:t>（</w:t>
            </w:r>
            <w:r>
              <w:rPr>
                <w:rFonts w:hint="eastAsia"/>
                <w:szCs w:val="21"/>
              </w:rPr>
              <w:t>7</w:t>
            </w:r>
            <w:r>
              <w:rPr>
                <w:szCs w:val="21"/>
              </w:rPr>
              <w:t>）</w:t>
            </w:r>
            <w:r>
              <w:rPr>
                <w:rFonts w:hint="eastAsia"/>
                <w:szCs w:val="21"/>
              </w:rPr>
              <w:t>投标人对本标段招标范围全部内容进行投标，</w:t>
            </w:r>
            <w:r>
              <w:rPr>
                <w:szCs w:val="21"/>
              </w:rPr>
              <w:t>未出现只对部</w:t>
            </w:r>
            <w:r>
              <w:rPr>
                <w:rFonts w:hint="eastAsia"/>
                <w:szCs w:val="21"/>
              </w:rPr>
              <w:t>分</w:t>
            </w:r>
            <w:r>
              <w:rPr>
                <w:szCs w:val="21"/>
              </w:rPr>
              <w:t>内容投标</w:t>
            </w:r>
            <w:r>
              <w:rPr>
                <w:rFonts w:hint="eastAsia"/>
                <w:szCs w:val="21"/>
              </w:rPr>
              <w:t>。</w:t>
            </w:r>
          </w:p>
          <w:p>
            <w:pPr>
              <w:spacing w:line="340" w:lineRule="atLeast"/>
              <w:ind w:firstLine="420" w:firstLineChars="200"/>
              <w:rPr>
                <w:szCs w:val="21"/>
              </w:rPr>
            </w:pPr>
            <w:r>
              <w:rPr>
                <w:rFonts w:hint="eastAsia"/>
                <w:szCs w:val="21"/>
              </w:rPr>
              <w:t>（8）投标报价不高于招标人公布的最高投标限价，且报价唯一。</w:t>
            </w:r>
          </w:p>
          <w:p>
            <w:pPr>
              <w:spacing w:line="340" w:lineRule="atLeast"/>
              <w:ind w:firstLine="420" w:firstLineChars="200"/>
              <w:rPr>
                <w:szCs w:val="21"/>
              </w:rPr>
            </w:pPr>
            <w:r>
              <w:rPr>
                <w:szCs w:val="21"/>
              </w:rPr>
              <w:t>（</w:t>
            </w:r>
            <w:r>
              <w:rPr>
                <w:rFonts w:hint="eastAsia"/>
                <w:szCs w:val="21"/>
              </w:rPr>
              <w:t>9</w:t>
            </w:r>
            <w:r>
              <w:rPr>
                <w:szCs w:val="21"/>
              </w:rPr>
              <w:t>）投标文件载明的招标项目完成期限未超过招标文件规定的时限</w:t>
            </w:r>
            <w:r>
              <w:rPr>
                <w:rFonts w:hint="eastAsia"/>
                <w:szCs w:val="21"/>
              </w:rPr>
              <w:t>。</w:t>
            </w:r>
          </w:p>
          <w:p>
            <w:pPr>
              <w:spacing w:line="340" w:lineRule="atLeast"/>
              <w:ind w:firstLine="420" w:firstLineChars="200"/>
              <w:rPr>
                <w:szCs w:val="21"/>
              </w:rPr>
            </w:pPr>
            <w:r>
              <w:rPr>
                <w:szCs w:val="21"/>
              </w:rPr>
              <w:t>（1</w:t>
            </w:r>
            <w:r>
              <w:rPr>
                <w:rFonts w:hint="eastAsia"/>
                <w:szCs w:val="21"/>
              </w:rPr>
              <w:t>0</w:t>
            </w:r>
            <w:r>
              <w:rPr>
                <w:szCs w:val="21"/>
              </w:rPr>
              <w:t>）投标文件对招标文件的实质性要求和条件作出响应</w:t>
            </w:r>
            <w:r>
              <w:rPr>
                <w:rFonts w:hint="eastAsia"/>
                <w:szCs w:val="21"/>
              </w:rPr>
              <w:t>。</w:t>
            </w:r>
          </w:p>
          <w:p>
            <w:pPr>
              <w:spacing w:line="340" w:lineRule="atLeast"/>
              <w:ind w:firstLine="420" w:firstLineChars="200"/>
              <w:rPr>
                <w:szCs w:val="21"/>
              </w:rPr>
            </w:pPr>
            <w:r>
              <w:rPr>
                <w:szCs w:val="21"/>
              </w:rPr>
              <w:t>（1</w:t>
            </w:r>
            <w:r>
              <w:rPr>
                <w:rFonts w:hint="eastAsia"/>
                <w:szCs w:val="21"/>
              </w:rPr>
              <w:t>1</w:t>
            </w:r>
            <w:r>
              <w:rPr>
                <w:szCs w:val="21"/>
              </w:rPr>
              <w:t>）权利义务符合招标文件规定：</w:t>
            </w:r>
          </w:p>
          <w:p>
            <w:pPr>
              <w:spacing w:line="340" w:lineRule="atLeast"/>
              <w:ind w:firstLine="420" w:firstLineChars="200"/>
              <w:rPr>
                <w:szCs w:val="21"/>
              </w:rPr>
            </w:pPr>
            <w:r>
              <w:rPr>
                <w:szCs w:val="21"/>
              </w:rPr>
              <w:t>a.投标人应接受招标文件规定的风险划分原则，未提出新的风险划分办法；</w:t>
            </w:r>
          </w:p>
          <w:p>
            <w:pPr>
              <w:spacing w:line="340" w:lineRule="atLeast"/>
              <w:ind w:firstLine="420" w:firstLineChars="200"/>
              <w:rPr>
                <w:szCs w:val="21"/>
              </w:rPr>
            </w:pPr>
            <w:r>
              <w:rPr>
                <w:szCs w:val="21"/>
              </w:rPr>
              <w:t>b.投标人未增加发包人的责任范围，或减少投标人义务；</w:t>
            </w:r>
          </w:p>
          <w:p>
            <w:pPr>
              <w:spacing w:line="340" w:lineRule="atLeast"/>
              <w:ind w:firstLine="420" w:firstLineChars="200"/>
              <w:rPr>
                <w:szCs w:val="21"/>
              </w:rPr>
            </w:pPr>
            <w:r>
              <w:rPr>
                <w:szCs w:val="21"/>
              </w:rPr>
              <w:t>c.投标人未提出不同的支付办法；</w:t>
            </w:r>
          </w:p>
          <w:p>
            <w:pPr>
              <w:spacing w:line="340" w:lineRule="atLeast"/>
              <w:ind w:firstLine="420" w:firstLineChars="200"/>
              <w:rPr>
                <w:szCs w:val="21"/>
              </w:rPr>
            </w:pPr>
            <w:r>
              <w:rPr>
                <w:szCs w:val="21"/>
              </w:rPr>
              <w:t>d.投标人对合同纠纷、事故处理办法未提出异议；</w:t>
            </w:r>
          </w:p>
          <w:p>
            <w:pPr>
              <w:spacing w:line="340" w:lineRule="atLeast"/>
              <w:ind w:firstLine="420" w:firstLineChars="200"/>
              <w:rPr>
                <w:szCs w:val="21"/>
              </w:rPr>
            </w:pPr>
            <w:r>
              <w:rPr>
                <w:szCs w:val="21"/>
              </w:rPr>
              <w:t>e.投标人在投标活动中无欺诈行为；</w:t>
            </w:r>
          </w:p>
          <w:p>
            <w:pPr>
              <w:spacing w:line="340" w:lineRule="atLeast"/>
              <w:ind w:firstLine="420" w:firstLineChars="200"/>
              <w:rPr>
                <w:szCs w:val="21"/>
              </w:rPr>
            </w:pPr>
            <w:r>
              <w:rPr>
                <w:szCs w:val="21"/>
              </w:rPr>
              <w:t>f.投标人未对合同条款有重要保留。</w:t>
            </w:r>
          </w:p>
          <w:p>
            <w:pPr>
              <w:spacing w:line="340" w:lineRule="atLeast"/>
              <w:ind w:firstLine="420" w:firstLineChars="200"/>
              <w:rPr>
                <w:szCs w:val="21"/>
              </w:rPr>
            </w:pPr>
            <w:r>
              <w:rPr>
                <w:szCs w:val="21"/>
              </w:rPr>
              <w:t>（1</w:t>
            </w:r>
            <w:r>
              <w:rPr>
                <w:rFonts w:hint="eastAsia"/>
                <w:szCs w:val="21"/>
              </w:rPr>
              <w:t>2</w:t>
            </w:r>
            <w:r>
              <w:rPr>
                <w:szCs w:val="21"/>
              </w:rPr>
              <w:t>）</w:t>
            </w:r>
            <w:r>
              <w:rPr>
                <w:rFonts w:hint="eastAsia"/>
                <w:szCs w:val="21"/>
              </w:rPr>
              <w:t>投标</w:t>
            </w:r>
            <w:r>
              <w:rPr>
                <w:szCs w:val="21"/>
              </w:rPr>
              <w:t>文件正、副本份数符合</w:t>
            </w:r>
            <w:r>
              <w:rPr>
                <w:rFonts w:hint="eastAsia"/>
                <w:szCs w:val="21"/>
              </w:rPr>
              <w:t>招标</w:t>
            </w:r>
            <w:r>
              <w:rPr>
                <w:szCs w:val="21"/>
              </w:rPr>
              <w:t>文件第二章“</w:t>
            </w:r>
            <w:r>
              <w:rPr>
                <w:rFonts w:hint="eastAsia"/>
                <w:szCs w:val="21"/>
              </w:rPr>
              <w:t>投标</w:t>
            </w:r>
            <w:r>
              <w:rPr>
                <w:szCs w:val="21"/>
              </w:rPr>
              <w:t>人须知”第3.7.4项规定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1066" w:type="dxa"/>
            <w:tcBorders>
              <w:top w:val="single" w:color="auto" w:sz="4" w:space="0"/>
              <w:bottom w:val="single" w:color="auto" w:sz="4" w:space="0"/>
              <w:right w:val="single" w:color="auto" w:sz="4" w:space="0"/>
            </w:tcBorders>
            <w:vAlign w:val="center"/>
          </w:tcPr>
          <w:p>
            <w:pPr>
              <w:spacing w:line="340" w:lineRule="atLeast"/>
              <w:jc w:val="center"/>
              <w:rPr>
                <w:szCs w:val="21"/>
              </w:rPr>
            </w:pPr>
            <w:r>
              <w:rPr>
                <w:szCs w:val="21"/>
              </w:rPr>
              <w:t>2.1.2</w:t>
            </w:r>
          </w:p>
        </w:tc>
        <w:tc>
          <w:tcPr>
            <w:tcW w:w="1379" w:type="dxa"/>
            <w:tcBorders>
              <w:top w:val="single" w:color="auto" w:sz="4" w:space="0"/>
              <w:bottom w:val="single" w:color="auto" w:sz="4" w:space="0"/>
              <w:right w:val="single" w:color="auto" w:sz="4" w:space="0"/>
            </w:tcBorders>
            <w:vAlign w:val="center"/>
          </w:tcPr>
          <w:p>
            <w:pPr>
              <w:spacing w:line="340" w:lineRule="atLeast"/>
              <w:jc w:val="center"/>
              <w:rPr>
                <w:szCs w:val="21"/>
              </w:rPr>
            </w:pPr>
            <w:r>
              <w:rPr>
                <w:szCs w:val="21"/>
              </w:rPr>
              <w:t>资格评审标准</w:t>
            </w:r>
          </w:p>
        </w:tc>
        <w:tc>
          <w:tcPr>
            <w:tcW w:w="7135" w:type="dxa"/>
            <w:tcBorders>
              <w:top w:val="single" w:color="auto" w:sz="4" w:space="0"/>
              <w:left w:val="single" w:color="auto" w:sz="4" w:space="0"/>
              <w:right w:val="single" w:color="auto" w:sz="4" w:space="0"/>
            </w:tcBorders>
            <w:vAlign w:val="center"/>
          </w:tcPr>
          <w:p>
            <w:pPr>
              <w:spacing w:line="340" w:lineRule="atLeast"/>
              <w:ind w:firstLine="420" w:firstLineChars="200"/>
              <w:rPr>
                <w:szCs w:val="21"/>
              </w:rPr>
            </w:pPr>
            <w:r>
              <w:rPr>
                <w:szCs w:val="21"/>
              </w:rPr>
              <w:t>（1）投标人具备有效的营业执照、</w:t>
            </w:r>
            <w:r>
              <w:rPr>
                <w:rFonts w:hint="eastAsia"/>
                <w:szCs w:val="21"/>
              </w:rPr>
              <w:t>资质证书。</w:t>
            </w:r>
          </w:p>
          <w:p>
            <w:pPr>
              <w:spacing w:line="340" w:lineRule="atLeast"/>
              <w:ind w:firstLine="420" w:firstLineChars="200"/>
              <w:rPr>
                <w:szCs w:val="21"/>
              </w:rPr>
            </w:pPr>
            <w:r>
              <w:rPr>
                <w:szCs w:val="21"/>
              </w:rPr>
              <w:t>（2）投标人的资质等级符合招标文件规定</w:t>
            </w:r>
            <w:r>
              <w:rPr>
                <w:rFonts w:hint="eastAsia"/>
                <w:szCs w:val="21"/>
              </w:rPr>
              <w:t>。</w:t>
            </w:r>
          </w:p>
          <w:p>
            <w:pPr>
              <w:spacing w:line="340" w:lineRule="atLeast"/>
              <w:ind w:firstLine="420" w:firstLineChars="200"/>
              <w:rPr>
                <w:szCs w:val="21"/>
              </w:rPr>
            </w:pPr>
            <w:r>
              <w:rPr>
                <w:szCs w:val="21"/>
              </w:rPr>
              <w:t>（</w:t>
            </w:r>
            <w:r>
              <w:rPr>
                <w:rFonts w:hint="eastAsia"/>
                <w:szCs w:val="21"/>
              </w:rPr>
              <w:t>3</w:t>
            </w:r>
            <w:r>
              <w:rPr>
                <w:szCs w:val="21"/>
              </w:rPr>
              <w:t>）投标人的信誉符合招标文件规定</w:t>
            </w:r>
            <w:r>
              <w:rPr>
                <w:rFonts w:hint="eastAsia"/>
                <w:szCs w:val="21"/>
              </w:rPr>
              <w:t>。</w:t>
            </w:r>
          </w:p>
          <w:p>
            <w:pPr>
              <w:spacing w:line="340" w:lineRule="atLeast"/>
              <w:ind w:firstLine="420" w:firstLineChars="200"/>
              <w:rPr>
                <w:szCs w:val="21"/>
              </w:rPr>
            </w:pPr>
            <w:r>
              <w:rPr>
                <w:szCs w:val="21"/>
              </w:rPr>
              <w:t>（</w:t>
            </w:r>
            <w:r>
              <w:rPr>
                <w:rFonts w:hint="eastAsia"/>
                <w:szCs w:val="21"/>
              </w:rPr>
              <w:t>4</w:t>
            </w:r>
            <w:r>
              <w:rPr>
                <w:szCs w:val="21"/>
              </w:rPr>
              <w:t>）投标人的</w:t>
            </w:r>
            <w:r>
              <w:rPr>
                <w:rFonts w:hint="eastAsia"/>
                <w:szCs w:val="21"/>
              </w:rPr>
              <w:t>主要人员</w:t>
            </w:r>
            <w:r>
              <w:rPr>
                <w:szCs w:val="21"/>
              </w:rPr>
              <w:t>资格符合招标文件规定</w:t>
            </w:r>
            <w:r>
              <w:rPr>
                <w:rFonts w:hint="eastAsia"/>
                <w:szCs w:val="21"/>
              </w:rPr>
              <w:t>。</w:t>
            </w:r>
          </w:p>
          <w:p>
            <w:pPr>
              <w:spacing w:line="340" w:lineRule="atLeast"/>
              <w:ind w:firstLine="420" w:firstLineChars="200"/>
              <w:rPr>
                <w:szCs w:val="21"/>
              </w:rPr>
            </w:pPr>
            <w:r>
              <w:rPr>
                <w:szCs w:val="21"/>
              </w:rPr>
              <w:t>（</w:t>
            </w:r>
            <w:r>
              <w:rPr>
                <w:rFonts w:hint="eastAsia"/>
                <w:szCs w:val="21"/>
              </w:rPr>
              <w:t>5</w:t>
            </w:r>
            <w:r>
              <w:rPr>
                <w:szCs w:val="21"/>
              </w:rPr>
              <w:t>）投标人不存在第二章“投标人须知”第1.4.3项</w:t>
            </w:r>
            <w:r>
              <w:rPr>
                <w:rFonts w:hint="eastAsia"/>
                <w:szCs w:val="21"/>
              </w:rPr>
              <w:t>或第</w:t>
            </w:r>
            <w:r>
              <w:rPr>
                <w:szCs w:val="21"/>
              </w:rPr>
              <w:t>1.4.</w:t>
            </w:r>
            <w:r>
              <w:rPr>
                <w:rFonts w:hint="eastAsia"/>
                <w:szCs w:val="21"/>
              </w:rPr>
              <w:t>4</w:t>
            </w:r>
            <w:r>
              <w:rPr>
                <w:szCs w:val="21"/>
              </w:rPr>
              <w:t>项规定的任何一种情形</w:t>
            </w:r>
            <w:r>
              <w:rPr>
                <w:rFonts w:hint="eastAsia"/>
                <w:szCs w:val="21"/>
              </w:rPr>
              <w:t>。</w:t>
            </w:r>
          </w:p>
        </w:tc>
      </w:tr>
    </w:tbl>
    <w:p>
      <w:r>
        <w:br w:type="page"/>
      </w:r>
    </w:p>
    <w:tbl>
      <w:tblPr>
        <w:tblStyle w:val="5"/>
        <w:tblW w:w="9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7"/>
        <w:gridCol w:w="1523"/>
        <w:gridCol w:w="118"/>
        <w:gridCol w:w="7065"/>
        <w:gridCol w:w="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7" w:type="dxa"/>
          <w:trHeight w:val="393" w:hRule="atLeast"/>
          <w:tblHeader/>
        </w:trPr>
        <w:tc>
          <w:tcPr>
            <w:tcW w:w="2460" w:type="dxa"/>
            <w:gridSpan w:val="2"/>
            <w:tcBorders>
              <w:top w:val="nil"/>
              <w:left w:val="nil"/>
              <w:bottom w:val="single" w:color="auto" w:sz="4" w:space="0"/>
              <w:right w:val="nil"/>
            </w:tcBorders>
            <w:vAlign w:val="center"/>
          </w:tcPr>
          <w:p>
            <w:pPr>
              <w:spacing w:line="380" w:lineRule="atLeast"/>
              <w:jc w:val="center"/>
              <w:rPr>
                <w:b/>
                <w:szCs w:val="21"/>
              </w:rPr>
            </w:pPr>
          </w:p>
        </w:tc>
        <w:tc>
          <w:tcPr>
            <w:tcW w:w="7183" w:type="dxa"/>
            <w:gridSpan w:val="2"/>
            <w:tcBorders>
              <w:top w:val="nil"/>
              <w:left w:val="nil"/>
              <w:bottom w:val="single" w:color="auto" w:sz="4" w:space="0"/>
              <w:right w:val="nil"/>
            </w:tcBorders>
            <w:vAlign w:val="center"/>
          </w:tcPr>
          <w:p>
            <w:pPr>
              <w:spacing w:line="380" w:lineRule="atLeast"/>
              <w:jc w:val="right"/>
              <w:rPr>
                <w:spacing w:val="4"/>
                <w:szCs w:val="21"/>
              </w:rPr>
            </w:pPr>
            <w:r>
              <w:rPr>
                <w:rFonts w:hint="eastAsia"/>
                <w:spacing w:val="4"/>
                <w:szCs w:val="21"/>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7" w:type="dxa"/>
            <w:tcBorders>
              <w:top w:val="single" w:color="auto" w:sz="4" w:space="0"/>
              <w:right w:val="single" w:color="auto" w:sz="4" w:space="0"/>
            </w:tcBorders>
            <w:vAlign w:val="center"/>
          </w:tcPr>
          <w:p>
            <w:pPr>
              <w:spacing w:line="380" w:lineRule="atLeast"/>
              <w:jc w:val="center"/>
              <w:rPr>
                <w:b/>
                <w:szCs w:val="21"/>
              </w:rPr>
            </w:pPr>
            <w:r>
              <w:rPr>
                <w:b/>
                <w:szCs w:val="21"/>
              </w:rPr>
              <w:t>条款号</w:t>
            </w:r>
          </w:p>
        </w:tc>
        <w:tc>
          <w:tcPr>
            <w:tcW w:w="1641" w:type="dxa"/>
            <w:gridSpan w:val="2"/>
            <w:tcBorders>
              <w:top w:val="single" w:color="auto" w:sz="4" w:space="0"/>
              <w:right w:val="single" w:color="auto" w:sz="4" w:space="0"/>
            </w:tcBorders>
            <w:vAlign w:val="center"/>
          </w:tcPr>
          <w:p>
            <w:pPr>
              <w:spacing w:line="380" w:lineRule="atLeast"/>
              <w:jc w:val="center"/>
              <w:rPr>
                <w:b/>
                <w:szCs w:val="21"/>
              </w:rPr>
            </w:pPr>
            <w:r>
              <w:rPr>
                <w:b/>
                <w:szCs w:val="21"/>
              </w:rPr>
              <w:t>条款内容</w:t>
            </w:r>
          </w:p>
        </w:tc>
        <w:tc>
          <w:tcPr>
            <w:tcW w:w="7142" w:type="dxa"/>
            <w:gridSpan w:val="2"/>
            <w:tcBorders>
              <w:top w:val="single" w:color="auto" w:sz="4" w:space="0"/>
              <w:left w:val="single" w:color="auto" w:sz="4" w:space="0"/>
              <w:right w:val="single" w:color="auto" w:sz="4" w:space="0"/>
            </w:tcBorders>
            <w:vAlign w:val="center"/>
          </w:tcPr>
          <w:p>
            <w:pPr>
              <w:spacing w:line="380" w:lineRule="atLeas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937" w:type="dxa"/>
            <w:tcBorders>
              <w:top w:val="single" w:color="auto" w:sz="4" w:space="0"/>
              <w:right w:val="single" w:color="auto" w:sz="4" w:space="0"/>
            </w:tcBorders>
            <w:vAlign w:val="center"/>
          </w:tcPr>
          <w:p>
            <w:pPr>
              <w:spacing w:line="340" w:lineRule="atLeast"/>
              <w:jc w:val="center"/>
              <w:rPr>
                <w:szCs w:val="21"/>
              </w:rPr>
            </w:pPr>
            <w:r>
              <w:rPr>
                <w:szCs w:val="21"/>
              </w:rPr>
              <w:t>2.2.1</w:t>
            </w:r>
          </w:p>
        </w:tc>
        <w:tc>
          <w:tcPr>
            <w:tcW w:w="1641" w:type="dxa"/>
            <w:gridSpan w:val="2"/>
            <w:tcBorders>
              <w:top w:val="single" w:color="auto" w:sz="4" w:space="0"/>
              <w:right w:val="single" w:color="auto" w:sz="4" w:space="0"/>
            </w:tcBorders>
            <w:vAlign w:val="center"/>
          </w:tcPr>
          <w:p>
            <w:pPr>
              <w:spacing w:line="340" w:lineRule="atLeast"/>
              <w:jc w:val="center"/>
              <w:rPr>
                <w:szCs w:val="21"/>
              </w:rPr>
            </w:pPr>
            <w:r>
              <w:rPr>
                <w:szCs w:val="21"/>
              </w:rPr>
              <w:t>分值构成</w:t>
            </w:r>
          </w:p>
          <w:p>
            <w:pPr>
              <w:spacing w:line="340" w:lineRule="atLeast"/>
              <w:ind w:left="-105" w:leftChars="-50" w:right="-105" w:rightChars="-50"/>
              <w:jc w:val="center"/>
              <w:rPr>
                <w:szCs w:val="21"/>
              </w:rPr>
            </w:pPr>
            <w:r>
              <w:rPr>
                <w:szCs w:val="21"/>
              </w:rPr>
              <w:t>（总分100分）</w:t>
            </w:r>
          </w:p>
        </w:tc>
        <w:tc>
          <w:tcPr>
            <w:tcW w:w="7142" w:type="dxa"/>
            <w:gridSpan w:val="2"/>
            <w:tcBorders>
              <w:top w:val="single" w:color="auto" w:sz="4" w:space="0"/>
              <w:left w:val="single" w:color="auto" w:sz="4" w:space="0"/>
              <w:right w:val="single" w:color="auto" w:sz="4" w:space="0"/>
            </w:tcBorders>
            <w:vAlign w:val="center"/>
          </w:tcPr>
          <w:p>
            <w:pPr>
              <w:spacing w:line="340" w:lineRule="atLeast"/>
              <w:ind w:firstLine="420" w:firstLineChars="200"/>
              <w:rPr>
                <w:szCs w:val="21"/>
              </w:rPr>
            </w:pPr>
            <w:r>
              <w:rPr>
                <w:szCs w:val="21"/>
              </w:rPr>
              <w:t>技术建议书：</w:t>
            </w:r>
            <w:r>
              <w:rPr>
                <w:rFonts w:hint="eastAsia"/>
                <w:szCs w:val="21"/>
                <w:u w:val="single"/>
              </w:rPr>
              <w:t xml:space="preserve"> 40 </w:t>
            </w:r>
            <w:r>
              <w:rPr>
                <w:szCs w:val="21"/>
              </w:rPr>
              <w:t>分</w:t>
            </w:r>
          </w:p>
          <w:p>
            <w:pPr>
              <w:spacing w:line="340" w:lineRule="atLeast"/>
              <w:ind w:firstLine="420" w:firstLineChars="200"/>
              <w:rPr>
                <w:szCs w:val="21"/>
              </w:rPr>
            </w:pPr>
            <w:r>
              <w:rPr>
                <w:szCs w:val="21"/>
              </w:rPr>
              <w:t>履约信誉：</w:t>
            </w:r>
            <w:r>
              <w:rPr>
                <w:rFonts w:hint="eastAsia"/>
                <w:szCs w:val="21"/>
                <w:u w:val="single"/>
              </w:rPr>
              <w:t xml:space="preserve">2 </w:t>
            </w:r>
            <w:r>
              <w:rPr>
                <w:szCs w:val="21"/>
              </w:rPr>
              <w:t>分</w:t>
            </w:r>
          </w:p>
          <w:p>
            <w:pPr>
              <w:spacing w:line="340" w:lineRule="atLeast"/>
              <w:ind w:firstLine="420" w:firstLineChars="200"/>
              <w:rPr>
                <w:szCs w:val="21"/>
              </w:rPr>
            </w:pPr>
            <w:r>
              <w:rPr>
                <w:szCs w:val="21"/>
              </w:rPr>
              <w:t>评标价：</w:t>
            </w:r>
            <w:r>
              <w:rPr>
                <w:rFonts w:hint="eastAsia"/>
                <w:szCs w:val="21"/>
                <w:u w:val="single"/>
              </w:rPr>
              <w:t>10</w:t>
            </w:r>
            <w:r>
              <w:rPr>
                <w:szCs w:val="21"/>
              </w:rPr>
              <w:t>分</w:t>
            </w:r>
          </w:p>
          <w:p>
            <w:pPr>
              <w:spacing w:line="340" w:lineRule="atLeast"/>
              <w:ind w:firstLine="420" w:firstLineChars="200"/>
              <w:rPr>
                <w:szCs w:val="21"/>
              </w:rPr>
            </w:pPr>
            <w:r>
              <w:rPr>
                <w:rFonts w:hint="eastAsia"/>
                <w:szCs w:val="21"/>
              </w:rPr>
              <w:t>其他：主要</w:t>
            </w:r>
            <w:r>
              <w:rPr>
                <w:szCs w:val="21"/>
              </w:rPr>
              <w:t>人员：</w:t>
            </w:r>
            <w:r>
              <w:rPr>
                <w:rFonts w:hint="eastAsia"/>
                <w:szCs w:val="21"/>
                <w:u w:val="single"/>
              </w:rPr>
              <w:t xml:space="preserve"> 25 </w:t>
            </w:r>
            <w:r>
              <w:rPr>
                <w:szCs w:val="21"/>
              </w:rPr>
              <w:t>分</w:t>
            </w:r>
          </w:p>
          <w:p>
            <w:pPr>
              <w:spacing w:line="340" w:lineRule="atLeast"/>
              <w:ind w:firstLine="420" w:firstLineChars="200"/>
              <w:rPr>
                <w:szCs w:val="21"/>
              </w:rPr>
            </w:pPr>
            <w:r>
              <w:rPr>
                <w:szCs w:val="21"/>
              </w:rPr>
              <w:t>业绩：</w:t>
            </w:r>
            <w:r>
              <w:rPr>
                <w:szCs w:val="21"/>
                <w:u w:val="single"/>
              </w:rPr>
              <w:t xml:space="preserve"> 2</w:t>
            </w:r>
            <w:r>
              <w:rPr>
                <w:rFonts w:hint="eastAsia"/>
                <w:szCs w:val="21"/>
                <w:u w:val="single"/>
              </w:rPr>
              <w:t xml:space="preserve">3 </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7" w:hRule="atLeast"/>
        </w:trPr>
        <w:tc>
          <w:tcPr>
            <w:tcW w:w="937" w:type="dxa"/>
            <w:tcBorders>
              <w:top w:val="single" w:color="auto" w:sz="4" w:space="0"/>
              <w:right w:val="single" w:color="auto" w:sz="4" w:space="0"/>
            </w:tcBorders>
            <w:vAlign w:val="center"/>
          </w:tcPr>
          <w:p>
            <w:pPr>
              <w:spacing w:line="340" w:lineRule="atLeast"/>
              <w:jc w:val="center"/>
              <w:rPr>
                <w:szCs w:val="21"/>
              </w:rPr>
            </w:pPr>
            <w:r>
              <w:rPr>
                <w:szCs w:val="21"/>
              </w:rPr>
              <w:t>2.2.2</w:t>
            </w:r>
          </w:p>
        </w:tc>
        <w:tc>
          <w:tcPr>
            <w:tcW w:w="1641" w:type="dxa"/>
            <w:gridSpan w:val="2"/>
            <w:tcBorders>
              <w:top w:val="single" w:color="auto" w:sz="4" w:space="0"/>
              <w:right w:val="single" w:color="auto" w:sz="4" w:space="0"/>
            </w:tcBorders>
            <w:vAlign w:val="center"/>
          </w:tcPr>
          <w:p>
            <w:pPr>
              <w:spacing w:line="340" w:lineRule="atLeast"/>
              <w:jc w:val="center"/>
              <w:rPr>
                <w:szCs w:val="21"/>
              </w:rPr>
            </w:pPr>
            <w:r>
              <w:rPr>
                <w:szCs w:val="21"/>
              </w:rPr>
              <w:t>评标基准价计算方法</w:t>
            </w:r>
          </w:p>
        </w:tc>
        <w:tc>
          <w:tcPr>
            <w:tcW w:w="7142" w:type="dxa"/>
            <w:gridSpan w:val="2"/>
            <w:tcBorders>
              <w:top w:val="single" w:color="auto" w:sz="4" w:space="0"/>
              <w:left w:val="single" w:color="auto" w:sz="4" w:space="0"/>
              <w:right w:val="single" w:color="auto" w:sz="4" w:space="0"/>
            </w:tcBorders>
            <w:vAlign w:val="center"/>
          </w:tcPr>
          <w:p>
            <w:pPr>
              <w:spacing w:line="360" w:lineRule="auto"/>
              <w:ind w:firstLine="420" w:firstLineChars="200"/>
              <w:rPr>
                <w:rFonts w:cs="宋体"/>
              </w:rPr>
            </w:pPr>
            <w:r>
              <w:rPr>
                <w:rFonts w:hint="eastAsia" w:cs="宋体"/>
              </w:rPr>
              <w:t>1、评标基准价计算：</w:t>
            </w:r>
          </w:p>
          <w:p>
            <w:pPr>
              <w:spacing w:line="360" w:lineRule="auto"/>
              <w:ind w:firstLine="630" w:firstLineChars="300"/>
            </w:pPr>
            <w:r>
              <w:rPr>
                <w:rFonts w:hint="eastAsia" w:cs="宋体"/>
              </w:rPr>
              <w:t>由评标委员会在资格评审结束后进行评标基准价的计算。</w:t>
            </w:r>
          </w:p>
          <w:p>
            <w:pPr>
              <w:spacing w:line="360" w:lineRule="auto"/>
              <w:ind w:firstLine="420" w:firstLineChars="200"/>
            </w:pPr>
            <w:r>
              <w:rPr>
                <w:rFonts w:hint="eastAsia" w:cs="宋体"/>
              </w:rPr>
              <w:t>（</w:t>
            </w:r>
            <w:r>
              <w:t>1</w:t>
            </w:r>
            <w:r>
              <w:rPr>
                <w:rFonts w:hint="eastAsia" w:cs="宋体"/>
              </w:rPr>
              <w:t>）评标基准价的确定：</w:t>
            </w:r>
          </w:p>
          <w:p>
            <w:pPr>
              <w:spacing w:line="360" w:lineRule="auto"/>
              <w:ind w:firstLine="420" w:firstLineChars="200"/>
            </w:pPr>
            <w:r>
              <w:rPr>
                <w:rFonts w:hint="eastAsia" w:cs="宋体"/>
              </w:rPr>
              <w:t>评标报价＝投标函中填报的投标报价。</w:t>
            </w:r>
          </w:p>
          <w:p>
            <w:pPr>
              <w:spacing w:line="360" w:lineRule="auto"/>
              <w:ind w:firstLine="420" w:firstLineChars="200"/>
            </w:pPr>
            <w:r>
              <w:rPr>
                <w:rFonts w:hint="eastAsia" w:cs="宋体"/>
              </w:rPr>
              <w:t>（</w:t>
            </w:r>
            <w:r>
              <w:t>2</w:t>
            </w:r>
            <w:r>
              <w:rPr>
                <w:rFonts w:hint="eastAsia" w:cs="宋体"/>
              </w:rPr>
              <w:t>）评标基准价的确定：</w:t>
            </w:r>
          </w:p>
          <w:p>
            <w:pPr>
              <w:spacing w:line="360" w:lineRule="auto"/>
              <w:ind w:firstLine="420" w:firstLineChars="200"/>
              <w:rPr>
                <w:szCs w:val="21"/>
              </w:rPr>
            </w:pPr>
            <w:r>
              <w:rPr>
                <w:rFonts w:hint="eastAsia" w:cs="宋体"/>
              </w:rPr>
              <w:t>除按投标人须知第</w:t>
            </w:r>
            <w:r>
              <w:t>5.</w:t>
            </w:r>
            <w:r>
              <w:rPr>
                <w:rFonts w:hint="eastAsia"/>
              </w:rPr>
              <w:t>2.2</w:t>
            </w:r>
            <w:r>
              <w:rPr>
                <w:rFonts w:hint="eastAsia" w:cs="宋体"/>
              </w:rPr>
              <w:t>项规定不进入评标基准价计算的投标报价及评审过程中未通过</w:t>
            </w:r>
            <w:r>
              <w:rPr>
                <w:szCs w:val="21"/>
              </w:rPr>
              <w:t>形式评审与响应性评审</w:t>
            </w:r>
            <w:r>
              <w:rPr>
                <w:rFonts w:hint="eastAsia"/>
                <w:szCs w:val="21"/>
              </w:rPr>
              <w:t>、资格评审的投标人</w:t>
            </w:r>
            <w:r>
              <w:rPr>
                <w:rFonts w:hint="eastAsia" w:cs="宋体"/>
              </w:rPr>
              <w:t>之外，所有投标人的投标报价去掉一个最高值和一个最低值后，其余投标人的投标报价的算术平均值即为评标基准价（如果参与投标报价平均值计算的有效投标人少于</w:t>
            </w:r>
            <w:r>
              <w:t>5</w:t>
            </w:r>
            <w:r>
              <w:rPr>
                <w:rFonts w:hint="eastAsia" w:cs="宋体"/>
              </w:rPr>
              <w:t>家时，则计算评标基准价平均值时不去掉最高值和最低值）。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37" w:type="dxa"/>
            <w:tcBorders>
              <w:top w:val="single" w:color="auto" w:sz="4" w:space="0"/>
              <w:right w:val="single" w:color="auto" w:sz="4" w:space="0"/>
            </w:tcBorders>
            <w:vAlign w:val="center"/>
          </w:tcPr>
          <w:p>
            <w:pPr>
              <w:spacing w:line="340" w:lineRule="atLeast"/>
              <w:jc w:val="center"/>
              <w:rPr>
                <w:szCs w:val="21"/>
              </w:rPr>
            </w:pPr>
            <w:r>
              <w:rPr>
                <w:szCs w:val="21"/>
              </w:rPr>
              <w:t>2.2.3</w:t>
            </w:r>
          </w:p>
        </w:tc>
        <w:tc>
          <w:tcPr>
            <w:tcW w:w="1641" w:type="dxa"/>
            <w:gridSpan w:val="2"/>
            <w:tcBorders>
              <w:top w:val="single" w:color="auto" w:sz="4" w:space="0"/>
              <w:right w:val="single" w:color="auto" w:sz="4" w:space="0"/>
            </w:tcBorders>
            <w:vAlign w:val="center"/>
          </w:tcPr>
          <w:p>
            <w:pPr>
              <w:spacing w:line="360" w:lineRule="exact"/>
              <w:jc w:val="center"/>
              <w:rPr>
                <w:szCs w:val="21"/>
              </w:rPr>
            </w:pPr>
            <w:r>
              <w:rPr>
                <w:szCs w:val="21"/>
              </w:rPr>
              <w:t>评标价的偏差率计算公式</w:t>
            </w:r>
          </w:p>
        </w:tc>
        <w:tc>
          <w:tcPr>
            <w:tcW w:w="7142" w:type="dxa"/>
            <w:gridSpan w:val="2"/>
            <w:tcBorders>
              <w:top w:val="single" w:color="auto" w:sz="4" w:space="0"/>
              <w:left w:val="single" w:color="auto" w:sz="4" w:space="0"/>
              <w:right w:val="single" w:color="auto" w:sz="4" w:space="0"/>
            </w:tcBorders>
            <w:vAlign w:val="center"/>
          </w:tcPr>
          <w:p>
            <w:pPr>
              <w:spacing w:line="340" w:lineRule="atLeast"/>
              <w:ind w:firstLine="420" w:firstLineChars="200"/>
              <w:rPr>
                <w:b/>
                <w:szCs w:val="21"/>
              </w:rPr>
            </w:pPr>
            <w:r>
              <w:rPr>
                <w:rFonts w:hint="eastAsia"/>
              </w:rPr>
              <w:t>偏差率</w:t>
            </w:r>
            <w:r>
              <w:t>=100</w:t>
            </w:r>
            <w:r>
              <w:rPr>
                <w:rFonts w:hint="eastAsia" w:ascii="宋体" w:hAnsi="宋体"/>
              </w:rPr>
              <w:t>%×（投标人报价－评标基准价）/评标基准价</w:t>
            </w:r>
          </w:p>
        </w:tc>
      </w:tr>
    </w:tbl>
    <w:p>
      <w:pPr>
        <w:widowControl/>
        <w:jc w:val="left"/>
        <w:rPr>
          <w:spacing w:val="4"/>
          <w:szCs w:val="21"/>
        </w:rPr>
      </w:pPr>
    </w:p>
    <w:p>
      <w:pPr>
        <w:widowControl/>
        <w:jc w:val="left"/>
        <w:rPr>
          <w:spacing w:val="4"/>
          <w:szCs w:val="21"/>
        </w:rPr>
      </w:pPr>
      <w:r>
        <w:rPr>
          <w:spacing w:val="4"/>
          <w:szCs w:val="21"/>
        </w:rPr>
        <w:br w:type="page"/>
      </w:r>
    </w:p>
    <w:p>
      <w:pPr>
        <w:jc w:val="right"/>
      </w:pPr>
      <w:r>
        <w:rPr>
          <w:rFonts w:hint="eastAsia"/>
          <w:spacing w:val="4"/>
          <w:szCs w:val="21"/>
        </w:rPr>
        <w:t>续上表</w:t>
      </w:r>
    </w:p>
    <w:tbl>
      <w:tblPr>
        <w:tblStyle w:val="5"/>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90"/>
        <w:gridCol w:w="995"/>
        <w:gridCol w:w="795"/>
        <w:gridCol w:w="293"/>
        <w:gridCol w:w="3066"/>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56" w:type="dxa"/>
            <w:vMerge w:val="restart"/>
            <w:tcBorders>
              <w:top w:val="single" w:color="auto" w:sz="4" w:space="0"/>
            </w:tcBorders>
            <w:vAlign w:val="center"/>
          </w:tcPr>
          <w:p>
            <w:pPr>
              <w:spacing w:line="320" w:lineRule="atLeast"/>
              <w:jc w:val="center"/>
              <w:rPr>
                <w:b/>
                <w:szCs w:val="21"/>
              </w:rPr>
            </w:pPr>
            <w:r>
              <w:rPr>
                <w:rFonts w:ascii="宋体" w:hAnsi="宋体"/>
                <w:b/>
                <w:szCs w:val="21"/>
              </w:rPr>
              <w:t>条款号</w:t>
            </w:r>
          </w:p>
        </w:tc>
        <w:tc>
          <w:tcPr>
            <w:tcW w:w="5639" w:type="dxa"/>
            <w:gridSpan w:val="5"/>
            <w:tcBorders>
              <w:top w:val="single" w:color="auto" w:sz="4" w:space="0"/>
            </w:tcBorders>
          </w:tcPr>
          <w:p>
            <w:pPr>
              <w:spacing w:line="320" w:lineRule="atLeast"/>
              <w:jc w:val="center"/>
              <w:rPr>
                <w:b/>
                <w:szCs w:val="21"/>
              </w:rPr>
            </w:pPr>
            <w:r>
              <w:rPr>
                <w:b/>
                <w:szCs w:val="21"/>
              </w:rPr>
              <w:t>评分因素与权重分值</w:t>
            </w:r>
          </w:p>
        </w:tc>
        <w:tc>
          <w:tcPr>
            <w:tcW w:w="3145" w:type="dxa"/>
            <w:vMerge w:val="restart"/>
            <w:tcBorders>
              <w:top w:val="single" w:color="auto" w:sz="4" w:space="0"/>
            </w:tcBorders>
            <w:vAlign w:val="center"/>
          </w:tcPr>
          <w:p>
            <w:pPr>
              <w:spacing w:line="320" w:lineRule="atLeas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1056" w:type="dxa"/>
            <w:vMerge w:val="continue"/>
            <w:vAlign w:val="center"/>
          </w:tcPr>
          <w:p>
            <w:pPr>
              <w:spacing w:line="320" w:lineRule="atLeast"/>
              <w:jc w:val="center"/>
              <w:rPr>
                <w:rFonts w:ascii="宋体" w:hAnsi="宋体"/>
                <w:b/>
                <w:szCs w:val="21"/>
              </w:rPr>
            </w:pPr>
          </w:p>
        </w:tc>
        <w:tc>
          <w:tcPr>
            <w:tcW w:w="1485" w:type="dxa"/>
            <w:gridSpan w:val="2"/>
            <w:vAlign w:val="center"/>
          </w:tcPr>
          <w:p>
            <w:pPr>
              <w:spacing w:line="320" w:lineRule="atLeast"/>
              <w:jc w:val="center"/>
              <w:rPr>
                <w:rFonts w:ascii="宋体" w:hAnsi="宋体"/>
                <w:b/>
                <w:szCs w:val="21"/>
              </w:rPr>
            </w:pPr>
            <w:r>
              <w:rPr>
                <w:rFonts w:ascii="宋体" w:hAnsi="宋体"/>
                <w:b/>
                <w:szCs w:val="21"/>
              </w:rPr>
              <w:t>评分因素</w:t>
            </w:r>
          </w:p>
        </w:tc>
        <w:tc>
          <w:tcPr>
            <w:tcW w:w="1088" w:type="dxa"/>
            <w:gridSpan w:val="2"/>
            <w:vAlign w:val="center"/>
          </w:tcPr>
          <w:p>
            <w:pPr>
              <w:spacing w:line="320" w:lineRule="atLeast"/>
              <w:ind w:left="-105" w:leftChars="-50" w:right="-105"/>
              <w:jc w:val="center"/>
              <w:rPr>
                <w:rFonts w:ascii="宋体" w:hAnsi="宋体"/>
                <w:b/>
                <w:szCs w:val="21"/>
              </w:rPr>
            </w:pPr>
            <w:r>
              <w:rPr>
                <w:rFonts w:ascii="宋体" w:hAnsi="宋体"/>
                <w:b/>
                <w:szCs w:val="21"/>
              </w:rPr>
              <w:t>评分因素权重分值</w:t>
            </w:r>
          </w:p>
        </w:tc>
        <w:tc>
          <w:tcPr>
            <w:tcW w:w="3066" w:type="dxa"/>
            <w:vAlign w:val="center"/>
          </w:tcPr>
          <w:p>
            <w:pPr>
              <w:spacing w:line="320" w:lineRule="atLeast"/>
              <w:jc w:val="center"/>
              <w:rPr>
                <w:rFonts w:ascii="宋体" w:hAnsi="宋体"/>
                <w:b/>
                <w:szCs w:val="21"/>
              </w:rPr>
            </w:pPr>
            <w:r>
              <w:rPr>
                <w:rFonts w:ascii="宋体" w:hAnsi="宋体"/>
                <w:b/>
                <w:szCs w:val="21"/>
              </w:rPr>
              <w:t>各评分因素细分项</w:t>
            </w:r>
          </w:p>
        </w:tc>
        <w:tc>
          <w:tcPr>
            <w:tcW w:w="3145" w:type="dxa"/>
            <w:vMerge w:val="continue"/>
          </w:tcPr>
          <w:p>
            <w:pPr>
              <w:spacing w:line="32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56" w:type="dxa"/>
            <w:vMerge w:val="restart"/>
            <w:vAlign w:val="center"/>
          </w:tcPr>
          <w:p>
            <w:pPr>
              <w:spacing w:line="320" w:lineRule="atLeast"/>
              <w:jc w:val="center"/>
              <w:rPr>
                <w:szCs w:val="21"/>
              </w:rPr>
            </w:pPr>
            <w:r>
              <w:rPr>
                <w:szCs w:val="21"/>
              </w:rPr>
              <w:t>2.2.4（1）</w:t>
            </w:r>
          </w:p>
        </w:tc>
        <w:tc>
          <w:tcPr>
            <w:tcW w:w="1485" w:type="dxa"/>
            <w:gridSpan w:val="2"/>
            <w:vMerge w:val="restart"/>
            <w:vAlign w:val="center"/>
          </w:tcPr>
          <w:p>
            <w:pPr>
              <w:spacing w:line="320" w:lineRule="atLeast"/>
              <w:jc w:val="center"/>
              <w:rPr>
                <w:szCs w:val="21"/>
              </w:rPr>
            </w:pPr>
            <w:r>
              <w:rPr>
                <w:szCs w:val="21"/>
              </w:rPr>
              <w:t>技术建议书</w:t>
            </w:r>
          </w:p>
        </w:tc>
        <w:tc>
          <w:tcPr>
            <w:tcW w:w="1088" w:type="dxa"/>
            <w:gridSpan w:val="2"/>
            <w:vMerge w:val="restart"/>
            <w:vAlign w:val="center"/>
          </w:tcPr>
          <w:p>
            <w:pPr>
              <w:spacing w:line="320" w:lineRule="atLeast"/>
              <w:jc w:val="right"/>
              <w:rPr>
                <w:szCs w:val="21"/>
                <w:u w:val="single"/>
              </w:rPr>
            </w:pPr>
            <w:r>
              <w:rPr>
                <w:rFonts w:hint="eastAsia"/>
                <w:szCs w:val="21"/>
                <w:u w:val="single"/>
              </w:rPr>
              <w:t>40</w:t>
            </w:r>
            <w:r>
              <w:rPr>
                <w:szCs w:val="21"/>
              </w:rPr>
              <w:t>分</w:t>
            </w:r>
          </w:p>
        </w:tc>
        <w:tc>
          <w:tcPr>
            <w:tcW w:w="3066" w:type="dxa"/>
            <w:vAlign w:val="center"/>
          </w:tcPr>
          <w:p>
            <w:pPr>
              <w:spacing w:line="360" w:lineRule="atLeast"/>
              <w:ind w:left="-69" w:leftChars="-33" w:right="-90" w:rightChars="-43"/>
              <w:rPr>
                <w:szCs w:val="21"/>
              </w:rPr>
            </w:pPr>
            <w:r>
              <w:rPr>
                <w:rFonts w:hint="eastAsia"/>
                <w:snapToGrid w:val="0"/>
                <w:szCs w:val="21"/>
              </w:rPr>
              <w:t>对招标项目的理解和总体思路（0~10分）</w:t>
            </w:r>
          </w:p>
        </w:tc>
        <w:tc>
          <w:tcPr>
            <w:tcW w:w="3145" w:type="dxa"/>
            <w:vAlign w:val="center"/>
          </w:tcPr>
          <w:p>
            <w:pPr>
              <w:spacing w:line="320" w:lineRule="atLeast"/>
              <w:rPr>
                <w:szCs w:val="21"/>
              </w:rPr>
            </w:pPr>
            <w:r>
              <w:rPr>
                <w:rFonts w:hint="eastAsia"/>
                <w:szCs w:val="21"/>
              </w:rPr>
              <w:t>根据</w:t>
            </w:r>
            <w:r>
              <w:rPr>
                <w:szCs w:val="21"/>
              </w:rPr>
              <w:t>对招标项目的理解</w:t>
            </w:r>
            <w:r>
              <w:rPr>
                <w:rFonts w:hint="eastAsia"/>
                <w:szCs w:val="21"/>
              </w:rPr>
              <w:t>和总体思路的合理性、可行性等进行评审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056" w:type="dxa"/>
            <w:vMerge w:val="continue"/>
            <w:vAlign w:val="center"/>
          </w:tcPr>
          <w:p>
            <w:pPr>
              <w:spacing w:line="320" w:lineRule="atLeast"/>
              <w:jc w:val="center"/>
              <w:rPr>
                <w:szCs w:val="21"/>
              </w:rPr>
            </w:pPr>
          </w:p>
        </w:tc>
        <w:tc>
          <w:tcPr>
            <w:tcW w:w="1485" w:type="dxa"/>
            <w:gridSpan w:val="2"/>
            <w:vMerge w:val="continue"/>
            <w:vAlign w:val="center"/>
          </w:tcPr>
          <w:p>
            <w:pPr>
              <w:spacing w:line="320" w:lineRule="atLeast"/>
              <w:jc w:val="center"/>
              <w:rPr>
                <w:szCs w:val="21"/>
              </w:rPr>
            </w:pPr>
          </w:p>
        </w:tc>
        <w:tc>
          <w:tcPr>
            <w:tcW w:w="1088" w:type="dxa"/>
            <w:gridSpan w:val="2"/>
            <w:vMerge w:val="continue"/>
            <w:vAlign w:val="center"/>
          </w:tcPr>
          <w:p>
            <w:pPr>
              <w:spacing w:line="320" w:lineRule="atLeast"/>
              <w:jc w:val="right"/>
              <w:rPr>
                <w:szCs w:val="21"/>
                <w:u w:val="single"/>
              </w:rPr>
            </w:pPr>
          </w:p>
        </w:tc>
        <w:tc>
          <w:tcPr>
            <w:tcW w:w="3066" w:type="dxa"/>
            <w:vAlign w:val="center"/>
          </w:tcPr>
          <w:p>
            <w:pPr>
              <w:spacing w:line="360" w:lineRule="atLeast"/>
              <w:ind w:left="-69" w:leftChars="-33" w:right="-90" w:rightChars="-43"/>
              <w:rPr>
                <w:szCs w:val="21"/>
              </w:rPr>
            </w:pPr>
            <w:r>
              <w:rPr>
                <w:rFonts w:hint="eastAsia"/>
                <w:snapToGrid w:val="0"/>
                <w:szCs w:val="21"/>
              </w:rPr>
              <w:t>招标项目勘察设计的特点和难点提出设计审查对策措施（0~10分）</w:t>
            </w:r>
          </w:p>
        </w:tc>
        <w:tc>
          <w:tcPr>
            <w:tcW w:w="3145" w:type="dxa"/>
            <w:vAlign w:val="center"/>
          </w:tcPr>
          <w:p>
            <w:pPr>
              <w:spacing w:line="320" w:lineRule="atLeast"/>
              <w:rPr>
                <w:szCs w:val="21"/>
              </w:rPr>
            </w:pPr>
            <w:r>
              <w:rPr>
                <w:rFonts w:hint="eastAsia"/>
                <w:szCs w:val="21"/>
              </w:rPr>
              <w:t>根据对招标项目勘察设计的特点和难点认识的准确性、全面性，以及所提出的设计审查对策措施的有效性、可行性等因素进行评审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56" w:type="dxa"/>
            <w:vMerge w:val="continue"/>
            <w:vAlign w:val="center"/>
          </w:tcPr>
          <w:p>
            <w:pPr>
              <w:spacing w:line="320" w:lineRule="atLeast"/>
              <w:jc w:val="center"/>
              <w:rPr>
                <w:szCs w:val="21"/>
              </w:rPr>
            </w:pPr>
          </w:p>
        </w:tc>
        <w:tc>
          <w:tcPr>
            <w:tcW w:w="1485" w:type="dxa"/>
            <w:gridSpan w:val="2"/>
            <w:vMerge w:val="continue"/>
            <w:vAlign w:val="center"/>
          </w:tcPr>
          <w:p>
            <w:pPr>
              <w:spacing w:line="320" w:lineRule="atLeast"/>
              <w:jc w:val="center"/>
              <w:rPr>
                <w:szCs w:val="21"/>
              </w:rPr>
            </w:pPr>
          </w:p>
        </w:tc>
        <w:tc>
          <w:tcPr>
            <w:tcW w:w="1088" w:type="dxa"/>
            <w:gridSpan w:val="2"/>
            <w:vMerge w:val="continue"/>
            <w:vAlign w:val="center"/>
          </w:tcPr>
          <w:p>
            <w:pPr>
              <w:spacing w:line="320" w:lineRule="atLeast"/>
              <w:jc w:val="right"/>
              <w:rPr>
                <w:szCs w:val="21"/>
                <w:u w:val="single"/>
              </w:rPr>
            </w:pPr>
          </w:p>
        </w:tc>
        <w:tc>
          <w:tcPr>
            <w:tcW w:w="3066" w:type="dxa"/>
            <w:vAlign w:val="center"/>
          </w:tcPr>
          <w:p>
            <w:pPr>
              <w:spacing w:line="360" w:lineRule="atLeast"/>
              <w:ind w:left="-69" w:leftChars="-33" w:right="-90" w:rightChars="-43"/>
              <w:rPr>
                <w:szCs w:val="21"/>
              </w:rPr>
            </w:pPr>
            <w:r>
              <w:rPr>
                <w:rFonts w:hint="eastAsia"/>
                <w:snapToGrid w:val="0"/>
                <w:szCs w:val="21"/>
              </w:rPr>
              <w:t>设计审查方案、设计审查</w:t>
            </w:r>
            <w:r>
              <w:rPr>
                <w:rFonts w:hint="eastAsia"/>
                <w:szCs w:val="21"/>
              </w:rPr>
              <w:t>工作内容及计划安排</w:t>
            </w:r>
            <w:r>
              <w:rPr>
                <w:rFonts w:hint="eastAsia"/>
                <w:snapToGrid w:val="0"/>
                <w:szCs w:val="21"/>
              </w:rPr>
              <w:t>（0~9分）</w:t>
            </w:r>
          </w:p>
        </w:tc>
        <w:tc>
          <w:tcPr>
            <w:tcW w:w="3145" w:type="dxa"/>
            <w:vAlign w:val="center"/>
          </w:tcPr>
          <w:p>
            <w:pPr>
              <w:spacing w:line="320" w:lineRule="atLeast"/>
              <w:rPr>
                <w:szCs w:val="21"/>
              </w:rPr>
            </w:pPr>
            <w:r>
              <w:rPr>
                <w:rFonts w:hint="eastAsia"/>
                <w:szCs w:val="21"/>
              </w:rPr>
              <w:t>根据</w:t>
            </w:r>
            <w:r>
              <w:rPr>
                <w:rFonts w:hint="eastAsia"/>
                <w:snapToGrid w:val="0"/>
                <w:szCs w:val="21"/>
              </w:rPr>
              <w:t>设计审查方案的科学性、专业性及工作、计划安排的合理性、可行性等</w:t>
            </w:r>
            <w:r>
              <w:rPr>
                <w:rFonts w:hint="eastAsia"/>
                <w:szCs w:val="21"/>
              </w:rPr>
              <w:t>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56" w:type="dxa"/>
            <w:vMerge w:val="continue"/>
            <w:vAlign w:val="center"/>
          </w:tcPr>
          <w:p>
            <w:pPr>
              <w:spacing w:line="320" w:lineRule="atLeast"/>
              <w:jc w:val="center"/>
              <w:rPr>
                <w:szCs w:val="21"/>
              </w:rPr>
            </w:pPr>
          </w:p>
        </w:tc>
        <w:tc>
          <w:tcPr>
            <w:tcW w:w="1485" w:type="dxa"/>
            <w:gridSpan w:val="2"/>
            <w:vMerge w:val="continue"/>
            <w:vAlign w:val="center"/>
          </w:tcPr>
          <w:p>
            <w:pPr>
              <w:spacing w:line="320" w:lineRule="atLeast"/>
              <w:jc w:val="center"/>
              <w:rPr>
                <w:szCs w:val="21"/>
              </w:rPr>
            </w:pPr>
          </w:p>
        </w:tc>
        <w:tc>
          <w:tcPr>
            <w:tcW w:w="1088" w:type="dxa"/>
            <w:gridSpan w:val="2"/>
            <w:vMerge w:val="continue"/>
            <w:vAlign w:val="center"/>
          </w:tcPr>
          <w:p>
            <w:pPr>
              <w:spacing w:line="320" w:lineRule="atLeast"/>
              <w:jc w:val="right"/>
              <w:rPr>
                <w:szCs w:val="21"/>
                <w:u w:val="single"/>
              </w:rPr>
            </w:pPr>
          </w:p>
        </w:tc>
        <w:tc>
          <w:tcPr>
            <w:tcW w:w="3066" w:type="dxa"/>
            <w:vAlign w:val="center"/>
          </w:tcPr>
          <w:p>
            <w:pPr>
              <w:spacing w:line="360" w:lineRule="atLeast"/>
              <w:ind w:left="-69" w:leftChars="-33" w:right="-90" w:rightChars="-43"/>
              <w:rPr>
                <w:szCs w:val="21"/>
              </w:rPr>
            </w:pPr>
            <w:r>
              <w:rPr>
                <w:rFonts w:hint="eastAsia"/>
                <w:szCs w:val="21"/>
              </w:rPr>
              <w:t>设计审查</w:t>
            </w:r>
            <w:r>
              <w:rPr>
                <w:szCs w:val="21"/>
              </w:rPr>
              <w:t>的质量保证措施、进度保证措施</w:t>
            </w:r>
            <w:r>
              <w:rPr>
                <w:rFonts w:hint="eastAsia"/>
                <w:snapToGrid w:val="0"/>
                <w:szCs w:val="21"/>
              </w:rPr>
              <w:t>（0~6分）</w:t>
            </w:r>
          </w:p>
        </w:tc>
        <w:tc>
          <w:tcPr>
            <w:tcW w:w="3145" w:type="dxa"/>
            <w:vAlign w:val="center"/>
          </w:tcPr>
          <w:p>
            <w:pPr>
              <w:spacing w:line="320" w:lineRule="atLeast"/>
              <w:rPr>
                <w:szCs w:val="21"/>
              </w:rPr>
            </w:pPr>
            <w:r>
              <w:rPr>
                <w:rFonts w:hint="eastAsia"/>
                <w:szCs w:val="21"/>
              </w:rPr>
              <w:t>根据各项保证措施的合理性、可行性等进行评审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56" w:type="dxa"/>
            <w:vMerge w:val="continue"/>
            <w:vAlign w:val="center"/>
          </w:tcPr>
          <w:p>
            <w:pPr>
              <w:spacing w:line="320" w:lineRule="atLeast"/>
              <w:jc w:val="center"/>
              <w:rPr>
                <w:szCs w:val="21"/>
              </w:rPr>
            </w:pPr>
          </w:p>
        </w:tc>
        <w:tc>
          <w:tcPr>
            <w:tcW w:w="1485" w:type="dxa"/>
            <w:gridSpan w:val="2"/>
            <w:vMerge w:val="continue"/>
            <w:vAlign w:val="center"/>
          </w:tcPr>
          <w:p>
            <w:pPr>
              <w:spacing w:line="320" w:lineRule="atLeast"/>
              <w:jc w:val="center"/>
              <w:rPr>
                <w:szCs w:val="21"/>
              </w:rPr>
            </w:pPr>
          </w:p>
        </w:tc>
        <w:tc>
          <w:tcPr>
            <w:tcW w:w="1088" w:type="dxa"/>
            <w:gridSpan w:val="2"/>
            <w:vMerge w:val="continue"/>
            <w:vAlign w:val="center"/>
          </w:tcPr>
          <w:p>
            <w:pPr>
              <w:spacing w:line="320" w:lineRule="atLeast"/>
              <w:jc w:val="right"/>
              <w:rPr>
                <w:szCs w:val="21"/>
              </w:rPr>
            </w:pPr>
          </w:p>
        </w:tc>
        <w:tc>
          <w:tcPr>
            <w:tcW w:w="3066" w:type="dxa"/>
            <w:vAlign w:val="center"/>
          </w:tcPr>
          <w:p>
            <w:pPr>
              <w:spacing w:line="360" w:lineRule="atLeast"/>
              <w:ind w:left="-69" w:leftChars="-33" w:right="-90" w:rightChars="-43"/>
              <w:rPr>
                <w:szCs w:val="21"/>
              </w:rPr>
            </w:pPr>
            <w:r>
              <w:rPr>
                <w:szCs w:val="21"/>
              </w:rPr>
              <w:t>后续服务的安排及保证措施</w:t>
            </w:r>
            <w:r>
              <w:rPr>
                <w:rFonts w:hint="eastAsia"/>
                <w:snapToGrid w:val="0"/>
                <w:szCs w:val="21"/>
              </w:rPr>
              <w:t>（0~5分）</w:t>
            </w:r>
          </w:p>
        </w:tc>
        <w:tc>
          <w:tcPr>
            <w:tcW w:w="3145" w:type="dxa"/>
            <w:vAlign w:val="center"/>
          </w:tcPr>
          <w:p>
            <w:pPr>
              <w:spacing w:line="320" w:lineRule="atLeast"/>
              <w:rPr>
                <w:szCs w:val="21"/>
              </w:rPr>
            </w:pPr>
            <w:r>
              <w:rPr>
                <w:rFonts w:hint="eastAsia"/>
                <w:szCs w:val="21"/>
              </w:rPr>
              <w:t>根据后续服务的安排及保证措施的合理性、可行性等进行评审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2" w:hRule="atLeast"/>
        </w:trPr>
        <w:tc>
          <w:tcPr>
            <w:tcW w:w="1056" w:type="dxa"/>
            <w:vAlign w:val="center"/>
          </w:tcPr>
          <w:p>
            <w:pPr>
              <w:spacing w:line="320" w:lineRule="atLeast"/>
              <w:ind w:left="-92" w:leftChars="-44" w:right="-88"/>
              <w:jc w:val="center"/>
              <w:rPr>
                <w:szCs w:val="21"/>
              </w:rPr>
            </w:pPr>
            <w:r>
              <w:rPr>
                <w:szCs w:val="21"/>
              </w:rPr>
              <w:t>2.2.4（2）</w:t>
            </w:r>
          </w:p>
        </w:tc>
        <w:tc>
          <w:tcPr>
            <w:tcW w:w="1485" w:type="dxa"/>
            <w:gridSpan w:val="2"/>
            <w:vAlign w:val="center"/>
          </w:tcPr>
          <w:p>
            <w:pPr>
              <w:spacing w:line="320" w:lineRule="atLeast"/>
              <w:jc w:val="center"/>
              <w:rPr>
                <w:szCs w:val="21"/>
              </w:rPr>
            </w:pPr>
            <w:r>
              <w:rPr>
                <w:rFonts w:hint="eastAsia"/>
                <w:szCs w:val="21"/>
              </w:rPr>
              <w:t>主要人员</w:t>
            </w:r>
          </w:p>
        </w:tc>
        <w:tc>
          <w:tcPr>
            <w:tcW w:w="1088" w:type="dxa"/>
            <w:gridSpan w:val="2"/>
            <w:vAlign w:val="center"/>
          </w:tcPr>
          <w:p>
            <w:pPr>
              <w:spacing w:line="320" w:lineRule="atLeast"/>
              <w:jc w:val="right"/>
              <w:rPr>
                <w:szCs w:val="21"/>
              </w:rPr>
            </w:pPr>
            <w:r>
              <w:rPr>
                <w:rFonts w:hint="eastAsia"/>
                <w:szCs w:val="21"/>
                <w:u w:val="single"/>
              </w:rPr>
              <w:t>25</w:t>
            </w:r>
            <w:r>
              <w:rPr>
                <w:szCs w:val="21"/>
              </w:rPr>
              <w:t>分</w:t>
            </w:r>
          </w:p>
        </w:tc>
        <w:tc>
          <w:tcPr>
            <w:tcW w:w="6211" w:type="dxa"/>
            <w:gridSpan w:val="2"/>
            <w:vAlign w:val="center"/>
          </w:tcPr>
          <w:p>
            <w:pPr>
              <w:spacing w:line="320" w:lineRule="atLeast"/>
              <w:jc w:val="left"/>
              <w:rPr>
                <w:szCs w:val="21"/>
              </w:rPr>
            </w:pPr>
            <w:r>
              <w:rPr>
                <w:rFonts w:hint="eastAsia"/>
                <w:szCs w:val="21"/>
              </w:rPr>
              <w:t>a.满足资格审查条件，得15分；</w:t>
            </w:r>
          </w:p>
          <w:p>
            <w:pPr>
              <w:spacing w:line="320" w:lineRule="atLeast"/>
              <w:jc w:val="left"/>
              <w:rPr>
                <w:szCs w:val="21"/>
              </w:rPr>
            </w:pPr>
            <w:r>
              <w:rPr>
                <w:rFonts w:hint="eastAsia"/>
                <w:szCs w:val="21"/>
              </w:rPr>
              <w:t>b.与资格审查条件最低要求相比，</w:t>
            </w:r>
            <w:r>
              <w:rPr>
                <w:rFonts w:hint="eastAsia"/>
                <w:b/>
                <w:bCs/>
                <w:szCs w:val="21"/>
              </w:rPr>
              <w:t>项目负责人</w:t>
            </w:r>
            <w:r>
              <w:rPr>
                <w:rFonts w:hint="eastAsia"/>
                <w:szCs w:val="21"/>
              </w:rPr>
              <w:t>每增加1个</w:t>
            </w:r>
            <w:r>
              <w:rPr>
                <w:rFonts w:hint="eastAsia" w:ascii="宋体" w:hAnsi="宋体"/>
              </w:rPr>
              <w:t>四级及以上的内河航道工程</w:t>
            </w:r>
            <w:r>
              <w:rPr>
                <w:rFonts w:hint="eastAsia"/>
                <w:szCs w:val="21"/>
              </w:rPr>
              <w:t>设计工作或设计审查工作经历，或每增加1个</w:t>
            </w:r>
            <w:r>
              <w:rPr>
                <w:rFonts w:hint="eastAsia" w:ascii="宋体" w:hAnsi="宋体"/>
              </w:rPr>
              <w:t>包含</w:t>
            </w:r>
            <w:r>
              <w:rPr>
                <w:rFonts w:hint="eastAsia"/>
                <w:szCs w:val="21"/>
              </w:rPr>
              <w:t>500</w:t>
            </w:r>
            <w:r>
              <w:rPr>
                <w:rFonts w:hint="eastAsia" w:ascii="宋体" w:hAnsi="宋体"/>
              </w:rPr>
              <w:t>吨级及以上通航设施（船闸工程或升船机）</w:t>
            </w:r>
            <w:r>
              <w:rPr>
                <w:rFonts w:hint="eastAsia" w:ascii="宋体" w:hAnsi="宋体" w:cs="宋体"/>
              </w:rPr>
              <w:t>项目</w:t>
            </w:r>
            <w:r>
              <w:rPr>
                <w:rFonts w:hint="eastAsia"/>
                <w:szCs w:val="21"/>
              </w:rPr>
              <w:t>的设计工作或设计审查工作经历，加1分，最多加2分。</w:t>
            </w:r>
          </w:p>
          <w:p>
            <w:pPr>
              <w:spacing w:line="320" w:lineRule="atLeast"/>
              <w:jc w:val="left"/>
              <w:rPr>
                <w:szCs w:val="21"/>
              </w:rPr>
            </w:pPr>
            <w:r>
              <w:rPr>
                <w:rFonts w:hint="eastAsia"/>
                <w:szCs w:val="21"/>
              </w:rPr>
              <w:t>c.与资格审查条件最低要求相比，</w:t>
            </w:r>
            <w:r>
              <w:rPr>
                <w:rFonts w:hint="eastAsia"/>
                <w:b/>
                <w:bCs/>
                <w:szCs w:val="21"/>
              </w:rPr>
              <w:t>技术负责人</w:t>
            </w:r>
            <w:r>
              <w:rPr>
                <w:rFonts w:hint="eastAsia"/>
                <w:szCs w:val="21"/>
              </w:rPr>
              <w:t>每增加1个</w:t>
            </w:r>
            <w:r>
              <w:rPr>
                <w:rFonts w:hint="eastAsia" w:ascii="宋体" w:hAnsi="宋体"/>
              </w:rPr>
              <w:t>四级及以上的内河航道工程</w:t>
            </w:r>
            <w:r>
              <w:rPr>
                <w:rFonts w:hint="eastAsia"/>
                <w:szCs w:val="21"/>
              </w:rPr>
              <w:t>设计工作或设计审查工作经历，或每增加1</w:t>
            </w:r>
            <w:r>
              <w:rPr>
                <w:rFonts w:hint="eastAsia" w:ascii="宋体" w:hAnsi="宋体"/>
              </w:rPr>
              <w:t>个包含</w:t>
            </w:r>
            <w:r>
              <w:rPr>
                <w:rFonts w:hint="eastAsia"/>
                <w:szCs w:val="21"/>
              </w:rPr>
              <w:t>500</w:t>
            </w:r>
            <w:r>
              <w:rPr>
                <w:rFonts w:hint="eastAsia" w:ascii="宋体" w:hAnsi="宋体"/>
              </w:rPr>
              <w:t>吨级及以上通航设施（船闸工程或升船机）</w:t>
            </w:r>
            <w:r>
              <w:rPr>
                <w:rFonts w:hint="eastAsia" w:ascii="宋体" w:hAnsi="宋体" w:cs="宋体"/>
              </w:rPr>
              <w:t>项目</w:t>
            </w:r>
            <w:r>
              <w:rPr>
                <w:rFonts w:hint="eastAsia"/>
                <w:szCs w:val="21"/>
              </w:rPr>
              <w:t>的设计工作或设计审查工作经历，加1分，最多加2分。</w:t>
            </w:r>
          </w:p>
          <w:p>
            <w:pPr>
              <w:spacing w:line="320" w:lineRule="atLeast"/>
              <w:jc w:val="left"/>
              <w:rPr>
                <w:szCs w:val="21"/>
              </w:rPr>
            </w:pPr>
            <w:r>
              <w:rPr>
                <w:rFonts w:hint="eastAsia"/>
                <w:szCs w:val="21"/>
              </w:rPr>
              <w:t>d.与资格审查条件最低要求相比，</w:t>
            </w:r>
            <w:r>
              <w:rPr>
                <w:rFonts w:hint="eastAsia"/>
                <w:b/>
                <w:bCs/>
                <w:szCs w:val="21"/>
              </w:rPr>
              <w:t>船闸工程分项负责人</w:t>
            </w:r>
            <w:r>
              <w:rPr>
                <w:rFonts w:hint="eastAsia"/>
                <w:szCs w:val="21"/>
              </w:rPr>
              <w:t>每增加1个</w:t>
            </w:r>
            <w:r>
              <w:rPr>
                <w:rFonts w:hint="eastAsia" w:ascii="宋体" w:hAnsi="宋体"/>
              </w:rPr>
              <w:t>包含</w:t>
            </w:r>
            <w:r>
              <w:rPr>
                <w:rFonts w:hint="eastAsia"/>
                <w:szCs w:val="21"/>
              </w:rPr>
              <w:t>船闸工程设计工作或设计审查工作</w:t>
            </w:r>
            <w:r>
              <w:rPr>
                <w:rFonts w:hint="eastAsia" w:ascii="宋体" w:hAnsi="宋体"/>
              </w:rPr>
              <w:t>经历，</w:t>
            </w:r>
            <w:r>
              <w:rPr>
                <w:rFonts w:hint="eastAsia"/>
                <w:szCs w:val="21"/>
              </w:rPr>
              <w:t>加1分，最多加2分。</w:t>
            </w:r>
          </w:p>
          <w:p>
            <w:pPr>
              <w:spacing w:line="320" w:lineRule="atLeast"/>
              <w:jc w:val="left"/>
              <w:rPr>
                <w:b/>
                <w:bCs/>
                <w:szCs w:val="21"/>
                <w:highlight w:val="cyan"/>
              </w:rPr>
            </w:pPr>
            <w:r>
              <w:rPr>
                <w:rFonts w:hint="eastAsia"/>
                <w:szCs w:val="21"/>
              </w:rPr>
              <w:t>e.与资格审查条件最低要求相比，</w:t>
            </w:r>
            <w:r>
              <w:rPr>
                <w:rFonts w:hint="eastAsia"/>
                <w:b/>
                <w:bCs/>
                <w:szCs w:val="21"/>
              </w:rPr>
              <w:t>隧洞分项负责人</w:t>
            </w:r>
            <w:r>
              <w:rPr>
                <w:rFonts w:hint="eastAsia"/>
                <w:szCs w:val="21"/>
              </w:rPr>
              <w:t>每增加1个</w:t>
            </w:r>
            <w:r>
              <w:rPr>
                <w:rFonts w:hint="eastAsia" w:ascii="宋体" w:hAnsi="宋体"/>
              </w:rPr>
              <w:t>包含</w:t>
            </w:r>
            <w:r>
              <w:rPr>
                <w:rFonts w:hint="eastAsia"/>
                <w:szCs w:val="21"/>
              </w:rPr>
              <w:t>单洞横断面积120㎡及以上隧洞（道）的设计工作或设计审查工作经历，加1分，最多加2分。</w:t>
            </w:r>
          </w:p>
          <w:p>
            <w:pPr>
              <w:spacing w:line="320" w:lineRule="atLeast"/>
              <w:jc w:val="left"/>
              <w:rPr>
                <w:b/>
                <w:bCs/>
                <w:szCs w:val="21"/>
              </w:rPr>
            </w:pPr>
            <w:r>
              <w:rPr>
                <w:rFonts w:hint="eastAsia"/>
                <w:b/>
                <w:bCs/>
                <w:szCs w:val="21"/>
              </w:rPr>
              <w:t>f.</w:t>
            </w:r>
            <w:r>
              <w:rPr>
                <w:rFonts w:hint="eastAsia"/>
                <w:szCs w:val="21"/>
              </w:rPr>
              <w:t>与资格审查条件最低要求相比，</w:t>
            </w:r>
            <w:r>
              <w:rPr>
                <w:rFonts w:hint="eastAsia"/>
                <w:b/>
                <w:bCs/>
                <w:szCs w:val="21"/>
              </w:rPr>
              <w:t>桥梁分项负责人</w:t>
            </w:r>
            <w:r>
              <w:rPr>
                <w:rFonts w:hint="eastAsia"/>
                <w:szCs w:val="21"/>
              </w:rPr>
              <w:t>每增加1个包含大桥或以上等级桥梁设计工作或设计审查工作经历，加0.5分，最多加1分。</w:t>
            </w:r>
          </w:p>
          <w:p>
            <w:pPr>
              <w:spacing w:line="320" w:lineRule="atLeast"/>
              <w:jc w:val="left"/>
              <w:rPr>
                <w:szCs w:val="21"/>
              </w:rPr>
            </w:pPr>
            <w:r>
              <w:rPr>
                <w:rFonts w:hint="eastAsia"/>
                <w:szCs w:val="21"/>
              </w:rPr>
              <w:t>g.与资格审查条件最低要求相比，</w:t>
            </w:r>
            <w:r>
              <w:rPr>
                <w:rFonts w:hint="eastAsia"/>
                <w:b/>
                <w:bCs/>
                <w:szCs w:val="21"/>
              </w:rPr>
              <w:t>航道工程分项负责人</w:t>
            </w:r>
            <w:r>
              <w:rPr>
                <w:rFonts w:hint="eastAsia"/>
                <w:szCs w:val="21"/>
              </w:rPr>
              <w:t>每增加1个</w:t>
            </w:r>
            <w:r>
              <w:rPr>
                <w:rFonts w:hint="eastAsia" w:ascii="宋体" w:hAnsi="宋体"/>
              </w:rPr>
              <w:t>包含内河</w:t>
            </w:r>
            <w:r>
              <w:rPr>
                <w:rFonts w:hint="eastAsia"/>
                <w:szCs w:val="21"/>
              </w:rPr>
              <w:t>航道工程设计工作或设计审查工作</w:t>
            </w:r>
            <w:r>
              <w:rPr>
                <w:rFonts w:hint="eastAsia" w:ascii="宋体" w:hAnsi="宋体"/>
              </w:rPr>
              <w:t>经历</w:t>
            </w:r>
            <w:r>
              <w:rPr>
                <w:rFonts w:hint="eastAsia"/>
                <w:szCs w:val="21"/>
              </w:rPr>
              <w:t>加0.5分，最多加0.5分</w:t>
            </w:r>
          </w:p>
          <w:p>
            <w:pPr>
              <w:spacing w:line="320" w:lineRule="atLeast"/>
              <w:jc w:val="left"/>
              <w:rPr>
                <w:szCs w:val="21"/>
              </w:rPr>
            </w:pPr>
            <w:r>
              <w:rPr>
                <w:rFonts w:hint="eastAsia"/>
                <w:szCs w:val="21"/>
              </w:rPr>
              <w:t>h .与资格审查条件最低要求相比，</w:t>
            </w:r>
            <w:r>
              <w:rPr>
                <w:rFonts w:hint="eastAsia"/>
                <w:b/>
                <w:bCs/>
                <w:szCs w:val="21"/>
              </w:rPr>
              <w:t>勘察分项负责人</w:t>
            </w:r>
            <w:r>
              <w:rPr>
                <w:rFonts w:hint="eastAsia"/>
                <w:szCs w:val="21"/>
              </w:rPr>
              <w:t>每增加1个</w:t>
            </w:r>
            <w:r>
              <w:rPr>
                <w:rFonts w:hint="eastAsia" w:ascii="宋体" w:hAnsi="宋体"/>
              </w:rPr>
              <w:t>包含</w:t>
            </w:r>
            <w:r>
              <w:rPr>
                <w:rFonts w:hint="eastAsia"/>
                <w:szCs w:val="21"/>
              </w:rPr>
              <w:t>水运工程的勘察工作</w:t>
            </w:r>
            <w:r>
              <w:rPr>
                <w:rFonts w:hint="eastAsia" w:ascii="宋体" w:hAnsi="宋体"/>
              </w:rPr>
              <w:t>经历，</w:t>
            </w:r>
            <w:r>
              <w:rPr>
                <w:rFonts w:hint="eastAsia"/>
                <w:szCs w:val="21"/>
              </w:rPr>
              <w:t>加0.5分，最多加0.5分。</w:t>
            </w:r>
          </w:p>
          <w:p>
            <w:pPr>
              <w:spacing w:line="320" w:lineRule="atLeast"/>
              <w:jc w:val="left"/>
              <w:rPr>
                <w:szCs w:val="21"/>
              </w:rPr>
            </w:pPr>
            <w:r>
              <w:rPr>
                <w:rFonts w:hint="eastAsia"/>
                <w:szCs w:val="21"/>
              </w:rPr>
              <w:t>注：</w:t>
            </w:r>
            <w:r>
              <w:rPr>
                <w:rFonts w:hint="eastAsia" w:ascii="宋体" w:hAnsi="宋体" w:cs="宋体"/>
                <w:b/>
                <w:bCs/>
                <w:kern w:val="0"/>
                <w:szCs w:val="21"/>
              </w:rPr>
              <w:t>同一项目包含多个满足评审要求业绩时，可重复加分。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056" w:type="dxa"/>
            <w:vAlign w:val="center"/>
          </w:tcPr>
          <w:p>
            <w:pPr>
              <w:spacing w:line="320" w:lineRule="atLeast"/>
              <w:jc w:val="center"/>
              <w:rPr>
                <w:szCs w:val="21"/>
              </w:rPr>
            </w:pPr>
            <w:r>
              <w:rPr>
                <w:szCs w:val="21"/>
              </w:rPr>
              <w:t>2.2.4（3）</w:t>
            </w:r>
          </w:p>
        </w:tc>
        <w:tc>
          <w:tcPr>
            <w:tcW w:w="1485" w:type="dxa"/>
            <w:gridSpan w:val="2"/>
            <w:vAlign w:val="center"/>
          </w:tcPr>
          <w:p>
            <w:pPr>
              <w:spacing w:line="320" w:lineRule="atLeast"/>
              <w:jc w:val="center"/>
              <w:rPr>
                <w:szCs w:val="21"/>
              </w:rPr>
            </w:pPr>
          </w:p>
          <w:p>
            <w:pPr>
              <w:spacing w:line="320" w:lineRule="atLeast"/>
              <w:jc w:val="center"/>
              <w:rPr>
                <w:szCs w:val="21"/>
              </w:rPr>
            </w:pPr>
            <w:r>
              <w:rPr>
                <w:szCs w:val="21"/>
              </w:rPr>
              <w:t>评标价</w:t>
            </w:r>
          </w:p>
        </w:tc>
        <w:tc>
          <w:tcPr>
            <w:tcW w:w="1088" w:type="dxa"/>
            <w:gridSpan w:val="2"/>
            <w:vAlign w:val="center"/>
          </w:tcPr>
          <w:p>
            <w:pPr>
              <w:spacing w:line="320" w:lineRule="atLeast"/>
              <w:jc w:val="right"/>
              <w:rPr>
                <w:rFonts w:ascii="宋体" w:hAnsi="宋体"/>
                <w:szCs w:val="21"/>
                <w:u w:val="single"/>
              </w:rPr>
            </w:pPr>
          </w:p>
          <w:p>
            <w:pPr>
              <w:spacing w:line="320" w:lineRule="atLeast"/>
              <w:jc w:val="right"/>
              <w:rPr>
                <w:rFonts w:ascii="宋体" w:hAnsi="宋体"/>
                <w:szCs w:val="21"/>
              </w:rPr>
            </w:pPr>
            <w:r>
              <w:rPr>
                <w:rFonts w:hint="eastAsia" w:ascii="宋体" w:hAnsi="宋体"/>
                <w:szCs w:val="21"/>
                <w:u w:val="single"/>
              </w:rPr>
              <w:t>10</w:t>
            </w:r>
            <w:r>
              <w:rPr>
                <w:rFonts w:ascii="宋体" w:hAnsi="宋体"/>
                <w:szCs w:val="21"/>
              </w:rPr>
              <w:t>分</w:t>
            </w:r>
          </w:p>
        </w:tc>
        <w:tc>
          <w:tcPr>
            <w:tcW w:w="6211" w:type="dxa"/>
            <w:gridSpan w:val="2"/>
          </w:tcPr>
          <w:p>
            <w:pPr>
              <w:widowControl/>
              <w:jc w:val="left"/>
              <w:rPr>
                <w:b/>
                <w:szCs w:val="21"/>
              </w:rPr>
            </w:pPr>
            <w:r>
              <w:rPr>
                <w:rFonts w:hint="eastAsia" w:cs="宋体"/>
                <w:b/>
                <w:szCs w:val="21"/>
              </w:rPr>
              <w:t>评标价得分计算公式：</w:t>
            </w:r>
          </w:p>
          <w:p>
            <w:pPr>
              <w:widowControl/>
              <w:ind w:firstLine="420" w:firstLineChars="200"/>
              <w:jc w:val="left"/>
              <w:rPr>
                <w:szCs w:val="21"/>
              </w:rPr>
            </w:pPr>
            <w:r>
              <w:rPr>
                <w:szCs w:val="21"/>
              </w:rPr>
              <w:t>1</w:t>
            </w:r>
            <w:r>
              <w:rPr>
                <w:rFonts w:hint="eastAsia" w:cs="宋体"/>
                <w:szCs w:val="21"/>
              </w:rPr>
              <w:t>）如果投标人的评标价</w:t>
            </w:r>
            <w:r>
              <w:rPr>
                <w:szCs w:val="21"/>
              </w:rPr>
              <w:t>&gt;</w:t>
            </w:r>
            <w:r>
              <w:rPr>
                <w:rFonts w:hint="eastAsia" w:cs="宋体"/>
                <w:szCs w:val="21"/>
              </w:rPr>
              <w:t>评标基准价，则评标价得分</w:t>
            </w:r>
            <w:r>
              <w:rPr>
                <w:szCs w:val="21"/>
              </w:rPr>
              <w:t>=F</w:t>
            </w:r>
            <w:r>
              <w:rPr>
                <w:rFonts w:hint="eastAsia" w:cs="宋体"/>
                <w:szCs w:val="21"/>
              </w:rPr>
              <w:t>－</w:t>
            </w:r>
            <w:r>
              <w:rPr>
                <w:szCs w:val="21"/>
              </w:rPr>
              <w:t>|</w:t>
            </w:r>
            <w:r>
              <w:rPr>
                <w:rFonts w:hint="eastAsia" w:cs="宋体"/>
                <w:szCs w:val="21"/>
              </w:rPr>
              <w:t>偏差率</w:t>
            </w:r>
            <w:r>
              <w:rPr>
                <w:szCs w:val="21"/>
              </w:rPr>
              <w:t>|</w:t>
            </w:r>
            <w:r>
              <w:rPr>
                <w:rFonts w:hint="eastAsia" w:cs="宋体"/>
                <w:szCs w:val="21"/>
              </w:rPr>
              <w:t>×</w:t>
            </w:r>
            <w:r>
              <w:rPr>
                <w:szCs w:val="21"/>
              </w:rPr>
              <w:t>100</w:t>
            </w:r>
            <w:r>
              <w:rPr>
                <w:rFonts w:hint="eastAsia" w:cs="宋体"/>
                <w:szCs w:val="21"/>
              </w:rPr>
              <w:t>×</w:t>
            </w:r>
            <w:r>
              <w:rPr>
                <w:rFonts w:hint="eastAsia"/>
                <w:szCs w:val="21"/>
              </w:rPr>
              <w:t>G</w:t>
            </w:r>
            <w:r>
              <w:rPr>
                <w:szCs w:val="21"/>
              </w:rPr>
              <w:t>1</w:t>
            </w:r>
            <w:r>
              <w:rPr>
                <w:rFonts w:hint="eastAsia" w:cs="宋体"/>
                <w:szCs w:val="21"/>
              </w:rPr>
              <w:t>；</w:t>
            </w:r>
          </w:p>
          <w:p>
            <w:pPr>
              <w:widowControl/>
              <w:ind w:firstLine="420" w:firstLineChars="200"/>
              <w:jc w:val="left"/>
              <w:rPr>
                <w:szCs w:val="21"/>
              </w:rPr>
            </w:pPr>
            <w:r>
              <w:rPr>
                <w:szCs w:val="21"/>
              </w:rPr>
              <w:t>2</w:t>
            </w:r>
            <w:r>
              <w:rPr>
                <w:rFonts w:hint="eastAsia" w:cs="宋体"/>
                <w:szCs w:val="21"/>
              </w:rPr>
              <w:t>）如果投标人的评标价≤评标基准价，则评标价得分</w:t>
            </w:r>
            <w:r>
              <w:rPr>
                <w:szCs w:val="21"/>
              </w:rPr>
              <w:t>=F-|</w:t>
            </w:r>
            <w:r>
              <w:rPr>
                <w:rFonts w:hint="eastAsia" w:cs="宋体"/>
                <w:szCs w:val="21"/>
              </w:rPr>
              <w:t>偏差率</w:t>
            </w:r>
            <w:r>
              <w:rPr>
                <w:szCs w:val="21"/>
              </w:rPr>
              <w:t>|</w:t>
            </w:r>
            <w:r>
              <w:rPr>
                <w:rFonts w:hint="eastAsia" w:cs="宋体"/>
                <w:szCs w:val="21"/>
              </w:rPr>
              <w:t>×</w:t>
            </w:r>
            <w:r>
              <w:rPr>
                <w:szCs w:val="21"/>
              </w:rPr>
              <w:t>100</w:t>
            </w:r>
            <w:r>
              <w:rPr>
                <w:rFonts w:hint="eastAsia" w:cs="宋体"/>
                <w:szCs w:val="21"/>
              </w:rPr>
              <w:t>×</w:t>
            </w:r>
            <w:r>
              <w:rPr>
                <w:rFonts w:hint="eastAsia"/>
                <w:szCs w:val="21"/>
              </w:rPr>
              <w:t>G</w:t>
            </w:r>
            <w:r>
              <w:rPr>
                <w:szCs w:val="21"/>
              </w:rPr>
              <w:t>2</w:t>
            </w:r>
            <w:r>
              <w:rPr>
                <w:rFonts w:hint="eastAsia" w:cs="宋体"/>
                <w:szCs w:val="21"/>
              </w:rPr>
              <w:t>。</w:t>
            </w:r>
          </w:p>
          <w:p>
            <w:pPr>
              <w:widowControl/>
              <w:ind w:firstLine="420" w:firstLineChars="200"/>
              <w:jc w:val="left"/>
              <w:rPr>
                <w:szCs w:val="21"/>
              </w:rPr>
            </w:pPr>
            <w:r>
              <w:rPr>
                <w:rFonts w:hint="eastAsia"/>
                <w:szCs w:val="21"/>
              </w:rPr>
              <w:t>其中：</w:t>
            </w:r>
            <w:r>
              <w:rPr>
                <w:szCs w:val="21"/>
              </w:rPr>
              <w:t>F</w:t>
            </w:r>
            <w:r>
              <w:rPr>
                <w:rFonts w:hint="eastAsia"/>
                <w:szCs w:val="21"/>
              </w:rPr>
              <w:t>是评标价所占的权重分值，F=10；</w:t>
            </w:r>
          </w:p>
          <w:p>
            <w:pPr>
              <w:widowControl/>
              <w:ind w:firstLine="420" w:firstLineChars="200"/>
              <w:jc w:val="left"/>
              <w:rPr>
                <w:szCs w:val="21"/>
              </w:rPr>
            </w:pPr>
            <w:r>
              <w:rPr>
                <w:rFonts w:hint="eastAsia"/>
                <w:szCs w:val="21"/>
              </w:rPr>
              <w:t>G</w:t>
            </w:r>
            <w:r>
              <w:rPr>
                <w:szCs w:val="21"/>
              </w:rPr>
              <w:t>1</w:t>
            </w:r>
            <w:r>
              <w:rPr>
                <w:rFonts w:hint="eastAsia"/>
                <w:szCs w:val="21"/>
              </w:rPr>
              <w:t>是评标价每高于评标基准价一个百分点的扣分值，G1=0.2；</w:t>
            </w:r>
          </w:p>
          <w:p>
            <w:pPr>
              <w:widowControl/>
              <w:ind w:firstLine="420" w:firstLineChars="200"/>
              <w:jc w:val="left"/>
              <w:rPr>
                <w:szCs w:val="21"/>
              </w:rPr>
            </w:pPr>
            <w:r>
              <w:rPr>
                <w:rFonts w:hint="eastAsia"/>
                <w:szCs w:val="21"/>
              </w:rPr>
              <w:t>G</w:t>
            </w:r>
            <w:r>
              <w:rPr>
                <w:szCs w:val="21"/>
              </w:rPr>
              <w:t>2</w:t>
            </w:r>
            <w:r>
              <w:rPr>
                <w:rFonts w:hint="eastAsia"/>
                <w:szCs w:val="21"/>
              </w:rPr>
              <w:t>是评标价每低于评标基准价一个百分点的扣分值，G2=0.1。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1056" w:type="dxa"/>
            <w:vMerge w:val="restart"/>
            <w:vAlign w:val="center"/>
          </w:tcPr>
          <w:p>
            <w:pPr>
              <w:spacing w:line="320" w:lineRule="atLeast"/>
              <w:jc w:val="center"/>
              <w:rPr>
                <w:szCs w:val="21"/>
              </w:rPr>
            </w:pPr>
            <w:r>
              <w:rPr>
                <w:szCs w:val="21"/>
              </w:rPr>
              <w:t>2.2.4（4）</w:t>
            </w:r>
          </w:p>
        </w:tc>
        <w:tc>
          <w:tcPr>
            <w:tcW w:w="490" w:type="dxa"/>
            <w:vMerge w:val="restart"/>
            <w:vAlign w:val="center"/>
          </w:tcPr>
          <w:p>
            <w:pPr>
              <w:spacing w:line="320" w:lineRule="atLeast"/>
              <w:jc w:val="center"/>
              <w:rPr>
                <w:szCs w:val="21"/>
              </w:rPr>
            </w:pPr>
            <w:r>
              <w:rPr>
                <w:szCs w:val="21"/>
              </w:rPr>
              <w:t>其他因素</w:t>
            </w:r>
          </w:p>
        </w:tc>
        <w:tc>
          <w:tcPr>
            <w:tcW w:w="995" w:type="dxa"/>
            <w:vAlign w:val="center"/>
          </w:tcPr>
          <w:p>
            <w:pPr>
              <w:spacing w:line="320" w:lineRule="atLeast"/>
              <w:jc w:val="center"/>
              <w:rPr>
                <w:szCs w:val="21"/>
              </w:rPr>
            </w:pPr>
            <w:r>
              <w:rPr>
                <w:rFonts w:hint="eastAsia"/>
                <w:szCs w:val="21"/>
              </w:rPr>
              <w:t>业绩</w:t>
            </w:r>
          </w:p>
        </w:tc>
        <w:tc>
          <w:tcPr>
            <w:tcW w:w="1088" w:type="dxa"/>
            <w:gridSpan w:val="2"/>
            <w:vAlign w:val="center"/>
          </w:tcPr>
          <w:p>
            <w:pPr>
              <w:spacing w:line="320" w:lineRule="atLeast"/>
              <w:jc w:val="right"/>
              <w:rPr>
                <w:szCs w:val="21"/>
              </w:rPr>
            </w:pPr>
            <w:r>
              <w:rPr>
                <w:rFonts w:hint="eastAsia"/>
                <w:szCs w:val="21"/>
                <w:u w:val="single"/>
              </w:rPr>
              <w:t>23</w:t>
            </w:r>
            <w:r>
              <w:rPr>
                <w:szCs w:val="21"/>
              </w:rPr>
              <w:t>分</w:t>
            </w:r>
          </w:p>
        </w:tc>
        <w:tc>
          <w:tcPr>
            <w:tcW w:w="6211" w:type="dxa"/>
            <w:gridSpan w:val="2"/>
          </w:tcPr>
          <w:p>
            <w:pPr>
              <w:spacing w:line="320" w:lineRule="atLeast"/>
              <w:jc w:val="left"/>
              <w:rPr>
                <w:szCs w:val="21"/>
              </w:rPr>
            </w:pPr>
            <w:r>
              <w:rPr>
                <w:rFonts w:hint="eastAsia"/>
                <w:szCs w:val="21"/>
              </w:rPr>
              <w:t>a.满足资格审查条件，得13分；</w:t>
            </w:r>
          </w:p>
          <w:p>
            <w:pPr>
              <w:spacing w:line="320" w:lineRule="atLeast"/>
              <w:jc w:val="left"/>
              <w:rPr>
                <w:rFonts w:ascii="宋体" w:hAnsi="宋体"/>
                <w:highlight w:val="cyan"/>
              </w:rPr>
            </w:pPr>
            <w:r>
              <w:rPr>
                <w:rFonts w:hint="eastAsia"/>
                <w:szCs w:val="21"/>
              </w:rPr>
              <w:t>b.投标人每完成1个</w:t>
            </w:r>
            <w:r>
              <w:rPr>
                <w:rFonts w:hint="eastAsia" w:ascii="宋体" w:hAnsi="宋体"/>
              </w:rPr>
              <w:t>四级及以上的内河航道工程</w:t>
            </w:r>
            <w:r>
              <w:rPr>
                <w:rFonts w:hint="eastAsia"/>
                <w:szCs w:val="21"/>
              </w:rPr>
              <w:t>设计工作或设计审查工作的，加1分，最多加2分。</w:t>
            </w:r>
          </w:p>
          <w:p>
            <w:pPr>
              <w:spacing w:line="320" w:lineRule="atLeast"/>
              <w:jc w:val="left"/>
              <w:rPr>
                <w:szCs w:val="21"/>
              </w:rPr>
            </w:pPr>
            <w:r>
              <w:rPr>
                <w:rFonts w:hint="eastAsia"/>
                <w:szCs w:val="21"/>
              </w:rPr>
              <w:t>c.投标人每完成1个包含500吨级及以上通航设施（船闸工程或升船机）项目的设计或设计审查工作，加1.5分，最多加3分。</w:t>
            </w:r>
          </w:p>
          <w:p>
            <w:pPr>
              <w:spacing w:line="320" w:lineRule="atLeast"/>
              <w:jc w:val="left"/>
              <w:rPr>
                <w:szCs w:val="21"/>
              </w:rPr>
            </w:pPr>
            <w:r>
              <w:rPr>
                <w:rFonts w:hint="eastAsia"/>
                <w:szCs w:val="21"/>
              </w:rPr>
              <w:t>d.投标人每完成1个包含大桥或以上等级桥梁项目设计工作或设计审查工作的，加1分，最多加2分；</w:t>
            </w:r>
          </w:p>
          <w:p>
            <w:pPr>
              <w:spacing w:line="320" w:lineRule="atLeast"/>
              <w:jc w:val="left"/>
              <w:rPr>
                <w:szCs w:val="21"/>
              </w:rPr>
            </w:pPr>
            <w:r>
              <w:rPr>
                <w:rFonts w:hint="eastAsia"/>
                <w:szCs w:val="21"/>
              </w:rPr>
              <w:t>e.投标人每完成1个</w:t>
            </w:r>
            <w:r>
              <w:rPr>
                <w:rFonts w:hint="eastAsia" w:ascii="宋体" w:hAnsi="宋体"/>
              </w:rPr>
              <w:t>包含</w:t>
            </w:r>
            <w:r>
              <w:rPr>
                <w:rFonts w:hint="eastAsia"/>
                <w:szCs w:val="21"/>
              </w:rPr>
              <w:t>单洞横断面积120㎡及以上隧洞（道）、地下结构、地下工程等项目的设计工作或设计审查工作的，加1.5分，最多加3分。</w:t>
            </w:r>
          </w:p>
          <w:p>
            <w:pPr>
              <w:spacing w:line="320" w:lineRule="atLeast"/>
              <w:jc w:val="left"/>
              <w:rPr>
                <w:szCs w:val="21"/>
              </w:rPr>
            </w:pPr>
            <w:r>
              <w:rPr>
                <w:rFonts w:hint="eastAsia"/>
                <w:szCs w:val="21"/>
              </w:rPr>
              <w:t>注：</w:t>
            </w:r>
            <w:r>
              <w:rPr>
                <w:rFonts w:hint="eastAsia" w:ascii="宋体" w:hAnsi="宋体" w:cs="宋体"/>
                <w:b/>
                <w:bCs/>
                <w:kern w:val="0"/>
                <w:szCs w:val="21"/>
              </w:rPr>
              <w:t>同一项目包含多个满足评审要求的业绩时，可重复加分。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3" w:hRule="atLeast"/>
        </w:trPr>
        <w:tc>
          <w:tcPr>
            <w:tcW w:w="1056" w:type="dxa"/>
            <w:vMerge w:val="continue"/>
            <w:vAlign w:val="center"/>
          </w:tcPr>
          <w:p>
            <w:pPr>
              <w:spacing w:line="320" w:lineRule="atLeast"/>
              <w:jc w:val="center"/>
              <w:rPr>
                <w:rFonts w:eastAsia="隶书"/>
                <w:szCs w:val="21"/>
              </w:rPr>
            </w:pPr>
          </w:p>
        </w:tc>
        <w:tc>
          <w:tcPr>
            <w:tcW w:w="490" w:type="dxa"/>
            <w:vMerge w:val="continue"/>
            <w:vAlign w:val="center"/>
          </w:tcPr>
          <w:p>
            <w:pPr>
              <w:spacing w:line="320" w:lineRule="atLeast"/>
              <w:jc w:val="center"/>
              <w:rPr>
                <w:rFonts w:eastAsia="隶书"/>
                <w:szCs w:val="21"/>
              </w:rPr>
            </w:pPr>
          </w:p>
        </w:tc>
        <w:tc>
          <w:tcPr>
            <w:tcW w:w="995" w:type="dxa"/>
            <w:vAlign w:val="center"/>
          </w:tcPr>
          <w:p>
            <w:pPr>
              <w:spacing w:line="320" w:lineRule="atLeast"/>
              <w:ind w:left="-105" w:leftChars="-50" w:right="-105"/>
              <w:jc w:val="center"/>
              <w:rPr>
                <w:szCs w:val="21"/>
              </w:rPr>
            </w:pPr>
            <w:r>
              <w:rPr>
                <w:szCs w:val="21"/>
              </w:rPr>
              <w:t>履约信誉</w:t>
            </w:r>
          </w:p>
        </w:tc>
        <w:tc>
          <w:tcPr>
            <w:tcW w:w="795" w:type="dxa"/>
            <w:vAlign w:val="center"/>
          </w:tcPr>
          <w:p>
            <w:pPr>
              <w:spacing w:line="320" w:lineRule="atLeast"/>
              <w:jc w:val="right"/>
              <w:rPr>
                <w:szCs w:val="21"/>
              </w:rPr>
            </w:pPr>
            <w:r>
              <w:rPr>
                <w:rFonts w:hint="eastAsia"/>
                <w:szCs w:val="21"/>
                <w:u w:val="single"/>
              </w:rPr>
              <w:t>2</w:t>
            </w:r>
            <w:r>
              <w:rPr>
                <w:szCs w:val="21"/>
              </w:rPr>
              <w:t>分</w:t>
            </w:r>
          </w:p>
        </w:tc>
        <w:tc>
          <w:tcPr>
            <w:tcW w:w="6504" w:type="dxa"/>
            <w:gridSpan w:val="3"/>
          </w:tcPr>
          <w:p>
            <w:pPr>
              <w:spacing w:line="320" w:lineRule="atLeast"/>
              <w:jc w:val="left"/>
              <w:rPr>
                <w:b/>
                <w:bCs/>
                <w:szCs w:val="21"/>
              </w:rPr>
            </w:pPr>
            <w:r>
              <w:rPr>
                <w:rFonts w:hint="eastAsia"/>
                <w:b/>
                <w:bCs/>
                <w:szCs w:val="21"/>
              </w:rPr>
              <w:t>a.信用得分（-1至+2分）</w:t>
            </w:r>
          </w:p>
          <w:p>
            <w:pPr>
              <w:spacing w:line="300" w:lineRule="exact"/>
              <w:ind w:firstLine="400" w:firstLineChars="200"/>
              <w:jc w:val="left"/>
              <w:rPr>
                <w:sz w:val="20"/>
                <w:szCs w:val="20"/>
              </w:rPr>
            </w:pPr>
            <w:r>
              <w:rPr>
                <w:sz w:val="20"/>
                <w:szCs w:val="20"/>
              </w:rPr>
              <w:t>投标人</w:t>
            </w:r>
            <w:r>
              <w:rPr>
                <w:rFonts w:hint="eastAsia"/>
                <w:sz w:val="20"/>
                <w:szCs w:val="20"/>
              </w:rPr>
              <w:t>水运工程</w:t>
            </w:r>
            <w:r>
              <w:rPr>
                <w:sz w:val="20"/>
                <w:szCs w:val="20"/>
              </w:rPr>
              <w:t>信用评级结果引用优先顺序按照《贵州省水运工程勘察设计、施工及设备安装企业信用评价实施细则（试行）》（黔交建设〔2017〕66 号）第二十一条规定执行，即：</w:t>
            </w:r>
          </w:p>
          <w:p>
            <w:pPr>
              <w:spacing w:line="300" w:lineRule="exact"/>
              <w:ind w:firstLine="400" w:firstLineChars="200"/>
              <w:jc w:val="left"/>
              <w:rPr>
                <w:sz w:val="20"/>
                <w:szCs w:val="20"/>
              </w:rPr>
            </w:pPr>
            <w:r>
              <w:rPr>
                <w:rFonts w:cs="Calibri"/>
                <w:sz w:val="20"/>
                <w:szCs w:val="20"/>
              </w:rPr>
              <w:t>①</w:t>
            </w:r>
            <w:r>
              <w:rPr>
                <w:sz w:val="20"/>
                <w:szCs w:val="20"/>
              </w:rPr>
              <w:t>我省的</w:t>
            </w:r>
            <w:r>
              <w:rPr>
                <w:rFonts w:hint="eastAsia"/>
                <w:b/>
                <w:bCs/>
                <w:sz w:val="20"/>
                <w:szCs w:val="20"/>
              </w:rPr>
              <w:t>最新</w:t>
            </w:r>
            <w:r>
              <w:rPr>
                <w:sz w:val="20"/>
                <w:szCs w:val="20"/>
              </w:rPr>
              <w:t>信用评价等级；</w:t>
            </w:r>
          </w:p>
          <w:p>
            <w:pPr>
              <w:spacing w:line="300" w:lineRule="exact"/>
              <w:ind w:firstLine="400" w:firstLineChars="200"/>
              <w:jc w:val="left"/>
              <w:rPr>
                <w:sz w:val="20"/>
                <w:szCs w:val="20"/>
              </w:rPr>
            </w:pPr>
            <w:r>
              <w:rPr>
                <w:rFonts w:cs="Calibri"/>
                <w:sz w:val="20"/>
                <w:szCs w:val="20"/>
              </w:rPr>
              <w:t>②</w:t>
            </w:r>
            <w:r>
              <w:rPr>
                <w:sz w:val="20"/>
                <w:szCs w:val="20"/>
              </w:rPr>
              <w:t>交通运输部的信用评价等级；</w:t>
            </w:r>
          </w:p>
          <w:p>
            <w:pPr>
              <w:spacing w:line="300" w:lineRule="exact"/>
              <w:ind w:firstLine="400" w:firstLineChars="200"/>
              <w:jc w:val="left"/>
              <w:rPr>
                <w:sz w:val="20"/>
                <w:szCs w:val="20"/>
              </w:rPr>
            </w:pPr>
            <w:r>
              <w:rPr>
                <w:rFonts w:cs="Calibri"/>
                <w:sz w:val="20"/>
                <w:szCs w:val="20"/>
              </w:rPr>
              <w:t>③</w:t>
            </w:r>
            <w:r>
              <w:rPr>
                <w:sz w:val="20"/>
                <w:szCs w:val="20"/>
              </w:rPr>
              <w:t>投标单位注册地行业主管部门的信用评价等级。</w:t>
            </w:r>
          </w:p>
          <w:p>
            <w:pPr>
              <w:spacing w:line="300" w:lineRule="exact"/>
              <w:ind w:firstLine="400" w:firstLineChars="200"/>
              <w:jc w:val="left"/>
              <w:rPr>
                <w:sz w:val="20"/>
                <w:szCs w:val="20"/>
              </w:rPr>
            </w:pPr>
            <w:r>
              <w:rPr>
                <w:sz w:val="20"/>
                <w:szCs w:val="20"/>
              </w:rPr>
              <w:t>无上述3 种信用评价等级时，其信用评价等级按以下原则确定：</w:t>
            </w:r>
          </w:p>
          <w:p>
            <w:pPr>
              <w:spacing w:line="300" w:lineRule="exact"/>
              <w:ind w:firstLine="400" w:firstLineChars="200"/>
              <w:jc w:val="left"/>
              <w:rPr>
                <w:sz w:val="20"/>
                <w:szCs w:val="20"/>
              </w:rPr>
            </w:pPr>
            <w:r>
              <w:rPr>
                <w:sz w:val="20"/>
                <w:szCs w:val="20"/>
              </w:rPr>
              <w:t>——无不良信用记录或有一般不良记录的，按</w:t>
            </w:r>
            <w:r>
              <w:rPr>
                <w:b/>
                <w:bCs/>
                <w:sz w:val="20"/>
                <w:szCs w:val="20"/>
              </w:rPr>
              <w:t xml:space="preserve">B </w:t>
            </w:r>
            <w:r>
              <w:rPr>
                <w:sz w:val="20"/>
                <w:szCs w:val="20"/>
              </w:rPr>
              <w:t>级对待；</w:t>
            </w:r>
          </w:p>
          <w:p>
            <w:pPr>
              <w:spacing w:line="300" w:lineRule="exact"/>
              <w:ind w:firstLine="400" w:firstLineChars="200"/>
              <w:jc w:val="left"/>
              <w:rPr>
                <w:sz w:val="20"/>
                <w:szCs w:val="20"/>
              </w:rPr>
            </w:pPr>
            <w:r>
              <w:rPr>
                <w:sz w:val="20"/>
                <w:szCs w:val="20"/>
              </w:rPr>
              <w:t>——仅有1 次达到直接定为D 级不良记录的，或仅有2 次达到直接定为C 级不良记录的，按C 级对待；</w:t>
            </w:r>
          </w:p>
          <w:p>
            <w:pPr>
              <w:spacing w:line="300" w:lineRule="exact"/>
              <w:ind w:firstLine="400" w:firstLineChars="200"/>
              <w:jc w:val="left"/>
              <w:rPr>
                <w:sz w:val="20"/>
                <w:szCs w:val="20"/>
              </w:rPr>
            </w:pPr>
            <w:r>
              <w:rPr>
                <w:sz w:val="20"/>
                <w:szCs w:val="20"/>
              </w:rPr>
              <w:t>——发生直接定为D 级不良记录超过1 次的，或直接定为C 级不良记录超过2 次的，或直接定为D、C 级不良记录合计2 次的，按D 级对待。</w:t>
            </w:r>
          </w:p>
          <w:p>
            <w:pPr>
              <w:numPr>
                <w:ilvl w:val="255"/>
                <w:numId w:val="0"/>
              </w:numPr>
              <w:spacing w:line="380" w:lineRule="atLeast"/>
              <w:jc w:val="left"/>
              <w:rPr>
                <w:b/>
                <w:bCs/>
                <w:sz w:val="20"/>
                <w:szCs w:val="20"/>
              </w:rPr>
            </w:pPr>
            <w:r>
              <w:rPr>
                <w:rFonts w:hint="eastAsia"/>
                <w:b/>
                <w:bCs/>
                <w:sz w:val="20"/>
                <w:szCs w:val="20"/>
              </w:rPr>
              <w:t>b.</w:t>
            </w:r>
            <w:r>
              <w:rPr>
                <w:b/>
                <w:bCs/>
                <w:sz w:val="20"/>
                <w:szCs w:val="20"/>
              </w:rPr>
              <w:t>评标加分或减分标准：</w:t>
            </w:r>
          </w:p>
          <w:tbl>
            <w:tblPr>
              <w:tblStyle w:val="5"/>
              <w:tblW w:w="5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87"/>
              <w:gridCol w:w="1100"/>
              <w:gridCol w:w="109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582" w:type="dxa"/>
                </w:tcPr>
                <w:p>
                  <w:pPr>
                    <w:spacing w:line="380" w:lineRule="atLeast"/>
                    <w:jc w:val="left"/>
                    <w:rPr>
                      <w:sz w:val="20"/>
                      <w:szCs w:val="20"/>
                    </w:rPr>
                  </w:pPr>
                  <w:r>
                    <w:rPr>
                      <w:rFonts w:hint="eastAsia"/>
                      <w:sz w:val="20"/>
                      <w:szCs w:val="20"/>
                    </w:rPr>
                    <w:t>最新信用等级</w:t>
                  </w:r>
                </w:p>
              </w:tc>
              <w:tc>
                <w:tcPr>
                  <w:tcW w:w="787" w:type="dxa"/>
                </w:tcPr>
                <w:p>
                  <w:pPr>
                    <w:spacing w:line="380" w:lineRule="atLeast"/>
                    <w:jc w:val="center"/>
                    <w:rPr>
                      <w:sz w:val="20"/>
                      <w:szCs w:val="20"/>
                    </w:rPr>
                  </w:pPr>
                  <w:r>
                    <w:rPr>
                      <w:rFonts w:hint="eastAsia"/>
                      <w:sz w:val="20"/>
                      <w:szCs w:val="20"/>
                    </w:rPr>
                    <w:t>AA</w:t>
                  </w:r>
                </w:p>
              </w:tc>
              <w:tc>
                <w:tcPr>
                  <w:tcW w:w="1100" w:type="dxa"/>
                </w:tcPr>
                <w:p>
                  <w:pPr>
                    <w:spacing w:line="380" w:lineRule="atLeast"/>
                    <w:jc w:val="center"/>
                    <w:rPr>
                      <w:sz w:val="20"/>
                      <w:szCs w:val="20"/>
                    </w:rPr>
                  </w:pPr>
                  <w:r>
                    <w:rPr>
                      <w:rFonts w:hint="eastAsia"/>
                      <w:sz w:val="20"/>
                      <w:szCs w:val="20"/>
                    </w:rPr>
                    <w:t>A</w:t>
                  </w:r>
                </w:p>
              </w:tc>
              <w:tc>
                <w:tcPr>
                  <w:tcW w:w="1090" w:type="dxa"/>
                </w:tcPr>
                <w:p>
                  <w:pPr>
                    <w:spacing w:line="380" w:lineRule="atLeast"/>
                    <w:jc w:val="center"/>
                    <w:rPr>
                      <w:sz w:val="20"/>
                      <w:szCs w:val="20"/>
                    </w:rPr>
                  </w:pPr>
                  <w:r>
                    <w:rPr>
                      <w:rFonts w:hint="eastAsia"/>
                      <w:sz w:val="20"/>
                      <w:szCs w:val="20"/>
                    </w:rPr>
                    <w:t>B</w:t>
                  </w:r>
                </w:p>
              </w:tc>
              <w:tc>
                <w:tcPr>
                  <w:tcW w:w="861" w:type="dxa"/>
                </w:tcPr>
                <w:p>
                  <w:pPr>
                    <w:spacing w:line="380" w:lineRule="atLeast"/>
                    <w:jc w:val="center"/>
                    <w:rPr>
                      <w:sz w:val="20"/>
                      <w:szCs w:val="20"/>
                    </w:rPr>
                  </w:pPr>
                  <w:r>
                    <w:rPr>
                      <w:rFonts w:hint="eastAsia"/>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82" w:type="dxa"/>
                </w:tcPr>
                <w:p>
                  <w:pPr>
                    <w:spacing w:line="380" w:lineRule="atLeast"/>
                    <w:jc w:val="center"/>
                    <w:rPr>
                      <w:sz w:val="20"/>
                      <w:szCs w:val="20"/>
                    </w:rPr>
                  </w:pPr>
                  <w:r>
                    <w:rPr>
                      <w:rFonts w:hint="eastAsia"/>
                      <w:sz w:val="20"/>
                      <w:szCs w:val="20"/>
                    </w:rPr>
                    <w:t>得分</w:t>
                  </w:r>
                </w:p>
              </w:tc>
              <w:tc>
                <w:tcPr>
                  <w:tcW w:w="787" w:type="dxa"/>
                </w:tcPr>
                <w:p>
                  <w:pPr>
                    <w:spacing w:line="380" w:lineRule="atLeast"/>
                    <w:jc w:val="center"/>
                    <w:rPr>
                      <w:sz w:val="20"/>
                      <w:szCs w:val="20"/>
                    </w:rPr>
                  </w:pPr>
                  <w:r>
                    <w:rPr>
                      <w:rFonts w:hint="eastAsia"/>
                      <w:sz w:val="20"/>
                      <w:szCs w:val="20"/>
                    </w:rPr>
                    <w:t>+2</w:t>
                  </w:r>
                </w:p>
              </w:tc>
              <w:tc>
                <w:tcPr>
                  <w:tcW w:w="1100" w:type="dxa"/>
                </w:tcPr>
                <w:p>
                  <w:pPr>
                    <w:spacing w:line="380" w:lineRule="atLeast"/>
                    <w:jc w:val="center"/>
                    <w:rPr>
                      <w:sz w:val="20"/>
                      <w:szCs w:val="20"/>
                    </w:rPr>
                  </w:pPr>
                  <w:r>
                    <w:rPr>
                      <w:rFonts w:hint="eastAsia"/>
                      <w:sz w:val="20"/>
                      <w:szCs w:val="20"/>
                    </w:rPr>
                    <w:t>+1</w:t>
                  </w:r>
                </w:p>
              </w:tc>
              <w:tc>
                <w:tcPr>
                  <w:tcW w:w="1090" w:type="dxa"/>
                </w:tcPr>
                <w:p>
                  <w:pPr>
                    <w:spacing w:line="380" w:lineRule="atLeast"/>
                    <w:jc w:val="center"/>
                    <w:rPr>
                      <w:sz w:val="20"/>
                      <w:szCs w:val="20"/>
                    </w:rPr>
                  </w:pPr>
                  <w:r>
                    <w:rPr>
                      <w:rFonts w:hint="eastAsia"/>
                      <w:sz w:val="20"/>
                      <w:szCs w:val="20"/>
                    </w:rPr>
                    <w:t>0</w:t>
                  </w:r>
                </w:p>
              </w:tc>
              <w:tc>
                <w:tcPr>
                  <w:tcW w:w="861" w:type="dxa"/>
                </w:tcPr>
                <w:p>
                  <w:pPr>
                    <w:spacing w:line="380" w:lineRule="atLeast"/>
                    <w:jc w:val="center"/>
                    <w:rPr>
                      <w:sz w:val="20"/>
                      <w:szCs w:val="20"/>
                    </w:rPr>
                  </w:pPr>
                  <w:r>
                    <w:rPr>
                      <w:rFonts w:hint="eastAsia"/>
                      <w:sz w:val="20"/>
                      <w:szCs w:val="20"/>
                    </w:rPr>
                    <w:t>-1</w:t>
                  </w:r>
                </w:p>
              </w:tc>
            </w:tr>
          </w:tbl>
          <w:p>
            <w:pPr>
              <w:spacing w:line="320" w:lineRule="atLeast"/>
              <w:jc w:val="left"/>
              <w:rPr>
                <w:sz w:val="20"/>
                <w:szCs w:val="20"/>
                <w:highlight w:val="yellow"/>
              </w:rPr>
            </w:pPr>
          </w:p>
        </w:tc>
      </w:tr>
    </w:tbl>
    <w:p>
      <w:pPr>
        <w:pStyle w:val="2"/>
        <w:spacing w:before="240" w:after="240" w:line="240" w:lineRule="atLeast"/>
        <w:rPr>
          <w:rFonts w:ascii="黑体" w:eastAsia="黑体"/>
          <w:b w:val="0"/>
          <w:sz w:val="28"/>
          <w:szCs w:val="28"/>
        </w:rPr>
      </w:pPr>
      <w:r>
        <w:rPr>
          <w:rFonts w:eastAsia="黑体"/>
          <w:sz w:val="27"/>
          <w:szCs w:val="27"/>
        </w:rPr>
        <w:br w:type="page"/>
      </w:r>
      <w:bookmarkStart w:id="8" w:name="_Toc509993883"/>
      <w:bookmarkStart w:id="9" w:name="_Toc234832944"/>
      <w:r>
        <w:rPr>
          <w:rFonts w:ascii="黑体" w:eastAsia="黑体"/>
          <w:b w:val="0"/>
          <w:sz w:val="28"/>
          <w:szCs w:val="28"/>
        </w:rPr>
        <w:t>1. 评标方法</w:t>
      </w:r>
      <w:bookmarkEnd w:id="8"/>
    </w:p>
    <w:p>
      <w:pPr>
        <w:spacing w:line="400" w:lineRule="atLeast"/>
        <w:ind w:firstLine="480" w:firstLineChars="200"/>
        <w:rPr>
          <w:sz w:val="24"/>
        </w:rPr>
      </w:pPr>
      <w:r>
        <w:rPr>
          <w:sz w:val="24"/>
        </w:rPr>
        <w:t>本次评标采用</w:t>
      </w:r>
      <w:r>
        <w:rPr>
          <w:rFonts w:hint="eastAsia"/>
          <w:sz w:val="24"/>
        </w:rPr>
        <w:t>综合评估法</w:t>
      </w:r>
      <w:r>
        <w:rPr>
          <w:sz w:val="24"/>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w:t>
      </w:r>
      <w:r>
        <w:rPr>
          <w:rFonts w:hint="eastAsia"/>
          <w:sz w:val="24"/>
        </w:rPr>
        <w:t>评标委员会</w:t>
      </w:r>
      <w:r>
        <w:rPr>
          <w:sz w:val="24"/>
        </w:rPr>
        <w:t>应按照评标办法前附表</w:t>
      </w:r>
      <w:r>
        <w:rPr>
          <w:rFonts w:hint="eastAsia"/>
          <w:sz w:val="24"/>
        </w:rPr>
        <w:t>规定</w:t>
      </w:r>
      <w:r>
        <w:rPr>
          <w:sz w:val="24"/>
        </w:rPr>
        <w:t>的优先次序</w:t>
      </w:r>
      <w:r>
        <w:rPr>
          <w:rFonts w:hint="eastAsia"/>
          <w:sz w:val="24"/>
        </w:rPr>
        <w:t>推荐中标候选人或</w:t>
      </w:r>
      <w:r>
        <w:rPr>
          <w:sz w:val="24"/>
        </w:rPr>
        <w:t>确定中标人</w:t>
      </w:r>
      <w:r>
        <w:rPr>
          <w:rFonts w:hint="eastAsia"/>
          <w:sz w:val="24"/>
        </w:rPr>
        <w:t>。</w:t>
      </w:r>
    </w:p>
    <w:p>
      <w:pPr>
        <w:pStyle w:val="2"/>
        <w:spacing w:before="360" w:after="240" w:line="240" w:lineRule="atLeast"/>
        <w:rPr>
          <w:rFonts w:ascii="黑体" w:eastAsia="黑体"/>
          <w:b w:val="0"/>
          <w:sz w:val="28"/>
          <w:szCs w:val="28"/>
        </w:rPr>
      </w:pPr>
      <w:bookmarkStart w:id="10" w:name="_Toc509993884"/>
      <w:r>
        <w:rPr>
          <w:rFonts w:ascii="黑体" w:eastAsia="黑体"/>
          <w:b w:val="0"/>
          <w:sz w:val="28"/>
          <w:szCs w:val="28"/>
        </w:rPr>
        <w:t>2. 评审标准</w:t>
      </w:r>
      <w:bookmarkEnd w:id="10"/>
    </w:p>
    <w:p>
      <w:pPr>
        <w:pStyle w:val="2"/>
        <w:spacing w:before="240" w:after="240" w:line="240" w:lineRule="atLeast"/>
        <w:rPr>
          <w:rFonts w:ascii="黑体" w:eastAsia="黑体"/>
          <w:b w:val="0"/>
          <w:sz w:val="24"/>
          <w:szCs w:val="24"/>
        </w:rPr>
      </w:pPr>
      <w:bookmarkStart w:id="11" w:name="_Toc509993885"/>
      <w:r>
        <w:rPr>
          <w:rFonts w:ascii="黑体" w:eastAsia="黑体"/>
          <w:b w:val="0"/>
          <w:sz w:val="24"/>
          <w:szCs w:val="24"/>
        </w:rPr>
        <w:t>2.1 初步评审标准</w:t>
      </w:r>
      <w:bookmarkEnd w:id="11"/>
    </w:p>
    <w:p>
      <w:pPr>
        <w:spacing w:line="400" w:lineRule="atLeast"/>
        <w:ind w:firstLine="480" w:firstLineChars="200"/>
        <w:rPr>
          <w:sz w:val="24"/>
        </w:rPr>
      </w:pPr>
      <w:r>
        <w:rPr>
          <w:sz w:val="24"/>
        </w:rPr>
        <w:t>2.1.1 形式评审标准：见评标办法前附表。</w:t>
      </w:r>
    </w:p>
    <w:p>
      <w:pPr>
        <w:spacing w:line="400" w:lineRule="atLeast"/>
        <w:ind w:firstLine="480" w:firstLineChars="200"/>
        <w:rPr>
          <w:sz w:val="24"/>
        </w:rPr>
      </w:pPr>
      <w:r>
        <w:rPr>
          <w:sz w:val="24"/>
        </w:rPr>
        <w:t>2.1.2 资格评审标准：见评标办法前附表。</w:t>
      </w:r>
    </w:p>
    <w:p>
      <w:pPr>
        <w:spacing w:line="400" w:lineRule="atLeast"/>
        <w:ind w:firstLine="480" w:firstLineChars="200"/>
        <w:rPr>
          <w:sz w:val="24"/>
        </w:rPr>
      </w:pPr>
      <w:r>
        <w:rPr>
          <w:sz w:val="24"/>
        </w:rPr>
        <w:t>2.1.3 响应性评审标准：见评标办法前附表。</w:t>
      </w:r>
    </w:p>
    <w:p>
      <w:pPr>
        <w:pStyle w:val="2"/>
        <w:spacing w:before="240" w:after="240" w:line="240" w:lineRule="atLeast"/>
        <w:rPr>
          <w:rFonts w:ascii="黑体" w:eastAsia="黑体"/>
          <w:b w:val="0"/>
          <w:sz w:val="24"/>
          <w:szCs w:val="24"/>
        </w:rPr>
      </w:pPr>
      <w:bookmarkStart w:id="12" w:name="_Toc509993886"/>
      <w:r>
        <w:rPr>
          <w:rFonts w:ascii="黑体" w:eastAsia="黑体"/>
          <w:b w:val="0"/>
          <w:sz w:val="24"/>
          <w:szCs w:val="24"/>
        </w:rPr>
        <w:t>2.2 分值构成与评分标准</w:t>
      </w:r>
      <w:bookmarkEnd w:id="12"/>
    </w:p>
    <w:p>
      <w:pPr>
        <w:tabs>
          <w:tab w:val="left" w:pos="360"/>
        </w:tabs>
        <w:spacing w:line="400" w:lineRule="atLeast"/>
        <w:ind w:firstLine="480" w:firstLineChars="200"/>
        <w:rPr>
          <w:sz w:val="24"/>
        </w:rPr>
      </w:pPr>
      <w:r>
        <w:rPr>
          <w:sz w:val="24"/>
        </w:rPr>
        <w:t xml:space="preserve">2.2.1 </w:t>
      </w:r>
      <w:r>
        <w:rPr>
          <w:rFonts w:eastAsia="黑体"/>
          <w:sz w:val="24"/>
        </w:rPr>
        <w:t>分值构成</w:t>
      </w:r>
    </w:p>
    <w:p>
      <w:pPr>
        <w:spacing w:line="400" w:lineRule="atLeast"/>
        <w:ind w:firstLine="480" w:firstLineChars="200"/>
        <w:rPr>
          <w:sz w:val="24"/>
        </w:rPr>
      </w:pPr>
      <w:r>
        <w:rPr>
          <w:sz w:val="24"/>
        </w:rPr>
        <w:t>（1）技术建议书：见评标办法前附表；</w:t>
      </w:r>
    </w:p>
    <w:p>
      <w:pPr>
        <w:spacing w:line="400" w:lineRule="atLeast"/>
        <w:ind w:firstLine="480" w:firstLineChars="200"/>
        <w:rPr>
          <w:sz w:val="24"/>
        </w:rPr>
      </w:pPr>
      <w:r>
        <w:rPr>
          <w:sz w:val="24"/>
        </w:rPr>
        <w:t>（2）</w:t>
      </w:r>
      <w:r>
        <w:rPr>
          <w:rFonts w:hint="eastAsia"/>
          <w:sz w:val="24"/>
        </w:rPr>
        <w:t>主要人员</w:t>
      </w:r>
      <w:r>
        <w:rPr>
          <w:sz w:val="24"/>
        </w:rPr>
        <w:t>：见评标办法前附表；</w:t>
      </w:r>
    </w:p>
    <w:p>
      <w:pPr>
        <w:spacing w:line="400" w:lineRule="atLeast"/>
        <w:ind w:firstLine="480" w:firstLineChars="200"/>
        <w:rPr>
          <w:sz w:val="24"/>
        </w:rPr>
      </w:pPr>
      <w:r>
        <w:rPr>
          <w:sz w:val="24"/>
        </w:rPr>
        <w:t>（3）</w:t>
      </w:r>
      <w:r>
        <w:rPr>
          <w:rFonts w:hint="eastAsia"/>
          <w:sz w:val="24"/>
        </w:rPr>
        <w:t>评标价</w:t>
      </w:r>
      <w:r>
        <w:rPr>
          <w:sz w:val="24"/>
        </w:rPr>
        <w:t>：见评标办法前附表；</w:t>
      </w:r>
    </w:p>
    <w:p>
      <w:pPr>
        <w:spacing w:line="400" w:lineRule="atLeast"/>
        <w:ind w:firstLine="480" w:firstLineChars="200"/>
        <w:rPr>
          <w:sz w:val="24"/>
        </w:rPr>
      </w:pPr>
      <w:r>
        <w:rPr>
          <w:sz w:val="24"/>
        </w:rPr>
        <w:t>（4）其他评分因素：见评标办法前附表。</w:t>
      </w:r>
    </w:p>
    <w:p>
      <w:pPr>
        <w:spacing w:line="400" w:lineRule="atLeast"/>
        <w:ind w:firstLine="480" w:firstLineChars="200"/>
        <w:rPr>
          <w:sz w:val="24"/>
        </w:rPr>
      </w:pPr>
      <w:r>
        <w:rPr>
          <w:sz w:val="24"/>
        </w:rPr>
        <w:t xml:space="preserve">2.2.2 </w:t>
      </w:r>
      <w:r>
        <w:rPr>
          <w:rFonts w:eastAsia="黑体"/>
          <w:sz w:val="24"/>
        </w:rPr>
        <w:t>评标基准价计算</w:t>
      </w:r>
    </w:p>
    <w:p>
      <w:pPr>
        <w:spacing w:line="400" w:lineRule="atLeast"/>
        <w:ind w:firstLine="480" w:firstLineChars="200"/>
        <w:rPr>
          <w:sz w:val="24"/>
        </w:rPr>
      </w:pPr>
      <w:r>
        <w:rPr>
          <w:sz w:val="24"/>
        </w:rPr>
        <w:t>评标基准价计算方法：见评标办法前附表。</w:t>
      </w:r>
    </w:p>
    <w:p>
      <w:pPr>
        <w:spacing w:line="400" w:lineRule="atLeast"/>
        <w:ind w:firstLine="480" w:firstLineChars="200"/>
        <w:rPr>
          <w:sz w:val="24"/>
        </w:rPr>
      </w:pPr>
      <w:r>
        <w:rPr>
          <w:sz w:val="24"/>
        </w:rPr>
        <w:t xml:space="preserve">2.2.3 </w:t>
      </w:r>
      <w:r>
        <w:rPr>
          <w:rFonts w:hint="eastAsia" w:eastAsia="黑体"/>
          <w:sz w:val="24"/>
        </w:rPr>
        <w:t>评标价</w:t>
      </w:r>
      <w:r>
        <w:rPr>
          <w:rFonts w:eastAsia="黑体"/>
          <w:sz w:val="24"/>
        </w:rPr>
        <w:t>的偏差率计算</w:t>
      </w:r>
    </w:p>
    <w:p>
      <w:pPr>
        <w:spacing w:line="400" w:lineRule="atLeast"/>
        <w:ind w:firstLine="480" w:firstLineChars="200"/>
        <w:rPr>
          <w:sz w:val="24"/>
        </w:rPr>
      </w:pPr>
      <w:r>
        <w:rPr>
          <w:rFonts w:hint="eastAsia"/>
          <w:sz w:val="24"/>
        </w:rPr>
        <w:t>评标价</w:t>
      </w:r>
      <w:r>
        <w:rPr>
          <w:sz w:val="24"/>
        </w:rPr>
        <w:t>的偏差率计算公式：见评标办法前附表。</w:t>
      </w:r>
    </w:p>
    <w:p>
      <w:pPr>
        <w:spacing w:line="400" w:lineRule="atLeast"/>
        <w:ind w:firstLine="480" w:firstLineChars="200"/>
        <w:rPr>
          <w:sz w:val="24"/>
        </w:rPr>
      </w:pPr>
      <w:r>
        <w:rPr>
          <w:sz w:val="24"/>
        </w:rPr>
        <w:t xml:space="preserve">2.2.4 </w:t>
      </w:r>
      <w:r>
        <w:rPr>
          <w:rFonts w:eastAsia="黑体"/>
          <w:sz w:val="24"/>
        </w:rPr>
        <w:t>评分标准</w:t>
      </w:r>
    </w:p>
    <w:p>
      <w:pPr>
        <w:spacing w:line="400" w:lineRule="atLeast"/>
        <w:ind w:firstLine="480" w:firstLineChars="200"/>
        <w:rPr>
          <w:sz w:val="24"/>
        </w:rPr>
      </w:pPr>
      <w:r>
        <w:rPr>
          <w:sz w:val="24"/>
        </w:rPr>
        <w:t>（1）技术建议书评分标准：见评标办法前附表；</w:t>
      </w:r>
    </w:p>
    <w:p>
      <w:pPr>
        <w:spacing w:line="400" w:lineRule="atLeast"/>
        <w:ind w:firstLine="480" w:firstLineChars="200"/>
        <w:rPr>
          <w:sz w:val="24"/>
        </w:rPr>
      </w:pPr>
      <w:r>
        <w:rPr>
          <w:sz w:val="24"/>
        </w:rPr>
        <w:t>（2）</w:t>
      </w:r>
      <w:r>
        <w:rPr>
          <w:rFonts w:hint="eastAsia"/>
          <w:sz w:val="24"/>
        </w:rPr>
        <w:t>主要人员</w:t>
      </w:r>
      <w:r>
        <w:rPr>
          <w:sz w:val="24"/>
        </w:rPr>
        <w:t>评分标准：见评标办法前附表；</w:t>
      </w:r>
    </w:p>
    <w:p>
      <w:pPr>
        <w:spacing w:line="400" w:lineRule="atLeast"/>
        <w:ind w:firstLine="480" w:firstLineChars="200"/>
        <w:rPr>
          <w:sz w:val="24"/>
        </w:rPr>
      </w:pPr>
      <w:r>
        <w:rPr>
          <w:sz w:val="24"/>
        </w:rPr>
        <w:t>（3）</w:t>
      </w:r>
      <w:r>
        <w:rPr>
          <w:rFonts w:hint="eastAsia"/>
          <w:sz w:val="24"/>
        </w:rPr>
        <w:t>评标价</w:t>
      </w:r>
      <w:r>
        <w:rPr>
          <w:sz w:val="24"/>
        </w:rPr>
        <w:t>评分标准：见评标办法前附表；</w:t>
      </w:r>
    </w:p>
    <w:p>
      <w:pPr>
        <w:spacing w:line="400" w:lineRule="atLeast"/>
        <w:ind w:firstLine="480" w:firstLineChars="200"/>
        <w:rPr>
          <w:sz w:val="24"/>
        </w:rPr>
      </w:pPr>
      <w:r>
        <w:rPr>
          <w:sz w:val="24"/>
        </w:rPr>
        <w:t>（4）其他因素评分标准：见评标办法前附表。</w:t>
      </w:r>
    </w:p>
    <w:p>
      <w:pPr>
        <w:pStyle w:val="2"/>
        <w:spacing w:before="360" w:after="240" w:line="240" w:lineRule="atLeast"/>
        <w:rPr>
          <w:rFonts w:ascii="黑体" w:eastAsia="黑体"/>
          <w:b w:val="0"/>
          <w:sz w:val="28"/>
          <w:szCs w:val="28"/>
        </w:rPr>
      </w:pPr>
      <w:bookmarkStart w:id="13" w:name="_Toc509993887"/>
      <w:r>
        <w:rPr>
          <w:rFonts w:ascii="黑体" w:eastAsia="黑体"/>
          <w:b w:val="0"/>
          <w:sz w:val="28"/>
          <w:szCs w:val="28"/>
        </w:rPr>
        <w:t>3. 评标程序</w:t>
      </w:r>
      <w:bookmarkEnd w:id="13"/>
    </w:p>
    <w:p>
      <w:pPr>
        <w:pStyle w:val="2"/>
        <w:spacing w:before="240" w:after="240" w:line="240" w:lineRule="atLeast"/>
        <w:rPr>
          <w:rFonts w:ascii="黑体" w:eastAsia="黑体"/>
          <w:b w:val="0"/>
          <w:sz w:val="24"/>
          <w:szCs w:val="24"/>
        </w:rPr>
      </w:pPr>
      <w:bookmarkStart w:id="14" w:name="_Toc509993888"/>
      <w:r>
        <w:rPr>
          <w:rFonts w:ascii="黑体" w:eastAsia="黑体"/>
          <w:b w:val="0"/>
          <w:sz w:val="24"/>
          <w:szCs w:val="24"/>
        </w:rPr>
        <w:t>3.1初步评审</w:t>
      </w:r>
      <w:bookmarkEnd w:id="14"/>
    </w:p>
    <w:p>
      <w:pPr>
        <w:spacing w:line="400" w:lineRule="atLeast"/>
        <w:ind w:firstLine="480" w:firstLineChars="200"/>
        <w:rPr>
          <w:sz w:val="24"/>
        </w:rPr>
      </w:pPr>
      <w:r>
        <w:rPr>
          <w:sz w:val="24"/>
        </w:rPr>
        <w:t>3.1.1 评标委员会可以要求投标人提交第二章“投标人须知”第3.5.1项至第3.5.</w:t>
      </w:r>
      <w:r>
        <w:rPr>
          <w:rFonts w:hint="eastAsia"/>
          <w:sz w:val="24"/>
        </w:rPr>
        <w:t>5</w:t>
      </w:r>
      <w:r>
        <w:rPr>
          <w:sz w:val="24"/>
        </w:rPr>
        <w:t>项规定的有关证明和证件的原件，以便核验。评标委员会依据本章第2.1款规定的标准对投标文件进行初步评审。有一项不符合评审标准的，</w:t>
      </w:r>
      <w:r>
        <w:rPr>
          <w:rFonts w:hint="eastAsia"/>
          <w:sz w:val="24"/>
        </w:rPr>
        <w:t>评标委员会应否决其投标</w:t>
      </w:r>
      <w:r>
        <w:rPr>
          <w:sz w:val="24"/>
        </w:rPr>
        <w:t>。</w:t>
      </w:r>
    </w:p>
    <w:p>
      <w:pPr>
        <w:pStyle w:val="2"/>
        <w:spacing w:before="240" w:after="240" w:line="240" w:lineRule="atLeast"/>
        <w:rPr>
          <w:rFonts w:ascii="黑体" w:eastAsia="黑体"/>
          <w:b w:val="0"/>
          <w:sz w:val="24"/>
          <w:szCs w:val="24"/>
        </w:rPr>
      </w:pPr>
      <w:bookmarkStart w:id="15" w:name="_Toc509993889"/>
      <w:r>
        <w:rPr>
          <w:rFonts w:ascii="黑体" w:eastAsia="黑体"/>
          <w:b w:val="0"/>
          <w:sz w:val="24"/>
          <w:szCs w:val="24"/>
        </w:rPr>
        <w:t>3.</w:t>
      </w:r>
      <w:r>
        <w:rPr>
          <w:rFonts w:hint="eastAsia" w:ascii="黑体" w:eastAsia="黑体"/>
          <w:b w:val="0"/>
          <w:sz w:val="24"/>
          <w:szCs w:val="24"/>
        </w:rPr>
        <w:t>2</w:t>
      </w:r>
      <w:r>
        <w:rPr>
          <w:rFonts w:ascii="黑体" w:eastAsia="黑体"/>
          <w:b w:val="0"/>
          <w:sz w:val="24"/>
          <w:szCs w:val="24"/>
        </w:rPr>
        <w:t>详细评审</w:t>
      </w:r>
      <w:bookmarkEnd w:id="15"/>
    </w:p>
    <w:p>
      <w:pPr>
        <w:spacing w:line="400" w:lineRule="atLeast"/>
        <w:ind w:firstLine="480" w:firstLineChars="200"/>
        <w:rPr>
          <w:color w:val="000000"/>
          <w:sz w:val="24"/>
        </w:rPr>
      </w:pPr>
      <w:r>
        <w:rPr>
          <w:color w:val="000000"/>
          <w:sz w:val="24"/>
        </w:rPr>
        <w:t>3.2.1 评标委员会按本章第2.2款规定的量化因素和分值进行打分，并计算出综合评估得分。</w:t>
      </w:r>
    </w:p>
    <w:p>
      <w:pPr>
        <w:spacing w:line="400" w:lineRule="atLeast"/>
        <w:ind w:firstLine="480" w:firstLineChars="200"/>
        <w:rPr>
          <w:color w:val="000000"/>
          <w:sz w:val="24"/>
        </w:rPr>
      </w:pPr>
      <w:r>
        <w:rPr>
          <w:color w:val="000000"/>
          <w:sz w:val="24"/>
        </w:rPr>
        <w:t>（1）按本章第2.2.4（1）目规定的评审因素和分值对</w:t>
      </w:r>
      <w:r>
        <w:rPr>
          <w:rFonts w:hint="eastAsia"/>
          <w:color w:val="000000"/>
          <w:sz w:val="24"/>
        </w:rPr>
        <w:t>技术建议书</w:t>
      </w:r>
      <w:r>
        <w:rPr>
          <w:color w:val="000000"/>
          <w:sz w:val="24"/>
        </w:rPr>
        <w:t>部分计算出得分A；</w:t>
      </w:r>
    </w:p>
    <w:p>
      <w:pPr>
        <w:spacing w:line="400" w:lineRule="atLeast"/>
        <w:ind w:firstLine="480" w:firstLineChars="200"/>
        <w:rPr>
          <w:color w:val="000000"/>
          <w:sz w:val="24"/>
        </w:rPr>
      </w:pPr>
      <w:r>
        <w:rPr>
          <w:color w:val="000000"/>
          <w:sz w:val="24"/>
        </w:rPr>
        <w:t>（2）按本章第2.2.4（2）目规定的评审因素和分值对</w:t>
      </w:r>
      <w:r>
        <w:rPr>
          <w:rFonts w:hint="eastAsia"/>
          <w:color w:val="000000"/>
          <w:sz w:val="24"/>
        </w:rPr>
        <w:t>主要人员</w:t>
      </w:r>
      <w:r>
        <w:rPr>
          <w:color w:val="000000"/>
          <w:sz w:val="24"/>
        </w:rPr>
        <w:t>部分计算出得分B；</w:t>
      </w:r>
    </w:p>
    <w:p>
      <w:pPr>
        <w:spacing w:line="400" w:lineRule="atLeast"/>
        <w:ind w:firstLine="480" w:firstLineChars="200"/>
        <w:rPr>
          <w:color w:val="000000"/>
          <w:sz w:val="24"/>
        </w:rPr>
      </w:pPr>
      <w:r>
        <w:rPr>
          <w:color w:val="000000"/>
          <w:sz w:val="24"/>
        </w:rPr>
        <w:t>（3）按本章第2.2.4（3）目规定的评审因素和</w:t>
      </w:r>
      <w:bookmarkStart w:id="16" w:name="_Toc369531583"/>
      <w:bookmarkStart w:id="17" w:name="_Toc352691539"/>
      <w:bookmarkStart w:id="18" w:name="_Toc300835014"/>
      <w:bookmarkStart w:id="19" w:name="_Toc361508652"/>
      <w:bookmarkStart w:id="20" w:name="_Toc384308278"/>
      <w:bookmarkStart w:id="21" w:name="_Toc247514028"/>
      <w:bookmarkStart w:id="22" w:name="_Toc144974571"/>
      <w:bookmarkStart w:id="23" w:name="_Toc247527629"/>
      <w:bookmarkStart w:id="24" w:name="_Toc24330"/>
      <w:bookmarkStart w:id="25" w:name="_Toc152042381"/>
      <w:bookmarkStart w:id="26" w:name="_Toc152045604"/>
      <w:r>
        <w:rPr>
          <w:color w:val="000000"/>
          <w:sz w:val="24"/>
        </w:rPr>
        <w:t>分值对</w:t>
      </w:r>
      <w:r>
        <w:rPr>
          <w:sz w:val="24"/>
        </w:rPr>
        <w:t>投标报价</w:t>
      </w:r>
      <w:bookmarkEnd w:id="16"/>
      <w:bookmarkEnd w:id="17"/>
      <w:bookmarkEnd w:id="18"/>
      <w:bookmarkEnd w:id="19"/>
      <w:bookmarkEnd w:id="20"/>
      <w:bookmarkEnd w:id="21"/>
      <w:bookmarkEnd w:id="22"/>
      <w:bookmarkEnd w:id="23"/>
      <w:bookmarkEnd w:id="24"/>
      <w:bookmarkEnd w:id="25"/>
      <w:bookmarkEnd w:id="26"/>
      <w:r>
        <w:rPr>
          <w:color w:val="000000"/>
          <w:sz w:val="24"/>
        </w:rPr>
        <w:t>计</w:t>
      </w:r>
      <w:bookmarkStart w:id="27" w:name="_Toc247514029"/>
      <w:bookmarkStart w:id="28" w:name="_Toc18141"/>
      <w:bookmarkStart w:id="29" w:name="_Toc152042382"/>
      <w:bookmarkStart w:id="30" w:name="_Toc384308279"/>
      <w:bookmarkStart w:id="31" w:name="_Toc144974572"/>
      <w:bookmarkStart w:id="32" w:name="_Toc152045605"/>
      <w:bookmarkStart w:id="33" w:name="_Toc247527630"/>
      <w:bookmarkStart w:id="34" w:name="_Toc300835015"/>
      <w:bookmarkStart w:id="35" w:name="_Toc361508653"/>
      <w:bookmarkStart w:id="36" w:name="_Toc369531584"/>
      <w:bookmarkStart w:id="37" w:name="_Toc352691540"/>
      <w:r>
        <w:rPr>
          <w:color w:val="000000"/>
          <w:sz w:val="24"/>
        </w:rPr>
        <w:t>算出得分C；</w:t>
      </w:r>
    </w:p>
    <w:p>
      <w:pPr>
        <w:spacing w:line="400" w:lineRule="atLeast"/>
        <w:ind w:firstLine="480" w:firstLineChars="200"/>
        <w:rPr>
          <w:color w:val="000000"/>
          <w:sz w:val="24"/>
        </w:rPr>
      </w:pPr>
      <w:r>
        <w:rPr>
          <w:color w:val="000000"/>
          <w:sz w:val="24"/>
        </w:rPr>
        <w:t>（</w:t>
      </w:r>
      <w:bookmarkEnd w:id="27"/>
      <w:bookmarkEnd w:id="28"/>
      <w:bookmarkEnd w:id="29"/>
      <w:bookmarkEnd w:id="30"/>
      <w:bookmarkEnd w:id="31"/>
      <w:bookmarkEnd w:id="32"/>
      <w:bookmarkEnd w:id="33"/>
      <w:bookmarkEnd w:id="34"/>
      <w:bookmarkEnd w:id="35"/>
      <w:bookmarkEnd w:id="36"/>
      <w:bookmarkEnd w:id="37"/>
      <w:r>
        <w:rPr>
          <w:color w:val="000000"/>
          <w:sz w:val="24"/>
        </w:rPr>
        <w:t>4）按本章第2.2.4（4）目规定的评审因素和分值对其他部分计算出得分D。</w:t>
      </w:r>
    </w:p>
    <w:p>
      <w:pPr>
        <w:spacing w:line="400" w:lineRule="atLeast"/>
        <w:ind w:firstLine="480" w:firstLineChars="200"/>
        <w:rPr>
          <w:color w:val="000000"/>
          <w:sz w:val="24"/>
        </w:rPr>
      </w:pPr>
      <w:r>
        <w:rPr>
          <w:color w:val="000000"/>
          <w:sz w:val="24"/>
        </w:rPr>
        <w:t>3.2.2 评分分值计算</w:t>
      </w:r>
      <w:r>
        <w:rPr>
          <w:rFonts w:hint="eastAsia"/>
          <w:color w:val="000000"/>
          <w:sz w:val="24"/>
        </w:rPr>
        <w:t>取平均值后</w:t>
      </w:r>
      <w:r>
        <w:rPr>
          <w:color w:val="000000"/>
          <w:sz w:val="24"/>
        </w:rPr>
        <w:t>保留小数点后两位，小数点后第三位“四舍五入”。</w:t>
      </w:r>
    </w:p>
    <w:p>
      <w:pPr>
        <w:spacing w:line="400" w:lineRule="atLeast"/>
        <w:ind w:firstLine="480" w:firstLineChars="200"/>
        <w:rPr>
          <w:color w:val="000000"/>
          <w:sz w:val="24"/>
        </w:rPr>
      </w:pPr>
      <w:r>
        <w:rPr>
          <w:color w:val="000000"/>
          <w:sz w:val="24"/>
        </w:rPr>
        <w:t>3.2.3 投标人得分=A+B+C+D。</w:t>
      </w:r>
    </w:p>
    <w:p>
      <w:pPr>
        <w:spacing w:line="400" w:lineRule="atLeast"/>
        <w:ind w:firstLine="480" w:firstLineChars="200"/>
        <w:rPr>
          <w:sz w:val="24"/>
        </w:rPr>
      </w:pPr>
      <w:r>
        <w:rPr>
          <w:color w:val="000000"/>
          <w:sz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atLeast"/>
        <w:ind w:firstLine="480" w:firstLineChars="200"/>
        <w:rPr>
          <w:sz w:val="24"/>
        </w:rPr>
      </w:pPr>
      <w:r>
        <w:rPr>
          <w:rFonts w:hint="eastAsia" w:ascii="黑体" w:eastAsia="黑体"/>
          <w:sz w:val="24"/>
        </w:rPr>
        <w:t>3.2.5</w:t>
      </w:r>
      <w:r>
        <w:rPr>
          <w:sz w:val="24"/>
        </w:rPr>
        <w:t xml:space="preserve"> 投标报价有算术错误的，评标委员会按以下原则对投标报价进行修正，修正的价格经投标人书面确认后具有约束力。投标人不接受修正价格的，</w:t>
      </w:r>
      <w:r>
        <w:rPr>
          <w:rFonts w:hint="eastAsia"/>
          <w:sz w:val="24"/>
        </w:rPr>
        <w:t>评标委员会应否决其投标。</w:t>
      </w:r>
    </w:p>
    <w:p>
      <w:pPr>
        <w:spacing w:line="400" w:lineRule="atLeast"/>
        <w:ind w:firstLine="480" w:firstLineChars="200"/>
        <w:rPr>
          <w:sz w:val="24"/>
        </w:rPr>
      </w:pPr>
      <w:r>
        <w:rPr>
          <w:sz w:val="24"/>
        </w:rPr>
        <w:t>（1）投标文件中的大写金额与小写金额不一致的，以大写金额为准</w:t>
      </w:r>
      <w:r>
        <w:rPr>
          <w:rFonts w:hint="eastAsia"/>
          <w:sz w:val="24"/>
        </w:rPr>
        <w:t>。</w:t>
      </w:r>
    </w:p>
    <w:p>
      <w:pPr>
        <w:spacing w:line="400" w:lineRule="atLeast"/>
        <w:ind w:firstLine="480" w:firstLineChars="200"/>
        <w:rPr>
          <w:sz w:val="24"/>
        </w:rPr>
      </w:pPr>
      <w:r>
        <w:rPr>
          <w:rFonts w:hint="eastAsia"/>
          <w:sz w:val="24"/>
        </w:rPr>
        <w:t>3.2.6 修正后的最终投标报价若超过最高投标限价（如有），评标委员会应否决其投标。</w:t>
      </w:r>
    </w:p>
    <w:p>
      <w:pPr>
        <w:spacing w:line="400" w:lineRule="atLeast"/>
        <w:ind w:firstLine="480" w:firstLineChars="200"/>
        <w:rPr>
          <w:sz w:val="24"/>
        </w:rPr>
      </w:pPr>
      <w:r>
        <w:rPr>
          <w:rFonts w:hint="eastAsia"/>
          <w:sz w:val="24"/>
        </w:rPr>
        <w:t>3.2.7 修正后的最终投标报价仅作为签订合同的一个依据，不因此进行评标基准价的修改。</w:t>
      </w:r>
    </w:p>
    <w:p>
      <w:pPr>
        <w:pStyle w:val="2"/>
        <w:spacing w:before="240" w:after="240" w:line="240" w:lineRule="atLeast"/>
        <w:ind w:firstLine="137"/>
        <w:rPr>
          <w:rFonts w:ascii="黑体" w:eastAsia="黑体"/>
          <w:b w:val="0"/>
          <w:sz w:val="24"/>
          <w:szCs w:val="24"/>
        </w:rPr>
      </w:pPr>
      <w:bookmarkStart w:id="38" w:name="_Toc492300830"/>
      <w:bookmarkStart w:id="39" w:name="_Toc509993892"/>
      <w:r>
        <w:rPr>
          <w:rFonts w:ascii="黑体" w:eastAsia="黑体"/>
          <w:b w:val="0"/>
          <w:sz w:val="24"/>
          <w:szCs w:val="24"/>
        </w:rPr>
        <w:t>3.3 投标文件的澄清</w:t>
      </w:r>
      <w:bookmarkEnd w:id="38"/>
    </w:p>
    <w:p>
      <w:pPr>
        <w:spacing w:line="400" w:lineRule="atLeast"/>
        <w:ind w:firstLine="480" w:firstLineChars="200"/>
        <w:rPr>
          <w:color w:val="000000"/>
          <w:sz w:val="24"/>
        </w:rPr>
      </w:pPr>
      <w:r>
        <w:rPr>
          <w:rFonts w:hint="eastAsia"/>
          <w:color w:val="000000"/>
          <w:sz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atLeast"/>
        <w:ind w:firstLine="480" w:firstLineChars="200"/>
        <w:rPr>
          <w:color w:val="000000"/>
          <w:sz w:val="24"/>
        </w:rPr>
      </w:pPr>
      <w:r>
        <w:rPr>
          <w:rFonts w:hint="eastAsia"/>
          <w:color w:val="000000"/>
          <w:sz w:val="24"/>
        </w:rPr>
        <w:t>3.3.2 澄清、说明或补正不得超出投标文件的范围且不得改变投标文件的实质性内容，并构成投标文件的组成部分。</w:t>
      </w:r>
    </w:p>
    <w:p>
      <w:pPr>
        <w:spacing w:line="400" w:lineRule="atLeast"/>
        <w:ind w:firstLine="480" w:firstLineChars="200"/>
        <w:rPr>
          <w:rFonts w:ascii="Times New Roman" w:hAnsi="Times New Roman"/>
          <w:color w:val="000000"/>
        </w:rPr>
      </w:pPr>
      <w:r>
        <w:rPr>
          <w:rFonts w:hint="eastAsia"/>
          <w:color w:val="000000"/>
          <w:sz w:val="24"/>
        </w:rPr>
        <w:t>3.3.3 评标委员会对投标人提交的澄清、说明或补正有疑问的，可以要求投标人进一步澄清、说明或补正，直至满足评标委员会的要求。</w:t>
      </w:r>
    </w:p>
    <w:p>
      <w:pPr>
        <w:pStyle w:val="2"/>
        <w:spacing w:before="240" w:after="240" w:line="240" w:lineRule="atLeast"/>
        <w:ind w:firstLine="137"/>
        <w:rPr>
          <w:rFonts w:ascii="黑体" w:eastAsia="黑体"/>
          <w:b w:val="0"/>
          <w:sz w:val="24"/>
          <w:szCs w:val="24"/>
        </w:rPr>
      </w:pPr>
      <w:bookmarkStart w:id="40" w:name="_Toc492300831"/>
      <w:r>
        <w:rPr>
          <w:rFonts w:ascii="黑体" w:eastAsia="黑体"/>
          <w:b w:val="0"/>
          <w:sz w:val="24"/>
          <w:szCs w:val="24"/>
        </w:rPr>
        <w:t>3.4 评标结果</w:t>
      </w:r>
      <w:bookmarkEnd w:id="40"/>
    </w:p>
    <w:p>
      <w:pPr>
        <w:spacing w:line="400" w:lineRule="atLeast"/>
        <w:ind w:firstLine="480" w:firstLineChars="200"/>
        <w:rPr>
          <w:color w:val="000000"/>
          <w:sz w:val="24"/>
        </w:rPr>
      </w:pPr>
      <w:r>
        <w:rPr>
          <w:rFonts w:hint="eastAsia"/>
          <w:color w:val="000000"/>
          <w:sz w:val="24"/>
        </w:rPr>
        <w:t>3.4.1 除第二章“投标人须知”前附表授权直接确定中标人外，评标委员会按照得分由高到低的顺序推荐中标候选人，并标明排序。</w:t>
      </w:r>
    </w:p>
    <w:p>
      <w:pPr>
        <w:spacing w:line="400" w:lineRule="atLeast"/>
        <w:ind w:firstLine="480" w:firstLineChars="200"/>
        <w:rPr>
          <w:rFonts w:hint="eastAsia"/>
          <w:sz w:val="24"/>
        </w:rPr>
      </w:pPr>
      <w:r>
        <w:rPr>
          <w:rFonts w:hint="eastAsia"/>
          <w:color w:val="000000"/>
          <w:sz w:val="24"/>
        </w:rPr>
        <w:t>3.4.2 评标委员会完成评标后，应当向招标人提交书面评标报告和中标候选人名单。</w:t>
      </w:r>
      <w:bookmarkEnd w:id="9"/>
      <w:bookmarkEnd w:id="39"/>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18</w:t>
    </w:r>
    <w:r>
      <w:rPr>
        <w:lang w:val="zh-CN"/>
      </w:rPr>
      <w:fldChar w:fldCharType="end"/>
    </w:r>
  </w:p>
  <w:p>
    <w:pPr>
      <w:pStyle w:val="4"/>
      <w:spacing w:line="240" w:lineRule="exact"/>
      <w:ind w:right="360" w:firstLine="360"/>
      <w:jc w:val="center"/>
      <w:rPr>
        <w:rFonts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20</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E4480"/>
    <w:rsid w:val="2D86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rPr>
      <w:rFonts w:ascii="宋体"/>
      <w:sz w:val="24"/>
      <w:szCs w:val="20"/>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2020-04-15T06:43:00Z</dcterms:created>
  <dc:creator>xiaolong</dc:creator>
  <cp:lastModifiedBy>Smile.</cp:lastModifiedBy>
  <dcterms:modified xsi:type="dcterms:W3CDTF">2020-04-15T07:58:55Z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