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cs="Arial"/>
          <w:color w:val="auto"/>
          <w:sz w:val="21"/>
          <w:szCs w:val="24"/>
          <w:lang w:val="en-US" w:eastAsia="zh-CN"/>
        </w:rPr>
      </w:pPr>
      <w:bookmarkStart w:id="7" w:name="_GoBack"/>
      <w:bookmarkEnd w:id="7"/>
    </w:p>
    <w:p>
      <w:pPr>
        <w:spacing w:before="100" w:beforeAutospacing="1" w:after="100" w:afterAutospacing="1" w:line="360" w:lineRule="auto"/>
        <w:jc w:val="center"/>
        <w:outlineLvl w:val="1"/>
        <w:rPr>
          <w:rFonts w:ascii="宋体" w:hAnsi="宋体" w:cs="Arial"/>
          <w:b/>
          <w:color w:val="auto"/>
          <w:sz w:val="18"/>
          <w:szCs w:val="18"/>
        </w:rPr>
      </w:pPr>
      <w:r>
        <w:rPr>
          <w:rFonts w:hint="eastAsia" w:ascii="宋体" w:hAnsi="宋体" w:cs="Arial"/>
          <w:b/>
          <w:color w:val="auto"/>
          <w:sz w:val="30"/>
          <w:szCs w:val="30"/>
        </w:rPr>
        <w:t>附录</w:t>
      </w:r>
      <w:r>
        <w:rPr>
          <w:rFonts w:ascii="宋体" w:hAnsi="宋体" w:cs="Arial"/>
          <w:b/>
          <w:color w:val="auto"/>
          <w:sz w:val="30"/>
          <w:szCs w:val="30"/>
        </w:rPr>
        <w:t xml:space="preserve">1 </w:t>
      </w:r>
      <w:r>
        <w:rPr>
          <w:rFonts w:hint="eastAsia" w:ascii="宋体" w:hAnsi="宋体" w:cs="Arial"/>
          <w:b/>
          <w:color w:val="auto"/>
          <w:sz w:val="30"/>
          <w:szCs w:val="30"/>
        </w:rPr>
        <w:t>资格审查条件（资质最低要求）</w:t>
      </w:r>
    </w:p>
    <w:tbl>
      <w:tblPr>
        <w:tblStyle w:val="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tblHeader/>
        </w:trPr>
        <w:tc>
          <w:tcPr>
            <w:tcW w:w="9288" w:type="dxa"/>
            <w:vAlign w:val="center"/>
          </w:tcPr>
          <w:p>
            <w:pPr>
              <w:autoSpaceDE w:val="0"/>
              <w:autoSpaceDN w:val="0"/>
              <w:adjustRightInd w:val="0"/>
              <w:spacing w:line="300" w:lineRule="auto"/>
              <w:jc w:val="center"/>
              <w:textAlignment w:val="baseline"/>
              <w:rPr>
                <w:rFonts w:ascii="宋体"/>
                <w:color w:val="auto"/>
                <w:kern w:val="0"/>
                <w:sz w:val="28"/>
                <w:szCs w:val="28"/>
              </w:rPr>
            </w:pPr>
            <w:r>
              <w:rPr>
                <w:rFonts w:hint="eastAsia" w:ascii="宋体" w:hAnsi="宋体"/>
                <w:color w:val="auto"/>
                <w:kern w:val="0"/>
                <w:sz w:val="28"/>
                <w:szCs w:val="28"/>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trPr>
        <w:tc>
          <w:tcPr>
            <w:tcW w:w="9288" w:type="dxa"/>
            <w:vAlign w:val="center"/>
          </w:tcPr>
          <w:p>
            <w:pPr>
              <w:autoSpaceDE w:val="0"/>
              <w:autoSpaceDN w:val="0"/>
              <w:adjustRightInd w:val="0"/>
              <w:spacing w:line="300" w:lineRule="auto"/>
              <w:ind w:firstLine="482" w:firstLineChars="200"/>
              <w:jc w:val="center"/>
              <w:textAlignment w:val="baseline"/>
              <w:rPr>
                <w:rFonts w:ascii="宋体" w:hAnsi="宋体"/>
                <w:color w:val="auto"/>
                <w:kern w:val="0"/>
                <w:sz w:val="24"/>
              </w:rPr>
            </w:pPr>
            <w:r>
              <w:rPr>
                <w:rFonts w:hint="eastAsia" w:ascii="宋体" w:hAnsi="宋体"/>
                <w:b/>
                <w:color w:val="auto"/>
                <w:sz w:val="24"/>
                <w:szCs w:val="28"/>
              </w:rPr>
              <w:t>环保工程专业承包一级资质</w:t>
            </w:r>
          </w:p>
        </w:tc>
      </w:tr>
    </w:tbl>
    <w:p>
      <w:pPr>
        <w:spacing w:before="100" w:beforeAutospacing="1" w:after="100" w:afterAutospacing="1" w:line="360" w:lineRule="auto"/>
        <w:jc w:val="left"/>
        <w:outlineLvl w:val="1"/>
        <w:rPr>
          <w:rFonts w:ascii="宋体" w:hAnsi="宋体"/>
          <w:b/>
          <w:color w:val="auto"/>
          <w:sz w:val="30"/>
          <w:szCs w:val="30"/>
          <w:highlight w:val="none"/>
        </w:rPr>
      </w:pPr>
      <w:bookmarkStart w:id="0" w:name="_Toc236538952"/>
      <w:bookmarkStart w:id="1" w:name="_Toc330366399"/>
      <w:bookmarkStart w:id="2" w:name="_Toc442431577"/>
      <w:bookmarkStart w:id="3" w:name="_Toc492903356"/>
      <w:bookmarkStart w:id="4" w:name="_Toc329932161"/>
      <w:r>
        <w:rPr>
          <w:rFonts w:hint="eastAsia" w:asciiTheme="minorEastAsia" w:hAnsiTheme="minorEastAsia" w:eastAsiaTheme="minorEastAsia" w:cstheme="minorEastAsia"/>
          <w:b/>
          <w:bCs/>
          <w:color w:val="auto"/>
          <w:kern w:val="44"/>
          <w:szCs w:val="21"/>
          <w:highlight w:val="none"/>
        </w:rPr>
        <w:t>注：</w:t>
      </w:r>
      <w:r>
        <w:rPr>
          <w:rFonts w:hint="eastAsia" w:asciiTheme="minorEastAsia" w:hAnsiTheme="minorEastAsia" w:eastAsiaTheme="minorEastAsia" w:cstheme="minorEastAsia"/>
          <w:color w:val="auto"/>
          <w:szCs w:val="21"/>
          <w:highlight w:val="none"/>
        </w:rPr>
        <w:t>根据《住房和城乡建设部建筑市场监管司关于建设工程企业资质有效期延期的通知》（建司局函市〔2020〕38号）文件规定，投标人建筑企业资质证书有效期于2020年3月1日至6月30日期满的，统一延期至2020年7月31日。</w:t>
      </w:r>
    </w:p>
    <w:p>
      <w:pPr>
        <w:spacing w:before="100" w:beforeAutospacing="1" w:after="100" w:afterAutospacing="1" w:line="360" w:lineRule="auto"/>
        <w:jc w:val="center"/>
        <w:outlineLvl w:val="1"/>
        <w:rPr>
          <w:rFonts w:ascii="宋体" w:hAnsi="宋体"/>
          <w:b/>
          <w:color w:val="auto"/>
          <w:sz w:val="30"/>
          <w:szCs w:val="30"/>
        </w:rPr>
      </w:pPr>
      <w:r>
        <w:rPr>
          <w:rFonts w:hint="eastAsia" w:ascii="宋体" w:hAnsi="宋体"/>
          <w:b/>
          <w:color w:val="auto"/>
          <w:sz w:val="30"/>
          <w:szCs w:val="30"/>
        </w:rPr>
        <w:t>附录</w:t>
      </w:r>
      <w:r>
        <w:rPr>
          <w:rFonts w:ascii="宋体" w:hAnsi="宋体"/>
          <w:b/>
          <w:color w:val="auto"/>
          <w:sz w:val="30"/>
          <w:szCs w:val="30"/>
        </w:rPr>
        <w:t xml:space="preserve">2 </w:t>
      </w:r>
      <w:r>
        <w:rPr>
          <w:rFonts w:hint="eastAsia" w:ascii="宋体" w:hAnsi="宋体"/>
          <w:b/>
          <w:color w:val="auto"/>
          <w:sz w:val="30"/>
          <w:szCs w:val="30"/>
        </w:rPr>
        <w:t>资格审查条件（财务最低要求）</w:t>
      </w:r>
    </w:p>
    <w:tbl>
      <w:tblPr>
        <w:tblStyle w:val="7"/>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163" w:type="dxa"/>
            <w:vAlign w:val="center"/>
          </w:tcPr>
          <w:p>
            <w:pPr>
              <w:spacing w:beforeLines="50" w:line="360" w:lineRule="auto"/>
              <w:jc w:val="center"/>
              <w:rPr>
                <w:rFonts w:ascii="宋体" w:hAnsi="宋体" w:cs="Arial"/>
                <w:color w:val="auto"/>
                <w:szCs w:val="21"/>
              </w:rPr>
            </w:pPr>
            <w:r>
              <w:rPr>
                <w:rFonts w:hint="eastAsia" w:ascii="宋体" w:hAnsi="宋体"/>
                <w:color w:val="auto"/>
                <w:kern w:val="0"/>
                <w:sz w:val="28"/>
                <w:szCs w:val="28"/>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9163" w:type="dxa"/>
            <w:vAlign w:val="center"/>
          </w:tcPr>
          <w:p>
            <w:pPr>
              <w:spacing w:line="360" w:lineRule="auto"/>
              <w:ind w:firstLine="241" w:firstLineChars="100"/>
              <w:jc w:val="center"/>
              <w:rPr>
                <w:rFonts w:hint="eastAsia" w:ascii="宋体" w:hAnsi="宋体" w:eastAsia="宋体" w:cs="Arial"/>
                <w:color w:val="auto"/>
                <w:szCs w:val="21"/>
                <w:lang w:eastAsia="zh-CN"/>
              </w:rPr>
            </w:pPr>
            <w:r>
              <w:rPr>
                <w:rFonts w:hint="eastAsia" w:ascii="宋体" w:hAnsi="宋体"/>
                <w:b/>
                <w:color w:val="auto"/>
                <w:sz w:val="24"/>
                <w:szCs w:val="28"/>
              </w:rPr>
              <w:t>2017年度及2018年度流动比率大于1</w:t>
            </w:r>
          </w:p>
        </w:tc>
      </w:tr>
    </w:tbl>
    <w:p>
      <w:pPr>
        <w:jc w:val="center"/>
        <w:rPr>
          <w:rFonts w:ascii="宋体" w:hAnsi="宋体"/>
          <w:b/>
          <w:color w:val="auto"/>
          <w:sz w:val="30"/>
          <w:szCs w:val="30"/>
        </w:rPr>
      </w:pPr>
    </w:p>
    <w:p>
      <w:pPr>
        <w:jc w:val="center"/>
        <w:rPr>
          <w:rFonts w:ascii="宋体" w:hAnsi="宋体"/>
          <w:b/>
          <w:color w:val="auto"/>
          <w:sz w:val="30"/>
          <w:szCs w:val="30"/>
        </w:rPr>
      </w:pPr>
    </w:p>
    <w:p>
      <w:pPr>
        <w:jc w:val="center"/>
        <w:rPr>
          <w:rFonts w:ascii="宋体" w:hAnsi="宋体"/>
          <w:b/>
          <w:color w:val="auto"/>
          <w:sz w:val="30"/>
          <w:szCs w:val="30"/>
        </w:rPr>
      </w:pPr>
      <w:r>
        <w:rPr>
          <w:rFonts w:hint="eastAsia" w:ascii="宋体" w:hAnsi="宋体"/>
          <w:b/>
          <w:color w:val="auto"/>
          <w:sz w:val="30"/>
          <w:szCs w:val="30"/>
        </w:rPr>
        <w:t>附录</w:t>
      </w:r>
      <w:r>
        <w:rPr>
          <w:rFonts w:ascii="宋体" w:hAnsi="宋体"/>
          <w:b/>
          <w:color w:val="auto"/>
          <w:sz w:val="30"/>
          <w:szCs w:val="30"/>
        </w:rPr>
        <w:t xml:space="preserve">3  </w:t>
      </w:r>
      <w:r>
        <w:rPr>
          <w:rFonts w:hint="eastAsia" w:ascii="宋体" w:hAnsi="宋体"/>
          <w:b/>
          <w:color w:val="auto"/>
          <w:sz w:val="30"/>
          <w:szCs w:val="30"/>
        </w:rPr>
        <w:t>资格审查条件（业绩最低要求）</w:t>
      </w:r>
    </w:p>
    <w:p>
      <w:pPr>
        <w:jc w:val="center"/>
        <w:rPr>
          <w:rFonts w:ascii="宋体" w:hAnsi="宋体"/>
          <w:b/>
          <w:bCs/>
          <w:color w:val="auto"/>
          <w:kern w:val="0"/>
          <w:sz w:val="24"/>
          <w:vertAlign w:val="superscript"/>
        </w:rPr>
      </w:pPr>
    </w:p>
    <w:tbl>
      <w:tblPr>
        <w:tblStyle w:val="7"/>
        <w:tblW w:w="866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661" w:type="dxa"/>
            <w:tcBorders>
              <w:top w:val="single" w:color="auto" w:sz="12" w:space="0"/>
            </w:tcBorders>
            <w:vAlign w:val="center"/>
          </w:tcPr>
          <w:p>
            <w:pPr>
              <w:spacing w:line="480" w:lineRule="auto"/>
              <w:jc w:val="center"/>
              <w:textAlignment w:val="baseline"/>
              <w:rPr>
                <w:rFonts w:ascii="宋体" w:hAnsi="宋体"/>
                <w:color w:val="auto"/>
                <w:sz w:val="24"/>
              </w:rPr>
            </w:pPr>
            <w:r>
              <w:rPr>
                <w:rFonts w:hint="eastAsia" w:ascii="宋体" w:hAnsi="宋体"/>
                <w:color w:val="auto"/>
                <w:kern w:val="0"/>
                <w:sz w:val="28"/>
                <w:szCs w:val="28"/>
              </w:rPr>
              <w:t>业绩要求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8661" w:type="dxa"/>
            <w:tcBorders>
              <w:bottom w:val="single" w:color="auto" w:sz="12" w:space="0"/>
            </w:tcBorders>
            <w:vAlign w:val="center"/>
          </w:tcPr>
          <w:p>
            <w:pPr>
              <w:spacing w:line="320" w:lineRule="exact"/>
              <w:ind w:firstLine="482" w:firstLineChars="200"/>
              <w:jc w:val="center"/>
              <w:rPr>
                <w:rFonts w:ascii="宋体" w:hAnsi="宋体"/>
                <w:b/>
                <w:color w:val="auto"/>
                <w:sz w:val="28"/>
                <w:szCs w:val="28"/>
              </w:rPr>
            </w:pPr>
            <w:r>
              <w:rPr>
                <w:rFonts w:hint="eastAsia" w:ascii="宋体" w:hAnsi="宋体"/>
                <w:b/>
                <w:color w:val="auto"/>
                <w:sz w:val="24"/>
                <w:szCs w:val="28"/>
              </w:rPr>
              <w:t>无业绩最低要求</w:t>
            </w:r>
          </w:p>
        </w:tc>
      </w:tr>
    </w:tbl>
    <w:p>
      <w:pPr>
        <w:spacing w:before="100" w:beforeAutospacing="1" w:after="100" w:afterAutospacing="1" w:line="360" w:lineRule="auto"/>
        <w:jc w:val="center"/>
        <w:outlineLvl w:val="1"/>
        <w:rPr>
          <w:rFonts w:ascii="宋体" w:hAnsi="宋体" w:cs="Arial"/>
          <w:color w:val="auto"/>
          <w:sz w:val="30"/>
          <w:szCs w:val="30"/>
        </w:rPr>
      </w:pPr>
    </w:p>
    <w:bookmarkEnd w:id="0"/>
    <w:bookmarkEnd w:id="1"/>
    <w:bookmarkEnd w:id="2"/>
    <w:bookmarkEnd w:id="3"/>
    <w:bookmarkEnd w:id="4"/>
    <w:p>
      <w:pPr>
        <w:spacing w:before="100" w:beforeAutospacing="1" w:after="100" w:afterAutospacing="1" w:line="360" w:lineRule="auto"/>
        <w:jc w:val="center"/>
        <w:outlineLvl w:val="1"/>
        <w:rPr>
          <w:rFonts w:ascii="宋体" w:hAnsi="宋体" w:cs="Arial"/>
          <w:b/>
          <w:color w:val="auto"/>
          <w:sz w:val="30"/>
          <w:szCs w:val="30"/>
        </w:rPr>
      </w:pPr>
      <w:bookmarkStart w:id="5" w:name="_Toc492903357"/>
      <w:bookmarkStart w:id="6" w:name="_Toc442431578"/>
      <w:r>
        <w:rPr>
          <w:rFonts w:hint="eastAsia" w:ascii="宋体" w:hAnsi="宋体" w:cs="Arial"/>
          <w:b/>
          <w:color w:val="auto"/>
          <w:sz w:val="30"/>
          <w:szCs w:val="30"/>
        </w:rPr>
        <w:t>附录</w:t>
      </w:r>
      <w:r>
        <w:rPr>
          <w:rFonts w:ascii="宋体" w:hAnsi="宋体" w:cs="Arial"/>
          <w:b/>
          <w:color w:val="auto"/>
          <w:sz w:val="30"/>
          <w:szCs w:val="30"/>
        </w:rPr>
        <w:t xml:space="preserve">4 </w:t>
      </w:r>
      <w:r>
        <w:rPr>
          <w:rFonts w:hint="eastAsia" w:ascii="宋体" w:hAnsi="宋体" w:cs="Arial"/>
          <w:b/>
          <w:color w:val="auto"/>
          <w:sz w:val="30"/>
          <w:szCs w:val="30"/>
        </w:rPr>
        <w:t>资格审查条件（信誉最低要求）</w:t>
      </w:r>
    </w:p>
    <w:tbl>
      <w:tblPr>
        <w:tblStyle w:val="7"/>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tcPr>
          <w:p>
            <w:pPr>
              <w:spacing w:line="360" w:lineRule="auto"/>
              <w:ind w:firstLine="41"/>
              <w:jc w:val="center"/>
              <w:rPr>
                <w:rFonts w:ascii="宋体" w:hAnsi="宋体" w:cs="Arial"/>
                <w:color w:val="auto"/>
                <w:sz w:val="18"/>
                <w:szCs w:val="18"/>
              </w:rPr>
            </w:pPr>
            <w:r>
              <w:rPr>
                <w:rFonts w:hint="eastAsia" w:ascii="宋体" w:hAnsi="宋体"/>
                <w:color w:val="auto"/>
                <w:kern w:val="0"/>
                <w:sz w:val="28"/>
                <w:szCs w:val="28"/>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atLeast"/>
        </w:trPr>
        <w:tc>
          <w:tcPr>
            <w:tcW w:w="9174" w:type="dxa"/>
            <w:vAlign w:val="center"/>
          </w:tcPr>
          <w:p>
            <w:pPr>
              <w:spacing w:line="360" w:lineRule="auto"/>
              <w:ind w:firstLine="315" w:firstLineChars="150"/>
              <w:rPr>
                <w:rFonts w:ascii="宋体" w:hAnsi="宋体" w:cs="Arial"/>
                <w:color w:val="auto"/>
                <w:kern w:val="0"/>
                <w:szCs w:val="21"/>
              </w:rPr>
            </w:pPr>
            <w:r>
              <w:rPr>
                <w:rFonts w:ascii="宋体" w:hAnsi="宋体" w:cs="Arial"/>
                <w:color w:val="auto"/>
                <w:kern w:val="0"/>
                <w:szCs w:val="21"/>
              </w:rPr>
              <w:t>投标人在最新贵州省交通建设市场从业单位信用评价的综合考核定级中，未被评价为D级；未进行评价的企业按</w:t>
            </w:r>
            <w:r>
              <w:rPr>
                <w:rFonts w:ascii="宋体" w:hAnsi="宋体" w:cs="Arial"/>
                <w:color w:val="auto"/>
                <w:szCs w:val="21"/>
              </w:rPr>
              <w:t>贵州省交通运输厅关于印发《贵州省高速公路设计施工企业信用评价实施细则（试行）》的通知黔交建设〔2016〕279号及《贵州省高速公路设计施工企业信用评价结果引用的补充通知》黔交建设〔2016〕291号</w:t>
            </w:r>
            <w:r>
              <w:rPr>
                <w:rFonts w:ascii="宋体" w:hAnsi="宋体" w:cs="Arial"/>
                <w:color w:val="auto"/>
                <w:kern w:val="0"/>
                <w:szCs w:val="21"/>
              </w:rPr>
              <w:t>（可在贵州省交通运输厅网站</w:t>
            </w:r>
            <w:r>
              <w:rPr>
                <w:rFonts w:ascii="宋体" w:hAnsi="宋体" w:cs="Arial"/>
                <w:color w:val="auto"/>
                <w:kern w:val="0"/>
                <w:szCs w:val="21"/>
              </w:rPr>
              <w:fldChar w:fldCharType="begin"/>
            </w:r>
            <w:r>
              <w:rPr>
                <w:rFonts w:ascii="宋体" w:hAnsi="宋体" w:cs="Arial"/>
                <w:color w:val="auto"/>
                <w:kern w:val="0"/>
                <w:szCs w:val="21"/>
              </w:rPr>
              <w:instrText xml:space="preserve"> HYPERLINK "http://jt.guizhou.gov.cn/" </w:instrText>
            </w:r>
            <w:r>
              <w:rPr>
                <w:rFonts w:ascii="宋体" w:hAnsi="宋体" w:cs="Arial"/>
                <w:color w:val="auto"/>
                <w:kern w:val="0"/>
                <w:szCs w:val="21"/>
              </w:rPr>
              <w:fldChar w:fldCharType="separate"/>
            </w:r>
            <w:r>
              <w:rPr>
                <w:rFonts w:ascii="宋体" w:hAnsi="宋体" w:cs="Arial"/>
                <w:color w:val="auto"/>
                <w:kern w:val="0"/>
                <w:szCs w:val="21"/>
              </w:rPr>
              <w:t>http://jt.guizhou.gov.cn/</w:t>
            </w:r>
            <w:r>
              <w:rPr>
                <w:rFonts w:ascii="宋体" w:hAnsi="宋体" w:cs="Arial"/>
                <w:color w:val="auto"/>
                <w:kern w:val="0"/>
                <w:szCs w:val="21"/>
              </w:rPr>
              <w:fldChar w:fldCharType="end"/>
            </w:r>
            <w:r>
              <w:rPr>
                <w:rFonts w:ascii="宋体" w:hAnsi="宋体" w:cs="Arial"/>
                <w:color w:val="auto"/>
                <w:kern w:val="0"/>
                <w:szCs w:val="21"/>
              </w:rPr>
              <w:t>上查询）”文件规定确定的最新信用等级不为D级</w:t>
            </w:r>
            <w:r>
              <w:rPr>
                <w:rFonts w:ascii="宋体" w:hAnsi="宋体" w:cs="Arial"/>
                <w:b/>
                <w:color w:val="auto"/>
                <w:kern w:val="0"/>
                <w:szCs w:val="21"/>
              </w:rPr>
              <w:t>。</w:t>
            </w:r>
          </w:p>
        </w:tc>
      </w:tr>
    </w:tbl>
    <w:p>
      <w:pPr>
        <w:spacing w:before="100" w:beforeAutospacing="1" w:after="100" w:afterAutospacing="1"/>
        <w:jc w:val="center"/>
        <w:outlineLvl w:val="1"/>
        <w:rPr>
          <w:rFonts w:ascii="宋体" w:hAnsi="宋体" w:cs="Arial"/>
          <w:b/>
          <w:color w:val="auto"/>
          <w:sz w:val="30"/>
          <w:szCs w:val="30"/>
        </w:rPr>
      </w:pPr>
    </w:p>
    <w:p>
      <w:pPr>
        <w:widowControl/>
        <w:jc w:val="center"/>
        <w:rPr>
          <w:rFonts w:hint="eastAsia" w:ascii="宋体" w:hAnsi="宋体" w:cs="Arial"/>
          <w:b/>
          <w:color w:val="auto"/>
          <w:sz w:val="30"/>
          <w:szCs w:val="30"/>
        </w:rPr>
      </w:pPr>
      <w:r>
        <w:rPr>
          <w:rFonts w:hint="eastAsia" w:ascii="宋体" w:hAnsi="宋体" w:cs="Arial"/>
          <w:b/>
          <w:color w:val="auto"/>
          <w:sz w:val="30"/>
          <w:szCs w:val="30"/>
        </w:rPr>
        <w:t>附录5资格审查条件</w:t>
      </w:r>
      <w:bookmarkEnd w:id="5"/>
    </w:p>
    <w:p>
      <w:pPr>
        <w:spacing w:line="360" w:lineRule="auto"/>
        <w:jc w:val="center"/>
        <w:rPr>
          <w:rFonts w:ascii="Arial" w:hAnsi="Arial" w:eastAsia="黑体" w:cs="Arial"/>
          <w:color w:val="auto"/>
          <w:sz w:val="30"/>
          <w:szCs w:val="30"/>
        </w:rPr>
      </w:pPr>
      <w:r>
        <w:rPr>
          <w:rFonts w:hint="eastAsia" w:ascii="Arial" w:hAnsi="Arial" w:eastAsia="黑体" w:cs="Arial"/>
          <w:color w:val="auto"/>
          <w:sz w:val="30"/>
          <w:szCs w:val="30"/>
        </w:rPr>
        <w:t>（项目经理和项目总工最低要求）</w:t>
      </w:r>
      <w:bookmarkEnd w:id="6"/>
    </w:p>
    <w:tbl>
      <w:tblPr>
        <w:tblStyle w:val="7"/>
        <w:tblW w:w="9349"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28" w:type="dxa"/>
          <w:bottom w:w="0" w:type="dxa"/>
          <w:right w:w="28" w:type="dxa"/>
        </w:tblCellMar>
      </w:tblPr>
      <w:tblGrid>
        <w:gridCol w:w="2198"/>
        <w:gridCol w:w="914"/>
        <w:gridCol w:w="3974"/>
        <w:gridCol w:w="2263"/>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2198" w:type="dxa"/>
            <w:tcBorders>
              <w:top w:val="single" w:color="auto" w:sz="2" w:space="0"/>
            </w:tcBorders>
            <w:vAlign w:val="center"/>
          </w:tcPr>
          <w:p>
            <w:pPr>
              <w:jc w:val="center"/>
              <w:rPr>
                <w:rFonts w:ascii="Arial" w:hAnsi="Arial" w:cs="Arial"/>
                <w:color w:val="auto"/>
                <w:sz w:val="22"/>
                <w:szCs w:val="22"/>
              </w:rPr>
            </w:pPr>
            <w:r>
              <w:rPr>
                <w:rFonts w:hint="eastAsia" w:ascii="Arial" w:hAnsi="Arial" w:cs="Arial"/>
                <w:color w:val="auto"/>
                <w:sz w:val="22"/>
                <w:szCs w:val="22"/>
              </w:rPr>
              <w:t>人员</w:t>
            </w:r>
          </w:p>
        </w:tc>
        <w:tc>
          <w:tcPr>
            <w:tcW w:w="914" w:type="dxa"/>
            <w:tcBorders>
              <w:top w:val="single" w:color="auto" w:sz="2" w:space="0"/>
            </w:tcBorders>
            <w:vAlign w:val="center"/>
          </w:tcPr>
          <w:p>
            <w:pPr>
              <w:jc w:val="center"/>
              <w:rPr>
                <w:rFonts w:ascii="Arial" w:hAnsi="Arial" w:cs="Arial"/>
                <w:color w:val="auto"/>
                <w:sz w:val="22"/>
                <w:szCs w:val="22"/>
              </w:rPr>
            </w:pPr>
            <w:r>
              <w:rPr>
                <w:rFonts w:hint="eastAsia" w:ascii="Arial" w:hAnsi="Arial" w:cs="Arial"/>
                <w:color w:val="auto"/>
                <w:sz w:val="22"/>
                <w:szCs w:val="22"/>
              </w:rPr>
              <w:t>数量</w:t>
            </w:r>
          </w:p>
        </w:tc>
        <w:tc>
          <w:tcPr>
            <w:tcW w:w="3974" w:type="dxa"/>
            <w:tcBorders>
              <w:top w:val="single" w:color="auto" w:sz="2" w:space="0"/>
              <w:right w:val="single" w:color="auto" w:sz="4" w:space="0"/>
            </w:tcBorders>
            <w:vAlign w:val="center"/>
          </w:tcPr>
          <w:p>
            <w:pPr>
              <w:jc w:val="center"/>
              <w:rPr>
                <w:rFonts w:cs="Arial" w:asciiTheme="minorEastAsia" w:hAnsiTheme="minorEastAsia" w:eastAsiaTheme="minorEastAsia"/>
                <w:color w:val="auto"/>
                <w:sz w:val="22"/>
                <w:szCs w:val="22"/>
              </w:rPr>
            </w:pPr>
            <w:r>
              <w:rPr>
                <w:rFonts w:cs="Arial" w:asciiTheme="minorEastAsia" w:hAnsiTheme="minorEastAsia" w:eastAsiaTheme="minorEastAsia"/>
                <w:color w:val="auto"/>
                <w:sz w:val="22"/>
                <w:szCs w:val="22"/>
              </w:rPr>
              <w:t>资格要求</w:t>
            </w:r>
          </w:p>
        </w:tc>
        <w:tc>
          <w:tcPr>
            <w:tcW w:w="2263" w:type="dxa"/>
            <w:tcBorders>
              <w:top w:val="single" w:color="auto" w:sz="2" w:space="0"/>
              <w:left w:val="single" w:color="auto" w:sz="4" w:space="0"/>
            </w:tcBorders>
            <w:vAlign w:val="center"/>
          </w:tcPr>
          <w:p>
            <w:pPr>
              <w:jc w:val="center"/>
              <w:rPr>
                <w:rFonts w:cs="Arial" w:asciiTheme="minorEastAsia" w:hAnsiTheme="minorEastAsia" w:eastAsiaTheme="minorEastAsia"/>
                <w:color w:val="auto"/>
                <w:sz w:val="22"/>
                <w:szCs w:val="22"/>
              </w:rPr>
            </w:pPr>
            <w:r>
              <w:rPr>
                <w:rFonts w:cs="Arial" w:asciiTheme="minorEastAsia" w:hAnsiTheme="minorEastAsia" w:eastAsiaTheme="minorEastAsia"/>
                <w:color w:val="auto"/>
                <w:sz w:val="22"/>
                <w:szCs w:val="22"/>
              </w:rPr>
              <w:t>在岗要求</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1005" w:hRule="atLeast"/>
          <w:jc w:val="center"/>
        </w:trPr>
        <w:tc>
          <w:tcPr>
            <w:tcW w:w="2198" w:type="dxa"/>
            <w:vAlign w:val="center"/>
          </w:tcPr>
          <w:p>
            <w:pPr>
              <w:jc w:val="center"/>
              <w:rPr>
                <w:rFonts w:ascii="Arial" w:hAnsi="Arial" w:cs="Arial"/>
                <w:color w:val="auto"/>
                <w:sz w:val="22"/>
                <w:szCs w:val="22"/>
              </w:rPr>
            </w:pPr>
            <w:r>
              <w:rPr>
                <w:rFonts w:hint="eastAsia" w:ascii="Arial" w:hAnsi="Arial" w:cs="Arial"/>
                <w:color w:val="auto"/>
                <w:sz w:val="22"/>
                <w:szCs w:val="22"/>
              </w:rPr>
              <w:t>项目经理</w:t>
            </w:r>
          </w:p>
        </w:tc>
        <w:tc>
          <w:tcPr>
            <w:tcW w:w="914" w:type="dxa"/>
            <w:vAlign w:val="center"/>
          </w:tcPr>
          <w:p>
            <w:pPr>
              <w:jc w:val="center"/>
              <w:rPr>
                <w:rFonts w:ascii="Arial" w:hAnsi="Arial" w:cs="Arial"/>
                <w:color w:val="auto"/>
                <w:sz w:val="22"/>
                <w:szCs w:val="22"/>
              </w:rPr>
            </w:pPr>
            <w:r>
              <w:rPr>
                <w:rFonts w:ascii="Arial" w:hAnsi="Arial" w:cs="Arial"/>
                <w:color w:val="auto"/>
                <w:sz w:val="22"/>
                <w:szCs w:val="22"/>
              </w:rPr>
              <w:t>1</w:t>
            </w:r>
          </w:p>
        </w:tc>
        <w:tc>
          <w:tcPr>
            <w:tcW w:w="3974" w:type="dxa"/>
            <w:tcBorders>
              <w:right w:val="single" w:color="auto" w:sz="4" w:space="0"/>
            </w:tcBorders>
            <w:vAlign w:val="center"/>
          </w:tcPr>
          <w:p>
            <w:pPr>
              <w:jc w:val="left"/>
              <w:rPr>
                <w:rFonts w:cs="Arial" w:asciiTheme="minorEastAsia" w:hAnsiTheme="minorEastAsia" w:eastAsiaTheme="minorEastAsia"/>
                <w:color w:val="auto"/>
                <w:sz w:val="22"/>
                <w:szCs w:val="22"/>
              </w:rPr>
            </w:pPr>
            <w:r>
              <w:rPr>
                <w:rFonts w:hint="eastAsia" w:cs="Arial" w:asciiTheme="minorEastAsia" w:hAnsiTheme="minorEastAsia" w:eastAsiaTheme="minorEastAsia"/>
                <w:color w:val="auto"/>
                <w:sz w:val="22"/>
                <w:szCs w:val="22"/>
              </w:rPr>
              <w:t>工程师或以上职称（环保专业），持有建设行政主管部门颁发的一级建造师注册证书（公路</w:t>
            </w:r>
            <w:r>
              <w:rPr>
                <w:rFonts w:hint="eastAsia" w:cs="Arial" w:asciiTheme="minorEastAsia" w:hAnsiTheme="minorEastAsia" w:eastAsiaTheme="minorEastAsia"/>
                <w:color w:val="auto"/>
                <w:sz w:val="22"/>
                <w:szCs w:val="22"/>
                <w:lang w:val="en-US" w:eastAsia="zh-CN"/>
              </w:rPr>
              <w:t>工程</w:t>
            </w:r>
            <w:r>
              <w:rPr>
                <w:rFonts w:hint="eastAsia" w:cs="Arial" w:asciiTheme="minorEastAsia" w:hAnsiTheme="minorEastAsia" w:eastAsiaTheme="minorEastAsia"/>
                <w:color w:val="auto"/>
                <w:sz w:val="22"/>
                <w:szCs w:val="22"/>
              </w:rPr>
              <w:t>、机电</w:t>
            </w:r>
            <w:r>
              <w:rPr>
                <w:rFonts w:hint="eastAsia" w:cs="Arial" w:asciiTheme="minorEastAsia" w:hAnsiTheme="minorEastAsia" w:eastAsiaTheme="minorEastAsia"/>
                <w:color w:val="auto"/>
                <w:sz w:val="22"/>
                <w:szCs w:val="22"/>
                <w:lang w:val="en-US" w:eastAsia="zh-CN"/>
              </w:rPr>
              <w:t>工程</w:t>
            </w:r>
            <w:r>
              <w:rPr>
                <w:rFonts w:hint="eastAsia" w:cs="Arial" w:asciiTheme="minorEastAsia" w:hAnsiTheme="minorEastAsia" w:eastAsiaTheme="minorEastAsia"/>
                <w:color w:val="auto"/>
                <w:sz w:val="22"/>
                <w:szCs w:val="22"/>
              </w:rPr>
              <w:t>或市政公用专业），持有有效的安全生产考核合格证书（</w:t>
            </w:r>
            <w:r>
              <w:rPr>
                <w:rFonts w:cs="Arial" w:asciiTheme="minorEastAsia" w:hAnsiTheme="minorEastAsia" w:eastAsiaTheme="minorEastAsia"/>
                <w:color w:val="auto"/>
                <w:sz w:val="22"/>
                <w:szCs w:val="22"/>
              </w:rPr>
              <w:t>B类证书）。</w:t>
            </w:r>
          </w:p>
        </w:tc>
        <w:tc>
          <w:tcPr>
            <w:tcW w:w="2263" w:type="dxa"/>
            <w:vMerge w:val="restart"/>
            <w:tcBorders>
              <w:left w:val="single" w:color="auto" w:sz="4" w:space="0"/>
            </w:tcBorders>
            <w:vAlign w:val="center"/>
          </w:tcPr>
          <w:p>
            <w:pPr>
              <w:jc w:val="left"/>
              <w:rPr>
                <w:rFonts w:cs="Arial" w:asciiTheme="minorEastAsia" w:hAnsiTheme="minorEastAsia" w:eastAsiaTheme="minorEastAsia"/>
                <w:color w:val="auto"/>
                <w:szCs w:val="21"/>
              </w:rPr>
            </w:pPr>
            <w:r>
              <w:rPr>
                <w:rFonts w:cs="Arial" w:asciiTheme="minorEastAsia" w:hAnsiTheme="minorEastAsia" w:eastAsiaTheme="minorEastAsia"/>
                <w:color w:val="auto"/>
                <w:sz w:val="22"/>
                <w:szCs w:val="22"/>
              </w:rPr>
              <w:t>无在岗项目（指目前未在其他项目上任职，或虽在其他项目上任职但本项目中标后能够从该项目撤离）</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963" w:hRule="atLeast"/>
          <w:jc w:val="center"/>
        </w:trPr>
        <w:tc>
          <w:tcPr>
            <w:tcW w:w="2198" w:type="dxa"/>
            <w:vAlign w:val="center"/>
          </w:tcPr>
          <w:p>
            <w:pPr>
              <w:jc w:val="center"/>
              <w:rPr>
                <w:rFonts w:ascii="Arial" w:hAnsi="Arial" w:cs="Arial"/>
                <w:color w:val="auto"/>
                <w:sz w:val="22"/>
                <w:szCs w:val="22"/>
              </w:rPr>
            </w:pPr>
            <w:r>
              <w:rPr>
                <w:rFonts w:hint="eastAsia" w:ascii="Arial" w:hAnsi="Arial" w:cs="Arial"/>
                <w:color w:val="auto"/>
                <w:sz w:val="22"/>
                <w:szCs w:val="22"/>
              </w:rPr>
              <w:t>项目总工</w:t>
            </w:r>
          </w:p>
        </w:tc>
        <w:tc>
          <w:tcPr>
            <w:tcW w:w="914" w:type="dxa"/>
            <w:vAlign w:val="center"/>
          </w:tcPr>
          <w:p>
            <w:pPr>
              <w:jc w:val="center"/>
              <w:rPr>
                <w:rFonts w:ascii="Arial" w:hAnsi="Arial" w:cs="Arial"/>
                <w:color w:val="auto"/>
                <w:sz w:val="22"/>
                <w:szCs w:val="22"/>
              </w:rPr>
            </w:pPr>
            <w:r>
              <w:rPr>
                <w:rFonts w:ascii="Arial" w:hAnsi="Arial" w:cs="Arial"/>
                <w:color w:val="auto"/>
                <w:sz w:val="22"/>
                <w:szCs w:val="22"/>
              </w:rPr>
              <w:t>1</w:t>
            </w:r>
          </w:p>
        </w:tc>
        <w:tc>
          <w:tcPr>
            <w:tcW w:w="3974" w:type="dxa"/>
            <w:tcBorders>
              <w:right w:val="single" w:color="auto" w:sz="4" w:space="0"/>
            </w:tcBorders>
            <w:vAlign w:val="center"/>
          </w:tcPr>
          <w:p>
            <w:pPr>
              <w:jc w:val="left"/>
              <w:rPr>
                <w:rFonts w:cs="Arial" w:asciiTheme="minorEastAsia" w:hAnsiTheme="minorEastAsia" w:eastAsiaTheme="minorEastAsia"/>
                <w:color w:val="auto"/>
                <w:sz w:val="22"/>
                <w:szCs w:val="22"/>
              </w:rPr>
            </w:pPr>
            <w:r>
              <w:rPr>
                <w:rFonts w:hint="eastAsia" w:cs="Arial" w:asciiTheme="minorEastAsia" w:hAnsiTheme="minorEastAsia" w:eastAsiaTheme="minorEastAsia"/>
                <w:color w:val="auto"/>
                <w:sz w:val="22"/>
                <w:szCs w:val="22"/>
              </w:rPr>
              <w:t>工程师或以上职称（环保专业），持有有效的安全生产考核合格证书（</w:t>
            </w:r>
            <w:r>
              <w:rPr>
                <w:rFonts w:cs="Arial" w:asciiTheme="minorEastAsia" w:hAnsiTheme="minorEastAsia" w:eastAsiaTheme="minorEastAsia"/>
                <w:color w:val="auto"/>
                <w:sz w:val="22"/>
                <w:szCs w:val="22"/>
              </w:rPr>
              <w:t>B类证书）。</w:t>
            </w:r>
          </w:p>
        </w:tc>
        <w:tc>
          <w:tcPr>
            <w:tcW w:w="2263" w:type="dxa"/>
            <w:vMerge w:val="continue"/>
            <w:tcBorders>
              <w:left w:val="single" w:color="auto" w:sz="4" w:space="0"/>
            </w:tcBorders>
            <w:vAlign w:val="center"/>
          </w:tcPr>
          <w:p>
            <w:pPr>
              <w:jc w:val="left"/>
              <w:rPr>
                <w:rFonts w:ascii="Arial" w:hAnsi="Arial" w:cs="Arial"/>
                <w:color w:val="auto"/>
                <w:szCs w:val="21"/>
              </w:rPr>
            </w:pPr>
          </w:p>
        </w:tc>
      </w:tr>
    </w:tbl>
    <w:p>
      <w:pPr>
        <w:spacing w:beforeLines="50" w:line="300" w:lineRule="exact"/>
        <w:rPr>
          <w:rFonts w:ascii="宋体" w:hAnsi="宋体" w:cs="Arial"/>
          <w:color w:val="auto"/>
          <w:sz w:val="18"/>
          <w:szCs w:val="18"/>
        </w:rPr>
      </w:pPr>
      <w:r>
        <w:rPr>
          <w:rFonts w:ascii="宋体" w:hAnsi="宋体" w:cs="Arial"/>
          <w:color w:val="auto"/>
          <w:sz w:val="18"/>
          <w:szCs w:val="18"/>
        </w:rPr>
        <w:t>注：1、建造师注册证书的注册单位、安全生产考核合格证书的持证单位必须与投标单位名称一致，正在办理变更的必须提供发证机关出具的证明文件</w:t>
      </w:r>
      <w:r>
        <w:rPr>
          <w:rFonts w:hint="eastAsia" w:ascii="宋体" w:hAnsi="宋体" w:cs="Arial"/>
          <w:color w:val="auto"/>
          <w:sz w:val="18"/>
          <w:szCs w:val="18"/>
        </w:rPr>
        <w:t>（其它证明无效）</w:t>
      </w:r>
      <w:r>
        <w:rPr>
          <w:rFonts w:ascii="宋体" w:hAnsi="宋体" w:cs="Arial"/>
          <w:color w:val="auto"/>
          <w:sz w:val="18"/>
          <w:szCs w:val="18"/>
        </w:rPr>
        <w:t>。</w:t>
      </w:r>
      <w:r>
        <w:rPr>
          <w:rFonts w:hint="eastAsia" w:ascii="宋体" w:hAnsi="宋体" w:cs="Arial"/>
          <w:color w:val="auto"/>
          <w:sz w:val="18"/>
          <w:szCs w:val="18"/>
        </w:rPr>
        <w:t>项目经理的注册建造师证书，应可从http://www.coc.gov.cn/“注册建造师查询”栏链接中查询到；如从上述网站查询不到或与查询到的信息不符，则不予认定。</w:t>
      </w:r>
    </w:p>
    <w:p>
      <w:pPr>
        <w:spacing w:line="300" w:lineRule="exact"/>
        <w:ind w:firstLine="360"/>
        <w:rPr>
          <w:rFonts w:ascii="宋体" w:hAnsi="宋体" w:cs="Arial"/>
          <w:color w:val="auto"/>
          <w:sz w:val="18"/>
          <w:szCs w:val="18"/>
        </w:rPr>
      </w:pPr>
      <w:r>
        <w:rPr>
          <w:rFonts w:hint="eastAsia" w:ascii="宋体" w:hAnsi="宋体" w:cs="Arial"/>
          <w:color w:val="auto"/>
          <w:sz w:val="18"/>
          <w:szCs w:val="18"/>
        </w:rPr>
        <w:t>2、如项目经理、项目总工目前仍在其他项目上任职，则投标人应提供该项目发包人出具的承诺上述人员能够从该项目撤离的书面证明材料原件。</w:t>
      </w:r>
    </w:p>
    <w:p>
      <w:pPr>
        <w:pStyle w:val="3"/>
        <w:jc w:val="center"/>
        <w:rPr>
          <w:color w:val="auto"/>
          <w:sz w:val="30"/>
          <w:szCs w:val="30"/>
        </w:rPr>
      </w:pPr>
      <w:r>
        <w:rPr>
          <w:rFonts w:ascii="Arial" w:hAnsi="Arial" w:eastAsia="仿宋_GB2312" w:cs="Arial"/>
          <w:color w:val="auto"/>
          <w:sz w:val="24"/>
        </w:rPr>
        <w:br w:type="page"/>
      </w:r>
      <w:r>
        <w:rPr>
          <w:rFonts w:hint="eastAsia"/>
          <w:color w:val="auto"/>
          <w:sz w:val="30"/>
          <w:szCs w:val="30"/>
        </w:rPr>
        <w:t>第三章评标办法</w:t>
      </w:r>
    </w:p>
    <w:p>
      <w:pPr>
        <w:pStyle w:val="4"/>
        <w:jc w:val="center"/>
        <w:rPr>
          <w:rFonts w:ascii="Arial" w:hAnsi="Arial" w:cs="Arial"/>
          <w:color w:val="auto"/>
          <w:sz w:val="28"/>
          <w:szCs w:val="28"/>
        </w:rPr>
      </w:pPr>
      <w:r>
        <w:rPr>
          <w:rFonts w:hint="eastAsia" w:ascii="宋体" w:hAnsi="宋体" w:cs="Arial"/>
          <w:color w:val="auto"/>
          <w:sz w:val="30"/>
          <w:szCs w:val="30"/>
        </w:rPr>
        <w:t>（双信封</w:t>
      </w:r>
      <w:r>
        <w:rPr>
          <w:rFonts w:hint="eastAsia" w:ascii="宋体" w:hAnsi="宋体" w:cs="宋体"/>
          <w:color w:val="auto"/>
          <w:sz w:val="30"/>
          <w:szCs w:val="30"/>
          <w:highlight w:val="none"/>
        </w:rPr>
        <w:t>技术评分最低标价法</w:t>
      </w:r>
      <w:r>
        <w:rPr>
          <w:rFonts w:hint="eastAsia" w:ascii="宋体" w:hAnsi="宋体" w:cs="Arial"/>
          <w:color w:val="auto"/>
          <w:sz w:val="30"/>
          <w:szCs w:val="30"/>
        </w:rPr>
        <w:t>）</w:t>
      </w:r>
    </w:p>
    <w:p>
      <w:pPr>
        <w:pStyle w:val="6"/>
        <w:spacing w:before="0" w:after="0" w:line="420" w:lineRule="atLeast"/>
        <w:rPr>
          <w:rFonts w:ascii="Arial" w:hAnsi="Arial" w:eastAsia="黑体" w:cs="Arial"/>
          <w:b w:val="0"/>
          <w:color w:val="auto"/>
          <w:sz w:val="21"/>
          <w:szCs w:val="21"/>
        </w:rPr>
      </w:pPr>
      <w:r>
        <w:rPr>
          <w:rFonts w:hint="eastAsia" w:asciiTheme="minorEastAsia" w:hAnsiTheme="minorEastAsia" w:eastAsiaTheme="minorEastAsia"/>
          <w:color w:val="auto"/>
          <w:sz w:val="21"/>
          <w:szCs w:val="21"/>
        </w:rPr>
        <w:t>说明：“评标办法前附表”是对“ 评标办法正文”的补充、细化，“评标办法前附表”与“ 评标办法正文”不一致的以“ 评标办法前附表”为准。</w:t>
      </w:r>
    </w:p>
    <w:p>
      <w:pPr>
        <w:pStyle w:val="6"/>
        <w:spacing w:before="0" w:after="0" w:line="420" w:lineRule="atLeast"/>
        <w:rPr>
          <w:rFonts w:ascii="Arial" w:hAnsi="Arial" w:eastAsia="黑体" w:cs="Arial"/>
          <w:b w:val="0"/>
          <w:color w:val="auto"/>
        </w:rPr>
      </w:pPr>
      <w:r>
        <w:rPr>
          <w:rFonts w:hint="eastAsia" w:ascii="Arial" w:hAnsi="Arial" w:eastAsia="黑体" w:cs="Arial"/>
          <w:b w:val="0"/>
          <w:color w:val="auto"/>
        </w:rPr>
        <w:t>评标办法前附表</w:t>
      </w:r>
    </w:p>
    <w:tbl>
      <w:tblPr>
        <w:tblStyle w:val="7"/>
        <w:tblW w:w="924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9"/>
        <w:gridCol w:w="1631"/>
        <w:gridCol w:w="65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blHeader/>
        </w:trPr>
        <w:tc>
          <w:tcPr>
            <w:tcW w:w="2660" w:type="dxa"/>
            <w:gridSpan w:val="2"/>
            <w:tcBorders>
              <w:top w:val="single" w:color="auto" w:sz="4" w:space="0"/>
              <w:bottom w:val="single" w:color="auto" w:sz="4" w:space="0"/>
              <w:right w:val="single" w:color="auto" w:sz="4" w:space="0"/>
            </w:tcBorders>
            <w:vAlign w:val="center"/>
          </w:tcPr>
          <w:p>
            <w:pPr>
              <w:snapToGrid w:val="0"/>
              <w:jc w:val="center"/>
              <w:rPr>
                <w:rFonts w:ascii="Arial" w:hAnsi="Arial" w:cs="Arial"/>
                <w:b/>
                <w:color w:val="auto"/>
                <w:szCs w:val="21"/>
              </w:rPr>
            </w:pPr>
            <w:r>
              <w:rPr>
                <w:rFonts w:hint="eastAsia" w:ascii="Arial" w:hAnsi="宋体" w:cs="Arial"/>
                <w:b/>
                <w:color w:val="auto"/>
                <w:szCs w:val="21"/>
              </w:rPr>
              <w:t>条款号</w:t>
            </w:r>
          </w:p>
        </w:tc>
        <w:tc>
          <w:tcPr>
            <w:tcW w:w="6586" w:type="dxa"/>
            <w:tcBorders>
              <w:top w:val="single" w:color="auto" w:sz="4" w:space="0"/>
              <w:left w:val="single" w:color="auto" w:sz="4" w:space="0"/>
              <w:bottom w:val="single" w:color="auto" w:sz="4" w:space="0"/>
            </w:tcBorders>
            <w:vAlign w:val="center"/>
          </w:tcPr>
          <w:p>
            <w:pPr>
              <w:snapToGrid w:val="0"/>
              <w:jc w:val="center"/>
              <w:rPr>
                <w:rFonts w:ascii="Arial" w:hAnsi="Arial" w:cs="Arial"/>
                <w:b/>
                <w:color w:val="auto"/>
                <w:szCs w:val="21"/>
              </w:rPr>
            </w:pPr>
            <w:r>
              <w:rPr>
                <w:rFonts w:hint="eastAsia" w:ascii="Arial" w:hAnsi="宋体" w:cs="Arial"/>
                <w:b/>
                <w:color w:val="auto"/>
                <w:szCs w:val="21"/>
              </w:rPr>
              <w:t>评审因素与评审标准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1029" w:type="dxa"/>
            <w:tcBorders>
              <w:top w:val="single" w:color="auto" w:sz="4" w:space="0"/>
              <w:bottom w:val="single" w:color="auto" w:sz="4" w:space="0"/>
              <w:right w:val="single" w:color="auto" w:sz="4" w:space="0"/>
            </w:tcBorders>
            <w:vAlign w:val="center"/>
          </w:tcPr>
          <w:p>
            <w:pPr>
              <w:snapToGrid w:val="0"/>
              <w:spacing w:line="300" w:lineRule="auto"/>
              <w:jc w:val="center"/>
              <w:rPr>
                <w:rFonts w:cs="Arial" w:asciiTheme="minorEastAsia" w:hAnsiTheme="minorEastAsia" w:eastAsiaTheme="minorEastAsia"/>
                <w:color w:val="auto"/>
                <w:szCs w:val="21"/>
              </w:rPr>
            </w:pPr>
            <w:r>
              <w:rPr>
                <w:rFonts w:cs="Arial" w:asciiTheme="minorEastAsia" w:hAnsiTheme="minorEastAsia" w:eastAsiaTheme="minorEastAsia"/>
                <w:color w:val="auto"/>
                <w:szCs w:val="21"/>
              </w:rPr>
              <w:t>1</w:t>
            </w:r>
          </w:p>
        </w:tc>
        <w:tc>
          <w:tcPr>
            <w:tcW w:w="1631" w:type="dxa"/>
            <w:tcBorders>
              <w:top w:val="single" w:color="auto" w:sz="4" w:space="0"/>
              <w:left w:val="nil"/>
              <w:bottom w:val="single" w:color="auto" w:sz="4" w:space="0"/>
              <w:right w:val="single" w:color="auto" w:sz="4" w:space="0"/>
            </w:tcBorders>
            <w:vAlign w:val="center"/>
          </w:tcPr>
          <w:p>
            <w:pPr>
              <w:snapToGrid w:val="0"/>
              <w:spacing w:line="300" w:lineRule="auto"/>
              <w:jc w:val="center"/>
              <w:rPr>
                <w:rFonts w:cs="Arial" w:asciiTheme="minorEastAsia" w:hAnsiTheme="minorEastAsia" w:eastAsiaTheme="minorEastAsia"/>
                <w:color w:val="auto"/>
                <w:szCs w:val="21"/>
              </w:rPr>
            </w:pPr>
            <w:r>
              <w:rPr>
                <w:rFonts w:cs="Arial" w:asciiTheme="minorEastAsia" w:hAnsiTheme="minorEastAsia" w:eastAsiaTheme="minorEastAsia"/>
                <w:color w:val="auto"/>
                <w:szCs w:val="21"/>
              </w:rPr>
              <w:t>评标办法</w:t>
            </w:r>
          </w:p>
        </w:tc>
        <w:tc>
          <w:tcPr>
            <w:tcW w:w="6586" w:type="dxa"/>
            <w:tcBorders>
              <w:top w:val="single" w:color="auto" w:sz="4" w:space="0"/>
              <w:left w:val="single" w:color="auto" w:sz="4" w:space="0"/>
              <w:bottom w:val="single" w:color="auto" w:sz="4" w:space="0"/>
            </w:tcBorders>
            <w:vAlign w:val="center"/>
          </w:tcPr>
          <w:p>
            <w:pPr>
              <w:keepNext w:val="0"/>
              <w:keepLines w:val="0"/>
              <w:pageBreakBefore w:val="0"/>
              <w:widowControl w:val="0"/>
              <w:tabs>
                <w:tab w:val="left" w:pos="315"/>
                <w:tab w:val="left" w:pos="690"/>
              </w:tabs>
              <w:kinsoku/>
              <w:wordWrap/>
              <w:overflowPunct/>
              <w:topLinePunct w:val="0"/>
              <w:autoSpaceDE w:val="0"/>
              <w:autoSpaceDN w:val="0"/>
              <w:bidi w:val="0"/>
              <w:adjustRightInd w:val="0"/>
              <w:snapToGrid/>
              <w:spacing w:line="300" w:lineRule="auto"/>
              <w:textAlignment w:val="auto"/>
              <w:rPr>
                <w:rFonts w:cs="Arial" w:asciiTheme="minorEastAsia" w:hAnsiTheme="minorEastAsia" w:eastAsiaTheme="minorEastAsia"/>
                <w:color w:val="auto"/>
                <w:highlight w:val="none"/>
              </w:rPr>
            </w:pPr>
            <w:r>
              <w:rPr>
                <w:rFonts w:hint="eastAsia" w:cs="Arial" w:asciiTheme="minorEastAsia" w:hAnsiTheme="minorEastAsia" w:eastAsiaTheme="minorEastAsia"/>
                <w:color w:val="auto"/>
                <w:highlight w:val="none"/>
              </w:rPr>
              <w:t>评标价相等时，评标委员会依次按照以下优先顺序推荐中标候选</w:t>
            </w:r>
          </w:p>
          <w:p>
            <w:pPr>
              <w:keepNext w:val="0"/>
              <w:keepLines w:val="0"/>
              <w:pageBreakBefore w:val="0"/>
              <w:widowControl w:val="0"/>
              <w:tabs>
                <w:tab w:val="left" w:pos="315"/>
                <w:tab w:val="left" w:pos="690"/>
              </w:tabs>
              <w:kinsoku/>
              <w:wordWrap/>
              <w:overflowPunct/>
              <w:topLinePunct w:val="0"/>
              <w:autoSpaceDE w:val="0"/>
              <w:autoSpaceDN w:val="0"/>
              <w:bidi w:val="0"/>
              <w:adjustRightInd w:val="0"/>
              <w:snapToGrid/>
              <w:spacing w:line="300" w:lineRule="auto"/>
              <w:textAlignment w:val="auto"/>
              <w:rPr>
                <w:rFonts w:cs="Arial" w:asciiTheme="minorEastAsia" w:hAnsiTheme="minorEastAsia" w:eastAsiaTheme="minorEastAsia"/>
                <w:color w:val="auto"/>
                <w:highlight w:val="none"/>
              </w:rPr>
            </w:pPr>
            <w:r>
              <w:rPr>
                <w:rFonts w:hint="eastAsia" w:cs="Arial" w:asciiTheme="minorEastAsia" w:hAnsiTheme="minorEastAsia" w:eastAsiaTheme="minorEastAsia"/>
                <w:color w:val="auto"/>
                <w:highlight w:val="none"/>
              </w:rPr>
              <w:t>人或确定中标人：</w:t>
            </w:r>
          </w:p>
          <w:p>
            <w:pPr>
              <w:keepNext w:val="0"/>
              <w:keepLines w:val="0"/>
              <w:pageBreakBefore w:val="0"/>
              <w:widowControl w:val="0"/>
              <w:tabs>
                <w:tab w:val="left" w:pos="315"/>
                <w:tab w:val="left" w:pos="690"/>
              </w:tabs>
              <w:kinsoku/>
              <w:wordWrap/>
              <w:overflowPunct/>
              <w:topLinePunct w:val="0"/>
              <w:autoSpaceDE w:val="0"/>
              <w:autoSpaceDN w:val="0"/>
              <w:bidi w:val="0"/>
              <w:adjustRightInd w:val="0"/>
              <w:snapToGrid/>
              <w:spacing w:line="300" w:lineRule="auto"/>
              <w:textAlignment w:val="auto"/>
              <w:rPr>
                <w:rFonts w:cs="Arial" w:asciiTheme="minorEastAsia" w:hAnsiTheme="minorEastAsia" w:eastAsiaTheme="minorEastAsia"/>
                <w:color w:val="auto"/>
                <w:highlight w:val="none"/>
              </w:rPr>
            </w:pPr>
            <w:r>
              <w:rPr>
                <w:rFonts w:hint="eastAsia" w:cs="Arial" w:asciiTheme="minorEastAsia" w:hAnsiTheme="minorEastAsia" w:eastAsiaTheme="minorEastAsia"/>
                <w:color w:val="auto"/>
                <w:highlight w:val="none"/>
              </w:rPr>
              <w:t>（</w:t>
            </w:r>
            <w:r>
              <w:rPr>
                <w:rFonts w:cs="Arial" w:asciiTheme="minorEastAsia" w:hAnsiTheme="minorEastAsia" w:eastAsiaTheme="minorEastAsia"/>
                <w:color w:val="auto"/>
                <w:highlight w:val="none"/>
              </w:rPr>
              <w:t>1</w:t>
            </w:r>
            <w:r>
              <w:rPr>
                <w:rFonts w:hint="eastAsia" w:cs="Arial" w:asciiTheme="minorEastAsia" w:hAnsiTheme="minorEastAsia" w:eastAsiaTheme="minorEastAsia"/>
                <w:color w:val="auto"/>
                <w:highlight w:val="none"/>
              </w:rPr>
              <w:t>）投标报价低的投标人优先；</w:t>
            </w:r>
          </w:p>
          <w:p>
            <w:pPr>
              <w:keepNext w:val="0"/>
              <w:keepLines w:val="0"/>
              <w:pageBreakBefore w:val="0"/>
              <w:widowControl w:val="0"/>
              <w:tabs>
                <w:tab w:val="left" w:pos="315"/>
                <w:tab w:val="left" w:pos="690"/>
              </w:tabs>
              <w:kinsoku/>
              <w:wordWrap/>
              <w:overflowPunct/>
              <w:topLinePunct w:val="0"/>
              <w:autoSpaceDE w:val="0"/>
              <w:autoSpaceDN w:val="0"/>
              <w:bidi w:val="0"/>
              <w:adjustRightInd w:val="0"/>
              <w:snapToGrid/>
              <w:spacing w:line="300" w:lineRule="auto"/>
              <w:textAlignment w:val="auto"/>
              <w:rPr>
                <w:rFonts w:cs="Arial" w:asciiTheme="minorEastAsia" w:hAnsiTheme="minorEastAsia" w:eastAsiaTheme="minorEastAsia"/>
                <w:color w:val="auto"/>
                <w:highlight w:val="none"/>
              </w:rPr>
            </w:pPr>
            <w:r>
              <w:rPr>
                <w:rFonts w:hint="eastAsia" w:cs="Arial" w:asciiTheme="minorEastAsia" w:hAnsiTheme="minorEastAsia" w:eastAsiaTheme="minorEastAsia"/>
                <w:color w:val="auto"/>
                <w:highlight w:val="none"/>
              </w:rPr>
              <w:t>（</w:t>
            </w:r>
            <w:r>
              <w:rPr>
                <w:rFonts w:cs="Arial" w:asciiTheme="minorEastAsia" w:hAnsiTheme="minorEastAsia" w:eastAsiaTheme="minorEastAsia"/>
                <w:color w:val="auto"/>
                <w:highlight w:val="none"/>
              </w:rPr>
              <w:t>2</w:t>
            </w:r>
            <w:r>
              <w:rPr>
                <w:rFonts w:hint="eastAsia" w:cs="Arial" w:asciiTheme="minorEastAsia" w:hAnsiTheme="minorEastAsia" w:eastAsiaTheme="minorEastAsia"/>
                <w:color w:val="auto"/>
                <w:highlight w:val="none"/>
              </w:rPr>
              <w:t>）以评标时采用的信用等级较高的的投标人优先；</w:t>
            </w:r>
          </w:p>
          <w:p>
            <w:pPr>
              <w:keepNext w:val="0"/>
              <w:keepLines w:val="0"/>
              <w:pageBreakBefore w:val="0"/>
              <w:widowControl w:val="0"/>
              <w:tabs>
                <w:tab w:val="left" w:pos="315"/>
                <w:tab w:val="left" w:pos="690"/>
              </w:tabs>
              <w:kinsoku/>
              <w:wordWrap/>
              <w:overflowPunct/>
              <w:topLinePunct w:val="0"/>
              <w:autoSpaceDE w:val="0"/>
              <w:autoSpaceDN w:val="0"/>
              <w:bidi w:val="0"/>
              <w:adjustRightInd w:val="0"/>
              <w:snapToGrid/>
              <w:spacing w:line="300" w:lineRule="auto"/>
              <w:textAlignment w:val="auto"/>
              <w:rPr>
                <w:rFonts w:cs="Arial" w:asciiTheme="minorEastAsia" w:hAnsiTheme="minorEastAsia" w:eastAsiaTheme="minorEastAsia"/>
                <w:color w:val="auto"/>
                <w:highlight w:val="none"/>
              </w:rPr>
            </w:pPr>
            <w:r>
              <w:rPr>
                <w:rFonts w:hint="eastAsia" w:cs="Arial" w:asciiTheme="minorEastAsia" w:hAnsiTheme="minorEastAsia" w:eastAsiaTheme="minorEastAsia"/>
                <w:color w:val="auto"/>
                <w:highlight w:val="none"/>
              </w:rPr>
              <w:t>（</w:t>
            </w:r>
            <w:r>
              <w:rPr>
                <w:rFonts w:cs="Arial" w:asciiTheme="minorEastAsia" w:hAnsiTheme="minorEastAsia" w:eastAsiaTheme="minorEastAsia"/>
                <w:color w:val="auto"/>
                <w:highlight w:val="none"/>
              </w:rPr>
              <w:t>3</w:t>
            </w:r>
            <w:r>
              <w:rPr>
                <w:rFonts w:hint="eastAsia" w:cs="Arial" w:asciiTheme="minorEastAsia" w:hAnsiTheme="minorEastAsia" w:eastAsiaTheme="minorEastAsia"/>
                <w:color w:val="auto"/>
                <w:highlight w:val="none"/>
              </w:rPr>
              <w:t>）商务和技术得分较高的投标人优先；</w:t>
            </w:r>
          </w:p>
          <w:p>
            <w:pPr>
              <w:keepNext w:val="0"/>
              <w:keepLines w:val="0"/>
              <w:pageBreakBefore w:val="0"/>
              <w:widowControl w:val="0"/>
              <w:kinsoku/>
              <w:wordWrap/>
              <w:overflowPunct/>
              <w:topLinePunct w:val="0"/>
              <w:bidi w:val="0"/>
              <w:snapToGrid/>
              <w:spacing w:line="300" w:lineRule="auto"/>
              <w:ind w:right="113"/>
              <w:textAlignment w:val="auto"/>
              <w:rPr>
                <w:rFonts w:cs="Arial" w:asciiTheme="minorEastAsia" w:hAnsiTheme="minorEastAsia" w:eastAsiaTheme="minorEastAsia"/>
                <w:color w:val="auto"/>
                <w:szCs w:val="21"/>
              </w:rPr>
            </w:pPr>
            <w:r>
              <w:rPr>
                <w:rFonts w:hint="eastAsia" w:cs="Arial" w:asciiTheme="minorEastAsia" w:hAnsiTheme="minorEastAsia" w:eastAsiaTheme="minorEastAsia"/>
                <w:color w:val="auto"/>
                <w:highlight w:val="none"/>
              </w:rPr>
              <w:t>（</w:t>
            </w:r>
            <w:r>
              <w:rPr>
                <w:rFonts w:cs="Arial" w:asciiTheme="minorEastAsia" w:hAnsiTheme="minorEastAsia" w:eastAsiaTheme="minorEastAsia"/>
                <w:color w:val="auto"/>
                <w:highlight w:val="none"/>
              </w:rPr>
              <w:t>4</w:t>
            </w:r>
            <w:r>
              <w:rPr>
                <w:rFonts w:hint="eastAsia" w:cs="Arial" w:asciiTheme="minorEastAsia" w:hAnsiTheme="minorEastAsia" w:eastAsiaTheme="minorEastAsia"/>
                <w:color w:val="auto"/>
                <w:highlight w:val="none"/>
              </w:rPr>
              <w:t>）标书款交纳时间较早的优先。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1029" w:type="dxa"/>
            <w:tcBorders>
              <w:top w:val="single" w:color="auto" w:sz="4" w:space="0"/>
              <w:bottom w:val="single" w:color="auto" w:sz="4" w:space="0"/>
              <w:right w:val="single" w:color="auto" w:sz="4" w:space="0"/>
            </w:tcBorders>
            <w:vAlign w:val="center"/>
          </w:tcPr>
          <w:p>
            <w:pPr>
              <w:jc w:val="center"/>
              <w:rPr>
                <w:rFonts w:ascii="Arial" w:hAnsi="Arial" w:cs="Arial"/>
                <w:color w:val="auto"/>
                <w:szCs w:val="21"/>
              </w:rPr>
            </w:pPr>
            <w:r>
              <w:rPr>
                <w:rFonts w:ascii="Arial" w:hAnsi="Arial" w:cs="Arial"/>
                <w:color w:val="auto"/>
                <w:szCs w:val="21"/>
              </w:rPr>
              <w:t>2.1.1</w:t>
            </w:r>
          </w:p>
          <w:p>
            <w:pPr>
              <w:jc w:val="center"/>
              <w:rPr>
                <w:rFonts w:ascii="Arial" w:hAnsi="Arial" w:cs="Arial"/>
                <w:color w:val="auto"/>
                <w:szCs w:val="21"/>
              </w:rPr>
            </w:pPr>
            <w:r>
              <w:rPr>
                <w:rFonts w:ascii="Arial" w:hAnsi="Arial" w:cs="Arial"/>
                <w:color w:val="auto"/>
                <w:szCs w:val="21"/>
              </w:rPr>
              <w:t>2.1.3</w:t>
            </w:r>
          </w:p>
        </w:tc>
        <w:tc>
          <w:tcPr>
            <w:tcW w:w="1631" w:type="dxa"/>
            <w:tcBorders>
              <w:top w:val="single" w:color="auto" w:sz="4" w:space="0"/>
              <w:left w:val="nil"/>
              <w:bottom w:val="single" w:color="auto" w:sz="4" w:space="0"/>
              <w:right w:val="single" w:color="auto" w:sz="4" w:space="0"/>
            </w:tcBorders>
            <w:vAlign w:val="center"/>
          </w:tcPr>
          <w:p>
            <w:pPr>
              <w:spacing w:line="400" w:lineRule="atLeast"/>
              <w:jc w:val="center"/>
              <w:rPr>
                <w:rFonts w:ascii="Arial" w:hAnsi="Arial" w:cs="Arial"/>
                <w:color w:val="auto"/>
                <w:szCs w:val="21"/>
              </w:rPr>
            </w:pPr>
            <w:r>
              <w:rPr>
                <w:rFonts w:hint="eastAsia" w:ascii="Arial" w:hAnsi="宋体" w:cs="Arial"/>
                <w:color w:val="auto"/>
                <w:szCs w:val="21"/>
              </w:rPr>
              <w:t>形式评审与响应性评审标准（第一个信封）</w:t>
            </w:r>
          </w:p>
        </w:tc>
        <w:tc>
          <w:tcPr>
            <w:tcW w:w="6586" w:type="dxa"/>
            <w:tcBorders>
              <w:top w:val="single" w:color="auto" w:sz="4" w:space="0"/>
              <w:left w:val="single" w:color="auto" w:sz="4" w:space="0"/>
              <w:bottom w:val="single" w:color="auto" w:sz="4" w:space="0"/>
            </w:tcBorders>
            <w:vAlign w:val="center"/>
          </w:tcPr>
          <w:p>
            <w:pPr>
              <w:keepNext w:val="0"/>
              <w:keepLines w:val="0"/>
              <w:pageBreakBefore w:val="0"/>
              <w:widowControl w:val="0"/>
              <w:tabs>
                <w:tab w:val="left" w:pos="315"/>
                <w:tab w:val="left" w:pos="690"/>
              </w:tabs>
              <w:kinsoku/>
              <w:wordWrap/>
              <w:overflowPunct/>
              <w:topLinePunct w:val="0"/>
              <w:autoSpaceDE/>
              <w:autoSpaceDN/>
              <w:bidi w:val="0"/>
              <w:adjustRightInd/>
              <w:spacing w:line="312" w:lineRule="auto"/>
              <w:textAlignment w:val="auto"/>
              <w:rPr>
                <w:rFonts w:cs="Arial" w:asciiTheme="minorEastAsia" w:hAnsiTheme="minorEastAsia" w:eastAsiaTheme="minorEastAsia"/>
                <w:b/>
                <w:bCs w:val="0"/>
                <w:color w:val="auto"/>
              </w:rPr>
            </w:pPr>
            <w:r>
              <w:rPr>
                <w:rFonts w:cs="Arial" w:asciiTheme="minorEastAsia" w:hAnsiTheme="minorEastAsia" w:eastAsiaTheme="minorEastAsia"/>
                <w:b/>
                <w:bCs w:val="0"/>
                <w:color w:val="auto"/>
              </w:rPr>
              <w:t>第一个信封（商务及技术文件）评审标准：</w:t>
            </w:r>
          </w:p>
          <w:p>
            <w:pPr>
              <w:keepNext w:val="0"/>
              <w:keepLines w:val="0"/>
              <w:pageBreakBefore w:val="0"/>
              <w:widowControl w:val="0"/>
              <w:tabs>
                <w:tab w:val="left" w:pos="315"/>
                <w:tab w:val="left" w:pos="690"/>
              </w:tabs>
              <w:kinsoku/>
              <w:wordWrap/>
              <w:overflowPunct/>
              <w:topLinePunct w:val="0"/>
              <w:autoSpaceDE/>
              <w:autoSpaceDN/>
              <w:bidi w:val="0"/>
              <w:adjustRightInd/>
              <w:spacing w:line="312" w:lineRule="auto"/>
              <w:textAlignment w:val="auto"/>
              <w:rPr>
                <w:rFonts w:cs="Arial" w:asciiTheme="minorEastAsia" w:hAnsiTheme="minorEastAsia" w:eastAsiaTheme="minorEastAsia"/>
                <w:b/>
                <w:bCs w:val="0"/>
                <w:color w:val="auto"/>
              </w:rPr>
            </w:pPr>
            <w:r>
              <w:rPr>
                <w:rFonts w:hint="eastAsia" w:cs="Arial" w:asciiTheme="minorEastAsia" w:hAnsiTheme="minorEastAsia" w:eastAsiaTheme="minorEastAsia"/>
                <w:b/>
                <w:bCs w:val="0"/>
                <w:color w:val="auto"/>
              </w:rPr>
              <w:t>（1）投标文件按照招标文件规定的格式、内容填写，字迹清晰可辨：</w:t>
            </w:r>
          </w:p>
          <w:p>
            <w:pPr>
              <w:keepNext w:val="0"/>
              <w:keepLines w:val="0"/>
              <w:pageBreakBefore w:val="0"/>
              <w:widowControl w:val="0"/>
              <w:tabs>
                <w:tab w:val="left" w:pos="315"/>
                <w:tab w:val="left" w:pos="690"/>
              </w:tabs>
              <w:kinsoku/>
              <w:wordWrap/>
              <w:overflowPunct/>
              <w:topLinePunct w:val="0"/>
              <w:autoSpaceDE/>
              <w:autoSpaceDN/>
              <w:bidi w:val="0"/>
              <w:adjustRightInd/>
              <w:spacing w:line="312" w:lineRule="auto"/>
              <w:ind w:firstLine="190" w:firstLineChars="90"/>
              <w:textAlignment w:val="auto"/>
              <w:rPr>
                <w:rFonts w:cs="Arial" w:asciiTheme="minorEastAsia" w:hAnsiTheme="minorEastAsia" w:eastAsiaTheme="minorEastAsia"/>
                <w:b/>
                <w:bCs w:val="0"/>
                <w:color w:val="auto"/>
              </w:rPr>
            </w:pPr>
            <w:r>
              <w:rPr>
                <w:rFonts w:cs="Arial" w:asciiTheme="minorEastAsia" w:hAnsiTheme="minorEastAsia" w:eastAsiaTheme="minorEastAsia"/>
                <w:b/>
                <w:bCs w:val="0"/>
                <w:color w:val="auto"/>
              </w:rPr>
              <w:t>a．投标函按招标文件规定填报了项目名称、标段号、补遗书编号（如有）、工期、工程质量要求及安全目标；</w:t>
            </w:r>
          </w:p>
          <w:p>
            <w:pPr>
              <w:keepNext w:val="0"/>
              <w:keepLines w:val="0"/>
              <w:pageBreakBefore w:val="0"/>
              <w:widowControl w:val="0"/>
              <w:tabs>
                <w:tab w:val="left" w:pos="315"/>
                <w:tab w:val="left" w:pos="690"/>
              </w:tabs>
              <w:kinsoku/>
              <w:wordWrap/>
              <w:overflowPunct/>
              <w:topLinePunct w:val="0"/>
              <w:autoSpaceDE/>
              <w:autoSpaceDN/>
              <w:bidi w:val="0"/>
              <w:adjustRightInd/>
              <w:spacing w:line="312" w:lineRule="auto"/>
              <w:ind w:firstLine="190" w:firstLineChars="90"/>
              <w:textAlignment w:val="auto"/>
              <w:rPr>
                <w:rFonts w:cs="Arial" w:asciiTheme="minorEastAsia" w:hAnsiTheme="minorEastAsia" w:eastAsiaTheme="minorEastAsia"/>
                <w:b/>
                <w:bCs w:val="0"/>
                <w:color w:val="auto"/>
              </w:rPr>
            </w:pPr>
            <w:r>
              <w:rPr>
                <w:rFonts w:cs="Arial" w:asciiTheme="minorEastAsia" w:hAnsiTheme="minorEastAsia" w:eastAsiaTheme="minorEastAsia"/>
                <w:b/>
                <w:bCs w:val="0"/>
                <w:color w:val="auto"/>
              </w:rPr>
              <w:t xml:space="preserve">b．投标函附录的所有数据均符合招标文件规定； </w:t>
            </w:r>
          </w:p>
          <w:p>
            <w:pPr>
              <w:keepNext w:val="0"/>
              <w:keepLines w:val="0"/>
              <w:pageBreakBefore w:val="0"/>
              <w:widowControl w:val="0"/>
              <w:tabs>
                <w:tab w:val="left" w:pos="315"/>
                <w:tab w:val="left" w:pos="690"/>
              </w:tabs>
              <w:kinsoku/>
              <w:wordWrap/>
              <w:overflowPunct/>
              <w:topLinePunct w:val="0"/>
              <w:autoSpaceDE/>
              <w:autoSpaceDN/>
              <w:bidi w:val="0"/>
              <w:adjustRightInd/>
              <w:spacing w:line="312" w:lineRule="auto"/>
              <w:ind w:firstLine="190" w:firstLineChars="90"/>
              <w:textAlignment w:val="auto"/>
              <w:rPr>
                <w:rFonts w:cs="Arial" w:asciiTheme="minorEastAsia" w:hAnsiTheme="minorEastAsia" w:eastAsiaTheme="minorEastAsia"/>
                <w:b/>
                <w:bCs w:val="0"/>
                <w:color w:val="auto"/>
              </w:rPr>
            </w:pPr>
            <w:r>
              <w:rPr>
                <w:rFonts w:cs="Arial" w:asciiTheme="minorEastAsia" w:hAnsiTheme="minorEastAsia" w:eastAsiaTheme="minorEastAsia"/>
                <w:b/>
                <w:bCs w:val="0"/>
                <w:color w:val="auto"/>
              </w:rPr>
              <w:t>c．投标文件组成齐全完整，内容均按规定填写。</w:t>
            </w:r>
          </w:p>
          <w:p>
            <w:pPr>
              <w:keepNext w:val="0"/>
              <w:keepLines w:val="0"/>
              <w:pageBreakBefore w:val="0"/>
              <w:widowControl w:val="0"/>
              <w:tabs>
                <w:tab w:val="left" w:pos="315"/>
              </w:tabs>
              <w:kinsoku/>
              <w:wordWrap/>
              <w:overflowPunct/>
              <w:topLinePunct w:val="0"/>
              <w:autoSpaceDE/>
              <w:autoSpaceDN/>
              <w:bidi w:val="0"/>
              <w:adjustRightInd/>
              <w:spacing w:line="312" w:lineRule="auto"/>
              <w:textAlignment w:val="auto"/>
              <w:rPr>
                <w:rFonts w:cs="Arial" w:asciiTheme="minorEastAsia" w:hAnsiTheme="minorEastAsia" w:eastAsiaTheme="minorEastAsia"/>
                <w:b/>
                <w:bCs w:val="0"/>
                <w:color w:val="auto"/>
              </w:rPr>
            </w:pPr>
            <w:r>
              <w:rPr>
                <w:rFonts w:cs="Arial" w:asciiTheme="minorEastAsia" w:hAnsiTheme="minorEastAsia" w:eastAsiaTheme="minorEastAsia"/>
                <w:b/>
                <w:bCs w:val="0"/>
                <w:color w:val="auto"/>
              </w:rPr>
              <w:t>（2）投标文件上法定代表人或其委托代理人的签字、投标人的单位章盖章齐全，符合招标文件规定。</w:t>
            </w:r>
          </w:p>
          <w:p>
            <w:pPr>
              <w:keepNext w:val="0"/>
              <w:keepLines w:val="0"/>
              <w:pageBreakBefore w:val="0"/>
              <w:widowControl w:val="0"/>
              <w:tabs>
                <w:tab w:val="left" w:pos="315"/>
              </w:tabs>
              <w:kinsoku/>
              <w:wordWrap/>
              <w:overflowPunct/>
              <w:topLinePunct w:val="0"/>
              <w:autoSpaceDE/>
              <w:autoSpaceDN/>
              <w:bidi w:val="0"/>
              <w:adjustRightInd/>
              <w:spacing w:line="312" w:lineRule="auto"/>
              <w:textAlignment w:val="auto"/>
              <w:rPr>
                <w:rFonts w:cs="Arial" w:asciiTheme="minorEastAsia" w:hAnsiTheme="minorEastAsia" w:eastAsiaTheme="minorEastAsia"/>
                <w:b/>
                <w:bCs w:val="0"/>
                <w:color w:val="auto"/>
              </w:rPr>
            </w:pPr>
            <w:r>
              <w:rPr>
                <w:rFonts w:hint="eastAsia" w:cs="Arial" w:asciiTheme="minorEastAsia" w:hAnsiTheme="minorEastAsia" w:eastAsiaTheme="minorEastAsia"/>
                <w:b/>
                <w:bCs w:val="0"/>
                <w:color w:val="auto"/>
              </w:rPr>
              <w:t>（3）与申请资格预审时比较，投标人发生合并、分立、破产等重大变化的，仍具备资格预审文件规定的相应资格条件且其投标未影响招标公正性（不适用）：</w:t>
            </w:r>
          </w:p>
          <w:p>
            <w:pPr>
              <w:keepNext w:val="0"/>
              <w:keepLines w:val="0"/>
              <w:pageBreakBefore w:val="0"/>
              <w:widowControl w:val="0"/>
              <w:tabs>
                <w:tab w:val="left" w:pos="315"/>
              </w:tabs>
              <w:kinsoku/>
              <w:wordWrap/>
              <w:overflowPunct/>
              <w:topLinePunct w:val="0"/>
              <w:autoSpaceDE/>
              <w:autoSpaceDN/>
              <w:bidi w:val="0"/>
              <w:adjustRightInd/>
              <w:spacing w:line="312" w:lineRule="auto"/>
              <w:textAlignment w:val="auto"/>
              <w:rPr>
                <w:rFonts w:cs="Arial" w:asciiTheme="minorEastAsia" w:hAnsiTheme="minorEastAsia" w:eastAsiaTheme="minorEastAsia"/>
                <w:b/>
                <w:bCs w:val="0"/>
                <w:color w:val="auto"/>
              </w:rPr>
            </w:pPr>
            <w:r>
              <w:rPr>
                <w:rFonts w:hint="eastAsia" w:cs="Arial" w:asciiTheme="minorEastAsia" w:hAnsiTheme="minorEastAsia" w:eastAsiaTheme="minorEastAsia"/>
                <w:b/>
                <w:bCs w:val="0"/>
                <w:color w:val="auto"/>
              </w:rPr>
              <w:t>a.投标人应提供相关部门的合法批件及企业法人营业执照和资质证书等证件的副本变更记录复印件；</w:t>
            </w:r>
          </w:p>
          <w:p>
            <w:pPr>
              <w:keepNext w:val="0"/>
              <w:keepLines w:val="0"/>
              <w:pageBreakBefore w:val="0"/>
              <w:widowControl w:val="0"/>
              <w:tabs>
                <w:tab w:val="left" w:pos="315"/>
              </w:tabs>
              <w:kinsoku/>
              <w:wordWrap/>
              <w:overflowPunct/>
              <w:topLinePunct w:val="0"/>
              <w:autoSpaceDE/>
              <w:autoSpaceDN/>
              <w:bidi w:val="0"/>
              <w:adjustRightInd/>
              <w:spacing w:line="312" w:lineRule="auto"/>
              <w:textAlignment w:val="auto"/>
              <w:rPr>
                <w:rFonts w:cs="Arial" w:asciiTheme="minorEastAsia" w:hAnsiTheme="minorEastAsia" w:eastAsiaTheme="minorEastAsia"/>
                <w:b/>
                <w:bCs w:val="0"/>
                <w:color w:val="auto"/>
              </w:rPr>
            </w:pPr>
            <w:r>
              <w:rPr>
                <w:rFonts w:hint="eastAsia" w:cs="Arial" w:asciiTheme="minorEastAsia" w:hAnsiTheme="minorEastAsia" w:eastAsiaTheme="minorEastAsia"/>
                <w:b/>
                <w:bCs w:val="0"/>
                <w:color w:val="auto"/>
              </w:rPr>
              <w:t>b.投标人仍然满足资格预审文件中规定的资格预审条件最低要求（资质、业绩、人员、信誉、财务等）；</w:t>
            </w:r>
          </w:p>
          <w:p>
            <w:pPr>
              <w:keepNext w:val="0"/>
              <w:keepLines w:val="0"/>
              <w:pageBreakBefore w:val="0"/>
              <w:widowControl w:val="0"/>
              <w:tabs>
                <w:tab w:val="left" w:pos="315"/>
              </w:tabs>
              <w:kinsoku/>
              <w:wordWrap/>
              <w:overflowPunct/>
              <w:topLinePunct w:val="0"/>
              <w:autoSpaceDE/>
              <w:autoSpaceDN/>
              <w:bidi w:val="0"/>
              <w:adjustRightInd/>
              <w:spacing w:line="312" w:lineRule="auto"/>
              <w:textAlignment w:val="auto"/>
              <w:rPr>
                <w:rFonts w:cs="Arial" w:asciiTheme="minorEastAsia" w:hAnsiTheme="minorEastAsia" w:eastAsiaTheme="minorEastAsia"/>
                <w:b/>
                <w:bCs w:val="0"/>
                <w:color w:val="auto"/>
              </w:rPr>
            </w:pPr>
            <w:r>
              <w:rPr>
                <w:rFonts w:hint="eastAsia" w:cs="Arial" w:asciiTheme="minorEastAsia" w:hAnsiTheme="minorEastAsia" w:eastAsiaTheme="minorEastAsia"/>
                <w:b/>
                <w:bCs w:val="0"/>
                <w:color w:val="auto"/>
              </w:rPr>
              <w:t>c.与所投标段的其他投标人不存在控股、管理关系或单位负责人为同一人的情况；与招标人也不存在利害关系并可能影响招标公正性。</w:t>
            </w:r>
          </w:p>
          <w:p>
            <w:pPr>
              <w:keepNext w:val="0"/>
              <w:keepLines w:val="0"/>
              <w:pageBreakBefore w:val="0"/>
              <w:widowControl w:val="0"/>
              <w:tabs>
                <w:tab w:val="left" w:pos="315"/>
              </w:tabs>
              <w:kinsoku/>
              <w:wordWrap/>
              <w:overflowPunct/>
              <w:topLinePunct w:val="0"/>
              <w:autoSpaceDE/>
              <w:autoSpaceDN/>
              <w:bidi w:val="0"/>
              <w:adjustRightInd/>
              <w:spacing w:line="312" w:lineRule="auto"/>
              <w:textAlignment w:val="auto"/>
              <w:rPr>
                <w:rFonts w:cs="Arial" w:asciiTheme="minorEastAsia" w:hAnsiTheme="minorEastAsia" w:eastAsiaTheme="minorEastAsia"/>
                <w:b/>
                <w:bCs w:val="0"/>
                <w:color w:val="auto"/>
              </w:rPr>
            </w:pPr>
            <w:r>
              <w:rPr>
                <w:rFonts w:cs="Arial" w:asciiTheme="minorEastAsia" w:hAnsiTheme="minorEastAsia" w:eastAsiaTheme="minorEastAsia"/>
                <w:b/>
                <w:bCs w:val="0"/>
                <w:color w:val="auto"/>
              </w:rPr>
              <w:t>（</w:t>
            </w:r>
            <w:r>
              <w:rPr>
                <w:rFonts w:hint="eastAsia" w:cs="Arial" w:asciiTheme="minorEastAsia" w:hAnsiTheme="minorEastAsia" w:eastAsiaTheme="minorEastAsia"/>
                <w:b/>
                <w:bCs w:val="0"/>
                <w:color w:val="auto"/>
              </w:rPr>
              <w:t>4</w:t>
            </w:r>
            <w:r>
              <w:rPr>
                <w:rFonts w:cs="Arial" w:asciiTheme="minorEastAsia" w:hAnsiTheme="minorEastAsia" w:eastAsiaTheme="minorEastAsia"/>
                <w:b/>
                <w:bCs w:val="0"/>
                <w:color w:val="auto"/>
              </w:rPr>
              <w:t>）投标人按照招标文件的规定提供了投标保证金：</w:t>
            </w:r>
          </w:p>
          <w:p>
            <w:pPr>
              <w:keepNext w:val="0"/>
              <w:keepLines w:val="0"/>
              <w:pageBreakBefore w:val="0"/>
              <w:widowControl w:val="0"/>
              <w:tabs>
                <w:tab w:val="left" w:pos="315"/>
                <w:tab w:val="left" w:pos="690"/>
              </w:tabs>
              <w:kinsoku/>
              <w:wordWrap/>
              <w:overflowPunct/>
              <w:topLinePunct w:val="0"/>
              <w:autoSpaceDE/>
              <w:autoSpaceDN/>
              <w:bidi w:val="0"/>
              <w:adjustRightInd/>
              <w:spacing w:line="312" w:lineRule="auto"/>
              <w:ind w:firstLine="190" w:firstLineChars="90"/>
              <w:textAlignment w:val="auto"/>
              <w:rPr>
                <w:rFonts w:cs="Arial" w:asciiTheme="minorEastAsia" w:hAnsiTheme="minorEastAsia" w:eastAsiaTheme="minorEastAsia"/>
                <w:b/>
                <w:bCs w:val="0"/>
                <w:color w:val="auto"/>
              </w:rPr>
            </w:pPr>
            <w:r>
              <w:rPr>
                <w:rFonts w:cs="Arial" w:asciiTheme="minorEastAsia" w:hAnsiTheme="minorEastAsia" w:eastAsiaTheme="minorEastAsia"/>
                <w:b/>
                <w:bCs w:val="0"/>
                <w:color w:val="auto"/>
              </w:rPr>
              <w:t>a．投标保证金金额符合招标文件规定的金额，且投标保证金有效期不少于投标有效期；</w:t>
            </w:r>
          </w:p>
          <w:p>
            <w:pPr>
              <w:keepNext w:val="0"/>
              <w:keepLines w:val="0"/>
              <w:pageBreakBefore w:val="0"/>
              <w:widowControl w:val="0"/>
              <w:tabs>
                <w:tab w:val="left" w:pos="690"/>
                <w:tab w:val="left" w:pos="1980"/>
              </w:tabs>
              <w:kinsoku/>
              <w:wordWrap/>
              <w:overflowPunct/>
              <w:topLinePunct w:val="0"/>
              <w:autoSpaceDE/>
              <w:autoSpaceDN/>
              <w:bidi w:val="0"/>
              <w:adjustRightInd/>
              <w:spacing w:line="312" w:lineRule="auto"/>
              <w:ind w:firstLine="211" w:firstLineChars="100"/>
              <w:textAlignment w:val="auto"/>
              <w:rPr>
                <w:rFonts w:cs="Arial" w:asciiTheme="minorEastAsia" w:hAnsiTheme="minorEastAsia" w:eastAsiaTheme="minorEastAsia"/>
                <w:b/>
                <w:bCs w:val="0"/>
                <w:color w:val="auto"/>
              </w:rPr>
            </w:pPr>
            <w:r>
              <w:rPr>
                <w:rFonts w:cs="Arial" w:asciiTheme="minorEastAsia" w:hAnsiTheme="minorEastAsia" w:eastAsiaTheme="minorEastAsia"/>
                <w:b/>
                <w:bCs w:val="0"/>
                <w:color w:val="auto"/>
              </w:rPr>
              <w:t xml:space="preserve">b．若投标保证金采用现金或支票形式提交，投标人应在递交投标文件截止时间之前，将投标保证金由投标人的基本账户转入招标人指定账户； </w:t>
            </w:r>
          </w:p>
          <w:p>
            <w:pPr>
              <w:keepNext w:val="0"/>
              <w:keepLines w:val="0"/>
              <w:pageBreakBefore w:val="0"/>
              <w:widowControl w:val="0"/>
              <w:tabs>
                <w:tab w:val="left" w:pos="315"/>
                <w:tab w:val="left" w:pos="690"/>
              </w:tabs>
              <w:kinsoku/>
              <w:wordWrap/>
              <w:overflowPunct/>
              <w:topLinePunct w:val="0"/>
              <w:autoSpaceDE/>
              <w:autoSpaceDN/>
              <w:bidi w:val="0"/>
              <w:adjustRightInd/>
              <w:spacing w:line="312" w:lineRule="auto"/>
              <w:ind w:firstLine="190" w:firstLineChars="90"/>
              <w:textAlignment w:val="auto"/>
              <w:rPr>
                <w:rFonts w:cs="Arial" w:asciiTheme="minorEastAsia" w:hAnsiTheme="minorEastAsia" w:eastAsiaTheme="minorEastAsia"/>
                <w:b/>
                <w:bCs w:val="0"/>
                <w:color w:val="auto"/>
              </w:rPr>
            </w:pPr>
            <w:r>
              <w:rPr>
                <w:rFonts w:cs="Arial" w:asciiTheme="minorEastAsia" w:hAnsiTheme="minorEastAsia" w:eastAsiaTheme="minorEastAsia"/>
                <w:b/>
                <w:bCs w:val="0"/>
                <w:color w:val="auto"/>
              </w:rPr>
              <w:t>c．若投标保证金采用银行保函形式提交，银行保函的格式、开具保函的银行均满足招标文件要求，且在递交投标文件截止时间之前向招标人提交了银行保函原件。</w:t>
            </w:r>
          </w:p>
          <w:p>
            <w:pPr>
              <w:keepNext w:val="0"/>
              <w:keepLines w:val="0"/>
              <w:pageBreakBefore w:val="0"/>
              <w:widowControl w:val="0"/>
              <w:tabs>
                <w:tab w:val="left" w:pos="315"/>
                <w:tab w:val="left" w:pos="690"/>
              </w:tabs>
              <w:kinsoku/>
              <w:wordWrap/>
              <w:overflowPunct/>
              <w:topLinePunct w:val="0"/>
              <w:autoSpaceDE/>
              <w:autoSpaceDN/>
              <w:bidi w:val="0"/>
              <w:adjustRightInd/>
              <w:spacing w:line="312" w:lineRule="auto"/>
              <w:ind w:firstLine="190" w:firstLineChars="90"/>
              <w:textAlignment w:val="auto"/>
              <w:rPr>
                <w:rFonts w:cs="Arial" w:asciiTheme="minorEastAsia" w:hAnsiTheme="minorEastAsia" w:eastAsiaTheme="minorEastAsia"/>
                <w:b/>
                <w:bCs w:val="0"/>
                <w:color w:val="auto"/>
              </w:rPr>
            </w:pPr>
            <w:r>
              <w:rPr>
                <w:rFonts w:hint="eastAsia" w:cs="Arial" w:asciiTheme="minorEastAsia" w:hAnsiTheme="minorEastAsia" w:eastAsiaTheme="minorEastAsia"/>
                <w:b/>
                <w:bCs w:val="0"/>
                <w:color w:val="auto"/>
              </w:rPr>
              <w:t>d</w:t>
            </w:r>
            <w:r>
              <w:rPr>
                <w:rFonts w:cs="Arial" w:asciiTheme="minorEastAsia" w:hAnsiTheme="minorEastAsia" w:eastAsiaTheme="minorEastAsia"/>
                <w:b/>
                <w:bCs w:val="0"/>
                <w:color w:val="auto"/>
              </w:rPr>
              <w:t>．若投标保证金采用</w:t>
            </w:r>
            <w:r>
              <w:rPr>
                <w:rFonts w:hint="eastAsia" w:cs="Arial" w:asciiTheme="minorEastAsia" w:hAnsiTheme="minorEastAsia" w:eastAsiaTheme="minorEastAsia"/>
                <w:b/>
                <w:bCs w:val="0"/>
                <w:color w:val="auto"/>
              </w:rPr>
              <w:t>保证</w:t>
            </w:r>
            <w:r>
              <w:rPr>
                <w:rFonts w:cs="Arial" w:asciiTheme="minorEastAsia" w:hAnsiTheme="minorEastAsia" w:eastAsiaTheme="minorEastAsia"/>
                <w:b/>
                <w:bCs w:val="0"/>
                <w:color w:val="auto"/>
              </w:rPr>
              <w:t>保险形式提交，</w:t>
            </w:r>
            <w:r>
              <w:rPr>
                <w:rFonts w:hint="eastAsia" w:cs="Arial" w:asciiTheme="minorEastAsia" w:hAnsiTheme="minorEastAsia" w:eastAsiaTheme="minorEastAsia"/>
                <w:b/>
                <w:bCs w:val="0"/>
                <w:color w:val="auto"/>
              </w:rPr>
              <w:t>保证</w:t>
            </w:r>
            <w:r>
              <w:rPr>
                <w:rFonts w:cs="Arial" w:asciiTheme="minorEastAsia" w:hAnsiTheme="minorEastAsia" w:eastAsiaTheme="minorEastAsia"/>
                <w:b/>
                <w:bCs w:val="0"/>
                <w:color w:val="auto"/>
              </w:rPr>
              <w:t>保险的格式、开具保</w:t>
            </w:r>
            <w:r>
              <w:rPr>
                <w:rFonts w:hint="eastAsia" w:cs="Arial" w:asciiTheme="minorEastAsia" w:hAnsiTheme="minorEastAsia" w:eastAsiaTheme="minorEastAsia"/>
                <w:b/>
                <w:bCs w:val="0"/>
                <w:color w:val="auto"/>
              </w:rPr>
              <w:t>险</w:t>
            </w:r>
            <w:r>
              <w:rPr>
                <w:rFonts w:cs="Arial" w:asciiTheme="minorEastAsia" w:hAnsiTheme="minorEastAsia" w:eastAsiaTheme="minorEastAsia"/>
                <w:b/>
                <w:bCs w:val="0"/>
                <w:color w:val="auto"/>
              </w:rPr>
              <w:t>的保险机构均满足招标文件要求，且在递交投标文件截止时间之前向招标人提交了</w:t>
            </w:r>
            <w:r>
              <w:rPr>
                <w:rFonts w:hint="eastAsia" w:cs="Arial" w:asciiTheme="minorEastAsia" w:hAnsiTheme="minorEastAsia" w:eastAsiaTheme="minorEastAsia"/>
                <w:b/>
                <w:bCs w:val="0"/>
                <w:color w:val="auto"/>
              </w:rPr>
              <w:t>保证</w:t>
            </w:r>
            <w:r>
              <w:rPr>
                <w:rFonts w:cs="Arial" w:asciiTheme="minorEastAsia" w:hAnsiTheme="minorEastAsia" w:eastAsiaTheme="minorEastAsia"/>
                <w:b/>
                <w:bCs w:val="0"/>
                <w:color w:val="auto"/>
              </w:rPr>
              <w:t>保险原件。</w:t>
            </w:r>
          </w:p>
          <w:p>
            <w:pPr>
              <w:keepNext w:val="0"/>
              <w:keepLines w:val="0"/>
              <w:pageBreakBefore w:val="0"/>
              <w:widowControl w:val="0"/>
              <w:tabs>
                <w:tab w:val="left" w:pos="315"/>
              </w:tabs>
              <w:kinsoku/>
              <w:wordWrap/>
              <w:overflowPunct/>
              <w:topLinePunct w:val="0"/>
              <w:autoSpaceDE/>
              <w:autoSpaceDN/>
              <w:bidi w:val="0"/>
              <w:adjustRightInd/>
              <w:spacing w:line="312" w:lineRule="auto"/>
              <w:textAlignment w:val="auto"/>
              <w:rPr>
                <w:rFonts w:cs="Arial" w:asciiTheme="minorEastAsia" w:hAnsiTheme="minorEastAsia" w:eastAsiaTheme="minorEastAsia"/>
                <w:b/>
                <w:bCs w:val="0"/>
                <w:color w:val="auto"/>
              </w:rPr>
            </w:pPr>
            <w:r>
              <w:rPr>
                <w:rFonts w:cs="Arial" w:asciiTheme="minorEastAsia" w:hAnsiTheme="minorEastAsia" w:eastAsiaTheme="minorEastAsia"/>
                <w:b/>
                <w:bCs w:val="0"/>
                <w:color w:val="auto"/>
              </w:rPr>
              <w:t>（</w:t>
            </w:r>
            <w:r>
              <w:rPr>
                <w:rFonts w:hint="eastAsia" w:cs="Arial" w:asciiTheme="minorEastAsia" w:hAnsiTheme="minorEastAsia" w:eastAsiaTheme="minorEastAsia"/>
                <w:b/>
                <w:bCs w:val="0"/>
                <w:color w:val="auto"/>
              </w:rPr>
              <w:t>5</w:t>
            </w:r>
            <w:r>
              <w:rPr>
                <w:rFonts w:cs="Arial" w:asciiTheme="minorEastAsia" w:hAnsiTheme="minorEastAsia" w:eastAsiaTheme="minorEastAsia"/>
                <w:b/>
                <w:bCs w:val="0"/>
                <w:color w:val="auto"/>
              </w:rPr>
              <w:t>）投标人法定代表人授权委托代理人签署投标文件的，需提交授权委托书，且授权人和被授权人均在授权委托书上签名，未使用印章、签名章或其他电子制版签名代替。</w:t>
            </w:r>
          </w:p>
          <w:p>
            <w:pPr>
              <w:keepNext w:val="0"/>
              <w:keepLines w:val="0"/>
              <w:pageBreakBefore w:val="0"/>
              <w:widowControl w:val="0"/>
              <w:tabs>
                <w:tab w:val="left" w:pos="315"/>
              </w:tabs>
              <w:kinsoku/>
              <w:wordWrap/>
              <w:overflowPunct/>
              <w:topLinePunct w:val="0"/>
              <w:autoSpaceDE/>
              <w:autoSpaceDN/>
              <w:bidi w:val="0"/>
              <w:adjustRightInd/>
              <w:spacing w:line="312" w:lineRule="auto"/>
              <w:textAlignment w:val="auto"/>
              <w:rPr>
                <w:rFonts w:cs="Arial" w:asciiTheme="minorEastAsia" w:hAnsiTheme="minorEastAsia" w:eastAsiaTheme="minorEastAsia"/>
                <w:b/>
                <w:bCs w:val="0"/>
                <w:color w:val="auto"/>
              </w:rPr>
            </w:pPr>
            <w:r>
              <w:rPr>
                <w:rFonts w:cs="Arial" w:asciiTheme="minorEastAsia" w:hAnsiTheme="minorEastAsia" w:eastAsiaTheme="minorEastAsia"/>
                <w:b/>
                <w:bCs w:val="0"/>
                <w:color w:val="auto"/>
              </w:rPr>
              <w:t>（</w:t>
            </w:r>
            <w:r>
              <w:rPr>
                <w:rFonts w:hint="eastAsia" w:cs="Arial" w:asciiTheme="minorEastAsia" w:hAnsiTheme="minorEastAsia" w:eastAsiaTheme="minorEastAsia"/>
                <w:b/>
                <w:bCs w:val="0"/>
                <w:color w:val="auto"/>
              </w:rPr>
              <w:t>6</w:t>
            </w:r>
            <w:r>
              <w:rPr>
                <w:rFonts w:cs="Arial" w:asciiTheme="minorEastAsia" w:hAnsiTheme="minorEastAsia" w:eastAsiaTheme="minorEastAsia"/>
                <w:b/>
                <w:bCs w:val="0"/>
                <w:color w:val="auto"/>
              </w:rPr>
              <w:t>）投标人法定代表人亲自签署投标文件的，提供了法定代表人身份证明，且法定代表人在法定代表人身份证明上签名，未使用印章、签名章或其他电子制版签名代替。</w:t>
            </w:r>
          </w:p>
          <w:p>
            <w:pPr>
              <w:keepNext w:val="0"/>
              <w:keepLines w:val="0"/>
              <w:pageBreakBefore w:val="0"/>
              <w:widowControl w:val="0"/>
              <w:tabs>
                <w:tab w:val="left" w:pos="315"/>
              </w:tabs>
              <w:kinsoku/>
              <w:wordWrap/>
              <w:overflowPunct/>
              <w:topLinePunct w:val="0"/>
              <w:autoSpaceDE/>
              <w:autoSpaceDN/>
              <w:bidi w:val="0"/>
              <w:adjustRightInd/>
              <w:spacing w:line="312" w:lineRule="auto"/>
              <w:textAlignment w:val="auto"/>
              <w:rPr>
                <w:rFonts w:cs="Arial" w:asciiTheme="minorEastAsia" w:hAnsiTheme="minorEastAsia" w:eastAsiaTheme="minorEastAsia"/>
                <w:b/>
                <w:bCs w:val="0"/>
                <w:color w:val="auto"/>
              </w:rPr>
            </w:pPr>
            <w:r>
              <w:rPr>
                <w:rFonts w:hint="eastAsia" w:cs="Arial" w:asciiTheme="minorEastAsia" w:hAnsiTheme="minorEastAsia" w:eastAsiaTheme="minorEastAsia"/>
                <w:b/>
                <w:bCs w:val="0"/>
                <w:color w:val="auto"/>
              </w:rPr>
              <w:t xml:space="preserve">（7）投标人以联合体形式投标时，联合体满足招标文件的要求：       </w:t>
            </w:r>
          </w:p>
          <w:p>
            <w:pPr>
              <w:keepNext w:val="0"/>
              <w:keepLines w:val="0"/>
              <w:pageBreakBefore w:val="0"/>
              <w:widowControl w:val="0"/>
              <w:tabs>
                <w:tab w:val="left" w:pos="315"/>
              </w:tabs>
              <w:kinsoku/>
              <w:wordWrap/>
              <w:overflowPunct/>
              <w:topLinePunct w:val="0"/>
              <w:autoSpaceDE/>
              <w:autoSpaceDN/>
              <w:bidi w:val="0"/>
              <w:adjustRightInd/>
              <w:spacing w:line="312" w:lineRule="auto"/>
              <w:textAlignment w:val="auto"/>
              <w:rPr>
                <w:rFonts w:cs="Arial" w:asciiTheme="minorEastAsia" w:hAnsiTheme="minorEastAsia" w:eastAsiaTheme="minorEastAsia"/>
                <w:b/>
                <w:bCs w:val="0"/>
                <w:color w:val="auto"/>
              </w:rPr>
            </w:pPr>
            <w:r>
              <w:rPr>
                <w:rFonts w:hint="eastAsia" w:cs="Arial" w:asciiTheme="minorEastAsia" w:hAnsiTheme="minorEastAsia" w:eastAsiaTheme="minorEastAsia"/>
                <w:b/>
                <w:bCs w:val="0"/>
                <w:color w:val="auto"/>
              </w:rPr>
              <w:t>投标人按照招标文件提供的格式签订了联合体协议书，明确各方承担连带责任，并明确了联合体牵头人；（不适用）</w:t>
            </w:r>
          </w:p>
          <w:p>
            <w:pPr>
              <w:keepNext w:val="0"/>
              <w:keepLines w:val="0"/>
              <w:pageBreakBefore w:val="0"/>
              <w:widowControl w:val="0"/>
              <w:tabs>
                <w:tab w:val="left" w:pos="315"/>
              </w:tabs>
              <w:kinsoku/>
              <w:wordWrap/>
              <w:overflowPunct/>
              <w:topLinePunct w:val="0"/>
              <w:autoSpaceDE/>
              <w:autoSpaceDN/>
              <w:bidi w:val="0"/>
              <w:adjustRightInd/>
              <w:spacing w:line="312" w:lineRule="auto"/>
              <w:textAlignment w:val="auto"/>
              <w:rPr>
                <w:rFonts w:cs="Arial" w:asciiTheme="minorEastAsia" w:hAnsiTheme="minorEastAsia" w:eastAsiaTheme="minorEastAsia"/>
                <w:b/>
                <w:bCs w:val="0"/>
                <w:color w:val="auto"/>
              </w:rPr>
            </w:pPr>
            <w:r>
              <w:rPr>
                <w:rFonts w:cs="Arial" w:asciiTheme="minorEastAsia" w:hAnsiTheme="minorEastAsia" w:eastAsiaTheme="minorEastAsia"/>
                <w:b/>
                <w:bCs w:val="0"/>
                <w:color w:val="auto"/>
              </w:rPr>
              <w:t>（</w:t>
            </w:r>
            <w:r>
              <w:rPr>
                <w:rFonts w:hint="eastAsia" w:cs="Arial" w:asciiTheme="minorEastAsia" w:hAnsiTheme="minorEastAsia" w:eastAsiaTheme="minorEastAsia"/>
                <w:b/>
                <w:bCs w:val="0"/>
                <w:color w:val="auto"/>
              </w:rPr>
              <w:t>8</w:t>
            </w:r>
            <w:r>
              <w:rPr>
                <w:rFonts w:cs="Arial" w:asciiTheme="minorEastAsia" w:hAnsiTheme="minorEastAsia" w:eastAsiaTheme="minorEastAsia"/>
                <w:b/>
                <w:bCs w:val="0"/>
                <w:color w:val="auto"/>
              </w:rPr>
              <w:t>）投标人如有分包计划，符合招标文件第二章</w:t>
            </w:r>
            <w:r>
              <w:rPr>
                <w:rFonts w:hint="eastAsia" w:cs="Arial" w:asciiTheme="minorEastAsia" w:hAnsiTheme="minorEastAsia" w:eastAsiaTheme="minorEastAsia"/>
                <w:b/>
                <w:bCs w:val="0"/>
                <w:color w:val="auto"/>
              </w:rPr>
              <w:t>“</w:t>
            </w:r>
            <w:r>
              <w:rPr>
                <w:rFonts w:cs="Arial" w:asciiTheme="minorEastAsia" w:hAnsiTheme="minorEastAsia" w:eastAsiaTheme="minorEastAsia"/>
                <w:b/>
                <w:bCs w:val="0"/>
                <w:color w:val="auto"/>
              </w:rPr>
              <w:t>投标人须知</w:t>
            </w:r>
            <w:r>
              <w:rPr>
                <w:rFonts w:hint="eastAsia" w:cs="Arial" w:asciiTheme="minorEastAsia" w:hAnsiTheme="minorEastAsia" w:eastAsiaTheme="minorEastAsia"/>
                <w:b/>
                <w:bCs w:val="0"/>
                <w:color w:val="auto"/>
              </w:rPr>
              <w:t>”</w:t>
            </w:r>
            <w:r>
              <w:rPr>
                <w:rFonts w:cs="Arial" w:asciiTheme="minorEastAsia" w:hAnsiTheme="minorEastAsia" w:eastAsiaTheme="minorEastAsia"/>
                <w:b/>
                <w:bCs w:val="0"/>
                <w:color w:val="auto"/>
              </w:rPr>
              <w:t>第1.1</w:t>
            </w:r>
            <w:r>
              <w:rPr>
                <w:rFonts w:hint="eastAsia" w:cs="Arial" w:asciiTheme="minorEastAsia" w:hAnsiTheme="minorEastAsia" w:eastAsiaTheme="minorEastAsia"/>
                <w:b/>
                <w:bCs w:val="0"/>
                <w:color w:val="auto"/>
              </w:rPr>
              <w:t>1</w:t>
            </w:r>
            <w:r>
              <w:rPr>
                <w:rFonts w:cs="Arial" w:asciiTheme="minorEastAsia" w:hAnsiTheme="minorEastAsia" w:eastAsiaTheme="minorEastAsia"/>
                <w:b/>
                <w:bCs w:val="0"/>
                <w:color w:val="auto"/>
              </w:rPr>
              <w:t>款规定，且按招标文件第</w:t>
            </w:r>
            <w:r>
              <w:rPr>
                <w:rFonts w:hint="eastAsia" w:cs="Arial" w:asciiTheme="minorEastAsia" w:hAnsiTheme="minorEastAsia" w:eastAsiaTheme="minorEastAsia"/>
                <w:b/>
                <w:bCs w:val="0"/>
                <w:color w:val="auto"/>
              </w:rPr>
              <w:t>九</w:t>
            </w:r>
            <w:r>
              <w:rPr>
                <w:rFonts w:cs="Arial" w:asciiTheme="minorEastAsia" w:hAnsiTheme="minorEastAsia" w:eastAsiaTheme="minorEastAsia"/>
                <w:b/>
                <w:bCs w:val="0"/>
                <w:color w:val="auto"/>
              </w:rPr>
              <w:t>章</w:t>
            </w:r>
            <w:r>
              <w:rPr>
                <w:rFonts w:hint="eastAsia" w:cs="Arial" w:asciiTheme="minorEastAsia" w:hAnsiTheme="minorEastAsia" w:eastAsiaTheme="minorEastAsia"/>
                <w:b/>
                <w:bCs w:val="0"/>
                <w:color w:val="auto"/>
              </w:rPr>
              <w:t>“</w:t>
            </w:r>
            <w:r>
              <w:rPr>
                <w:rFonts w:cs="Arial" w:asciiTheme="minorEastAsia" w:hAnsiTheme="minorEastAsia" w:eastAsiaTheme="minorEastAsia"/>
                <w:b/>
                <w:bCs w:val="0"/>
                <w:color w:val="auto"/>
              </w:rPr>
              <w:t>投标文件格式</w:t>
            </w:r>
            <w:r>
              <w:rPr>
                <w:rFonts w:hint="eastAsia" w:cs="Arial" w:asciiTheme="minorEastAsia" w:hAnsiTheme="minorEastAsia" w:eastAsiaTheme="minorEastAsia"/>
                <w:b/>
                <w:bCs w:val="0"/>
                <w:color w:val="auto"/>
              </w:rPr>
              <w:t>”</w:t>
            </w:r>
            <w:r>
              <w:rPr>
                <w:rFonts w:cs="Arial" w:asciiTheme="minorEastAsia" w:hAnsiTheme="minorEastAsia" w:eastAsiaTheme="minorEastAsia"/>
                <w:b/>
                <w:bCs w:val="0"/>
                <w:color w:val="auto"/>
              </w:rPr>
              <w:t xml:space="preserve">的要求填写了 </w:t>
            </w:r>
            <w:r>
              <w:rPr>
                <w:rFonts w:hint="eastAsia" w:cs="Arial" w:asciiTheme="minorEastAsia" w:hAnsiTheme="minorEastAsia" w:eastAsiaTheme="minorEastAsia"/>
                <w:b/>
                <w:bCs w:val="0"/>
                <w:color w:val="auto"/>
              </w:rPr>
              <w:t>“</w:t>
            </w:r>
            <w:r>
              <w:rPr>
                <w:rFonts w:cs="Arial" w:asciiTheme="minorEastAsia" w:hAnsiTheme="minorEastAsia" w:eastAsiaTheme="minorEastAsia"/>
                <w:b/>
                <w:bCs w:val="0"/>
                <w:color w:val="auto"/>
              </w:rPr>
              <w:t>拟分包项目情况表</w:t>
            </w:r>
            <w:r>
              <w:rPr>
                <w:rFonts w:hint="eastAsia" w:cs="Arial" w:asciiTheme="minorEastAsia" w:hAnsiTheme="minorEastAsia" w:eastAsiaTheme="minorEastAsia"/>
                <w:b/>
                <w:bCs w:val="0"/>
                <w:color w:val="auto"/>
              </w:rPr>
              <w:t>”</w:t>
            </w:r>
            <w:r>
              <w:rPr>
                <w:rFonts w:cs="Arial" w:asciiTheme="minorEastAsia" w:hAnsiTheme="minorEastAsia" w:eastAsiaTheme="minorEastAsia"/>
                <w:b/>
                <w:bCs w:val="0"/>
                <w:color w:val="auto"/>
              </w:rPr>
              <w:t>。</w:t>
            </w:r>
            <w:r>
              <w:rPr>
                <w:rFonts w:hint="eastAsia" w:cs="Arial" w:asciiTheme="minorEastAsia" w:hAnsiTheme="minorEastAsia" w:eastAsiaTheme="minorEastAsia"/>
                <w:b/>
                <w:bCs w:val="0"/>
                <w:color w:val="auto"/>
              </w:rPr>
              <w:t>（不适用）</w:t>
            </w:r>
          </w:p>
          <w:p>
            <w:pPr>
              <w:keepNext w:val="0"/>
              <w:keepLines w:val="0"/>
              <w:pageBreakBefore w:val="0"/>
              <w:widowControl w:val="0"/>
              <w:tabs>
                <w:tab w:val="left" w:pos="315"/>
              </w:tabs>
              <w:kinsoku/>
              <w:wordWrap/>
              <w:overflowPunct/>
              <w:topLinePunct w:val="0"/>
              <w:autoSpaceDE/>
              <w:autoSpaceDN/>
              <w:bidi w:val="0"/>
              <w:adjustRightInd/>
              <w:spacing w:line="312" w:lineRule="auto"/>
              <w:textAlignment w:val="auto"/>
              <w:rPr>
                <w:rFonts w:cs="Arial" w:asciiTheme="minorEastAsia" w:hAnsiTheme="minorEastAsia" w:eastAsiaTheme="minorEastAsia"/>
                <w:b/>
                <w:bCs w:val="0"/>
                <w:color w:val="auto"/>
              </w:rPr>
            </w:pPr>
            <w:r>
              <w:rPr>
                <w:rFonts w:cs="Arial" w:asciiTheme="minorEastAsia" w:hAnsiTheme="minorEastAsia" w:eastAsiaTheme="minorEastAsia"/>
                <w:b/>
                <w:bCs w:val="0"/>
                <w:color w:val="auto"/>
              </w:rPr>
              <w:t>（</w:t>
            </w:r>
            <w:r>
              <w:rPr>
                <w:rFonts w:hint="eastAsia" w:cs="Arial" w:asciiTheme="minorEastAsia" w:hAnsiTheme="minorEastAsia" w:eastAsiaTheme="minorEastAsia"/>
                <w:b/>
                <w:bCs w:val="0"/>
                <w:color w:val="auto"/>
              </w:rPr>
              <w:t>9</w:t>
            </w:r>
            <w:r>
              <w:rPr>
                <w:rFonts w:cs="Arial" w:asciiTheme="minorEastAsia" w:hAnsiTheme="minorEastAsia" w:eastAsiaTheme="minorEastAsia"/>
                <w:b/>
                <w:bCs w:val="0"/>
                <w:color w:val="auto"/>
              </w:rPr>
              <w:t>）同一投标人未提交两个以上不同的投标文件，但招标文件要求提交备选投标的除外。</w:t>
            </w:r>
          </w:p>
          <w:p>
            <w:pPr>
              <w:keepNext w:val="0"/>
              <w:keepLines w:val="0"/>
              <w:pageBreakBefore w:val="0"/>
              <w:widowControl w:val="0"/>
              <w:tabs>
                <w:tab w:val="left" w:pos="315"/>
              </w:tabs>
              <w:kinsoku/>
              <w:wordWrap/>
              <w:overflowPunct/>
              <w:topLinePunct w:val="0"/>
              <w:autoSpaceDE/>
              <w:autoSpaceDN/>
              <w:bidi w:val="0"/>
              <w:adjustRightInd/>
              <w:spacing w:line="312" w:lineRule="auto"/>
              <w:textAlignment w:val="auto"/>
              <w:rPr>
                <w:rFonts w:cs="Arial" w:asciiTheme="minorEastAsia" w:hAnsiTheme="minorEastAsia" w:eastAsiaTheme="minorEastAsia"/>
                <w:b/>
                <w:bCs w:val="0"/>
                <w:color w:val="auto"/>
              </w:rPr>
            </w:pPr>
            <w:r>
              <w:rPr>
                <w:rFonts w:cs="Arial" w:asciiTheme="minorEastAsia" w:hAnsiTheme="minorEastAsia" w:eastAsiaTheme="minorEastAsia"/>
                <w:b/>
                <w:bCs w:val="0"/>
                <w:color w:val="auto"/>
              </w:rPr>
              <w:t>（</w:t>
            </w:r>
            <w:r>
              <w:rPr>
                <w:rFonts w:hint="eastAsia" w:cs="Arial" w:asciiTheme="minorEastAsia" w:hAnsiTheme="minorEastAsia" w:eastAsiaTheme="minorEastAsia"/>
                <w:b/>
                <w:bCs w:val="0"/>
                <w:color w:val="auto"/>
              </w:rPr>
              <w:t>10</w:t>
            </w:r>
            <w:r>
              <w:rPr>
                <w:rFonts w:cs="Arial" w:asciiTheme="minorEastAsia" w:hAnsiTheme="minorEastAsia" w:eastAsiaTheme="minorEastAsia"/>
                <w:b/>
                <w:bCs w:val="0"/>
                <w:color w:val="auto"/>
              </w:rPr>
              <w:t>）投标文件中未出现有关投标报价的内容。</w:t>
            </w:r>
          </w:p>
          <w:p>
            <w:pPr>
              <w:keepNext w:val="0"/>
              <w:keepLines w:val="0"/>
              <w:pageBreakBefore w:val="0"/>
              <w:widowControl w:val="0"/>
              <w:tabs>
                <w:tab w:val="left" w:pos="315"/>
                <w:tab w:val="left" w:pos="690"/>
              </w:tabs>
              <w:kinsoku/>
              <w:wordWrap/>
              <w:overflowPunct/>
              <w:topLinePunct w:val="0"/>
              <w:autoSpaceDE/>
              <w:autoSpaceDN/>
              <w:bidi w:val="0"/>
              <w:adjustRightInd/>
              <w:spacing w:line="312" w:lineRule="auto"/>
              <w:textAlignment w:val="auto"/>
              <w:rPr>
                <w:rFonts w:cs="Arial" w:asciiTheme="minorEastAsia" w:hAnsiTheme="minorEastAsia" w:eastAsiaTheme="minorEastAsia"/>
                <w:b/>
                <w:bCs w:val="0"/>
                <w:color w:val="auto"/>
              </w:rPr>
            </w:pPr>
            <w:r>
              <w:rPr>
                <w:rFonts w:cs="Arial" w:asciiTheme="minorEastAsia" w:hAnsiTheme="minorEastAsia" w:eastAsiaTheme="minorEastAsia"/>
                <w:b/>
                <w:bCs w:val="0"/>
                <w:color w:val="auto"/>
              </w:rPr>
              <w:t>（1</w:t>
            </w:r>
            <w:r>
              <w:rPr>
                <w:rFonts w:hint="eastAsia" w:cs="Arial" w:asciiTheme="minorEastAsia" w:hAnsiTheme="minorEastAsia" w:eastAsiaTheme="minorEastAsia"/>
                <w:b/>
                <w:bCs w:val="0"/>
                <w:color w:val="auto"/>
              </w:rPr>
              <w:t>1</w:t>
            </w:r>
            <w:r>
              <w:rPr>
                <w:rFonts w:cs="Arial" w:asciiTheme="minorEastAsia" w:hAnsiTheme="minorEastAsia" w:eastAsiaTheme="minorEastAsia"/>
                <w:b/>
                <w:bCs w:val="0"/>
                <w:color w:val="auto"/>
              </w:rPr>
              <w:t>）投标文件载明的招标项目完成期限未超过招标文件规定的时限。</w:t>
            </w:r>
          </w:p>
          <w:p>
            <w:pPr>
              <w:keepNext w:val="0"/>
              <w:keepLines w:val="0"/>
              <w:pageBreakBefore w:val="0"/>
              <w:widowControl w:val="0"/>
              <w:tabs>
                <w:tab w:val="left" w:pos="315"/>
                <w:tab w:val="left" w:pos="690"/>
              </w:tabs>
              <w:kinsoku/>
              <w:wordWrap/>
              <w:overflowPunct/>
              <w:topLinePunct w:val="0"/>
              <w:autoSpaceDE/>
              <w:autoSpaceDN/>
              <w:bidi w:val="0"/>
              <w:adjustRightInd/>
              <w:spacing w:line="312" w:lineRule="auto"/>
              <w:textAlignment w:val="auto"/>
              <w:rPr>
                <w:rFonts w:cs="Arial" w:asciiTheme="minorEastAsia" w:hAnsiTheme="minorEastAsia" w:eastAsiaTheme="minorEastAsia"/>
                <w:b/>
                <w:bCs w:val="0"/>
                <w:color w:val="auto"/>
              </w:rPr>
            </w:pPr>
            <w:r>
              <w:rPr>
                <w:rFonts w:cs="Arial" w:asciiTheme="minorEastAsia" w:hAnsiTheme="minorEastAsia" w:eastAsiaTheme="minorEastAsia"/>
                <w:b/>
                <w:bCs w:val="0"/>
                <w:color w:val="auto"/>
              </w:rPr>
              <w:t>（1</w:t>
            </w:r>
            <w:r>
              <w:rPr>
                <w:rFonts w:hint="eastAsia" w:cs="Arial" w:asciiTheme="minorEastAsia" w:hAnsiTheme="minorEastAsia" w:eastAsiaTheme="minorEastAsia"/>
                <w:b/>
                <w:bCs w:val="0"/>
                <w:color w:val="auto"/>
              </w:rPr>
              <w:t>2</w:t>
            </w:r>
            <w:r>
              <w:rPr>
                <w:rFonts w:cs="Arial" w:asciiTheme="minorEastAsia" w:hAnsiTheme="minorEastAsia" w:eastAsiaTheme="minorEastAsia"/>
                <w:b/>
                <w:bCs w:val="0"/>
                <w:color w:val="auto"/>
              </w:rPr>
              <w:t>）</w:t>
            </w:r>
            <w:r>
              <w:rPr>
                <w:rFonts w:cs="Arial" w:asciiTheme="minorEastAsia" w:hAnsiTheme="minorEastAsia" w:eastAsiaTheme="minorEastAsia"/>
                <w:b/>
                <w:bCs w:val="0"/>
                <w:color w:val="auto"/>
              </w:rPr>
              <w:tab/>
            </w:r>
            <w:r>
              <w:rPr>
                <w:rFonts w:cs="Arial" w:asciiTheme="minorEastAsia" w:hAnsiTheme="minorEastAsia" w:eastAsiaTheme="minorEastAsia"/>
                <w:b/>
                <w:bCs w:val="0"/>
                <w:color w:val="auto"/>
              </w:rPr>
              <w:t>投标文件对招标文件的实质性要求和条件作出响应。</w:t>
            </w:r>
          </w:p>
          <w:p>
            <w:pPr>
              <w:keepNext w:val="0"/>
              <w:keepLines w:val="0"/>
              <w:pageBreakBefore w:val="0"/>
              <w:widowControl w:val="0"/>
              <w:tabs>
                <w:tab w:val="left" w:pos="315"/>
                <w:tab w:val="left" w:pos="690"/>
              </w:tabs>
              <w:kinsoku/>
              <w:wordWrap/>
              <w:overflowPunct/>
              <w:topLinePunct w:val="0"/>
              <w:autoSpaceDE/>
              <w:autoSpaceDN/>
              <w:bidi w:val="0"/>
              <w:adjustRightInd/>
              <w:spacing w:line="312" w:lineRule="auto"/>
              <w:textAlignment w:val="auto"/>
              <w:rPr>
                <w:rFonts w:cs="Arial" w:asciiTheme="minorEastAsia" w:hAnsiTheme="minorEastAsia" w:eastAsiaTheme="minorEastAsia"/>
                <w:b/>
                <w:bCs w:val="0"/>
                <w:color w:val="auto"/>
              </w:rPr>
            </w:pPr>
            <w:r>
              <w:rPr>
                <w:rFonts w:cs="Arial" w:asciiTheme="minorEastAsia" w:hAnsiTheme="minorEastAsia" w:eastAsiaTheme="minorEastAsia"/>
                <w:b/>
                <w:bCs w:val="0"/>
                <w:color w:val="auto"/>
              </w:rPr>
              <w:t>（1</w:t>
            </w:r>
            <w:r>
              <w:rPr>
                <w:rFonts w:hint="eastAsia" w:cs="Arial" w:asciiTheme="minorEastAsia" w:hAnsiTheme="minorEastAsia" w:eastAsiaTheme="minorEastAsia"/>
                <w:b/>
                <w:bCs w:val="0"/>
                <w:color w:val="auto"/>
              </w:rPr>
              <w:t>3</w:t>
            </w:r>
            <w:r>
              <w:rPr>
                <w:rFonts w:cs="Arial" w:asciiTheme="minorEastAsia" w:hAnsiTheme="minorEastAsia" w:eastAsiaTheme="minorEastAsia"/>
                <w:b/>
                <w:bCs w:val="0"/>
                <w:color w:val="auto"/>
              </w:rPr>
              <w:t>）</w:t>
            </w:r>
            <w:r>
              <w:rPr>
                <w:rFonts w:cs="Arial" w:asciiTheme="minorEastAsia" w:hAnsiTheme="minorEastAsia" w:eastAsiaTheme="minorEastAsia"/>
                <w:b/>
                <w:bCs w:val="0"/>
                <w:color w:val="auto"/>
              </w:rPr>
              <w:tab/>
            </w:r>
            <w:r>
              <w:rPr>
                <w:rFonts w:cs="Arial" w:asciiTheme="minorEastAsia" w:hAnsiTheme="minorEastAsia" w:eastAsiaTheme="minorEastAsia"/>
                <w:b/>
                <w:bCs w:val="0"/>
                <w:color w:val="auto"/>
              </w:rPr>
              <w:t>权利义务符合招标文件规定：</w:t>
            </w:r>
          </w:p>
          <w:p>
            <w:pPr>
              <w:keepNext w:val="0"/>
              <w:keepLines w:val="0"/>
              <w:pageBreakBefore w:val="0"/>
              <w:widowControl w:val="0"/>
              <w:tabs>
                <w:tab w:val="left" w:pos="315"/>
                <w:tab w:val="left" w:pos="690"/>
              </w:tabs>
              <w:kinsoku/>
              <w:wordWrap/>
              <w:overflowPunct/>
              <w:topLinePunct w:val="0"/>
              <w:autoSpaceDE/>
              <w:autoSpaceDN/>
              <w:bidi w:val="0"/>
              <w:adjustRightInd/>
              <w:spacing w:line="312" w:lineRule="auto"/>
              <w:ind w:firstLine="190" w:firstLineChars="90"/>
              <w:textAlignment w:val="auto"/>
              <w:rPr>
                <w:rFonts w:cs="Arial" w:asciiTheme="minorEastAsia" w:hAnsiTheme="minorEastAsia" w:eastAsiaTheme="minorEastAsia"/>
                <w:b/>
                <w:bCs w:val="0"/>
                <w:color w:val="auto"/>
              </w:rPr>
            </w:pPr>
            <w:r>
              <w:rPr>
                <w:rFonts w:cs="Arial" w:asciiTheme="minorEastAsia" w:hAnsiTheme="minorEastAsia" w:eastAsiaTheme="minorEastAsia"/>
                <w:b/>
                <w:bCs w:val="0"/>
                <w:color w:val="auto"/>
              </w:rPr>
              <w:t>a．投标人应接受招标文件规定的风险划分原则，未提出新的风险划分办法；</w:t>
            </w:r>
          </w:p>
          <w:p>
            <w:pPr>
              <w:keepNext w:val="0"/>
              <w:keepLines w:val="0"/>
              <w:pageBreakBefore w:val="0"/>
              <w:widowControl w:val="0"/>
              <w:tabs>
                <w:tab w:val="left" w:pos="315"/>
                <w:tab w:val="left" w:pos="690"/>
              </w:tabs>
              <w:kinsoku/>
              <w:wordWrap/>
              <w:overflowPunct/>
              <w:topLinePunct w:val="0"/>
              <w:autoSpaceDE/>
              <w:autoSpaceDN/>
              <w:bidi w:val="0"/>
              <w:adjustRightInd/>
              <w:spacing w:line="312" w:lineRule="auto"/>
              <w:ind w:firstLine="190" w:firstLineChars="90"/>
              <w:textAlignment w:val="auto"/>
              <w:rPr>
                <w:rFonts w:cs="Arial" w:asciiTheme="minorEastAsia" w:hAnsiTheme="minorEastAsia" w:eastAsiaTheme="minorEastAsia"/>
                <w:b/>
                <w:bCs w:val="0"/>
                <w:color w:val="auto"/>
              </w:rPr>
            </w:pPr>
            <w:r>
              <w:rPr>
                <w:rFonts w:cs="Arial" w:asciiTheme="minorEastAsia" w:hAnsiTheme="minorEastAsia" w:eastAsiaTheme="minorEastAsia"/>
                <w:b/>
                <w:bCs w:val="0"/>
                <w:color w:val="auto"/>
              </w:rPr>
              <w:t xml:space="preserve">b．投标人未增加发包人的责任范围，或减少投标人义务； </w:t>
            </w:r>
          </w:p>
          <w:p>
            <w:pPr>
              <w:keepNext w:val="0"/>
              <w:keepLines w:val="0"/>
              <w:pageBreakBefore w:val="0"/>
              <w:widowControl w:val="0"/>
              <w:tabs>
                <w:tab w:val="left" w:pos="315"/>
                <w:tab w:val="left" w:pos="690"/>
              </w:tabs>
              <w:kinsoku/>
              <w:wordWrap/>
              <w:overflowPunct/>
              <w:topLinePunct w:val="0"/>
              <w:autoSpaceDE/>
              <w:autoSpaceDN/>
              <w:bidi w:val="0"/>
              <w:adjustRightInd/>
              <w:spacing w:line="312" w:lineRule="auto"/>
              <w:ind w:firstLine="190" w:firstLineChars="90"/>
              <w:textAlignment w:val="auto"/>
              <w:rPr>
                <w:rFonts w:cs="Arial" w:asciiTheme="minorEastAsia" w:hAnsiTheme="minorEastAsia" w:eastAsiaTheme="minorEastAsia"/>
                <w:b/>
                <w:bCs w:val="0"/>
                <w:color w:val="auto"/>
              </w:rPr>
            </w:pPr>
            <w:r>
              <w:rPr>
                <w:rFonts w:cs="Arial" w:asciiTheme="minorEastAsia" w:hAnsiTheme="minorEastAsia" w:eastAsiaTheme="minorEastAsia"/>
                <w:b/>
                <w:bCs w:val="0"/>
                <w:color w:val="auto"/>
              </w:rPr>
              <w:t xml:space="preserve">c．投标人未提出不同的工程验收、计量、支付办法； </w:t>
            </w:r>
          </w:p>
          <w:p>
            <w:pPr>
              <w:keepNext w:val="0"/>
              <w:keepLines w:val="0"/>
              <w:pageBreakBefore w:val="0"/>
              <w:widowControl w:val="0"/>
              <w:tabs>
                <w:tab w:val="left" w:pos="315"/>
                <w:tab w:val="left" w:pos="690"/>
              </w:tabs>
              <w:kinsoku/>
              <w:wordWrap/>
              <w:overflowPunct/>
              <w:topLinePunct w:val="0"/>
              <w:autoSpaceDE/>
              <w:autoSpaceDN/>
              <w:bidi w:val="0"/>
              <w:adjustRightInd/>
              <w:spacing w:line="312" w:lineRule="auto"/>
              <w:ind w:firstLine="190" w:firstLineChars="90"/>
              <w:textAlignment w:val="auto"/>
              <w:rPr>
                <w:rFonts w:cs="Arial" w:asciiTheme="minorEastAsia" w:hAnsiTheme="minorEastAsia" w:eastAsiaTheme="minorEastAsia"/>
                <w:b/>
                <w:bCs w:val="0"/>
                <w:color w:val="auto"/>
              </w:rPr>
            </w:pPr>
            <w:r>
              <w:rPr>
                <w:rFonts w:cs="Arial" w:asciiTheme="minorEastAsia" w:hAnsiTheme="minorEastAsia" w:eastAsiaTheme="minorEastAsia"/>
                <w:b/>
                <w:bCs w:val="0"/>
                <w:color w:val="auto"/>
              </w:rPr>
              <w:t xml:space="preserve">d．投标人对合同纠纷、事故处理办法未提出异议； </w:t>
            </w:r>
          </w:p>
          <w:p>
            <w:pPr>
              <w:keepNext w:val="0"/>
              <w:keepLines w:val="0"/>
              <w:pageBreakBefore w:val="0"/>
              <w:widowControl w:val="0"/>
              <w:tabs>
                <w:tab w:val="left" w:pos="315"/>
                <w:tab w:val="left" w:pos="690"/>
              </w:tabs>
              <w:kinsoku/>
              <w:wordWrap/>
              <w:overflowPunct/>
              <w:topLinePunct w:val="0"/>
              <w:autoSpaceDE/>
              <w:autoSpaceDN/>
              <w:bidi w:val="0"/>
              <w:adjustRightInd/>
              <w:spacing w:line="312" w:lineRule="auto"/>
              <w:ind w:firstLine="190" w:firstLineChars="90"/>
              <w:textAlignment w:val="auto"/>
              <w:rPr>
                <w:rFonts w:cs="Arial" w:asciiTheme="minorEastAsia" w:hAnsiTheme="minorEastAsia" w:eastAsiaTheme="minorEastAsia"/>
                <w:b/>
                <w:bCs w:val="0"/>
                <w:color w:val="auto"/>
              </w:rPr>
            </w:pPr>
            <w:r>
              <w:rPr>
                <w:rFonts w:cs="Arial" w:asciiTheme="minorEastAsia" w:hAnsiTheme="minorEastAsia" w:eastAsiaTheme="minorEastAsia"/>
                <w:b/>
                <w:bCs w:val="0"/>
                <w:color w:val="auto"/>
              </w:rPr>
              <w:t>e．投标人在投标活动中无欺诈行为；</w:t>
            </w:r>
          </w:p>
          <w:p>
            <w:pPr>
              <w:keepNext w:val="0"/>
              <w:keepLines w:val="0"/>
              <w:pageBreakBefore w:val="0"/>
              <w:widowControl w:val="0"/>
              <w:tabs>
                <w:tab w:val="left" w:pos="315"/>
                <w:tab w:val="left" w:pos="690"/>
              </w:tabs>
              <w:kinsoku/>
              <w:wordWrap/>
              <w:overflowPunct/>
              <w:topLinePunct w:val="0"/>
              <w:autoSpaceDE/>
              <w:autoSpaceDN/>
              <w:bidi w:val="0"/>
              <w:adjustRightInd/>
              <w:spacing w:line="312" w:lineRule="auto"/>
              <w:ind w:firstLine="190" w:firstLineChars="90"/>
              <w:textAlignment w:val="auto"/>
              <w:rPr>
                <w:rFonts w:cs="Arial" w:asciiTheme="minorEastAsia" w:hAnsiTheme="minorEastAsia" w:eastAsiaTheme="minorEastAsia"/>
                <w:b/>
                <w:bCs w:val="0"/>
                <w:color w:val="auto"/>
              </w:rPr>
            </w:pPr>
            <w:r>
              <w:rPr>
                <w:rFonts w:cs="Arial" w:asciiTheme="minorEastAsia" w:hAnsiTheme="minorEastAsia" w:eastAsiaTheme="minorEastAsia"/>
                <w:b/>
                <w:bCs w:val="0"/>
                <w:color w:val="auto"/>
              </w:rPr>
              <w:t>f．投标人未对合同条款有重要保留。</w:t>
            </w:r>
          </w:p>
          <w:p>
            <w:pPr>
              <w:keepNext w:val="0"/>
              <w:keepLines w:val="0"/>
              <w:pageBreakBefore w:val="0"/>
              <w:widowControl w:val="0"/>
              <w:tabs>
                <w:tab w:val="left" w:pos="315"/>
                <w:tab w:val="left" w:pos="690"/>
              </w:tabs>
              <w:kinsoku/>
              <w:wordWrap/>
              <w:overflowPunct/>
              <w:topLinePunct w:val="0"/>
              <w:autoSpaceDE/>
              <w:autoSpaceDN/>
              <w:bidi w:val="0"/>
              <w:adjustRightInd/>
              <w:spacing w:line="312" w:lineRule="auto"/>
              <w:textAlignment w:val="auto"/>
              <w:rPr>
                <w:rFonts w:cs="Arial" w:asciiTheme="minorEastAsia" w:hAnsiTheme="minorEastAsia" w:eastAsiaTheme="minorEastAsia"/>
                <w:b/>
                <w:bCs w:val="0"/>
                <w:color w:val="auto"/>
              </w:rPr>
            </w:pPr>
            <w:r>
              <w:rPr>
                <w:rFonts w:cs="Arial" w:asciiTheme="minorEastAsia" w:hAnsiTheme="minorEastAsia" w:eastAsiaTheme="minorEastAsia"/>
                <w:b/>
                <w:bCs w:val="0"/>
                <w:color w:val="auto"/>
              </w:rPr>
              <w:t>（1</w:t>
            </w:r>
            <w:r>
              <w:rPr>
                <w:rFonts w:hint="eastAsia" w:cs="Arial" w:asciiTheme="minorEastAsia" w:hAnsiTheme="minorEastAsia" w:eastAsiaTheme="minorEastAsia"/>
                <w:b/>
                <w:bCs w:val="0"/>
                <w:color w:val="auto"/>
              </w:rPr>
              <w:t>4</w:t>
            </w:r>
            <w:r>
              <w:rPr>
                <w:rFonts w:cs="Arial" w:asciiTheme="minorEastAsia" w:hAnsiTheme="minorEastAsia" w:eastAsiaTheme="minorEastAsia"/>
                <w:b/>
                <w:bCs w:val="0"/>
                <w:color w:val="auto"/>
              </w:rPr>
              <w:t>）</w:t>
            </w:r>
            <w:r>
              <w:rPr>
                <w:rFonts w:cs="Arial" w:asciiTheme="minorEastAsia" w:hAnsiTheme="minorEastAsia" w:eastAsiaTheme="minorEastAsia"/>
                <w:b/>
                <w:bCs w:val="0"/>
                <w:color w:val="auto"/>
              </w:rPr>
              <w:tab/>
            </w:r>
            <w:r>
              <w:rPr>
                <w:rFonts w:cs="Arial" w:asciiTheme="minorEastAsia" w:hAnsiTheme="minorEastAsia" w:eastAsiaTheme="minorEastAsia"/>
                <w:b/>
                <w:bCs w:val="0"/>
                <w:color w:val="auto"/>
              </w:rPr>
              <w:t>投标文件正、副本份数符合招标文件第二章</w:t>
            </w:r>
            <w:r>
              <w:rPr>
                <w:rFonts w:hint="eastAsia" w:cs="Arial" w:asciiTheme="minorEastAsia" w:hAnsiTheme="minorEastAsia" w:eastAsiaTheme="minorEastAsia"/>
                <w:b/>
                <w:bCs w:val="0"/>
                <w:color w:val="auto"/>
              </w:rPr>
              <w:t>“</w:t>
            </w:r>
            <w:r>
              <w:rPr>
                <w:rFonts w:cs="Arial" w:asciiTheme="minorEastAsia" w:hAnsiTheme="minorEastAsia" w:eastAsiaTheme="minorEastAsia"/>
                <w:b/>
                <w:bCs w:val="0"/>
                <w:color w:val="auto"/>
              </w:rPr>
              <w:t>投标人须知</w:t>
            </w:r>
            <w:r>
              <w:rPr>
                <w:rFonts w:hint="eastAsia" w:cs="Arial" w:asciiTheme="minorEastAsia" w:hAnsiTheme="minorEastAsia" w:eastAsiaTheme="minorEastAsia"/>
                <w:b/>
                <w:bCs w:val="0"/>
                <w:color w:val="auto"/>
              </w:rPr>
              <w:t>”</w:t>
            </w:r>
            <w:r>
              <w:rPr>
                <w:rFonts w:cs="Arial" w:asciiTheme="minorEastAsia" w:hAnsiTheme="minorEastAsia" w:eastAsiaTheme="minorEastAsia"/>
                <w:b/>
                <w:bCs w:val="0"/>
                <w:color w:val="auto"/>
              </w:rPr>
              <w:t>第3.7.4项规定。</w:t>
            </w:r>
          </w:p>
          <w:p>
            <w:pPr>
              <w:keepNext w:val="0"/>
              <w:keepLines w:val="0"/>
              <w:pageBreakBefore w:val="0"/>
              <w:widowControl w:val="0"/>
              <w:tabs>
                <w:tab w:val="left" w:pos="315"/>
                <w:tab w:val="left" w:pos="690"/>
              </w:tabs>
              <w:kinsoku/>
              <w:wordWrap/>
              <w:overflowPunct/>
              <w:topLinePunct w:val="0"/>
              <w:autoSpaceDE/>
              <w:autoSpaceDN/>
              <w:bidi w:val="0"/>
              <w:adjustRightInd/>
              <w:spacing w:line="312" w:lineRule="auto"/>
              <w:textAlignment w:val="auto"/>
              <w:rPr>
                <w:rFonts w:cs="Arial" w:asciiTheme="minorEastAsia" w:hAnsiTheme="minorEastAsia" w:eastAsiaTheme="minorEastAsia"/>
                <w:b/>
                <w:bCs w:val="0"/>
                <w:color w:val="auto"/>
              </w:rPr>
            </w:pPr>
            <w:r>
              <w:rPr>
                <w:rFonts w:cs="Arial" w:asciiTheme="minorEastAsia" w:hAnsiTheme="minorEastAsia" w:eastAsiaTheme="minorEastAsia"/>
                <w:b/>
                <w:bCs w:val="0"/>
                <w:color w:val="auto"/>
              </w:rPr>
              <w:t>第二个信封（</w:t>
            </w:r>
            <w:r>
              <w:rPr>
                <w:rFonts w:hint="eastAsia" w:cs="Arial" w:asciiTheme="minorEastAsia" w:hAnsiTheme="minorEastAsia" w:eastAsiaTheme="minorEastAsia"/>
                <w:b/>
                <w:bCs w:val="0"/>
                <w:color w:val="auto"/>
              </w:rPr>
              <w:t>报价</w:t>
            </w:r>
            <w:r>
              <w:rPr>
                <w:rFonts w:cs="Arial" w:asciiTheme="minorEastAsia" w:hAnsiTheme="minorEastAsia" w:eastAsiaTheme="minorEastAsia"/>
                <w:b/>
                <w:bCs w:val="0"/>
                <w:color w:val="auto"/>
              </w:rPr>
              <w:t>文件）评审标准：</w:t>
            </w:r>
          </w:p>
          <w:p>
            <w:pPr>
              <w:keepNext w:val="0"/>
              <w:keepLines w:val="0"/>
              <w:pageBreakBefore w:val="0"/>
              <w:widowControl w:val="0"/>
              <w:tabs>
                <w:tab w:val="left" w:pos="315"/>
                <w:tab w:val="left" w:pos="690"/>
              </w:tabs>
              <w:kinsoku/>
              <w:wordWrap/>
              <w:overflowPunct/>
              <w:topLinePunct w:val="0"/>
              <w:autoSpaceDE/>
              <w:autoSpaceDN/>
              <w:bidi w:val="0"/>
              <w:adjustRightInd/>
              <w:spacing w:line="312" w:lineRule="auto"/>
              <w:textAlignment w:val="auto"/>
              <w:rPr>
                <w:rFonts w:cs="Arial" w:asciiTheme="minorEastAsia" w:hAnsiTheme="minorEastAsia" w:eastAsiaTheme="minorEastAsia"/>
                <w:b/>
                <w:bCs w:val="0"/>
                <w:color w:val="auto"/>
              </w:rPr>
            </w:pPr>
            <w:r>
              <w:rPr>
                <w:rFonts w:cs="Arial" w:asciiTheme="minorEastAsia" w:hAnsiTheme="minorEastAsia" w:eastAsiaTheme="minorEastAsia"/>
                <w:b/>
                <w:bCs w:val="0"/>
                <w:color w:val="auto"/>
              </w:rPr>
              <w:t>（1）投标文件按照招标文件规定的格式、内容填写，字迹清晰可</w:t>
            </w:r>
            <w:r>
              <w:rPr>
                <w:rFonts w:hint="eastAsia" w:cs="Arial" w:asciiTheme="minorEastAsia" w:hAnsiTheme="minorEastAsia" w:eastAsiaTheme="minorEastAsia"/>
                <w:b/>
                <w:bCs w:val="0"/>
                <w:color w:val="auto"/>
              </w:rPr>
              <w:t>辨</w:t>
            </w:r>
            <w:r>
              <w:rPr>
                <w:rFonts w:cs="Arial" w:asciiTheme="minorEastAsia" w:hAnsiTheme="minorEastAsia" w:eastAsiaTheme="minorEastAsia"/>
                <w:b/>
                <w:bCs w:val="0"/>
                <w:color w:val="auto"/>
              </w:rPr>
              <w:t>：</w:t>
            </w:r>
          </w:p>
          <w:p>
            <w:pPr>
              <w:keepNext w:val="0"/>
              <w:keepLines w:val="0"/>
              <w:pageBreakBefore w:val="0"/>
              <w:widowControl w:val="0"/>
              <w:tabs>
                <w:tab w:val="left" w:pos="315"/>
                <w:tab w:val="left" w:pos="690"/>
              </w:tabs>
              <w:kinsoku/>
              <w:wordWrap/>
              <w:overflowPunct/>
              <w:topLinePunct w:val="0"/>
              <w:autoSpaceDE/>
              <w:autoSpaceDN/>
              <w:bidi w:val="0"/>
              <w:adjustRightInd/>
              <w:spacing w:line="312" w:lineRule="auto"/>
              <w:ind w:firstLine="190" w:firstLineChars="90"/>
              <w:textAlignment w:val="auto"/>
              <w:rPr>
                <w:rFonts w:cs="Arial" w:asciiTheme="minorEastAsia" w:hAnsiTheme="minorEastAsia" w:eastAsiaTheme="minorEastAsia"/>
                <w:b/>
                <w:bCs w:val="0"/>
                <w:color w:val="auto"/>
              </w:rPr>
            </w:pPr>
            <w:r>
              <w:rPr>
                <w:rFonts w:cs="Arial" w:asciiTheme="minorEastAsia" w:hAnsiTheme="minorEastAsia" w:eastAsiaTheme="minorEastAsia"/>
                <w:b/>
                <w:bCs w:val="0"/>
                <w:color w:val="auto"/>
              </w:rPr>
              <w:t>a．投标函按招标文件规定填报了项目名称、标段号、补遗书编号（如有）、投标价（包括大写金额和小写金额）；</w:t>
            </w:r>
          </w:p>
          <w:p>
            <w:pPr>
              <w:keepNext w:val="0"/>
              <w:keepLines w:val="0"/>
              <w:pageBreakBefore w:val="0"/>
              <w:widowControl w:val="0"/>
              <w:tabs>
                <w:tab w:val="left" w:pos="315"/>
                <w:tab w:val="left" w:pos="690"/>
              </w:tabs>
              <w:kinsoku/>
              <w:wordWrap/>
              <w:overflowPunct/>
              <w:topLinePunct w:val="0"/>
              <w:autoSpaceDE/>
              <w:autoSpaceDN/>
              <w:bidi w:val="0"/>
              <w:adjustRightInd/>
              <w:spacing w:line="312" w:lineRule="auto"/>
              <w:ind w:firstLine="190" w:firstLineChars="90"/>
              <w:textAlignment w:val="auto"/>
              <w:rPr>
                <w:rFonts w:cs="Arial" w:asciiTheme="minorEastAsia" w:hAnsiTheme="minorEastAsia" w:eastAsiaTheme="minorEastAsia"/>
                <w:b/>
                <w:bCs w:val="0"/>
                <w:color w:val="auto"/>
              </w:rPr>
            </w:pPr>
            <w:r>
              <w:rPr>
                <w:rFonts w:cs="Arial" w:asciiTheme="minorEastAsia" w:hAnsiTheme="minorEastAsia" w:eastAsiaTheme="minorEastAsia"/>
                <w:b/>
                <w:bCs w:val="0"/>
                <w:color w:val="auto"/>
              </w:rPr>
              <w:t>b．</w:t>
            </w:r>
            <w:r>
              <w:rPr>
                <w:rFonts w:hint="eastAsia" w:cs="Arial" w:asciiTheme="minorEastAsia" w:hAnsiTheme="minorEastAsia" w:eastAsiaTheme="minorEastAsia"/>
                <w:b/>
                <w:bCs w:val="0"/>
                <w:color w:val="auto"/>
              </w:rPr>
              <w:t>已</w:t>
            </w:r>
            <w:r>
              <w:rPr>
                <w:rFonts w:cs="Arial" w:asciiTheme="minorEastAsia" w:hAnsiTheme="minorEastAsia" w:eastAsiaTheme="minorEastAsia"/>
                <w:b/>
                <w:bCs w:val="0"/>
                <w:color w:val="auto"/>
              </w:rPr>
              <w:t>标价工程量清单说明文字与招标文件规定一致，未进行实质性修改和删减；</w:t>
            </w:r>
          </w:p>
          <w:p>
            <w:pPr>
              <w:keepNext w:val="0"/>
              <w:keepLines w:val="0"/>
              <w:pageBreakBefore w:val="0"/>
              <w:widowControl w:val="0"/>
              <w:tabs>
                <w:tab w:val="left" w:pos="315"/>
                <w:tab w:val="left" w:pos="690"/>
              </w:tabs>
              <w:kinsoku/>
              <w:wordWrap/>
              <w:overflowPunct/>
              <w:topLinePunct w:val="0"/>
              <w:autoSpaceDE/>
              <w:autoSpaceDN/>
              <w:bidi w:val="0"/>
              <w:adjustRightInd/>
              <w:spacing w:line="312" w:lineRule="auto"/>
              <w:ind w:firstLine="190" w:firstLineChars="90"/>
              <w:textAlignment w:val="auto"/>
              <w:rPr>
                <w:rFonts w:cs="Arial" w:asciiTheme="minorEastAsia" w:hAnsiTheme="minorEastAsia" w:eastAsiaTheme="minorEastAsia"/>
                <w:b/>
                <w:bCs w:val="0"/>
                <w:color w:val="auto"/>
              </w:rPr>
            </w:pPr>
            <w:r>
              <w:rPr>
                <w:rFonts w:cs="Arial" w:asciiTheme="minorEastAsia" w:hAnsiTheme="minorEastAsia" w:eastAsiaTheme="minorEastAsia"/>
                <w:b/>
                <w:bCs w:val="0"/>
                <w:color w:val="auto"/>
              </w:rPr>
              <w:t>c．投标文件组成齐全完整，内容均按规定填写。</w:t>
            </w:r>
          </w:p>
          <w:p>
            <w:pPr>
              <w:keepNext w:val="0"/>
              <w:keepLines w:val="0"/>
              <w:pageBreakBefore w:val="0"/>
              <w:widowControl w:val="0"/>
              <w:tabs>
                <w:tab w:val="left" w:pos="315"/>
              </w:tabs>
              <w:kinsoku/>
              <w:wordWrap/>
              <w:overflowPunct/>
              <w:topLinePunct w:val="0"/>
              <w:autoSpaceDE/>
              <w:autoSpaceDN/>
              <w:bidi w:val="0"/>
              <w:adjustRightInd/>
              <w:spacing w:line="312" w:lineRule="auto"/>
              <w:textAlignment w:val="auto"/>
              <w:rPr>
                <w:rFonts w:cs="Arial" w:asciiTheme="minorEastAsia" w:hAnsiTheme="minorEastAsia" w:eastAsiaTheme="minorEastAsia"/>
                <w:b/>
                <w:bCs w:val="0"/>
                <w:color w:val="auto"/>
              </w:rPr>
            </w:pPr>
            <w:r>
              <w:rPr>
                <w:rFonts w:cs="Arial" w:asciiTheme="minorEastAsia" w:hAnsiTheme="minorEastAsia" w:eastAsiaTheme="minorEastAsia"/>
                <w:b/>
                <w:bCs w:val="0"/>
                <w:color w:val="auto"/>
              </w:rPr>
              <w:t>（2）投标文件上法定代表人或其委托代理人的签字、投标人的单位章盖章齐全，符合招标文件规定。</w:t>
            </w:r>
          </w:p>
          <w:p>
            <w:pPr>
              <w:keepNext w:val="0"/>
              <w:keepLines w:val="0"/>
              <w:pageBreakBefore w:val="0"/>
              <w:widowControl w:val="0"/>
              <w:tabs>
                <w:tab w:val="left" w:pos="315"/>
              </w:tabs>
              <w:kinsoku/>
              <w:wordWrap/>
              <w:overflowPunct/>
              <w:topLinePunct w:val="0"/>
              <w:autoSpaceDE/>
              <w:autoSpaceDN/>
              <w:bidi w:val="0"/>
              <w:adjustRightInd/>
              <w:spacing w:line="312" w:lineRule="auto"/>
              <w:textAlignment w:val="auto"/>
              <w:rPr>
                <w:rFonts w:cs="Arial" w:asciiTheme="minorEastAsia" w:hAnsiTheme="minorEastAsia" w:eastAsiaTheme="minorEastAsia"/>
                <w:b/>
                <w:bCs w:val="0"/>
                <w:color w:val="auto"/>
              </w:rPr>
            </w:pPr>
            <w:r>
              <w:rPr>
                <w:rFonts w:cs="Arial" w:asciiTheme="minorEastAsia" w:hAnsiTheme="minorEastAsia" w:eastAsiaTheme="minorEastAsia"/>
                <w:b/>
                <w:bCs w:val="0"/>
                <w:color w:val="auto"/>
              </w:rPr>
              <w:t>（3）投标报价或调价函中的报价未超过招标文件设定的最高投标限价</w:t>
            </w:r>
            <w:r>
              <w:rPr>
                <w:rFonts w:hint="eastAsia" w:cs="Arial"/>
                <w:b/>
                <w:bCs w:val="0"/>
                <w:color w:val="auto"/>
              </w:rPr>
              <w:t>且主要工程量清单细目单价未超过招标文件设定的最高细目限价</w:t>
            </w:r>
            <w:r>
              <w:rPr>
                <w:rFonts w:cs="Arial" w:asciiTheme="minorEastAsia" w:hAnsiTheme="minorEastAsia" w:eastAsiaTheme="minorEastAsia"/>
                <w:b/>
                <w:bCs w:val="0"/>
                <w:color w:val="auto"/>
              </w:rPr>
              <w:t>（如有）。</w:t>
            </w:r>
          </w:p>
          <w:p>
            <w:pPr>
              <w:keepNext w:val="0"/>
              <w:keepLines w:val="0"/>
              <w:pageBreakBefore w:val="0"/>
              <w:widowControl w:val="0"/>
              <w:tabs>
                <w:tab w:val="left" w:pos="315"/>
              </w:tabs>
              <w:kinsoku/>
              <w:wordWrap/>
              <w:overflowPunct/>
              <w:topLinePunct w:val="0"/>
              <w:autoSpaceDE/>
              <w:autoSpaceDN/>
              <w:bidi w:val="0"/>
              <w:adjustRightInd/>
              <w:spacing w:line="312" w:lineRule="auto"/>
              <w:textAlignment w:val="auto"/>
              <w:rPr>
                <w:rFonts w:cs="Arial" w:asciiTheme="minorEastAsia" w:hAnsiTheme="minorEastAsia" w:eastAsiaTheme="minorEastAsia"/>
                <w:b/>
                <w:bCs w:val="0"/>
                <w:color w:val="auto"/>
              </w:rPr>
            </w:pPr>
            <w:r>
              <w:rPr>
                <w:rFonts w:cs="Arial" w:asciiTheme="minorEastAsia" w:hAnsiTheme="minorEastAsia" w:eastAsiaTheme="minorEastAsia"/>
                <w:b/>
                <w:bCs w:val="0"/>
                <w:color w:val="auto"/>
              </w:rPr>
              <w:t>（4）投标报价或调价函中报价的大写金额能够确定具体数值。</w:t>
            </w:r>
          </w:p>
          <w:p>
            <w:pPr>
              <w:keepNext w:val="0"/>
              <w:keepLines w:val="0"/>
              <w:pageBreakBefore w:val="0"/>
              <w:widowControl w:val="0"/>
              <w:tabs>
                <w:tab w:val="left" w:pos="315"/>
              </w:tabs>
              <w:kinsoku/>
              <w:wordWrap/>
              <w:overflowPunct/>
              <w:topLinePunct w:val="0"/>
              <w:autoSpaceDE/>
              <w:autoSpaceDN/>
              <w:bidi w:val="0"/>
              <w:adjustRightInd/>
              <w:spacing w:line="312" w:lineRule="auto"/>
              <w:textAlignment w:val="auto"/>
              <w:rPr>
                <w:rFonts w:cs="Arial" w:asciiTheme="minorEastAsia" w:hAnsiTheme="minorEastAsia" w:eastAsiaTheme="minorEastAsia"/>
                <w:b/>
                <w:bCs w:val="0"/>
                <w:color w:val="auto"/>
              </w:rPr>
            </w:pPr>
            <w:r>
              <w:rPr>
                <w:rFonts w:cs="Arial" w:asciiTheme="minorEastAsia" w:hAnsiTheme="minorEastAsia" w:eastAsiaTheme="minorEastAsia"/>
                <w:b/>
                <w:bCs w:val="0"/>
                <w:color w:val="auto"/>
              </w:rPr>
              <w:t>（5）同一投标人未提交两个以上不同的投标报价，但招标文件要求提交备选投标的除外。</w:t>
            </w:r>
          </w:p>
          <w:p>
            <w:pPr>
              <w:keepNext w:val="0"/>
              <w:keepLines w:val="0"/>
              <w:pageBreakBefore w:val="0"/>
              <w:widowControl w:val="0"/>
              <w:tabs>
                <w:tab w:val="left" w:pos="315"/>
              </w:tabs>
              <w:kinsoku/>
              <w:wordWrap/>
              <w:overflowPunct/>
              <w:topLinePunct w:val="0"/>
              <w:autoSpaceDE/>
              <w:autoSpaceDN/>
              <w:bidi w:val="0"/>
              <w:adjustRightInd/>
              <w:spacing w:line="312" w:lineRule="auto"/>
              <w:textAlignment w:val="auto"/>
              <w:rPr>
                <w:rFonts w:cs="Arial" w:asciiTheme="minorEastAsia" w:hAnsiTheme="minorEastAsia" w:eastAsiaTheme="minorEastAsia"/>
                <w:b/>
                <w:bCs w:val="0"/>
                <w:color w:val="auto"/>
              </w:rPr>
            </w:pPr>
            <w:r>
              <w:rPr>
                <w:rFonts w:cs="Arial" w:asciiTheme="minorEastAsia" w:hAnsiTheme="minorEastAsia" w:eastAsiaTheme="minorEastAsia"/>
                <w:b/>
                <w:bCs w:val="0"/>
                <w:color w:val="auto"/>
              </w:rPr>
              <w:t>（6）投标人若提交调价函，调价函符合招标文件第二章</w:t>
            </w:r>
            <w:r>
              <w:rPr>
                <w:rFonts w:hint="eastAsia" w:cs="Arial" w:asciiTheme="minorEastAsia" w:hAnsiTheme="minorEastAsia" w:eastAsiaTheme="minorEastAsia"/>
                <w:b/>
                <w:bCs w:val="0"/>
                <w:color w:val="auto"/>
              </w:rPr>
              <w:t>“</w:t>
            </w:r>
            <w:r>
              <w:rPr>
                <w:rFonts w:cs="Arial" w:asciiTheme="minorEastAsia" w:hAnsiTheme="minorEastAsia" w:eastAsiaTheme="minorEastAsia"/>
                <w:b/>
                <w:bCs w:val="0"/>
                <w:color w:val="auto"/>
              </w:rPr>
              <w:t>投标人须知</w:t>
            </w:r>
            <w:r>
              <w:rPr>
                <w:rFonts w:hint="eastAsia" w:cs="Arial" w:asciiTheme="minorEastAsia" w:hAnsiTheme="minorEastAsia" w:eastAsiaTheme="minorEastAsia"/>
                <w:b/>
                <w:bCs w:val="0"/>
                <w:color w:val="auto"/>
              </w:rPr>
              <w:t>”</w:t>
            </w:r>
            <w:r>
              <w:rPr>
                <w:rFonts w:cs="Arial" w:asciiTheme="minorEastAsia" w:hAnsiTheme="minorEastAsia" w:eastAsiaTheme="minorEastAsia"/>
                <w:b/>
                <w:bCs w:val="0"/>
                <w:color w:val="auto"/>
              </w:rPr>
              <w:t>第3.2.6项要求。</w:t>
            </w:r>
          </w:p>
          <w:p>
            <w:pPr>
              <w:keepNext w:val="0"/>
              <w:keepLines w:val="0"/>
              <w:pageBreakBefore w:val="0"/>
              <w:widowControl w:val="0"/>
              <w:tabs>
                <w:tab w:val="left" w:pos="315"/>
              </w:tabs>
              <w:kinsoku/>
              <w:wordWrap/>
              <w:overflowPunct/>
              <w:topLinePunct w:val="0"/>
              <w:autoSpaceDE/>
              <w:autoSpaceDN/>
              <w:bidi w:val="0"/>
              <w:adjustRightInd/>
              <w:spacing w:line="312" w:lineRule="auto"/>
              <w:textAlignment w:val="auto"/>
              <w:rPr>
                <w:rFonts w:cs="Arial" w:asciiTheme="minorEastAsia" w:hAnsiTheme="minorEastAsia" w:eastAsiaTheme="minorEastAsia"/>
                <w:b/>
                <w:bCs w:val="0"/>
                <w:color w:val="auto"/>
              </w:rPr>
            </w:pPr>
            <w:r>
              <w:rPr>
                <w:rFonts w:cs="Arial" w:asciiTheme="minorEastAsia" w:hAnsiTheme="minorEastAsia" w:eastAsiaTheme="minorEastAsia"/>
                <w:b/>
                <w:bCs w:val="0"/>
                <w:color w:val="auto"/>
              </w:rPr>
              <w:t>（7）投标人若填写工程量固化清单，填写完毕的工程量固化清单未对工程量固化清单电子文件中的数据、格式和运算定义进行修改；工程量固化清单中的投标报价和投标函大写金额报价一致。</w:t>
            </w:r>
          </w:p>
          <w:p>
            <w:pPr>
              <w:keepNext w:val="0"/>
              <w:keepLines w:val="0"/>
              <w:pageBreakBefore w:val="0"/>
              <w:widowControl w:val="0"/>
              <w:tabs>
                <w:tab w:val="left" w:pos="315"/>
                <w:tab w:val="left" w:pos="690"/>
              </w:tabs>
              <w:kinsoku/>
              <w:wordWrap/>
              <w:overflowPunct/>
              <w:topLinePunct w:val="0"/>
              <w:autoSpaceDE/>
              <w:autoSpaceDN/>
              <w:bidi w:val="0"/>
              <w:adjustRightInd/>
              <w:spacing w:line="312" w:lineRule="auto"/>
              <w:ind w:left="-30"/>
              <w:textAlignment w:val="auto"/>
              <w:rPr>
                <w:rFonts w:ascii="Arial" w:hAnsi="Arial" w:cs="Arial"/>
                <w:b/>
                <w:bCs w:val="0"/>
                <w:color w:val="auto"/>
              </w:rPr>
            </w:pPr>
            <w:r>
              <w:rPr>
                <w:rFonts w:cs="Arial" w:asciiTheme="minorEastAsia" w:hAnsiTheme="minorEastAsia" w:eastAsiaTheme="minorEastAsia"/>
                <w:b/>
                <w:bCs w:val="0"/>
                <w:color w:val="auto"/>
              </w:rPr>
              <w:t>（8）投标文件正、副本份数符合招标文件第二章</w:t>
            </w:r>
            <w:r>
              <w:rPr>
                <w:rFonts w:hint="eastAsia" w:cs="Arial" w:asciiTheme="minorEastAsia" w:hAnsiTheme="minorEastAsia" w:eastAsiaTheme="minorEastAsia"/>
                <w:b/>
                <w:bCs w:val="0"/>
                <w:color w:val="auto"/>
              </w:rPr>
              <w:t>“</w:t>
            </w:r>
            <w:r>
              <w:rPr>
                <w:rFonts w:cs="Arial" w:asciiTheme="minorEastAsia" w:hAnsiTheme="minorEastAsia" w:eastAsiaTheme="minorEastAsia"/>
                <w:b/>
                <w:bCs w:val="0"/>
                <w:color w:val="auto"/>
              </w:rPr>
              <w:t>投标人须知</w:t>
            </w:r>
            <w:r>
              <w:rPr>
                <w:rFonts w:hint="eastAsia" w:cs="Arial" w:asciiTheme="minorEastAsia" w:hAnsiTheme="minorEastAsia" w:eastAsiaTheme="minorEastAsia"/>
                <w:b/>
                <w:bCs w:val="0"/>
                <w:color w:val="auto"/>
              </w:rPr>
              <w:t>”</w:t>
            </w:r>
            <w:r>
              <w:rPr>
                <w:rFonts w:cs="Arial" w:asciiTheme="minorEastAsia" w:hAnsiTheme="minorEastAsia" w:eastAsiaTheme="minorEastAsia"/>
                <w:b/>
                <w:bCs w:val="0"/>
                <w:color w:val="auto"/>
              </w:rPr>
              <w:t>第3.7.4项规定。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1029" w:type="dxa"/>
            <w:tcBorders>
              <w:top w:val="single" w:color="auto" w:sz="4" w:space="0"/>
              <w:bottom w:val="single" w:color="auto" w:sz="4" w:space="0"/>
              <w:right w:val="single" w:color="auto" w:sz="4" w:space="0"/>
            </w:tcBorders>
            <w:vAlign w:val="center"/>
          </w:tcPr>
          <w:p>
            <w:pPr>
              <w:snapToGrid w:val="0"/>
              <w:jc w:val="center"/>
              <w:rPr>
                <w:rFonts w:ascii="Arial" w:hAnsi="Arial" w:cs="Arial"/>
                <w:color w:val="auto"/>
                <w:szCs w:val="21"/>
              </w:rPr>
            </w:pPr>
            <w:r>
              <w:rPr>
                <w:rFonts w:ascii="Arial" w:hAnsi="Arial" w:cs="Arial"/>
                <w:color w:val="auto"/>
                <w:szCs w:val="21"/>
              </w:rPr>
              <w:t>2.1.2</w:t>
            </w:r>
          </w:p>
        </w:tc>
        <w:tc>
          <w:tcPr>
            <w:tcW w:w="1631" w:type="dxa"/>
            <w:tcBorders>
              <w:top w:val="single" w:color="auto" w:sz="4" w:space="0"/>
              <w:left w:val="nil"/>
              <w:bottom w:val="single" w:color="auto" w:sz="4" w:space="0"/>
              <w:right w:val="single" w:color="auto" w:sz="4" w:space="0"/>
            </w:tcBorders>
            <w:vAlign w:val="center"/>
          </w:tcPr>
          <w:p>
            <w:pPr>
              <w:snapToGrid w:val="0"/>
              <w:spacing w:line="300" w:lineRule="auto"/>
              <w:rPr>
                <w:rFonts w:ascii="Arial" w:hAnsi="Arial" w:cs="Arial"/>
                <w:color w:val="auto"/>
                <w:szCs w:val="21"/>
              </w:rPr>
            </w:pPr>
            <w:r>
              <w:rPr>
                <w:rFonts w:hint="eastAsia" w:ascii="Arial" w:hAnsi="宋体" w:cs="Arial"/>
                <w:color w:val="auto"/>
                <w:szCs w:val="21"/>
              </w:rPr>
              <w:t>资格评审标准（第一个信封）</w:t>
            </w:r>
          </w:p>
        </w:tc>
        <w:tc>
          <w:tcPr>
            <w:tcW w:w="6586"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4" w:lineRule="auto"/>
              <w:textAlignment w:val="auto"/>
              <w:rPr>
                <w:rFonts w:ascii="宋体" w:hAnsi="宋体" w:cs="Arial"/>
                <w:b/>
                <w:bCs w:val="0"/>
                <w:color w:val="auto"/>
                <w:szCs w:val="21"/>
              </w:rPr>
            </w:pPr>
            <w:r>
              <w:rPr>
                <w:rFonts w:cs="Arial" w:asciiTheme="minorEastAsia" w:hAnsiTheme="minorEastAsia" w:eastAsiaTheme="minorEastAsia"/>
                <w:b/>
                <w:bCs w:val="0"/>
                <w:color w:val="auto"/>
                <w:szCs w:val="21"/>
              </w:rPr>
              <w:t>（1）投标人具备有效的营业执照、</w:t>
            </w:r>
            <w:r>
              <w:rPr>
                <w:rFonts w:hint="eastAsia" w:cs="Arial" w:asciiTheme="minorEastAsia" w:hAnsiTheme="minorEastAsia" w:eastAsiaTheme="minorEastAsia"/>
                <w:b/>
                <w:bCs w:val="0"/>
                <w:color w:val="auto"/>
                <w:szCs w:val="21"/>
              </w:rPr>
              <w:t>组织机构代码证（或营业执照、组织机构代码证和税务登记证三证合一）、</w:t>
            </w:r>
            <w:r>
              <w:rPr>
                <w:rFonts w:cs="Arial" w:asciiTheme="minorEastAsia" w:hAnsiTheme="minorEastAsia" w:eastAsiaTheme="minorEastAsia"/>
                <w:b/>
                <w:bCs w:val="0"/>
                <w:color w:val="auto"/>
                <w:szCs w:val="21"/>
              </w:rPr>
              <w:t>资质证书</w:t>
            </w:r>
            <w:r>
              <w:rPr>
                <w:rFonts w:hint="eastAsia" w:cs="Arial" w:asciiTheme="minorEastAsia" w:hAnsiTheme="minorEastAsia" w:eastAsiaTheme="minorEastAsia"/>
                <w:b/>
                <w:bCs w:val="0"/>
                <w:color w:val="auto"/>
                <w:szCs w:val="21"/>
              </w:rPr>
              <w:t>和</w:t>
            </w:r>
            <w:r>
              <w:rPr>
                <w:rFonts w:cs="Arial" w:asciiTheme="minorEastAsia" w:hAnsiTheme="minorEastAsia" w:eastAsiaTheme="minorEastAsia"/>
                <w:b/>
                <w:bCs w:val="0"/>
                <w:color w:val="auto"/>
                <w:szCs w:val="21"/>
              </w:rPr>
              <w:t>安全生产许可证</w:t>
            </w:r>
            <w:r>
              <w:rPr>
                <w:rFonts w:hint="eastAsia" w:ascii="宋体" w:hAnsi="宋体" w:cs="Arial"/>
                <w:b/>
                <w:bCs w:val="0"/>
                <w:color w:val="auto"/>
                <w:szCs w:val="21"/>
              </w:rPr>
              <w:t>和基本帐户开户许可证（符合《关于试点取消企业银行账户开户许可证核发的通知》（银发〔</w:t>
            </w:r>
            <w:r>
              <w:rPr>
                <w:rFonts w:ascii="宋体" w:hAnsi="宋体" w:cs="Arial"/>
                <w:b/>
                <w:bCs w:val="0"/>
                <w:color w:val="auto"/>
                <w:szCs w:val="21"/>
              </w:rPr>
              <w:t xml:space="preserve">2018〕125 </w:t>
            </w:r>
            <w:r>
              <w:rPr>
                <w:rFonts w:hint="eastAsia" w:ascii="宋体" w:hAnsi="宋体" w:cs="Arial"/>
                <w:b/>
                <w:bCs w:val="0"/>
                <w:color w:val="auto"/>
                <w:szCs w:val="21"/>
              </w:rPr>
              <w:t>号）文件规定的试点地区的投标人，无须附基本账户《开户许可证》，但应附载有投标人名称、基本账户开户银行和银行账号信息的相关证明材料）</w:t>
            </w:r>
            <w:r>
              <w:rPr>
                <w:rFonts w:hint="eastAsia" w:cs="Arial" w:asciiTheme="minorEastAsia" w:hAnsiTheme="minorEastAsia" w:eastAsiaTheme="minorEastAsia"/>
                <w:b/>
                <w:bCs w:val="0"/>
                <w:color w:val="auto"/>
                <w:szCs w:val="21"/>
              </w:rPr>
              <w:t>。</w:t>
            </w:r>
          </w:p>
          <w:p>
            <w:pPr>
              <w:keepNext w:val="0"/>
              <w:keepLines w:val="0"/>
              <w:pageBreakBefore w:val="0"/>
              <w:widowControl w:val="0"/>
              <w:tabs>
                <w:tab w:val="left" w:pos="5950"/>
              </w:tabs>
              <w:kinsoku/>
              <w:wordWrap/>
              <w:overflowPunct/>
              <w:topLinePunct w:val="0"/>
              <w:autoSpaceDE/>
              <w:autoSpaceDN/>
              <w:bidi w:val="0"/>
              <w:adjustRightInd/>
              <w:snapToGrid w:val="0"/>
              <w:spacing w:line="324" w:lineRule="auto"/>
              <w:textAlignment w:val="auto"/>
              <w:rPr>
                <w:rFonts w:cs="Arial" w:asciiTheme="minorEastAsia" w:hAnsiTheme="minorEastAsia" w:eastAsiaTheme="minorEastAsia"/>
                <w:b/>
                <w:bCs w:val="0"/>
                <w:color w:val="auto"/>
                <w:szCs w:val="21"/>
              </w:rPr>
            </w:pPr>
            <w:r>
              <w:rPr>
                <w:rFonts w:cs="Arial" w:asciiTheme="minorEastAsia" w:hAnsiTheme="minorEastAsia" w:eastAsiaTheme="minorEastAsia"/>
                <w:b/>
                <w:bCs w:val="0"/>
                <w:color w:val="auto"/>
                <w:szCs w:val="21"/>
              </w:rPr>
              <w:t>（2）投标人</w:t>
            </w:r>
            <w:r>
              <w:rPr>
                <w:rFonts w:hint="eastAsia" w:cs="Arial" w:asciiTheme="minorEastAsia" w:hAnsiTheme="minorEastAsia" w:eastAsiaTheme="minorEastAsia"/>
                <w:b/>
                <w:bCs w:val="0"/>
                <w:color w:val="auto"/>
                <w:szCs w:val="21"/>
              </w:rPr>
              <w:t>的</w:t>
            </w:r>
            <w:r>
              <w:rPr>
                <w:rFonts w:cs="Arial" w:asciiTheme="minorEastAsia" w:hAnsiTheme="minorEastAsia" w:eastAsiaTheme="minorEastAsia"/>
                <w:b/>
                <w:bCs w:val="0"/>
                <w:color w:val="auto"/>
                <w:szCs w:val="21"/>
              </w:rPr>
              <w:t>资质等级符合招标文件规定</w:t>
            </w:r>
            <w:r>
              <w:rPr>
                <w:rFonts w:hint="eastAsia" w:cs="Arial" w:asciiTheme="minorEastAsia" w:hAnsiTheme="minorEastAsia" w:eastAsiaTheme="minorEastAsia"/>
                <w:b/>
                <w:bCs w:val="0"/>
                <w:color w:val="auto"/>
                <w:szCs w:val="21"/>
              </w:rPr>
              <w:t>。</w:t>
            </w:r>
          </w:p>
          <w:p>
            <w:pPr>
              <w:keepNext w:val="0"/>
              <w:keepLines w:val="0"/>
              <w:pageBreakBefore w:val="0"/>
              <w:widowControl w:val="0"/>
              <w:tabs>
                <w:tab w:val="left" w:pos="5950"/>
              </w:tabs>
              <w:kinsoku/>
              <w:wordWrap/>
              <w:overflowPunct/>
              <w:topLinePunct w:val="0"/>
              <w:autoSpaceDE/>
              <w:autoSpaceDN/>
              <w:bidi w:val="0"/>
              <w:adjustRightInd/>
              <w:snapToGrid w:val="0"/>
              <w:spacing w:line="324" w:lineRule="auto"/>
              <w:textAlignment w:val="auto"/>
              <w:rPr>
                <w:rFonts w:cs="Arial" w:asciiTheme="minorEastAsia" w:hAnsiTheme="minorEastAsia" w:eastAsiaTheme="minorEastAsia"/>
                <w:b/>
                <w:bCs w:val="0"/>
                <w:color w:val="auto"/>
                <w:szCs w:val="21"/>
              </w:rPr>
            </w:pPr>
            <w:r>
              <w:rPr>
                <w:rFonts w:cs="Arial" w:asciiTheme="minorEastAsia" w:hAnsiTheme="minorEastAsia" w:eastAsiaTheme="minorEastAsia"/>
                <w:b/>
                <w:bCs w:val="0"/>
                <w:color w:val="auto"/>
                <w:szCs w:val="21"/>
              </w:rPr>
              <w:t>（3）投标人的财务状况符合招标文件规定</w:t>
            </w:r>
            <w:r>
              <w:rPr>
                <w:rFonts w:hint="eastAsia" w:cs="Arial" w:asciiTheme="minorEastAsia" w:hAnsiTheme="minorEastAsia" w:eastAsiaTheme="minorEastAsia"/>
                <w:b/>
                <w:bCs w:val="0"/>
                <w:color w:val="auto"/>
                <w:szCs w:val="21"/>
              </w:rPr>
              <w:t>。</w:t>
            </w:r>
          </w:p>
          <w:p>
            <w:pPr>
              <w:keepNext w:val="0"/>
              <w:keepLines w:val="0"/>
              <w:pageBreakBefore w:val="0"/>
              <w:widowControl w:val="0"/>
              <w:tabs>
                <w:tab w:val="left" w:pos="5950"/>
              </w:tabs>
              <w:kinsoku/>
              <w:wordWrap/>
              <w:overflowPunct/>
              <w:topLinePunct w:val="0"/>
              <w:autoSpaceDE/>
              <w:autoSpaceDN/>
              <w:bidi w:val="0"/>
              <w:adjustRightInd/>
              <w:snapToGrid w:val="0"/>
              <w:spacing w:line="324" w:lineRule="auto"/>
              <w:textAlignment w:val="auto"/>
              <w:rPr>
                <w:rFonts w:cs="Arial" w:asciiTheme="minorEastAsia" w:hAnsiTheme="minorEastAsia" w:eastAsiaTheme="minorEastAsia"/>
                <w:b/>
                <w:bCs w:val="0"/>
                <w:color w:val="auto"/>
                <w:szCs w:val="21"/>
              </w:rPr>
            </w:pPr>
            <w:r>
              <w:rPr>
                <w:rFonts w:cs="Arial" w:asciiTheme="minorEastAsia" w:hAnsiTheme="minorEastAsia" w:eastAsiaTheme="minorEastAsia"/>
                <w:b/>
                <w:bCs w:val="0"/>
                <w:color w:val="auto"/>
                <w:szCs w:val="21"/>
              </w:rPr>
              <w:t>（4）投标人的</w:t>
            </w:r>
            <w:r>
              <w:rPr>
                <w:rFonts w:hint="eastAsia" w:cs="Arial" w:asciiTheme="minorEastAsia" w:hAnsiTheme="minorEastAsia" w:eastAsiaTheme="minorEastAsia"/>
                <w:b/>
                <w:bCs w:val="0"/>
                <w:color w:val="auto"/>
                <w:szCs w:val="21"/>
              </w:rPr>
              <w:t>类似项目业绩</w:t>
            </w:r>
            <w:r>
              <w:rPr>
                <w:rFonts w:cs="Arial" w:asciiTheme="minorEastAsia" w:hAnsiTheme="minorEastAsia" w:eastAsiaTheme="minorEastAsia"/>
                <w:b/>
                <w:bCs w:val="0"/>
                <w:color w:val="auto"/>
                <w:szCs w:val="21"/>
              </w:rPr>
              <w:t>符合招标文件规定</w:t>
            </w:r>
            <w:r>
              <w:rPr>
                <w:rFonts w:hint="eastAsia" w:cs="Arial" w:asciiTheme="minorEastAsia" w:hAnsiTheme="minorEastAsia" w:eastAsiaTheme="minorEastAsia"/>
                <w:b/>
                <w:bCs w:val="0"/>
                <w:color w:val="auto"/>
                <w:szCs w:val="21"/>
              </w:rPr>
              <w:t>（本项目不适用）。</w:t>
            </w:r>
          </w:p>
          <w:p>
            <w:pPr>
              <w:keepNext w:val="0"/>
              <w:keepLines w:val="0"/>
              <w:pageBreakBefore w:val="0"/>
              <w:widowControl w:val="0"/>
              <w:kinsoku/>
              <w:wordWrap/>
              <w:overflowPunct/>
              <w:topLinePunct w:val="0"/>
              <w:autoSpaceDE/>
              <w:autoSpaceDN/>
              <w:bidi w:val="0"/>
              <w:adjustRightInd/>
              <w:snapToGrid w:val="0"/>
              <w:spacing w:line="324" w:lineRule="auto"/>
              <w:textAlignment w:val="auto"/>
              <w:rPr>
                <w:rFonts w:cs="Arial" w:asciiTheme="minorEastAsia" w:hAnsiTheme="minorEastAsia" w:eastAsiaTheme="minorEastAsia"/>
                <w:b/>
                <w:bCs w:val="0"/>
                <w:color w:val="auto"/>
                <w:szCs w:val="21"/>
              </w:rPr>
            </w:pPr>
            <w:r>
              <w:rPr>
                <w:rFonts w:cs="Arial" w:asciiTheme="minorEastAsia" w:hAnsiTheme="minorEastAsia" w:eastAsiaTheme="minorEastAsia"/>
                <w:b/>
                <w:bCs w:val="0"/>
                <w:color w:val="auto"/>
                <w:szCs w:val="21"/>
              </w:rPr>
              <w:t>（</w:t>
            </w:r>
            <w:r>
              <w:rPr>
                <w:rFonts w:hint="eastAsia" w:cs="Arial" w:asciiTheme="minorEastAsia" w:hAnsiTheme="minorEastAsia" w:eastAsiaTheme="minorEastAsia"/>
                <w:b/>
                <w:bCs w:val="0"/>
                <w:color w:val="auto"/>
                <w:szCs w:val="21"/>
              </w:rPr>
              <w:t>5</w:t>
            </w:r>
            <w:r>
              <w:rPr>
                <w:rFonts w:cs="Arial" w:asciiTheme="minorEastAsia" w:hAnsiTheme="minorEastAsia" w:eastAsiaTheme="minorEastAsia"/>
                <w:b/>
                <w:bCs w:val="0"/>
                <w:color w:val="auto"/>
                <w:szCs w:val="21"/>
              </w:rPr>
              <w:t>）投标人的信誉符合招标文件规定</w:t>
            </w:r>
            <w:r>
              <w:rPr>
                <w:rFonts w:hint="eastAsia" w:cs="Arial" w:asciiTheme="minorEastAsia" w:hAnsiTheme="minorEastAsia" w:eastAsiaTheme="minorEastAsia"/>
                <w:b/>
                <w:bCs w:val="0"/>
                <w:color w:val="auto"/>
                <w:szCs w:val="21"/>
              </w:rPr>
              <w:t>。</w:t>
            </w:r>
          </w:p>
          <w:p>
            <w:pPr>
              <w:keepNext w:val="0"/>
              <w:keepLines w:val="0"/>
              <w:pageBreakBefore w:val="0"/>
              <w:widowControl w:val="0"/>
              <w:kinsoku/>
              <w:wordWrap/>
              <w:overflowPunct/>
              <w:topLinePunct w:val="0"/>
              <w:autoSpaceDE/>
              <w:autoSpaceDN/>
              <w:bidi w:val="0"/>
              <w:adjustRightInd/>
              <w:snapToGrid w:val="0"/>
              <w:spacing w:line="324" w:lineRule="auto"/>
              <w:textAlignment w:val="auto"/>
              <w:rPr>
                <w:rFonts w:cs="Arial" w:asciiTheme="minorEastAsia" w:hAnsiTheme="minorEastAsia" w:eastAsiaTheme="minorEastAsia"/>
                <w:b/>
                <w:bCs w:val="0"/>
                <w:color w:val="auto"/>
                <w:szCs w:val="21"/>
              </w:rPr>
            </w:pPr>
            <w:r>
              <w:rPr>
                <w:rFonts w:cs="Arial" w:asciiTheme="minorEastAsia" w:hAnsiTheme="minorEastAsia" w:eastAsiaTheme="minorEastAsia"/>
                <w:b/>
                <w:bCs w:val="0"/>
                <w:color w:val="auto"/>
                <w:szCs w:val="21"/>
              </w:rPr>
              <w:t>（6）投标人的项目经理和项目总工资格、在岗情况符合招标文件规定</w:t>
            </w:r>
            <w:r>
              <w:rPr>
                <w:rFonts w:hint="eastAsia" w:cs="Arial" w:asciiTheme="minorEastAsia" w:hAnsiTheme="minorEastAsia" w:eastAsiaTheme="minorEastAsia"/>
                <w:b/>
                <w:bCs w:val="0"/>
                <w:color w:val="auto"/>
                <w:szCs w:val="21"/>
              </w:rPr>
              <w:t>。</w:t>
            </w:r>
          </w:p>
          <w:p>
            <w:pPr>
              <w:keepNext w:val="0"/>
              <w:keepLines w:val="0"/>
              <w:pageBreakBefore w:val="0"/>
              <w:widowControl w:val="0"/>
              <w:kinsoku/>
              <w:wordWrap/>
              <w:overflowPunct/>
              <w:topLinePunct w:val="0"/>
              <w:autoSpaceDE/>
              <w:autoSpaceDN/>
              <w:bidi w:val="0"/>
              <w:adjustRightInd/>
              <w:snapToGrid w:val="0"/>
              <w:spacing w:line="324" w:lineRule="auto"/>
              <w:textAlignment w:val="auto"/>
              <w:rPr>
                <w:rFonts w:cs="Arial" w:asciiTheme="minorEastAsia" w:hAnsiTheme="minorEastAsia" w:eastAsiaTheme="minorEastAsia"/>
                <w:b/>
                <w:bCs w:val="0"/>
                <w:color w:val="auto"/>
                <w:szCs w:val="21"/>
              </w:rPr>
            </w:pPr>
            <w:r>
              <w:rPr>
                <w:rFonts w:hint="eastAsia" w:cs="Arial" w:asciiTheme="minorEastAsia" w:hAnsiTheme="minorEastAsia" w:eastAsiaTheme="minorEastAsia"/>
                <w:b/>
                <w:bCs w:val="0"/>
                <w:color w:val="auto"/>
                <w:szCs w:val="21"/>
              </w:rPr>
              <w:t>（7）投标人的其他要求符合招标文件规定（指主要机械设备和试验检测设备进行资格评审）（本项目不适用）</w:t>
            </w:r>
          </w:p>
          <w:p>
            <w:pPr>
              <w:keepNext w:val="0"/>
              <w:keepLines w:val="0"/>
              <w:pageBreakBefore w:val="0"/>
              <w:widowControl w:val="0"/>
              <w:kinsoku/>
              <w:wordWrap/>
              <w:overflowPunct/>
              <w:topLinePunct w:val="0"/>
              <w:autoSpaceDE/>
              <w:autoSpaceDN/>
              <w:bidi w:val="0"/>
              <w:adjustRightInd/>
              <w:snapToGrid w:val="0"/>
              <w:spacing w:line="324" w:lineRule="auto"/>
              <w:textAlignment w:val="auto"/>
              <w:rPr>
                <w:rFonts w:cs="Arial" w:asciiTheme="minorEastAsia" w:hAnsiTheme="minorEastAsia" w:eastAsiaTheme="minorEastAsia"/>
                <w:b/>
                <w:bCs w:val="0"/>
                <w:color w:val="auto"/>
                <w:szCs w:val="21"/>
              </w:rPr>
            </w:pPr>
            <w:r>
              <w:rPr>
                <w:rFonts w:cs="Arial" w:asciiTheme="minorEastAsia" w:hAnsiTheme="minorEastAsia" w:eastAsiaTheme="minorEastAsia"/>
                <w:b/>
                <w:bCs w:val="0"/>
                <w:color w:val="auto"/>
                <w:szCs w:val="21"/>
              </w:rPr>
              <w:t>（</w:t>
            </w:r>
            <w:r>
              <w:rPr>
                <w:rFonts w:hint="eastAsia" w:cs="Arial" w:asciiTheme="minorEastAsia" w:hAnsiTheme="minorEastAsia" w:eastAsiaTheme="minorEastAsia"/>
                <w:b/>
                <w:bCs w:val="0"/>
                <w:color w:val="auto"/>
                <w:szCs w:val="21"/>
              </w:rPr>
              <w:t>8</w:t>
            </w:r>
            <w:r>
              <w:rPr>
                <w:rFonts w:cs="Arial" w:asciiTheme="minorEastAsia" w:hAnsiTheme="minorEastAsia" w:eastAsiaTheme="minorEastAsia"/>
                <w:b/>
                <w:bCs w:val="0"/>
                <w:color w:val="auto"/>
                <w:szCs w:val="21"/>
              </w:rPr>
              <w:t>）投标人不存在第二章</w:t>
            </w:r>
            <w:r>
              <w:rPr>
                <w:rFonts w:hint="eastAsia" w:cs="Arial" w:asciiTheme="minorEastAsia" w:hAnsiTheme="minorEastAsia" w:eastAsiaTheme="minorEastAsia"/>
                <w:b/>
                <w:bCs w:val="0"/>
                <w:color w:val="auto"/>
                <w:szCs w:val="21"/>
              </w:rPr>
              <w:t>“</w:t>
            </w:r>
            <w:r>
              <w:rPr>
                <w:rFonts w:cs="Arial" w:asciiTheme="minorEastAsia" w:hAnsiTheme="minorEastAsia" w:eastAsiaTheme="minorEastAsia"/>
                <w:b/>
                <w:bCs w:val="0"/>
                <w:color w:val="auto"/>
                <w:szCs w:val="21"/>
              </w:rPr>
              <w:t>投标人须知</w:t>
            </w:r>
            <w:r>
              <w:rPr>
                <w:rFonts w:hint="eastAsia" w:cs="Arial" w:asciiTheme="minorEastAsia" w:hAnsiTheme="minorEastAsia" w:eastAsiaTheme="minorEastAsia"/>
                <w:b/>
                <w:bCs w:val="0"/>
                <w:color w:val="auto"/>
                <w:szCs w:val="21"/>
              </w:rPr>
              <w:t>”</w:t>
            </w:r>
            <w:r>
              <w:rPr>
                <w:rFonts w:cs="Arial" w:asciiTheme="minorEastAsia" w:hAnsiTheme="minorEastAsia" w:eastAsiaTheme="minorEastAsia"/>
                <w:b/>
                <w:bCs w:val="0"/>
                <w:color w:val="auto"/>
                <w:szCs w:val="21"/>
              </w:rPr>
              <w:t>第1.4.3项或第1.4.4项规定的任何一种情形</w:t>
            </w:r>
            <w:r>
              <w:rPr>
                <w:rFonts w:hint="eastAsia" w:cs="Arial" w:asciiTheme="minorEastAsia" w:hAnsiTheme="minorEastAsia" w:eastAsiaTheme="minorEastAsia"/>
                <w:b/>
                <w:bCs w:val="0"/>
                <w:color w:val="auto"/>
                <w:szCs w:val="21"/>
              </w:rPr>
              <w:t>。</w:t>
            </w:r>
          </w:p>
          <w:p>
            <w:pPr>
              <w:keepNext w:val="0"/>
              <w:keepLines w:val="0"/>
              <w:pageBreakBefore w:val="0"/>
              <w:widowControl w:val="0"/>
              <w:kinsoku/>
              <w:wordWrap/>
              <w:overflowPunct/>
              <w:topLinePunct w:val="0"/>
              <w:autoSpaceDE/>
              <w:autoSpaceDN/>
              <w:bidi w:val="0"/>
              <w:adjustRightInd/>
              <w:snapToGrid w:val="0"/>
              <w:spacing w:line="324" w:lineRule="auto"/>
              <w:textAlignment w:val="auto"/>
              <w:rPr>
                <w:rFonts w:asciiTheme="minorEastAsia" w:hAnsiTheme="minorEastAsia" w:eastAsiaTheme="minorEastAsia"/>
                <w:b/>
                <w:bCs w:val="0"/>
                <w:color w:val="auto"/>
                <w:szCs w:val="21"/>
              </w:rPr>
            </w:pPr>
            <w:r>
              <w:rPr>
                <w:rFonts w:cs="Arial" w:asciiTheme="minorEastAsia" w:hAnsiTheme="minorEastAsia" w:eastAsiaTheme="minorEastAsia"/>
                <w:b/>
                <w:bCs w:val="0"/>
                <w:color w:val="auto"/>
                <w:szCs w:val="21"/>
              </w:rPr>
              <w:t>（</w:t>
            </w:r>
            <w:r>
              <w:rPr>
                <w:rFonts w:hint="eastAsia" w:cs="Arial" w:asciiTheme="minorEastAsia" w:hAnsiTheme="minorEastAsia" w:eastAsiaTheme="minorEastAsia"/>
                <w:b/>
                <w:bCs w:val="0"/>
                <w:color w:val="auto"/>
                <w:szCs w:val="21"/>
              </w:rPr>
              <w:t>9</w:t>
            </w:r>
            <w:r>
              <w:rPr>
                <w:rFonts w:cs="Arial" w:asciiTheme="minorEastAsia" w:hAnsiTheme="minorEastAsia" w:eastAsiaTheme="minorEastAsia"/>
                <w:b/>
                <w:bCs w:val="0"/>
                <w:color w:val="auto"/>
                <w:szCs w:val="21"/>
              </w:rPr>
              <w:t>）</w:t>
            </w:r>
            <w:r>
              <w:rPr>
                <w:rFonts w:hint="eastAsia" w:asciiTheme="minorEastAsia" w:hAnsiTheme="minorEastAsia" w:eastAsiaTheme="minorEastAsia"/>
                <w:b/>
                <w:bCs w:val="0"/>
                <w:color w:val="auto"/>
                <w:szCs w:val="21"/>
              </w:rPr>
              <w:t>投标人符合第二章“投标人须知”第</w:t>
            </w:r>
            <w:r>
              <w:rPr>
                <w:rFonts w:cs="Arial" w:asciiTheme="minorEastAsia" w:hAnsiTheme="minorEastAsia" w:eastAsiaTheme="minorEastAsia"/>
                <w:b/>
                <w:bCs w:val="0"/>
                <w:color w:val="auto"/>
                <w:szCs w:val="21"/>
              </w:rPr>
              <w:t>1.4.5</w:t>
            </w:r>
            <w:r>
              <w:rPr>
                <w:rFonts w:hint="eastAsia" w:asciiTheme="minorEastAsia" w:hAnsiTheme="minorEastAsia" w:eastAsiaTheme="minorEastAsia"/>
                <w:b/>
                <w:bCs w:val="0"/>
                <w:color w:val="auto"/>
                <w:szCs w:val="21"/>
              </w:rPr>
              <w:t>项规定。</w:t>
            </w:r>
          </w:p>
          <w:p>
            <w:pPr>
              <w:keepNext w:val="0"/>
              <w:keepLines w:val="0"/>
              <w:pageBreakBefore w:val="0"/>
              <w:widowControl w:val="0"/>
              <w:kinsoku/>
              <w:wordWrap/>
              <w:overflowPunct/>
              <w:topLinePunct w:val="0"/>
              <w:autoSpaceDE/>
              <w:autoSpaceDN/>
              <w:bidi w:val="0"/>
              <w:adjustRightInd/>
              <w:snapToGrid w:val="0"/>
              <w:spacing w:line="324" w:lineRule="auto"/>
              <w:textAlignment w:val="auto"/>
              <w:rPr>
                <w:rFonts w:ascii="Arial" w:hAnsi="Arial" w:cs="Arial"/>
                <w:b/>
                <w:bCs w:val="0"/>
                <w:color w:val="auto"/>
                <w:szCs w:val="21"/>
              </w:rPr>
            </w:pPr>
            <w:r>
              <w:rPr>
                <w:rFonts w:hint="eastAsia" w:asciiTheme="minorEastAsia" w:hAnsiTheme="minorEastAsia" w:eastAsiaTheme="minorEastAsia"/>
                <w:b/>
                <w:bCs w:val="0"/>
                <w:color w:val="auto"/>
                <w:szCs w:val="21"/>
              </w:rPr>
              <w:t>（10）</w:t>
            </w:r>
            <w:r>
              <w:rPr>
                <w:rFonts w:hint="eastAsia" w:ascii="宋体" w:hAnsi="宋体" w:cs="Arial"/>
                <w:b/>
                <w:bCs w:val="0"/>
                <w:color w:val="auto"/>
                <w:szCs w:val="21"/>
              </w:rPr>
              <w:t>以联合体形式参与投标的，联合体各方均未再以自己名义单独或参加其他联合体在同一标段中投标；独立参与投标的，投标人未同时参加联合体在同一标段中投标</w:t>
            </w:r>
            <w:r>
              <w:rPr>
                <w:rFonts w:hint="eastAsia" w:ascii="宋体" w:hAnsi="宋体" w:cs="Arial"/>
                <w:b/>
                <w:bCs w:val="0"/>
                <w:color w:val="auto"/>
              </w:rPr>
              <w:t>（不适用）</w:t>
            </w:r>
            <w:r>
              <w:rPr>
                <w:rFonts w:hint="eastAsia" w:ascii="宋体" w:hAnsi="宋体" w:cs="Arial"/>
                <w:b/>
                <w:bCs w:val="0"/>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5" w:hRule="atLeast"/>
        </w:trPr>
        <w:tc>
          <w:tcPr>
            <w:tcW w:w="1029" w:type="dxa"/>
            <w:tcBorders>
              <w:top w:val="single" w:color="auto" w:sz="4" w:space="0"/>
              <w:bottom w:val="single" w:color="auto" w:sz="4" w:space="0"/>
              <w:right w:val="single" w:color="auto" w:sz="4" w:space="0"/>
            </w:tcBorders>
            <w:vAlign w:val="center"/>
          </w:tcPr>
          <w:p>
            <w:pPr>
              <w:spacing w:line="400" w:lineRule="exact"/>
              <w:jc w:val="center"/>
              <w:rPr>
                <w:rFonts w:cs="Arial" w:asciiTheme="minorEastAsia" w:hAnsiTheme="minorEastAsia" w:eastAsiaTheme="minorEastAsia"/>
                <w:color w:val="auto"/>
              </w:rPr>
            </w:pPr>
            <w:r>
              <w:rPr>
                <w:rFonts w:cs="Arial" w:asciiTheme="minorEastAsia" w:hAnsiTheme="minorEastAsia" w:eastAsiaTheme="minorEastAsia"/>
                <w:color w:val="auto"/>
              </w:rPr>
              <w:t>2.2.1</w:t>
            </w:r>
          </w:p>
        </w:tc>
        <w:tc>
          <w:tcPr>
            <w:tcW w:w="1631" w:type="dxa"/>
            <w:tcBorders>
              <w:top w:val="single" w:color="auto" w:sz="4" w:space="0"/>
              <w:left w:val="nil"/>
              <w:bottom w:val="single" w:color="auto" w:sz="4" w:space="0"/>
              <w:right w:val="single" w:color="auto" w:sz="4" w:space="0"/>
            </w:tcBorders>
            <w:vAlign w:val="center"/>
          </w:tcPr>
          <w:p>
            <w:pPr>
              <w:spacing w:line="400" w:lineRule="exact"/>
              <w:jc w:val="center"/>
              <w:rPr>
                <w:rFonts w:cs="Arial" w:asciiTheme="minorEastAsia" w:hAnsiTheme="minorEastAsia" w:eastAsiaTheme="minorEastAsia"/>
                <w:color w:val="auto"/>
              </w:rPr>
            </w:pPr>
            <w:r>
              <w:rPr>
                <w:rFonts w:hint="eastAsia" w:cs="Arial" w:asciiTheme="minorEastAsia" w:hAnsiTheme="minorEastAsia" w:eastAsiaTheme="minorEastAsia"/>
                <w:b/>
                <w:color w:val="auto"/>
                <w:szCs w:val="21"/>
              </w:rPr>
              <w:t>第一个信封</w:t>
            </w:r>
            <w:r>
              <w:rPr>
                <w:rFonts w:hint="eastAsia" w:cs="Arial" w:asciiTheme="minorEastAsia" w:hAnsiTheme="minorEastAsia" w:eastAsiaTheme="minorEastAsia"/>
                <w:b/>
                <w:color w:val="auto"/>
                <w:szCs w:val="21"/>
                <w:lang w:val="en-US" w:eastAsia="zh-CN"/>
              </w:rPr>
              <w:t>评分</w:t>
            </w:r>
            <w:r>
              <w:rPr>
                <w:rFonts w:cs="Arial" w:asciiTheme="minorEastAsia" w:hAnsiTheme="minorEastAsia" w:eastAsiaTheme="minorEastAsia"/>
                <w:color w:val="auto"/>
              </w:rPr>
              <w:t>分值构成</w:t>
            </w:r>
          </w:p>
          <w:p>
            <w:pPr>
              <w:spacing w:line="400" w:lineRule="exact"/>
              <w:jc w:val="center"/>
              <w:rPr>
                <w:rFonts w:cs="Arial" w:asciiTheme="minorEastAsia" w:hAnsiTheme="minorEastAsia" w:eastAsiaTheme="minorEastAsia"/>
                <w:color w:val="auto"/>
              </w:rPr>
            </w:pPr>
            <w:r>
              <w:rPr>
                <w:rFonts w:cs="Arial" w:asciiTheme="minorEastAsia" w:hAnsiTheme="minorEastAsia" w:eastAsiaTheme="minorEastAsia"/>
                <w:color w:val="auto"/>
              </w:rPr>
              <w:t>（总分100分）</w:t>
            </w:r>
          </w:p>
        </w:tc>
        <w:tc>
          <w:tcPr>
            <w:tcW w:w="6586"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cs="Arial" w:asciiTheme="minorEastAsia" w:hAnsiTheme="minorEastAsia" w:eastAsiaTheme="minorEastAsia"/>
                <w:b/>
                <w:bCs/>
                <w:color w:val="auto"/>
                <w:szCs w:val="21"/>
                <w:highlight w:val="none"/>
              </w:rPr>
            </w:pPr>
            <w:r>
              <w:rPr>
                <w:rFonts w:hint="eastAsia" w:cs="Arial" w:asciiTheme="minorEastAsia" w:hAnsiTheme="minorEastAsia" w:eastAsiaTheme="minorEastAsia"/>
                <w:b/>
                <w:bCs/>
                <w:color w:val="auto"/>
                <w:szCs w:val="21"/>
                <w:highlight w:val="none"/>
              </w:rPr>
              <w:t>施工组织设计：</w:t>
            </w:r>
            <w:r>
              <w:rPr>
                <w:rFonts w:hint="eastAsia" w:cs="Arial" w:asciiTheme="minorEastAsia" w:hAnsiTheme="minorEastAsia" w:eastAsiaTheme="minorEastAsia"/>
                <w:b/>
                <w:bCs/>
                <w:color w:val="auto"/>
                <w:szCs w:val="21"/>
                <w:highlight w:val="none"/>
                <w:u w:val="single"/>
              </w:rPr>
              <w:t>26</w:t>
            </w:r>
            <w:r>
              <w:rPr>
                <w:rFonts w:hint="eastAsia" w:cs="Arial" w:asciiTheme="minorEastAsia" w:hAnsiTheme="minorEastAsia" w:eastAsiaTheme="minorEastAsia"/>
                <w:b/>
                <w:bCs/>
                <w:color w:val="auto"/>
                <w:szCs w:val="21"/>
                <w:highlight w:val="none"/>
              </w:rPr>
              <w:t>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cs="Arial" w:asciiTheme="minorEastAsia" w:hAnsiTheme="minorEastAsia" w:eastAsiaTheme="minorEastAsia"/>
                <w:b/>
                <w:bCs/>
                <w:color w:val="auto"/>
                <w:szCs w:val="21"/>
                <w:highlight w:val="none"/>
              </w:rPr>
            </w:pPr>
            <w:r>
              <w:rPr>
                <w:rFonts w:hint="eastAsia" w:cs="Arial" w:asciiTheme="minorEastAsia" w:hAnsiTheme="minorEastAsia" w:eastAsiaTheme="minorEastAsia"/>
                <w:b/>
                <w:bCs/>
                <w:color w:val="auto"/>
                <w:szCs w:val="21"/>
                <w:highlight w:val="none"/>
              </w:rPr>
              <w:t>主要人员：</w:t>
            </w:r>
            <w:r>
              <w:rPr>
                <w:rFonts w:hint="eastAsia" w:cs="Arial" w:asciiTheme="minorEastAsia" w:hAnsiTheme="minorEastAsia" w:eastAsiaTheme="minorEastAsia"/>
                <w:b/>
                <w:bCs/>
                <w:color w:val="auto"/>
                <w:szCs w:val="21"/>
                <w:highlight w:val="none"/>
                <w:u w:val="single"/>
              </w:rPr>
              <w:t>28</w:t>
            </w:r>
            <w:r>
              <w:rPr>
                <w:rFonts w:hint="eastAsia" w:cs="Arial" w:asciiTheme="minorEastAsia" w:hAnsiTheme="minorEastAsia" w:eastAsiaTheme="minorEastAsia"/>
                <w:b/>
                <w:bCs/>
                <w:color w:val="auto"/>
                <w:szCs w:val="21"/>
                <w:highlight w:val="none"/>
              </w:rPr>
              <w:t>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cs="Arial" w:asciiTheme="minorEastAsia" w:hAnsiTheme="minorEastAsia" w:eastAsiaTheme="minorEastAsia"/>
                <w:b/>
                <w:bCs/>
                <w:color w:val="auto"/>
                <w:szCs w:val="21"/>
                <w:highlight w:val="none"/>
              </w:rPr>
            </w:pPr>
            <w:r>
              <w:rPr>
                <w:rFonts w:hint="eastAsia" w:cs="Arial" w:asciiTheme="minorEastAsia" w:hAnsiTheme="minorEastAsia" w:eastAsiaTheme="minorEastAsia"/>
                <w:b/>
                <w:bCs/>
                <w:color w:val="auto"/>
                <w:szCs w:val="21"/>
                <w:highlight w:val="none"/>
              </w:rPr>
              <w:t>技术能力：</w:t>
            </w:r>
            <w:r>
              <w:rPr>
                <w:rFonts w:hint="eastAsia" w:cs="Arial" w:asciiTheme="minorEastAsia" w:hAnsiTheme="minorEastAsia" w:eastAsiaTheme="minorEastAsia"/>
                <w:b/>
                <w:bCs/>
                <w:color w:val="auto"/>
                <w:szCs w:val="21"/>
                <w:highlight w:val="none"/>
                <w:u w:val="single"/>
              </w:rPr>
              <w:t>12分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cs="Arial" w:asciiTheme="minorEastAsia" w:hAnsiTheme="minorEastAsia" w:eastAsiaTheme="minorEastAsia"/>
                <w:b/>
                <w:bCs/>
                <w:color w:val="auto"/>
                <w:szCs w:val="21"/>
                <w:highlight w:val="none"/>
              </w:rPr>
            </w:pPr>
            <w:r>
              <w:rPr>
                <w:rFonts w:hint="eastAsia" w:cs="Arial" w:asciiTheme="minorEastAsia" w:hAnsiTheme="minorEastAsia" w:eastAsiaTheme="minorEastAsia"/>
                <w:b/>
                <w:bCs/>
                <w:color w:val="auto"/>
                <w:szCs w:val="21"/>
                <w:highlight w:val="none"/>
              </w:rPr>
              <w:t>财务能力：</w:t>
            </w:r>
            <w:r>
              <w:rPr>
                <w:rFonts w:hint="eastAsia" w:cs="Arial" w:asciiTheme="minorEastAsia" w:hAnsiTheme="minorEastAsia" w:eastAsiaTheme="minorEastAsia"/>
                <w:b/>
                <w:bCs/>
                <w:color w:val="auto"/>
                <w:szCs w:val="21"/>
                <w:highlight w:val="none"/>
                <w:u w:val="single"/>
              </w:rPr>
              <w:t>16</w:t>
            </w:r>
            <w:r>
              <w:rPr>
                <w:rFonts w:hint="eastAsia" w:cs="Arial" w:asciiTheme="minorEastAsia" w:hAnsiTheme="minorEastAsia" w:eastAsiaTheme="minorEastAsia"/>
                <w:b/>
                <w:bCs/>
                <w:color w:val="auto"/>
                <w:szCs w:val="21"/>
                <w:highlight w:val="none"/>
              </w:rPr>
              <w:t>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cs="Arial" w:asciiTheme="minorEastAsia" w:hAnsiTheme="minorEastAsia" w:eastAsiaTheme="minorEastAsia"/>
                <w:color w:val="auto"/>
                <w:szCs w:val="21"/>
              </w:rPr>
            </w:pPr>
            <w:r>
              <w:rPr>
                <w:rFonts w:hint="eastAsia" w:cs="Arial" w:asciiTheme="minorEastAsia" w:hAnsiTheme="minorEastAsia" w:eastAsiaTheme="minorEastAsia"/>
                <w:b/>
                <w:bCs/>
                <w:color w:val="auto"/>
                <w:szCs w:val="21"/>
                <w:highlight w:val="none"/>
              </w:rPr>
              <w:t>业绩：</w:t>
            </w:r>
            <w:r>
              <w:rPr>
                <w:rFonts w:hint="eastAsia" w:cs="Arial" w:asciiTheme="minorEastAsia" w:hAnsiTheme="minorEastAsia" w:eastAsiaTheme="minorEastAsia"/>
                <w:b/>
                <w:bCs/>
                <w:color w:val="auto"/>
                <w:szCs w:val="21"/>
                <w:highlight w:val="none"/>
                <w:u w:val="single"/>
              </w:rPr>
              <w:t>18</w:t>
            </w:r>
            <w:r>
              <w:rPr>
                <w:rFonts w:cs="Arial" w:asciiTheme="minorEastAsia" w:hAnsiTheme="minorEastAsia" w:eastAsiaTheme="minorEastAsia"/>
                <w:b/>
                <w:bCs/>
                <w:color w:val="auto"/>
                <w:szCs w:val="21"/>
                <w:highlight w:val="none"/>
                <w:u w:val="single"/>
              </w:rPr>
              <w:t xml:space="preserve"> </w:t>
            </w:r>
            <w:r>
              <w:rPr>
                <w:rFonts w:hint="eastAsia" w:cs="Arial" w:asciiTheme="minorEastAsia" w:hAnsiTheme="minorEastAsia" w:eastAsiaTheme="minorEastAsia"/>
                <w:b/>
                <w:bCs/>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tcBorders>
              <w:top w:val="single" w:color="auto" w:sz="4" w:space="0"/>
              <w:bottom w:val="single" w:color="auto" w:sz="4" w:space="0"/>
              <w:right w:val="single" w:color="auto" w:sz="4" w:space="0"/>
            </w:tcBorders>
            <w:vAlign w:val="center"/>
          </w:tcPr>
          <w:p>
            <w:pPr>
              <w:spacing w:line="400" w:lineRule="exact"/>
              <w:jc w:val="center"/>
              <w:rPr>
                <w:rFonts w:hint="default" w:cs="Arial" w:asciiTheme="minorEastAsia" w:hAnsiTheme="minorEastAsia" w:eastAsiaTheme="minorEastAsia"/>
                <w:color w:val="auto"/>
                <w:lang w:val="en-US" w:eastAsia="zh-CN"/>
              </w:rPr>
            </w:pPr>
            <w:r>
              <w:rPr>
                <w:rFonts w:hint="eastAsia" w:cs="Arial" w:asciiTheme="minorEastAsia" w:hAnsiTheme="minorEastAsia" w:eastAsiaTheme="minorEastAsia"/>
                <w:color w:val="auto"/>
                <w:lang w:val="en-US" w:eastAsia="zh-CN"/>
              </w:rPr>
              <w:t>2.2.3</w:t>
            </w:r>
          </w:p>
        </w:tc>
        <w:tc>
          <w:tcPr>
            <w:tcW w:w="163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cs="Arial" w:asciiTheme="minorEastAsia" w:hAnsiTheme="minorEastAsia" w:eastAsiaTheme="minorEastAsia"/>
                <w:color w:val="auto"/>
                <w:lang w:val="en-US" w:eastAsia="zh-CN"/>
              </w:rPr>
            </w:pPr>
            <w:r>
              <w:rPr>
                <w:rFonts w:hint="eastAsia" w:cs="Arial" w:asciiTheme="minorEastAsia" w:hAnsiTheme="minorEastAsia" w:eastAsiaTheme="minorEastAsia"/>
                <w:b/>
                <w:color w:val="auto"/>
                <w:szCs w:val="21"/>
              </w:rPr>
              <w:t>第二个信封</w:t>
            </w:r>
            <w:r>
              <w:rPr>
                <w:rFonts w:hint="eastAsia" w:cs="Arial" w:asciiTheme="minorEastAsia" w:hAnsiTheme="minorEastAsia" w:eastAsiaTheme="minorEastAsia"/>
                <w:b/>
                <w:color w:val="auto"/>
                <w:szCs w:val="21"/>
                <w:lang w:val="en-US" w:eastAsia="zh-CN"/>
              </w:rPr>
              <w:t>详细评审标准</w:t>
            </w:r>
          </w:p>
        </w:tc>
        <w:tc>
          <w:tcPr>
            <w:tcW w:w="6586" w:type="dxa"/>
            <w:tcBorders>
              <w:top w:val="single" w:color="auto" w:sz="4" w:space="0"/>
              <w:left w:val="single" w:color="auto" w:sz="4" w:space="0"/>
              <w:bottom w:val="single" w:color="auto" w:sz="4" w:space="0"/>
            </w:tcBorders>
            <w:vAlign w:val="center"/>
          </w:tcPr>
          <w:p>
            <w:pPr>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评标价计算公式：</w:t>
            </w:r>
          </w:p>
          <w:p>
            <w:pPr>
              <w:spacing w:line="400" w:lineRule="exact"/>
              <w:rPr>
                <w:rFonts w:hint="eastAsia" w:cs="Arial" w:asciiTheme="minorEastAsia" w:hAnsiTheme="minorEastAsia" w:eastAsiaTheme="minorEastAsia"/>
                <w:color w:val="auto"/>
                <w:szCs w:val="21"/>
              </w:rPr>
            </w:pPr>
            <w:r>
              <w:rPr>
                <w:rFonts w:hint="eastAsia" w:ascii="宋体" w:hAnsi="宋体" w:cs="宋体"/>
                <w:color w:val="auto"/>
                <w:szCs w:val="21"/>
                <w:highlight w:val="none"/>
              </w:rPr>
              <w:t>评标价＝投标函的文字报价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029" w:type="dxa"/>
            <w:tcBorders>
              <w:top w:val="single" w:color="auto" w:sz="4" w:space="0"/>
              <w:bottom w:val="single" w:color="auto" w:sz="4" w:space="0"/>
              <w:right w:val="single" w:color="auto" w:sz="4" w:space="0"/>
            </w:tcBorders>
            <w:vAlign w:val="center"/>
          </w:tcPr>
          <w:p>
            <w:pPr>
              <w:spacing w:line="400" w:lineRule="exact"/>
              <w:jc w:val="center"/>
              <w:rPr>
                <w:rFonts w:hint="eastAsia" w:cs="Arial" w:asciiTheme="minorEastAsia" w:hAnsiTheme="minorEastAsia" w:eastAsiaTheme="minorEastAsia"/>
                <w:color w:val="auto"/>
                <w:lang w:val="en-US" w:eastAsia="zh-CN"/>
              </w:rPr>
            </w:pPr>
            <w:r>
              <w:rPr>
                <w:rFonts w:hint="eastAsia" w:ascii="宋体" w:hAnsi="宋体" w:cs="宋体"/>
                <w:color w:val="auto"/>
                <w:highlight w:val="none"/>
              </w:rPr>
              <w:t>3.2.4</w:t>
            </w:r>
          </w:p>
        </w:tc>
        <w:tc>
          <w:tcPr>
            <w:tcW w:w="1631"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cs="Arial" w:asciiTheme="minorEastAsia" w:hAnsiTheme="minorEastAsia" w:eastAsiaTheme="minorEastAsia"/>
                <w:b/>
                <w:color w:val="auto"/>
                <w:szCs w:val="21"/>
              </w:rPr>
            </w:pPr>
            <w:r>
              <w:rPr>
                <w:rFonts w:hint="eastAsia" w:ascii="宋体" w:hAnsi="宋体" w:cs="宋体"/>
                <w:color w:val="auto"/>
                <w:highlight w:val="none"/>
              </w:rPr>
              <w:t>通过第一个信封详细评审的投标人数量</w:t>
            </w:r>
          </w:p>
        </w:tc>
        <w:tc>
          <w:tcPr>
            <w:tcW w:w="6586" w:type="dxa"/>
            <w:tcBorders>
              <w:top w:val="single" w:color="auto" w:sz="4" w:space="0"/>
              <w:left w:val="single" w:color="auto" w:sz="4" w:space="0"/>
              <w:bottom w:val="single" w:color="auto" w:sz="4" w:space="0"/>
            </w:tcBorders>
            <w:vAlign w:val="center"/>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按照投标人的商务和技术得分由高到低排序，选择前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名通过详细评审（通过详细评审的投标人不足3家时，评标委员会应否决全部投标）。</w:t>
            </w:r>
          </w:p>
        </w:tc>
      </w:tr>
    </w:tbl>
    <w:p>
      <w:pPr>
        <w:rPr>
          <w:rFonts w:cs="Arial" w:asciiTheme="minorEastAsia" w:hAnsiTheme="minorEastAsia" w:eastAsiaTheme="minorEastAsia"/>
          <w:color w:val="auto"/>
        </w:rPr>
      </w:pPr>
    </w:p>
    <w:p>
      <w:pPr>
        <w:rPr>
          <w:rFonts w:cs="Arial" w:asciiTheme="minorEastAsia" w:hAnsiTheme="minorEastAsia" w:eastAsiaTheme="minorEastAsia"/>
          <w:color w:val="auto"/>
        </w:rPr>
      </w:pPr>
    </w:p>
    <w:tbl>
      <w:tblPr>
        <w:tblStyle w:val="7"/>
        <w:tblW w:w="9214" w:type="dxa"/>
        <w:tblInd w:w="-3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186"/>
        <w:gridCol w:w="475"/>
        <w:gridCol w:w="620"/>
        <w:gridCol w:w="963"/>
        <w:gridCol w:w="2637"/>
        <w:gridCol w:w="750"/>
        <w:gridCol w:w="258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18" w:hRule="exact"/>
        </w:trPr>
        <w:tc>
          <w:tcPr>
            <w:tcW w:w="6631" w:type="dxa"/>
            <w:gridSpan w:val="6"/>
            <w:tcBorders>
              <w:bottom w:val="single" w:color="auto" w:sz="4" w:space="0"/>
              <w:right w:val="single" w:color="auto" w:sz="4" w:space="0"/>
            </w:tcBorders>
            <w:vAlign w:val="center"/>
          </w:tcPr>
          <w:p>
            <w:pPr>
              <w:snapToGrid w:val="0"/>
              <w:spacing w:line="300" w:lineRule="auto"/>
              <w:jc w:val="center"/>
              <w:rPr>
                <w:rFonts w:cs="Arial" w:asciiTheme="minorEastAsia" w:hAnsiTheme="minorEastAsia" w:eastAsiaTheme="minorEastAsia"/>
                <w:b/>
                <w:bCs/>
                <w:color w:val="auto"/>
                <w:szCs w:val="21"/>
              </w:rPr>
            </w:pPr>
            <w:r>
              <w:rPr>
                <w:rFonts w:hint="eastAsia" w:cs="Arial" w:asciiTheme="minorEastAsia" w:hAnsiTheme="minorEastAsia" w:eastAsiaTheme="minorEastAsia"/>
                <w:b/>
                <w:bCs/>
                <w:color w:val="auto"/>
                <w:kern w:val="0"/>
                <w:sz w:val="21"/>
                <w:szCs w:val="21"/>
                <w:lang w:val="en-US" w:eastAsia="zh-CN" w:bidi="ar-SA"/>
              </w:rPr>
              <w:t>评分因素与权重分值</w:t>
            </w:r>
          </w:p>
        </w:tc>
        <w:tc>
          <w:tcPr>
            <w:tcW w:w="2583" w:type="dxa"/>
            <w:vMerge w:val="restart"/>
            <w:tcBorders>
              <w:left w:val="single" w:color="auto" w:sz="4" w:space="0"/>
            </w:tcBorders>
            <w:vAlign w:val="center"/>
          </w:tcPr>
          <w:p>
            <w:pPr>
              <w:snapToGrid w:val="0"/>
              <w:spacing w:line="300" w:lineRule="auto"/>
              <w:jc w:val="center"/>
              <w:rPr>
                <w:rFonts w:cs="Arial" w:asciiTheme="minorEastAsia" w:hAnsiTheme="minorEastAsia" w:eastAsiaTheme="minorEastAsia"/>
                <w:color w:val="auto"/>
                <w:szCs w:val="21"/>
              </w:rPr>
            </w:pPr>
            <w:r>
              <w:rPr>
                <w:rFonts w:hint="eastAsia" w:cs="宋体" w:asciiTheme="minorEastAsia" w:hAnsiTheme="minorEastAsia" w:eastAsiaTheme="minorEastAsia"/>
                <w:b/>
                <w:bCs/>
                <w:color w:val="auto"/>
                <w:spacing w:val="-12"/>
                <w:sz w:val="21"/>
                <w:szCs w:val="21"/>
              </w:rPr>
              <w:t>评分标准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9" w:hRule="atLeast"/>
        </w:trPr>
        <w:tc>
          <w:tcPr>
            <w:tcW w:w="1186" w:type="dxa"/>
            <w:tcBorders>
              <w:top w:val="single" w:color="auto" w:sz="4" w:space="0"/>
            </w:tcBorders>
            <w:vAlign w:val="center"/>
          </w:tcPr>
          <w:p>
            <w:pPr>
              <w:spacing w:line="360" w:lineRule="atLeast"/>
              <w:jc w:val="center"/>
              <w:rPr>
                <w:rFonts w:cs="Arial" w:asciiTheme="minorEastAsia" w:hAnsiTheme="minorEastAsia" w:eastAsiaTheme="minorEastAsia"/>
                <w:b/>
                <w:bCs/>
                <w:color w:val="auto"/>
                <w:kern w:val="0"/>
              </w:rPr>
            </w:pPr>
            <w:r>
              <w:rPr>
                <w:rFonts w:hint="eastAsia" w:cs="Arial" w:asciiTheme="minorEastAsia" w:hAnsiTheme="minorEastAsia" w:eastAsiaTheme="minorEastAsia"/>
                <w:b/>
                <w:bCs/>
                <w:color w:val="auto"/>
                <w:kern w:val="0"/>
              </w:rPr>
              <w:t>条款号</w:t>
            </w:r>
          </w:p>
        </w:tc>
        <w:tc>
          <w:tcPr>
            <w:tcW w:w="1095" w:type="dxa"/>
            <w:gridSpan w:val="2"/>
            <w:tcBorders>
              <w:top w:val="single" w:color="auto" w:sz="4" w:space="0"/>
              <w:right w:val="single" w:color="auto" w:sz="4" w:space="0"/>
            </w:tcBorders>
            <w:vAlign w:val="center"/>
          </w:tcPr>
          <w:p>
            <w:pPr>
              <w:pStyle w:val="10"/>
              <w:spacing w:line="300" w:lineRule="auto"/>
              <w:ind w:left="113" w:right="113"/>
              <w:jc w:val="center"/>
              <w:rPr>
                <w:rFonts w:cs="Arial" w:asciiTheme="minorEastAsia" w:hAnsiTheme="minorEastAsia" w:eastAsiaTheme="minorEastAsia"/>
                <w:b/>
                <w:bCs/>
                <w:color w:val="auto"/>
              </w:rPr>
            </w:pPr>
            <w:r>
              <w:rPr>
                <w:rFonts w:hint="eastAsia" w:cs="Arial" w:asciiTheme="minorEastAsia" w:hAnsiTheme="minorEastAsia" w:eastAsiaTheme="minorEastAsia"/>
                <w:b/>
                <w:bCs/>
                <w:color w:val="auto"/>
              </w:rPr>
              <w:t>评分因素</w:t>
            </w:r>
          </w:p>
        </w:tc>
        <w:tc>
          <w:tcPr>
            <w:tcW w:w="963" w:type="dxa"/>
            <w:tcBorders>
              <w:top w:val="single" w:color="auto" w:sz="4" w:space="0"/>
              <w:left w:val="single" w:color="auto" w:sz="4" w:space="0"/>
            </w:tcBorders>
            <w:vAlign w:val="center"/>
          </w:tcPr>
          <w:p>
            <w:pPr>
              <w:pStyle w:val="10"/>
              <w:spacing w:line="300" w:lineRule="auto"/>
              <w:ind w:left="113" w:right="113"/>
              <w:jc w:val="center"/>
              <w:rPr>
                <w:rFonts w:cs="Arial" w:asciiTheme="minorEastAsia" w:hAnsiTheme="minorEastAsia" w:eastAsiaTheme="minorEastAsia"/>
                <w:b/>
                <w:bCs/>
                <w:color w:val="auto"/>
              </w:rPr>
            </w:pPr>
            <w:r>
              <w:rPr>
                <w:rFonts w:hint="eastAsia" w:cs="Arial" w:asciiTheme="minorEastAsia" w:hAnsiTheme="minorEastAsia" w:eastAsiaTheme="minorEastAsia"/>
                <w:b/>
                <w:bCs/>
                <w:color w:val="auto"/>
              </w:rPr>
              <w:t>评分因素权重分值</w:t>
            </w:r>
          </w:p>
        </w:tc>
        <w:tc>
          <w:tcPr>
            <w:tcW w:w="2637" w:type="dxa"/>
            <w:tcBorders>
              <w:top w:val="single" w:color="auto" w:sz="4" w:space="0"/>
              <w:bottom w:val="single" w:color="auto" w:sz="4" w:space="0"/>
              <w:right w:val="single" w:color="auto" w:sz="4" w:space="0"/>
            </w:tcBorders>
            <w:vAlign w:val="center"/>
          </w:tcPr>
          <w:p>
            <w:pPr>
              <w:pStyle w:val="11"/>
              <w:kinsoku w:val="0"/>
              <w:overflowPunct w:val="0"/>
              <w:spacing w:before="88"/>
              <w:ind w:left="297"/>
              <w:jc w:val="both"/>
              <w:rPr>
                <w:rFonts w:cs="Arial" w:asciiTheme="minorEastAsia" w:hAnsiTheme="minorEastAsia" w:eastAsiaTheme="minorEastAsia"/>
                <w:b/>
                <w:bCs/>
                <w:color w:val="auto"/>
                <w:kern w:val="2"/>
                <w:sz w:val="21"/>
              </w:rPr>
            </w:pPr>
            <w:r>
              <w:rPr>
                <w:rFonts w:hint="eastAsia" w:cs="Arial" w:asciiTheme="minorEastAsia" w:hAnsiTheme="minorEastAsia" w:eastAsiaTheme="minorEastAsia"/>
                <w:b/>
                <w:bCs/>
                <w:color w:val="auto"/>
                <w:kern w:val="2"/>
                <w:sz w:val="21"/>
              </w:rPr>
              <w:t>各评分因素细分项</w:t>
            </w:r>
          </w:p>
        </w:tc>
        <w:tc>
          <w:tcPr>
            <w:tcW w:w="750" w:type="dxa"/>
            <w:tcBorders>
              <w:top w:val="single" w:color="auto" w:sz="4" w:space="0"/>
              <w:left w:val="single" w:color="auto" w:sz="4" w:space="0"/>
              <w:bottom w:val="single" w:color="auto" w:sz="4" w:space="0"/>
            </w:tcBorders>
            <w:vAlign w:val="center"/>
          </w:tcPr>
          <w:p>
            <w:pPr>
              <w:pStyle w:val="11"/>
              <w:kinsoku w:val="0"/>
              <w:overflowPunct w:val="0"/>
              <w:spacing w:before="88"/>
              <w:ind w:left="144"/>
              <w:jc w:val="both"/>
              <w:rPr>
                <w:rFonts w:cs="Arial" w:asciiTheme="minorEastAsia" w:hAnsiTheme="minorEastAsia" w:eastAsiaTheme="minorEastAsia"/>
                <w:b/>
                <w:bCs/>
                <w:color w:val="auto"/>
                <w:kern w:val="2"/>
                <w:sz w:val="21"/>
              </w:rPr>
            </w:pPr>
            <w:r>
              <w:rPr>
                <w:rFonts w:hint="eastAsia" w:cs="Arial" w:asciiTheme="minorEastAsia" w:hAnsiTheme="minorEastAsia" w:eastAsiaTheme="minorEastAsia"/>
                <w:b/>
                <w:bCs/>
                <w:color w:val="auto"/>
                <w:kern w:val="2"/>
                <w:sz w:val="21"/>
              </w:rPr>
              <w:t>分值</w:t>
            </w:r>
          </w:p>
        </w:tc>
        <w:tc>
          <w:tcPr>
            <w:tcW w:w="2583" w:type="dxa"/>
            <w:vMerge w:val="continue"/>
            <w:tcBorders>
              <w:left w:val="single" w:color="auto" w:sz="4" w:space="0"/>
              <w:bottom w:val="single" w:color="auto" w:sz="4" w:space="0"/>
            </w:tcBorders>
            <w:vAlign w:val="center"/>
          </w:tcPr>
          <w:p>
            <w:pPr>
              <w:rPr>
                <w:rFonts w:asciiTheme="minorEastAsia" w:hAnsiTheme="minorEastAsia" w:eastAsiaTheme="minorEastAsia"/>
                <w:color w:val="auto"/>
                <w:spacing w:val="-6"/>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37" w:hRule="atLeast"/>
        </w:trPr>
        <w:tc>
          <w:tcPr>
            <w:tcW w:w="1186" w:type="dxa"/>
            <w:vMerge w:val="restart"/>
            <w:tcBorders>
              <w:top w:val="single" w:color="auto" w:sz="4" w:space="0"/>
            </w:tcBorders>
            <w:vAlign w:val="center"/>
          </w:tcPr>
          <w:p>
            <w:pPr>
              <w:spacing w:line="360" w:lineRule="atLeast"/>
              <w:jc w:val="center"/>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2.2.</w:t>
            </w:r>
            <w:r>
              <w:rPr>
                <w:rFonts w:hint="eastAsia" w:cs="Arial" w:asciiTheme="minorEastAsia" w:hAnsiTheme="minorEastAsia" w:eastAsiaTheme="minorEastAsia"/>
                <w:color w:val="auto"/>
                <w:kern w:val="0"/>
                <w:lang w:val="en-US" w:eastAsia="zh-CN"/>
              </w:rPr>
              <w:t>2</w:t>
            </w:r>
            <w:r>
              <w:rPr>
                <w:rFonts w:hint="eastAsia" w:cs="Arial" w:asciiTheme="minorEastAsia" w:hAnsiTheme="minorEastAsia" w:eastAsiaTheme="minorEastAsia"/>
                <w:color w:val="auto"/>
                <w:kern w:val="0"/>
              </w:rPr>
              <w:t>（1）</w:t>
            </w:r>
          </w:p>
        </w:tc>
        <w:tc>
          <w:tcPr>
            <w:tcW w:w="1095" w:type="dxa"/>
            <w:gridSpan w:val="2"/>
            <w:vMerge w:val="restart"/>
            <w:tcBorders>
              <w:top w:val="single" w:color="auto" w:sz="4" w:space="0"/>
              <w:right w:val="single" w:color="auto" w:sz="4" w:space="0"/>
            </w:tcBorders>
            <w:vAlign w:val="center"/>
          </w:tcPr>
          <w:p>
            <w:pPr>
              <w:pStyle w:val="10"/>
              <w:spacing w:line="300" w:lineRule="auto"/>
              <w:ind w:left="113" w:right="113"/>
              <w:jc w:val="center"/>
              <w:rPr>
                <w:rFonts w:cs="Arial" w:asciiTheme="minorEastAsia" w:hAnsiTheme="minorEastAsia" w:eastAsiaTheme="minorEastAsia"/>
                <w:color w:val="auto"/>
              </w:rPr>
            </w:pPr>
            <w:r>
              <w:rPr>
                <w:rFonts w:hint="eastAsia" w:cs="Arial" w:asciiTheme="minorEastAsia" w:hAnsiTheme="minorEastAsia" w:eastAsiaTheme="minorEastAsia"/>
                <w:color w:val="auto"/>
              </w:rPr>
              <w:t>施工组织设计</w:t>
            </w:r>
          </w:p>
        </w:tc>
        <w:tc>
          <w:tcPr>
            <w:tcW w:w="963" w:type="dxa"/>
            <w:vMerge w:val="restart"/>
            <w:tcBorders>
              <w:top w:val="single" w:color="auto" w:sz="4" w:space="0"/>
              <w:left w:val="single" w:color="auto" w:sz="4" w:space="0"/>
            </w:tcBorders>
            <w:vAlign w:val="center"/>
          </w:tcPr>
          <w:p>
            <w:pPr>
              <w:pStyle w:val="10"/>
              <w:spacing w:line="300" w:lineRule="auto"/>
              <w:ind w:left="113" w:right="113"/>
              <w:jc w:val="center"/>
              <w:rPr>
                <w:rFonts w:cs="Arial" w:asciiTheme="minorEastAsia" w:hAnsiTheme="minorEastAsia" w:eastAsiaTheme="minorEastAsia"/>
                <w:color w:val="auto"/>
              </w:rPr>
            </w:pPr>
            <w:r>
              <w:rPr>
                <w:rFonts w:hint="eastAsia" w:cs="Arial" w:asciiTheme="minorEastAsia" w:hAnsiTheme="minorEastAsia" w:eastAsiaTheme="minorEastAsia"/>
                <w:color w:val="auto"/>
                <w:u w:val="single"/>
              </w:rPr>
              <w:t xml:space="preserve"> </w:t>
            </w:r>
            <w:r>
              <w:rPr>
                <w:rFonts w:hint="eastAsia" w:cs="Arial" w:asciiTheme="minorEastAsia" w:hAnsiTheme="minorEastAsia" w:eastAsiaTheme="minorEastAsia"/>
                <w:color w:val="auto"/>
                <w:u w:val="single"/>
                <w:lang w:val="en-US" w:eastAsia="zh-CN"/>
              </w:rPr>
              <w:t>26</w:t>
            </w:r>
            <w:r>
              <w:rPr>
                <w:rFonts w:hint="eastAsia" w:cs="Arial" w:asciiTheme="minorEastAsia" w:hAnsiTheme="minorEastAsia" w:eastAsiaTheme="minorEastAsia"/>
                <w:color w:val="auto"/>
              </w:rPr>
              <w:t>分</w:t>
            </w:r>
          </w:p>
        </w:tc>
        <w:tc>
          <w:tcPr>
            <w:tcW w:w="2637" w:type="dxa"/>
            <w:tcBorders>
              <w:top w:val="single" w:color="auto" w:sz="4" w:space="0"/>
              <w:bottom w:val="single" w:color="auto" w:sz="4" w:space="0"/>
              <w:right w:val="single" w:color="auto" w:sz="4" w:space="0"/>
            </w:tcBorders>
            <w:vAlign w:val="center"/>
          </w:tcPr>
          <w:p>
            <w:pPr>
              <w:pStyle w:val="11"/>
              <w:kinsoku w:val="0"/>
              <w:overflowPunct w:val="0"/>
              <w:spacing w:before="88"/>
              <w:jc w:val="both"/>
              <w:rPr>
                <w:rFonts w:cs="Arial" w:asciiTheme="minorEastAsia" w:hAnsiTheme="minorEastAsia" w:eastAsiaTheme="minorEastAsia"/>
                <w:color w:val="auto"/>
                <w:kern w:val="2"/>
                <w:sz w:val="21"/>
                <w:szCs w:val="21"/>
              </w:rPr>
            </w:pPr>
            <w:r>
              <w:rPr>
                <w:rFonts w:hint="eastAsia" w:cs="Arial" w:asciiTheme="minorEastAsia" w:hAnsiTheme="minorEastAsia" w:eastAsiaTheme="minorEastAsia"/>
                <w:color w:val="auto"/>
                <w:kern w:val="2"/>
                <w:sz w:val="21"/>
                <w:szCs w:val="21"/>
              </w:rPr>
              <w:t>总体施工组织布置及规划</w:t>
            </w:r>
          </w:p>
        </w:tc>
        <w:tc>
          <w:tcPr>
            <w:tcW w:w="750" w:type="dxa"/>
            <w:tcBorders>
              <w:top w:val="single" w:color="auto" w:sz="4" w:space="0"/>
              <w:left w:val="single" w:color="auto" w:sz="4" w:space="0"/>
              <w:bottom w:val="single" w:color="auto" w:sz="4" w:space="0"/>
            </w:tcBorders>
            <w:vAlign w:val="center"/>
          </w:tcPr>
          <w:p>
            <w:pPr>
              <w:pStyle w:val="11"/>
              <w:kinsoku w:val="0"/>
              <w:overflowPunct w:val="0"/>
              <w:spacing w:before="88"/>
              <w:jc w:val="center"/>
              <w:rPr>
                <w:rFonts w:cs="Arial" w:asciiTheme="minorEastAsia" w:hAnsiTheme="minorEastAsia" w:eastAsiaTheme="minorEastAsia"/>
                <w:color w:val="auto"/>
                <w:kern w:val="2"/>
                <w:sz w:val="21"/>
                <w:highlight w:val="none"/>
              </w:rPr>
            </w:pPr>
            <w:r>
              <w:rPr>
                <w:rFonts w:hint="eastAsia" w:cs="Arial" w:asciiTheme="minorEastAsia" w:hAnsiTheme="minorEastAsia" w:eastAsiaTheme="minorEastAsia"/>
                <w:color w:val="auto"/>
                <w:kern w:val="2"/>
                <w:sz w:val="21"/>
                <w:highlight w:val="none"/>
                <w:u w:val="single"/>
              </w:rPr>
              <w:t xml:space="preserve"> 4分</w:t>
            </w:r>
          </w:p>
        </w:tc>
        <w:tc>
          <w:tcPr>
            <w:tcW w:w="2583" w:type="dxa"/>
            <w:vMerge w:val="restart"/>
            <w:tcBorders>
              <w:top w:val="single" w:color="auto" w:sz="4" w:space="0"/>
              <w:left w:val="single" w:color="auto" w:sz="4" w:space="0"/>
            </w:tcBorders>
            <w:vAlign w:val="center"/>
          </w:tcPr>
          <w:p>
            <w:pPr>
              <w:rPr>
                <w:rFonts w:cs="Arial" w:asciiTheme="minorEastAsia" w:hAnsiTheme="minorEastAsia" w:eastAsiaTheme="minorEastAsia"/>
                <w:color w:val="auto"/>
              </w:rPr>
            </w:pPr>
            <w:r>
              <w:rPr>
                <w:rFonts w:asciiTheme="minorEastAsia" w:hAnsiTheme="minorEastAsia" w:eastAsiaTheme="minorEastAsia"/>
                <w:color w:val="auto"/>
                <w:spacing w:val="-6"/>
                <w:szCs w:val="21"/>
              </w:rPr>
              <w:t>按4个等级评定：“很好”计分值的90%~100%，“较好”计80~90%，“一般”计70%~80%，“较差但可行”计60%~70%。本项目由评标委员会按照上述规定，独立评分并签名，各评审因素得分</w:t>
            </w:r>
            <w:r>
              <w:rPr>
                <w:rFonts w:hint="eastAsia" w:asciiTheme="minorEastAsia" w:hAnsiTheme="minorEastAsia" w:eastAsiaTheme="minorEastAsia"/>
                <w:color w:val="auto"/>
                <w:spacing w:val="-6"/>
                <w:szCs w:val="21"/>
              </w:rPr>
              <w:t>一般不得</w:t>
            </w:r>
            <w:r>
              <w:rPr>
                <w:rFonts w:asciiTheme="minorEastAsia" w:hAnsiTheme="minorEastAsia" w:eastAsiaTheme="minorEastAsia"/>
                <w:color w:val="auto"/>
                <w:spacing w:val="-6"/>
                <w:szCs w:val="21"/>
              </w:rPr>
              <w:t>低于其满分的60%，</w:t>
            </w:r>
            <w:r>
              <w:rPr>
                <w:rFonts w:hint="eastAsia" w:asciiTheme="minorEastAsia" w:hAnsiTheme="minorEastAsia" w:eastAsiaTheme="minorEastAsia"/>
                <w:color w:val="auto"/>
                <w:spacing w:val="-6"/>
                <w:szCs w:val="21"/>
              </w:rPr>
              <w:t>评标委员会成员对某一项评分因素的评分低于权重分值60%的，应在评标报告中做出说明。</w:t>
            </w:r>
            <w:r>
              <w:rPr>
                <w:rFonts w:asciiTheme="minorEastAsia" w:hAnsiTheme="minorEastAsia" w:eastAsiaTheme="minorEastAsia"/>
                <w:color w:val="auto"/>
                <w:spacing w:val="-6"/>
                <w:szCs w:val="21"/>
              </w:rPr>
              <w:t>各评审因素得分应以评标委员会各成员打分的平均值确定</w:t>
            </w:r>
            <w:r>
              <w:rPr>
                <w:rFonts w:hint="eastAsia" w:asciiTheme="minorEastAsia" w:hAnsiTheme="minorEastAsia" w:eastAsiaTheme="minorEastAsia"/>
                <w:color w:val="auto"/>
                <w:spacing w:val="-6"/>
                <w:szCs w:val="21"/>
              </w:rPr>
              <w:t>（当</w:t>
            </w:r>
            <w:r>
              <w:rPr>
                <w:rFonts w:asciiTheme="minorEastAsia" w:hAnsiTheme="minorEastAsia" w:eastAsiaTheme="minorEastAsia"/>
                <w:color w:val="auto"/>
                <w:spacing w:val="-6"/>
                <w:szCs w:val="21"/>
              </w:rPr>
              <w:t>评标委员会</w:t>
            </w:r>
            <w:r>
              <w:rPr>
                <w:rFonts w:hint="eastAsia" w:asciiTheme="minorEastAsia" w:hAnsiTheme="minorEastAsia" w:eastAsiaTheme="minorEastAsia"/>
                <w:color w:val="auto"/>
                <w:spacing w:val="-6"/>
                <w:szCs w:val="21"/>
              </w:rPr>
              <w:t>为</w:t>
            </w:r>
            <w:r>
              <w:rPr>
                <w:rFonts w:asciiTheme="minorEastAsia" w:hAnsiTheme="minorEastAsia" w:eastAsiaTheme="minorEastAsia"/>
                <w:color w:val="auto"/>
                <w:spacing w:val="-6"/>
                <w:szCs w:val="21"/>
              </w:rPr>
              <w:t>5人时，该平均值以</w:t>
            </w:r>
            <w:r>
              <w:rPr>
                <w:rFonts w:hint="eastAsia" w:asciiTheme="minorEastAsia" w:hAnsiTheme="minorEastAsia" w:eastAsiaTheme="minorEastAsia"/>
                <w:color w:val="auto"/>
                <w:spacing w:val="-6"/>
                <w:szCs w:val="21"/>
              </w:rPr>
              <w:t>各成员打分的算术平均值确定；当</w:t>
            </w:r>
            <w:r>
              <w:rPr>
                <w:rFonts w:asciiTheme="minorEastAsia" w:hAnsiTheme="minorEastAsia" w:eastAsiaTheme="minorEastAsia"/>
                <w:color w:val="auto"/>
                <w:spacing w:val="-6"/>
                <w:szCs w:val="21"/>
              </w:rPr>
              <w:t>评标委员会</w:t>
            </w:r>
            <w:r>
              <w:rPr>
                <w:rFonts w:hint="eastAsia" w:asciiTheme="minorEastAsia" w:hAnsiTheme="minorEastAsia" w:eastAsiaTheme="minorEastAsia"/>
                <w:color w:val="auto"/>
                <w:spacing w:val="-6"/>
                <w:szCs w:val="21"/>
              </w:rPr>
              <w:t>为</w:t>
            </w:r>
            <w:r>
              <w:rPr>
                <w:rFonts w:asciiTheme="minorEastAsia" w:hAnsiTheme="minorEastAsia" w:eastAsiaTheme="minorEastAsia"/>
                <w:color w:val="auto"/>
                <w:spacing w:val="-6"/>
                <w:szCs w:val="21"/>
              </w:rPr>
              <w:t>7</w:t>
            </w:r>
            <w:r>
              <w:rPr>
                <w:rFonts w:hint="eastAsia" w:asciiTheme="minorEastAsia" w:hAnsiTheme="minorEastAsia" w:eastAsiaTheme="minorEastAsia"/>
                <w:color w:val="auto"/>
                <w:spacing w:val="-6"/>
                <w:szCs w:val="21"/>
              </w:rPr>
              <w:t>人及以上时，</w:t>
            </w:r>
            <w:r>
              <w:rPr>
                <w:rFonts w:asciiTheme="minorEastAsia" w:hAnsiTheme="minorEastAsia" w:eastAsiaTheme="minorEastAsia"/>
                <w:color w:val="auto"/>
                <w:spacing w:val="-6"/>
                <w:szCs w:val="21"/>
              </w:rPr>
              <w:t>该平均值以去掉一个最高分和一个最低分后计算</w:t>
            </w:r>
            <w:r>
              <w:rPr>
                <w:rFonts w:hint="eastAsia" w:asciiTheme="minorEastAsia" w:hAnsiTheme="minorEastAsia" w:eastAsiaTheme="minorEastAsia"/>
                <w:color w:val="auto"/>
                <w:spacing w:val="-6"/>
                <w:szCs w:val="21"/>
              </w:rPr>
              <w:t>）</w:t>
            </w:r>
            <w:r>
              <w:rPr>
                <w:rFonts w:asciiTheme="minorEastAsia" w:hAnsiTheme="minorEastAsia" w:eastAsiaTheme="minorEastAsia"/>
                <w:color w:val="auto"/>
                <w:spacing w:val="-6"/>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37" w:hRule="atLeast"/>
        </w:trPr>
        <w:tc>
          <w:tcPr>
            <w:tcW w:w="1186" w:type="dxa"/>
            <w:vMerge w:val="continue"/>
            <w:tcBorders>
              <w:top w:val="single" w:color="auto" w:sz="4" w:space="0"/>
            </w:tcBorders>
            <w:vAlign w:val="center"/>
          </w:tcPr>
          <w:p>
            <w:pPr>
              <w:spacing w:line="360" w:lineRule="atLeast"/>
              <w:jc w:val="center"/>
              <w:rPr>
                <w:rFonts w:cs="Arial" w:asciiTheme="minorEastAsia" w:hAnsiTheme="minorEastAsia" w:eastAsiaTheme="minorEastAsia"/>
                <w:color w:val="auto"/>
                <w:kern w:val="0"/>
              </w:rPr>
            </w:pPr>
          </w:p>
        </w:tc>
        <w:tc>
          <w:tcPr>
            <w:tcW w:w="1095" w:type="dxa"/>
            <w:gridSpan w:val="2"/>
            <w:vMerge w:val="continue"/>
            <w:tcBorders>
              <w:top w:val="single" w:color="auto" w:sz="4" w:space="0"/>
              <w:right w:val="single" w:color="auto" w:sz="4" w:space="0"/>
            </w:tcBorders>
            <w:vAlign w:val="center"/>
          </w:tcPr>
          <w:p>
            <w:pPr>
              <w:pStyle w:val="10"/>
              <w:spacing w:line="300" w:lineRule="auto"/>
              <w:ind w:left="113" w:right="113"/>
              <w:jc w:val="center"/>
              <w:rPr>
                <w:rFonts w:cs="Arial" w:asciiTheme="minorEastAsia" w:hAnsiTheme="minorEastAsia" w:eastAsiaTheme="minorEastAsia"/>
                <w:color w:val="auto"/>
              </w:rPr>
            </w:pPr>
          </w:p>
        </w:tc>
        <w:tc>
          <w:tcPr>
            <w:tcW w:w="963" w:type="dxa"/>
            <w:vMerge w:val="continue"/>
            <w:tcBorders>
              <w:top w:val="single" w:color="auto" w:sz="4" w:space="0"/>
              <w:left w:val="single" w:color="auto" w:sz="4" w:space="0"/>
            </w:tcBorders>
            <w:vAlign w:val="center"/>
          </w:tcPr>
          <w:p>
            <w:pPr>
              <w:pStyle w:val="10"/>
              <w:spacing w:line="300" w:lineRule="auto"/>
              <w:ind w:left="113" w:right="113"/>
              <w:jc w:val="center"/>
              <w:rPr>
                <w:rFonts w:cs="Arial" w:asciiTheme="minorEastAsia" w:hAnsiTheme="minorEastAsia" w:eastAsiaTheme="minorEastAsia"/>
                <w:color w:val="auto"/>
              </w:rPr>
            </w:pPr>
          </w:p>
        </w:tc>
        <w:tc>
          <w:tcPr>
            <w:tcW w:w="2637" w:type="dxa"/>
            <w:tcBorders>
              <w:top w:val="single" w:color="auto" w:sz="4" w:space="0"/>
              <w:bottom w:val="single" w:color="auto" w:sz="4" w:space="0"/>
              <w:right w:val="single" w:color="auto" w:sz="4" w:space="0"/>
            </w:tcBorders>
            <w:vAlign w:val="center"/>
          </w:tcPr>
          <w:p>
            <w:pPr>
              <w:pStyle w:val="11"/>
              <w:kinsoku w:val="0"/>
              <w:overflowPunct w:val="0"/>
              <w:spacing w:before="88"/>
              <w:jc w:val="both"/>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主要工程项目的施工方案、方法与技术措施</w:t>
            </w:r>
          </w:p>
        </w:tc>
        <w:tc>
          <w:tcPr>
            <w:tcW w:w="750" w:type="dxa"/>
            <w:tcBorders>
              <w:top w:val="single" w:color="auto" w:sz="4" w:space="0"/>
              <w:left w:val="single" w:color="auto" w:sz="4" w:space="0"/>
              <w:bottom w:val="single" w:color="auto" w:sz="4" w:space="0"/>
            </w:tcBorders>
            <w:vAlign w:val="center"/>
          </w:tcPr>
          <w:p>
            <w:pPr>
              <w:pStyle w:val="11"/>
              <w:kinsoku w:val="0"/>
              <w:overflowPunct w:val="0"/>
              <w:spacing w:before="88"/>
              <w:jc w:val="center"/>
              <w:rPr>
                <w:rFonts w:cs="Arial" w:asciiTheme="minorEastAsia" w:hAnsiTheme="minorEastAsia" w:eastAsiaTheme="minorEastAsia"/>
                <w:color w:val="auto"/>
                <w:kern w:val="2"/>
                <w:sz w:val="21"/>
                <w:highlight w:val="none"/>
                <w:u w:val="single"/>
              </w:rPr>
            </w:pPr>
            <w:r>
              <w:rPr>
                <w:rFonts w:hint="eastAsia" w:cs="Arial" w:asciiTheme="minorEastAsia" w:hAnsiTheme="minorEastAsia" w:eastAsiaTheme="minorEastAsia"/>
                <w:color w:val="auto"/>
                <w:kern w:val="2"/>
                <w:sz w:val="21"/>
                <w:highlight w:val="none"/>
                <w:u w:val="single"/>
              </w:rPr>
              <w:t xml:space="preserve"> 4</w:t>
            </w:r>
            <w:r>
              <w:rPr>
                <w:rFonts w:hint="eastAsia" w:cs="Arial" w:asciiTheme="minorEastAsia" w:hAnsiTheme="minorEastAsia" w:eastAsiaTheme="minorEastAsia"/>
                <w:color w:val="auto"/>
                <w:kern w:val="2"/>
                <w:sz w:val="21"/>
                <w:highlight w:val="none"/>
              </w:rPr>
              <w:t>分</w:t>
            </w:r>
          </w:p>
        </w:tc>
        <w:tc>
          <w:tcPr>
            <w:tcW w:w="2583" w:type="dxa"/>
            <w:vMerge w:val="continue"/>
            <w:tcBorders>
              <w:top w:val="single" w:color="auto" w:sz="4" w:space="0"/>
              <w:left w:val="single" w:color="auto" w:sz="4" w:space="0"/>
            </w:tcBorders>
            <w:vAlign w:val="center"/>
          </w:tcPr>
          <w:p>
            <w:pPr>
              <w:rPr>
                <w:rFonts w:asciiTheme="minorEastAsia" w:hAnsiTheme="minorEastAsia" w:eastAsiaTheme="minorEastAsia"/>
                <w:color w:val="auto"/>
                <w:spacing w:val="-6"/>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37" w:hRule="atLeast"/>
        </w:trPr>
        <w:tc>
          <w:tcPr>
            <w:tcW w:w="1186" w:type="dxa"/>
            <w:vMerge w:val="continue"/>
            <w:vAlign w:val="center"/>
          </w:tcPr>
          <w:p>
            <w:pPr>
              <w:spacing w:line="360" w:lineRule="atLeast"/>
              <w:jc w:val="center"/>
              <w:rPr>
                <w:rFonts w:cs="Arial" w:asciiTheme="minorEastAsia" w:hAnsiTheme="minorEastAsia" w:eastAsiaTheme="minorEastAsia"/>
                <w:color w:val="auto"/>
                <w:kern w:val="0"/>
              </w:rPr>
            </w:pPr>
          </w:p>
        </w:tc>
        <w:tc>
          <w:tcPr>
            <w:tcW w:w="1095" w:type="dxa"/>
            <w:gridSpan w:val="2"/>
            <w:vMerge w:val="continue"/>
            <w:tcBorders>
              <w:right w:val="single" w:color="auto" w:sz="4" w:space="0"/>
            </w:tcBorders>
            <w:vAlign w:val="center"/>
          </w:tcPr>
          <w:p>
            <w:pPr>
              <w:pStyle w:val="10"/>
              <w:spacing w:line="300" w:lineRule="auto"/>
              <w:ind w:left="113" w:right="113"/>
              <w:jc w:val="center"/>
              <w:rPr>
                <w:rFonts w:cs="Arial" w:asciiTheme="minorEastAsia" w:hAnsiTheme="minorEastAsia" w:eastAsiaTheme="minorEastAsia"/>
                <w:color w:val="auto"/>
              </w:rPr>
            </w:pPr>
          </w:p>
        </w:tc>
        <w:tc>
          <w:tcPr>
            <w:tcW w:w="963" w:type="dxa"/>
            <w:vMerge w:val="continue"/>
            <w:tcBorders>
              <w:left w:val="single" w:color="auto" w:sz="4" w:space="0"/>
            </w:tcBorders>
            <w:vAlign w:val="center"/>
          </w:tcPr>
          <w:p>
            <w:pPr>
              <w:pStyle w:val="10"/>
              <w:spacing w:line="300" w:lineRule="auto"/>
              <w:ind w:left="113" w:right="113"/>
              <w:jc w:val="center"/>
              <w:rPr>
                <w:rFonts w:cs="Arial" w:asciiTheme="minorEastAsia" w:hAnsiTheme="minorEastAsia" w:eastAsiaTheme="minorEastAsia"/>
                <w:color w:val="auto"/>
              </w:rPr>
            </w:pPr>
          </w:p>
        </w:tc>
        <w:tc>
          <w:tcPr>
            <w:tcW w:w="2637" w:type="dxa"/>
            <w:tcBorders>
              <w:top w:val="single" w:color="auto" w:sz="4" w:space="0"/>
              <w:bottom w:val="single" w:color="auto" w:sz="4" w:space="0"/>
              <w:right w:val="single" w:color="auto" w:sz="4" w:space="0"/>
            </w:tcBorders>
            <w:vAlign w:val="center"/>
          </w:tcPr>
          <w:p>
            <w:pPr>
              <w:pStyle w:val="11"/>
              <w:kinsoku w:val="0"/>
              <w:overflowPunct w:val="0"/>
              <w:spacing w:before="15" w:line="380" w:lineRule="exact"/>
              <w:ind w:right="95" w:rightChars="0"/>
              <w:jc w:val="both"/>
              <w:rPr>
                <w:rFonts w:cs="Arial" w:asciiTheme="minorEastAsia" w:hAnsiTheme="minorEastAsia" w:eastAsiaTheme="minorEastAsia"/>
                <w:color w:val="auto"/>
                <w:kern w:val="2"/>
                <w:sz w:val="21"/>
                <w:szCs w:val="21"/>
              </w:rPr>
            </w:pPr>
            <w:r>
              <w:rPr>
                <w:rFonts w:hint="eastAsia" w:cs="宋体" w:asciiTheme="minorEastAsia" w:hAnsiTheme="minorEastAsia" w:eastAsiaTheme="minorEastAsia"/>
                <w:color w:val="auto"/>
                <w:sz w:val="21"/>
                <w:szCs w:val="21"/>
              </w:rPr>
              <w:t xml:space="preserve">工期保证体系及保证措施  </w:t>
            </w:r>
          </w:p>
        </w:tc>
        <w:tc>
          <w:tcPr>
            <w:tcW w:w="750" w:type="dxa"/>
            <w:tcBorders>
              <w:top w:val="single" w:color="auto" w:sz="4" w:space="0"/>
              <w:left w:val="single" w:color="auto" w:sz="4" w:space="0"/>
              <w:bottom w:val="single" w:color="auto" w:sz="4" w:space="0"/>
            </w:tcBorders>
            <w:vAlign w:val="center"/>
          </w:tcPr>
          <w:p>
            <w:pPr>
              <w:pStyle w:val="11"/>
              <w:kinsoku w:val="0"/>
              <w:overflowPunct w:val="0"/>
              <w:jc w:val="center"/>
              <w:rPr>
                <w:rFonts w:cs="Arial" w:asciiTheme="minorEastAsia" w:hAnsiTheme="minorEastAsia" w:eastAsiaTheme="minorEastAsia"/>
                <w:color w:val="auto"/>
                <w:kern w:val="2"/>
                <w:sz w:val="21"/>
                <w:highlight w:val="none"/>
              </w:rPr>
            </w:pPr>
            <w:r>
              <w:rPr>
                <w:rFonts w:hint="eastAsia" w:cs="Arial" w:asciiTheme="minorEastAsia" w:hAnsiTheme="minorEastAsia" w:eastAsiaTheme="minorEastAsia"/>
                <w:color w:val="auto"/>
                <w:kern w:val="2"/>
                <w:sz w:val="21"/>
                <w:highlight w:val="none"/>
                <w:u w:val="single"/>
              </w:rPr>
              <w:t xml:space="preserve"> 4</w:t>
            </w:r>
            <w:r>
              <w:rPr>
                <w:rFonts w:hint="eastAsia" w:cs="Arial" w:asciiTheme="minorEastAsia" w:hAnsiTheme="minorEastAsia" w:eastAsiaTheme="minorEastAsia"/>
                <w:color w:val="auto"/>
                <w:kern w:val="2"/>
                <w:sz w:val="21"/>
                <w:highlight w:val="none"/>
              </w:rPr>
              <w:t>分</w:t>
            </w:r>
          </w:p>
        </w:tc>
        <w:tc>
          <w:tcPr>
            <w:tcW w:w="2583" w:type="dxa"/>
            <w:vMerge w:val="continue"/>
            <w:tcBorders>
              <w:left w:val="single" w:color="auto" w:sz="4" w:space="0"/>
            </w:tcBorders>
            <w:vAlign w:val="center"/>
          </w:tcPr>
          <w:p>
            <w:pPr>
              <w:snapToGrid w:val="0"/>
              <w:spacing w:line="300" w:lineRule="auto"/>
              <w:jc w:val="left"/>
              <w:rPr>
                <w:rFonts w:cs="Arial" w:asciiTheme="minorEastAsia" w:hAnsiTheme="minorEastAsia" w:eastAsiaTheme="minorEastAsia"/>
                <w:color w:va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37" w:hRule="atLeast"/>
        </w:trPr>
        <w:tc>
          <w:tcPr>
            <w:tcW w:w="1186" w:type="dxa"/>
            <w:vMerge w:val="continue"/>
            <w:vAlign w:val="center"/>
          </w:tcPr>
          <w:p>
            <w:pPr>
              <w:spacing w:line="360" w:lineRule="atLeast"/>
              <w:jc w:val="center"/>
              <w:rPr>
                <w:rFonts w:cs="Arial" w:asciiTheme="minorEastAsia" w:hAnsiTheme="minorEastAsia" w:eastAsiaTheme="minorEastAsia"/>
                <w:color w:val="auto"/>
                <w:kern w:val="0"/>
              </w:rPr>
            </w:pPr>
          </w:p>
        </w:tc>
        <w:tc>
          <w:tcPr>
            <w:tcW w:w="1095" w:type="dxa"/>
            <w:gridSpan w:val="2"/>
            <w:vMerge w:val="continue"/>
            <w:tcBorders>
              <w:right w:val="single" w:color="auto" w:sz="4" w:space="0"/>
            </w:tcBorders>
            <w:vAlign w:val="center"/>
          </w:tcPr>
          <w:p>
            <w:pPr>
              <w:pStyle w:val="10"/>
              <w:spacing w:line="300" w:lineRule="auto"/>
              <w:ind w:left="113" w:right="113"/>
              <w:jc w:val="center"/>
              <w:rPr>
                <w:rFonts w:cs="Arial" w:asciiTheme="minorEastAsia" w:hAnsiTheme="minorEastAsia" w:eastAsiaTheme="minorEastAsia"/>
                <w:color w:val="auto"/>
              </w:rPr>
            </w:pPr>
          </w:p>
        </w:tc>
        <w:tc>
          <w:tcPr>
            <w:tcW w:w="963" w:type="dxa"/>
            <w:vMerge w:val="continue"/>
            <w:tcBorders>
              <w:left w:val="single" w:color="auto" w:sz="4" w:space="0"/>
            </w:tcBorders>
            <w:vAlign w:val="center"/>
          </w:tcPr>
          <w:p>
            <w:pPr>
              <w:pStyle w:val="10"/>
              <w:spacing w:line="300" w:lineRule="auto"/>
              <w:ind w:left="113" w:right="113"/>
              <w:jc w:val="center"/>
              <w:rPr>
                <w:rFonts w:cs="Arial" w:asciiTheme="minorEastAsia" w:hAnsiTheme="minorEastAsia" w:eastAsiaTheme="minorEastAsia"/>
                <w:color w:val="auto"/>
              </w:rPr>
            </w:pPr>
          </w:p>
        </w:tc>
        <w:tc>
          <w:tcPr>
            <w:tcW w:w="2637" w:type="dxa"/>
            <w:tcBorders>
              <w:top w:val="single" w:color="auto" w:sz="4" w:space="0"/>
              <w:bottom w:val="single" w:color="auto" w:sz="4" w:space="0"/>
              <w:right w:val="single" w:color="auto" w:sz="4" w:space="0"/>
            </w:tcBorders>
            <w:vAlign w:val="center"/>
          </w:tcPr>
          <w:p>
            <w:pPr>
              <w:pStyle w:val="11"/>
              <w:kinsoku w:val="0"/>
              <w:overflowPunct w:val="0"/>
              <w:spacing w:before="81"/>
              <w:jc w:val="both"/>
              <w:rPr>
                <w:rFonts w:cs="Arial" w:asciiTheme="minorEastAsia" w:hAnsiTheme="minorEastAsia" w:eastAsiaTheme="minorEastAsia"/>
                <w:color w:val="auto"/>
                <w:kern w:val="2"/>
                <w:sz w:val="21"/>
                <w:szCs w:val="21"/>
              </w:rPr>
            </w:pPr>
            <w:r>
              <w:rPr>
                <w:rFonts w:hint="eastAsia" w:cs="宋体" w:asciiTheme="minorEastAsia" w:hAnsiTheme="minorEastAsia" w:eastAsiaTheme="minorEastAsia"/>
                <w:color w:val="auto"/>
                <w:sz w:val="21"/>
                <w:szCs w:val="21"/>
              </w:rPr>
              <w:t xml:space="preserve">工程质量管理体系及保证措施  </w:t>
            </w:r>
          </w:p>
        </w:tc>
        <w:tc>
          <w:tcPr>
            <w:tcW w:w="750" w:type="dxa"/>
            <w:tcBorders>
              <w:top w:val="single" w:color="auto" w:sz="4" w:space="0"/>
              <w:left w:val="single" w:color="auto" w:sz="4" w:space="0"/>
              <w:bottom w:val="single" w:color="auto" w:sz="4" w:space="0"/>
            </w:tcBorders>
            <w:vAlign w:val="center"/>
          </w:tcPr>
          <w:p>
            <w:pPr>
              <w:pStyle w:val="11"/>
              <w:kinsoku w:val="0"/>
              <w:overflowPunct w:val="0"/>
              <w:spacing w:before="85"/>
              <w:jc w:val="center"/>
              <w:rPr>
                <w:rFonts w:cs="Arial" w:asciiTheme="minorEastAsia" w:hAnsiTheme="minorEastAsia" w:eastAsiaTheme="minorEastAsia"/>
                <w:color w:val="auto"/>
                <w:kern w:val="2"/>
                <w:sz w:val="21"/>
                <w:highlight w:val="none"/>
              </w:rPr>
            </w:pPr>
            <w:r>
              <w:rPr>
                <w:rFonts w:hint="eastAsia" w:cs="Arial" w:asciiTheme="minorEastAsia" w:hAnsiTheme="minorEastAsia" w:eastAsiaTheme="minorEastAsia"/>
                <w:color w:val="auto"/>
                <w:kern w:val="2"/>
                <w:sz w:val="21"/>
                <w:highlight w:val="none"/>
                <w:u w:val="single"/>
              </w:rPr>
              <w:t xml:space="preserve"> 4</w:t>
            </w:r>
            <w:r>
              <w:rPr>
                <w:rFonts w:hint="eastAsia" w:cs="Arial" w:asciiTheme="minorEastAsia" w:hAnsiTheme="minorEastAsia" w:eastAsiaTheme="minorEastAsia"/>
                <w:color w:val="auto"/>
                <w:kern w:val="2"/>
                <w:sz w:val="21"/>
                <w:highlight w:val="none"/>
              </w:rPr>
              <w:t>分</w:t>
            </w:r>
          </w:p>
        </w:tc>
        <w:tc>
          <w:tcPr>
            <w:tcW w:w="2583" w:type="dxa"/>
            <w:vMerge w:val="continue"/>
            <w:tcBorders>
              <w:left w:val="single" w:color="auto" w:sz="4" w:space="0"/>
            </w:tcBorders>
            <w:vAlign w:val="center"/>
          </w:tcPr>
          <w:p>
            <w:pPr>
              <w:snapToGrid w:val="0"/>
              <w:spacing w:line="300" w:lineRule="auto"/>
              <w:jc w:val="left"/>
              <w:rPr>
                <w:rFonts w:cs="Arial" w:asciiTheme="minorEastAsia" w:hAnsiTheme="minorEastAsia" w:eastAsiaTheme="minorEastAsia"/>
                <w:color w:va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37" w:hRule="atLeast"/>
        </w:trPr>
        <w:tc>
          <w:tcPr>
            <w:tcW w:w="1186" w:type="dxa"/>
            <w:vMerge w:val="continue"/>
            <w:vAlign w:val="center"/>
          </w:tcPr>
          <w:p>
            <w:pPr>
              <w:spacing w:line="360" w:lineRule="atLeast"/>
              <w:jc w:val="center"/>
              <w:rPr>
                <w:rFonts w:cs="Arial" w:asciiTheme="minorEastAsia" w:hAnsiTheme="minorEastAsia" w:eastAsiaTheme="minorEastAsia"/>
                <w:color w:val="auto"/>
                <w:kern w:val="0"/>
              </w:rPr>
            </w:pPr>
          </w:p>
        </w:tc>
        <w:tc>
          <w:tcPr>
            <w:tcW w:w="1095" w:type="dxa"/>
            <w:gridSpan w:val="2"/>
            <w:vMerge w:val="continue"/>
            <w:tcBorders>
              <w:right w:val="single" w:color="auto" w:sz="4" w:space="0"/>
            </w:tcBorders>
            <w:vAlign w:val="center"/>
          </w:tcPr>
          <w:p>
            <w:pPr>
              <w:pStyle w:val="10"/>
              <w:spacing w:line="300" w:lineRule="auto"/>
              <w:ind w:left="113" w:right="113"/>
              <w:jc w:val="center"/>
              <w:rPr>
                <w:rFonts w:cs="Arial" w:asciiTheme="minorEastAsia" w:hAnsiTheme="minorEastAsia" w:eastAsiaTheme="minorEastAsia"/>
                <w:color w:val="auto"/>
              </w:rPr>
            </w:pPr>
          </w:p>
        </w:tc>
        <w:tc>
          <w:tcPr>
            <w:tcW w:w="963" w:type="dxa"/>
            <w:vMerge w:val="continue"/>
            <w:tcBorders>
              <w:left w:val="single" w:color="auto" w:sz="4" w:space="0"/>
            </w:tcBorders>
            <w:vAlign w:val="center"/>
          </w:tcPr>
          <w:p>
            <w:pPr>
              <w:pStyle w:val="10"/>
              <w:spacing w:line="300" w:lineRule="auto"/>
              <w:ind w:left="113" w:right="113"/>
              <w:jc w:val="center"/>
              <w:rPr>
                <w:rFonts w:cs="Arial" w:asciiTheme="minorEastAsia" w:hAnsiTheme="minorEastAsia" w:eastAsiaTheme="minorEastAsia"/>
                <w:color w:val="auto"/>
              </w:rPr>
            </w:pPr>
          </w:p>
        </w:tc>
        <w:tc>
          <w:tcPr>
            <w:tcW w:w="2637" w:type="dxa"/>
            <w:tcBorders>
              <w:top w:val="single" w:color="auto" w:sz="4" w:space="0"/>
              <w:bottom w:val="single" w:color="auto" w:sz="4" w:space="0"/>
              <w:right w:val="single" w:color="auto" w:sz="4" w:space="0"/>
            </w:tcBorders>
            <w:vAlign w:val="center"/>
          </w:tcPr>
          <w:p>
            <w:pPr>
              <w:pStyle w:val="11"/>
              <w:kinsoku w:val="0"/>
              <w:overflowPunct w:val="0"/>
              <w:spacing w:before="83"/>
              <w:jc w:val="both"/>
              <w:rPr>
                <w:rFonts w:cs="Arial" w:asciiTheme="minorEastAsia" w:hAnsiTheme="minorEastAsia" w:eastAsiaTheme="minorEastAsia"/>
                <w:color w:val="auto"/>
                <w:kern w:val="2"/>
                <w:sz w:val="21"/>
                <w:szCs w:val="21"/>
              </w:rPr>
            </w:pPr>
            <w:r>
              <w:rPr>
                <w:rFonts w:hint="eastAsia" w:cs="宋体" w:asciiTheme="minorEastAsia" w:hAnsiTheme="minorEastAsia" w:eastAsiaTheme="minorEastAsia"/>
                <w:color w:val="auto"/>
                <w:sz w:val="21"/>
                <w:szCs w:val="21"/>
              </w:rPr>
              <w:t>安全生产管理体系及保证措施</w:t>
            </w:r>
          </w:p>
        </w:tc>
        <w:tc>
          <w:tcPr>
            <w:tcW w:w="750" w:type="dxa"/>
            <w:tcBorders>
              <w:top w:val="single" w:color="auto" w:sz="4" w:space="0"/>
              <w:left w:val="single" w:color="auto" w:sz="4" w:space="0"/>
              <w:bottom w:val="single" w:color="auto" w:sz="4" w:space="0"/>
            </w:tcBorders>
            <w:vAlign w:val="center"/>
          </w:tcPr>
          <w:p>
            <w:pPr>
              <w:pStyle w:val="11"/>
              <w:kinsoku w:val="0"/>
              <w:overflowPunct w:val="0"/>
              <w:spacing w:before="160" w:line="217" w:lineRule="exact"/>
              <w:jc w:val="center"/>
              <w:rPr>
                <w:rFonts w:cs="Arial" w:asciiTheme="minorEastAsia" w:hAnsiTheme="minorEastAsia" w:eastAsiaTheme="minorEastAsia"/>
                <w:color w:val="auto"/>
                <w:kern w:val="2"/>
                <w:sz w:val="21"/>
                <w:highlight w:val="none"/>
              </w:rPr>
            </w:pPr>
            <w:r>
              <w:rPr>
                <w:rFonts w:hint="eastAsia" w:cs="Arial" w:asciiTheme="minorEastAsia" w:hAnsiTheme="minorEastAsia" w:eastAsiaTheme="minorEastAsia"/>
                <w:color w:val="auto"/>
                <w:kern w:val="2"/>
                <w:sz w:val="21"/>
                <w:highlight w:val="none"/>
                <w:u w:val="single"/>
              </w:rPr>
              <w:t xml:space="preserve"> 4 </w:t>
            </w:r>
            <w:r>
              <w:rPr>
                <w:rFonts w:hint="eastAsia" w:cs="Arial" w:asciiTheme="minorEastAsia" w:hAnsiTheme="minorEastAsia" w:eastAsiaTheme="minorEastAsia"/>
                <w:color w:val="auto"/>
                <w:kern w:val="2"/>
                <w:sz w:val="21"/>
                <w:highlight w:val="none"/>
              </w:rPr>
              <w:t>分</w:t>
            </w:r>
          </w:p>
        </w:tc>
        <w:tc>
          <w:tcPr>
            <w:tcW w:w="2583" w:type="dxa"/>
            <w:vMerge w:val="continue"/>
            <w:tcBorders>
              <w:left w:val="single" w:color="auto" w:sz="4" w:space="0"/>
            </w:tcBorders>
            <w:vAlign w:val="center"/>
          </w:tcPr>
          <w:p>
            <w:pPr>
              <w:snapToGrid w:val="0"/>
              <w:spacing w:line="300" w:lineRule="auto"/>
              <w:jc w:val="left"/>
              <w:rPr>
                <w:rFonts w:cs="Arial" w:asciiTheme="minorEastAsia" w:hAnsiTheme="minorEastAsia" w:eastAsiaTheme="minorEastAsia"/>
                <w:color w:va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37" w:hRule="atLeast"/>
        </w:trPr>
        <w:tc>
          <w:tcPr>
            <w:tcW w:w="1186" w:type="dxa"/>
            <w:vMerge w:val="continue"/>
            <w:vAlign w:val="center"/>
          </w:tcPr>
          <w:p>
            <w:pPr>
              <w:spacing w:line="360" w:lineRule="atLeast"/>
              <w:jc w:val="center"/>
              <w:rPr>
                <w:rFonts w:cs="Arial" w:asciiTheme="minorEastAsia" w:hAnsiTheme="minorEastAsia" w:eastAsiaTheme="minorEastAsia"/>
                <w:color w:val="auto"/>
                <w:kern w:val="0"/>
              </w:rPr>
            </w:pPr>
          </w:p>
        </w:tc>
        <w:tc>
          <w:tcPr>
            <w:tcW w:w="1095" w:type="dxa"/>
            <w:gridSpan w:val="2"/>
            <w:vMerge w:val="continue"/>
            <w:tcBorders>
              <w:right w:val="single" w:color="auto" w:sz="4" w:space="0"/>
            </w:tcBorders>
            <w:vAlign w:val="center"/>
          </w:tcPr>
          <w:p>
            <w:pPr>
              <w:pStyle w:val="10"/>
              <w:spacing w:line="300" w:lineRule="auto"/>
              <w:ind w:left="113" w:right="113"/>
              <w:jc w:val="center"/>
              <w:rPr>
                <w:rFonts w:cs="Arial" w:asciiTheme="minorEastAsia" w:hAnsiTheme="minorEastAsia" w:eastAsiaTheme="minorEastAsia"/>
                <w:color w:val="auto"/>
              </w:rPr>
            </w:pPr>
          </w:p>
        </w:tc>
        <w:tc>
          <w:tcPr>
            <w:tcW w:w="963" w:type="dxa"/>
            <w:vMerge w:val="continue"/>
            <w:tcBorders>
              <w:left w:val="single" w:color="auto" w:sz="4" w:space="0"/>
            </w:tcBorders>
            <w:vAlign w:val="center"/>
          </w:tcPr>
          <w:p>
            <w:pPr>
              <w:pStyle w:val="10"/>
              <w:spacing w:line="300" w:lineRule="auto"/>
              <w:ind w:left="113" w:right="113"/>
              <w:jc w:val="center"/>
              <w:rPr>
                <w:rFonts w:cs="Arial" w:asciiTheme="minorEastAsia" w:hAnsiTheme="minorEastAsia" w:eastAsiaTheme="minorEastAsia"/>
                <w:color w:val="auto"/>
              </w:rPr>
            </w:pPr>
          </w:p>
        </w:tc>
        <w:tc>
          <w:tcPr>
            <w:tcW w:w="2637" w:type="dxa"/>
            <w:tcBorders>
              <w:top w:val="single" w:color="auto" w:sz="4" w:space="0"/>
              <w:right w:val="single" w:color="auto" w:sz="4" w:space="0"/>
            </w:tcBorders>
            <w:vAlign w:val="center"/>
          </w:tcPr>
          <w:p>
            <w:pPr>
              <w:pStyle w:val="11"/>
              <w:kinsoku w:val="0"/>
              <w:overflowPunct w:val="0"/>
              <w:spacing w:before="88"/>
              <w:jc w:val="both"/>
              <w:rPr>
                <w:rFonts w:cs="Arial" w:asciiTheme="minorEastAsia" w:hAnsiTheme="minorEastAsia" w:eastAsiaTheme="minorEastAsia"/>
                <w:color w:val="auto"/>
                <w:kern w:val="2"/>
                <w:sz w:val="21"/>
                <w:szCs w:val="21"/>
              </w:rPr>
            </w:pPr>
            <w:r>
              <w:rPr>
                <w:rFonts w:hint="eastAsia" w:cs="宋体" w:asciiTheme="minorEastAsia" w:hAnsiTheme="minorEastAsia" w:eastAsiaTheme="minorEastAsia"/>
                <w:color w:val="auto"/>
                <w:sz w:val="21"/>
                <w:szCs w:val="21"/>
              </w:rPr>
              <w:t>环境保护、水土保持保证体系及保证措施</w:t>
            </w:r>
          </w:p>
        </w:tc>
        <w:tc>
          <w:tcPr>
            <w:tcW w:w="750" w:type="dxa"/>
            <w:tcBorders>
              <w:top w:val="single" w:color="auto" w:sz="4" w:space="0"/>
              <w:left w:val="single" w:color="auto" w:sz="4" w:space="0"/>
            </w:tcBorders>
            <w:vAlign w:val="center"/>
          </w:tcPr>
          <w:p>
            <w:pPr>
              <w:pStyle w:val="11"/>
              <w:kinsoku w:val="0"/>
              <w:overflowPunct w:val="0"/>
              <w:spacing w:before="88"/>
              <w:jc w:val="center"/>
              <w:rPr>
                <w:rFonts w:cs="Arial" w:asciiTheme="minorEastAsia" w:hAnsiTheme="minorEastAsia" w:eastAsiaTheme="minorEastAsia"/>
                <w:color w:val="auto"/>
                <w:kern w:val="2"/>
                <w:sz w:val="21"/>
                <w:highlight w:val="none"/>
              </w:rPr>
            </w:pPr>
            <w:r>
              <w:rPr>
                <w:rFonts w:hint="eastAsia" w:cs="Arial" w:asciiTheme="minorEastAsia" w:hAnsiTheme="minorEastAsia" w:eastAsiaTheme="minorEastAsia"/>
                <w:color w:val="auto"/>
                <w:kern w:val="2"/>
                <w:sz w:val="21"/>
                <w:highlight w:val="none"/>
                <w:u w:val="single"/>
              </w:rPr>
              <w:t xml:space="preserve"> 3 </w:t>
            </w:r>
            <w:r>
              <w:rPr>
                <w:rFonts w:hint="eastAsia" w:cs="Arial" w:asciiTheme="minorEastAsia" w:hAnsiTheme="minorEastAsia" w:eastAsiaTheme="minorEastAsia"/>
                <w:color w:val="auto"/>
                <w:kern w:val="2"/>
                <w:sz w:val="21"/>
                <w:highlight w:val="none"/>
              </w:rPr>
              <w:t>分</w:t>
            </w:r>
          </w:p>
        </w:tc>
        <w:tc>
          <w:tcPr>
            <w:tcW w:w="2583" w:type="dxa"/>
            <w:vMerge w:val="continue"/>
            <w:tcBorders>
              <w:left w:val="single" w:color="auto" w:sz="4" w:space="0"/>
            </w:tcBorders>
            <w:vAlign w:val="center"/>
          </w:tcPr>
          <w:p>
            <w:pPr>
              <w:snapToGrid w:val="0"/>
              <w:spacing w:line="300" w:lineRule="auto"/>
              <w:jc w:val="left"/>
              <w:rPr>
                <w:rFonts w:cs="Arial" w:asciiTheme="minorEastAsia" w:hAnsiTheme="minorEastAsia" w:eastAsiaTheme="minorEastAsia"/>
                <w:color w:va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37" w:hRule="atLeast"/>
        </w:trPr>
        <w:tc>
          <w:tcPr>
            <w:tcW w:w="1186" w:type="dxa"/>
            <w:vMerge w:val="continue"/>
            <w:vAlign w:val="center"/>
          </w:tcPr>
          <w:p>
            <w:pPr>
              <w:spacing w:line="360" w:lineRule="atLeast"/>
              <w:jc w:val="center"/>
              <w:rPr>
                <w:rFonts w:cs="Arial" w:asciiTheme="minorEastAsia" w:hAnsiTheme="minorEastAsia" w:eastAsiaTheme="minorEastAsia"/>
                <w:color w:val="auto"/>
                <w:kern w:val="0"/>
              </w:rPr>
            </w:pPr>
          </w:p>
        </w:tc>
        <w:tc>
          <w:tcPr>
            <w:tcW w:w="1095" w:type="dxa"/>
            <w:gridSpan w:val="2"/>
            <w:vMerge w:val="continue"/>
            <w:tcBorders>
              <w:right w:val="single" w:color="auto" w:sz="4" w:space="0"/>
            </w:tcBorders>
            <w:vAlign w:val="center"/>
          </w:tcPr>
          <w:p>
            <w:pPr>
              <w:pStyle w:val="10"/>
              <w:spacing w:line="300" w:lineRule="auto"/>
              <w:ind w:left="113" w:right="113"/>
              <w:jc w:val="center"/>
              <w:rPr>
                <w:rFonts w:cs="Arial" w:asciiTheme="minorEastAsia" w:hAnsiTheme="minorEastAsia" w:eastAsiaTheme="minorEastAsia"/>
                <w:color w:val="auto"/>
              </w:rPr>
            </w:pPr>
          </w:p>
        </w:tc>
        <w:tc>
          <w:tcPr>
            <w:tcW w:w="963" w:type="dxa"/>
            <w:vMerge w:val="continue"/>
            <w:tcBorders>
              <w:left w:val="single" w:color="auto" w:sz="4" w:space="0"/>
            </w:tcBorders>
            <w:vAlign w:val="center"/>
          </w:tcPr>
          <w:p>
            <w:pPr>
              <w:pStyle w:val="10"/>
              <w:spacing w:line="300" w:lineRule="auto"/>
              <w:ind w:left="113" w:right="113"/>
              <w:jc w:val="center"/>
              <w:rPr>
                <w:rFonts w:cs="Arial" w:asciiTheme="minorEastAsia" w:hAnsiTheme="minorEastAsia" w:eastAsiaTheme="minorEastAsia"/>
                <w:color w:val="auto"/>
              </w:rPr>
            </w:pPr>
          </w:p>
        </w:tc>
        <w:tc>
          <w:tcPr>
            <w:tcW w:w="2637" w:type="dxa"/>
            <w:tcBorders>
              <w:top w:val="single" w:color="auto" w:sz="4" w:space="0"/>
              <w:right w:val="single" w:color="auto" w:sz="4" w:space="0"/>
            </w:tcBorders>
            <w:vAlign w:val="center"/>
          </w:tcPr>
          <w:p>
            <w:pPr>
              <w:pStyle w:val="11"/>
              <w:kinsoku w:val="0"/>
              <w:overflowPunct w:val="0"/>
              <w:spacing w:before="88"/>
              <w:jc w:val="both"/>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文明施工、文物保护保证体系及保证措施</w:t>
            </w:r>
          </w:p>
        </w:tc>
        <w:tc>
          <w:tcPr>
            <w:tcW w:w="750" w:type="dxa"/>
            <w:tcBorders>
              <w:top w:val="single" w:color="auto" w:sz="4" w:space="0"/>
              <w:left w:val="single" w:color="auto" w:sz="4" w:space="0"/>
            </w:tcBorders>
            <w:vAlign w:val="center"/>
          </w:tcPr>
          <w:p>
            <w:pPr>
              <w:pStyle w:val="11"/>
              <w:kinsoku w:val="0"/>
              <w:overflowPunct w:val="0"/>
              <w:spacing w:before="88"/>
              <w:jc w:val="center"/>
              <w:rPr>
                <w:rFonts w:cs="Arial" w:asciiTheme="minorEastAsia" w:hAnsiTheme="minorEastAsia" w:eastAsiaTheme="minorEastAsia"/>
                <w:color w:val="auto"/>
                <w:kern w:val="2"/>
                <w:sz w:val="21"/>
                <w:highlight w:val="none"/>
                <w:u w:val="single"/>
              </w:rPr>
            </w:pPr>
            <w:r>
              <w:rPr>
                <w:rFonts w:hint="eastAsia" w:cs="Arial" w:asciiTheme="minorEastAsia" w:hAnsiTheme="minorEastAsia" w:eastAsiaTheme="minorEastAsia"/>
                <w:color w:val="auto"/>
                <w:kern w:val="2"/>
                <w:sz w:val="21"/>
                <w:highlight w:val="none"/>
                <w:u w:val="single"/>
              </w:rPr>
              <w:t>1.5</w:t>
            </w:r>
            <w:r>
              <w:rPr>
                <w:rFonts w:hint="eastAsia" w:cs="Arial" w:asciiTheme="minorEastAsia" w:hAnsiTheme="minorEastAsia" w:eastAsiaTheme="minorEastAsia"/>
                <w:color w:val="auto"/>
                <w:kern w:val="2"/>
                <w:sz w:val="21"/>
                <w:highlight w:val="none"/>
              </w:rPr>
              <w:t>分</w:t>
            </w:r>
          </w:p>
        </w:tc>
        <w:tc>
          <w:tcPr>
            <w:tcW w:w="2583" w:type="dxa"/>
            <w:vMerge w:val="continue"/>
            <w:tcBorders>
              <w:left w:val="single" w:color="auto" w:sz="4" w:space="0"/>
            </w:tcBorders>
            <w:vAlign w:val="center"/>
          </w:tcPr>
          <w:p>
            <w:pPr>
              <w:snapToGrid w:val="0"/>
              <w:spacing w:line="300" w:lineRule="auto"/>
              <w:jc w:val="left"/>
              <w:rPr>
                <w:rFonts w:cs="Arial" w:asciiTheme="minorEastAsia" w:hAnsiTheme="minorEastAsia" w:eastAsiaTheme="minorEastAsia"/>
                <w:color w:va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37" w:hRule="atLeast"/>
        </w:trPr>
        <w:tc>
          <w:tcPr>
            <w:tcW w:w="1186" w:type="dxa"/>
            <w:vMerge w:val="continue"/>
            <w:vAlign w:val="center"/>
          </w:tcPr>
          <w:p>
            <w:pPr>
              <w:spacing w:line="360" w:lineRule="atLeast"/>
              <w:jc w:val="center"/>
              <w:rPr>
                <w:rFonts w:cs="Arial" w:asciiTheme="minorEastAsia" w:hAnsiTheme="minorEastAsia" w:eastAsiaTheme="minorEastAsia"/>
                <w:color w:val="auto"/>
                <w:kern w:val="0"/>
              </w:rPr>
            </w:pPr>
          </w:p>
        </w:tc>
        <w:tc>
          <w:tcPr>
            <w:tcW w:w="1095" w:type="dxa"/>
            <w:gridSpan w:val="2"/>
            <w:vMerge w:val="continue"/>
            <w:tcBorders>
              <w:right w:val="single" w:color="auto" w:sz="4" w:space="0"/>
            </w:tcBorders>
            <w:vAlign w:val="center"/>
          </w:tcPr>
          <w:p>
            <w:pPr>
              <w:pStyle w:val="10"/>
              <w:spacing w:line="300" w:lineRule="auto"/>
              <w:ind w:left="113" w:right="113"/>
              <w:jc w:val="center"/>
              <w:rPr>
                <w:rFonts w:cs="Arial" w:asciiTheme="minorEastAsia" w:hAnsiTheme="minorEastAsia" w:eastAsiaTheme="minorEastAsia"/>
                <w:color w:val="auto"/>
              </w:rPr>
            </w:pPr>
          </w:p>
        </w:tc>
        <w:tc>
          <w:tcPr>
            <w:tcW w:w="963" w:type="dxa"/>
            <w:vMerge w:val="continue"/>
            <w:tcBorders>
              <w:left w:val="single" w:color="auto" w:sz="4" w:space="0"/>
            </w:tcBorders>
            <w:vAlign w:val="center"/>
          </w:tcPr>
          <w:p>
            <w:pPr>
              <w:pStyle w:val="10"/>
              <w:spacing w:line="300" w:lineRule="auto"/>
              <w:ind w:left="113" w:right="113"/>
              <w:jc w:val="center"/>
              <w:rPr>
                <w:rFonts w:cs="Arial" w:asciiTheme="minorEastAsia" w:hAnsiTheme="minorEastAsia" w:eastAsiaTheme="minorEastAsia"/>
                <w:color w:val="auto"/>
              </w:rPr>
            </w:pPr>
          </w:p>
        </w:tc>
        <w:tc>
          <w:tcPr>
            <w:tcW w:w="2637" w:type="dxa"/>
            <w:tcBorders>
              <w:top w:val="single" w:color="auto" w:sz="4" w:space="0"/>
              <w:right w:val="single" w:color="auto" w:sz="4" w:space="0"/>
            </w:tcBorders>
            <w:vAlign w:val="center"/>
          </w:tcPr>
          <w:p>
            <w:pPr>
              <w:pStyle w:val="11"/>
              <w:kinsoku w:val="0"/>
              <w:overflowPunct w:val="0"/>
              <w:spacing w:before="88"/>
              <w:jc w:val="both"/>
              <w:rPr>
                <w:rFonts w:cs="宋体" w:asciiTheme="minorEastAsia" w:hAnsiTheme="minorEastAsia" w:eastAsiaTheme="minorEastAsia"/>
                <w:color w:val="auto"/>
                <w:sz w:val="21"/>
                <w:szCs w:val="21"/>
              </w:rPr>
            </w:pPr>
            <w:r>
              <w:rPr>
                <w:rFonts w:hint="eastAsia" w:cs="Arial" w:asciiTheme="minorEastAsia" w:hAnsiTheme="minorEastAsia" w:eastAsiaTheme="minorEastAsia"/>
                <w:color w:val="auto"/>
                <w:kern w:val="2"/>
                <w:sz w:val="21"/>
                <w:szCs w:val="21"/>
              </w:rPr>
              <w:t>项目风险预测与防范，事故应急预案</w:t>
            </w:r>
          </w:p>
        </w:tc>
        <w:tc>
          <w:tcPr>
            <w:tcW w:w="750" w:type="dxa"/>
            <w:tcBorders>
              <w:top w:val="single" w:color="auto" w:sz="4" w:space="0"/>
              <w:left w:val="single" w:color="auto" w:sz="4" w:space="0"/>
            </w:tcBorders>
            <w:vAlign w:val="center"/>
          </w:tcPr>
          <w:p>
            <w:pPr>
              <w:pStyle w:val="11"/>
              <w:kinsoku w:val="0"/>
              <w:overflowPunct w:val="0"/>
              <w:spacing w:before="88"/>
              <w:jc w:val="center"/>
              <w:rPr>
                <w:rFonts w:cs="Arial" w:asciiTheme="minorEastAsia" w:hAnsiTheme="minorEastAsia" w:eastAsiaTheme="minorEastAsia"/>
                <w:color w:val="auto"/>
                <w:kern w:val="2"/>
                <w:sz w:val="21"/>
                <w:highlight w:val="none"/>
                <w:u w:val="single"/>
              </w:rPr>
            </w:pPr>
            <w:r>
              <w:rPr>
                <w:rFonts w:hint="eastAsia" w:cs="Arial" w:asciiTheme="minorEastAsia" w:hAnsiTheme="minorEastAsia" w:eastAsiaTheme="minorEastAsia"/>
                <w:color w:val="auto"/>
                <w:kern w:val="2"/>
                <w:sz w:val="21"/>
                <w:highlight w:val="none"/>
                <w:u w:val="single"/>
              </w:rPr>
              <w:t xml:space="preserve"> 1.5</w:t>
            </w:r>
            <w:r>
              <w:rPr>
                <w:rFonts w:hint="eastAsia" w:cs="Arial" w:asciiTheme="minorEastAsia" w:hAnsiTheme="minorEastAsia" w:eastAsiaTheme="minorEastAsia"/>
                <w:color w:val="auto"/>
                <w:kern w:val="2"/>
                <w:sz w:val="21"/>
                <w:highlight w:val="none"/>
              </w:rPr>
              <w:t>分</w:t>
            </w:r>
          </w:p>
        </w:tc>
        <w:tc>
          <w:tcPr>
            <w:tcW w:w="2583" w:type="dxa"/>
            <w:vMerge w:val="continue"/>
            <w:tcBorders>
              <w:left w:val="single" w:color="auto" w:sz="4" w:space="0"/>
            </w:tcBorders>
            <w:vAlign w:val="center"/>
          </w:tcPr>
          <w:p>
            <w:pPr>
              <w:snapToGrid w:val="0"/>
              <w:spacing w:line="300" w:lineRule="auto"/>
              <w:jc w:val="left"/>
              <w:rPr>
                <w:rFonts w:cs="Arial" w:asciiTheme="minorEastAsia" w:hAnsiTheme="minorEastAsia" w:eastAsiaTheme="minorEastAsia"/>
                <w:color w:va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55" w:hRule="atLeast"/>
        </w:trPr>
        <w:tc>
          <w:tcPr>
            <w:tcW w:w="1186" w:type="dxa"/>
            <w:vMerge w:val="restart"/>
            <w:vAlign w:val="center"/>
          </w:tcPr>
          <w:p>
            <w:pPr>
              <w:spacing w:line="360" w:lineRule="atLeast"/>
              <w:jc w:val="center"/>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2.2.</w:t>
            </w:r>
            <w:r>
              <w:rPr>
                <w:rFonts w:hint="eastAsia" w:cs="Arial" w:asciiTheme="minorEastAsia" w:hAnsiTheme="minorEastAsia" w:eastAsiaTheme="minorEastAsia"/>
                <w:color w:val="auto"/>
                <w:kern w:val="0"/>
                <w:lang w:val="en-US" w:eastAsia="zh-CN"/>
              </w:rPr>
              <w:t>2</w:t>
            </w:r>
            <w:r>
              <w:rPr>
                <w:rFonts w:hint="eastAsia" w:cs="Arial" w:asciiTheme="minorEastAsia" w:hAnsiTheme="minorEastAsia" w:eastAsiaTheme="minorEastAsia"/>
                <w:color w:val="auto"/>
                <w:kern w:val="0"/>
              </w:rPr>
              <w:t>（2）</w:t>
            </w:r>
          </w:p>
        </w:tc>
        <w:tc>
          <w:tcPr>
            <w:tcW w:w="1095" w:type="dxa"/>
            <w:gridSpan w:val="2"/>
            <w:vMerge w:val="restart"/>
            <w:tcBorders>
              <w:right w:val="single" w:color="auto" w:sz="4" w:space="0"/>
            </w:tcBorders>
            <w:vAlign w:val="center"/>
          </w:tcPr>
          <w:p>
            <w:pPr>
              <w:pStyle w:val="10"/>
              <w:spacing w:line="300" w:lineRule="auto"/>
              <w:ind w:left="113" w:right="113"/>
              <w:jc w:val="center"/>
              <w:rPr>
                <w:rFonts w:cs="Arial" w:asciiTheme="minorEastAsia" w:hAnsiTheme="minorEastAsia" w:eastAsiaTheme="minorEastAsia"/>
                <w:color w:val="auto"/>
              </w:rPr>
            </w:pPr>
            <w:r>
              <w:rPr>
                <w:rFonts w:hint="eastAsia" w:cs="Arial" w:asciiTheme="minorEastAsia" w:hAnsiTheme="minorEastAsia" w:eastAsiaTheme="minorEastAsia"/>
                <w:color w:val="auto"/>
              </w:rPr>
              <w:t xml:space="preserve">主要人员 </w:t>
            </w:r>
          </w:p>
        </w:tc>
        <w:tc>
          <w:tcPr>
            <w:tcW w:w="963" w:type="dxa"/>
            <w:vMerge w:val="restart"/>
            <w:tcBorders>
              <w:left w:val="single" w:color="auto" w:sz="4" w:space="0"/>
            </w:tcBorders>
            <w:vAlign w:val="center"/>
          </w:tcPr>
          <w:p>
            <w:pPr>
              <w:pStyle w:val="10"/>
              <w:spacing w:line="300" w:lineRule="auto"/>
              <w:ind w:left="113" w:right="113"/>
              <w:jc w:val="center"/>
              <w:rPr>
                <w:rFonts w:cs="Arial" w:asciiTheme="minorEastAsia" w:hAnsiTheme="minorEastAsia" w:eastAsiaTheme="minorEastAsia"/>
                <w:color w:val="auto"/>
                <w:highlight w:val="none"/>
              </w:rPr>
            </w:pPr>
            <w:r>
              <w:rPr>
                <w:rFonts w:hint="eastAsia" w:cs="Arial" w:asciiTheme="minorEastAsia" w:hAnsiTheme="minorEastAsia" w:eastAsiaTheme="minorEastAsia"/>
                <w:color w:val="auto"/>
                <w:highlight w:val="none"/>
                <w:u w:val="single"/>
              </w:rPr>
              <w:t xml:space="preserve"> </w:t>
            </w:r>
            <w:r>
              <w:rPr>
                <w:rFonts w:hint="eastAsia" w:cs="Arial" w:asciiTheme="minorEastAsia" w:hAnsiTheme="minorEastAsia" w:eastAsiaTheme="minorEastAsia"/>
                <w:color w:val="auto"/>
                <w:highlight w:val="none"/>
                <w:u w:val="single"/>
                <w:lang w:val="en-US" w:eastAsia="zh-CN"/>
              </w:rPr>
              <w:t>28</w:t>
            </w:r>
            <w:r>
              <w:rPr>
                <w:rFonts w:hint="eastAsia" w:cs="Arial" w:asciiTheme="minorEastAsia" w:hAnsiTheme="minorEastAsia" w:eastAsiaTheme="minorEastAsia"/>
                <w:color w:val="auto"/>
                <w:highlight w:val="none"/>
                <w:u w:val="single"/>
              </w:rPr>
              <w:t xml:space="preserve"> </w:t>
            </w:r>
            <w:r>
              <w:rPr>
                <w:rFonts w:hint="eastAsia" w:cs="Arial" w:asciiTheme="minorEastAsia" w:hAnsiTheme="minorEastAsia" w:eastAsiaTheme="minorEastAsia"/>
                <w:color w:val="auto"/>
                <w:highlight w:val="none"/>
              </w:rPr>
              <w:t>分</w:t>
            </w:r>
          </w:p>
        </w:tc>
        <w:tc>
          <w:tcPr>
            <w:tcW w:w="2637" w:type="dxa"/>
            <w:vMerge w:val="restart"/>
            <w:tcBorders>
              <w:top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项目经理任职资格与业绩</w:t>
            </w:r>
          </w:p>
          <w:p>
            <w:pPr>
              <w:rPr>
                <w:rFonts w:cs="Arial" w:asciiTheme="minorEastAsia" w:hAnsiTheme="minorEastAsia" w:eastAsiaTheme="minorEastAsia"/>
                <w:color w:val="auto"/>
                <w:kern w:val="2"/>
                <w:sz w:val="21"/>
                <w:highlight w:val="none"/>
              </w:rPr>
            </w:pPr>
            <w:r>
              <w:rPr>
                <w:rFonts w:hint="eastAsia" w:ascii="宋体" w:hAnsi="宋体" w:cs="宋体"/>
                <w:color w:val="auto"/>
                <w:szCs w:val="21"/>
                <w:highlight w:val="none"/>
              </w:rPr>
              <w:t>（满分15分）</w:t>
            </w:r>
          </w:p>
        </w:tc>
        <w:tc>
          <w:tcPr>
            <w:tcW w:w="750" w:type="dxa"/>
            <w:tcBorders>
              <w:top w:val="single" w:color="auto" w:sz="4" w:space="0"/>
              <w:left w:val="single" w:color="auto" w:sz="4" w:space="0"/>
              <w:bottom w:val="single" w:color="auto" w:sz="4" w:space="0"/>
            </w:tcBorders>
            <w:vAlign w:val="center"/>
          </w:tcPr>
          <w:p>
            <w:pPr>
              <w:pStyle w:val="11"/>
              <w:kinsoku w:val="0"/>
              <w:overflowPunct w:val="0"/>
              <w:spacing w:before="88"/>
              <w:ind w:left="250" w:leftChars="119"/>
              <w:rPr>
                <w:rFonts w:hint="default" w:cs="Arial" w:asciiTheme="minorEastAsia" w:hAnsiTheme="minorEastAsia" w:eastAsiaTheme="minorEastAsia"/>
                <w:color w:val="auto"/>
                <w:kern w:val="2"/>
                <w:sz w:val="21"/>
                <w:highlight w:val="none"/>
                <w:lang w:val="en-US" w:eastAsia="zh-CN"/>
              </w:rPr>
            </w:pPr>
            <w:r>
              <w:rPr>
                <w:rFonts w:hint="eastAsia" w:cs="Arial" w:asciiTheme="minorEastAsia" w:hAnsiTheme="minorEastAsia" w:eastAsiaTheme="minorEastAsia"/>
                <w:color w:val="auto"/>
                <w:kern w:val="2"/>
                <w:sz w:val="21"/>
                <w:highlight w:val="none"/>
                <w:u w:val="single"/>
              </w:rPr>
              <w:t>8</w:t>
            </w:r>
            <w:r>
              <w:rPr>
                <w:rFonts w:hint="eastAsia" w:cs="Arial" w:asciiTheme="minorEastAsia" w:hAnsiTheme="minorEastAsia" w:eastAsiaTheme="minorEastAsia"/>
                <w:color w:val="auto"/>
                <w:kern w:val="2"/>
                <w:sz w:val="21"/>
                <w:highlight w:val="none"/>
              </w:rPr>
              <w:t>分</w:t>
            </w:r>
          </w:p>
        </w:tc>
        <w:tc>
          <w:tcPr>
            <w:tcW w:w="2583" w:type="dxa"/>
            <w:tcBorders>
              <w:top w:val="single" w:color="auto" w:sz="4" w:space="0"/>
              <w:left w:val="single" w:color="auto" w:sz="4" w:space="0"/>
              <w:bottom w:val="single" w:color="auto" w:sz="4" w:space="0"/>
            </w:tcBorders>
            <w:vAlign w:val="center"/>
          </w:tcPr>
          <w:p>
            <w:pPr>
              <w:snapToGrid w:val="0"/>
              <w:spacing w:line="300" w:lineRule="auto"/>
              <w:jc w:val="left"/>
              <w:rPr>
                <w:rFonts w:ascii="宋体" w:hAnsi="宋体"/>
                <w:color w:val="auto"/>
                <w:sz w:val="21"/>
                <w:szCs w:val="21"/>
                <w:highlight w:val="none"/>
              </w:rPr>
            </w:pPr>
            <w:r>
              <w:rPr>
                <w:rFonts w:hint="eastAsia"/>
                <w:color w:val="auto"/>
                <w:sz w:val="21"/>
                <w:szCs w:val="21"/>
                <w:highlight w:val="none"/>
              </w:rPr>
              <w:t>每</w:t>
            </w:r>
            <w:r>
              <w:rPr>
                <w:rFonts w:hint="eastAsia" w:ascii="宋体" w:hAnsi="宋体"/>
                <w:color w:val="auto"/>
                <w:sz w:val="21"/>
                <w:szCs w:val="21"/>
                <w:highlight w:val="none"/>
              </w:rPr>
              <w:t>承担过一个合同金额1000万元以上的</w:t>
            </w:r>
            <w:r>
              <w:rPr>
                <w:rFonts w:hint="eastAsia"/>
                <w:color w:val="auto"/>
                <w:sz w:val="21"/>
                <w:szCs w:val="21"/>
                <w:highlight w:val="none"/>
              </w:rPr>
              <w:t>环保工程施工项目的</w:t>
            </w:r>
            <w:r>
              <w:rPr>
                <w:rFonts w:hint="eastAsia" w:ascii="宋体" w:hAnsi="宋体"/>
                <w:color w:val="auto"/>
                <w:sz w:val="21"/>
                <w:szCs w:val="21"/>
                <w:highlight w:val="none"/>
              </w:rPr>
              <w:t>项目经理</w:t>
            </w:r>
            <w:r>
              <w:rPr>
                <w:rFonts w:ascii="宋体" w:hAnsi="宋体"/>
                <w:color w:val="auto"/>
                <w:sz w:val="21"/>
                <w:szCs w:val="21"/>
                <w:highlight w:val="none"/>
              </w:rPr>
              <w:t>业绩</w:t>
            </w:r>
            <w:r>
              <w:rPr>
                <w:rFonts w:hint="eastAsia" w:ascii="宋体" w:hAnsi="宋体"/>
                <w:color w:val="auto"/>
                <w:sz w:val="21"/>
                <w:szCs w:val="21"/>
                <w:highlight w:val="none"/>
              </w:rPr>
              <w:t>加4分</w:t>
            </w:r>
            <w:r>
              <w:rPr>
                <w:rFonts w:ascii="宋体" w:hAnsi="宋体"/>
                <w:color w:val="auto"/>
                <w:sz w:val="21"/>
                <w:szCs w:val="21"/>
                <w:highlight w:val="none"/>
              </w:rPr>
              <w:t>，最高加</w:t>
            </w:r>
            <w:r>
              <w:rPr>
                <w:rFonts w:hint="eastAsia" w:ascii="宋体" w:hAnsi="宋体"/>
                <w:color w:val="auto"/>
                <w:sz w:val="21"/>
                <w:szCs w:val="21"/>
                <w:highlight w:val="none"/>
              </w:rPr>
              <w:t>8分</w:t>
            </w:r>
            <w:r>
              <w:rPr>
                <w:rFonts w:ascii="宋体" w:hAnsi="宋体"/>
                <w:color w:val="auto"/>
                <w:sz w:val="21"/>
                <w:szCs w:val="21"/>
                <w:highlight w:val="none"/>
              </w:rPr>
              <w:t>。</w:t>
            </w:r>
          </w:p>
          <w:p>
            <w:pPr>
              <w:snapToGrid w:val="0"/>
              <w:spacing w:line="300" w:lineRule="auto"/>
              <w:jc w:val="left"/>
              <w:rPr>
                <w:rFonts w:hint="eastAsia" w:eastAsia="宋体"/>
                <w:color w:val="auto"/>
                <w:sz w:val="21"/>
                <w:szCs w:val="21"/>
                <w:highlight w:val="none"/>
                <w:lang w:eastAsia="zh-CN"/>
              </w:rPr>
            </w:pPr>
            <w:r>
              <w:rPr>
                <w:rFonts w:hint="eastAsia" w:ascii="宋体" w:hAnsi="宋体"/>
                <w:color w:val="auto"/>
                <w:sz w:val="21"/>
                <w:szCs w:val="21"/>
                <w:highlight w:val="none"/>
              </w:rPr>
              <w:t>（注：加分的个人业绩应满足招</w:t>
            </w:r>
            <w:r>
              <w:rPr>
                <w:rFonts w:ascii="宋体" w:hAnsi="宋体"/>
                <w:color w:val="auto"/>
                <w:sz w:val="21"/>
                <w:szCs w:val="21"/>
                <w:highlight w:val="none"/>
              </w:rPr>
              <w:t>标文件</w:t>
            </w:r>
            <w:r>
              <w:rPr>
                <w:rFonts w:hint="eastAsia" w:ascii="宋体" w:hAnsi="宋体"/>
                <w:color w:val="auto"/>
                <w:sz w:val="21"/>
                <w:szCs w:val="21"/>
                <w:highlight w:val="none"/>
              </w:rPr>
              <w:t>投标人须知3.5.5款的相关</w:t>
            </w:r>
            <w:r>
              <w:rPr>
                <w:rFonts w:ascii="宋体" w:hAnsi="宋体"/>
                <w:color w:val="auto"/>
                <w:sz w:val="21"/>
                <w:szCs w:val="21"/>
                <w:highlight w:val="none"/>
              </w:rPr>
              <w:t>要求</w:t>
            </w:r>
            <w:r>
              <w:rPr>
                <w:rFonts w:hint="eastAsia" w:ascii="宋体" w:hAnsi="宋体"/>
                <w:color w:val="auto"/>
                <w:sz w:val="21"/>
                <w:szCs w:val="21"/>
                <w:highlight w:val="none"/>
              </w:rPr>
              <w:t>，</w:t>
            </w:r>
            <w:r>
              <w:rPr>
                <w:rFonts w:hint="eastAsia" w:ascii="宋体" w:hAnsi="宋体" w:cs="宋体"/>
                <w:color w:val="auto"/>
                <w:sz w:val="21"/>
                <w:szCs w:val="21"/>
                <w:highlight w:val="none"/>
              </w:rPr>
              <w:t>如提供的证明材料不能体现其为</w:t>
            </w:r>
            <w:r>
              <w:rPr>
                <w:rFonts w:hint="eastAsia" w:ascii="宋体" w:hAnsi="宋体" w:cs="宋体"/>
                <w:bCs/>
                <w:color w:val="auto"/>
                <w:sz w:val="21"/>
                <w:szCs w:val="21"/>
                <w:highlight w:val="none"/>
              </w:rPr>
              <w:t>环保工程施工合同金额在1000万元以上且未能体现项目经理姓名和职务的业绩，将不予计分）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72" w:hRule="atLeast"/>
        </w:trPr>
        <w:tc>
          <w:tcPr>
            <w:tcW w:w="1186" w:type="dxa"/>
            <w:vMerge w:val="continue"/>
            <w:vAlign w:val="center"/>
          </w:tcPr>
          <w:p>
            <w:pPr>
              <w:spacing w:line="360" w:lineRule="atLeast"/>
              <w:jc w:val="center"/>
              <w:rPr>
                <w:rFonts w:hint="eastAsia" w:cs="Arial" w:asciiTheme="minorEastAsia" w:hAnsiTheme="minorEastAsia" w:eastAsiaTheme="minorEastAsia"/>
                <w:color w:val="auto"/>
                <w:kern w:val="0"/>
              </w:rPr>
            </w:pPr>
          </w:p>
        </w:tc>
        <w:tc>
          <w:tcPr>
            <w:tcW w:w="1095" w:type="dxa"/>
            <w:gridSpan w:val="2"/>
            <w:vMerge w:val="continue"/>
            <w:tcBorders>
              <w:right w:val="single" w:color="auto" w:sz="4" w:space="0"/>
            </w:tcBorders>
            <w:vAlign w:val="center"/>
          </w:tcPr>
          <w:p>
            <w:pPr>
              <w:pStyle w:val="10"/>
              <w:spacing w:line="300" w:lineRule="auto"/>
              <w:ind w:left="113" w:right="113"/>
              <w:jc w:val="center"/>
              <w:rPr>
                <w:rFonts w:hint="eastAsia" w:cs="Arial" w:asciiTheme="minorEastAsia" w:hAnsiTheme="minorEastAsia" w:eastAsiaTheme="minorEastAsia"/>
                <w:color w:val="auto"/>
              </w:rPr>
            </w:pPr>
          </w:p>
        </w:tc>
        <w:tc>
          <w:tcPr>
            <w:tcW w:w="963" w:type="dxa"/>
            <w:vMerge w:val="continue"/>
            <w:tcBorders>
              <w:left w:val="single" w:color="auto" w:sz="4" w:space="0"/>
            </w:tcBorders>
            <w:vAlign w:val="center"/>
          </w:tcPr>
          <w:p>
            <w:pPr>
              <w:pStyle w:val="10"/>
              <w:spacing w:line="300" w:lineRule="auto"/>
              <w:ind w:left="113" w:right="113"/>
              <w:jc w:val="center"/>
              <w:rPr>
                <w:rFonts w:hint="eastAsia" w:cs="Arial" w:asciiTheme="minorEastAsia" w:hAnsiTheme="minorEastAsia" w:eastAsiaTheme="minorEastAsia"/>
                <w:color w:val="auto"/>
                <w:highlight w:val="none"/>
                <w:u w:val="single"/>
              </w:rPr>
            </w:pPr>
          </w:p>
        </w:tc>
        <w:tc>
          <w:tcPr>
            <w:tcW w:w="2637" w:type="dxa"/>
            <w:vMerge w:val="continue"/>
            <w:tcBorders>
              <w:right w:val="single" w:color="auto" w:sz="4" w:space="0"/>
            </w:tcBorders>
            <w:vAlign w:val="center"/>
          </w:tcPr>
          <w:p>
            <w:pPr>
              <w:rPr>
                <w:rFonts w:hint="eastAsia" w:ascii="宋体" w:hAnsi="宋体" w:cs="宋体"/>
                <w:color w:val="auto"/>
                <w:szCs w:val="21"/>
                <w:highlight w:val="none"/>
              </w:rPr>
            </w:pPr>
          </w:p>
        </w:tc>
        <w:tc>
          <w:tcPr>
            <w:tcW w:w="750" w:type="dxa"/>
            <w:tcBorders>
              <w:top w:val="single" w:color="auto" w:sz="4" w:space="0"/>
              <w:left w:val="single" w:color="auto" w:sz="4" w:space="0"/>
            </w:tcBorders>
            <w:vAlign w:val="center"/>
          </w:tcPr>
          <w:p>
            <w:pPr>
              <w:pStyle w:val="11"/>
              <w:kinsoku w:val="0"/>
              <w:overflowPunct w:val="0"/>
              <w:spacing w:before="88"/>
              <w:ind w:left="250" w:leftChars="119"/>
              <w:rPr>
                <w:rFonts w:hint="eastAsia" w:cs="Arial" w:asciiTheme="minorEastAsia" w:hAnsiTheme="minorEastAsia" w:eastAsiaTheme="minorEastAsia"/>
                <w:color w:val="auto"/>
                <w:kern w:val="2"/>
                <w:sz w:val="21"/>
                <w:highlight w:val="none"/>
                <w:lang w:val="en-US" w:eastAsia="zh-CN"/>
              </w:rPr>
            </w:pPr>
            <w:r>
              <w:rPr>
                <w:rFonts w:hint="eastAsia" w:cs="Arial" w:asciiTheme="minorEastAsia" w:hAnsiTheme="minorEastAsia" w:eastAsiaTheme="minorEastAsia"/>
                <w:color w:val="auto"/>
                <w:kern w:val="2"/>
                <w:sz w:val="21"/>
                <w:highlight w:val="none"/>
                <w:u w:val="single"/>
              </w:rPr>
              <w:t>6分</w:t>
            </w:r>
          </w:p>
        </w:tc>
        <w:tc>
          <w:tcPr>
            <w:tcW w:w="2583" w:type="dxa"/>
            <w:tcBorders>
              <w:top w:val="single" w:color="auto" w:sz="4" w:space="0"/>
              <w:left w:val="single" w:color="auto" w:sz="4" w:space="0"/>
            </w:tcBorders>
            <w:vAlign w:val="center"/>
          </w:tcPr>
          <w:p>
            <w:pPr>
              <w:snapToGrid w:val="0"/>
              <w:spacing w:line="300" w:lineRule="auto"/>
              <w:jc w:val="left"/>
              <w:rPr>
                <w:rFonts w:hint="eastAsia" w:ascii="宋体" w:hAnsi="宋体" w:cs="宋体"/>
                <w:color w:val="auto"/>
                <w:sz w:val="21"/>
                <w:szCs w:val="21"/>
                <w:highlight w:val="none"/>
              </w:rPr>
            </w:pPr>
            <w:r>
              <w:rPr>
                <w:rFonts w:hint="eastAsia"/>
                <w:color w:val="auto"/>
                <w:sz w:val="21"/>
                <w:szCs w:val="21"/>
                <w:highlight w:val="none"/>
              </w:rPr>
              <w:t>高级及以上职称加6分，中级职称不加分。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88" w:hRule="atLeast"/>
        </w:trPr>
        <w:tc>
          <w:tcPr>
            <w:tcW w:w="1186" w:type="dxa"/>
            <w:vMerge w:val="continue"/>
            <w:vAlign w:val="center"/>
          </w:tcPr>
          <w:p>
            <w:pPr>
              <w:spacing w:line="360" w:lineRule="atLeast"/>
              <w:jc w:val="center"/>
              <w:rPr>
                <w:rFonts w:cs="Arial" w:asciiTheme="minorEastAsia" w:hAnsiTheme="minorEastAsia" w:eastAsiaTheme="minorEastAsia"/>
                <w:color w:val="auto"/>
                <w:kern w:val="0"/>
              </w:rPr>
            </w:pPr>
          </w:p>
        </w:tc>
        <w:tc>
          <w:tcPr>
            <w:tcW w:w="1095" w:type="dxa"/>
            <w:gridSpan w:val="2"/>
            <w:vMerge w:val="continue"/>
            <w:tcBorders>
              <w:right w:val="single" w:color="auto" w:sz="4" w:space="0"/>
            </w:tcBorders>
            <w:vAlign w:val="center"/>
          </w:tcPr>
          <w:p>
            <w:pPr>
              <w:pStyle w:val="10"/>
              <w:spacing w:line="300" w:lineRule="auto"/>
              <w:ind w:left="113" w:right="113"/>
              <w:jc w:val="center"/>
              <w:rPr>
                <w:rFonts w:cs="Arial" w:asciiTheme="minorEastAsia" w:hAnsiTheme="minorEastAsia" w:eastAsiaTheme="minorEastAsia"/>
                <w:color w:val="auto"/>
              </w:rPr>
            </w:pPr>
          </w:p>
        </w:tc>
        <w:tc>
          <w:tcPr>
            <w:tcW w:w="963" w:type="dxa"/>
            <w:vMerge w:val="continue"/>
            <w:tcBorders>
              <w:left w:val="single" w:color="auto" w:sz="4" w:space="0"/>
            </w:tcBorders>
            <w:vAlign w:val="center"/>
          </w:tcPr>
          <w:p>
            <w:pPr>
              <w:pStyle w:val="10"/>
              <w:spacing w:line="300" w:lineRule="auto"/>
              <w:ind w:left="113" w:right="113"/>
              <w:jc w:val="center"/>
              <w:rPr>
                <w:rFonts w:cs="Arial" w:asciiTheme="minorEastAsia" w:hAnsiTheme="minorEastAsia" w:eastAsiaTheme="minorEastAsia"/>
                <w:color w:val="auto"/>
                <w:highlight w:val="none"/>
              </w:rPr>
            </w:pPr>
          </w:p>
        </w:tc>
        <w:tc>
          <w:tcPr>
            <w:tcW w:w="2637" w:type="dxa"/>
            <w:vMerge w:val="restart"/>
            <w:tcBorders>
              <w:top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项目总工任职资格与业绩</w:t>
            </w:r>
          </w:p>
          <w:p>
            <w:pPr>
              <w:rPr>
                <w:rFonts w:cs="Arial" w:asciiTheme="minorEastAsia" w:hAnsiTheme="minorEastAsia" w:eastAsiaTheme="minorEastAsia"/>
                <w:color w:val="auto"/>
                <w:kern w:val="2"/>
                <w:sz w:val="21"/>
                <w:highlight w:val="none"/>
              </w:rPr>
            </w:pPr>
            <w:r>
              <w:rPr>
                <w:rFonts w:hint="eastAsia" w:ascii="宋体" w:hAnsi="宋体" w:cs="宋体"/>
                <w:color w:val="auto"/>
                <w:szCs w:val="21"/>
                <w:highlight w:val="none"/>
              </w:rPr>
              <w:t>（满分10分）</w:t>
            </w:r>
          </w:p>
        </w:tc>
        <w:tc>
          <w:tcPr>
            <w:tcW w:w="750" w:type="dxa"/>
            <w:tcBorders>
              <w:top w:val="single" w:color="auto" w:sz="4" w:space="0"/>
              <w:left w:val="single" w:color="auto" w:sz="4" w:space="0"/>
              <w:bottom w:val="single" w:color="auto" w:sz="4" w:space="0"/>
            </w:tcBorders>
            <w:vAlign w:val="center"/>
          </w:tcPr>
          <w:p>
            <w:pPr>
              <w:pStyle w:val="11"/>
              <w:kinsoku w:val="0"/>
              <w:overflowPunct w:val="0"/>
              <w:spacing w:before="88"/>
              <w:ind w:left="2" w:leftChars="0"/>
              <w:jc w:val="center"/>
              <w:rPr>
                <w:rFonts w:hint="default" w:cs="Arial" w:asciiTheme="minorEastAsia" w:hAnsiTheme="minorEastAsia" w:eastAsiaTheme="minorEastAsia"/>
                <w:color w:val="auto"/>
                <w:kern w:val="2"/>
                <w:sz w:val="21"/>
                <w:highlight w:val="none"/>
                <w:lang w:val="en-US" w:eastAsia="zh-CN"/>
              </w:rPr>
            </w:pPr>
            <w:r>
              <w:rPr>
                <w:rFonts w:hint="eastAsia" w:cs="Arial" w:asciiTheme="minorEastAsia" w:hAnsiTheme="minorEastAsia" w:eastAsiaTheme="minorEastAsia"/>
                <w:color w:val="auto"/>
                <w:kern w:val="2"/>
                <w:sz w:val="21"/>
                <w:highlight w:val="none"/>
                <w:u w:val="single"/>
              </w:rPr>
              <w:t>8</w:t>
            </w:r>
            <w:r>
              <w:rPr>
                <w:rFonts w:hint="eastAsia" w:cs="Arial" w:asciiTheme="minorEastAsia" w:hAnsiTheme="minorEastAsia" w:eastAsiaTheme="minorEastAsia"/>
                <w:color w:val="auto"/>
                <w:kern w:val="2"/>
                <w:sz w:val="21"/>
                <w:highlight w:val="none"/>
              </w:rPr>
              <w:t>分</w:t>
            </w:r>
          </w:p>
        </w:tc>
        <w:tc>
          <w:tcPr>
            <w:tcW w:w="2583" w:type="dxa"/>
            <w:tcBorders>
              <w:top w:val="single" w:color="auto" w:sz="4" w:space="0"/>
              <w:left w:val="single" w:color="auto" w:sz="4" w:space="0"/>
              <w:bottom w:val="single" w:color="auto" w:sz="4" w:space="0"/>
            </w:tcBorders>
            <w:vAlign w:val="center"/>
          </w:tcPr>
          <w:p>
            <w:pPr>
              <w:snapToGrid w:val="0"/>
              <w:spacing w:line="300" w:lineRule="auto"/>
              <w:jc w:val="left"/>
              <w:rPr>
                <w:rFonts w:ascii="宋体" w:hAnsi="宋体"/>
                <w:color w:val="auto"/>
                <w:sz w:val="21"/>
                <w:szCs w:val="21"/>
                <w:highlight w:val="none"/>
              </w:rPr>
            </w:pPr>
            <w:r>
              <w:rPr>
                <w:rFonts w:hint="eastAsia"/>
                <w:color w:val="auto"/>
                <w:sz w:val="21"/>
                <w:szCs w:val="21"/>
                <w:highlight w:val="none"/>
              </w:rPr>
              <w:t>每</w:t>
            </w:r>
            <w:r>
              <w:rPr>
                <w:rFonts w:hint="eastAsia" w:ascii="宋体" w:hAnsi="宋体"/>
                <w:color w:val="auto"/>
                <w:sz w:val="21"/>
                <w:szCs w:val="21"/>
                <w:highlight w:val="none"/>
              </w:rPr>
              <w:t>承担过一个合同金额1000万元以上的</w:t>
            </w:r>
            <w:r>
              <w:rPr>
                <w:rFonts w:hint="eastAsia"/>
                <w:color w:val="auto"/>
                <w:sz w:val="21"/>
                <w:szCs w:val="21"/>
                <w:highlight w:val="none"/>
              </w:rPr>
              <w:t>环保工程施工的</w:t>
            </w:r>
            <w:r>
              <w:rPr>
                <w:rFonts w:hint="eastAsia" w:ascii="宋体" w:hAnsi="宋体"/>
                <w:color w:val="auto"/>
                <w:sz w:val="21"/>
                <w:szCs w:val="21"/>
                <w:highlight w:val="none"/>
              </w:rPr>
              <w:t>项目总工</w:t>
            </w:r>
            <w:r>
              <w:rPr>
                <w:rFonts w:ascii="宋体" w:hAnsi="宋体"/>
                <w:color w:val="auto"/>
                <w:sz w:val="21"/>
                <w:szCs w:val="21"/>
                <w:highlight w:val="none"/>
              </w:rPr>
              <w:t>业绩</w:t>
            </w:r>
            <w:r>
              <w:rPr>
                <w:rFonts w:hint="eastAsia" w:ascii="宋体" w:hAnsi="宋体"/>
                <w:color w:val="auto"/>
                <w:sz w:val="21"/>
                <w:szCs w:val="21"/>
                <w:highlight w:val="none"/>
              </w:rPr>
              <w:t>加4分</w:t>
            </w:r>
            <w:r>
              <w:rPr>
                <w:rFonts w:ascii="宋体" w:hAnsi="宋体"/>
                <w:color w:val="auto"/>
                <w:sz w:val="21"/>
                <w:szCs w:val="21"/>
                <w:highlight w:val="none"/>
              </w:rPr>
              <w:t>，最高加</w:t>
            </w:r>
            <w:r>
              <w:rPr>
                <w:rFonts w:hint="eastAsia" w:ascii="宋体" w:hAnsi="宋体"/>
                <w:color w:val="auto"/>
                <w:sz w:val="21"/>
                <w:szCs w:val="21"/>
                <w:highlight w:val="none"/>
              </w:rPr>
              <w:t>8分</w:t>
            </w:r>
            <w:r>
              <w:rPr>
                <w:rFonts w:ascii="宋体" w:hAnsi="宋体"/>
                <w:color w:val="auto"/>
                <w:sz w:val="21"/>
                <w:szCs w:val="21"/>
                <w:highlight w:val="none"/>
              </w:rPr>
              <w:t>。</w:t>
            </w:r>
          </w:p>
          <w:p>
            <w:pPr>
              <w:snapToGrid w:val="0"/>
              <w:spacing w:line="300" w:lineRule="auto"/>
              <w:jc w:val="left"/>
              <w:rPr>
                <w:rFonts w:hint="eastAsia" w:eastAsia="宋体"/>
                <w:color w:val="auto"/>
                <w:sz w:val="21"/>
                <w:szCs w:val="21"/>
                <w:highlight w:val="none"/>
                <w:lang w:eastAsia="zh-CN"/>
              </w:rPr>
            </w:pPr>
            <w:r>
              <w:rPr>
                <w:rFonts w:hint="eastAsia" w:ascii="宋体" w:hAnsi="宋体"/>
                <w:color w:val="auto"/>
                <w:sz w:val="21"/>
                <w:szCs w:val="21"/>
                <w:highlight w:val="none"/>
              </w:rPr>
              <w:t>（注：加分的个人业绩应满足招</w:t>
            </w:r>
            <w:r>
              <w:rPr>
                <w:rFonts w:ascii="宋体" w:hAnsi="宋体"/>
                <w:color w:val="auto"/>
                <w:sz w:val="21"/>
                <w:szCs w:val="21"/>
                <w:highlight w:val="none"/>
              </w:rPr>
              <w:t>标文件</w:t>
            </w:r>
            <w:r>
              <w:rPr>
                <w:rFonts w:hint="eastAsia" w:ascii="宋体" w:hAnsi="宋体"/>
                <w:color w:val="auto"/>
                <w:sz w:val="21"/>
                <w:szCs w:val="21"/>
                <w:highlight w:val="none"/>
              </w:rPr>
              <w:t>投标人须知3.5.5款的相关</w:t>
            </w:r>
            <w:r>
              <w:rPr>
                <w:rFonts w:ascii="宋体" w:hAnsi="宋体"/>
                <w:color w:val="auto"/>
                <w:sz w:val="21"/>
                <w:szCs w:val="21"/>
                <w:highlight w:val="none"/>
              </w:rPr>
              <w:t>要求</w:t>
            </w:r>
            <w:r>
              <w:rPr>
                <w:rFonts w:hint="eastAsia" w:ascii="宋体" w:hAnsi="宋体"/>
                <w:color w:val="auto"/>
                <w:sz w:val="21"/>
                <w:szCs w:val="21"/>
                <w:highlight w:val="none"/>
              </w:rPr>
              <w:t>，</w:t>
            </w:r>
            <w:r>
              <w:rPr>
                <w:rFonts w:hint="eastAsia" w:ascii="宋体" w:hAnsi="宋体" w:cs="宋体"/>
                <w:color w:val="auto"/>
                <w:sz w:val="21"/>
                <w:szCs w:val="21"/>
                <w:highlight w:val="none"/>
              </w:rPr>
              <w:t>如提供的证明材料不能体现其为</w:t>
            </w:r>
            <w:r>
              <w:rPr>
                <w:rFonts w:hint="eastAsia" w:ascii="宋体" w:hAnsi="宋体" w:cs="宋体"/>
                <w:bCs/>
                <w:color w:val="auto"/>
                <w:sz w:val="21"/>
                <w:szCs w:val="21"/>
                <w:highlight w:val="none"/>
              </w:rPr>
              <w:t>环保工程施工合同金额在1000万元以上且未能体现项目总工姓名和职务的业绩，将不予计分）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66" w:hRule="atLeast"/>
        </w:trPr>
        <w:tc>
          <w:tcPr>
            <w:tcW w:w="1186" w:type="dxa"/>
            <w:vMerge w:val="continue"/>
            <w:vAlign w:val="center"/>
          </w:tcPr>
          <w:p>
            <w:pPr>
              <w:spacing w:line="360" w:lineRule="atLeast"/>
              <w:jc w:val="center"/>
              <w:rPr>
                <w:rFonts w:cs="Arial" w:asciiTheme="minorEastAsia" w:hAnsiTheme="minorEastAsia" w:eastAsiaTheme="minorEastAsia"/>
                <w:color w:val="auto"/>
                <w:kern w:val="0"/>
              </w:rPr>
            </w:pPr>
          </w:p>
        </w:tc>
        <w:tc>
          <w:tcPr>
            <w:tcW w:w="1095" w:type="dxa"/>
            <w:gridSpan w:val="2"/>
            <w:vMerge w:val="continue"/>
            <w:tcBorders>
              <w:right w:val="single" w:color="auto" w:sz="4" w:space="0"/>
            </w:tcBorders>
            <w:vAlign w:val="center"/>
          </w:tcPr>
          <w:p>
            <w:pPr>
              <w:pStyle w:val="10"/>
              <w:spacing w:line="300" w:lineRule="auto"/>
              <w:ind w:left="113" w:right="113"/>
              <w:jc w:val="center"/>
              <w:rPr>
                <w:rFonts w:cs="Arial" w:asciiTheme="minorEastAsia" w:hAnsiTheme="minorEastAsia" w:eastAsiaTheme="minorEastAsia"/>
                <w:color w:val="auto"/>
              </w:rPr>
            </w:pPr>
          </w:p>
        </w:tc>
        <w:tc>
          <w:tcPr>
            <w:tcW w:w="963" w:type="dxa"/>
            <w:vMerge w:val="continue"/>
            <w:tcBorders>
              <w:left w:val="single" w:color="auto" w:sz="4" w:space="0"/>
            </w:tcBorders>
            <w:vAlign w:val="center"/>
          </w:tcPr>
          <w:p>
            <w:pPr>
              <w:pStyle w:val="10"/>
              <w:spacing w:line="300" w:lineRule="auto"/>
              <w:ind w:left="113" w:right="113"/>
              <w:jc w:val="center"/>
              <w:rPr>
                <w:rFonts w:cs="Arial" w:asciiTheme="minorEastAsia" w:hAnsiTheme="minorEastAsia" w:eastAsiaTheme="minorEastAsia"/>
                <w:color w:val="auto"/>
                <w:highlight w:val="none"/>
              </w:rPr>
            </w:pPr>
          </w:p>
        </w:tc>
        <w:tc>
          <w:tcPr>
            <w:tcW w:w="2637" w:type="dxa"/>
            <w:vMerge w:val="continue"/>
            <w:tcBorders>
              <w:right w:val="single" w:color="auto" w:sz="4" w:space="0"/>
            </w:tcBorders>
            <w:vAlign w:val="center"/>
          </w:tcPr>
          <w:p>
            <w:pPr>
              <w:rPr>
                <w:rFonts w:hint="eastAsia" w:ascii="宋体" w:hAnsi="宋体" w:cs="宋体"/>
                <w:color w:val="auto"/>
                <w:szCs w:val="21"/>
                <w:highlight w:val="none"/>
              </w:rPr>
            </w:pPr>
          </w:p>
        </w:tc>
        <w:tc>
          <w:tcPr>
            <w:tcW w:w="750" w:type="dxa"/>
            <w:tcBorders>
              <w:top w:val="single" w:color="auto" w:sz="4" w:space="0"/>
              <w:left w:val="single" w:color="auto" w:sz="4" w:space="0"/>
            </w:tcBorders>
            <w:vAlign w:val="center"/>
          </w:tcPr>
          <w:p>
            <w:pPr>
              <w:pStyle w:val="11"/>
              <w:kinsoku w:val="0"/>
              <w:overflowPunct w:val="0"/>
              <w:spacing w:before="88"/>
              <w:ind w:left="2" w:leftChars="0"/>
              <w:jc w:val="center"/>
              <w:rPr>
                <w:rFonts w:hint="eastAsia" w:cs="Arial" w:asciiTheme="minorEastAsia" w:hAnsiTheme="minorEastAsia" w:eastAsiaTheme="minorEastAsia"/>
                <w:color w:val="auto"/>
                <w:kern w:val="2"/>
                <w:sz w:val="21"/>
                <w:highlight w:val="none"/>
                <w:lang w:val="en-US" w:eastAsia="zh-CN"/>
              </w:rPr>
            </w:pPr>
            <w:r>
              <w:rPr>
                <w:rFonts w:hint="eastAsia" w:cs="Arial" w:asciiTheme="minorEastAsia" w:hAnsiTheme="minorEastAsia" w:eastAsiaTheme="minorEastAsia"/>
                <w:color w:val="auto"/>
                <w:kern w:val="2"/>
                <w:sz w:val="21"/>
                <w:highlight w:val="none"/>
                <w:u w:val="single"/>
              </w:rPr>
              <w:t>6分</w:t>
            </w:r>
          </w:p>
        </w:tc>
        <w:tc>
          <w:tcPr>
            <w:tcW w:w="2583" w:type="dxa"/>
            <w:tcBorders>
              <w:top w:val="single" w:color="auto" w:sz="4" w:space="0"/>
              <w:left w:val="single" w:color="auto" w:sz="4" w:space="0"/>
            </w:tcBorders>
            <w:vAlign w:val="center"/>
          </w:tcPr>
          <w:p>
            <w:pPr>
              <w:snapToGrid w:val="0"/>
              <w:spacing w:line="300" w:lineRule="auto"/>
              <w:jc w:val="left"/>
              <w:rPr>
                <w:rFonts w:hint="eastAsia" w:ascii="宋体" w:hAnsi="宋体" w:cs="宋体"/>
                <w:color w:val="auto"/>
                <w:sz w:val="21"/>
                <w:szCs w:val="21"/>
                <w:highlight w:val="none"/>
              </w:rPr>
            </w:pPr>
            <w:r>
              <w:rPr>
                <w:rFonts w:hint="eastAsia"/>
                <w:color w:val="auto"/>
                <w:sz w:val="21"/>
                <w:szCs w:val="21"/>
                <w:highlight w:val="none"/>
              </w:rPr>
              <w:t>高级以上职称加6分，中级职称不加分。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736" w:hRule="atLeast"/>
        </w:trPr>
        <w:tc>
          <w:tcPr>
            <w:tcW w:w="1186" w:type="dxa"/>
            <w:vMerge w:val="restart"/>
            <w:tcBorders>
              <w:top w:val="single" w:color="auto" w:sz="4" w:space="0"/>
            </w:tcBorders>
            <w:vAlign w:val="center"/>
          </w:tcPr>
          <w:p>
            <w:pPr>
              <w:rPr>
                <w:rFonts w:cs="Arial" w:asciiTheme="minorEastAsia" w:hAnsiTheme="minorEastAsia" w:eastAsiaTheme="minorEastAsia"/>
                <w:color w:val="auto"/>
                <w:szCs w:val="21"/>
              </w:rPr>
            </w:pPr>
            <w:r>
              <w:rPr>
                <w:rFonts w:cs="Arial" w:asciiTheme="minorEastAsia" w:hAnsiTheme="minorEastAsia" w:eastAsiaTheme="minorEastAsia"/>
                <w:color w:val="auto"/>
                <w:szCs w:val="21"/>
              </w:rPr>
              <w:t>2.2.</w:t>
            </w:r>
            <w:r>
              <w:rPr>
                <w:rFonts w:hint="eastAsia" w:cs="Arial" w:asciiTheme="minorEastAsia" w:hAnsiTheme="minorEastAsia" w:eastAsiaTheme="minorEastAsia"/>
                <w:color w:val="auto"/>
                <w:szCs w:val="21"/>
                <w:lang w:val="en-US" w:eastAsia="zh-CN"/>
              </w:rPr>
              <w:t>2</w:t>
            </w:r>
            <w:r>
              <w:rPr>
                <w:rFonts w:hint="eastAsia" w:cs="Arial" w:asciiTheme="minorEastAsia" w:hAnsiTheme="minorEastAsia" w:eastAsiaTheme="minorEastAsia"/>
                <w:color w:val="auto"/>
                <w:szCs w:val="21"/>
              </w:rPr>
              <w:t>（</w:t>
            </w:r>
            <w:r>
              <w:rPr>
                <w:rFonts w:hint="eastAsia" w:cs="Arial" w:asciiTheme="minorEastAsia" w:hAnsiTheme="minorEastAsia" w:eastAsiaTheme="minorEastAsia"/>
                <w:color w:val="auto"/>
                <w:szCs w:val="21"/>
                <w:lang w:val="en-US" w:eastAsia="zh-CN"/>
              </w:rPr>
              <w:t>3</w:t>
            </w:r>
            <w:r>
              <w:rPr>
                <w:rFonts w:hint="eastAsia" w:cs="Arial" w:asciiTheme="minorEastAsia" w:hAnsiTheme="minorEastAsia" w:eastAsiaTheme="minorEastAsia"/>
                <w:color w:val="auto"/>
                <w:szCs w:val="21"/>
              </w:rPr>
              <w:t>）</w:t>
            </w:r>
          </w:p>
        </w:tc>
        <w:tc>
          <w:tcPr>
            <w:tcW w:w="475" w:type="dxa"/>
            <w:vMerge w:val="restart"/>
            <w:tcBorders>
              <w:top w:val="single" w:color="auto" w:sz="4" w:space="0"/>
              <w:right w:val="single" w:color="auto" w:sz="4" w:space="0"/>
            </w:tcBorders>
            <w:vAlign w:val="center"/>
          </w:tcPr>
          <w:p>
            <w:pPr>
              <w:snapToGrid w:val="0"/>
              <w:spacing w:line="300" w:lineRule="auto"/>
              <w:ind w:left="113" w:leftChars="0" w:right="113" w:rightChars="0"/>
              <w:jc w:val="center"/>
              <w:rPr>
                <w:rFonts w:cs="宋体" w:asciiTheme="minorEastAsia" w:hAnsiTheme="minorEastAsia" w:eastAsiaTheme="minorEastAsia"/>
                <w:color w:val="auto"/>
                <w:w w:val="105"/>
                <w:sz w:val="20"/>
                <w:szCs w:val="20"/>
              </w:rPr>
            </w:pPr>
            <w:r>
              <w:rPr>
                <w:rFonts w:hint="eastAsia" w:cs="宋体" w:asciiTheme="minorEastAsia" w:hAnsiTheme="minorEastAsia" w:eastAsiaTheme="minorEastAsia"/>
                <w:color w:val="auto"/>
                <w:w w:val="105"/>
                <w:sz w:val="20"/>
                <w:szCs w:val="20"/>
              </w:rPr>
              <w:t>其</w:t>
            </w:r>
            <w:r>
              <w:rPr>
                <w:rFonts w:cs="宋体" w:asciiTheme="minorEastAsia" w:hAnsiTheme="minorEastAsia" w:eastAsiaTheme="minorEastAsia"/>
                <w:color w:val="auto"/>
                <w:w w:val="106"/>
                <w:sz w:val="20"/>
                <w:szCs w:val="20"/>
              </w:rPr>
              <w:t xml:space="preserve"> </w:t>
            </w:r>
            <w:r>
              <w:rPr>
                <w:rFonts w:hint="eastAsia" w:cs="宋体" w:asciiTheme="minorEastAsia" w:hAnsiTheme="minorEastAsia" w:eastAsiaTheme="minorEastAsia"/>
                <w:color w:val="auto"/>
                <w:w w:val="105"/>
                <w:sz w:val="20"/>
                <w:szCs w:val="20"/>
              </w:rPr>
              <w:t>他</w:t>
            </w:r>
            <w:r>
              <w:rPr>
                <w:rFonts w:cs="宋体" w:asciiTheme="minorEastAsia" w:hAnsiTheme="minorEastAsia" w:eastAsiaTheme="minorEastAsia"/>
                <w:color w:val="auto"/>
                <w:w w:val="107"/>
                <w:sz w:val="20"/>
                <w:szCs w:val="20"/>
              </w:rPr>
              <w:t xml:space="preserve"> </w:t>
            </w:r>
            <w:r>
              <w:rPr>
                <w:rFonts w:hint="eastAsia" w:cs="宋体" w:asciiTheme="minorEastAsia" w:hAnsiTheme="minorEastAsia" w:eastAsiaTheme="minorEastAsia"/>
                <w:color w:val="auto"/>
                <w:w w:val="105"/>
                <w:szCs w:val="21"/>
              </w:rPr>
              <w:t>因</w:t>
            </w:r>
            <w:r>
              <w:rPr>
                <w:rFonts w:cs="宋体" w:asciiTheme="minorEastAsia" w:hAnsiTheme="minorEastAsia" w:eastAsiaTheme="minorEastAsia"/>
                <w:color w:val="auto"/>
                <w:w w:val="103"/>
                <w:szCs w:val="21"/>
              </w:rPr>
              <w:t xml:space="preserve"> </w:t>
            </w:r>
            <w:r>
              <w:rPr>
                <w:rFonts w:hint="eastAsia" w:cs="宋体" w:asciiTheme="minorEastAsia" w:hAnsiTheme="minorEastAsia" w:eastAsiaTheme="minorEastAsia"/>
                <w:color w:val="auto"/>
                <w:w w:val="105"/>
                <w:szCs w:val="21"/>
              </w:rPr>
              <w:t>素</w:t>
            </w:r>
          </w:p>
        </w:tc>
        <w:tc>
          <w:tcPr>
            <w:tcW w:w="620" w:type="dxa"/>
            <w:tcBorders>
              <w:top w:val="single" w:color="auto" w:sz="4" w:space="0"/>
              <w:left w:val="single" w:color="auto" w:sz="4" w:space="0"/>
              <w:bottom w:val="single" w:color="auto" w:sz="4" w:space="0"/>
            </w:tcBorders>
            <w:vAlign w:val="center"/>
          </w:tcPr>
          <w:p>
            <w:pPr>
              <w:snapToGrid w:val="0"/>
              <w:spacing w:line="300" w:lineRule="auto"/>
              <w:ind w:left="113" w:leftChars="0" w:right="113" w:rightChars="0"/>
              <w:jc w:val="center"/>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技术能力</w:t>
            </w:r>
          </w:p>
        </w:tc>
        <w:tc>
          <w:tcPr>
            <w:tcW w:w="963" w:type="dxa"/>
            <w:tcBorders>
              <w:left w:val="single" w:color="auto" w:sz="4" w:space="0"/>
              <w:bottom w:val="single" w:color="auto" w:sz="4" w:space="0"/>
            </w:tcBorders>
            <w:vAlign w:val="center"/>
          </w:tcPr>
          <w:p>
            <w:pPr>
              <w:snapToGrid w:val="0"/>
              <w:spacing w:line="300" w:lineRule="auto"/>
              <w:ind w:left="113" w:leftChars="0" w:right="113" w:rightChars="0"/>
              <w:jc w:val="center"/>
              <w:rPr>
                <w:rFonts w:hint="default" w:cs="Arial" w:asciiTheme="minorEastAsia" w:hAnsiTheme="minorEastAsia" w:eastAsiaTheme="minorEastAsia"/>
                <w:color w:val="auto"/>
                <w:szCs w:val="21"/>
                <w:highlight w:val="none"/>
                <w:lang w:val="en-US" w:eastAsia="zh-CN"/>
              </w:rPr>
            </w:pPr>
            <w:r>
              <w:rPr>
                <w:rFonts w:hint="eastAsia" w:cs="Arial" w:asciiTheme="minorEastAsia" w:hAnsiTheme="minorEastAsia" w:eastAsiaTheme="minorEastAsia"/>
                <w:color w:val="auto"/>
                <w:highlight w:val="none"/>
                <w:u w:val="single"/>
              </w:rPr>
              <w:t xml:space="preserve"> 12 </w:t>
            </w:r>
            <w:r>
              <w:rPr>
                <w:rFonts w:hint="eastAsia" w:cs="Arial" w:asciiTheme="minorEastAsia" w:hAnsiTheme="minorEastAsia" w:eastAsiaTheme="minorEastAsia"/>
                <w:color w:val="auto"/>
                <w:highlight w:val="none"/>
              </w:rPr>
              <w:t>分</w:t>
            </w:r>
          </w:p>
        </w:tc>
        <w:tc>
          <w:tcPr>
            <w:tcW w:w="5970" w:type="dxa"/>
            <w:gridSpan w:val="3"/>
            <w:vAlign w:val="center"/>
          </w:tcPr>
          <w:p>
            <w:pPr>
              <w:spacing w:line="360" w:lineRule="auto"/>
              <w:jc w:val="left"/>
              <w:rPr>
                <w:color w:val="auto"/>
                <w:sz w:val="21"/>
                <w:szCs w:val="21"/>
                <w:highlight w:val="none"/>
              </w:rPr>
            </w:pPr>
            <w:r>
              <w:rPr>
                <w:rFonts w:hint="eastAsia"/>
                <w:color w:val="auto"/>
                <w:sz w:val="21"/>
                <w:szCs w:val="21"/>
                <w:highlight w:val="none"/>
              </w:rPr>
              <w:t>投标人获得的与声屏障有关的国家级工法、专利（发明专利或实用新型专利）一项加4分，本项最多加12分。</w:t>
            </w:r>
          </w:p>
          <w:p>
            <w:pPr>
              <w:ind w:right="-2"/>
              <w:jc w:val="left"/>
              <w:rPr>
                <w:rFonts w:ascii="宋体" w:hAnsi="宋体"/>
                <w:color w:val="auto"/>
                <w:sz w:val="21"/>
                <w:szCs w:val="21"/>
                <w:highlight w:val="none"/>
              </w:rPr>
            </w:pPr>
            <w:r>
              <w:rPr>
                <w:rFonts w:hint="eastAsia" w:cs="Arial" w:asciiTheme="minorEastAsia" w:hAnsiTheme="minorEastAsia" w:eastAsiaTheme="minorEastAsia"/>
                <w:color w:val="auto"/>
                <w:sz w:val="21"/>
                <w:szCs w:val="21"/>
                <w:highlight w:val="none"/>
              </w:rPr>
              <w:t>（注：投标人应按第九章规定在投标文件中填报获得的国家级工法和专利，附相关证明资料彩色复印件并加盖投标人单位章；</w:t>
            </w:r>
            <w:r>
              <w:rPr>
                <w:color w:val="auto"/>
                <w:sz w:val="21"/>
                <w:szCs w:val="21"/>
                <w:highlight w:val="none"/>
              </w:rPr>
              <w:t>如投标人未按此要求提供资料或者提供的资料无法证实投标人满足</w:t>
            </w:r>
            <w:r>
              <w:rPr>
                <w:rFonts w:hint="eastAsia"/>
                <w:color w:val="auto"/>
                <w:sz w:val="21"/>
                <w:szCs w:val="21"/>
                <w:highlight w:val="none"/>
              </w:rPr>
              <w:t>以上给分要求的</w:t>
            </w:r>
            <w:r>
              <w:rPr>
                <w:color w:val="auto"/>
                <w:sz w:val="21"/>
                <w:szCs w:val="21"/>
                <w:highlight w:val="none"/>
              </w:rPr>
              <w:t>，不予</w:t>
            </w:r>
            <w:r>
              <w:rPr>
                <w:rFonts w:hint="eastAsia"/>
                <w:color w:val="auto"/>
                <w:sz w:val="21"/>
                <w:szCs w:val="21"/>
                <w:highlight w:val="none"/>
              </w:rPr>
              <w:t>计分</w:t>
            </w:r>
            <w:r>
              <w:rPr>
                <w:rFonts w:hint="eastAsia" w:cs="Arial" w:asciiTheme="minorEastAsia" w:hAnsiTheme="minorEastAsia" w:eastAsiaTheme="minorEastAsia"/>
                <w:color w:val="auto"/>
                <w:sz w:val="21"/>
                <w:szCs w:val="21"/>
                <w:highlight w:val="none"/>
              </w:rPr>
              <w:t>。如投标人被推荐为中标候选人，该证明资料原件将在中标候选人公示结束之日起5日内提交给招标人核查）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621" w:hRule="atLeast"/>
        </w:trPr>
        <w:tc>
          <w:tcPr>
            <w:tcW w:w="1186" w:type="dxa"/>
            <w:vMerge w:val="continue"/>
            <w:tcBorders>
              <w:top w:val="single" w:color="auto" w:sz="4" w:space="0"/>
              <w:bottom w:val="single" w:color="auto" w:sz="4" w:space="0"/>
            </w:tcBorders>
            <w:vAlign w:val="center"/>
          </w:tcPr>
          <w:p>
            <w:pPr>
              <w:rPr>
                <w:rFonts w:cs="Arial" w:asciiTheme="minorEastAsia" w:hAnsiTheme="minorEastAsia" w:eastAsiaTheme="minorEastAsia"/>
                <w:color w:val="auto"/>
                <w:szCs w:val="21"/>
              </w:rPr>
            </w:pPr>
          </w:p>
        </w:tc>
        <w:tc>
          <w:tcPr>
            <w:tcW w:w="475" w:type="dxa"/>
            <w:vMerge w:val="continue"/>
            <w:tcBorders>
              <w:right w:val="single" w:color="auto" w:sz="4" w:space="0"/>
            </w:tcBorders>
            <w:vAlign w:val="center"/>
          </w:tcPr>
          <w:p>
            <w:pPr>
              <w:snapToGrid w:val="0"/>
              <w:spacing w:line="300" w:lineRule="auto"/>
              <w:ind w:left="113" w:right="113"/>
              <w:jc w:val="center"/>
              <w:rPr>
                <w:rFonts w:cs="宋体" w:asciiTheme="minorEastAsia" w:hAnsiTheme="minorEastAsia" w:eastAsiaTheme="minorEastAsia"/>
                <w:color w:val="auto"/>
                <w:w w:val="105"/>
                <w:sz w:val="20"/>
                <w:szCs w:val="20"/>
              </w:rPr>
            </w:pPr>
          </w:p>
        </w:tc>
        <w:tc>
          <w:tcPr>
            <w:tcW w:w="620" w:type="dxa"/>
            <w:vMerge w:val="restart"/>
            <w:tcBorders>
              <w:top w:val="single" w:color="auto" w:sz="4" w:space="0"/>
              <w:left w:val="single" w:color="auto" w:sz="4" w:space="0"/>
            </w:tcBorders>
            <w:vAlign w:val="center"/>
          </w:tcPr>
          <w:p>
            <w:pPr>
              <w:snapToGrid w:val="0"/>
              <w:spacing w:line="300" w:lineRule="auto"/>
              <w:ind w:left="113" w:leftChars="0" w:right="113" w:rightChars="0"/>
              <w:jc w:val="center"/>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财务能力</w:t>
            </w:r>
          </w:p>
        </w:tc>
        <w:tc>
          <w:tcPr>
            <w:tcW w:w="963" w:type="dxa"/>
            <w:tcBorders>
              <w:top w:val="single" w:color="auto" w:sz="4" w:space="0"/>
              <w:left w:val="single" w:color="auto" w:sz="4" w:space="0"/>
              <w:bottom w:val="single" w:color="auto" w:sz="4" w:space="0"/>
            </w:tcBorders>
            <w:vAlign w:val="center"/>
          </w:tcPr>
          <w:p>
            <w:pPr>
              <w:snapToGrid w:val="0"/>
              <w:spacing w:line="300" w:lineRule="auto"/>
              <w:ind w:left="113" w:leftChars="0" w:right="113" w:rightChars="0"/>
              <w:jc w:val="center"/>
              <w:rPr>
                <w:rFonts w:cs="Arial" w:asciiTheme="minorEastAsia" w:hAnsiTheme="minorEastAsia" w:eastAsiaTheme="minorEastAsia"/>
                <w:color w:val="auto"/>
                <w:highlight w:val="none"/>
                <w:u w:val="single"/>
              </w:rPr>
            </w:pPr>
            <w:r>
              <w:rPr>
                <w:rFonts w:hint="eastAsia" w:cs="Arial" w:asciiTheme="minorEastAsia" w:hAnsiTheme="minorEastAsia" w:eastAsiaTheme="minorEastAsia"/>
                <w:color w:val="auto"/>
                <w:highlight w:val="none"/>
                <w:u w:val="single"/>
              </w:rPr>
              <w:t xml:space="preserve"> 8 </w:t>
            </w:r>
            <w:r>
              <w:rPr>
                <w:rFonts w:hint="eastAsia" w:cs="Arial" w:asciiTheme="minorEastAsia" w:hAnsiTheme="minorEastAsia" w:eastAsiaTheme="minorEastAsia"/>
                <w:color w:val="auto"/>
                <w:highlight w:val="none"/>
              </w:rPr>
              <w:t>分</w:t>
            </w:r>
          </w:p>
        </w:tc>
        <w:tc>
          <w:tcPr>
            <w:tcW w:w="5970" w:type="dxa"/>
            <w:gridSpan w:val="3"/>
            <w:vAlign w:val="center"/>
          </w:tcPr>
          <w:p>
            <w:pPr>
              <w:snapToGrid w:val="0"/>
              <w:spacing w:line="300" w:lineRule="auto"/>
              <w:jc w:val="left"/>
              <w:rPr>
                <w:rFonts w:ascii="宋体" w:hAnsi="宋体"/>
                <w:color w:val="auto"/>
                <w:szCs w:val="21"/>
                <w:highlight w:val="none"/>
              </w:rPr>
            </w:pPr>
            <w:r>
              <w:rPr>
                <w:rFonts w:hint="eastAsia"/>
                <w:color w:val="auto"/>
                <w:szCs w:val="21"/>
                <w:highlight w:val="none"/>
              </w:rPr>
              <w:t>2018年营业收入每2500万元（不足2500万元部分不计），加0.8分，本项最多加8分。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760" w:hRule="atLeast"/>
        </w:trPr>
        <w:tc>
          <w:tcPr>
            <w:tcW w:w="1186" w:type="dxa"/>
            <w:vMerge w:val="continue"/>
            <w:tcBorders>
              <w:top w:val="single" w:color="auto" w:sz="4" w:space="0"/>
              <w:bottom w:val="single" w:color="auto" w:sz="4" w:space="0"/>
            </w:tcBorders>
            <w:vAlign w:val="center"/>
          </w:tcPr>
          <w:p>
            <w:pPr>
              <w:rPr>
                <w:rFonts w:cs="Arial" w:asciiTheme="minorEastAsia" w:hAnsiTheme="minorEastAsia" w:eastAsiaTheme="minorEastAsia"/>
                <w:color w:val="auto"/>
                <w:szCs w:val="21"/>
              </w:rPr>
            </w:pPr>
          </w:p>
        </w:tc>
        <w:tc>
          <w:tcPr>
            <w:tcW w:w="475" w:type="dxa"/>
            <w:vMerge w:val="continue"/>
            <w:tcBorders>
              <w:right w:val="single" w:color="auto" w:sz="4" w:space="0"/>
            </w:tcBorders>
            <w:vAlign w:val="center"/>
          </w:tcPr>
          <w:p>
            <w:pPr>
              <w:snapToGrid w:val="0"/>
              <w:spacing w:line="300" w:lineRule="auto"/>
              <w:ind w:left="113" w:right="113"/>
              <w:jc w:val="center"/>
              <w:rPr>
                <w:rFonts w:cs="宋体" w:asciiTheme="minorEastAsia" w:hAnsiTheme="minorEastAsia" w:eastAsiaTheme="minorEastAsia"/>
                <w:color w:val="auto"/>
                <w:w w:val="105"/>
                <w:sz w:val="20"/>
                <w:szCs w:val="20"/>
              </w:rPr>
            </w:pPr>
          </w:p>
        </w:tc>
        <w:tc>
          <w:tcPr>
            <w:tcW w:w="620" w:type="dxa"/>
            <w:vMerge w:val="continue"/>
            <w:tcBorders>
              <w:left w:val="single" w:color="auto" w:sz="4" w:space="0"/>
              <w:bottom w:val="single" w:color="auto" w:sz="4" w:space="0"/>
            </w:tcBorders>
            <w:vAlign w:val="center"/>
          </w:tcPr>
          <w:p>
            <w:pPr>
              <w:snapToGrid w:val="0"/>
              <w:spacing w:line="300" w:lineRule="auto"/>
              <w:ind w:left="113" w:right="113"/>
              <w:jc w:val="center"/>
              <w:rPr>
                <w:rFonts w:cs="Arial" w:asciiTheme="minorEastAsia" w:hAnsiTheme="minorEastAsia" w:eastAsiaTheme="minorEastAsia"/>
                <w:color w:val="auto"/>
                <w:szCs w:val="21"/>
              </w:rPr>
            </w:pPr>
          </w:p>
        </w:tc>
        <w:tc>
          <w:tcPr>
            <w:tcW w:w="963" w:type="dxa"/>
            <w:tcBorders>
              <w:top w:val="single" w:color="auto" w:sz="4" w:space="0"/>
              <w:left w:val="single" w:color="auto" w:sz="4" w:space="0"/>
              <w:bottom w:val="single" w:color="auto" w:sz="4" w:space="0"/>
            </w:tcBorders>
            <w:vAlign w:val="center"/>
          </w:tcPr>
          <w:p>
            <w:pPr>
              <w:snapToGrid w:val="0"/>
              <w:spacing w:line="300" w:lineRule="auto"/>
              <w:ind w:left="113" w:leftChars="0" w:right="113" w:rightChars="0"/>
              <w:jc w:val="center"/>
              <w:rPr>
                <w:rFonts w:cs="Arial" w:asciiTheme="minorEastAsia" w:hAnsiTheme="minorEastAsia" w:eastAsiaTheme="minorEastAsia"/>
                <w:color w:val="auto"/>
                <w:highlight w:val="none"/>
                <w:u w:val="single"/>
              </w:rPr>
            </w:pPr>
            <w:r>
              <w:rPr>
                <w:rFonts w:hint="eastAsia" w:cs="Arial" w:asciiTheme="minorEastAsia" w:hAnsiTheme="minorEastAsia" w:eastAsiaTheme="minorEastAsia"/>
                <w:color w:val="auto"/>
                <w:highlight w:val="none"/>
                <w:u w:val="single"/>
              </w:rPr>
              <w:t>8</w:t>
            </w:r>
            <w:r>
              <w:rPr>
                <w:rFonts w:hint="eastAsia" w:cs="Arial" w:asciiTheme="minorEastAsia" w:hAnsiTheme="minorEastAsia" w:eastAsiaTheme="minorEastAsia"/>
                <w:color w:val="auto"/>
                <w:highlight w:val="none"/>
              </w:rPr>
              <w:t>分</w:t>
            </w:r>
          </w:p>
        </w:tc>
        <w:tc>
          <w:tcPr>
            <w:tcW w:w="5970" w:type="dxa"/>
            <w:gridSpan w:val="3"/>
            <w:vAlign w:val="center"/>
          </w:tcPr>
          <w:p>
            <w:pPr>
              <w:snapToGrid w:val="0"/>
              <w:spacing w:line="300" w:lineRule="auto"/>
              <w:jc w:val="left"/>
              <w:rPr>
                <w:rFonts w:ascii="宋体" w:hAnsi="宋体"/>
                <w:color w:val="auto"/>
                <w:szCs w:val="21"/>
                <w:highlight w:val="none"/>
              </w:rPr>
            </w:pPr>
            <w:r>
              <w:rPr>
                <w:color w:val="auto"/>
                <w:szCs w:val="21"/>
                <w:highlight w:val="none"/>
              </w:rPr>
              <w:t>20</w:t>
            </w:r>
            <w:r>
              <w:rPr>
                <w:rFonts w:hint="eastAsia"/>
                <w:color w:val="auto"/>
                <w:szCs w:val="21"/>
                <w:highlight w:val="none"/>
              </w:rPr>
              <w:t>18</w:t>
            </w:r>
            <w:r>
              <w:rPr>
                <w:color w:val="auto"/>
                <w:szCs w:val="21"/>
                <w:highlight w:val="none"/>
              </w:rPr>
              <w:t>年</w:t>
            </w:r>
            <w:r>
              <w:rPr>
                <w:rFonts w:hint="eastAsia"/>
                <w:color w:val="auto"/>
                <w:szCs w:val="21"/>
                <w:highlight w:val="none"/>
              </w:rPr>
              <w:t>营运资金（流动资产</w:t>
            </w:r>
            <w:r>
              <w:rPr>
                <w:rFonts w:hint="eastAsia" w:ascii="宋体" w:hAnsi="宋体" w:cs="宋体"/>
                <w:color w:val="auto"/>
                <w:szCs w:val="21"/>
                <w:highlight w:val="none"/>
              </w:rPr>
              <w:t>－</w:t>
            </w:r>
            <w:r>
              <w:rPr>
                <w:rFonts w:hint="eastAsia"/>
                <w:color w:val="auto"/>
                <w:szCs w:val="21"/>
                <w:highlight w:val="none"/>
              </w:rPr>
              <w:t>流动负债）大于0且</w:t>
            </w:r>
            <w:r>
              <w:rPr>
                <w:rFonts w:hAnsi="宋体"/>
                <w:color w:val="auto"/>
                <w:szCs w:val="21"/>
                <w:highlight w:val="none"/>
              </w:rPr>
              <w:t>每</w:t>
            </w:r>
            <w:r>
              <w:rPr>
                <w:rFonts w:hint="eastAsia"/>
                <w:color w:val="auto"/>
                <w:szCs w:val="21"/>
                <w:highlight w:val="none"/>
              </w:rPr>
              <w:t>50</w:t>
            </w:r>
            <w:r>
              <w:rPr>
                <w:color w:val="auto"/>
                <w:szCs w:val="21"/>
                <w:highlight w:val="none"/>
              </w:rPr>
              <w:t>00</w:t>
            </w:r>
            <w:r>
              <w:rPr>
                <w:rFonts w:hAnsi="宋体"/>
                <w:color w:val="auto"/>
                <w:szCs w:val="21"/>
                <w:highlight w:val="none"/>
              </w:rPr>
              <w:t>万元（不足</w:t>
            </w:r>
            <w:r>
              <w:rPr>
                <w:rFonts w:hint="eastAsia"/>
                <w:color w:val="auto"/>
                <w:szCs w:val="21"/>
                <w:highlight w:val="none"/>
              </w:rPr>
              <w:t>50</w:t>
            </w:r>
            <w:r>
              <w:rPr>
                <w:color w:val="auto"/>
                <w:szCs w:val="21"/>
                <w:highlight w:val="none"/>
              </w:rPr>
              <w:t>00</w:t>
            </w:r>
            <w:r>
              <w:rPr>
                <w:rFonts w:hAnsi="宋体"/>
                <w:color w:val="auto"/>
                <w:szCs w:val="21"/>
                <w:highlight w:val="none"/>
              </w:rPr>
              <w:t>万元部分不计），加</w:t>
            </w:r>
            <w:r>
              <w:rPr>
                <w:rFonts w:hint="eastAsia"/>
                <w:color w:val="auto"/>
                <w:szCs w:val="21"/>
                <w:highlight w:val="none"/>
              </w:rPr>
              <w:t>0.8</w:t>
            </w:r>
            <w:r>
              <w:rPr>
                <w:rFonts w:hAnsi="宋体"/>
                <w:color w:val="auto"/>
                <w:szCs w:val="21"/>
                <w:highlight w:val="none"/>
              </w:rPr>
              <w:t>分，本项最多加</w:t>
            </w:r>
            <w:r>
              <w:rPr>
                <w:rFonts w:hint="eastAsia"/>
                <w:color w:val="auto"/>
                <w:szCs w:val="21"/>
                <w:highlight w:val="none"/>
              </w:rPr>
              <w:t>8</w:t>
            </w:r>
            <w:r>
              <w:rPr>
                <w:rFonts w:hAnsi="宋体"/>
                <w:color w:val="auto"/>
                <w:szCs w:val="21"/>
                <w:highlight w:val="none"/>
              </w:rPr>
              <w:t>分</w:t>
            </w:r>
            <w:r>
              <w:rPr>
                <w:rFonts w:hint="eastAsia" w:hAnsi="宋体"/>
                <w:color w:val="auto"/>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871" w:hRule="atLeast"/>
        </w:trPr>
        <w:tc>
          <w:tcPr>
            <w:tcW w:w="1186" w:type="dxa"/>
            <w:vMerge w:val="continue"/>
            <w:tcBorders>
              <w:top w:val="single" w:color="auto" w:sz="4" w:space="0"/>
              <w:bottom w:val="single" w:color="auto" w:sz="4" w:space="0"/>
            </w:tcBorders>
            <w:vAlign w:val="center"/>
          </w:tcPr>
          <w:p>
            <w:pPr>
              <w:rPr>
                <w:rFonts w:cs="Arial" w:asciiTheme="minorEastAsia" w:hAnsiTheme="minorEastAsia" w:eastAsiaTheme="minorEastAsia"/>
                <w:color w:val="auto"/>
                <w:szCs w:val="21"/>
              </w:rPr>
            </w:pPr>
          </w:p>
        </w:tc>
        <w:tc>
          <w:tcPr>
            <w:tcW w:w="475" w:type="dxa"/>
            <w:vMerge w:val="continue"/>
            <w:tcBorders>
              <w:right w:val="single" w:color="auto" w:sz="4" w:space="0"/>
            </w:tcBorders>
            <w:vAlign w:val="center"/>
          </w:tcPr>
          <w:p>
            <w:pPr>
              <w:snapToGrid w:val="0"/>
              <w:spacing w:line="300" w:lineRule="auto"/>
              <w:ind w:left="113" w:right="113"/>
              <w:jc w:val="center"/>
              <w:rPr>
                <w:rFonts w:cs="宋体" w:asciiTheme="minorEastAsia" w:hAnsiTheme="minorEastAsia" w:eastAsiaTheme="minorEastAsia"/>
                <w:color w:val="auto"/>
                <w:w w:val="105"/>
                <w:sz w:val="20"/>
                <w:szCs w:val="20"/>
              </w:rPr>
            </w:pPr>
          </w:p>
        </w:tc>
        <w:tc>
          <w:tcPr>
            <w:tcW w:w="620" w:type="dxa"/>
            <w:vMerge w:val="restart"/>
            <w:tcBorders>
              <w:top w:val="single" w:color="auto" w:sz="4" w:space="0"/>
              <w:left w:val="single" w:color="auto" w:sz="4" w:space="0"/>
            </w:tcBorders>
            <w:vAlign w:val="center"/>
          </w:tcPr>
          <w:p>
            <w:pPr>
              <w:snapToGrid w:val="0"/>
              <w:spacing w:line="300" w:lineRule="auto"/>
              <w:ind w:left="113" w:right="113"/>
              <w:jc w:val="center"/>
              <w:rPr>
                <w:rFonts w:cs="Arial" w:asciiTheme="minorEastAsia" w:hAnsiTheme="minorEastAsia" w:eastAsiaTheme="minorEastAsia"/>
                <w:color w:val="auto"/>
                <w:szCs w:val="21"/>
              </w:rPr>
            </w:pPr>
            <w:r>
              <w:rPr>
                <w:rFonts w:hint="eastAsia" w:cs="宋体" w:asciiTheme="minorEastAsia" w:hAnsiTheme="minorEastAsia" w:eastAsiaTheme="minorEastAsia"/>
                <w:color w:val="auto"/>
                <w:spacing w:val="-1"/>
                <w:w w:val="110"/>
                <w:sz w:val="20"/>
                <w:szCs w:val="20"/>
              </w:rPr>
              <w:t>业</w:t>
            </w:r>
            <w:r>
              <w:rPr>
                <w:rFonts w:hint="eastAsia" w:cs="宋体" w:asciiTheme="minorEastAsia" w:hAnsiTheme="minorEastAsia" w:eastAsiaTheme="minorEastAsia"/>
                <w:color w:val="auto"/>
                <w:spacing w:val="-2"/>
                <w:w w:val="110"/>
                <w:sz w:val="20"/>
                <w:szCs w:val="20"/>
              </w:rPr>
              <w:t xml:space="preserve">绩  </w:t>
            </w:r>
          </w:p>
        </w:tc>
        <w:tc>
          <w:tcPr>
            <w:tcW w:w="963" w:type="dxa"/>
            <w:tcBorders>
              <w:top w:val="single" w:color="auto" w:sz="4" w:space="0"/>
              <w:left w:val="single" w:color="auto" w:sz="4" w:space="0"/>
            </w:tcBorders>
            <w:vAlign w:val="center"/>
          </w:tcPr>
          <w:p>
            <w:pPr>
              <w:snapToGrid w:val="0"/>
              <w:spacing w:line="300" w:lineRule="auto"/>
              <w:ind w:left="113" w:right="113"/>
              <w:jc w:val="center"/>
              <w:rPr>
                <w:rFonts w:cs="Arial" w:asciiTheme="minorEastAsia" w:hAnsiTheme="minorEastAsia" w:eastAsiaTheme="minorEastAsia"/>
                <w:color w:val="auto"/>
                <w:szCs w:val="21"/>
              </w:rPr>
            </w:pPr>
            <w:r>
              <w:rPr>
                <w:rFonts w:hint="eastAsia" w:cs="Arial" w:asciiTheme="minorEastAsia" w:hAnsiTheme="minorEastAsia" w:eastAsiaTheme="minorEastAsia"/>
                <w:color w:val="auto"/>
                <w:u w:val="single"/>
                <w:lang w:val="en-US" w:eastAsia="zh-CN"/>
              </w:rPr>
              <w:t>9</w:t>
            </w:r>
            <w:r>
              <w:rPr>
                <w:rFonts w:hint="eastAsia" w:cs="Arial" w:asciiTheme="minorEastAsia" w:hAnsiTheme="minorEastAsia" w:eastAsiaTheme="minorEastAsia"/>
                <w:color w:val="auto"/>
              </w:rPr>
              <w:t>分</w:t>
            </w:r>
          </w:p>
        </w:tc>
        <w:tc>
          <w:tcPr>
            <w:tcW w:w="5970" w:type="dxa"/>
            <w:gridSpan w:val="3"/>
            <w:vAlign w:val="center"/>
          </w:tcPr>
          <w:p>
            <w:pPr>
              <w:spacing w:afterLines="100" w:line="300" w:lineRule="exact"/>
              <w:ind w:right="113" w:firstLine="210" w:firstLineChars="100"/>
              <w:rPr>
                <w:rFonts w:ascii="Arial" w:hAnsi="Arial" w:cs="Arial"/>
                <w:color w:val="auto"/>
                <w:sz w:val="21"/>
                <w:szCs w:val="21"/>
              </w:rPr>
            </w:pPr>
            <w:r>
              <w:rPr>
                <w:rFonts w:hint="eastAsia" w:ascii="Arial" w:hAnsi="Arial" w:cs="Arial"/>
                <w:color w:val="auto"/>
                <w:sz w:val="21"/>
                <w:szCs w:val="21"/>
              </w:rPr>
              <w:t>每完成1个合同金额1000万元以上的</w:t>
            </w:r>
            <w:r>
              <w:rPr>
                <w:rFonts w:hint="eastAsia"/>
                <w:color w:val="auto"/>
                <w:sz w:val="21"/>
                <w:szCs w:val="21"/>
              </w:rPr>
              <w:t>声屏障工程施工</w:t>
            </w:r>
            <w:r>
              <w:rPr>
                <w:rFonts w:hint="eastAsia" w:ascii="Arial" w:hAnsi="Arial" w:cs="Arial"/>
                <w:color w:val="auto"/>
                <w:sz w:val="21"/>
                <w:szCs w:val="21"/>
              </w:rPr>
              <w:t>项目业绩</w:t>
            </w:r>
            <w:r>
              <w:rPr>
                <w:rFonts w:ascii="Arial" w:hAnsi="Arial" w:cs="Arial"/>
                <w:color w:val="auto"/>
                <w:sz w:val="21"/>
                <w:szCs w:val="21"/>
              </w:rPr>
              <w:t>加</w:t>
            </w:r>
            <w:r>
              <w:rPr>
                <w:rFonts w:hint="eastAsia" w:ascii="Arial" w:hAnsi="Arial" w:cs="Arial"/>
                <w:color w:val="auto"/>
                <w:sz w:val="21"/>
                <w:szCs w:val="21"/>
                <w:lang w:val="en-US" w:eastAsia="zh-CN"/>
              </w:rPr>
              <w:t>3</w:t>
            </w:r>
            <w:r>
              <w:rPr>
                <w:rFonts w:hint="eastAsia" w:ascii="Arial" w:hAnsi="Arial" w:cs="Arial"/>
                <w:color w:val="auto"/>
                <w:sz w:val="21"/>
                <w:szCs w:val="21"/>
              </w:rPr>
              <w:t>分，</w:t>
            </w:r>
            <w:r>
              <w:rPr>
                <w:rFonts w:ascii="Arial" w:hAnsi="Arial" w:cs="Arial"/>
                <w:color w:val="auto"/>
                <w:sz w:val="21"/>
                <w:szCs w:val="21"/>
              </w:rPr>
              <w:t>本项最多加</w:t>
            </w:r>
            <w:r>
              <w:rPr>
                <w:rFonts w:hint="eastAsia" w:ascii="Arial" w:hAnsi="Arial" w:cs="Arial"/>
                <w:color w:val="auto"/>
                <w:sz w:val="21"/>
                <w:szCs w:val="21"/>
                <w:lang w:val="en-US" w:eastAsia="zh-CN"/>
              </w:rPr>
              <w:t>9</w:t>
            </w:r>
            <w:r>
              <w:rPr>
                <w:rFonts w:ascii="Arial" w:hAnsi="Arial" w:cs="Arial"/>
                <w:color w:val="auto"/>
                <w:sz w:val="21"/>
                <w:szCs w:val="21"/>
              </w:rPr>
              <w:t>分</w:t>
            </w:r>
            <w:r>
              <w:rPr>
                <w:rFonts w:hint="eastAsia" w:ascii="Arial" w:hAnsi="Arial" w:cs="Arial"/>
                <w:color w:val="auto"/>
                <w:sz w:val="21"/>
                <w:szCs w:val="21"/>
              </w:rPr>
              <w:t>。</w:t>
            </w:r>
          </w:p>
          <w:p>
            <w:pPr>
              <w:spacing w:afterLines="100" w:line="300" w:lineRule="exact"/>
              <w:ind w:right="113" w:firstLine="210" w:firstLineChars="100"/>
              <w:rPr>
                <w:rFonts w:asciiTheme="minorEastAsia" w:hAnsiTheme="minorEastAsia" w:eastAsiaTheme="minorEastAsia"/>
                <w:color w:val="auto"/>
                <w:sz w:val="21"/>
                <w:szCs w:val="21"/>
              </w:rPr>
            </w:pPr>
            <w:r>
              <w:rPr>
                <w:rFonts w:hint="eastAsia" w:ascii="宋体" w:hAnsi="宋体"/>
                <w:color w:val="auto"/>
                <w:sz w:val="21"/>
                <w:szCs w:val="21"/>
              </w:rPr>
              <w:t>（注：加分的</w:t>
            </w:r>
            <w:r>
              <w:rPr>
                <w:rFonts w:hint="eastAsia" w:ascii="宋体" w:hAnsi="宋体"/>
                <w:color w:val="auto"/>
                <w:sz w:val="21"/>
                <w:szCs w:val="21"/>
                <w:lang w:val="en-US" w:eastAsia="zh-CN"/>
              </w:rPr>
              <w:t>企业</w:t>
            </w:r>
            <w:r>
              <w:rPr>
                <w:rFonts w:hint="eastAsia" w:ascii="宋体" w:hAnsi="宋体"/>
                <w:color w:val="auto"/>
                <w:sz w:val="21"/>
                <w:szCs w:val="21"/>
              </w:rPr>
              <w:t>业绩应满足招</w:t>
            </w:r>
            <w:r>
              <w:rPr>
                <w:rFonts w:ascii="宋体" w:hAnsi="宋体"/>
                <w:color w:val="auto"/>
                <w:sz w:val="21"/>
                <w:szCs w:val="21"/>
              </w:rPr>
              <w:t>标文件</w:t>
            </w:r>
            <w:r>
              <w:rPr>
                <w:rFonts w:hint="eastAsia" w:ascii="宋体" w:hAnsi="宋体"/>
                <w:color w:val="auto"/>
                <w:sz w:val="21"/>
                <w:szCs w:val="21"/>
              </w:rPr>
              <w:t>投标人须知3.5.3款的相关</w:t>
            </w:r>
            <w:r>
              <w:rPr>
                <w:rFonts w:ascii="宋体" w:hAnsi="宋体"/>
                <w:color w:val="auto"/>
                <w:sz w:val="21"/>
                <w:szCs w:val="21"/>
              </w:rPr>
              <w:t>要求</w:t>
            </w:r>
            <w:r>
              <w:rPr>
                <w:rFonts w:hint="eastAsia" w:ascii="宋体" w:hAnsi="宋体"/>
                <w:color w:val="auto"/>
                <w:sz w:val="21"/>
                <w:szCs w:val="21"/>
              </w:rPr>
              <w:t>，</w:t>
            </w:r>
            <w:r>
              <w:rPr>
                <w:rFonts w:hint="eastAsia" w:ascii="宋体" w:hAnsi="宋体" w:cs="宋体"/>
                <w:b/>
                <w:color w:val="auto"/>
                <w:sz w:val="21"/>
                <w:szCs w:val="21"/>
              </w:rPr>
              <w:t>如提供的证明材料不能体现其为</w:t>
            </w:r>
            <w:r>
              <w:rPr>
                <w:rFonts w:hint="eastAsia"/>
                <w:b/>
                <w:color w:val="auto"/>
                <w:sz w:val="21"/>
                <w:szCs w:val="21"/>
              </w:rPr>
              <w:t>声屏障工程</w:t>
            </w:r>
            <w:r>
              <w:rPr>
                <w:rFonts w:hint="eastAsia" w:ascii="宋体" w:hAnsi="宋体" w:cs="宋体"/>
                <w:b/>
                <w:bCs/>
                <w:color w:val="auto"/>
                <w:sz w:val="21"/>
                <w:szCs w:val="21"/>
              </w:rPr>
              <w:t>施工</w:t>
            </w:r>
            <w:r>
              <w:rPr>
                <w:rFonts w:hint="eastAsia" w:ascii="宋体" w:hAnsi="宋体" w:cs="宋体"/>
                <w:b/>
                <w:bCs/>
                <w:color w:val="auto"/>
                <w:sz w:val="21"/>
                <w:szCs w:val="21"/>
                <w:lang w:val="en-US" w:eastAsia="zh-CN"/>
              </w:rPr>
              <w:t>合同</w:t>
            </w:r>
            <w:r>
              <w:rPr>
                <w:rFonts w:hint="eastAsia" w:ascii="宋体" w:hAnsi="宋体" w:cs="宋体"/>
                <w:b/>
                <w:bCs/>
                <w:color w:val="auto"/>
                <w:sz w:val="21"/>
                <w:szCs w:val="21"/>
              </w:rPr>
              <w:t>金额在1000万元以上的业绩，将不予计分）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754" w:hRule="atLeast"/>
        </w:trPr>
        <w:tc>
          <w:tcPr>
            <w:tcW w:w="1186" w:type="dxa"/>
            <w:vMerge w:val="continue"/>
            <w:tcBorders>
              <w:top w:val="single" w:color="auto" w:sz="4" w:space="0"/>
              <w:bottom w:val="single" w:color="auto" w:sz="4" w:space="0"/>
            </w:tcBorders>
            <w:vAlign w:val="center"/>
          </w:tcPr>
          <w:p>
            <w:pPr>
              <w:rPr>
                <w:rFonts w:cs="Arial" w:asciiTheme="minorEastAsia" w:hAnsiTheme="minorEastAsia" w:eastAsiaTheme="minorEastAsia"/>
                <w:color w:val="auto"/>
                <w:szCs w:val="21"/>
              </w:rPr>
            </w:pPr>
          </w:p>
        </w:tc>
        <w:tc>
          <w:tcPr>
            <w:tcW w:w="475" w:type="dxa"/>
            <w:vMerge w:val="continue"/>
            <w:tcBorders>
              <w:bottom w:val="single" w:color="auto" w:sz="4" w:space="0"/>
              <w:right w:val="single" w:color="auto" w:sz="4" w:space="0"/>
            </w:tcBorders>
            <w:vAlign w:val="center"/>
          </w:tcPr>
          <w:p>
            <w:pPr>
              <w:snapToGrid w:val="0"/>
              <w:spacing w:line="300" w:lineRule="auto"/>
              <w:ind w:left="113" w:right="113"/>
              <w:jc w:val="center"/>
              <w:rPr>
                <w:rFonts w:cs="宋体" w:asciiTheme="minorEastAsia" w:hAnsiTheme="minorEastAsia" w:eastAsiaTheme="minorEastAsia"/>
                <w:color w:val="auto"/>
                <w:w w:val="105"/>
                <w:sz w:val="20"/>
                <w:szCs w:val="20"/>
              </w:rPr>
            </w:pPr>
          </w:p>
        </w:tc>
        <w:tc>
          <w:tcPr>
            <w:tcW w:w="620" w:type="dxa"/>
            <w:vMerge w:val="continue"/>
            <w:tcBorders>
              <w:left w:val="single" w:color="auto" w:sz="4" w:space="0"/>
            </w:tcBorders>
            <w:vAlign w:val="center"/>
          </w:tcPr>
          <w:p>
            <w:pPr>
              <w:snapToGrid w:val="0"/>
              <w:spacing w:line="300" w:lineRule="auto"/>
              <w:ind w:left="113" w:right="113"/>
              <w:jc w:val="center"/>
              <w:rPr>
                <w:rFonts w:cs="宋体" w:asciiTheme="minorEastAsia" w:hAnsiTheme="minorEastAsia" w:eastAsiaTheme="minorEastAsia"/>
                <w:color w:val="auto"/>
                <w:spacing w:val="-1"/>
                <w:w w:val="110"/>
                <w:sz w:val="20"/>
                <w:szCs w:val="20"/>
              </w:rPr>
            </w:pPr>
          </w:p>
        </w:tc>
        <w:tc>
          <w:tcPr>
            <w:tcW w:w="963" w:type="dxa"/>
            <w:tcBorders>
              <w:left w:val="single" w:color="auto" w:sz="4" w:space="0"/>
            </w:tcBorders>
            <w:vAlign w:val="center"/>
          </w:tcPr>
          <w:p>
            <w:pPr>
              <w:snapToGrid w:val="0"/>
              <w:spacing w:line="300" w:lineRule="auto"/>
              <w:ind w:left="113" w:right="113"/>
              <w:jc w:val="center"/>
              <w:rPr>
                <w:rFonts w:cs="Arial" w:asciiTheme="minorEastAsia" w:hAnsiTheme="minorEastAsia" w:eastAsiaTheme="minorEastAsia"/>
                <w:color w:val="auto"/>
                <w:u w:val="single"/>
              </w:rPr>
            </w:pPr>
            <w:r>
              <w:rPr>
                <w:rFonts w:hint="eastAsia" w:cs="Arial" w:asciiTheme="minorEastAsia" w:hAnsiTheme="minorEastAsia" w:eastAsiaTheme="minorEastAsia"/>
                <w:color w:val="auto"/>
                <w:u w:val="single"/>
                <w:lang w:val="en-US" w:eastAsia="zh-CN"/>
              </w:rPr>
              <w:t>9</w:t>
            </w:r>
            <w:r>
              <w:rPr>
                <w:rFonts w:hint="eastAsia" w:cs="Arial" w:asciiTheme="minorEastAsia" w:hAnsiTheme="minorEastAsia" w:eastAsiaTheme="minorEastAsia"/>
                <w:color w:val="auto"/>
              </w:rPr>
              <w:t>分</w:t>
            </w:r>
          </w:p>
        </w:tc>
        <w:tc>
          <w:tcPr>
            <w:tcW w:w="5970" w:type="dxa"/>
            <w:gridSpan w:val="3"/>
            <w:vAlign w:val="center"/>
          </w:tcPr>
          <w:p>
            <w:pPr>
              <w:spacing w:afterLines="100" w:line="300" w:lineRule="exact"/>
              <w:ind w:right="113" w:firstLine="210" w:firstLineChars="100"/>
              <w:rPr>
                <w:rFonts w:ascii="Arial" w:hAnsi="Arial" w:cs="Arial"/>
                <w:color w:val="auto"/>
                <w:sz w:val="21"/>
                <w:szCs w:val="21"/>
              </w:rPr>
            </w:pPr>
            <w:r>
              <w:rPr>
                <w:rFonts w:hint="eastAsia" w:ascii="Arial" w:hAnsi="Arial" w:cs="Arial"/>
                <w:color w:val="auto"/>
                <w:sz w:val="21"/>
                <w:szCs w:val="21"/>
              </w:rPr>
              <w:t>每完成1个合同金额100万元以上的</w:t>
            </w:r>
            <w:r>
              <w:rPr>
                <w:rFonts w:hint="eastAsia"/>
                <w:color w:val="auto"/>
                <w:sz w:val="21"/>
                <w:szCs w:val="21"/>
              </w:rPr>
              <w:t>污水处理工程施工</w:t>
            </w:r>
            <w:r>
              <w:rPr>
                <w:rFonts w:hint="eastAsia" w:ascii="Arial" w:hAnsi="Arial" w:cs="Arial"/>
                <w:color w:val="auto"/>
                <w:sz w:val="21"/>
                <w:szCs w:val="21"/>
              </w:rPr>
              <w:t>项目业绩</w:t>
            </w:r>
            <w:r>
              <w:rPr>
                <w:rFonts w:ascii="Arial" w:hAnsi="Arial" w:cs="Arial"/>
                <w:color w:val="auto"/>
                <w:sz w:val="21"/>
                <w:szCs w:val="21"/>
              </w:rPr>
              <w:t>加</w:t>
            </w:r>
            <w:r>
              <w:rPr>
                <w:rFonts w:hint="eastAsia" w:ascii="Arial" w:hAnsi="Arial" w:cs="Arial"/>
                <w:color w:val="auto"/>
                <w:sz w:val="21"/>
                <w:szCs w:val="21"/>
                <w:lang w:val="en-US" w:eastAsia="zh-CN"/>
              </w:rPr>
              <w:t>3</w:t>
            </w:r>
            <w:r>
              <w:rPr>
                <w:rFonts w:hint="eastAsia" w:ascii="Arial" w:hAnsi="Arial" w:cs="Arial"/>
                <w:color w:val="auto"/>
                <w:sz w:val="21"/>
                <w:szCs w:val="21"/>
              </w:rPr>
              <w:t>分，</w:t>
            </w:r>
            <w:r>
              <w:rPr>
                <w:rFonts w:ascii="Arial" w:hAnsi="Arial" w:cs="Arial"/>
                <w:color w:val="auto"/>
                <w:sz w:val="21"/>
                <w:szCs w:val="21"/>
              </w:rPr>
              <w:t>本项最多加</w:t>
            </w:r>
            <w:r>
              <w:rPr>
                <w:rFonts w:hint="eastAsia" w:ascii="Arial" w:hAnsi="Arial" w:cs="Arial"/>
                <w:color w:val="auto"/>
                <w:sz w:val="21"/>
                <w:szCs w:val="21"/>
                <w:lang w:val="en-US" w:eastAsia="zh-CN"/>
              </w:rPr>
              <w:t>9</w:t>
            </w:r>
            <w:r>
              <w:rPr>
                <w:rFonts w:ascii="Arial" w:hAnsi="Arial" w:cs="Arial"/>
                <w:color w:val="auto"/>
                <w:sz w:val="21"/>
                <w:szCs w:val="21"/>
              </w:rPr>
              <w:t>分</w:t>
            </w:r>
            <w:r>
              <w:rPr>
                <w:rFonts w:hint="eastAsia" w:ascii="Arial" w:hAnsi="Arial" w:cs="Arial"/>
                <w:color w:val="auto"/>
                <w:sz w:val="21"/>
                <w:szCs w:val="21"/>
              </w:rPr>
              <w:t>。</w:t>
            </w:r>
          </w:p>
          <w:p>
            <w:pPr>
              <w:spacing w:afterLines="100" w:line="300" w:lineRule="exact"/>
              <w:ind w:right="113" w:firstLine="210" w:firstLineChars="100"/>
              <w:rPr>
                <w:rFonts w:ascii="Arial" w:hAnsi="Arial" w:cs="Arial"/>
                <w:color w:val="auto"/>
                <w:sz w:val="21"/>
                <w:szCs w:val="21"/>
              </w:rPr>
            </w:pPr>
            <w:r>
              <w:rPr>
                <w:rFonts w:hint="eastAsia" w:ascii="宋体" w:hAnsi="宋体"/>
                <w:color w:val="auto"/>
                <w:sz w:val="21"/>
                <w:szCs w:val="21"/>
              </w:rPr>
              <w:t>（注：加分的</w:t>
            </w:r>
            <w:r>
              <w:rPr>
                <w:rFonts w:hint="eastAsia" w:ascii="宋体" w:hAnsi="宋体"/>
                <w:color w:val="auto"/>
                <w:sz w:val="21"/>
                <w:szCs w:val="21"/>
                <w:lang w:val="en-US" w:eastAsia="zh-CN"/>
              </w:rPr>
              <w:t>企业</w:t>
            </w:r>
            <w:r>
              <w:rPr>
                <w:rFonts w:hint="eastAsia" w:ascii="宋体" w:hAnsi="宋体"/>
                <w:color w:val="auto"/>
                <w:sz w:val="21"/>
                <w:szCs w:val="21"/>
              </w:rPr>
              <w:t>业绩应满足招</w:t>
            </w:r>
            <w:r>
              <w:rPr>
                <w:rFonts w:ascii="宋体" w:hAnsi="宋体"/>
                <w:color w:val="auto"/>
                <w:sz w:val="21"/>
                <w:szCs w:val="21"/>
              </w:rPr>
              <w:t>标文件</w:t>
            </w:r>
            <w:r>
              <w:rPr>
                <w:rFonts w:hint="eastAsia" w:ascii="宋体" w:hAnsi="宋体"/>
                <w:color w:val="auto"/>
                <w:sz w:val="21"/>
                <w:szCs w:val="21"/>
              </w:rPr>
              <w:t>投标人须知3.5.3款的相关</w:t>
            </w:r>
            <w:r>
              <w:rPr>
                <w:rFonts w:ascii="宋体" w:hAnsi="宋体"/>
                <w:color w:val="auto"/>
                <w:sz w:val="21"/>
                <w:szCs w:val="21"/>
              </w:rPr>
              <w:t>要求</w:t>
            </w:r>
            <w:r>
              <w:rPr>
                <w:rFonts w:hint="eastAsia" w:ascii="宋体" w:hAnsi="宋体"/>
                <w:color w:val="auto"/>
                <w:sz w:val="21"/>
                <w:szCs w:val="21"/>
              </w:rPr>
              <w:t>，</w:t>
            </w:r>
            <w:r>
              <w:rPr>
                <w:rFonts w:hint="eastAsia" w:ascii="宋体" w:hAnsi="宋体" w:cs="宋体"/>
                <w:b/>
                <w:color w:val="auto"/>
                <w:sz w:val="21"/>
                <w:szCs w:val="21"/>
              </w:rPr>
              <w:t>如提供的证明材料不能体现其为</w:t>
            </w:r>
            <w:r>
              <w:rPr>
                <w:rFonts w:hint="eastAsia"/>
                <w:b/>
                <w:color w:val="auto"/>
                <w:sz w:val="21"/>
                <w:szCs w:val="21"/>
              </w:rPr>
              <w:t>污水处理</w:t>
            </w:r>
            <w:r>
              <w:rPr>
                <w:rFonts w:hint="eastAsia" w:ascii="宋体" w:hAnsi="宋体" w:cs="宋体"/>
                <w:b/>
                <w:bCs/>
                <w:color w:val="auto"/>
                <w:sz w:val="21"/>
                <w:szCs w:val="21"/>
              </w:rPr>
              <w:t>工程施工</w:t>
            </w:r>
            <w:r>
              <w:rPr>
                <w:rFonts w:hint="eastAsia" w:ascii="宋体" w:hAnsi="宋体" w:cs="宋体"/>
                <w:b/>
                <w:bCs/>
                <w:color w:val="auto"/>
                <w:sz w:val="21"/>
                <w:szCs w:val="21"/>
                <w:lang w:val="en-US" w:eastAsia="zh-CN"/>
              </w:rPr>
              <w:t>合同</w:t>
            </w:r>
            <w:r>
              <w:rPr>
                <w:rFonts w:hint="eastAsia" w:ascii="宋体" w:hAnsi="宋体" w:cs="宋体"/>
                <w:b/>
                <w:bCs/>
                <w:color w:val="auto"/>
                <w:sz w:val="21"/>
                <w:szCs w:val="21"/>
              </w:rPr>
              <w:t>金额在100万元以上的业绩，将不予计分）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4" w:hRule="atLeast"/>
        </w:trPr>
        <w:tc>
          <w:tcPr>
            <w:tcW w:w="921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cs="Arial" w:asciiTheme="minorEastAsia" w:hAnsiTheme="minorEastAsia" w:eastAsiaTheme="minorEastAsia"/>
                <w:b/>
                <w:color w:val="auto"/>
                <w:szCs w:val="21"/>
              </w:rPr>
            </w:pPr>
            <w:r>
              <w:rPr>
                <w:rFonts w:hint="eastAsia" w:cs="Arial" w:asciiTheme="minorEastAsia" w:hAnsiTheme="minorEastAsia" w:eastAsiaTheme="minorEastAsia"/>
                <w:b/>
                <w:color w:val="auto"/>
                <w:szCs w:val="21"/>
              </w:rPr>
              <w:t>需要补充的其他内容：</w:t>
            </w:r>
          </w:p>
          <w:p>
            <w:pPr>
              <w:keepNext w:val="0"/>
              <w:keepLines w:val="0"/>
              <w:pageBreakBefore w:val="0"/>
              <w:widowControl w:val="0"/>
              <w:kinsoku/>
              <w:wordWrap/>
              <w:overflowPunct/>
              <w:topLinePunct w:val="0"/>
              <w:autoSpaceDE/>
              <w:autoSpaceDN/>
              <w:bidi w:val="0"/>
              <w:adjustRightInd/>
              <w:snapToGrid/>
              <w:spacing w:afterLines="100" w:line="300" w:lineRule="auto"/>
              <w:ind w:right="113" w:firstLine="210" w:firstLineChars="100"/>
              <w:textAlignment w:val="auto"/>
              <w:rPr>
                <w:rFonts w:hint="eastAsia" w:ascii="宋体" w:hAnsi="宋体"/>
                <w:color w:val="auto"/>
                <w:sz w:val="21"/>
                <w:szCs w:val="21"/>
                <w:lang w:val="en-US" w:eastAsia="zh-CN"/>
              </w:rPr>
            </w:pPr>
            <w:r>
              <w:rPr>
                <w:rFonts w:hint="eastAsia" w:ascii="宋体" w:hAnsi="宋体"/>
                <w:color w:val="auto"/>
                <w:sz w:val="21"/>
                <w:szCs w:val="21"/>
                <w:lang w:val="en-US" w:eastAsia="zh-CN"/>
              </w:rPr>
              <w:t>1、评标办法正文第3.9.1 款细化为：</w:t>
            </w:r>
          </w:p>
          <w:p>
            <w:pPr>
              <w:keepNext w:val="0"/>
              <w:keepLines w:val="0"/>
              <w:pageBreakBefore w:val="0"/>
              <w:widowControl w:val="0"/>
              <w:kinsoku/>
              <w:wordWrap/>
              <w:overflowPunct/>
              <w:topLinePunct w:val="0"/>
              <w:autoSpaceDE/>
              <w:autoSpaceDN/>
              <w:bidi w:val="0"/>
              <w:adjustRightInd/>
              <w:snapToGrid/>
              <w:spacing w:afterLines="100" w:line="300" w:lineRule="auto"/>
              <w:ind w:right="113" w:firstLine="210" w:firstLineChars="100"/>
              <w:textAlignment w:val="auto"/>
              <w:rPr>
                <w:rFonts w:cs="Arial" w:asciiTheme="minorEastAsia" w:hAnsiTheme="minorEastAsia" w:eastAsiaTheme="minorEastAsia"/>
                <w:b/>
                <w:color w:val="auto"/>
                <w:szCs w:val="21"/>
              </w:rPr>
            </w:pPr>
            <w:r>
              <w:rPr>
                <w:rFonts w:hint="eastAsia" w:ascii="宋体" w:hAnsi="宋体"/>
                <w:color w:val="auto"/>
                <w:sz w:val="21"/>
                <w:szCs w:val="21"/>
                <w:lang w:val="en-US" w:eastAsia="zh-CN"/>
              </w:rPr>
              <w:t>3.9.1 评标委员会对通过第一个信封（商务及技术文件）初步评审的投标文件进行综合得分的计算，按综合得分由高到低进行排序后，对综合得分排名在评标办法前附表3.2.4 规定数量的投标人的投标文件第二个信封（报价文件）组织公开开标（若通过第一个信封（商务及技术文件）详细评审的投标人不足3家，则评标委员会应否决全部投标）。评标委员会对通过第二个信封（投标报价文件）初步评审的投标文件按照评标价由低到高的顺序及招标文件有关规定，依次推荐中标候选人（在第二信封评审过程中，若在同一个标段中由于投标文件被否决，导致有效投标人只有1个的情形时，该标段不再推荐中标候选人，若有效投标人仅为2个时，评标委员会应当对有效投标是否仍具有竞争性进行评审，如评标委员会一致认为有效投标仍具有竞争性的，应当继续推荐1 名中标候选人，并在评标报告中予以说明；如评标委员会对有效投标是否仍具有竞争性无法达成一致意见的，应当否决该标段投标）</w:t>
            </w:r>
          </w:p>
        </w:tc>
      </w:tr>
    </w:tbl>
    <w:p>
      <w:pPr>
        <w:spacing w:line="480" w:lineRule="exact"/>
        <w:rPr>
          <w:rFonts w:hint="eastAsia" w:ascii="宋体" w:hAnsi="宋体" w:cs="宋体"/>
          <w:b/>
          <w:color w:val="auto"/>
          <w:sz w:val="28"/>
          <w:szCs w:val="28"/>
          <w:highlight w:val="none"/>
        </w:rPr>
      </w:pPr>
      <w:r>
        <w:rPr>
          <w:rFonts w:hint="eastAsia" w:ascii="宋体" w:hAnsi="宋体" w:cs="宋体"/>
          <w:b/>
          <w:color w:val="auto"/>
          <w:sz w:val="28"/>
          <w:szCs w:val="28"/>
          <w:highlight w:val="none"/>
        </w:rPr>
        <w:t>1. 评标方法</w:t>
      </w:r>
    </w:p>
    <w:p>
      <w:pPr>
        <w:spacing w:line="48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本次评标采用技术评分最低标价法。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r>
        <w:rPr>
          <w:rFonts w:hint="eastAsia" w:ascii="宋体" w:hAnsi="宋体" w:cs="宋体"/>
          <w:color w:val="auto"/>
          <w:szCs w:val="21"/>
          <w:highlight w:val="none"/>
        </w:rPr>
        <w:t>。</w:t>
      </w:r>
    </w:p>
    <w:p>
      <w:pPr>
        <w:spacing w:line="480" w:lineRule="exact"/>
        <w:rPr>
          <w:rFonts w:hint="eastAsia" w:ascii="宋体" w:hAnsi="宋体" w:cs="宋体"/>
          <w:b/>
          <w:color w:val="auto"/>
          <w:sz w:val="28"/>
          <w:szCs w:val="28"/>
          <w:highlight w:val="none"/>
        </w:rPr>
      </w:pPr>
      <w:r>
        <w:rPr>
          <w:rFonts w:hint="eastAsia" w:ascii="宋体" w:hAnsi="宋体" w:cs="宋体"/>
          <w:b/>
          <w:color w:val="auto"/>
          <w:sz w:val="28"/>
          <w:szCs w:val="28"/>
          <w:highlight w:val="none"/>
        </w:rPr>
        <w:t>2. 评审标准</w:t>
      </w:r>
    </w:p>
    <w:p>
      <w:pPr>
        <w:spacing w:line="480" w:lineRule="exact"/>
        <w:rPr>
          <w:rFonts w:hint="eastAsia" w:ascii="宋体" w:hAnsi="宋体" w:cs="宋体"/>
          <w:b/>
          <w:color w:val="auto"/>
          <w:sz w:val="28"/>
          <w:szCs w:val="28"/>
          <w:highlight w:val="none"/>
        </w:rPr>
      </w:pPr>
      <w:r>
        <w:rPr>
          <w:rFonts w:hint="eastAsia" w:ascii="宋体" w:hAnsi="宋体" w:cs="宋体"/>
          <w:b/>
          <w:color w:val="auto"/>
          <w:sz w:val="28"/>
          <w:szCs w:val="28"/>
          <w:highlight w:val="none"/>
        </w:rPr>
        <w:t>2.1 初步评审标准</w:t>
      </w:r>
    </w:p>
    <w:p>
      <w:pPr>
        <w:spacing w:line="48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2.1.1</w:t>
      </w:r>
      <w:r>
        <w:rPr>
          <w:rFonts w:hint="eastAsia" w:ascii="宋体" w:hAnsi="宋体" w:cs="宋体"/>
          <w:color w:val="auto"/>
          <w:szCs w:val="21"/>
          <w:highlight w:val="none"/>
        </w:rPr>
        <w:t xml:space="preserve"> 形式评审标准：见评标办法前附表。</w:t>
      </w:r>
    </w:p>
    <w:p>
      <w:pPr>
        <w:spacing w:line="48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2.1.2</w:t>
      </w:r>
      <w:r>
        <w:rPr>
          <w:rFonts w:hint="eastAsia" w:ascii="宋体" w:hAnsi="宋体" w:cs="宋体"/>
          <w:color w:val="auto"/>
          <w:szCs w:val="21"/>
          <w:highlight w:val="none"/>
        </w:rPr>
        <w:t xml:space="preserve"> 资格评审标准：见评标办法前附表。</w:t>
      </w:r>
    </w:p>
    <w:p>
      <w:pPr>
        <w:spacing w:line="48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2.1.3</w:t>
      </w:r>
      <w:r>
        <w:rPr>
          <w:rFonts w:hint="eastAsia" w:ascii="宋体" w:hAnsi="宋体" w:cs="宋体"/>
          <w:color w:val="auto"/>
          <w:szCs w:val="21"/>
          <w:highlight w:val="none"/>
        </w:rPr>
        <w:t xml:space="preserve"> 响应性评审标准：见评标办法前附表。</w:t>
      </w:r>
    </w:p>
    <w:p>
      <w:pPr>
        <w:spacing w:line="480" w:lineRule="exact"/>
        <w:rPr>
          <w:rFonts w:hint="eastAsia" w:ascii="宋体" w:hAnsi="宋体" w:cs="宋体"/>
          <w:b/>
          <w:color w:val="auto"/>
          <w:sz w:val="24"/>
          <w:highlight w:val="none"/>
        </w:rPr>
      </w:pPr>
      <w:r>
        <w:rPr>
          <w:rFonts w:hint="eastAsia" w:ascii="宋体" w:hAnsi="宋体" w:cs="宋体"/>
          <w:b/>
          <w:color w:val="auto"/>
          <w:sz w:val="24"/>
          <w:highlight w:val="none"/>
        </w:rPr>
        <w:t>2.2 分值构成与评分标准</w:t>
      </w:r>
    </w:p>
    <w:p>
      <w:pPr>
        <w:spacing w:line="480" w:lineRule="exact"/>
        <w:ind w:left="480"/>
        <w:rPr>
          <w:rFonts w:hint="eastAsia" w:ascii="宋体" w:hAnsi="宋体" w:cs="宋体"/>
          <w:b/>
          <w:color w:val="auto"/>
          <w:szCs w:val="21"/>
          <w:highlight w:val="none"/>
        </w:rPr>
      </w:pPr>
      <w:r>
        <w:rPr>
          <w:rFonts w:hint="eastAsia" w:ascii="宋体" w:hAnsi="宋体" w:cs="宋体"/>
          <w:b/>
          <w:color w:val="auto"/>
          <w:szCs w:val="21"/>
          <w:highlight w:val="none"/>
        </w:rPr>
        <w:t>2.2.1 第一个信封评分分值构成</w:t>
      </w:r>
    </w:p>
    <w:p>
      <w:pPr>
        <w:spacing w:line="480" w:lineRule="exact"/>
        <w:ind w:left="480"/>
        <w:rPr>
          <w:rFonts w:hint="eastAsia" w:ascii="宋体" w:hAnsi="宋体" w:cs="宋体"/>
          <w:b/>
          <w:color w:val="auto"/>
          <w:szCs w:val="21"/>
          <w:highlight w:val="none"/>
        </w:rPr>
      </w:pPr>
      <w:r>
        <w:rPr>
          <w:rFonts w:hint="eastAsia" w:ascii="宋体" w:hAnsi="宋体" w:cs="宋体"/>
          <w:b/>
          <w:color w:val="auto"/>
          <w:szCs w:val="21"/>
          <w:highlight w:val="none"/>
        </w:rPr>
        <w:t>（1）施工组织设计：见评标办法前附表；</w:t>
      </w:r>
    </w:p>
    <w:p>
      <w:pPr>
        <w:spacing w:line="480" w:lineRule="exact"/>
        <w:ind w:left="480"/>
        <w:rPr>
          <w:rFonts w:hint="eastAsia" w:ascii="宋体" w:hAnsi="宋体" w:cs="宋体"/>
          <w:b/>
          <w:color w:val="auto"/>
          <w:szCs w:val="21"/>
          <w:highlight w:val="none"/>
        </w:rPr>
      </w:pPr>
      <w:r>
        <w:rPr>
          <w:rFonts w:hint="eastAsia" w:ascii="宋体" w:hAnsi="宋体" w:cs="宋体"/>
          <w:b/>
          <w:color w:val="auto"/>
          <w:szCs w:val="21"/>
          <w:highlight w:val="none"/>
        </w:rPr>
        <w:t>（2）主要人员：见评标办法前附表；</w:t>
      </w:r>
    </w:p>
    <w:p>
      <w:pPr>
        <w:spacing w:line="480" w:lineRule="exact"/>
        <w:ind w:left="480"/>
        <w:rPr>
          <w:rFonts w:hint="eastAsia" w:ascii="宋体" w:hAnsi="宋体" w:cs="宋体"/>
          <w:b/>
          <w:color w:val="auto"/>
          <w:szCs w:val="21"/>
          <w:highlight w:val="none"/>
        </w:rPr>
      </w:pPr>
      <w:r>
        <w:rPr>
          <w:rFonts w:hint="eastAsia" w:ascii="宋体" w:hAnsi="宋体" w:cs="宋体"/>
          <w:b/>
          <w:color w:val="auto"/>
          <w:szCs w:val="21"/>
          <w:highlight w:val="none"/>
        </w:rPr>
        <w:t>（3）其他评分因素：见评标办法前附表。</w:t>
      </w:r>
    </w:p>
    <w:p>
      <w:pPr>
        <w:spacing w:line="480" w:lineRule="exact"/>
        <w:ind w:left="480"/>
        <w:rPr>
          <w:rFonts w:hint="eastAsia" w:ascii="宋体" w:hAnsi="宋体" w:cs="宋体"/>
          <w:b/>
          <w:color w:val="auto"/>
          <w:szCs w:val="21"/>
          <w:highlight w:val="none"/>
        </w:rPr>
      </w:pPr>
      <w:r>
        <w:rPr>
          <w:rFonts w:hint="eastAsia" w:ascii="宋体" w:hAnsi="宋体" w:cs="宋体"/>
          <w:b/>
          <w:color w:val="auto"/>
          <w:szCs w:val="21"/>
          <w:highlight w:val="none"/>
        </w:rPr>
        <w:t>2.2.2 第一个信封评分评分标准</w:t>
      </w:r>
    </w:p>
    <w:p>
      <w:pPr>
        <w:spacing w:line="480" w:lineRule="exact"/>
        <w:ind w:left="480"/>
        <w:rPr>
          <w:rFonts w:hint="eastAsia" w:ascii="宋体" w:hAnsi="宋体" w:cs="宋体"/>
          <w:b/>
          <w:color w:val="auto"/>
          <w:szCs w:val="21"/>
          <w:highlight w:val="none"/>
        </w:rPr>
      </w:pPr>
      <w:r>
        <w:rPr>
          <w:rFonts w:hint="eastAsia" w:ascii="宋体" w:hAnsi="宋体" w:cs="宋体"/>
          <w:b/>
          <w:color w:val="auto"/>
          <w:szCs w:val="21"/>
          <w:highlight w:val="none"/>
        </w:rPr>
        <w:t>（1）施工组织设计评分标准：见评标办法前附表；</w:t>
      </w:r>
    </w:p>
    <w:p>
      <w:pPr>
        <w:spacing w:line="480" w:lineRule="exact"/>
        <w:ind w:left="480"/>
        <w:rPr>
          <w:rFonts w:hint="eastAsia" w:ascii="宋体" w:hAnsi="宋体" w:cs="宋体"/>
          <w:b/>
          <w:color w:val="auto"/>
          <w:szCs w:val="21"/>
          <w:highlight w:val="none"/>
        </w:rPr>
      </w:pPr>
      <w:r>
        <w:rPr>
          <w:rFonts w:hint="eastAsia" w:ascii="宋体" w:hAnsi="宋体" w:cs="宋体"/>
          <w:b/>
          <w:color w:val="auto"/>
          <w:szCs w:val="21"/>
          <w:highlight w:val="none"/>
        </w:rPr>
        <w:t>（2）主要人员评分标准：见评标办法前附表；</w:t>
      </w:r>
    </w:p>
    <w:p>
      <w:pPr>
        <w:spacing w:line="480" w:lineRule="exact"/>
        <w:ind w:left="480"/>
        <w:rPr>
          <w:rFonts w:hint="eastAsia" w:ascii="宋体" w:hAnsi="宋体" w:cs="宋体"/>
          <w:b/>
          <w:color w:val="auto"/>
          <w:szCs w:val="21"/>
          <w:highlight w:val="none"/>
        </w:rPr>
      </w:pPr>
      <w:r>
        <w:rPr>
          <w:rFonts w:hint="eastAsia" w:ascii="宋体" w:hAnsi="宋体" w:cs="宋体"/>
          <w:b/>
          <w:color w:val="auto"/>
          <w:szCs w:val="21"/>
          <w:highlight w:val="none"/>
        </w:rPr>
        <w:t>（3）其他因素评分标准：见评标办法前附表。</w:t>
      </w:r>
    </w:p>
    <w:p>
      <w:pPr>
        <w:widowControl/>
        <w:numPr>
          <w:ilvl w:val="1"/>
          <w:numId w:val="1"/>
        </w:numPr>
        <w:tabs>
          <w:tab w:val="left" w:pos="1080"/>
        </w:tabs>
        <w:spacing w:line="480" w:lineRule="exact"/>
        <w:ind w:left="1080" w:hanging="596"/>
        <w:rPr>
          <w:rFonts w:hint="eastAsia" w:ascii="宋体" w:hAnsi="宋体" w:cs="宋体"/>
          <w:b/>
          <w:color w:val="auto"/>
          <w:szCs w:val="21"/>
          <w:highlight w:val="none"/>
        </w:rPr>
      </w:pPr>
      <w:r>
        <w:rPr>
          <w:rFonts w:hint="eastAsia" w:ascii="宋体" w:hAnsi="宋体" w:cs="宋体"/>
          <w:b/>
          <w:color w:val="auto"/>
          <w:szCs w:val="21"/>
          <w:highlight w:val="none"/>
        </w:rPr>
        <w:t>第二个信封详细评审标准：见评标办法前附表。</w:t>
      </w:r>
    </w:p>
    <w:p>
      <w:pPr>
        <w:spacing w:line="480" w:lineRule="exact"/>
        <w:rPr>
          <w:rFonts w:hint="eastAsia" w:ascii="宋体" w:hAnsi="宋体" w:cs="宋体"/>
          <w:b/>
          <w:color w:val="auto"/>
          <w:sz w:val="28"/>
          <w:szCs w:val="28"/>
          <w:highlight w:val="none"/>
        </w:rPr>
      </w:pPr>
      <w:r>
        <w:rPr>
          <w:rFonts w:hint="eastAsia" w:ascii="宋体" w:hAnsi="宋体" w:cs="宋体"/>
          <w:b/>
          <w:color w:val="auto"/>
          <w:sz w:val="28"/>
          <w:szCs w:val="28"/>
          <w:highlight w:val="none"/>
        </w:rPr>
        <w:t>3. 评标程序</w:t>
      </w:r>
    </w:p>
    <w:p>
      <w:pPr>
        <w:spacing w:line="480" w:lineRule="exact"/>
        <w:rPr>
          <w:rFonts w:hint="eastAsia" w:ascii="宋体" w:hAnsi="宋体" w:cs="宋体"/>
          <w:b/>
          <w:color w:val="auto"/>
          <w:sz w:val="28"/>
          <w:szCs w:val="28"/>
          <w:highlight w:val="none"/>
        </w:rPr>
      </w:pPr>
      <w:r>
        <w:rPr>
          <w:rFonts w:hint="eastAsia" w:ascii="宋体" w:hAnsi="宋体" w:cs="宋体"/>
          <w:b/>
          <w:color w:val="auto"/>
          <w:sz w:val="28"/>
          <w:szCs w:val="28"/>
          <w:highlight w:val="none"/>
        </w:rPr>
        <w:t>3.1 第一个信封初步评审</w:t>
      </w:r>
    </w:p>
    <w:p>
      <w:pPr>
        <w:spacing w:line="480" w:lineRule="exact"/>
        <w:rPr>
          <w:rFonts w:hint="eastAsia" w:ascii="宋体" w:hAnsi="宋体" w:cs="宋体"/>
          <w:color w:val="auto"/>
          <w:szCs w:val="21"/>
          <w:highlight w:val="none"/>
        </w:rPr>
      </w:pPr>
      <w:r>
        <w:rPr>
          <w:rFonts w:hint="eastAsia" w:ascii="宋体" w:hAnsi="宋体" w:cs="宋体"/>
          <w:b/>
          <w:color w:val="auto"/>
          <w:szCs w:val="21"/>
          <w:highlight w:val="none"/>
        </w:rPr>
        <w:t>3.1.1</w:t>
      </w:r>
      <w:r>
        <w:rPr>
          <w:rFonts w:hint="eastAsia" w:ascii="宋体" w:hAnsi="宋体" w:cs="宋体"/>
          <w:color w:val="auto"/>
          <w:szCs w:val="21"/>
          <w:highlight w:val="none"/>
        </w:rPr>
        <w:t>评标委员会可以要求投标人提交第二章“投标人须知”第3.5.1项至第3.5.6项规定的有关证明和证件的原件，以便核验。评标委员会依据本章第2.1款规定的标准对投标文件第一个信封（商务及技术文件）进行初步评审。有一项不符合评审标准的，评标委员会应否决其投标。</w:t>
      </w:r>
    </w:p>
    <w:p>
      <w:pPr>
        <w:widowControl/>
        <w:numPr>
          <w:ilvl w:val="0"/>
          <w:numId w:val="2"/>
        </w:numPr>
        <w:tabs>
          <w:tab w:val="left" w:pos="480"/>
        </w:tabs>
        <w:spacing w:line="480" w:lineRule="exact"/>
        <w:ind w:left="480" w:hanging="476"/>
        <w:rPr>
          <w:rFonts w:hint="eastAsia" w:ascii="宋体" w:hAnsi="宋体" w:cs="宋体"/>
          <w:b/>
          <w:color w:val="auto"/>
          <w:sz w:val="28"/>
          <w:szCs w:val="28"/>
          <w:highlight w:val="none"/>
        </w:rPr>
      </w:pPr>
      <w:r>
        <w:rPr>
          <w:rFonts w:hint="eastAsia" w:ascii="宋体" w:hAnsi="宋体" w:cs="宋体"/>
          <w:b/>
          <w:color w:val="auto"/>
          <w:sz w:val="28"/>
          <w:szCs w:val="28"/>
          <w:highlight w:val="none"/>
        </w:rPr>
        <w:t>第一个信封详细评审</w:t>
      </w:r>
    </w:p>
    <w:p>
      <w:pPr>
        <w:widowControl/>
        <w:tabs>
          <w:tab w:val="left" w:pos="1080"/>
        </w:tabs>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3.2.1评标委员会按本章第 2.2 款规定的量化因素和分值进行打分，并计算出各人的商务和技术得分。</w:t>
      </w:r>
    </w:p>
    <w:p>
      <w:pPr>
        <w:spacing w:line="480" w:lineRule="exact"/>
        <w:ind w:right="120" w:firstLine="480"/>
        <w:rPr>
          <w:rFonts w:hint="eastAsia" w:ascii="宋体" w:hAnsi="宋体" w:cs="宋体"/>
          <w:color w:val="auto"/>
          <w:szCs w:val="21"/>
          <w:highlight w:val="none"/>
        </w:rPr>
      </w:pPr>
      <w:r>
        <w:rPr>
          <w:rFonts w:hint="eastAsia" w:ascii="宋体" w:hAnsi="宋体" w:cs="宋体"/>
          <w:color w:val="auto"/>
          <w:szCs w:val="21"/>
          <w:highlight w:val="none"/>
        </w:rPr>
        <w:t>（1）按本章第 2.2.2 项（1）目规定的评审因素和分值对施工组织设计部分计算 出得分 A；</w:t>
      </w:r>
    </w:p>
    <w:p>
      <w:pPr>
        <w:spacing w:line="480" w:lineRule="exact"/>
        <w:ind w:left="480"/>
        <w:rPr>
          <w:rFonts w:hint="eastAsia" w:ascii="宋体" w:hAnsi="宋体" w:cs="宋体"/>
          <w:color w:val="auto"/>
          <w:szCs w:val="21"/>
          <w:highlight w:val="none"/>
        </w:rPr>
      </w:pPr>
      <w:r>
        <w:rPr>
          <w:rFonts w:hint="eastAsia" w:ascii="宋体" w:hAnsi="宋体" w:cs="宋体"/>
          <w:color w:val="auto"/>
          <w:szCs w:val="21"/>
          <w:highlight w:val="none"/>
        </w:rPr>
        <w:t>（2）按本章第 2.2.2 项（2）目规定的评审因素和分值对主要人员部分计算出得分 B；</w:t>
      </w:r>
    </w:p>
    <w:p>
      <w:pPr>
        <w:spacing w:line="480" w:lineRule="exact"/>
        <w:ind w:left="480"/>
        <w:rPr>
          <w:rFonts w:hint="eastAsia" w:ascii="宋体" w:hAnsi="宋体" w:cs="宋体"/>
          <w:color w:val="auto"/>
          <w:szCs w:val="21"/>
          <w:highlight w:val="none"/>
        </w:rPr>
      </w:pPr>
      <w:r>
        <w:rPr>
          <w:rFonts w:hint="eastAsia" w:ascii="宋体" w:hAnsi="宋体" w:cs="宋体"/>
          <w:color w:val="auto"/>
          <w:szCs w:val="21"/>
          <w:highlight w:val="none"/>
        </w:rPr>
        <w:t>（3）按本章第 2.2.2 项（3）目规定的评审因素和分值对其他部分计算出得分C。</w:t>
      </w:r>
    </w:p>
    <w:p>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3.2.2  投标人的商务和技术得分分值计算保留小数点后两位，小数点后第三位“四舍五入”。</w:t>
      </w:r>
    </w:p>
    <w:p>
      <w:pPr>
        <w:widowControl/>
        <w:tabs>
          <w:tab w:val="left" w:pos="1080"/>
        </w:tabs>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3.2.3投标人的商务和技术得分=A+B+C。</w:t>
      </w:r>
    </w:p>
    <w:p>
      <w:pPr>
        <w:widowControl/>
        <w:tabs>
          <w:tab w:val="left" w:pos="1080"/>
        </w:tabs>
        <w:spacing w:line="480" w:lineRule="exact"/>
        <w:ind w:right="1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3.2.4评标委员会按照投标人的商务和技术得分由高到低排序，排名在评标办法 前附表规定数量以内的投标人，其投标文件第一个信封（商务及技术文件）通过详 细评审。</w:t>
      </w:r>
    </w:p>
    <w:p>
      <w:pPr>
        <w:widowControl/>
        <w:tabs>
          <w:tab w:val="left" w:pos="1080"/>
        </w:tabs>
        <w:spacing w:line="4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3.2.5通过投标文件第一个信封（商务及技术文件）初步评审的投标人不少于3个且未超过评标办法前附表第 3.2.4 项规定数量的，均通过投标文件第一个信封（商务及技术文件）详细评审，不再对投标人的商务和技术文件进行评分。</w:t>
      </w:r>
    </w:p>
    <w:p>
      <w:pPr>
        <w:spacing w:line="480" w:lineRule="exact"/>
        <w:rPr>
          <w:rFonts w:hint="eastAsia" w:ascii="宋体" w:hAnsi="宋体" w:cs="宋体"/>
          <w:b/>
          <w:color w:val="auto"/>
          <w:sz w:val="28"/>
          <w:szCs w:val="28"/>
          <w:highlight w:val="none"/>
        </w:rPr>
      </w:pPr>
      <w:r>
        <w:rPr>
          <w:rFonts w:hint="eastAsia" w:ascii="宋体" w:hAnsi="宋体" w:cs="宋体"/>
          <w:b/>
          <w:color w:val="auto"/>
          <w:sz w:val="28"/>
          <w:szCs w:val="28"/>
          <w:highlight w:val="none"/>
        </w:rPr>
        <w:t>3.3 第二个信封开标</w:t>
      </w:r>
    </w:p>
    <w:p>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第一个信封（商务及技术文件）评审结束后，招标人将按照第二章“投标人须知”第 5.1 款规定的时间和地点对通过投标文件第一个信封（商务及技术文件）评审的投标文件第二个信封（报价文件）进行开标。</w:t>
      </w:r>
    </w:p>
    <w:p>
      <w:pPr>
        <w:spacing w:line="480" w:lineRule="exact"/>
        <w:rPr>
          <w:rFonts w:hint="eastAsia" w:ascii="宋体" w:hAnsi="宋体" w:cs="宋体"/>
          <w:i/>
          <w:color w:val="auto"/>
          <w:szCs w:val="21"/>
          <w:highlight w:val="none"/>
        </w:rPr>
      </w:pPr>
      <w:r>
        <w:rPr>
          <w:rFonts w:hint="eastAsia" w:ascii="宋体" w:hAnsi="宋体" w:cs="宋体"/>
          <w:color w:val="auto"/>
          <w:szCs w:val="21"/>
          <w:highlight w:val="none"/>
        </w:rPr>
        <w:t>3.4第二个信封初步评审</w:t>
      </w:r>
      <w:r>
        <w:rPr>
          <w:rFonts w:hint="eastAsia" w:ascii="宋体" w:hAnsi="宋体" w:cs="宋体"/>
          <w:i/>
          <w:color w:val="auto"/>
          <w:szCs w:val="21"/>
          <w:highlight w:val="none"/>
        </w:rPr>
        <w:t>（如本项目招标由投标人按照招标人提供的书面工程量清单填写本合同各工程子目的单价、合价和总额价，则评标委员会按照本章第 3.4.2 项和第 3.4.3 项的规定对投标人的投标报价进行修正。如本项目招标由投标人按照招标人提供的工程量固化清单电子文件填写工程量清单，无须按照本章第 3.4.2 项和第 3.4.3 项的规定对投标报价进行修正，第 3.4.2 项至第 3.4.4 项内容不适用）</w:t>
      </w:r>
    </w:p>
    <w:p>
      <w:pPr>
        <w:widowControl/>
        <w:numPr>
          <w:ilvl w:val="1"/>
          <w:numId w:val="3"/>
        </w:numPr>
        <w:tabs>
          <w:tab w:val="left" w:pos="1080"/>
        </w:tabs>
        <w:spacing w:line="480" w:lineRule="exact"/>
        <w:ind w:right="120" w:firstLine="484"/>
        <w:rPr>
          <w:rFonts w:hint="eastAsia" w:ascii="宋体" w:hAnsi="宋体" w:cs="宋体"/>
          <w:color w:val="auto"/>
          <w:szCs w:val="21"/>
          <w:highlight w:val="none"/>
        </w:rPr>
      </w:pPr>
      <w:r>
        <w:rPr>
          <w:rFonts w:hint="eastAsia" w:ascii="宋体" w:hAnsi="宋体" w:cs="宋体"/>
          <w:color w:val="auto"/>
          <w:szCs w:val="21"/>
          <w:highlight w:val="none"/>
        </w:rPr>
        <w:t>评标委员会依据本章第 2.1.1 项、第 2.1.3 项规定的评审标准对投标文件第 二个信封（报价文件）进行初步评审。有一项不符合评审标准的，评标委员会应否决其投标。</w:t>
      </w:r>
    </w:p>
    <w:p>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3.4.2  投标报价有算术错误的，评标委员会按以下原则对投标报价进行修正，修正的价格经投标人书面确认后具有约束力。投标人不接受修正价格的，评标委员会应否决其投标。</w:t>
      </w:r>
    </w:p>
    <w:p>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（2）总价金额与依据单价计算出的结果不一致的，以单价金额为准修正总价，但单价金额小数点有明显错误的除外;</w:t>
      </w:r>
    </w:p>
    <w:p>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（3）当单价与数量相乘不等于合价时，以单价计算为准，如果单价有明显的小数点位置差错，应以标出的合价为准，同时对单价予以修正；</w:t>
      </w:r>
    </w:p>
    <w:p>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（4）当各子目的合价累计不等于总价时，应以各子目合价累计数为准，修正总价。</w:t>
      </w:r>
    </w:p>
    <w:p>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3.4.3 工程量清单中的投标报价有其他错误的，评标委员会按以下原则对投标报价进行修正，修正的价格经投标人书面确认后具有约束力。投标人不接受修正价格的，评标委员会应否决其投标。</w:t>
      </w:r>
    </w:p>
    <w:p>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（3）当单价与数量的乘积与合价（金额）虽然一致，但投标人修改了该子目的工程数量，则其合价按招标人给定的工程数量乘以投标人所报单价予以修正。</w:t>
      </w:r>
    </w:p>
    <w:p>
      <w:pPr>
        <w:spacing w:line="480" w:lineRule="exact"/>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3.4.4修正后的最终投标报价若超过最高投标限价（如有），评标委员会应否决其投标。</w:t>
      </w:r>
    </w:p>
    <w:p>
      <w:pPr>
        <w:widowControl/>
        <w:numPr>
          <w:ilvl w:val="0"/>
          <w:numId w:val="4"/>
        </w:numPr>
        <w:tabs>
          <w:tab w:val="left" w:pos="480"/>
        </w:tabs>
        <w:spacing w:line="480" w:lineRule="exact"/>
        <w:ind w:left="480" w:hanging="476"/>
        <w:rPr>
          <w:rFonts w:hint="eastAsia" w:ascii="宋体" w:hAnsi="宋体" w:cs="宋体"/>
          <w:b/>
          <w:color w:val="auto"/>
          <w:sz w:val="28"/>
          <w:szCs w:val="28"/>
          <w:highlight w:val="none"/>
        </w:rPr>
      </w:pPr>
      <w:r>
        <w:rPr>
          <w:rFonts w:hint="eastAsia" w:ascii="宋体" w:hAnsi="宋体" w:cs="宋体"/>
          <w:b/>
          <w:color w:val="auto"/>
          <w:sz w:val="28"/>
          <w:szCs w:val="28"/>
          <w:highlight w:val="none"/>
        </w:rPr>
        <w:t>第二个信封详细评审</w:t>
      </w:r>
    </w:p>
    <w:p>
      <w:pPr>
        <w:widowControl/>
        <w:numPr>
          <w:ilvl w:val="1"/>
          <w:numId w:val="4"/>
        </w:numPr>
        <w:tabs>
          <w:tab w:val="left" w:pos="1080"/>
        </w:tabs>
        <w:spacing w:line="480" w:lineRule="exact"/>
        <w:ind w:right="120" w:firstLine="484"/>
        <w:rPr>
          <w:rFonts w:hint="eastAsia" w:ascii="宋体" w:hAnsi="宋体" w:cs="宋体"/>
          <w:color w:val="auto"/>
          <w:szCs w:val="21"/>
          <w:highlight w:val="none"/>
        </w:rPr>
      </w:pPr>
      <w:r>
        <w:rPr>
          <w:rFonts w:hint="eastAsia" w:ascii="宋体" w:hAnsi="宋体" w:cs="宋体"/>
          <w:color w:val="auto"/>
          <w:szCs w:val="21"/>
          <w:highlight w:val="none"/>
        </w:rPr>
        <w:t>评标委员会按本章第 2.2 款规定的量化因素和标准进行价格折算，计算出 评标价，并编制价格比较一览表。</w:t>
      </w:r>
    </w:p>
    <w:p>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3.5.2评标委员会发现投标人的报价明显低于其他投标报价，使得其投标报价可能低于其个别成本的，应要求该投标人作出书面说明并提供相应的证明材料。投标人不能合理说明或不能提供相应证明材料的，由评标委员会认定该投标人以低于成本报价竞标，并否决其投标。</w:t>
      </w:r>
    </w:p>
    <w:p>
      <w:pPr>
        <w:widowControl/>
        <w:numPr>
          <w:ilvl w:val="0"/>
          <w:numId w:val="5"/>
        </w:numPr>
        <w:tabs>
          <w:tab w:val="left" w:pos="480"/>
        </w:tabs>
        <w:spacing w:line="480" w:lineRule="exact"/>
        <w:ind w:left="480" w:hanging="476"/>
        <w:rPr>
          <w:rFonts w:hint="eastAsia" w:ascii="宋体" w:hAnsi="宋体" w:cs="宋体"/>
          <w:b/>
          <w:color w:val="auto"/>
          <w:sz w:val="28"/>
          <w:szCs w:val="28"/>
          <w:highlight w:val="none"/>
        </w:rPr>
      </w:pPr>
      <w:r>
        <w:rPr>
          <w:rFonts w:hint="eastAsia" w:ascii="宋体" w:hAnsi="宋体" w:cs="宋体"/>
          <w:b/>
          <w:color w:val="auto"/>
          <w:sz w:val="28"/>
          <w:szCs w:val="28"/>
          <w:highlight w:val="none"/>
        </w:rPr>
        <w:t>投标文件相关信息的核查</w:t>
      </w:r>
    </w:p>
    <w:p>
      <w:pPr>
        <w:widowControl/>
        <w:numPr>
          <w:ilvl w:val="1"/>
          <w:numId w:val="5"/>
        </w:numPr>
        <w:tabs>
          <w:tab w:val="left" w:pos="1080"/>
        </w:tabs>
        <w:spacing w:line="480" w:lineRule="exact"/>
        <w:ind w:firstLine="484"/>
        <w:rPr>
          <w:rFonts w:hint="eastAsia" w:ascii="宋体" w:hAnsi="宋体" w:cs="宋体"/>
          <w:color w:val="auto"/>
          <w:szCs w:val="21"/>
          <w:highlight w:val="none"/>
        </w:rPr>
      </w:pPr>
      <w:r>
        <w:rPr>
          <w:rFonts w:hint="eastAsia" w:ascii="宋体" w:hAnsi="宋体" w:cs="宋体"/>
          <w:color w:val="auto"/>
          <w:szCs w:val="21"/>
          <w:highlight w:val="none"/>
        </w:rPr>
        <w:t>在评标过程中，评标委员会应查询交通运输主管部门“公路建设市场信用 信息管理系统”，对投标人的资质、业绩、主要人员资历和目前在岗情况、信用等级 等信息进行核实。若投标文件载明的信息与交通运输主管部门“公路建设市场信用 信息管理系统”发布的信息不符，使得投标人的资格条件不符合招标文件规定的，评标委员会应否决其投标。</w:t>
      </w:r>
    </w:p>
    <w:p>
      <w:pPr>
        <w:spacing w:line="48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3.6.2 评标委员会应对在评标过程中发现的投标人与投标人之间、投标人与招标人之间存在的串通投标的情形进行评审和认定。投标人存在串通投标、弄虚作假、行贿等违法行为的，评标委员会应否决其投标。</w:t>
      </w:r>
    </w:p>
    <w:p>
      <w:pPr>
        <w:spacing w:line="480" w:lineRule="exact"/>
        <w:ind w:left="480"/>
        <w:rPr>
          <w:rFonts w:hint="eastAsia" w:ascii="宋体" w:hAnsi="宋体" w:cs="宋体"/>
          <w:color w:val="auto"/>
          <w:szCs w:val="21"/>
          <w:highlight w:val="none"/>
        </w:rPr>
      </w:pPr>
      <w:r>
        <w:rPr>
          <w:rFonts w:hint="eastAsia" w:ascii="宋体" w:hAnsi="宋体" w:cs="宋体"/>
          <w:color w:val="auto"/>
          <w:szCs w:val="21"/>
          <w:highlight w:val="none"/>
        </w:rPr>
        <w:t>（1）有下列情形之一的，属于投标人相互串通投标：</w:t>
      </w:r>
    </w:p>
    <w:p>
      <w:pPr>
        <w:spacing w:line="480" w:lineRule="exact"/>
        <w:ind w:left="480"/>
        <w:rPr>
          <w:rFonts w:hint="eastAsia" w:ascii="宋体" w:hAnsi="宋体" w:cs="宋体"/>
          <w:color w:val="auto"/>
          <w:szCs w:val="21"/>
          <w:highlight w:val="none"/>
        </w:rPr>
      </w:pPr>
      <w:r>
        <w:rPr>
          <w:rFonts w:hint="eastAsia" w:ascii="宋体" w:hAnsi="宋体" w:cs="宋体"/>
          <w:color w:val="auto"/>
          <w:szCs w:val="21"/>
          <w:highlight w:val="none"/>
        </w:rPr>
        <w:t>a.投标人之间协商投标报价等投标文件的实质性内容；</w:t>
      </w:r>
    </w:p>
    <w:p>
      <w:pPr>
        <w:spacing w:line="480" w:lineRule="exact"/>
        <w:ind w:left="480"/>
        <w:rPr>
          <w:rFonts w:hint="eastAsia" w:ascii="宋体" w:hAnsi="宋体" w:cs="宋体"/>
          <w:color w:val="auto"/>
          <w:szCs w:val="21"/>
          <w:highlight w:val="none"/>
        </w:rPr>
      </w:pPr>
      <w:r>
        <w:rPr>
          <w:rFonts w:hint="eastAsia" w:ascii="宋体" w:hAnsi="宋体" w:cs="宋体"/>
          <w:color w:val="auto"/>
          <w:szCs w:val="21"/>
          <w:highlight w:val="none"/>
        </w:rPr>
        <w:t>b.投标人之间约定中标人；</w:t>
      </w:r>
    </w:p>
    <w:p>
      <w:pPr>
        <w:spacing w:line="480" w:lineRule="exact"/>
        <w:ind w:left="480"/>
        <w:rPr>
          <w:rFonts w:hint="eastAsia" w:ascii="宋体" w:hAnsi="宋体" w:cs="宋体"/>
          <w:color w:val="auto"/>
          <w:szCs w:val="21"/>
          <w:highlight w:val="none"/>
        </w:rPr>
      </w:pPr>
      <w:r>
        <w:rPr>
          <w:rFonts w:hint="eastAsia" w:ascii="宋体" w:hAnsi="宋体" w:cs="宋体"/>
          <w:color w:val="auto"/>
          <w:szCs w:val="21"/>
          <w:highlight w:val="none"/>
        </w:rPr>
        <w:t>c.投标人之间约定部分投标人放弃投标或中标；</w:t>
      </w:r>
    </w:p>
    <w:p>
      <w:pPr>
        <w:spacing w:line="480" w:lineRule="exact"/>
        <w:ind w:left="480"/>
        <w:rPr>
          <w:rFonts w:hint="eastAsia" w:ascii="宋体" w:hAnsi="宋体" w:cs="宋体"/>
          <w:color w:val="auto"/>
          <w:szCs w:val="21"/>
          <w:highlight w:val="none"/>
        </w:rPr>
      </w:pPr>
      <w:r>
        <w:rPr>
          <w:rFonts w:hint="eastAsia" w:ascii="宋体" w:hAnsi="宋体" w:cs="宋体"/>
          <w:color w:val="auto"/>
          <w:szCs w:val="21"/>
          <w:highlight w:val="none"/>
        </w:rPr>
        <w:t>d.属于同一集团、协会、商会等组织成员的投标人按照该组织要求协同投标；</w:t>
      </w:r>
    </w:p>
    <w:p>
      <w:pPr>
        <w:spacing w:line="480" w:lineRule="exact"/>
        <w:ind w:left="480"/>
        <w:rPr>
          <w:rFonts w:hint="eastAsia" w:ascii="宋体" w:hAnsi="宋体" w:cs="宋体"/>
          <w:color w:val="auto"/>
          <w:szCs w:val="21"/>
          <w:highlight w:val="none"/>
        </w:rPr>
      </w:pPr>
      <w:r>
        <w:rPr>
          <w:rFonts w:hint="eastAsia" w:ascii="宋体" w:hAnsi="宋体" w:cs="宋体"/>
          <w:color w:val="auto"/>
          <w:szCs w:val="21"/>
          <w:highlight w:val="none"/>
        </w:rPr>
        <w:t>e.投标人之间为谋取中标或排斥特定投标人而采取的其他联合行动。</w:t>
      </w:r>
    </w:p>
    <w:p>
      <w:pPr>
        <w:spacing w:line="480" w:lineRule="exact"/>
        <w:ind w:left="480"/>
        <w:rPr>
          <w:rFonts w:hint="eastAsia" w:ascii="宋体" w:hAnsi="宋体" w:cs="宋体"/>
          <w:color w:val="auto"/>
          <w:szCs w:val="21"/>
          <w:highlight w:val="none"/>
        </w:rPr>
      </w:pPr>
      <w:r>
        <w:rPr>
          <w:rFonts w:hint="eastAsia" w:ascii="宋体" w:hAnsi="宋体" w:cs="宋体"/>
          <w:color w:val="auto"/>
          <w:szCs w:val="21"/>
          <w:highlight w:val="none"/>
        </w:rPr>
        <w:t>（2）有下列情形之一的，视为投标人相互串通投标：</w:t>
      </w:r>
    </w:p>
    <w:p>
      <w:pPr>
        <w:spacing w:line="480" w:lineRule="exact"/>
        <w:ind w:left="480"/>
        <w:rPr>
          <w:rFonts w:hint="eastAsia" w:ascii="宋体" w:hAnsi="宋体" w:cs="宋体"/>
          <w:color w:val="auto"/>
          <w:szCs w:val="21"/>
          <w:highlight w:val="none"/>
        </w:rPr>
      </w:pPr>
      <w:r>
        <w:rPr>
          <w:rFonts w:hint="eastAsia" w:ascii="宋体" w:hAnsi="宋体" w:cs="宋体"/>
          <w:color w:val="auto"/>
          <w:szCs w:val="21"/>
          <w:highlight w:val="none"/>
        </w:rPr>
        <w:t>a.不同投标人的投标文件由同一单位或个人编制；</w:t>
      </w:r>
    </w:p>
    <w:p>
      <w:pPr>
        <w:spacing w:line="480" w:lineRule="exact"/>
        <w:ind w:left="480"/>
        <w:rPr>
          <w:rFonts w:hint="eastAsia" w:ascii="宋体" w:hAnsi="宋体" w:cs="宋体"/>
          <w:color w:val="auto"/>
          <w:szCs w:val="21"/>
          <w:highlight w:val="none"/>
        </w:rPr>
      </w:pPr>
      <w:r>
        <w:rPr>
          <w:rFonts w:hint="eastAsia" w:ascii="宋体" w:hAnsi="宋体" w:cs="宋体"/>
          <w:color w:val="auto"/>
          <w:szCs w:val="21"/>
          <w:highlight w:val="none"/>
        </w:rPr>
        <w:t>b.不同投标人委托同一单位或个人办理投标事宜；</w:t>
      </w:r>
    </w:p>
    <w:p>
      <w:pPr>
        <w:spacing w:line="480" w:lineRule="exact"/>
        <w:ind w:left="480"/>
        <w:rPr>
          <w:rFonts w:hint="eastAsia" w:ascii="宋体" w:hAnsi="宋体" w:cs="宋体"/>
          <w:color w:val="auto"/>
          <w:szCs w:val="21"/>
          <w:highlight w:val="none"/>
        </w:rPr>
      </w:pPr>
      <w:r>
        <w:rPr>
          <w:rFonts w:hint="eastAsia" w:ascii="宋体" w:hAnsi="宋体" w:cs="宋体"/>
          <w:color w:val="auto"/>
          <w:szCs w:val="21"/>
          <w:highlight w:val="none"/>
        </w:rPr>
        <w:t>c.不同投标人的投标文件载明的项目管理成员为同一人；</w:t>
      </w:r>
    </w:p>
    <w:p>
      <w:pPr>
        <w:spacing w:line="480" w:lineRule="exact"/>
        <w:ind w:left="480"/>
        <w:rPr>
          <w:rFonts w:hint="eastAsia" w:ascii="宋体" w:hAnsi="宋体" w:cs="宋体"/>
          <w:color w:val="auto"/>
          <w:szCs w:val="21"/>
          <w:highlight w:val="none"/>
        </w:rPr>
      </w:pPr>
      <w:r>
        <w:rPr>
          <w:rFonts w:hint="eastAsia" w:ascii="宋体" w:hAnsi="宋体" w:cs="宋体"/>
          <w:color w:val="auto"/>
          <w:szCs w:val="21"/>
          <w:highlight w:val="none"/>
        </w:rPr>
        <w:t>d.不同投标人的投标文件异常一致或投标报价呈规律性差异；</w:t>
      </w:r>
    </w:p>
    <w:p>
      <w:pPr>
        <w:spacing w:line="480" w:lineRule="exact"/>
        <w:ind w:left="480"/>
        <w:rPr>
          <w:rFonts w:hint="eastAsia" w:ascii="宋体" w:hAnsi="宋体" w:cs="宋体"/>
          <w:color w:val="auto"/>
          <w:szCs w:val="21"/>
          <w:highlight w:val="none"/>
        </w:rPr>
      </w:pPr>
      <w:r>
        <w:rPr>
          <w:rFonts w:hint="eastAsia" w:ascii="宋体" w:hAnsi="宋体" w:cs="宋体"/>
          <w:color w:val="auto"/>
          <w:szCs w:val="21"/>
          <w:highlight w:val="none"/>
        </w:rPr>
        <w:t>e.不同投标人的投标文件相互混装；</w:t>
      </w:r>
    </w:p>
    <w:p>
      <w:pPr>
        <w:spacing w:line="480" w:lineRule="exact"/>
        <w:ind w:left="480"/>
        <w:rPr>
          <w:rFonts w:hint="eastAsia" w:ascii="宋体" w:hAnsi="宋体" w:cs="宋体"/>
          <w:color w:val="auto"/>
          <w:szCs w:val="21"/>
          <w:highlight w:val="none"/>
        </w:rPr>
      </w:pPr>
      <w:r>
        <w:rPr>
          <w:rFonts w:hint="eastAsia" w:ascii="宋体" w:hAnsi="宋体" w:cs="宋体"/>
          <w:color w:val="auto"/>
          <w:szCs w:val="21"/>
          <w:highlight w:val="none"/>
        </w:rPr>
        <w:t>f.不同投标人的投标保证金从同一单位或个人的账户转出。</w:t>
      </w:r>
    </w:p>
    <w:p>
      <w:pPr>
        <w:spacing w:line="480" w:lineRule="exact"/>
        <w:ind w:left="480"/>
        <w:rPr>
          <w:rFonts w:hint="eastAsia" w:ascii="宋体" w:hAnsi="宋体" w:cs="宋体"/>
          <w:color w:val="auto"/>
          <w:szCs w:val="21"/>
          <w:highlight w:val="none"/>
        </w:rPr>
      </w:pPr>
      <w:r>
        <w:rPr>
          <w:rFonts w:hint="eastAsia" w:ascii="宋体" w:hAnsi="宋体" w:cs="宋体"/>
          <w:color w:val="auto"/>
          <w:szCs w:val="21"/>
          <w:highlight w:val="none"/>
        </w:rPr>
        <w:t>（3）有下列情形之一的，属于招标人与投标人串通投标：</w:t>
      </w:r>
    </w:p>
    <w:p>
      <w:pPr>
        <w:spacing w:line="480" w:lineRule="exact"/>
        <w:ind w:left="480"/>
        <w:rPr>
          <w:rFonts w:hint="eastAsia" w:ascii="宋体" w:hAnsi="宋体" w:cs="宋体"/>
          <w:color w:val="auto"/>
          <w:szCs w:val="21"/>
          <w:highlight w:val="none"/>
        </w:rPr>
      </w:pPr>
      <w:r>
        <w:rPr>
          <w:rFonts w:hint="eastAsia" w:ascii="宋体" w:hAnsi="宋体" w:cs="宋体"/>
          <w:color w:val="auto"/>
          <w:szCs w:val="21"/>
          <w:highlight w:val="none"/>
        </w:rPr>
        <w:t>a.招标人在开标前开启投标文件并将有关信息泄露给其他投标人;</w:t>
      </w:r>
    </w:p>
    <w:p>
      <w:pPr>
        <w:spacing w:line="480" w:lineRule="exact"/>
        <w:ind w:left="480"/>
        <w:rPr>
          <w:rFonts w:hint="eastAsia" w:ascii="宋体" w:hAnsi="宋体" w:cs="宋体"/>
          <w:color w:val="auto"/>
          <w:szCs w:val="21"/>
          <w:highlight w:val="none"/>
        </w:rPr>
      </w:pPr>
      <w:r>
        <w:rPr>
          <w:rFonts w:hint="eastAsia" w:ascii="宋体" w:hAnsi="宋体" w:cs="宋体"/>
          <w:color w:val="auto"/>
          <w:szCs w:val="21"/>
          <w:highlight w:val="none"/>
        </w:rPr>
        <w:t>b.招标人直接或间接向投标人泄露标底、评标委员会成员等信息；</w:t>
      </w:r>
    </w:p>
    <w:p>
      <w:pPr>
        <w:spacing w:line="480" w:lineRule="exact"/>
        <w:ind w:left="480"/>
        <w:rPr>
          <w:rFonts w:hint="eastAsia" w:ascii="宋体" w:hAnsi="宋体" w:cs="宋体"/>
          <w:color w:val="auto"/>
          <w:szCs w:val="21"/>
          <w:highlight w:val="none"/>
        </w:rPr>
      </w:pPr>
      <w:r>
        <w:rPr>
          <w:rFonts w:hint="eastAsia" w:ascii="宋体" w:hAnsi="宋体" w:cs="宋体"/>
          <w:color w:val="auto"/>
          <w:szCs w:val="21"/>
          <w:highlight w:val="none"/>
        </w:rPr>
        <w:t>c.招标人明示或暗示投标人压低或抬高投标报价；</w:t>
      </w:r>
    </w:p>
    <w:p>
      <w:pPr>
        <w:spacing w:line="480" w:lineRule="exact"/>
        <w:ind w:left="480"/>
        <w:rPr>
          <w:rFonts w:hint="eastAsia" w:ascii="宋体" w:hAnsi="宋体" w:cs="宋体"/>
          <w:color w:val="auto"/>
          <w:szCs w:val="21"/>
          <w:highlight w:val="none"/>
        </w:rPr>
      </w:pPr>
      <w:r>
        <w:rPr>
          <w:rFonts w:hint="eastAsia" w:ascii="宋体" w:hAnsi="宋体" w:cs="宋体"/>
          <w:color w:val="auto"/>
          <w:szCs w:val="21"/>
          <w:highlight w:val="none"/>
        </w:rPr>
        <w:t>d.招标人授意投标人撤换、修改投标文件；</w:t>
      </w:r>
    </w:p>
    <w:p>
      <w:pPr>
        <w:spacing w:line="480" w:lineRule="exact"/>
        <w:ind w:left="480"/>
        <w:rPr>
          <w:rFonts w:hint="eastAsia" w:ascii="宋体" w:hAnsi="宋体" w:cs="宋体"/>
          <w:color w:val="auto"/>
          <w:szCs w:val="21"/>
          <w:highlight w:val="none"/>
        </w:rPr>
      </w:pPr>
      <w:r>
        <w:rPr>
          <w:rFonts w:hint="eastAsia" w:ascii="宋体" w:hAnsi="宋体" w:cs="宋体"/>
          <w:color w:val="auto"/>
          <w:szCs w:val="21"/>
          <w:highlight w:val="none"/>
        </w:rPr>
        <w:t>e.招标人明示或暗示投标人为特定投标人中标提供方便；</w:t>
      </w:r>
    </w:p>
    <w:p>
      <w:pPr>
        <w:spacing w:line="480" w:lineRule="exact"/>
        <w:ind w:left="480"/>
        <w:rPr>
          <w:rFonts w:hint="eastAsia" w:ascii="宋体" w:hAnsi="宋体" w:cs="宋体"/>
          <w:color w:val="auto"/>
          <w:szCs w:val="21"/>
          <w:highlight w:val="none"/>
        </w:rPr>
      </w:pPr>
      <w:r>
        <w:rPr>
          <w:rFonts w:hint="eastAsia" w:ascii="宋体" w:hAnsi="宋体" w:cs="宋体"/>
          <w:color w:val="auto"/>
          <w:szCs w:val="21"/>
          <w:highlight w:val="none"/>
        </w:rPr>
        <w:t>f.招标人与投标人为谋求特定投标人中标而采取的其他串通行为。</w:t>
      </w:r>
    </w:p>
    <w:p>
      <w:pPr>
        <w:spacing w:line="480" w:lineRule="exact"/>
        <w:ind w:left="480"/>
        <w:rPr>
          <w:rFonts w:hint="eastAsia" w:ascii="宋体" w:hAnsi="宋体" w:cs="宋体"/>
          <w:color w:val="auto"/>
          <w:szCs w:val="21"/>
          <w:highlight w:val="none"/>
        </w:rPr>
      </w:pPr>
      <w:r>
        <w:rPr>
          <w:rFonts w:hint="eastAsia" w:ascii="宋体" w:hAnsi="宋体" w:cs="宋体"/>
          <w:color w:val="auto"/>
          <w:szCs w:val="21"/>
          <w:highlight w:val="none"/>
        </w:rPr>
        <w:t>（4）投标人有下列情形之一的，属于弄虚作假的行为：</w:t>
      </w:r>
    </w:p>
    <w:p>
      <w:pPr>
        <w:spacing w:line="480" w:lineRule="exact"/>
        <w:ind w:left="480"/>
        <w:rPr>
          <w:rFonts w:hint="eastAsia" w:ascii="宋体" w:hAnsi="宋体" w:cs="宋体"/>
          <w:color w:val="auto"/>
          <w:szCs w:val="21"/>
          <w:highlight w:val="none"/>
        </w:rPr>
      </w:pPr>
      <w:r>
        <w:rPr>
          <w:rFonts w:hint="eastAsia" w:ascii="宋体" w:hAnsi="宋体" w:cs="宋体"/>
          <w:color w:val="auto"/>
          <w:szCs w:val="21"/>
          <w:highlight w:val="none"/>
        </w:rPr>
        <w:t>a.使用通过受让或租借等方式获取的资格、资质证书投标；</w:t>
      </w:r>
    </w:p>
    <w:p>
      <w:pPr>
        <w:spacing w:line="480" w:lineRule="exact"/>
        <w:ind w:left="480"/>
        <w:rPr>
          <w:rFonts w:hint="eastAsia" w:ascii="宋体" w:hAnsi="宋体" w:cs="宋体"/>
          <w:color w:val="auto"/>
          <w:szCs w:val="21"/>
          <w:highlight w:val="none"/>
        </w:rPr>
      </w:pPr>
      <w:r>
        <w:rPr>
          <w:rFonts w:hint="eastAsia" w:ascii="宋体" w:hAnsi="宋体" w:cs="宋体"/>
          <w:color w:val="auto"/>
          <w:szCs w:val="21"/>
          <w:highlight w:val="none"/>
        </w:rPr>
        <w:t>b.使用伪造、变造的许可证件；</w:t>
      </w:r>
    </w:p>
    <w:p>
      <w:pPr>
        <w:spacing w:line="480" w:lineRule="exact"/>
        <w:ind w:left="480"/>
        <w:rPr>
          <w:rFonts w:hint="eastAsia" w:ascii="宋体" w:hAnsi="宋体" w:cs="宋体"/>
          <w:color w:val="auto"/>
          <w:szCs w:val="21"/>
          <w:highlight w:val="none"/>
        </w:rPr>
      </w:pPr>
      <w:r>
        <w:rPr>
          <w:rFonts w:hint="eastAsia" w:ascii="宋体" w:hAnsi="宋体" w:cs="宋体"/>
          <w:color w:val="auto"/>
          <w:szCs w:val="21"/>
          <w:highlight w:val="none"/>
        </w:rPr>
        <w:t>c.提供虚假的财务状况或业绩；</w:t>
      </w:r>
    </w:p>
    <w:p>
      <w:pPr>
        <w:spacing w:line="480" w:lineRule="exact"/>
        <w:ind w:left="480"/>
        <w:rPr>
          <w:rFonts w:hint="eastAsia" w:ascii="宋体" w:hAnsi="宋体" w:cs="宋体"/>
          <w:color w:val="auto"/>
          <w:szCs w:val="21"/>
          <w:highlight w:val="none"/>
        </w:rPr>
      </w:pPr>
      <w:r>
        <w:rPr>
          <w:rFonts w:hint="eastAsia" w:ascii="宋体" w:hAnsi="宋体" w:cs="宋体"/>
          <w:color w:val="auto"/>
          <w:szCs w:val="21"/>
          <w:highlight w:val="none"/>
        </w:rPr>
        <w:t>d.提供虚假的项目负责人或主要技术人员简历、劳动关系证明；</w:t>
      </w:r>
    </w:p>
    <w:p>
      <w:pPr>
        <w:spacing w:line="480" w:lineRule="exact"/>
        <w:ind w:left="480"/>
        <w:rPr>
          <w:rFonts w:hint="eastAsia" w:ascii="宋体" w:hAnsi="宋体" w:cs="宋体"/>
          <w:color w:val="auto"/>
          <w:szCs w:val="21"/>
          <w:highlight w:val="none"/>
        </w:rPr>
      </w:pPr>
      <w:r>
        <w:rPr>
          <w:rFonts w:hint="eastAsia" w:ascii="宋体" w:hAnsi="宋体" w:cs="宋体"/>
          <w:color w:val="auto"/>
          <w:szCs w:val="21"/>
          <w:highlight w:val="none"/>
        </w:rPr>
        <w:t>e.提供虚假的信用状况；</w:t>
      </w:r>
    </w:p>
    <w:p>
      <w:pPr>
        <w:spacing w:line="480" w:lineRule="exact"/>
        <w:ind w:left="480"/>
        <w:rPr>
          <w:rFonts w:hint="eastAsia" w:ascii="宋体" w:hAnsi="宋体" w:cs="宋体"/>
          <w:color w:val="auto"/>
          <w:szCs w:val="21"/>
          <w:highlight w:val="none"/>
        </w:rPr>
      </w:pPr>
      <w:r>
        <w:rPr>
          <w:rFonts w:hint="eastAsia" w:ascii="宋体" w:hAnsi="宋体" w:cs="宋体"/>
          <w:color w:val="auto"/>
          <w:szCs w:val="21"/>
          <w:highlight w:val="none"/>
        </w:rPr>
        <w:t>f.其他弄虚作假的行为。</w:t>
      </w:r>
    </w:p>
    <w:p>
      <w:pPr>
        <w:widowControl/>
        <w:numPr>
          <w:ilvl w:val="0"/>
          <w:numId w:val="6"/>
        </w:numPr>
        <w:tabs>
          <w:tab w:val="left" w:pos="480"/>
        </w:tabs>
        <w:spacing w:line="480" w:lineRule="exact"/>
        <w:ind w:left="480" w:hanging="476"/>
        <w:rPr>
          <w:rFonts w:hint="eastAsia" w:ascii="宋体" w:hAnsi="宋体" w:cs="宋体"/>
          <w:b/>
          <w:color w:val="auto"/>
          <w:sz w:val="28"/>
          <w:szCs w:val="28"/>
          <w:highlight w:val="none"/>
        </w:rPr>
      </w:pPr>
      <w:r>
        <w:rPr>
          <w:rFonts w:hint="eastAsia" w:ascii="宋体" w:hAnsi="宋体" w:cs="宋体"/>
          <w:b/>
          <w:color w:val="auto"/>
          <w:sz w:val="28"/>
          <w:szCs w:val="28"/>
          <w:highlight w:val="none"/>
        </w:rPr>
        <w:t>投标文件的澄清和说明</w:t>
      </w:r>
    </w:p>
    <w:p>
      <w:pPr>
        <w:widowControl/>
        <w:numPr>
          <w:ilvl w:val="1"/>
          <w:numId w:val="6"/>
        </w:numPr>
        <w:tabs>
          <w:tab w:val="left" w:pos="1080"/>
        </w:tabs>
        <w:spacing w:line="480" w:lineRule="exact"/>
        <w:ind w:right="120" w:firstLine="484"/>
        <w:rPr>
          <w:rFonts w:hint="eastAsia" w:ascii="宋体" w:hAnsi="宋体" w:cs="宋体"/>
          <w:color w:val="auto"/>
          <w:szCs w:val="21"/>
          <w:highlight w:val="none"/>
        </w:rPr>
      </w:pPr>
      <w:r>
        <w:rPr>
          <w:rFonts w:hint="eastAsia" w:ascii="宋体" w:hAnsi="宋体" w:cs="宋体"/>
          <w:color w:val="auto"/>
          <w:szCs w:val="21"/>
          <w:highlight w:val="none"/>
        </w:rPr>
        <w:t>在评标过程中，评标委员会可以书面形式要求投标人对投标文件中含义不 明确的内容、明显文字或计算错误进行书面澄清或说明。评标委员会不接受投标人 主动提出的澄清、说明。投标人不按评标委员会要求澄清或说明的，评标委员会应 否决其投标。</w:t>
      </w:r>
    </w:p>
    <w:p>
      <w:pPr>
        <w:widowControl/>
        <w:numPr>
          <w:ilvl w:val="1"/>
          <w:numId w:val="6"/>
        </w:numPr>
        <w:tabs>
          <w:tab w:val="left" w:pos="1080"/>
        </w:tabs>
        <w:spacing w:line="480" w:lineRule="exact"/>
        <w:ind w:right="120" w:firstLine="484"/>
        <w:rPr>
          <w:rFonts w:hint="eastAsia" w:ascii="宋体" w:hAnsi="宋体" w:cs="宋体"/>
          <w:color w:val="auto"/>
          <w:szCs w:val="21"/>
          <w:highlight w:val="none"/>
        </w:rPr>
      </w:pPr>
      <w:r>
        <w:rPr>
          <w:rFonts w:hint="eastAsia" w:ascii="宋体" w:hAnsi="宋体" w:cs="宋体"/>
          <w:color w:val="auto"/>
          <w:szCs w:val="21"/>
          <w:highlight w:val="none"/>
        </w:rPr>
        <w:t>澄清和说明不得超出投标文件的范围或改变投标文件的实质性内容（算术 性错误的修正除外）。投标人的书面澄清、说明属于投标文件的组成部分。</w:t>
      </w:r>
    </w:p>
    <w:p>
      <w:pPr>
        <w:widowControl/>
        <w:numPr>
          <w:ilvl w:val="1"/>
          <w:numId w:val="6"/>
        </w:numPr>
        <w:tabs>
          <w:tab w:val="left" w:pos="1080"/>
        </w:tabs>
        <w:spacing w:line="480" w:lineRule="exact"/>
        <w:ind w:firstLine="484"/>
        <w:rPr>
          <w:rFonts w:hint="eastAsia" w:ascii="宋体" w:hAnsi="宋体" w:cs="宋体"/>
          <w:color w:val="auto"/>
          <w:szCs w:val="21"/>
          <w:highlight w:val="none"/>
        </w:rPr>
      </w:pPr>
      <w:r>
        <w:rPr>
          <w:rFonts w:hint="eastAsia" w:ascii="宋体" w:hAnsi="宋体" w:cs="宋体"/>
          <w:color w:val="auto"/>
          <w:szCs w:val="21"/>
          <w:highlight w:val="none"/>
        </w:rPr>
        <w:t>评标委员会不得暗示或诱导投标人作出澄清、说明，对投标人提交的澄清、 说明有疑问的，可以要求投标人进一步澄清或说明，直至满足评标委员会的要求。</w:t>
      </w:r>
    </w:p>
    <w:p>
      <w:pPr>
        <w:widowControl/>
        <w:tabs>
          <w:tab w:val="left" w:pos="1080"/>
        </w:tabs>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3.7.4凡超出招标文件规定的或给发包人带来未曾要求的利益的变化、偏差或其他因素在评标时不予考虑。</w:t>
      </w:r>
    </w:p>
    <w:p>
      <w:pPr>
        <w:widowControl/>
        <w:numPr>
          <w:ilvl w:val="0"/>
          <w:numId w:val="6"/>
        </w:numPr>
        <w:tabs>
          <w:tab w:val="left" w:pos="480"/>
        </w:tabs>
        <w:spacing w:line="480" w:lineRule="exact"/>
        <w:ind w:left="480" w:hanging="476"/>
        <w:rPr>
          <w:rFonts w:hint="eastAsia" w:ascii="宋体" w:hAnsi="宋体" w:cs="宋体"/>
          <w:b/>
          <w:color w:val="auto"/>
          <w:sz w:val="28"/>
          <w:szCs w:val="28"/>
          <w:highlight w:val="none"/>
        </w:rPr>
      </w:pPr>
      <w:r>
        <w:rPr>
          <w:rFonts w:hint="eastAsia" w:ascii="宋体" w:hAnsi="宋体" w:cs="宋体"/>
          <w:b/>
          <w:color w:val="auto"/>
          <w:sz w:val="28"/>
          <w:szCs w:val="28"/>
          <w:highlight w:val="none"/>
        </w:rPr>
        <w:t>不得否决投标的情形</w:t>
      </w:r>
    </w:p>
    <w:p>
      <w:pPr>
        <w:spacing w:line="480" w:lineRule="exact"/>
        <w:ind w:left="4" w:firstLine="525" w:firstLineChars="250"/>
        <w:rPr>
          <w:rFonts w:hint="eastAsia" w:ascii="宋体" w:hAnsi="宋体" w:cs="宋体"/>
          <w:color w:val="auto"/>
          <w:szCs w:val="21"/>
          <w:highlight w:val="none"/>
        </w:rPr>
      </w:pPr>
      <w:r>
        <w:rPr>
          <w:rFonts w:hint="eastAsia" w:ascii="宋体" w:hAnsi="宋体" w:cs="宋体"/>
          <w:color w:val="auto"/>
          <w:szCs w:val="21"/>
          <w:highlight w:val="none"/>
        </w:rPr>
        <w:t>投标文件存在第二章“投标人须知”第 1.12.3 项所列情形的，均视为细微偏差，评标委员会不得否决投标人的投标，应按照第二章“投标人须知”第 1.12.4 项规定的原则处理。</w:t>
      </w:r>
    </w:p>
    <w:p>
      <w:pPr>
        <w:widowControl/>
        <w:numPr>
          <w:ilvl w:val="0"/>
          <w:numId w:val="7"/>
        </w:numPr>
        <w:tabs>
          <w:tab w:val="left" w:pos="480"/>
        </w:tabs>
        <w:spacing w:line="480" w:lineRule="exact"/>
        <w:ind w:left="480" w:hanging="476"/>
        <w:rPr>
          <w:rFonts w:hint="eastAsia" w:ascii="宋体" w:hAnsi="宋体" w:cs="宋体"/>
          <w:b/>
          <w:color w:val="auto"/>
          <w:sz w:val="28"/>
          <w:szCs w:val="28"/>
          <w:highlight w:val="none"/>
        </w:rPr>
      </w:pPr>
      <w:r>
        <w:rPr>
          <w:rFonts w:hint="eastAsia" w:ascii="宋体" w:hAnsi="宋体" w:cs="宋体"/>
          <w:b/>
          <w:color w:val="auto"/>
          <w:sz w:val="28"/>
          <w:szCs w:val="28"/>
          <w:highlight w:val="none"/>
        </w:rPr>
        <w:t>评标结果</w:t>
      </w:r>
    </w:p>
    <w:p>
      <w:pPr>
        <w:widowControl/>
        <w:numPr>
          <w:ilvl w:val="1"/>
          <w:numId w:val="7"/>
        </w:numPr>
        <w:tabs>
          <w:tab w:val="left" w:pos="1022"/>
        </w:tabs>
        <w:spacing w:line="480" w:lineRule="exact"/>
        <w:ind w:right="120" w:firstLine="484"/>
        <w:rPr>
          <w:rFonts w:hint="eastAsia" w:ascii="宋体" w:hAnsi="宋体" w:cs="宋体"/>
          <w:color w:val="auto"/>
          <w:szCs w:val="21"/>
          <w:highlight w:val="none"/>
        </w:rPr>
      </w:pPr>
      <w:r>
        <w:rPr>
          <w:rFonts w:hint="eastAsia" w:ascii="宋体" w:hAnsi="宋体" w:cs="宋体"/>
          <w:color w:val="auto"/>
          <w:szCs w:val="21"/>
          <w:highlight w:val="none"/>
        </w:rPr>
        <w:t>除第二章“投标人须知”前附表授权直接确定中标人外，评标委员会按照评标价由低到高的顺序推荐中标候选人，并标明排序。</w:t>
      </w:r>
    </w:p>
    <w:p>
      <w:pPr>
        <w:widowControl/>
        <w:numPr>
          <w:ilvl w:val="1"/>
          <w:numId w:val="7"/>
        </w:numPr>
        <w:tabs>
          <w:tab w:val="left" w:pos="1080"/>
        </w:tabs>
        <w:spacing w:line="480" w:lineRule="exact"/>
        <w:ind w:left="1080" w:hanging="596"/>
        <w:rPr>
          <w:rFonts w:hint="eastAsia" w:ascii="宋体" w:hAnsi="宋体" w:cs="宋体"/>
          <w:color w:val="auto"/>
          <w:sz w:val="24"/>
          <w:highlight w:val="none"/>
        </w:rPr>
      </w:pPr>
      <w:r>
        <w:rPr>
          <w:rFonts w:hint="eastAsia" w:ascii="宋体" w:hAnsi="宋体" w:cs="宋体"/>
          <w:color w:val="auto"/>
          <w:szCs w:val="21"/>
          <w:highlight w:val="none"/>
        </w:rPr>
        <w:t>评标委员会完成评标后，应向招标人提交书面评标报告</w:t>
      </w:r>
      <w:r>
        <w:rPr>
          <w:rFonts w:hint="eastAsia" w:ascii="宋体" w:hAnsi="宋体" w:cs="宋体"/>
          <w:color w:val="auto"/>
          <w:sz w:val="24"/>
          <w:highlight w:val="none"/>
        </w:rPr>
        <w:t>。</w:t>
      </w:r>
    </w:p>
    <w:p>
      <w:pPr>
        <w:pStyle w:val="2"/>
        <w:rPr>
          <w:rFonts w:hint="default" w:ascii="宋体" w:hAnsi="宋体" w:cs="Arial"/>
          <w:color w:val="auto"/>
          <w:sz w:val="21"/>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796"/>
    <w:multiLevelType w:val="multilevel"/>
    <w:tmpl w:val="00001796"/>
    <w:lvl w:ilvl="0" w:tentative="0">
      <w:start w:val="5"/>
      <w:numFmt w:val="decimal"/>
      <w:lvlText w:val="3.%1"/>
      <w:lvlJc w:val="left"/>
    </w:lvl>
    <w:lvl w:ilvl="1" w:tentative="0">
      <w:start w:val="1"/>
      <w:numFmt w:val="decimal"/>
      <w:lvlText w:val="3.5.%2"/>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000470E"/>
    <w:multiLevelType w:val="multilevel"/>
    <w:tmpl w:val="0000470E"/>
    <w:lvl w:ilvl="0" w:tentative="0">
      <w:start w:val="7"/>
      <w:numFmt w:val="decimal"/>
      <w:lvlText w:val="3.%1"/>
      <w:lvlJc w:val="left"/>
    </w:lvl>
    <w:lvl w:ilvl="1" w:tentative="0">
      <w:start w:val="1"/>
      <w:numFmt w:val="decimal"/>
      <w:lvlText w:val="3.7.%2"/>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000486A"/>
    <w:multiLevelType w:val="multilevel"/>
    <w:tmpl w:val="0000486A"/>
    <w:lvl w:ilvl="0" w:tentative="0">
      <w:start w:val="4"/>
      <w:numFmt w:val="decimal"/>
      <w:lvlText w:val="3.%1"/>
      <w:lvlJc w:val="left"/>
    </w:lvl>
    <w:lvl w:ilvl="1" w:tentative="0">
      <w:start w:val="1"/>
      <w:numFmt w:val="decimal"/>
      <w:lvlText w:val="3.4.%2"/>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0004FF8"/>
    <w:multiLevelType w:val="multilevel"/>
    <w:tmpl w:val="00004FF8"/>
    <w:lvl w:ilvl="0" w:tentative="0">
      <w:start w:val="2"/>
      <w:numFmt w:val="decimal"/>
      <w:lvlText w:val="3.%1"/>
      <w:lvlJc w:val="left"/>
    </w:lvl>
    <w:lvl w:ilvl="1" w:tentative="0">
      <w:start w:val="1"/>
      <w:numFmt w:val="decimal"/>
      <w:lvlText w:val="3.2.%2"/>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000513E"/>
    <w:multiLevelType w:val="multilevel"/>
    <w:tmpl w:val="0000513E"/>
    <w:lvl w:ilvl="0" w:tentative="0">
      <w:start w:val="1"/>
      <w:numFmt w:val="decimal"/>
      <w:lvlText w:val="%1"/>
      <w:lvlJc w:val="left"/>
    </w:lvl>
    <w:lvl w:ilvl="1" w:tentative="0">
      <w:start w:val="3"/>
      <w:numFmt w:val="decimal"/>
      <w:lvlText w:val="2.2.%2"/>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00005E73"/>
    <w:multiLevelType w:val="multilevel"/>
    <w:tmpl w:val="00005E73"/>
    <w:lvl w:ilvl="0" w:tentative="0">
      <w:start w:val="6"/>
      <w:numFmt w:val="decimal"/>
      <w:lvlText w:val="3.%1"/>
      <w:lvlJc w:val="left"/>
    </w:lvl>
    <w:lvl w:ilvl="1" w:tentative="0">
      <w:start w:val="1"/>
      <w:numFmt w:val="decimal"/>
      <w:lvlText w:val="3.6.%2"/>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000073D9"/>
    <w:multiLevelType w:val="multilevel"/>
    <w:tmpl w:val="000073D9"/>
    <w:lvl w:ilvl="0" w:tentative="0">
      <w:start w:val="9"/>
      <w:numFmt w:val="decimal"/>
      <w:lvlText w:val="3.%1"/>
      <w:lvlJc w:val="left"/>
    </w:lvl>
    <w:lvl w:ilvl="1" w:tentative="0">
      <w:start w:val="1"/>
      <w:numFmt w:val="decimal"/>
      <w:lvlText w:val="3.9.%2"/>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4"/>
  </w:num>
  <w:num w:numId="2">
    <w:abstractNumId w:val="3"/>
  </w:num>
  <w:num w:numId="3">
    <w:abstractNumId w:val="2"/>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F34C7C"/>
    <w:rsid w:val="77CE6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widowControl/>
      <w:spacing w:before="120" w:after="120" w:line="360" w:lineRule="auto"/>
      <w:jc w:val="left"/>
      <w:outlineLvl w:val="2"/>
    </w:pPr>
    <w:rPr>
      <w:b/>
      <w:kern w:val="0"/>
      <w:sz w:val="32"/>
      <w:szCs w:val="20"/>
    </w:rPr>
  </w:style>
  <w:style w:type="paragraph" w:styleId="4">
    <w:name w:val="heading 4"/>
    <w:basedOn w:val="1"/>
    <w:next w:val="5"/>
    <w:qFormat/>
    <w:uiPriority w:val="0"/>
    <w:pPr>
      <w:keepNext/>
      <w:adjustRightInd w:val="0"/>
      <w:spacing w:line="420" w:lineRule="atLeast"/>
      <w:jc w:val="left"/>
      <w:textAlignment w:val="baseline"/>
      <w:outlineLvl w:val="3"/>
    </w:pPr>
    <w:rPr>
      <w:kern w:val="0"/>
      <w:szCs w:val="20"/>
    </w:rPr>
  </w:style>
  <w:style w:type="paragraph" w:styleId="6">
    <w:name w:val="heading 5"/>
    <w:basedOn w:val="1"/>
    <w:next w:val="1"/>
    <w:qFormat/>
    <w:uiPriority w:val="0"/>
    <w:pPr>
      <w:keepNext/>
      <w:keepLines/>
      <w:spacing w:before="280" w:after="290" w:line="376" w:lineRule="auto"/>
      <w:outlineLvl w:val="4"/>
    </w:pPr>
    <w:rPr>
      <w:b/>
      <w:sz w:val="28"/>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0"/>
      <w:sz w:val="18"/>
      <w:szCs w:val="18"/>
    </w:rPr>
  </w:style>
  <w:style w:type="paragraph" w:styleId="5">
    <w:name w:val="Normal Indent"/>
    <w:basedOn w:val="1"/>
    <w:qFormat/>
    <w:uiPriority w:val="0"/>
    <w:pPr>
      <w:ind w:firstLine="420" w:firstLineChars="200"/>
    </w:pPr>
  </w:style>
  <w:style w:type="paragraph" w:customStyle="1" w:styleId="9">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10">
    <w:name w:val="p0"/>
    <w:basedOn w:val="1"/>
    <w:qFormat/>
    <w:uiPriority w:val="99"/>
    <w:pPr>
      <w:widowControl/>
    </w:pPr>
    <w:rPr>
      <w:kern w:val="0"/>
      <w:szCs w:val="21"/>
    </w:rPr>
  </w:style>
  <w:style w:type="paragraph" w:customStyle="1" w:styleId="11">
    <w:name w:val="Table Paragraph"/>
    <w:basedOn w:val="1"/>
    <w:qFormat/>
    <w:uiPriority w:val="1"/>
    <w:pPr>
      <w:autoSpaceDE w:val="0"/>
      <w:autoSpaceDN w:val="0"/>
      <w:adjustRightInd w:val="0"/>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Office_11.1.0.9587_F1E327BC-269C-435d-A152-05C5408002CA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2020-04-17T07:16:00Z</dcterms:created>
  <dc:creator>86136</dc:creator>
  <cp:lastModifiedBy>Administrator</cp:lastModifiedBy>
  <dcterms:modified xsi:type="dcterms:W3CDTF">2020-04-17T09:09:59Z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2052-11.1.0.9587</vt:lpwstr>
  </property>
</Properties>
</file>