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Autospacing="0" w:afterAutospacing="0" w:line="360" w:lineRule="auto"/>
        <w:jc w:val="left"/>
        <w:rPr>
          <w:rFonts w:hint="eastAsia"/>
          <w:b/>
          <w:bCs/>
          <w:color w:val="auto"/>
          <w:sz w:val="28"/>
          <w:szCs w:val="28"/>
          <w:lang w:val="en-US" w:eastAsia="zh-CN"/>
        </w:rPr>
      </w:pPr>
      <w:bookmarkStart w:id="34" w:name="_GoBack"/>
      <w:bookmarkEnd w:id="34"/>
      <w:r>
        <w:rPr>
          <w:rFonts w:hint="eastAsia"/>
          <w:b/>
          <w:bCs/>
          <w:color w:val="auto"/>
          <w:sz w:val="28"/>
          <w:szCs w:val="28"/>
          <w:lang w:val="en-US" w:eastAsia="zh-CN"/>
        </w:rPr>
        <w:t>附件：本项目投标人资格审查条件和评标办法</w:t>
      </w:r>
    </w:p>
    <w:p>
      <w:pPr>
        <w:pStyle w:val="6"/>
        <w:spacing w:beforeAutospacing="0" w:afterAutospacing="0" w:line="360" w:lineRule="auto"/>
        <w:jc w:val="left"/>
        <w:rPr>
          <w:rFonts w:hint="eastAsia" w:ascii="宋体" w:hAnsi="宋体" w:eastAsia="宋体" w:cs="宋体"/>
          <w:b/>
          <w:bCs/>
          <w:color w:val="auto"/>
          <w:kern w:val="2"/>
          <w:sz w:val="24"/>
          <w:szCs w:val="24"/>
          <w:lang w:val="en-US" w:eastAsia="zh-CN" w:bidi="ar-SA"/>
        </w:rPr>
      </w:pPr>
    </w:p>
    <w:p>
      <w:pPr>
        <w:spacing w:line="400" w:lineRule="exact"/>
        <w:rPr>
          <w:rFonts w:hint="eastAsia" w:ascii="宋体" w:hAnsi="宋体" w:eastAsia="宋体" w:cs="宋体"/>
          <w:b/>
          <w:bCs/>
          <w:color w:val="auto"/>
          <w:kern w:val="2"/>
          <w:sz w:val="32"/>
          <w:szCs w:val="32"/>
          <w:lang w:val="en-US" w:eastAsia="zh-CN" w:bidi="ar-SA"/>
        </w:rPr>
      </w:pPr>
      <w:r>
        <w:rPr>
          <w:rFonts w:hint="eastAsia" w:ascii="宋体" w:hAnsi="宋体" w:cs="宋体"/>
          <w:b/>
          <w:bCs/>
          <w:color w:val="auto"/>
          <w:kern w:val="2"/>
          <w:sz w:val="32"/>
          <w:szCs w:val="32"/>
          <w:lang w:val="en-US" w:eastAsia="zh-CN" w:bidi="ar-SA"/>
        </w:rPr>
        <w:t>投标人</w:t>
      </w:r>
      <w:r>
        <w:rPr>
          <w:rFonts w:hint="eastAsia" w:ascii="宋体" w:hAnsi="宋体" w:eastAsia="宋体" w:cs="宋体"/>
          <w:b/>
          <w:bCs/>
          <w:color w:val="auto"/>
          <w:kern w:val="2"/>
          <w:sz w:val="32"/>
          <w:szCs w:val="32"/>
          <w:lang w:val="en-US" w:eastAsia="zh-CN" w:bidi="ar-SA"/>
        </w:rPr>
        <w:t>资质条件：</w:t>
      </w:r>
    </w:p>
    <w:p>
      <w:pPr>
        <w:spacing w:line="400" w:lineRule="exact"/>
        <w:ind w:firstLine="240" w:firstLineChars="100"/>
        <w:rPr>
          <w:rFonts w:ascii="宋体" w:hAnsi="宋体" w:cs="宋体"/>
          <w:b w:val="0"/>
          <w:bCs w:val="0"/>
          <w:color w:val="auto"/>
          <w:kern w:val="0"/>
          <w:sz w:val="24"/>
          <w:szCs w:val="24"/>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一</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投标人应同时具有</w:t>
      </w:r>
    </w:p>
    <w:p>
      <w:pPr>
        <w:spacing w:line="400" w:lineRule="exact"/>
        <w:ind w:firstLine="240" w:firstLineChars="100"/>
        <w:rPr>
          <w:rFonts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w:t>
      </w:r>
      <w:r>
        <w:rPr>
          <w:rFonts w:hint="eastAsia" w:ascii="宋体" w:hAnsi="宋体" w:cs="宋体"/>
          <w:b w:val="0"/>
          <w:bCs w:val="0"/>
          <w:color w:val="auto"/>
          <w:kern w:val="0"/>
          <w:sz w:val="24"/>
          <w:szCs w:val="24"/>
        </w:rPr>
        <w:t>电力行业工程设计乙级及以上资质；</w:t>
      </w:r>
    </w:p>
    <w:p>
      <w:pPr>
        <w:spacing w:line="400" w:lineRule="exact"/>
        <w:ind w:firstLine="240" w:firstLineChars="100"/>
        <w:rPr>
          <w:rFonts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2.</w:t>
      </w:r>
      <w:r>
        <w:rPr>
          <w:rFonts w:hint="eastAsia" w:ascii="宋体" w:hAnsi="宋体" w:cs="宋体"/>
          <w:b w:val="0"/>
          <w:bCs w:val="0"/>
          <w:color w:val="auto"/>
          <w:kern w:val="0"/>
          <w:sz w:val="24"/>
          <w:szCs w:val="24"/>
        </w:rPr>
        <w:t>建设行政主管部门核发的电力工程施工总承包叁级及以上资质（或输变电工程专业承包叁级及以上资质）和有效的《承装（修、试）电力设施许可证》承装、承试类三级及以上许可；</w:t>
      </w:r>
    </w:p>
    <w:p>
      <w:pPr>
        <w:spacing w:line="400" w:lineRule="exact"/>
        <w:ind w:firstLine="240" w:firstLineChars="100"/>
        <w:rPr>
          <w:rFonts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3.</w:t>
      </w:r>
      <w:r>
        <w:rPr>
          <w:rFonts w:hint="eastAsia" w:ascii="宋体" w:hAnsi="宋体" w:cs="宋体"/>
          <w:b w:val="0"/>
          <w:bCs w:val="0"/>
          <w:color w:val="auto"/>
          <w:kern w:val="0"/>
          <w:sz w:val="24"/>
          <w:szCs w:val="24"/>
        </w:rPr>
        <w:t>独立法人。</w:t>
      </w:r>
    </w:p>
    <w:p>
      <w:pPr>
        <w:spacing w:line="400" w:lineRule="exact"/>
        <w:ind w:firstLine="240" w:firstLineChars="100"/>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二</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投标人具备合法有效的营业执照、资质证书、安全生产许可证书。</w:t>
      </w:r>
    </w:p>
    <w:p>
      <w:pPr>
        <w:pStyle w:val="2"/>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（三）</w:t>
      </w:r>
      <w:r>
        <w:rPr>
          <w:rFonts w:hint="eastAsia" w:ascii="宋体" w:hAnsi="宋体" w:eastAsia="宋体" w:cs="宋体"/>
          <w:b w:val="0"/>
          <w:bCs w:val="0"/>
          <w:color w:val="auto"/>
          <w:kern w:val="0"/>
          <w:sz w:val="24"/>
          <w:szCs w:val="24"/>
          <w:lang w:val="en-US" w:eastAsia="zh-CN" w:bidi="ar-SA"/>
        </w:rPr>
        <w:t>联合体投标的，联合体应由施工单位和设计单位组成，</w:t>
      </w:r>
      <w:r>
        <w:rPr>
          <w:rFonts w:hint="eastAsia" w:ascii="宋体" w:hAnsi="宋体" w:cs="宋体"/>
          <w:b w:val="0"/>
          <w:bCs w:val="0"/>
          <w:color w:val="auto"/>
          <w:kern w:val="0"/>
          <w:sz w:val="24"/>
          <w:szCs w:val="24"/>
          <w:lang w:val="en-US" w:eastAsia="zh-CN" w:bidi="ar-SA"/>
        </w:rPr>
        <w:t>均为独立法人，具备合法有效的营业执照；</w:t>
      </w:r>
      <w:r>
        <w:rPr>
          <w:rFonts w:hint="eastAsia" w:ascii="宋体" w:hAnsi="宋体" w:eastAsia="宋体" w:cs="宋体"/>
          <w:b w:val="0"/>
          <w:bCs w:val="0"/>
          <w:color w:val="auto"/>
          <w:kern w:val="0"/>
          <w:sz w:val="24"/>
          <w:szCs w:val="24"/>
          <w:lang w:val="en-US" w:eastAsia="zh-CN" w:bidi="ar-SA"/>
        </w:rPr>
        <w:t>联合体牵头人应为施工单位，联合体牵头人具备合法有效的电力工程施工总承包叁级及以上资质或输变电工程专业承包叁级及以上资质，同时具备合法有效的《承装（修、试）电力设施许可证》承装、承试类三级及以上许可证，持有有效的施工安全生产许可证。联合体成员设计单位，具备合法有效的建设行政主管部门颁发的电力行业工程设计乙级及以上资质。联合体成员不得超过两家。联合体的任何一方不得再与其他单位组成联合体再参加本次投标，否则均按否决投标处理。</w:t>
      </w:r>
    </w:p>
    <w:p>
      <w:pPr>
        <w:spacing w:line="400" w:lineRule="exact"/>
        <w:rPr>
          <w:rFonts w:ascii="宋体" w:hAnsi="宋体" w:cs="宋体"/>
          <w:b w:val="0"/>
          <w:bCs w:val="0"/>
          <w:color w:val="auto"/>
          <w:kern w:val="0"/>
          <w:sz w:val="24"/>
          <w:szCs w:val="24"/>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四</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财务要求：不作为资格审查标准。但作为评分标准。</w:t>
      </w:r>
    </w:p>
    <w:p>
      <w:pPr>
        <w:spacing w:line="400" w:lineRule="exact"/>
        <w:rPr>
          <w:rFonts w:ascii="宋体" w:hAnsi="宋体" w:cs="宋体"/>
          <w:b w:val="0"/>
          <w:bCs w:val="0"/>
          <w:color w:val="auto"/>
          <w:kern w:val="0"/>
          <w:sz w:val="24"/>
          <w:szCs w:val="24"/>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五</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业绩要求：不作为资格审查标准。但作为评分标准。</w:t>
      </w:r>
    </w:p>
    <w:p>
      <w:pPr>
        <w:spacing w:line="400" w:lineRule="exact"/>
        <w:rPr>
          <w:rFonts w:ascii="宋体" w:hAnsi="宋体"/>
          <w:b w:val="0"/>
          <w:bCs w:val="0"/>
          <w:color w:val="auto"/>
          <w:sz w:val="24"/>
          <w:szCs w:val="24"/>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六</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信誉要求：符合投标人须知1.4.3项要求</w:t>
      </w:r>
      <w:r>
        <w:rPr>
          <w:rFonts w:hint="eastAsia" w:ascii="宋体" w:hAnsi="宋体"/>
          <w:b w:val="0"/>
          <w:bCs w:val="0"/>
          <w:color w:val="auto"/>
          <w:sz w:val="24"/>
          <w:szCs w:val="24"/>
        </w:rPr>
        <w:t>（投标人必须在投标文件中以承诺书的形式对本条作出承诺以便评标专家进行评审，并对此承诺的真伪性承担一切责任）。</w:t>
      </w:r>
    </w:p>
    <w:p>
      <w:pPr>
        <w:spacing w:line="400" w:lineRule="exact"/>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七</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项目负责人（项目经理）资格：1名，应具备</w:t>
      </w:r>
      <w:r>
        <w:rPr>
          <w:rFonts w:hint="eastAsia" w:ascii="宋体" w:hAnsi="宋体" w:cs="宋体"/>
          <w:b w:val="0"/>
          <w:bCs w:val="0"/>
          <w:color w:val="auto"/>
          <w:kern w:val="0"/>
          <w:sz w:val="24"/>
          <w:szCs w:val="24"/>
          <w:lang w:val="en-US" w:eastAsia="zh-CN"/>
        </w:rPr>
        <w:t>有效的</w:t>
      </w:r>
      <w:r>
        <w:rPr>
          <w:rFonts w:hint="eastAsia" w:ascii="宋体" w:hAnsi="宋体" w:cs="宋体"/>
          <w:b w:val="0"/>
          <w:bCs w:val="0"/>
          <w:color w:val="auto"/>
          <w:kern w:val="0"/>
          <w:sz w:val="24"/>
          <w:szCs w:val="24"/>
        </w:rPr>
        <w:t>电力工程（或机电工程）专业贰级及以上注册建造师资格并取得安全考核合格证（B证）</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中级及以上技术职称，</w:t>
      </w:r>
      <w:r>
        <w:rPr>
          <w:rFonts w:ascii="宋体" w:hAnsi="宋体" w:cs="Arial"/>
          <w:b w:val="0"/>
          <w:bCs w:val="0"/>
          <w:color w:val="auto"/>
          <w:sz w:val="24"/>
          <w:szCs w:val="24"/>
        </w:rPr>
        <w:t>无在岗项目（指目前未在其他项目上任职，或虽在其他项目上任职但本项目中标后能够从该项目撤离）</w:t>
      </w:r>
      <w:r>
        <w:rPr>
          <w:rFonts w:hint="eastAsia" w:ascii="宋体" w:hAnsi="宋体" w:cs="宋体"/>
          <w:b w:val="0"/>
          <w:bCs w:val="0"/>
          <w:color w:val="auto"/>
          <w:kern w:val="0"/>
          <w:sz w:val="24"/>
          <w:szCs w:val="24"/>
        </w:rPr>
        <w:t>。</w:t>
      </w:r>
    </w:p>
    <w:p>
      <w:pPr>
        <w:spacing w:line="400" w:lineRule="exact"/>
        <w:rPr>
          <w:rFonts w:hint="eastAsia" w:ascii="宋体" w:hAnsi="宋体"/>
          <w:b w:val="0"/>
          <w:bCs w:val="0"/>
          <w:color w:val="auto"/>
          <w:sz w:val="24"/>
          <w:szCs w:val="24"/>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八</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设计负责人资格：1名，应具备电</w:t>
      </w:r>
      <w:r>
        <w:rPr>
          <w:rFonts w:hint="eastAsia" w:ascii="宋体" w:hAnsi="宋体"/>
          <w:b w:val="0"/>
          <w:bCs w:val="0"/>
          <w:color w:val="auto"/>
          <w:sz w:val="24"/>
          <w:szCs w:val="24"/>
        </w:rPr>
        <w:t>力工程（或机电工程）专业高级及以上职称证书或注册电气工程师资格证书，</w:t>
      </w:r>
      <w:r>
        <w:rPr>
          <w:rFonts w:ascii="宋体" w:hAnsi="宋体" w:cs="Arial"/>
          <w:b w:val="0"/>
          <w:bCs w:val="0"/>
          <w:color w:val="auto"/>
          <w:sz w:val="24"/>
          <w:szCs w:val="24"/>
        </w:rPr>
        <w:t>无在岗项目（指目前未在其他项目上任职，或虽在其他项目上任职但本项目中标后能够从该项目撤离）</w:t>
      </w:r>
      <w:r>
        <w:rPr>
          <w:rFonts w:hint="eastAsia" w:ascii="宋体" w:hAnsi="宋体"/>
          <w:b w:val="0"/>
          <w:bCs w:val="0"/>
          <w:color w:val="auto"/>
          <w:sz w:val="24"/>
          <w:szCs w:val="24"/>
        </w:rPr>
        <w:t>。</w:t>
      </w:r>
    </w:p>
    <w:p>
      <w:pPr>
        <w:spacing w:line="400" w:lineRule="exact"/>
        <w:rPr>
          <w:rFonts w:hint="eastAsia" w:ascii="宋体" w:hAnsi="宋体" w:cs="宋体"/>
          <w:b w:val="0"/>
          <w:bCs w:val="0"/>
          <w:color w:val="auto"/>
          <w:kern w:val="0"/>
          <w:sz w:val="24"/>
          <w:szCs w:val="24"/>
        </w:rPr>
      </w:pPr>
      <w:r>
        <w:rPr>
          <w:rFonts w:hint="eastAsia" w:ascii="宋体" w:hAnsi="宋体"/>
          <w:b w:val="0"/>
          <w:bCs w:val="0"/>
          <w:color w:val="auto"/>
          <w:sz w:val="24"/>
          <w:szCs w:val="24"/>
          <w:lang w:eastAsia="zh-CN"/>
        </w:rPr>
        <w:t>（</w:t>
      </w:r>
      <w:r>
        <w:rPr>
          <w:rFonts w:hint="eastAsia" w:ascii="宋体" w:hAnsi="宋体"/>
          <w:b w:val="0"/>
          <w:bCs w:val="0"/>
          <w:color w:val="auto"/>
          <w:sz w:val="24"/>
          <w:szCs w:val="24"/>
          <w:lang w:val="en-US" w:eastAsia="zh-CN"/>
        </w:rPr>
        <w:t>九</w:t>
      </w:r>
      <w:r>
        <w:rPr>
          <w:rFonts w:hint="eastAsia" w:ascii="宋体" w:hAnsi="宋体"/>
          <w:b w:val="0"/>
          <w:bCs w:val="0"/>
          <w:color w:val="auto"/>
          <w:sz w:val="24"/>
          <w:szCs w:val="24"/>
          <w:lang w:eastAsia="zh-CN"/>
        </w:rPr>
        <w:t>）</w:t>
      </w:r>
      <w:r>
        <w:rPr>
          <w:rFonts w:hint="eastAsia" w:ascii="宋体" w:hAnsi="宋体"/>
          <w:b w:val="0"/>
          <w:bCs w:val="0"/>
          <w:color w:val="auto"/>
          <w:sz w:val="24"/>
          <w:szCs w:val="24"/>
        </w:rPr>
        <w:t>施工负责人资格：</w:t>
      </w:r>
      <w:r>
        <w:rPr>
          <w:rFonts w:hint="eastAsia" w:ascii="宋体" w:hAnsi="宋体" w:cs="宋体"/>
          <w:b w:val="0"/>
          <w:bCs w:val="0"/>
          <w:color w:val="auto"/>
          <w:kern w:val="0"/>
          <w:sz w:val="24"/>
          <w:szCs w:val="24"/>
        </w:rPr>
        <w:t>1名，</w:t>
      </w:r>
      <w:r>
        <w:rPr>
          <w:rFonts w:hint="eastAsia" w:ascii="宋体" w:hAnsi="宋体"/>
          <w:b w:val="0"/>
          <w:bCs w:val="0"/>
          <w:color w:val="auto"/>
          <w:sz w:val="24"/>
          <w:szCs w:val="24"/>
        </w:rPr>
        <w:t>应取得</w:t>
      </w:r>
      <w:r>
        <w:rPr>
          <w:rFonts w:hint="eastAsia" w:ascii="宋体" w:hAnsi="宋体" w:cs="宋体"/>
          <w:b w:val="0"/>
          <w:bCs w:val="0"/>
          <w:color w:val="auto"/>
          <w:kern w:val="0"/>
          <w:sz w:val="24"/>
          <w:szCs w:val="24"/>
          <w:lang w:val="en-US" w:eastAsia="zh-CN"/>
        </w:rPr>
        <w:t>有效的</w:t>
      </w:r>
      <w:r>
        <w:rPr>
          <w:rFonts w:hint="eastAsia" w:ascii="宋体" w:hAnsi="宋体"/>
          <w:b w:val="0"/>
          <w:bCs w:val="0"/>
          <w:color w:val="auto"/>
          <w:sz w:val="24"/>
          <w:szCs w:val="24"/>
        </w:rPr>
        <w:t>电力工程（或机电工程）专业贰级及以上</w:t>
      </w:r>
      <w:r>
        <w:rPr>
          <w:rFonts w:hint="eastAsia" w:ascii="宋体" w:hAnsi="宋体" w:cs="宋体"/>
          <w:b w:val="0"/>
          <w:bCs w:val="0"/>
          <w:color w:val="auto"/>
          <w:kern w:val="0"/>
          <w:sz w:val="24"/>
          <w:szCs w:val="24"/>
        </w:rPr>
        <w:t>的注册建造师证并取得安全考核合格证（B证），</w:t>
      </w:r>
      <w:r>
        <w:rPr>
          <w:rFonts w:ascii="宋体" w:hAnsi="宋体" w:cs="Arial"/>
          <w:b w:val="0"/>
          <w:bCs w:val="0"/>
          <w:color w:val="auto"/>
          <w:sz w:val="24"/>
          <w:szCs w:val="24"/>
        </w:rPr>
        <w:t>无在岗项目（指目前未在其他项目上任职，或虽在其他项目上任职但本项目中标后能够从该项目撤离）</w:t>
      </w:r>
      <w:r>
        <w:rPr>
          <w:rFonts w:hint="eastAsia" w:ascii="宋体" w:hAnsi="宋体" w:cs="宋体"/>
          <w:b w:val="0"/>
          <w:bCs w:val="0"/>
          <w:color w:val="auto"/>
          <w:kern w:val="0"/>
          <w:sz w:val="24"/>
          <w:szCs w:val="24"/>
        </w:rPr>
        <w:t>。</w:t>
      </w:r>
    </w:p>
    <w:p>
      <w:pPr>
        <w:spacing w:line="400" w:lineRule="exact"/>
        <w:rPr>
          <w:rFonts w:ascii="宋体" w:hAnsi="宋体" w:cs="宋体"/>
          <w:b w:val="0"/>
          <w:bCs w:val="0"/>
          <w:color w:val="auto"/>
          <w:kern w:val="0"/>
          <w:sz w:val="24"/>
          <w:szCs w:val="24"/>
        </w:rPr>
      </w:pPr>
      <w:r>
        <w:rPr>
          <w:rFonts w:hint="eastAsia" w:ascii="宋体" w:hAnsi="宋体"/>
          <w:b w:val="0"/>
          <w:bCs w:val="0"/>
          <w:color w:val="auto"/>
          <w:sz w:val="24"/>
          <w:szCs w:val="24"/>
          <w:lang w:eastAsia="zh-CN"/>
        </w:rPr>
        <w:t>（</w:t>
      </w:r>
      <w:r>
        <w:rPr>
          <w:rFonts w:hint="eastAsia" w:ascii="宋体" w:hAnsi="宋体" w:cs="宋体"/>
          <w:b w:val="0"/>
          <w:bCs w:val="0"/>
          <w:color w:val="auto"/>
          <w:kern w:val="0"/>
          <w:sz w:val="24"/>
          <w:szCs w:val="24"/>
          <w:lang w:val="en-US" w:eastAsia="zh-CN"/>
        </w:rPr>
        <w:t>十）</w:t>
      </w:r>
      <w:r>
        <w:rPr>
          <w:rFonts w:hint="eastAsia" w:ascii="宋体" w:hAnsi="宋体" w:cs="宋体"/>
          <w:b w:val="0"/>
          <w:bCs w:val="0"/>
          <w:color w:val="auto"/>
          <w:kern w:val="0"/>
          <w:sz w:val="24"/>
          <w:szCs w:val="24"/>
        </w:rPr>
        <w:t>其他</w:t>
      </w:r>
    </w:p>
    <w:p>
      <w:pPr>
        <w:spacing w:line="400" w:lineRule="exact"/>
        <w:ind w:firstLine="480" w:firstLineChars="200"/>
        <w:jc w:val="left"/>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1.投标</w:t>
      </w:r>
      <w:r>
        <w:rPr>
          <w:rFonts w:hint="eastAsia" w:ascii="宋体" w:hAnsi="宋体" w:cs="宋体"/>
          <w:b w:val="0"/>
          <w:bCs w:val="0"/>
          <w:color w:val="auto"/>
          <w:kern w:val="0"/>
          <w:sz w:val="24"/>
          <w:szCs w:val="24"/>
        </w:rPr>
        <w:t>人的委托代理人、项目负责人（项目经理）、设计负责人、施工负责人等须是本申请人企业人员</w:t>
      </w: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rPr>
        <w:t>并</w:t>
      </w:r>
      <w:r>
        <w:rPr>
          <w:rFonts w:hint="eastAsia" w:ascii="宋体" w:hAnsi="宋体" w:cs="宋体"/>
          <w:b w:val="0"/>
          <w:bCs w:val="0"/>
          <w:color w:val="auto"/>
          <w:kern w:val="0"/>
          <w:sz w:val="24"/>
          <w:szCs w:val="24"/>
          <w:lang w:val="en-US" w:eastAsia="zh-CN"/>
        </w:rPr>
        <w:t>在投标文件中提</w:t>
      </w:r>
      <w:r>
        <w:rPr>
          <w:rFonts w:hint="eastAsia" w:ascii="宋体" w:hAnsi="宋体" w:cs="宋体"/>
          <w:b w:val="0"/>
          <w:bCs w:val="0"/>
          <w:color w:val="auto"/>
          <w:kern w:val="0"/>
          <w:sz w:val="24"/>
          <w:szCs w:val="24"/>
        </w:rPr>
        <w:t>交2019年1月至2019年12月31日的社保证明。</w:t>
      </w:r>
    </w:p>
    <w:p>
      <w:pPr>
        <w:spacing w:line="400" w:lineRule="exact"/>
        <w:ind w:firstLine="480" w:firstLineChars="200"/>
        <w:jc w:val="left"/>
        <w:rPr>
          <w:rFonts w:hint="eastAsia"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2.联合体投标的，项目负责人、施工负责人应为联合体牵头人施工单位自有人员；设计负责人为联合体成员设计单位自有人员。</w:t>
      </w:r>
      <w:r>
        <w:rPr>
          <w:rFonts w:hint="eastAsia" w:ascii="宋体" w:hAnsi="宋体" w:cs="宋体"/>
          <w:b w:val="0"/>
          <w:bCs w:val="0"/>
          <w:color w:val="auto"/>
          <w:kern w:val="0"/>
          <w:sz w:val="24"/>
          <w:szCs w:val="24"/>
        </w:rPr>
        <w:t>并</w:t>
      </w:r>
      <w:r>
        <w:rPr>
          <w:rFonts w:hint="eastAsia" w:ascii="宋体" w:hAnsi="宋体" w:cs="宋体"/>
          <w:b w:val="0"/>
          <w:bCs w:val="0"/>
          <w:color w:val="auto"/>
          <w:kern w:val="0"/>
          <w:sz w:val="24"/>
          <w:szCs w:val="24"/>
          <w:lang w:val="en-US" w:eastAsia="zh-CN"/>
        </w:rPr>
        <w:t>在投标文件中提</w:t>
      </w:r>
      <w:r>
        <w:rPr>
          <w:rFonts w:hint="eastAsia" w:ascii="宋体" w:hAnsi="宋体" w:cs="宋体"/>
          <w:b w:val="0"/>
          <w:bCs w:val="0"/>
          <w:color w:val="auto"/>
          <w:kern w:val="0"/>
          <w:sz w:val="24"/>
          <w:szCs w:val="24"/>
        </w:rPr>
        <w:t>交委托代理人、项目负责人（项目经理）、设计负责人、施工负责人2019年1月至2019年12月31日的社保证明。</w:t>
      </w:r>
    </w:p>
    <w:p>
      <w:pPr>
        <w:pStyle w:val="2"/>
        <w:rPr>
          <w:b w:val="0"/>
          <w:bCs w:val="0"/>
          <w:color w:val="auto"/>
          <w:sz w:val="24"/>
          <w:szCs w:val="24"/>
        </w:rPr>
      </w:pPr>
    </w:p>
    <w:p>
      <w:pPr>
        <w:spacing w:line="400" w:lineRule="exact"/>
        <w:rPr>
          <w:rFonts w:ascii="宋体" w:hAnsi="宋体" w:cs="宋体"/>
          <w:b w:val="0"/>
          <w:bCs w:val="0"/>
          <w:color w:val="auto"/>
          <w:kern w:val="0"/>
          <w:sz w:val="24"/>
          <w:szCs w:val="24"/>
        </w:rPr>
      </w:pPr>
      <w:r>
        <w:rPr>
          <w:rFonts w:hint="eastAsia" w:ascii="宋体" w:hAnsi="宋体" w:cs="宋体"/>
          <w:b w:val="0"/>
          <w:bCs w:val="0"/>
          <w:color w:val="auto"/>
          <w:kern w:val="0"/>
          <w:sz w:val="24"/>
          <w:szCs w:val="24"/>
        </w:rPr>
        <w:t>备注：</w:t>
      </w:r>
    </w:p>
    <w:p>
      <w:pPr>
        <w:spacing w:line="400" w:lineRule="exact"/>
        <w:ind w:firstLine="240" w:firstLineChars="100"/>
        <w:rPr>
          <w:rFonts w:ascii="宋体" w:hAnsi="宋体" w:cs="宋体"/>
          <w:b w:val="0"/>
          <w:bCs w:val="0"/>
          <w:color w:val="auto"/>
          <w:kern w:val="0"/>
          <w:sz w:val="24"/>
          <w:szCs w:val="24"/>
        </w:rPr>
      </w:pPr>
      <w:r>
        <w:rPr>
          <w:rFonts w:hint="eastAsia" w:ascii="宋体" w:hAnsi="宋体" w:cs="宋体"/>
          <w:b w:val="0"/>
          <w:bCs w:val="0"/>
          <w:color w:val="auto"/>
          <w:kern w:val="0"/>
          <w:sz w:val="24"/>
          <w:szCs w:val="24"/>
        </w:rPr>
        <w:t>1、投标文件中提供上述各项要求中所述证照、材料等有关资料的复印件，否则资格审查不予通过。</w:t>
      </w:r>
    </w:p>
    <w:p>
      <w:pPr>
        <w:pStyle w:val="6"/>
        <w:spacing w:beforeAutospacing="0" w:afterAutospacing="0" w:line="360" w:lineRule="auto"/>
        <w:ind w:firstLine="240" w:firstLineChars="100"/>
        <w:jc w:val="left"/>
        <w:rPr>
          <w:rFonts w:hint="eastAsia" w:ascii="宋体" w:hAnsi="宋体"/>
          <w:b w:val="0"/>
          <w:bCs w:val="0"/>
          <w:color w:val="auto"/>
          <w:sz w:val="24"/>
          <w:szCs w:val="24"/>
        </w:rPr>
      </w:pPr>
      <w:r>
        <w:rPr>
          <w:rFonts w:hint="eastAsia" w:ascii="宋体" w:hAnsi="宋体"/>
          <w:b w:val="0"/>
          <w:bCs w:val="0"/>
          <w:color w:val="auto"/>
          <w:sz w:val="24"/>
          <w:szCs w:val="24"/>
        </w:rPr>
        <w:t>2、投标人须响应上述各项要求，否则资格审查不予通过。</w:t>
      </w:r>
    </w:p>
    <w:p>
      <w:pPr>
        <w:pStyle w:val="3"/>
        <w:pageBreakBefore/>
        <w:widowControl/>
        <w:spacing w:before="0" w:after="0" w:line="240" w:lineRule="auto"/>
        <w:jc w:val="center"/>
        <w:rPr>
          <w:rFonts w:ascii="宋体" w:hAnsi="宋体"/>
          <w:color w:val="auto"/>
          <w:kern w:val="0"/>
          <w:sz w:val="30"/>
          <w:szCs w:val="30"/>
        </w:rPr>
      </w:pPr>
      <w:bookmarkStart w:id="0" w:name="_Toc528838073"/>
      <w:r>
        <w:rPr>
          <w:rFonts w:hint="eastAsia" w:ascii="宋体" w:hAnsi="宋体"/>
          <w:color w:val="auto"/>
          <w:kern w:val="0"/>
          <w:sz w:val="30"/>
          <w:szCs w:val="30"/>
        </w:rPr>
        <w:t>第三章 评标办法</w:t>
      </w:r>
      <w:bookmarkEnd w:id="0"/>
    </w:p>
    <w:p>
      <w:pPr>
        <w:rPr>
          <w:rFonts w:ascii="宋体" w:hAnsi="宋体"/>
          <w:color w:val="auto"/>
          <w:sz w:val="21"/>
          <w:szCs w:val="21"/>
        </w:rPr>
      </w:pPr>
      <w:r>
        <w:rPr>
          <w:rFonts w:hint="eastAsia" w:ascii="宋体" w:hAnsi="宋体"/>
          <w:color w:val="auto"/>
          <w:sz w:val="22"/>
          <w:szCs w:val="21"/>
        </w:rPr>
        <w:t>评标办法前附表</w:t>
      </w:r>
    </w:p>
    <w:tbl>
      <w:tblPr>
        <w:tblStyle w:val="7"/>
        <w:tblW w:w="91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6"/>
        <w:gridCol w:w="943"/>
        <w:gridCol w:w="1839"/>
        <w:gridCol w:w="5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899" w:type="dxa"/>
            <w:gridSpan w:val="2"/>
            <w:vAlign w:val="center"/>
          </w:tcPr>
          <w:p>
            <w:pPr>
              <w:spacing w:line="276" w:lineRule="auto"/>
              <w:jc w:val="center"/>
              <w:rPr>
                <w:rFonts w:ascii="宋体" w:hAnsi="宋体"/>
                <w:color w:val="auto"/>
                <w:sz w:val="22"/>
                <w:szCs w:val="22"/>
              </w:rPr>
            </w:pPr>
            <w:r>
              <w:rPr>
                <w:rFonts w:hint="eastAsia" w:ascii="宋体" w:hAnsi="宋体"/>
                <w:color w:val="auto"/>
                <w:sz w:val="22"/>
                <w:szCs w:val="22"/>
              </w:rPr>
              <w:t>条款号</w:t>
            </w:r>
          </w:p>
        </w:tc>
        <w:tc>
          <w:tcPr>
            <w:tcW w:w="1839" w:type="dxa"/>
            <w:vAlign w:val="center"/>
          </w:tcPr>
          <w:p>
            <w:pPr>
              <w:spacing w:line="276" w:lineRule="auto"/>
              <w:jc w:val="center"/>
              <w:rPr>
                <w:rFonts w:ascii="宋体" w:hAnsi="宋体"/>
                <w:color w:val="auto"/>
                <w:sz w:val="22"/>
                <w:szCs w:val="22"/>
              </w:rPr>
            </w:pPr>
            <w:r>
              <w:rPr>
                <w:rFonts w:hint="eastAsia" w:ascii="宋体" w:hAnsi="宋体"/>
                <w:color w:val="auto"/>
                <w:sz w:val="22"/>
                <w:szCs w:val="22"/>
              </w:rPr>
              <w:t>评审因素</w:t>
            </w:r>
          </w:p>
        </w:tc>
        <w:tc>
          <w:tcPr>
            <w:tcW w:w="5441" w:type="dxa"/>
            <w:vAlign w:val="center"/>
          </w:tcPr>
          <w:p>
            <w:pPr>
              <w:spacing w:line="276" w:lineRule="auto"/>
              <w:jc w:val="center"/>
              <w:rPr>
                <w:rFonts w:ascii="宋体" w:hAnsi="宋体"/>
                <w:color w:val="auto"/>
                <w:sz w:val="22"/>
                <w:szCs w:val="22"/>
              </w:rPr>
            </w:pPr>
            <w:r>
              <w:rPr>
                <w:rFonts w:hint="eastAsia" w:ascii="宋体" w:hAnsi="宋体"/>
                <w:color w:val="auto"/>
                <w:sz w:val="22"/>
                <w:szCs w:val="22"/>
              </w:rPr>
              <w:t>评审办法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9" w:hRule="atLeast"/>
          <w:jc w:val="center"/>
        </w:trPr>
        <w:tc>
          <w:tcPr>
            <w:tcW w:w="1899" w:type="dxa"/>
            <w:gridSpan w:val="2"/>
            <w:vAlign w:val="center"/>
          </w:tcPr>
          <w:p>
            <w:pPr>
              <w:spacing w:line="276" w:lineRule="auto"/>
              <w:jc w:val="center"/>
              <w:rPr>
                <w:rFonts w:ascii="宋体" w:hAnsi="宋体"/>
                <w:color w:val="auto"/>
                <w:sz w:val="22"/>
                <w:szCs w:val="22"/>
              </w:rPr>
            </w:pPr>
            <w:r>
              <w:rPr>
                <w:rFonts w:ascii="宋体" w:hAnsi="宋体"/>
                <w:color w:val="auto"/>
                <w:sz w:val="22"/>
                <w:szCs w:val="22"/>
              </w:rPr>
              <w:t>1</w:t>
            </w:r>
          </w:p>
        </w:tc>
        <w:tc>
          <w:tcPr>
            <w:tcW w:w="1839" w:type="dxa"/>
            <w:vAlign w:val="center"/>
          </w:tcPr>
          <w:p>
            <w:pPr>
              <w:spacing w:line="276" w:lineRule="auto"/>
              <w:jc w:val="center"/>
              <w:rPr>
                <w:rFonts w:ascii="宋体" w:hAnsi="宋体"/>
                <w:color w:val="auto"/>
                <w:sz w:val="22"/>
                <w:szCs w:val="22"/>
              </w:rPr>
            </w:pPr>
            <w:r>
              <w:rPr>
                <w:rFonts w:hint="eastAsia" w:ascii="宋体" w:hAnsi="宋体"/>
                <w:color w:val="auto"/>
                <w:sz w:val="22"/>
                <w:szCs w:val="22"/>
              </w:rPr>
              <w:t>评标办法</w:t>
            </w:r>
          </w:p>
        </w:tc>
        <w:tc>
          <w:tcPr>
            <w:tcW w:w="5441" w:type="dxa"/>
            <w:vAlign w:val="center"/>
          </w:tcPr>
          <w:p>
            <w:pPr>
              <w:jc w:val="left"/>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、本次招标采用资格后审，在本项目评标开始前，由评标委员会对各投标人提交的资格审查资料进行资格审查。未通过资格审查的，其投标文件作为无效处理。</w:t>
            </w:r>
          </w:p>
          <w:p>
            <w:pPr>
              <w:jc w:val="left"/>
              <w:rPr>
                <w:rFonts w:ascii="宋体" w:hAnsi="宋体"/>
                <w:color w:val="auto"/>
                <w:sz w:val="22"/>
                <w:szCs w:val="22"/>
              </w:rPr>
            </w:pPr>
            <w:r>
              <w:rPr>
                <w:rFonts w:ascii="宋体" w:hAnsi="宋体"/>
                <w:color w:val="auto"/>
                <w:sz w:val="22"/>
                <w:szCs w:val="22"/>
              </w:rPr>
              <w:t>2</w:t>
            </w:r>
            <w:r>
              <w:rPr>
                <w:rFonts w:hint="eastAsia" w:ascii="宋体" w:hAnsi="宋体"/>
                <w:color w:val="auto"/>
                <w:sz w:val="22"/>
                <w:szCs w:val="22"/>
              </w:rPr>
              <w:t>、投标人的投标总报价满足投标人须知前附表3.2.1款要求的为有效报价，评标基准价计算采用有效报价的算术平均值，按下列原则计算评标基准价。</w:t>
            </w:r>
          </w:p>
          <w:p>
            <w:pPr>
              <w:jc w:val="left"/>
              <w:rPr>
                <w:rFonts w:ascii="宋体" w:hAnsi="宋体"/>
                <w:color w:val="auto"/>
                <w:sz w:val="22"/>
                <w:szCs w:val="22"/>
              </w:rPr>
            </w:pPr>
            <w:r>
              <w:rPr>
                <w:rFonts w:ascii="宋体" w:hAnsi="宋体"/>
                <w:color w:val="auto"/>
                <w:sz w:val="22"/>
                <w:szCs w:val="22"/>
              </w:rPr>
              <w:t>3</w:t>
            </w:r>
            <w:r>
              <w:rPr>
                <w:rFonts w:hint="eastAsia" w:ascii="宋体" w:hAnsi="宋体"/>
                <w:color w:val="auto"/>
                <w:sz w:val="22"/>
                <w:szCs w:val="22"/>
              </w:rPr>
              <w:t>、评标基准价的计算：</w:t>
            </w:r>
          </w:p>
          <w:p>
            <w:pPr>
              <w:jc w:val="left"/>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1</w:t>
            </w:r>
            <w:r>
              <w:rPr>
                <w:rFonts w:hint="eastAsia" w:ascii="宋体" w:hAnsi="宋体"/>
                <w:color w:val="auto"/>
                <w:sz w:val="22"/>
                <w:szCs w:val="22"/>
              </w:rPr>
              <w:t>）当</w:t>
            </w:r>
            <w:r>
              <w:rPr>
                <w:rFonts w:ascii="宋体" w:hAnsi="宋体"/>
                <w:color w:val="auto"/>
                <w:sz w:val="22"/>
                <w:szCs w:val="22"/>
              </w:rPr>
              <w:t>n</w:t>
            </w:r>
            <w:r>
              <w:rPr>
                <w:rFonts w:hint="eastAsia" w:ascii="宋体" w:hAnsi="宋体"/>
                <w:color w:val="auto"/>
                <w:sz w:val="22"/>
                <w:szCs w:val="22"/>
              </w:rPr>
              <w:t>≥</w:t>
            </w:r>
            <w:r>
              <w:rPr>
                <w:rFonts w:ascii="宋体" w:hAnsi="宋体"/>
                <w:color w:val="auto"/>
                <w:sz w:val="22"/>
                <w:szCs w:val="22"/>
              </w:rPr>
              <w:t>10</w:t>
            </w:r>
            <w:r>
              <w:rPr>
                <w:rFonts w:hint="eastAsia" w:ascii="宋体" w:hAnsi="宋体"/>
                <w:color w:val="auto"/>
                <w:sz w:val="22"/>
                <w:szCs w:val="22"/>
              </w:rPr>
              <w:t>时；</w:t>
            </w:r>
          </w:p>
          <w:p>
            <w:pPr>
              <w:jc w:val="left"/>
              <w:rPr>
                <w:rFonts w:ascii="宋体" w:hAnsi="宋体"/>
                <w:color w:val="auto"/>
                <w:sz w:val="22"/>
                <w:szCs w:val="22"/>
              </w:rPr>
            </w:pPr>
            <w:r>
              <w:rPr>
                <w:rFonts w:ascii="宋体" w:hAnsi="宋体"/>
                <w:color w:val="auto"/>
                <w:sz w:val="22"/>
                <w:szCs w:val="22"/>
              </w:rPr>
              <w:t>S</w:t>
            </w:r>
            <w:r>
              <w:rPr>
                <w:rFonts w:hint="eastAsia" w:ascii="宋体" w:hAnsi="宋体"/>
                <w:color w:val="auto"/>
                <w:sz w:val="22"/>
                <w:szCs w:val="22"/>
              </w:rPr>
              <w:t>为投标人有效报价中去掉两个最高报价和一个最低报价后余下的投标有效报价的算术平均值。</w:t>
            </w:r>
          </w:p>
          <w:p>
            <w:pPr>
              <w:jc w:val="left"/>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2</w:t>
            </w:r>
            <w:r>
              <w:rPr>
                <w:rFonts w:hint="eastAsia" w:ascii="宋体" w:hAnsi="宋体"/>
                <w:color w:val="auto"/>
                <w:sz w:val="22"/>
                <w:szCs w:val="22"/>
              </w:rPr>
              <w:t>）当</w:t>
            </w:r>
            <w:r>
              <w:rPr>
                <w:rFonts w:ascii="宋体" w:hAnsi="宋体"/>
                <w:color w:val="auto"/>
                <w:sz w:val="22"/>
                <w:szCs w:val="22"/>
              </w:rPr>
              <w:t>10</w:t>
            </w:r>
            <w:r>
              <w:rPr>
                <w:rFonts w:hint="eastAsia" w:ascii="宋体" w:hAnsi="宋体"/>
                <w:color w:val="auto"/>
                <w:sz w:val="22"/>
                <w:szCs w:val="22"/>
              </w:rPr>
              <w:t>＞</w:t>
            </w:r>
            <w:r>
              <w:rPr>
                <w:rFonts w:ascii="宋体" w:hAnsi="宋体"/>
                <w:color w:val="auto"/>
                <w:sz w:val="22"/>
                <w:szCs w:val="22"/>
              </w:rPr>
              <w:t>n</w:t>
            </w:r>
            <w:r>
              <w:rPr>
                <w:rFonts w:hint="eastAsia" w:ascii="宋体" w:hAnsi="宋体"/>
                <w:color w:val="auto"/>
                <w:sz w:val="22"/>
                <w:szCs w:val="22"/>
              </w:rPr>
              <w:t>≥</w:t>
            </w:r>
            <w:r>
              <w:rPr>
                <w:rFonts w:ascii="宋体" w:hAnsi="宋体"/>
                <w:color w:val="auto"/>
                <w:sz w:val="22"/>
                <w:szCs w:val="22"/>
              </w:rPr>
              <w:t>6</w:t>
            </w:r>
            <w:r>
              <w:rPr>
                <w:rFonts w:hint="eastAsia" w:ascii="宋体" w:hAnsi="宋体"/>
                <w:color w:val="auto"/>
                <w:sz w:val="22"/>
                <w:szCs w:val="22"/>
              </w:rPr>
              <w:t>时；</w:t>
            </w:r>
          </w:p>
          <w:p>
            <w:pPr>
              <w:jc w:val="left"/>
              <w:rPr>
                <w:rFonts w:ascii="宋体" w:hAnsi="宋体"/>
                <w:color w:val="auto"/>
                <w:sz w:val="22"/>
                <w:szCs w:val="22"/>
              </w:rPr>
            </w:pPr>
            <w:r>
              <w:rPr>
                <w:rFonts w:ascii="宋体" w:hAnsi="宋体"/>
                <w:color w:val="auto"/>
                <w:sz w:val="22"/>
                <w:szCs w:val="22"/>
              </w:rPr>
              <w:t>S</w:t>
            </w:r>
            <w:r>
              <w:rPr>
                <w:rFonts w:hint="eastAsia" w:ascii="宋体" w:hAnsi="宋体"/>
                <w:color w:val="auto"/>
                <w:sz w:val="22"/>
                <w:szCs w:val="22"/>
              </w:rPr>
              <w:t>为投标人有效报价中去掉一个最高报价和一个最低报价后余下的投标有效报价的算术平均值。</w:t>
            </w:r>
          </w:p>
          <w:p>
            <w:pPr>
              <w:jc w:val="left"/>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3</w:t>
            </w:r>
            <w:r>
              <w:rPr>
                <w:rFonts w:hint="eastAsia" w:ascii="宋体" w:hAnsi="宋体"/>
                <w:color w:val="auto"/>
                <w:sz w:val="22"/>
                <w:szCs w:val="22"/>
              </w:rPr>
              <w:t>）当</w:t>
            </w:r>
            <w:r>
              <w:rPr>
                <w:rFonts w:ascii="宋体" w:hAnsi="宋体"/>
                <w:color w:val="auto"/>
                <w:sz w:val="22"/>
                <w:szCs w:val="22"/>
              </w:rPr>
              <w:t>n</w:t>
            </w:r>
            <w:r>
              <w:rPr>
                <w:rFonts w:hint="eastAsia" w:ascii="宋体" w:hAnsi="宋体"/>
                <w:color w:val="auto"/>
                <w:sz w:val="22"/>
                <w:szCs w:val="22"/>
              </w:rPr>
              <w:t>＜6时；</w:t>
            </w:r>
          </w:p>
          <w:p>
            <w:pPr>
              <w:jc w:val="left"/>
              <w:rPr>
                <w:rFonts w:ascii="宋体" w:hAnsi="宋体"/>
                <w:color w:val="auto"/>
                <w:sz w:val="22"/>
                <w:szCs w:val="22"/>
              </w:rPr>
            </w:pPr>
            <w:r>
              <w:rPr>
                <w:rFonts w:ascii="宋体" w:hAnsi="宋体"/>
                <w:color w:val="auto"/>
                <w:sz w:val="22"/>
                <w:szCs w:val="22"/>
              </w:rPr>
              <w:t>S</w:t>
            </w:r>
            <w:r>
              <w:rPr>
                <w:rFonts w:hint="eastAsia" w:ascii="宋体" w:hAnsi="宋体"/>
                <w:color w:val="auto"/>
                <w:sz w:val="22"/>
                <w:szCs w:val="22"/>
              </w:rPr>
              <w:t>为投标人有效报价的算术平均值。</w:t>
            </w:r>
          </w:p>
          <w:p>
            <w:pPr>
              <w:jc w:val="left"/>
              <w:rPr>
                <w:rFonts w:ascii="宋体" w:hAnsi="宋体"/>
                <w:color w:val="auto"/>
                <w:sz w:val="22"/>
                <w:szCs w:val="22"/>
              </w:rPr>
            </w:pPr>
            <w:r>
              <w:rPr>
                <w:rFonts w:ascii="宋体" w:hAnsi="宋体"/>
                <w:color w:val="auto"/>
                <w:sz w:val="22"/>
                <w:szCs w:val="22"/>
              </w:rPr>
              <w:t>S—</w:t>
            </w:r>
            <w:r>
              <w:rPr>
                <w:rFonts w:hint="eastAsia" w:ascii="宋体" w:hAnsi="宋体"/>
                <w:color w:val="auto"/>
                <w:sz w:val="22"/>
                <w:szCs w:val="22"/>
              </w:rPr>
              <w:t>评标基准价</w:t>
            </w:r>
            <w:r>
              <w:rPr>
                <w:rFonts w:ascii="宋体" w:hAnsi="宋体"/>
                <w:color w:val="auto"/>
                <w:sz w:val="22"/>
                <w:szCs w:val="22"/>
              </w:rPr>
              <w:t>(</w:t>
            </w:r>
            <w:r>
              <w:rPr>
                <w:rFonts w:hint="eastAsia" w:ascii="宋体" w:hAnsi="宋体"/>
                <w:color w:val="auto"/>
                <w:sz w:val="22"/>
                <w:szCs w:val="22"/>
              </w:rPr>
              <w:t>计算结果精确到分）；</w:t>
            </w:r>
          </w:p>
          <w:p>
            <w:pPr>
              <w:jc w:val="left"/>
              <w:rPr>
                <w:rFonts w:ascii="宋体" w:hAnsi="宋体"/>
                <w:color w:val="auto"/>
                <w:sz w:val="22"/>
                <w:szCs w:val="22"/>
              </w:rPr>
            </w:pPr>
            <w:r>
              <w:rPr>
                <w:rFonts w:ascii="宋体" w:hAnsi="宋体"/>
                <w:color w:val="auto"/>
                <w:sz w:val="22"/>
                <w:szCs w:val="22"/>
              </w:rPr>
              <w:t>n—</w:t>
            </w:r>
            <w:r>
              <w:rPr>
                <w:rFonts w:hint="eastAsia" w:ascii="宋体" w:hAnsi="宋体"/>
                <w:color w:val="auto"/>
                <w:sz w:val="22"/>
                <w:szCs w:val="22"/>
              </w:rPr>
              <w:t>有效报价的投标人个数。</w:t>
            </w:r>
          </w:p>
          <w:p>
            <w:pPr>
              <w:jc w:val="left"/>
              <w:rPr>
                <w:rFonts w:ascii="宋体" w:hAnsi="宋体"/>
                <w:color w:val="auto"/>
                <w:sz w:val="22"/>
                <w:szCs w:val="22"/>
              </w:rPr>
            </w:pPr>
            <w:r>
              <w:rPr>
                <w:rFonts w:ascii="宋体" w:hAnsi="宋体"/>
                <w:color w:val="auto"/>
                <w:sz w:val="22"/>
                <w:szCs w:val="22"/>
              </w:rPr>
              <w:t>4</w:t>
            </w:r>
            <w:r>
              <w:rPr>
                <w:rFonts w:hint="eastAsia" w:ascii="宋体" w:hAnsi="宋体"/>
                <w:color w:val="auto"/>
                <w:sz w:val="22"/>
                <w:szCs w:val="22"/>
              </w:rPr>
              <w:t>、在评标过程中未通过初步评审而被否决投标文件的不参加评标基准价的计算，重新计算评标基准价。</w:t>
            </w:r>
          </w:p>
          <w:p>
            <w:pPr>
              <w:jc w:val="left"/>
              <w:rPr>
                <w:rFonts w:ascii="宋体" w:hAnsi="宋体"/>
                <w:color w:val="auto"/>
                <w:sz w:val="22"/>
                <w:szCs w:val="22"/>
              </w:rPr>
            </w:pPr>
            <w:r>
              <w:rPr>
                <w:rFonts w:ascii="宋体" w:hAnsi="宋体"/>
                <w:color w:val="auto"/>
                <w:sz w:val="22"/>
                <w:szCs w:val="22"/>
              </w:rPr>
              <w:t>5</w:t>
            </w:r>
            <w:r>
              <w:rPr>
                <w:rFonts w:hint="eastAsia" w:ascii="宋体" w:hAnsi="宋体"/>
                <w:color w:val="auto"/>
                <w:sz w:val="22"/>
                <w:szCs w:val="22"/>
              </w:rPr>
              <w:t>、评标委员会根据投标人得分由高到低的顺序推荐2-</w:t>
            </w:r>
            <w:r>
              <w:rPr>
                <w:rFonts w:ascii="宋体" w:hAnsi="宋体"/>
                <w:color w:val="auto"/>
                <w:sz w:val="22"/>
                <w:szCs w:val="22"/>
              </w:rPr>
              <w:t>3</w:t>
            </w:r>
            <w:r>
              <w:rPr>
                <w:rFonts w:hint="eastAsia" w:ascii="宋体" w:hAnsi="宋体"/>
                <w:color w:val="auto"/>
                <w:sz w:val="22"/>
                <w:szCs w:val="22"/>
              </w:rPr>
              <w:t>名中标候选人，招标人依据评标委员会推荐的中标候选人确定中标人，但投标报价低于其成本的除外，综合评分相等时，以投标报价低的优先，投标报价也相等的，由招标人自行决定。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956" w:type="dxa"/>
            <w:vMerge w:val="restart"/>
            <w:vAlign w:val="center"/>
          </w:tcPr>
          <w:p>
            <w:pPr>
              <w:spacing w:line="276" w:lineRule="auto"/>
              <w:jc w:val="center"/>
              <w:rPr>
                <w:rFonts w:ascii="宋体" w:hAnsi="宋体"/>
                <w:color w:val="auto"/>
                <w:sz w:val="22"/>
                <w:szCs w:val="22"/>
              </w:rPr>
            </w:pPr>
            <w:r>
              <w:rPr>
                <w:rFonts w:ascii="宋体" w:hAnsi="宋体"/>
                <w:color w:val="auto"/>
                <w:sz w:val="22"/>
                <w:szCs w:val="22"/>
              </w:rPr>
              <w:t>2.1.1</w:t>
            </w:r>
          </w:p>
        </w:tc>
        <w:tc>
          <w:tcPr>
            <w:tcW w:w="943" w:type="dxa"/>
            <w:vMerge w:val="restart"/>
            <w:vAlign w:val="center"/>
          </w:tcPr>
          <w:p>
            <w:pPr>
              <w:spacing w:line="276" w:lineRule="auto"/>
              <w:jc w:val="center"/>
              <w:rPr>
                <w:rFonts w:ascii="宋体" w:hAnsi="宋体"/>
                <w:color w:val="auto"/>
                <w:sz w:val="22"/>
                <w:szCs w:val="22"/>
              </w:rPr>
            </w:pPr>
            <w:r>
              <w:rPr>
                <w:rFonts w:hint="eastAsia" w:ascii="宋体" w:hAnsi="宋体"/>
                <w:color w:val="auto"/>
                <w:sz w:val="22"/>
                <w:szCs w:val="22"/>
              </w:rPr>
              <w:t>形式评审其它标准</w:t>
            </w:r>
          </w:p>
        </w:tc>
        <w:tc>
          <w:tcPr>
            <w:tcW w:w="1839" w:type="dxa"/>
            <w:vAlign w:val="center"/>
          </w:tcPr>
          <w:p>
            <w:pPr>
              <w:spacing w:line="368" w:lineRule="atLeast"/>
              <w:jc w:val="center"/>
              <w:rPr>
                <w:rFonts w:ascii="宋体" w:hAnsi="宋体"/>
                <w:color w:val="auto"/>
                <w:sz w:val="22"/>
                <w:szCs w:val="22"/>
              </w:rPr>
            </w:pPr>
            <w:r>
              <w:rPr>
                <w:rFonts w:hint="eastAsia" w:ascii="宋体" w:hAnsi="宋体"/>
                <w:color w:val="auto"/>
                <w:sz w:val="22"/>
                <w:szCs w:val="22"/>
              </w:rPr>
              <w:t>投标人名称</w:t>
            </w:r>
          </w:p>
        </w:tc>
        <w:tc>
          <w:tcPr>
            <w:tcW w:w="5441" w:type="dxa"/>
            <w:vAlign w:val="center"/>
          </w:tcPr>
          <w:p>
            <w:pPr>
              <w:tabs>
                <w:tab w:val="left" w:pos="421"/>
              </w:tabs>
              <w:spacing w:line="276" w:lineRule="auto"/>
              <w:ind w:left="-118"/>
              <w:rPr>
                <w:rFonts w:ascii="宋体" w:hAnsi="宋体"/>
                <w:color w:val="auto"/>
                <w:sz w:val="22"/>
                <w:szCs w:val="22"/>
              </w:rPr>
            </w:pPr>
            <w:r>
              <w:rPr>
                <w:rFonts w:hint="eastAsia" w:ascii="宋体" w:hAnsi="宋体"/>
                <w:color w:val="auto"/>
                <w:sz w:val="22"/>
                <w:szCs w:val="22"/>
              </w:rPr>
              <w:t>与营业执照、资质证书一致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spacing w:line="368" w:lineRule="atLeast"/>
              <w:jc w:val="center"/>
              <w:rPr>
                <w:rFonts w:ascii="宋体" w:hAnsi="宋体"/>
                <w:color w:val="auto"/>
                <w:sz w:val="22"/>
                <w:szCs w:val="22"/>
              </w:rPr>
            </w:pPr>
            <w:r>
              <w:rPr>
                <w:rFonts w:hint="eastAsia" w:ascii="宋体" w:hAnsi="宋体"/>
                <w:color w:val="auto"/>
                <w:sz w:val="22"/>
                <w:szCs w:val="22"/>
              </w:rPr>
              <w:t>投标函签字盖章</w:t>
            </w:r>
          </w:p>
        </w:tc>
        <w:tc>
          <w:tcPr>
            <w:tcW w:w="5441" w:type="dxa"/>
            <w:vAlign w:val="center"/>
          </w:tcPr>
          <w:p>
            <w:pPr>
              <w:tabs>
                <w:tab w:val="left" w:pos="421"/>
              </w:tabs>
              <w:spacing w:line="276" w:lineRule="auto"/>
              <w:ind w:left="-118"/>
              <w:rPr>
                <w:rFonts w:ascii="宋体" w:hAnsi="宋体"/>
                <w:color w:val="auto"/>
                <w:sz w:val="22"/>
                <w:szCs w:val="22"/>
              </w:rPr>
            </w:pPr>
            <w:r>
              <w:rPr>
                <w:rFonts w:hint="eastAsia" w:ascii="宋体" w:hAnsi="宋体"/>
                <w:color w:val="auto"/>
                <w:sz w:val="22"/>
                <w:szCs w:val="22"/>
              </w:rPr>
              <w:t>有法定代表人或其委托代理人签字并加盖单位章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spacing w:line="368" w:lineRule="atLeast"/>
              <w:jc w:val="center"/>
              <w:rPr>
                <w:rFonts w:ascii="宋体" w:hAnsi="宋体"/>
                <w:color w:val="auto"/>
                <w:sz w:val="22"/>
                <w:szCs w:val="22"/>
              </w:rPr>
            </w:pPr>
            <w:r>
              <w:rPr>
                <w:rFonts w:hint="eastAsia" w:ascii="宋体" w:hAnsi="宋体"/>
                <w:color w:val="auto"/>
                <w:sz w:val="22"/>
                <w:szCs w:val="22"/>
              </w:rPr>
              <w:t>投标文件格式</w:t>
            </w:r>
          </w:p>
        </w:tc>
        <w:tc>
          <w:tcPr>
            <w:tcW w:w="5441" w:type="dxa"/>
            <w:vAlign w:val="center"/>
          </w:tcPr>
          <w:p>
            <w:pPr>
              <w:tabs>
                <w:tab w:val="left" w:pos="421"/>
              </w:tabs>
              <w:spacing w:line="276" w:lineRule="auto"/>
              <w:ind w:left="-118"/>
              <w:rPr>
                <w:rFonts w:ascii="宋体" w:hAnsi="宋体"/>
                <w:color w:val="auto"/>
                <w:sz w:val="22"/>
                <w:szCs w:val="22"/>
              </w:rPr>
            </w:pPr>
            <w:r>
              <w:rPr>
                <w:rFonts w:hint="eastAsia" w:ascii="宋体" w:hAnsi="宋体"/>
                <w:color w:val="auto"/>
                <w:sz w:val="22"/>
                <w:szCs w:val="22"/>
              </w:rPr>
              <w:t>符合第七章“投标文件格式”的要求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spacing w:line="368" w:lineRule="atLeast"/>
              <w:jc w:val="center"/>
              <w:rPr>
                <w:rFonts w:ascii="宋体" w:hAnsi="宋体"/>
                <w:color w:val="auto"/>
                <w:sz w:val="22"/>
                <w:szCs w:val="22"/>
              </w:rPr>
            </w:pPr>
            <w:r>
              <w:rPr>
                <w:rFonts w:hint="eastAsia" w:ascii="宋体" w:hAnsi="宋体"/>
                <w:color w:val="auto"/>
                <w:sz w:val="22"/>
                <w:szCs w:val="22"/>
              </w:rPr>
              <w:t>报价唯一</w:t>
            </w:r>
          </w:p>
        </w:tc>
        <w:tc>
          <w:tcPr>
            <w:tcW w:w="5441" w:type="dxa"/>
            <w:vAlign w:val="center"/>
          </w:tcPr>
          <w:p>
            <w:pPr>
              <w:tabs>
                <w:tab w:val="left" w:pos="421"/>
              </w:tabs>
              <w:spacing w:line="276" w:lineRule="auto"/>
              <w:ind w:left="-118"/>
              <w:rPr>
                <w:rFonts w:ascii="宋体" w:hAnsi="宋体"/>
                <w:color w:val="auto"/>
                <w:sz w:val="22"/>
                <w:szCs w:val="22"/>
              </w:rPr>
            </w:pPr>
            <w:r>
              <w:rPr>
                <w:rFonts w:hint="eastAsia" w:ascii="宋体" w:hAnsi="宋体"/>
                <w:color w:val="auto"/>
                <w:sz w:val="22"/>
                <w:szCs w:val="22"/>
              </w:rPr>
              <w:t>只能有一个有效报价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956" w:type="dxa"/>
            <w:vMerge w:val="restart"/>
            <w:vAlign w:val="center"/>
          </w:tcPr>
          <w:p>
            <w:pPr>
              <w:spacing w:line="276" w:lineRule="auto"/>
              <w:jc w:val="center"/>
              <w:rPr>
                <w:rFonts w:ascii="宋体" w:hAnsi="宋体"/>
                <w:color w:val="auto"/>
                <w:sz w:val="22"/>
                <w:szCs w:val="22"/>
              </w:rPr>
            </w:pPr>
            <w:r>
              <w:rPr>
                <w:rFonts w:ascii="宋体" w:hAnsi="宋体"/>
                <w:color w:val="auto"/>
                <w:sz w:val="22"/>
                <w:szCs w:val="22"/>
              </w:rPr>
              <w:t>2.1.2</w:t>
            </w:r>
          </w:p>
        </w:tc>
        <w:tc>
          <w:tcPr>
            <w:tcW w:w="943" w:type="dxa"/>
            <w:vMerge w:val="restart"/>
            <w:vAlign w:val="center"/>
          </w:tcPr>
          <w:p>
            <w:pPr>
              <w:spacing w:line="276" w:lineRule="auto"/>
              <w:jc w:val="center"/>
              <w:rPr>
                <w:rFonts w:ascii="宋体" w:hAnsi="宋体"/>
                <w:color w:val="auto"/>
                <w:sz w:val="22"/>
                <w:szCs w:val="22"/>
              </w:rPr>
            </w:pPr>
            <w:r>
              <w:rPr>
                <w:rFonts w:hint="eastAsia" w:ascii="宋体" w:hAnsi="宋体"/>
                <w:color w:val="auto"/>
                <w:sz w:val="22"/>
                <w:szCs w:val="22"/>
              </w:rPr>
              <w:t>资格评审其它标准</w:t>
            </w:r>
          </w:p>
        </w:tc>
        <w:tc>
          <w:tcPr>
            <w:tcW w:w="183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营业执照</w:t>
            </w:r>
          </w:p>
        </w:tc>
        <w:tc>
          <w:tcPr>
            <w:tcW w:w="5441" w:type="dxa"/>
            <w:vAlign w:val="center"/>
          </w:tcPr>
          <w:p>
            <w:pPr>
              <w:spacing w:line="360" w:lineRule="auto"/>
              <w:jc w:val="left"/>
              <w:rPr>
                <w:rFonts w:ascii="宋体" w:hAnsi="宋体"/>
                <w:color w:val="auto"/>
                <w:sz w:val="22"/>
                <w:szCs w:val="22"/>
              </w:rPr>
            </w:pPr>
            <w:r>
              <w:rPr>
                <w:rFonts w:hint="eastAsia" w:ascii="宋体" w:hAnsi="宋体"/>
                <w:color w:val="auto"/>
                <w:sz w:val="22"/>
                <w:szCs w:val="22"/>
              </w:rPr>
              <w:t>具备有效的营业执照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资质等级</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1.4.1</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财务状况</w:t>
            </w:r>
          </w:p>
        </w:tc>
        <w:tc>
          <w:tcPr>
            <w:tcW w:w="5441" w:type="dxa"/>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1.4.1</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类似项目业绩</w:t>
            </w:r>
          </w:p>
        </w:tc>
        <w:tc>
          <w:tcPr>
            <w:tcW w:w="5441" w:type="dxa"/>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1.4.1</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信誉</w:t>
            </w:r>
          </w:p>
        </w:tc>
        <w:tc>
          <w:tcPr>
            <w:tcW w:w="5441" w:type="dxa"/>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1.4.1</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项目负责人（项目经理）</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1.4.1</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设计负责人</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1.4.1</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施工负责人</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1.4.1</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其他要求</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1.4.1</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956" w:type="dxa"/>
            <w:vMerge w:val="restart"/>
            <w:vAlign w:val="center"/>
          </w:tcPr>
          <w:p>
            <w:pPr>
              <w:spacing w:line="276" w:lineRule="auto"/>
              <w:jc w:val="center"/>
              <w:rPr>
                <w:rFonts w:ascii="宋体" w:hAnsi="宋体"/>
                <w:color w:val="auto"/>
                <w:sz w:val="22"/>
                <w:szCs w:val="22"/>
              </w:rPr>
            </w:pPr>
            <w:r>
              <w:rPr>
                <w:rFonts w:ascii="宋体" w:hAnsi="宋体"/>
                <w:color w:val="auto"/>
                <w:sz w:val="22"/>
                <w:szCs w:val="22"/>
              </w:rPr>
              <w:t>2.1.3</w:t>
            </w:r>
          </w:p>
        </w:tc>
        <w:tc>
          <w:tcPr>
            <w:tcW w:w="943" w:type="dxa"/>
            <w:vMerge w:val="restart"/>
            <w:vAlign w:val="center"/>
          </w:tcPr>
          <w:p>
            <w:pPr>
              <w:spacing w:line="276" w:lineRule="auto"/>
              <w:jc w:val="center"/>
              <w:rPr>
                <w:rFonts w:ascii="宋体" w:hAnsi="宋体"/>
                <w:color w:val="auto"/>
                <w:sz w:val="22"/>
                <w:szCs w:val="22"/>
              </w:rPr>
            </w:pPr>
            <w:r>
              <w:rPr>
                <w:rFonts w:hint="eastAsia" w:ascii="宋体" w:hAnsi="宋体"/>
                <w:color w:val="auto"/>
                <w:sz w:val="22"/>
                <w:szCs w:val="22"/>
              </w:rPr>
              <w:t>响应性评审其它标准</w:t>
            </w: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投标报价</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3.2.</w:t>
            </w:r>
            <w:r>
              <w:rPr>
                <w:rFonts w:hint="eastAsia" w:ascii="宋体" w:hAnsi="宋体"/>
                <w:color w:val="auto"/>
                <w:sz w:val="22"/>
                <w:szCs w:val="22"/>
              </w:rPr>
              <w:t>4项规定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投标范围</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1.3.1</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计划工期</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1.3.2</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质量标准</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1.3.3</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投标有效期</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3.3.1</w:t>
            </w:r>
            <w:r>
              <w:rPr>
                <w:rFonts w:hint="eastAsia" w:ascii="宋体" w:hAnsi="宋体"/>
                <w:color w:val="auto"/>
                <w:sz w:val="22"/>
                <w:szCs w:val="22"/>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投标保证金</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符合第二章“投标人须知”第</w:t>
            </w:r>
            <w:r>
              <w:rPr>
                <w:rFonts w:ascii="宋体" w:hAnsi="宋体"/>
                <w:color w:val="auto"/>
                <w:sz w:val="22"/>
                <w:szCs w:val="22"/>
              </w:rPr>
              <w:t>3.4.1</w:t>
            </w:r>
            <w:r>
              <w:rPr>
                <w:rFonts w:hint="eastAsia" w:ascii="宋体" w:hAnsi="宋体"/>
                <w:color w:val="auto"/>
                <w:sz w:val="22"/>
                <w:szCs w:val="22"/>
              </w:rPr>
              <w:t>款规定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956" w:type="dxa"/>
            <w:vMerge w:val="continue"/>
            <w:vAlign w:val="center"/>
          </w:tcPr>
          <w:p>
            <w:pPr>
              <w:spacing w:line="276" w:lineRule="auto"/>
              <w:jc w:val="center"/>
              <w:rPr>
                <w:rFonts w:ascii="宋体" w:hAnsi="宋体"/>
                <w:color w:val="auto"/>
                <w:sz w:val="22"/>
                <w:szCs w:val="22"/>
              </w:rPr>
            </w:pPr>
          </w:p>
        </w:tc>
        <w:tc>
          <w:tcPr>
            <w:tcW w:w="943" w:type="dxa"/>
            <w:vMerge w:val="continue"/>
            <w:vAlign w:val="center"/>
          </w:tcPr>
          <w:p>
            <w:pPr>
              <w:spacing w:line="276" w:lineRule="auto"/>
              <w:jc w:val="center"/>
              <w:rPr>
                <w:rFonts w:ascii="宋体" w:hAnsi="宋体"/>
                <w:color w:val="auto"/>
                <w:sz w:val="22"/>
                <w:szCs w:val="22"/>
              </w:rPr>
            </w:pPr>
          </w:p>
        </w:tc>
        <w:tc>
          <w:tcPr>
            <w:tcW w:w="1839" w:type="dxa"/>
            <w:vAlign w:val="center"/>
          </w:tcPr>
          <w:p>
            <w:pPr>
              <w:jc w:val="center"/>
              <w:rPr>
                <w:rFonts w:ascii="宋体" w:hAnsi="宋体"/>
                <w:color w:val="auto"/>
                <w:sz w:val="22"/>
                <w:szCs w:val="22"/>
              </w:rPr>
            </w:pPr>
            <w:r>
              <w:rPr>
                <w:rFonts w:hint="eastAsia" w:ascii="宋体" w:hAnsi="宋体"/>
                <w:color w:val="auto"/>
                <w:sz w:val="22"/>
                <w:szCs w:val="22"/>
              </w:rPr>
              <w:t>权利义务</w:t>
            </w:r>
          </w:p>
        </w:tc>
        <w:tc>
          <w:tcPr>
            <w:tcW w:w="5441" w:type="dxa"/>
            <w:vAlign w:val="center"/>
          </w:tcPr>
          <w:p>
            <w:pPr>
              <w:jc w:val="left"/>
              <w:rPr>
                <w:rFonts w:ascii="宋体" w:hAnsi="宋体"/>
                <w:color w:val="auto"/>
                <w:sz w:val="22"/>
                <w:szCs w:val="22"/>
              </w:rPr>
            </w:pPr>
            <w:r>
              <w:rPr>
                <w:rFonts w:hint="eastAsia" w:ascii="宋体" w:hAnsi="宋体"/>
                <w:color w:val="auto"/>
                <w:sz w:val="22"/>
                <w:szCs w:val="22"/>
              </w:rPr>
              <w:t>符合第四章“合同条款及格式”规定的权利义务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1899" w:type="dxa"/>
            <w:gridSpan w:val="2"/>
            <w:vAlign w:val="center"/>
          </w:tcPr>
          <w:p>
            <w:pPr>
              <w:spacing w:line="276" w:lineRule="auto"/>
              <w:jc w:val="center"/>
              <w:rPr>
                <w:rFonts w:ascii="宋体" w:hAnsi="宋体"/>
                <w:color w:val="auto"/>
                <w:sz w:val="22"/>
                <w:szCs w:val="22"/>
              </w:rPr>
            </w:pPr>
            <w:r>
              <w:rPr>
                <w:rFonts w:hint="eastAsia" w:ascii="宋体" w:hAnsi="宋体"/>
                <w:color w:val="auto"/>
                <w:sz w:val="22"/>
                <w:szCs w:val="22"/>
              </w:rPr>
              <w:t>条款号</w:t>
            </w:r>
          </w:p>
        </w:tc>
        <w:tc>
          <w:tcPr>
            <w:tcW w:w="1839" w:type="dxa"/>
            <w:vAlign w:val="center"/>
          </w:tcPr>
          <w:p>
            <w:pPr>
              <w:spacing w:line="368" w:lineRule="atLeast"/>
              <w:jc w:val="center"/>
              <w:rPr>
                <w:rFonts w:ascii="宋体" w:hAnsi="宋体"/>
                <w:color w:val="auto"/>
                <w:sz w:val="22"/>
                <w:szCs w:val="22"/>
              </w:rPr>
            </w:pPr>
            <w:r>
              <w:rPr>
                <w:rFonts w:hint="eastAsia" w:ascii="宋体" w:hAnsi="宋体"/>
                <w:color w:val="auto"/>
                <w:sz w:val="22"/>
                <w:szCs w:val="22"/>
              </w:rPr>
              <w:t>条款内容</w:t>
            </w:r>
          </w:p>
        </w:tc>
        <w:tc>
          <w:tcPr>
            <w:tcW w:w="5441" w:type="dxa"/>
            <w:vAlign w:val="center"/>
          </w:tcPr>
          <w:p>
            <w:pPr>
              <w:spacing w:line="276" w:lineRule="auto"/>
              <w:jc w:val="center"/>
              <w:rPr>
                <w:rFonts w:ascii="宋体" w:hAnsi="宋体"/>
                <w:color w:val="auto"/>
                <w:sz w:val="22"/>
                <w:szCs w:val="22"/>
              </w:rPr>
            </w:pPr>
            <w:r>
              <w:rPr>
                <w:rFonts w:hint="eastAsia" w:ascii="宋体" w:hAnsi="宋体"/>
                <w:color w:val="auto"/>
                <w:sz w:val="22"/>
                <w:szCs w:val="22"/>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 w:hRule="atLeast"/>
          <w:jc w:val="center"/>
        </w:trPr>
        <w:tc>
          <w:tcPr>
            <w:tcW w:w="1899" w:type="dxa"/>
            <w:gridSpan w:val="2"/>
            <w:vAlign w:val="center"/>
          </w:tcPr>
          <w:p>
            <w:pPr>
              <w:spacing w:line="276" w:lineRule="auto"/>
              <w:jc w:val="center"/>
              <w:rPr>
                <w:rFonts w:ascii="宋体" w:hAnsi="宋体"/>
                <w:color w:val="auto"/>
                <w:sz w:val="22"/>
                <w:szCs w:val="22"/>
              </w:rPr>
            </w:pPr>
            <w:r>
              <w:rPr>
                <w:rFonts w:ascii="宋体" w:hAnsi="宋体"/>
                <w:color w:val="auto"/>
                <w:sz w:val="22"/>
                <w:szCs w:val="22"/>
              </w:rPr>
              <w:t>2.2.1</w:t>
            </w:r>
          </w:p>
        </w:tc>
        <w:tc>
          <w:tcPr>
            <w:tcW w:w="1839" w:type="dxa"/>
            <w:vAlign w:val="center"/>
          </w:tcPr>
          <w:p>
            <w:pPr>
              <w:spacing w:line="368" w:lineRule="atLeast"/>
              <w:jc w:val="center"/>
              <w:rPr>
                <w:rFonts w:ascii="宋体" w:hAnsi="宋体"/>
                <w:color w:val="auto"/>
                <w:sz w:val="22"/>
                <w:szCs w:val="22"/>
              </w:rPr>
            </w:pPr>
            <w:r>
              <w:rPr>
                <w:rFonts w:hint="eastAsia" w:ascii="宋体" w:hAnsi="宋体"/>
                <w:color w:val="auto"/>
                <w:sz w:val="22"/>
                <w:szCs w:val="22"/>
              </w:rPr>
              <w:t>分值构成</w:t>
            </w:r>
          </w:p>
          <w:p>
            <w:pPr>
              <w:spacing w:line="368" w:lineRule="atLeast"/>
              <w:jc w:val="center"/>
              <w:rPr>
                <w:rFonts w:ascii="宋体" w:hAnsi="宋体"/>
                <w:color w:val="auto"/>
                <w:sz w:val="22"/>
                <w:szCs w:val="22"/>
              </w:rPr>
            </w:pPr>
            <w:r>
              <w:rPr>
                <w:rFonts w:ascii="宋体" w:hAnsi="宋体"/>
                <w:color w:val="auto"/>
                <w:sz w:val="22"/>
                <w:szCs w:val="22"/>
              </w:rPr>
              <w:t>(</w:t>
            </w:r>
            <w:r>
              <w:rPr>
                <w:rFonts w:hint="eastAsia" w:ascii="宋体" w:hAnsi="宋体"/>
                <w:color w:val="auto"/>
                <w:sz w:val="22"/>
                <w:szCs w:val="22"/>
              </w:rPr>
              <w:t>总分</w:t>
            </w:r>
            <w:r>
              <w:rPr>
                <w:rFonts w:ascii="宋体" w:hAnsi="宋体"/>
                <w:color w:val="auto"/>
                <w:sz w:val="22"/>
                <w:szCs w:val="22"/>
              </w:rPr>
              <w:t>100</w:t>
            </w:r>
            <w:r>
              <w:rPr>
                <w:rFonts w:hint="eastAsia" w:ascii="宋体" w:hAnsi="宋体"/>
                <w:color w:val="auto"/>
                <w:sz w:val="22"/>
                <w:szCs w:val="22"/>
              </w:rPr>
              <w:t>分</w:t>
            </w:r>
            <w:r>
              <w:rPr>
                <w:rFonts w:ascii="宋体" w:hAnsi="宋体"/>
                <w:color w:val="auto"/>
                <w:sz w:val="22"/>
                <w:szCs w:val="22"/>
              </w:rPr>
              <w:t>)</w:t>
            </w:r>
          </w:p>
        </w:tc>
        <w:tc>
          <w:tcPr>
            <w:tcW w:w="5441" w:type="dxa"/>
            <w:vAlign w:val="center"/>
          </w:tcPr>
          <w:p>
            <w:pPr>
              <w:numPr>
                <w:ilvl w:val="0"/>
                <w:numId w:val="1"/>
              </w:numPr>
              <w:tabs>
                <w:tab w:val="left" w:pos="61"/>
                <w:tab w:val="clear" w:pos="1795"/>
              </w:tabs>
              <w:spacing w:line="276" w:lineRule="auto"/>
              <w:ind w:left="61" w:right="248" w:firstLine="0"/>
              <w:rPr>
                <w:rFonts w:ascii="宋体" w:hAnsi="宋体"/>
                <w:color w:val="auto"/>
                <w:sz w:val="22"/>
                <w:szCs w:val="22"/>
              </w:rPr>
            </w:pPr>
            <w:r>
              <w:rPr>
                <w:rFonts w:hint="eastAsia" w:ascii="宋体" w:hAnsi="宋体"/>
                <w:color w:val="auto"/>
                <w:sz w:val="22"/>
                <w:szCs w:val="22"/>
              </w:rPr>
              <w:t>投标人实施方案：</w:t>
            </w:r>
            <w:r>
              <w:rPr>
                <w:rFonts w:ascii="宋体" w:hAnsi="宋体"/>
                <w:color w:val="auto"/>
                <w:sz w:val="22"/>
                <w:szCs w:val="22"/>
                <w:u w:val="single"/>
              </w:rPr>
              <w:t>3</w:t>
            </w:r>
            <w:r>
              <w:rPr>
                <w:rFonts w:hint="eastAsia" w:ascii="宋体" w:hAnsi="宋体"/>
                <w:color w:val="auto"/>
                <w:sz w:val="22"/>
                <w:szCs w:val="22"/>
                <w:u w:val="single"/>
              </w:rPr>
              <w:t>5</w:t>
            </w:r>
            <w:r>
              <w:rPr>
                <w:rFonts w:hint="eastAsia" w:ascii="宋体" w:hAnsi="宋体"/>
                <w:color w:val="auto"/>
                <w:sz w:val="22"/>
                <w:szCs w:val="22"/>
              </w:rPr>
              <w:t>分</w:t>
            </w:r>
          </w:p>
          <w:p>
            <w:pPr>
              <w:numPr>
                <w:ilvl w:val="0"/>
                <w:numId w:val="1"/>
              </w:numPr>
              <w:tabs>
                <w:tab w:val="left" w:pos="61"/>
                <w:tab w:val="clear" w:pos="1795"/>
              </w:tabs>
              <w:spacing w:line="276" w:lineRule="auto"/>
              <w:ind w:left="61" w:right="248" w:firstLine="0"/>
              <w:rPr>
                <w:rFonts w:ascii="宋体" w:hAnsi="宋体"/>
                <w:color w:val="auto"/>
                <w:sz w:val="22"/>
                <w:szCs w:val="22"/>
                <w:u w:val="single"/>
              </w:rPr>
            </w:pPr>
            <w:r>
              <w:rPr>
                <w:rFonts w:hint="eastAsia" w:ascii="宋体" w:hAnsi="宋体"/>
                <w:color w:val="auto"/>
                <w:sz w:val="22"/>
                <w:szCs w:val="22"/>
              </w:rPr>
              <w:t>项目管理机构及其他评分因素：</w:t>
            </w:r>
            <w:r>
              <w:rPr>
                <w:rFonts w:ascii="宋体" w:hAnsi="宋体"/>
                <w:color w:val="auto"/>
                <w:sz w:val="22"/>
                <w:szCs w:val="22"/>
                <w:u w:val="single"/>
              </w:rPr>
              <w:t>1</w:t>
            </w:r>
            <w:r>
              <w:rPr>
                <w:rFonts w:hint="eastAsia" w:ascii="宋体" w:hAnsi="宋体"/>
                <w:color w:val="auto"/>
                <w:sz w:val="22"/>
                <w:szCs w:val="22"/>
                <w:u w:val="single"/>
              </w:rPr>
              <w:t>0</w:t>
            </w:r>
            <w:r>
              <w:rPr>
                <w:rFonts w:hint="eastAsia" w:ascii="宋体" w:hAnsi="宋体"/>
                <w:color w:val="auto"/>
                <w:sz w:val="22"/>
                <w:szCs w:val="22"/>
              </w:rPr>
              <w:t>分</w:t>
            </w:r>
          </w:p>
          <w:p>
            <w:pPr>
              <w:numPr>
                <w:ilvl w:val="0"/>
                <w:numId w:val="1"/>
              </w:numPr>
              <w:tabs>
                <w:tab w:val="left" w:pos="61"/>
                <w:tab w:val="clear" w:pos="1795"/>
              </w:tabs>
              <w:spacing w:line="276" w:lineRule="auto"/>
              <w:ind w:left="61" w:right="248" w:firstLine="0"/>
              <w:rPr>
                <w:rFonts w:ascii="宋体" w:hAnsi="宋体"/>
                <w:color w:val="auto"/>
                <w:sz w:val="22"/>
                <w:szCs w:val="22"/>
                <w:u w:val="single"/>
              </w:rPr>
            </w:pPr>
            <w:r>
              <w:rPr>
                <w:rFonts w:hint="eastAsia" w:ascii="宋体" w:hAnsi="宋体"/>
                <w:color w:val="auto"/>
                <w:sz w:val="22"/>
                <w:szCs w:val="22"/>
              </w:rPr>
              <w:t>投标报价：</w:t>
            </w:r>
            <w:r>
              <w:rPr>
                <w:rFonts w:hint="eastAsia" w:ascii="宋体" w:hAnsi="宋体"/>
                <w:color w:val="auto"/>
                <w:sz w:val="22"/>
                <w:szCs w:val="22"/>
                <w:u w:val="single"/>
              </w:rPr>
              <w:t>55</w:t>
            </w:r>
            <w:r>
              <w:rPr>
                <w:rFonts w:hint="eastAsia" w:ascii="宋体" w:hAnsi="宋体"/>
                <w:color w:val="auto"/>
                <w:sz w:val="22"/>
                <w:szCs w:val="22"/>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1" w:hRule="atLeast"/>
          <w:jc w:val="center"/>
        </w:trPr>
        <w:tc>
          <w:tcPr>
            <w:tcW w:w="1899" w:type="dxa"/>
            <w:gridSpan w:val="2"/>
            <w:vAlign w:val="center"/>
          </w:tcPr>
          <w:p>
            <w:pPr>
              <w:spacing w:line="400" w:lineRule="exact"/>
              <w:jc w:val="center"/>
              <w:rPr>
                <w:rFonts w:ascii="宋体" w:hAnsi="宋体"/>
                <w:color w:val="auto"/>
                <w:sz w:val="22"/>
                <w:szCs w:val="22"/>
              </w:rPr>
            </w:pPr>
            <w:r>
              <w:rPr>
                <w:rFonts w:ascii="宋体" w:hAnsi="宋体"/>
                <w:color w:val="auto"/>
                <w:sz w:val="22"/>
                <w:szCs w:val="22"/>
              </w:rPr>
              <w:t>2.2.2</w:t>
            </w:r>
          </w:p>
        </w:tc>
        <w:tc>
          <w:tcPr>
            <w:tcW w:w="1839" w:type="dxa"/>
            <w:vAlign w:val="center"/>
          </w:tcPr>
          <w:p>
            <w:pPr>
              <w:spacing w:line="368" w:lineRule="atLeast"/>
              <w:jc w:val="center"/>
              <w:rPr>
                <w:rFonts w:ascii="宋体" w:hAnsi="宋体"/>
                <w:color w:val="auto"/>
                <w:sz w:val="22"/>
                <w:szCs w:val="22"/>
              </w:rPr>
            </w:pPr>
            <w:r>
              <w:rPr>
                <w:rFonts w:hint="eastAsia" w:ascii="宋体" w:hAnsi="宋体"/>
                <w:color w:val="auto"/>
                <w:sz w:val="22"/>
                <w:szCs w:val="22"/>
              </w:rPr>
              <w:t>评标基准价计算</w:t>
            </w:r>
            <w:r>
              <w:rPr>
                <w:rFonts w:ascii="宋体" w:hAnsi="宋体"/>
                <w:color w:val="auto"/>
                <w:sz w:val="22"/>
                <w:szCs w:val="22"/>
              </w:rPr>
              <w:t xml:space="preserve"> </w:t>
            </w:r>
          </w:p>
        </w:tc>
        <w:tc>
          <w:tcPr>
            <w:tcW w:w="5441" w:type="dxa"/>
            <w:vAlign w:val="center"/>
          </w:tcPr>
          <w:p>
            <w:pPr>
              <w:spacing w:before="120" w:after="12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、本工程招标项目的最高投标限价</w:t>
            </w:r>
            <w:r>
              <w:rPr>
                <w:rFonts w:ascii="宋体" w:hAnsi="宋体"/>
                <w:color w:val="auto"/>
                <w:sz w:val="22"/>
                <w:szCs w:val="22"/>
              </w:rPr>
              <w:t>T</w:t>
            </w:r>
            <w:r>
              <w:rPr>
                <w:rFonts w:hint="eastAsia" w:ascii="宋体" w:hAnsi="宋体"/>
                <w:color w:val="auto"/>
                <w:sz w:val="22"/>
                <w:szCs w:val="22"/>
              </w:rPr>
              <w:t>值在招标文件投标人须知前附表中或开标时间</w:t>
            </w:r>
            <w:r>
              <w:rPr>
                <w:rFonts w:ascii="宋体" w:hAnsi="宋体"/>
                <w:color w:val="auto"/>
                <w:sz w:val="22"/>
                <w:szCs w:val="22"/>
              </w:rPr>
              <w:t>15</w:t>
            </w:r>
            <w:r>
              <w:rPr>
                <w:rFonts w:hint="eastAsia" w:ascii="宋体" w:hAnsi="宋体"/>
                <w:color w:val="auto"/>
                <w:sz w:val="22"/>
                <w:szCs w:val="22"/>
              </w:rPr>
              <w:t>日前公布；</w:t>
            </w:r>
          </w:p>
          <w:p>
            <w:pPr>
              <w:spacing w:before="120" w:after="120"/>
              <w:rPr>
                <w:rFonts w:ascii="宋体" w:hAnsi="宋体"/>
                <w:color w:val="auto"/>
                <w:sz w:val="22"/>
                <w:szCs w:val="22"/>
              </w:rPr>
            </w:pPr>
            <w:r>
              <w:rPr>
                <w:rFonts w:ascii="宋体" w:hAnsi="宋体"/>
                <w:color w:val="auto"/>
                <w:sz w:val="22"/>
                <w:szCs w:val="22"/>
              </w:rPr>
              <w:t>2</w:t>
            </w:r>
            <w:r>
              <w:rPr>
                <w:rFonts w:hint="eastAsia" w:ascii="宋体" w:hAnsi="宋体"/>
                <w:color w:val="auto"/>
                <w:sz w:val="22"/>
                <w:szCs w:val="22"/>
              </w:rPr>
              <w:t>、投标人投标报价满足投标人须知前附表3.2.1款要求的为有效报价。采用投标人的有效报价计算评标基准价。如果投标人的投标报价超出</w:t>
            </w:r>
            <w:r>
              <w:rPr>
                <w:rFonts w:ascii="宋体" w:hAnsi="宋体"/>
                <w:color w:val="auto"/>
                <w:sz w:val="22"/>
                <w:szCs w:val="22"/>
              </w:rPr>
              <w:t>T</w:t>
            </w:r>
            <w:r>
              <w:rPr>
                <w:rFonts w:hint="eastAsia" w:ascii="宋体" w:hAnsi="宋体"/>
                <w:color w:val="auto"/>
                <w:sz w:val="22"/>
                <w:szCs w:val="22"/>
              </w:rPr>
              <w:t>值时，报价得分为</w:t>
            </w:r>
            <w:r>
              <w:rPr>
                <w:rFonts w:ascii="宋体" w:hAnsi="宋体"/>
                <w:color w:val="auto"/>
                <w:sz w:val="22"/>
                <w:szCs w:val="22"/>
              </w:rPr>
              <w:t>0</w:t>
            </w:r>
            <w:r>
              <w:rPr>
                <w:rFonts w:hint="eastAsia" w:ascii="宋体" w:hAnsi="宋体"/>
                <w:color w:val="auto"/>
                <w:sz w:val="22"/>
                <w:szCs w:val="22"/>
              </w:rPr>
              <w:t>分，且不参加评标基准价的计算。如果所有投标人的投标报价均超出</w:t>
            </w:r>
            <w:r>
              <w:rPr>
                <w:rFonts w:ascii="宋体" w:hAnsi="宋体"/>
                <w:color w:val="auto"/>
                <w:sz w:val="22"/>
                <w:szCs w:val="22"/>
              </w:rPr>
              <w:t>T</w:t>
            </w:r>
            <w:r>
              <w:rPr>
                <w:rFonts w:hint="eastAsia" w:ascii="宋体" w:hAnsi="宋体"/>
                <w:color w:val="auto"/>
                <w:sz w:val="22"/>
                <w:szCs w:val="22"/>
              </w:rPr>
              <w:t>值，则本次招标失败，重新招标。</w:t>
            </w:r>
          </w:p>
          <w:p>
            <w:pPr>
              <w:spacing w:before="120" w:after="120"/>
              <w:rPr>
                <w:rFonts w:ascii="宋体" w:hAnsi="宋体"/>
                <w:color w:val="auto"/>
                <w:sz w:val="22"/>
                <w:szCs w:val="21"/>
              </w:rPr>
            </w:pPr>
            <w:r>
              <w:rPr>
                <w:rFonts w:ascii="宋体" w:hAnsi="宋体"/>
                <w:color w:val="auto"/>
                <w:sz w:val="22"/>
                <w:szCs w:val="22"/>
              </w:rPr>
              <w:t>3</w:t>
            </w:r>
            <w:r>
              <w:rPr>
                <w:rFonts w:hint="eastAsia" w:ascii="宋体" w:hAnsi="宋体"/>
                <w:color w:val="auto"/>
                <w:sz w:val="22"/>
                <w:szCs w:val="22"/>
              </w:rPr>
              <w:t>、经评标委员会评审投标人不符合形式评审、资格评审、响应性评审和无效标的不参加评标基准价的计算。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899" w:type="dxa"/>
            <w:gridSpan w:val="2"/>
            <w:vAlign w:val="center"/>
          </w:tcPr>
          <w:p>
            <w:pPr>
              <w:spacing w:line="400" w:lineRule="exact"/>
              <w:jc w:val="center"/>
              <w:rPr>
                <w:rFonts w:ascii="宋体" w:hAnsi="宋体"/>
                <w:color w:val="auto"/>
                <w:sz w:val="22"/>
                <w:szCs w:val="22"/>
              </w:rPr>
            </w:pPr>
            <w:r>
              <w:rPr>
                <w:rFonts w:ascii="宋体" w:hAnsi="宋体"/>
                <w:color w:val="auto"/>
                <w:sz w:val="22"/>
                <w:szCs w:val="22"/>
              </w:rPr>
              <w:t>3.4.1</w:t>
            </w:r>
          </w:p>
        </w:tc>
        <w:tc>
          <w:tcPr>
            <w:tcW w:w="1839" w:type="dxa"/>
            <w:vAlign w:val="center"/>
          </w:tcPr>
          <w:p>
            <w:pPr>
              <w:spacing w:line="400" w:lineRule="exact"/>
              <w:jc w:val="center"/>
              <w:rPr>
                <w:rFonts w:ascii="宋体" w:hAnsi="宋体"/>
                <w:color w:val="auto"/>
                <w:sz w:val="22"/>
                <w:szCs w:val="22"/>
              </w:rPr>
            </w:pPr>
            <w:r>
              <w:rPr>
                <w:rFonts w:hint="eastAsia" w:ascii="宋体" w:hAnsi="宋体"/>
                <w:color w:val="auto"/>
                <w:sz w:val="22"/>
                <w:szCs w:val="22"/>
              </w:rPr>
              <w:t>投标人最终得分的计算方法</w:t>
            </w:r>
          </w:p>
        </w:tc>
        <w:tc>
          <w:tcPr>
            <w:tcW w:w="5441" w:type="dxa"/>
            <w:vAlign w:val="center"/>
          </w:tcPr>
          <w:p>
            <w:pPr>
              <w:numPr>
                <w:ilvl w:val="1"/>
                <w:numId w:val="2"/>
              </w:numPr>
              <w:tabs>
                <w:tab w:val="clear" w:pos="780"/>
              </w:tabs>
              <w:spacing w:line="400" w:lineRule="exact"/>
              <w:ind w:left="0" w:firstLine="0"/>
              <w:jc w:val="left"/>
              <w:rPr>
                <w:rFonts w:ascii="宋体" w:hAnsi="宋体"/>
                <w:color w:val="auto"/>
                <w:sz w:val="22"/>
                <w:szCs w:val="22"/>
              </w:rPr>
            </w:pPr>
            <w:r>
              <w:rPr>
                <w:rFonts w:hint="eastAsia" w:ascii="宋体" w:hAnsi="宋体"/>
                <w:color w:val="auto"/>
                <w:sz w:val="22"/>
                <w:szCs w:val="22"/>
              </w:rPr>
              <w:t>投标人最终得分</w:t>
            </w:r>
            <w:r>
              <w:rPr>
                <w:rFonts w:ascii="宋体" w:hAnsi="宋体"/>
                <w:color w:val="auto"/>
                <w:sz w:val="22"/>
                <w:szCs w:val="22"/>
              </w:rPr>
              <w:t>=A+B+C</w:t>
            </w:r>
            <w:r>
              <w:rPr>
                <w:rFonts w:hint="eastAsia" w:ascii="宋体" w:hAnsi="宋体"/>
                <w:color w:val="auto"/>
                <w:sz w:val="22"/>
                <w:szCs w:val="22"/>
              </w:rPr>
              <w:t>；</w:t>
            </w:r>
            <w:r>
              <w:rPr>
                <w:rFonts w:ascii="宋体" w:hAnsi="宋体"/>
                <w:color w:val="auto"/>
                <w:sz w:val="22"/>
                <w:szCs w:val="2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5" w:hRule="atLeast"/>
          <w:jc w:val="center"/>
        </w:trPr>
        <w:tc>
          <w:tcPr>
            <w:tcW w:w="1899" w:type="dxa"/>
            <w:gridSpan w:val="2"/>
            <w:vAlign w:val="center"/>
          </w:tcPr>
          <w:p>
            <w:pPr>
              <w:spacing w:line="400" w:lineRule="exact"/>
              <w:jc w:val="center"/>
              <w:rPr>
                <w:rFonts w:ascii="宋体" w:hAnsi="宋体"/>
                <w:color w:val="auto"/>
                <w:sz w:val="22"/>
                <w:szCs w:val="22"/>
              </w:rPr>
            </w:pPr>
            <w:r>
              <w:rPr>
                <w:rFonts w:ascii="宋体" w:hAnsi="宋体"/>
                <w:color w:val="auto"/>
                <w:sz w:val="22"/>
                <w:szCs w:val="22"/>
              </w:rPr>
              <w:t>3.4.2</w:t>
            </w:r>
          </w:p>
        </w:tc>
        <w:tc>
          <w:tcPr>
            <w:tcW w:w="1839" w:type="dxa"/>
            <w:vAlign w:val="center"/>
          </w:tcPr>
          <w:p>
            <w:pPr>
              <w:spacing w:line="400" w:lineRule="exact"/>
              <w:jc w:val="center"/>
              <w:rPr>
                <w:rFonts w:ascii="宋体" w:hAnsi="宋体"/>
                <w:color w:val="auto"/>
                <w:sz w:val="22"/>
                <w:szCs w:val="22"/>
              </w:rPr>
            </w:pPr>
            <w:r>
              <w:rPr>
                <w:rFonts w:hint="eastAsia" w:ascii="宋体" w:hAnsi="宋体"/>
                <w:color w:val="auto"/>
                <w:sz w:val="22"/>
                <w:szCs w:val="22"/>
              </w:rPr>
              <w:t>评标结果</w:t>
            </w:r>
          </w:p>
        </w:tc>
        <w:tc>
          <w:tcPr>
            <w:tcW w:w="5441" w:type="dxa"/>
            <w:vAlign w:val="center"/>
          </w:tcPr>
          <w:p>
            <w:pPr>
              <w:tabs>
                <w:tab w:val="left" w:pos="6300"/>
              </w:tabs>
              <w:spacing w:line="300" w:lineRule="exact"/>
              <w:ind w:firstLine="440" w:firstLineChars="200"/>
              <w:rPr>
                <w:rFonts w:ascii="宋体" w:hAnsi="宋体"/>
                <w:color w:val="auto"/>
                <w:sz w:val="22"/>
                <w:szCs w:val="22"/>
              </w:rPr>
            </w:pPr>
            <w:r>
              <w:rPr>
                <w:rFonts w:hint="eastAsia" w:ascii="宋体" w:hAnsi="宋体"/>
                <w:color w:val="auto"/>
                <w:sz w:val="22"/>
                <w:szCs w:val="22"/>
              </w:rPr>
              <w:t>评标委员会完成评标后，应当向招标人提交书面评标报告。招标人应当自收到评标委员会提出的评标报告之日起</w:t>
            </w:r>
            <w:r>
              <w:rPr>
                <w:rFonts w:ascii="宋体" w:hAnsi="宋体"/>
                <w:color w:val="auto"/>
                <w:sz w:val="22"/>
                <w:szCs w:val="22"/>
              </w:rPr>
              <w:t>3</w:t>
            </w:r>
            <w:r>
              <w:rPr>
                <w:rFonts w:hint="eastAsia" w:ascii="宋体" w:hAnsi="宋体"/>
                <w:color w:val="auto"/>
                <w:sz w:val="22"/>
                <w:szCs w:val="22"/>
              </w:rPr>
              <w:t>日内公示中标候选人，公示时间不得少于</w:t>
            </w:r>
            <w:r>
              <w:rPr>
                <w:rFonts w:ascii="宋体" w:hAnsi="宋体"/>
                <w:color w:val="auto"/>
                <w:sz w:val="22"/>
                <w:szCs w:val="22"/>
              </w:rPr>
              <w:t>3</w:t>
            </w:r>
            <w:r>
              <w:rPr>
                <w:rFonts w:hint="eastAsia" w:ascii="宋体" w:hAnsi="宋体"/>
                <w:color w:val="auto"/>
                <w:sz w:val="22"/>
                <w:szCs w:val="22"/>
              </w:rPr>
              <w:t>日。招标人应当选择排名第一的中标候选人作为中标人。（投标人或其他利害关系人对评标结果有异议的，应当在中标候选人公示期间提出。招标人应当自收到异议之日起</w:t>
            </w:r>
            <w:r>
              <w:rPr>
                <w:rFonts w:ascii="宋体" w:hAnsi="宋体"/>
                <w:color w:val="auto"/>
                <w:sz w:val="22"/>
                <w:szCs w:val="22"/>
              </w:rPr>
              <w:t>3</w:t>
            </w:r>
            <w:r>
              <w:rPr>
                <w:rFonts w:hint="eastAsia" w:ascii="宋体" w:hAnsi="宋体"/>
                <w:color w:val="auto"/>
                <w:sz w:val="22"/>
                <w:szCs w:val="22"/>
              </w:rPr>
              <w:t>日内作出答复；作出答复前，应当暂停招标投标活动）</w:t>
            </w:r>
          </w:p>
        </w:tc>
      </w:tr>
    </w:tbl>
    <w:p>
      <w:pPr>
        <w:spacing w:line="400" w:lineRule="exact"/>
        <w:rPr>
          <w:rFonts w:ascii="宋体" w:hAnsi="宋体"/>
          <w:color w:val="auto"/>
          <w:sz w:val="28"/>
          <w:szCs w:val="21"/>
        </w:rPr>
      </w:pPr>
    </w:p>
    <w:p>
      <w:pPr>
        <w:spacing w:line="400" w:lineRule="exact"/>
        <w:rPr>
          <w:rFonts w:hAnsi="宋体"/>
          <w:b/>
          <w:bCs/>
          <w:color w:val="auto"/>
          <w:sz w:val="24"/>
          <w:szCs w:val="22"/>
        </w:rPr>
      </w:pPr>
      <w:bookmarkStart w:id="1" w:name="_Toc221950515"/>
      <w:bookmarkStart w:id="2" w:name="_Toc259524346"/>
      <w:bookmarkStart w:id="3" w:name="_Toc337497190"/>
      <w:r>
        <w:rPr>
          <w:rFonts w:hint="eastAsia" w:hAnsi="宋体"/>
          <w:b/>
          <w:bCs/>
          <w:color w:val="auto"/>
          <w:sz w:val="24"/>
          <w:szCs w:val="24"/>
        </w:rPr>
        <w:t>附件一：评分标准</w:t>
      </w:r>
      <w:bookmarkEnd w:id="1"/>
      <w:bookmarkEnd w:id="2"/>
      <w:bookmarkEnd w:id="3"/>
    </w:p>
    <w:p>
      <w:pPr>
        <w:jc w:val="center"/>
        <w:rPr>
          <w:rFonts w:ascii="宋体" w:hAnsi="宋体"/>
          <w:b/>
          <w:bCs/>
          <w:color w:val="auto"/>
          <w:sz w:val="24"/>
          <w:szCs w:val="24"/>
        </w:rPr>
      </w:pPr>
      <w:r>
        <w:rPr>
          <w:rFonts w:hint="eastAsia" w:ascii="宋体" w:hAnsi="宋体"/>
          <w:b/>
          <w:bCs/>
          <w:color w:val="auto"/>
          <w:sz w:val="24"/>
          <w:szCs w:val="24"/>
        </w:rPr>
        <w:t>A、投标人实施方案（</w:t>
      </w:r>
      <w:r>
        <w:rPr>
          <w:rFonts w:ascii="宋体" w:hAnsi="宋体"/>
          <w:b/>
          <w:bCs/>
          <w:color w:val="auto"/>
          <w:sz w:val="24"/>
          <w:szCs w:val="24"/>
        </w:rPr>
        <w:t>3</w:t>
      </w:r>
      <w:r>
        <w:rPr>
          <w:rFonts w:hint="eastAsia" w:ascii="宋体" w:hAnsi="宋体"/>
          <w:b/>
          <w:bCs/>
          <w:color w:val="auto"/>
          <w:sz w:val="24"/>
          <w:szCs w:val="24"/>
        </w:rPr>
        <w:t>5分）</w:t>
      </w:r>
    </w:p>
    <w:tbl>
      <w:tblPr>
        <w:tblStyle w:val="7"/>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5"/>
        <w:gridCol w:w="1477"/>
        <w:gridCol w:w="739"/>
        <w:gridCol w:w="4669"/>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序号</w:t>
            </w:r>
          </w:p>
        </w:tc>
        <w:tc>
          <w:tcPr>
            <w:tcW w:w="1572" w:type="dxa"/>
            <w:gridSpan w:val="2"/>
            <w:vAlign w:val="center"/>
          </w:tcPr>
          <w:p>
            <w:pPr>
              <w:spacing w:line="360" w:lineRule="auto"/>
              <w:jc w:val="center"/>
              <w:rPr>
                <w:rFonts w:ascii="宋体" w:hAnsi="宋体"/>
                <w:color w:val="auto"/>
                <w:sz w:val="22"/>
                <w:szCs w:val="22"/>
              </w:rPr>
            </w:pPr>
            <w:r>
              <w:rPr>
                <w:rFonts w:hint="eastAsia" w:ascii="宋体" w:hAnsi="宋体"/>
                <w:color w:val="auto"/>
                <w:sz w:val="22"/>
                <w:szCs w:val="22"/>
              </w:rPr>
              <w:t>评分因素</w:t>
            </w:r>
          </w:p>
        </w:tc>
        <w:tc>
          <w:tcPr>
            <w:tcW w:w="73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分值</w:t>
            </w:r>
          </w:p>
        </w:tc>
        <w:tc>
          <w:tcPr>
            <w:tcW w:w="466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评分标准</w:t>
            </w:r>
          </w:p>
        </w:tc>
        <w:tc>
          <w:tcPr>
            <w:tcW w:w="1944"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一</w:t>
            </w:r>
          </w:p>
        </w:tc>
        <w:tc>
          <w:tcPr>
            <w:tcW w:w="1572" w:type="dxa"/>
            <w:gridSpan w:val="2"/>
            <w:vAlign w:val="center"/>
          </w:tcPr>
          <w:p>
            <w:pPr>
              <w:spacing w:line="360" w:lineRule="auto"/>
              <w:rPr>
                <w:rFonts w:ascii="宋体" w:hAnsi="宋体"/>
                <w:color w:val="auto"/>
                <w:sz w:val="22"/>
                <w:szCs w:val="22"/>
              </w:rPr>
            </w:pPr>
            <w:r>
              <w:rPr>
                <w:rFonts w:hint="eastAsia" w:ascii="宋体" w:hAnsi="宋体"/>
                <w:color w:val="auto"/>
                <w:sz w:val="22"/>
                <w:szCs w:val="22"/>
              </w:rPr>
              <w:t>设计部分</w:t>
            </w:r>
          </w:p>
        </w:tc>
        <w:tc>
          <w:tcPr>
            <w:tcW w:w="73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15分</w:t>
            </w:r>
          </w:p>
        </w:tc>
        <w:tc>
          <w:tcPr>
            <w:tcW w:w="4669" w:type="dxa"/>
          </w:tcPr>
          <w:p>
            <w:pPr>
              <w:spacing w:line="360" w:lineRule="auto"/>
              <w:jc w:val="left"/>
              <w:rPr>
                <w:rFonts w:ascii="宋体" w:hAnsi="宋体"/>
                <w:color w:val="auto"/>
                <w:sz w:val="22"/>
                <w:szCs w:val="22"/>
              </w:rPr>
            </w:pPr>
          </w:p>
        </w:tc>
        <w:tc>
          <w:tcPr>
            <w:tcW w:w="1944" w:type="dxa"/>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1</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路径方案</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4分</w:t>
            </w:r>
          </w:p>
        </w:tc>
        <w:tc>
          <w:tcPr>
            <w:tcW w:w="4669" w:type="dxa"/>
          </w:tcPr>
          <w:p>
            <w:pPr>
              <w:jc w:val="left"/>
              <w:rPr>
                <w:rFonts w:ascii="宋体" w:hAnsi="宋体"/>
                <w:color w:val="auto"/>
                <w:sz w:val="22"/>
                <w:szCs w:val="22"/>
              </w:rPr>
            </w:pPr>
            <w:r>
              <w:rPr>
                <w:rFonts w:hint="eastAsia" w:ascii="宋体" w:hAnsi="宋体"/>
                <w:color w:val="auto"/>
                <w:sz w:val="22"/>
                <w:szCs w:val="22"/>
              </w:rPr>
              <w:t>对初设路径方案的分析情况，是否有优化及优化的可行性分析。</w:t>
            </w:r>
          </w:p>
        </w:tc>
        <w:tc>
          <w:tcPr>
            <w:tcW w:w="1944" w:type="dxa"/>
            <w:vMerge w:val="restart"/>
            <w:vAlign w:val="center"/>
          </w:tcPr>
          <w:p>
            <w:pPr>
              <w:jc w:val="center"/>
              <w:rPr>
                <w:rFonts w:ascii="宋体" w:hAnsi="宋体"/>
                <w:color w:val="auto"/>
                <w:sz w:val="22"/>
                <w:szCs w:val="22"/>
              </w:rPr>
            </w:pPr>
            <w:r>
              <w:rPr>
                <w:rFonts w:hint="eastAsia" w:ascii="宋体" w:hAnsi="宋体" w:cs="宋体"/>
                <w:color w:val="auto"/>
                <w:spacing w:val="-6"/>
                <w:sz w:val="22"/>
                <w:szCs w:val="22"/>
              </w:rPr>
              <w:t>按4个等级评定：“很好”计分值的90%~100%，“较好”计80~90%，“一般”计70%~80%，“较差但可行”计60%~70%。本项目由评标委员会按照上述规定，独立评分并签名，各评审因素得分一般不得低于其满分的60%，评标委员会成员对某一项评分因素的评分低于权重分值60%的，应在评标报告中做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2</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杆塔及基础型式</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3分</w:t>
            </w:r>
          </w:p>
        </w:tc>
        <w:tc>
          <w:tcPr>
            <w:tcW w:w="4669" w:type="dxa"/>
          </w:tcPr>
          <w:p>
            <w:pPr>
              <w:jc w:val="left"/>
              <w:rPr>
                <w:rFonts w:ascii="宋体" w:hAnsi="宋体"/>
                <w:color w:val="auto"/>
                <w:sz w:val="22"/>
                <w:szCs w:val="22"/>
              </w:rPr>
            </w:pPr>
            <w:r>
              <w:rPr>
                <w:rFonts w:hint="eastAsia" w:ascii="宋体" w:hAnsi="宋体"/>
                <w:color w:val="auto"/>
                <w:sz w:val="22"/>
                <w:szCs w:val="22"/>
              </w:rPr>
              <w:t>杆塔规划、选型及与工程条件、环境的适应性，单基指标及与使用条件的一致性。</w:t>
            </w: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3</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设计进度及技术服务措施</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4分</w:t>
            </w:r>
          </w:p>
        </w:tc>
        <w:tc>
          <w:tcPr>
            <w:tcW w:w="4669" w:type="dxa"/>
          </w:tcPr>
          <w:p>
            <w:pPr>
              <w:jc w:val="left"/>
              <w:rPr>
                <w:rFonts w:ascii="宋体" w:hAnsi="宋体"/>
                <w:color w:val="auto"/>
                <w:sz w:val="22"/>
                <w:szCs w:val="22"/>
              </w:rPr>
            </w:pPr>
            <w:r>
              <w:rPr>
                <w:rFonts w:hint="eastAsia" w:ascii="宋体" w:hAnsi="宋体"/>
                <w:color w:val="auto"/>
                <w:sz w:val="22"/>
                <w:szCs w:val="22"/>
              </w:rPr>
              <w:t>设计进度安排满足工期要求、技术服务保障措施得力，有针对性。</w:t>
            </w: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4</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主要技术经济指标</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4分</w:t>
            </w:r>
          </w:p>
        </w:tc>
        <w:tc>
          <w:tcPr>
            <w:tcW w:w="4669" w:type="dxa"/>
          </w:tcPr>
          <w:p>
            <w:pPr>
              <w:jc w:val="left"/>
              <w:rPr>
                <w:rFonts w:ascii="宋体" w:hAnsi="宋体"/>
                <w:color w:val="auto"/>
                <w:sz w:val="22"/>
                <w:szCs w:val="22"/>
              </w:rPr>
            </w:pPr>
            <w:r>
              <w:rPr>
                <w:rFonts w:hint="eastAsia" w:ascii="宋体" w:hAnsi="宋体"/>
                <w:color w:val="auto"/>
                <w:sz w:val="22"/>
                <w:szCs w:val="22"/>
              </w:rPr>
              <w:t>每公里铁塔钢材用量、每公里基础钢材用量、每公里线路投资、每公里OPGW光缆投资（各项指标及与工程条件、论述的一致、合理、可行）。</w:t>
            </w: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二</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设备材料采购</w:t>
            </w:r>
            <w:r>
              <w:rPr>
                <w:rFonts w:ascii="宋体" w:hAnsi="宋体"/>
                <w:color w:val="auto"/>
                <w:sz w:val="22"/>
                <w:szCs w:val="22"/>
              </w:rPr>
              <w:t>部分</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5分</w:t>
            </w:r>
          </w:p>
        </w:tc>
        <w:tc>
          <w:tcPr>
            <w:tcW w:w="4669" w:type="dxa"/>
          </w:tcPr>
          <w:p>
            <w:pPr>
              <w:jc w:val="left"/>
              <w:rPr>
                <w:rFonts w:ascii="宋体" w:hAnsi="宋体"/>
                <w:color w:val="auto"/>
                <w:sz w:val="22"/>
                <w:szCs w:val="22"/>
              </w:rPr>
            </w:pP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1</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导线及塔材等主材的选择及质量控制</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2分</w:t>
            </w:r>
          </w:p>
        </w:tc>
        <w:tc>
          <w:tcPr>
            <w:tcW w:w="4669" w:type="dxa"/>
          </w:tcPr>
          <w:p>
            <w:pPr>
              <w:jc w:val="left"/>
              <w:rPr>
                <w:rFonts w:ascii="宋体" w:hAnsi="宋体"/>
                <w:color w:val="auto"/>
                <w:sz w:val="22"/>
                <w:szCs w:val="22"/>
              </w:rPr>
            </w:pPr>
            <w:r>
              <w:rPr>
                <w:rFonts w:hint="eastAsia" w:ascii="宋体" w:hAnsi="宋体"/>
                <w:color w:val="auto"/>
                <w:sz w:val="22"/>
                <w:szCs w:val="22"/>
              </w:rPr>
              <w:t>导线及塔材选择的合理性、对线路安全运行的保障、质量控制、原材料及各专项的试验检测方案等。</w:t>
            </w:r>
          </w:p>
          <w:p>
            <w:pPr>
              <w:jc w:val="left"/>
              <w:rPr>
                <w:rFonts w:ascii="宋体" w:hAnsi="宋体"/>
                <w:color w:val="auto"/>
                <w:sz w:val="22"/>
                <w:szCs w:val="22"/>
              </w:rPr>
            </w:pPr>
            <w:r>
              <w:rPr>
                <w:rFonts w:hint="eastAsia" w:ascii="宋体" w:hAnsi="宋体"/>
                <w:color w:val="auto"/>
                <w:sz w:val="22"/>
                <w:szCs w:val="22"/>
              </w:rPr>
              <w:t>符合或优于初步设计说明书提出的主要技术参数和重要性能指标</w:t>
            </w: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2</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OPGW光缆的选择及质量控制</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2分</w:t>
            </w:r>
          </w:p>
        </w:tc>
        <w:tc>
          <w:tcPr>
            <w:tcW w:w="4669" w:type="dxa"/>
          </w:tcPr>
          <w:p>
            <w:pPr>
              <w:jc w:val="left"/>
              <w:rPr>
                <w:rFonts w:ascii="宋体" w:hAnsi="宋体"/>
                <w:color w:val="auto"/>
                <w:sz w:val="22"/>
                <w:szCs w:val="22"/>
              </w:rPr>
            </w:pPr>
            <w:r>
              <w:rPr>
                <w:rFonts w:hint="eastAsia" w:ascii="宋体" w:hAnsi="宋体"/>
                <w:color w:val="auto"/>
                <w:sz w:val="22"/>
                <w:szCs w:val="22"/>
              </w:rPr>
              <w:t>拟采购的设备材料质量控制措施的合理性和有效性</w:t>
            </w: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3</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金具的质量控制</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1分</w:t>
            </w:r>
          </w:p>
        </w:tc>
        <w:tc>
          <w:tcPr>
            <w:tcW w:w="4669" w:type="dxa"/>
          </w:tcPr>
          <w:p>
            <w:pPr>
              <w:jc w:val="left"/>
              <w:rPr>
                <w:rFonts w:ascii="宋体" w:hAnsi="宋体"/>
                <w:color w:val="auto"/>
                <w:sz w:val="22"/>
                <w:szCs w:val="22"/>
              </w:rPr>
            </w:pPr>
            <w:r>
              <w:rPr>
                <w:rFonts w:hint="eastAsia" w:ascii="宋体" w:hAnsi="宋体"/>
                <w:color w:val="auto"/>
                <w:sz w:val="22"/>
                <w:szCs w:val="22"/>
              </w:rPr>
              <w:t>拟采购的设备材料质量控制措施的合理性和有效性</w:t>
            </w: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三</w:t>
            </w:r>
          </w:p>
        </w:tc>
        <w:tc>
          <w:tcPr>
            <w:tcW w:w="1572" w:type="dxa"/>
            <w:gridSpan w:val="2"/>
            <w:vAlign w:val="center"/>
          </w:tcPr>
          <w:p>
            <w:pPr>
              <w:jc w:val="left"/>
              <w:rPr>
                <w:rFonts w:ascii="宋体" w:hAnsi="宋体"/>
                <w:color w:val="auto"/>
                <w:sz w:val="22"/>
                <w:szCs w:val="22"/>
              </w:rPr>
            </w:pPr>
            <w:r>
              <w:rPr>
                <w:rFonts w:ascii="宋体" w:hAnsi="宋体"/>
                <w:color w:val="auto"/>
                <w:sz w:val="22"/>
                <w:szCs w:val="22"/>
              </w:rPr>
              <w:t>施工部分</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15分</w:t>
            </w:r>
          </w:p>
        </w:tc>
        <w:tc>
          <w:tcPr>
            <w:tcW w:w="4669" w:type="dxa"/>
          </w:tcPr>
          <w:p>
            <w:pPr>
              <w:jc w:val="left"/>
              <w:rPr>
                <w:rFonts w:ascii="宋体" w:hAnsi="宋体"/>
                <w:color w:val="auto"/>
                <w:sz w:val="22"/>
                <w:szCs w:val="22"/>
              </w:rPr>
            </w:pP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1</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施工方案</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2分</w:t>
            </w:r>
          </w:p>
        </w:tc>
        <w:tc>
          <w:tcPr>
            <w:tcW w:w="4669" w:type="dxa"/>
          </w:tcPr>
          <w:p>
            <w:pPr>
              <w:jc w:val="left"/>
              <w:rPr>
                <w:rFonts w:ascii="宋体" w:hAnsi="宋体"/>
                <w:color w:val="auto"/>
                <w:sz w:val="22"/>
                <w:szCs w:val="22"/>
              </w:rPr>
            </w:pPr>
            <w:r>
              <w:rPr>
                <w:rFonts w:hint="eastAsia" w:ascii="宋体" w:hAnsi="宋体"/>
                <w:color w:val="auto"/>
                <w:sz w:val="22"/>
                <w:szCs w:val="22"/>
              </w:rPr>
              <w:t>根据对项目施工情况总体是否有深刻认识，方案是否表达清晰、完整、严谨、合理、具体、有效，是否符合规范要求，对各投标文件进行比较后评分。</w:t>
            </w: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2</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重难点分析及解决方案</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2分</w:t>
            </w:r>
          </w:p>
        </w:tc>
        <w:tc>
          <w:tcPr>
            <w:tcW w:w="4669" w:type="dxa"/>
          </w:tcPr>
          <w:p>
            <w:pPr>
              <w:jc w:val="left"/>
              <w:rPr>
                <w:rFonts w:ascii="宋体" w:hAnsi="宋体"/>
                <w:color w:val="auto"/>
                <w:sz w:val="22"/>
                <w:szCs w:val="22"/>
              </w:rPr>
            </w:pPr>
            <w:r>
              <w:rPr>
                <w:rFonts w:hint="eastAsia" w:ascii="宋体" w:hAnsi="宋体"/>
                <w:color w:val="auto"/>
                <w:sz w:val="22"/>
                <w:szCs w:val="22"/>
              </w:rPr>
              <w:t>根据对相关重点、难点分析情况及解决方案的合理性、实用性进行评分。</w:t>
            </w: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3</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征地及协调</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3分</w:t>
            </w:r>
          </w:p>
        </w:tc>
        <w:tc>
          <w:tcPr>
            <w:tcW w:w="4669" w:type="dxa"/>
          </w:tcPr>
          <w:p>
            <w:pPr>
              <w:jc w:val="left"/>
              <w:rPr>
                <w:rFonts w:ascii="宋体" w:hAnsi="宋体"/>
                <w:color w:val="auto"/>
                <w:sz w:val="22"/>
                <w:szCs w:val="22"/>
              </w:rPr>
            </w:pPr>
            <w:r>
              <w:rPr>
                <w:rFonts w:hint="eastAsia" w:ascii="宋体" w:hAnsi="宋体"/>
                <w:color w:val="auto"/>
                <w:sz w:val="22"/>
                <w:szCs w:val="22"/>
              </w:rPr>
              <w:t>征地及协调工作的开展、具体实施方案</w:t>
            </w:r>
            <w:r>
              <w:rPr>
                <w:rFonts w:hint="eastAsia" w:ascii="宋体" w:hAnsi="宋体"/>
                <w:b/>
                <w:bCs/>
                <w:color w:val="auto"/>
                <w:sz w:val="22"/>
                <w:szCs w:val="22"/>
              </w:rPr>
              <w:t>及提供书面保证承诺；如投标人未自行承诺并提供承诺书，得0分。</w:t>
            </w: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4</w:t>
            </w:r>
          </w:p>
        </w:tc>
        <w:tc>
          <w:tcPr>
            <w:tcW w:w="1572" w:type="dxa"/>
            <w:gridSpan w:val="2"/>
            <w:vAlign w:val="center"/>
          </w:tcPr>
          <w:p>
            <w:pPr>
              <w:jc w:val="left"/>
              <w:rPr>
                <w:rFonts w:ascii="宋体" w:hAnsi="宋体"/>
                <w:color w:val="auto"/>
                <w:sz w:val="22"/>
                <w:szCs w:val="22"/>
              </w:rPr>
            </w:pPr>
            <w:r>
              <w:rPr>
                <w:rFonts w:hint="eastAsia" w:ascii="宋体" w:hAnsi="宋体"/>
                <w:color w:val="auto"/>
                <w:sz w:val="22"/>
                <w:szCs w:val="22"/>
              </w:rPr>
              <w:t>与电网公司以及其他相关主管部门的配合协调</w:t>
            </w:r>
          </w:p>
        </w:tc>
        <w:tc>
          <w:tcPr>
            <w:tcW w:w="739" w:type="dxa"/>
            <w:vAlign w:val="center"/>
          </w:tcPr>
          <w:p>
            <w:pPr>
              <w:jc w:val="center"/>
              <w:rPr>
                <w:rFonts w:ascii="宋体" w:hAnsi="宋体"/>
                <w:color w:val="auto"/>
                <w:sz w:val="22"/>
                <w:szCs w:val="22"/>
              </w:rPr>
            </w:pPr>
            <w:r>
              <w:rPr>
                <w:rFonts w:hint="eastAsia" w:ascii="宋体" w:hAnsi="宋体"/>
                <w:color w:val="auto"/>
                <w:sz w:val="22"/>
                <w:szCs w:val="22"/>
              </w:rPr>
              <w:t>3分</w:t>
            </w:r>
          </w:p>
        </w:tc>
        <w:tc>
          <w:tcPr>
            <w:tcW w:w="4669" w:type="dxa"/>
            <w:vAlign w:val="center"/>
          </w:tcPr>
          <w:p>
            <w:pPr>
              <w:jc w:val="left"/>
              <w:rPr>
                <w:rFonts w:ascii="宋体" w:hAnsi="宋体"/>
                <w:color w:val="auto"/>
                <w:sz w:val="22"/>
                <w:szCs w:val="22"/>
              </w:rPr>
            </w:pPr>
            <w:r>
              <w:rPr>
                <w:rFonts w:hint="eastAsia" w:ascii="宋体" w:hAnsi="宋体"/>
                <w:color w:val="auto"/>
                <w:sz w:val="22"/>
                <w:szCs w:val="22"/>
              </w:rPr>
              <w:t>与电网公司以及其他相关主管部门的配合协调满足项目实际需求</w:t>
            </w:r>
            <w:r>
              <w:rPr>
                <w:rFonts w:hint="eastAsia" w:ascii="宋体" w:hAnsi="宋体"/>
                <w:b/>
                <w:bCs/>
                <w:color w:val="auto"/>
                <w:sz w:val="22"/>
                <w:szCs w:val="22"/>
              </w:rPr>
              <w:t>及提供书面保证承诺。</w:t>
            </w: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bottom w:val="single" w:color="auto" w:sz="4" w:space="0"/>
            </w:tcBorders>
            <w:vAlign w:val="center"/>
          </w:tcPr>
          <w:p>
            <w:pPr>
              <w:spacing w:line="360" w:lineRule="auto"/>
              <w:jc w:val="center"/>
              <w:rPr>
                <w:rFonts w:ascii="宋体" w:hAnsi="宋体"/>
                <w:color w:val="auto"/>
                <w:sz w:val="22"/>
                <w:szCs w:val="22"/>
              </w:rPr>
            </w:pPr>
            <w:r>
              <w:rPr>
                <w:rFonts w:hint="eastAsia" w:ascii="宋体" w:hAnsi="宋体"/>
                <w:color w:val="auto"/>
                <w:sz w:val="22"/>
                <w:szCs w:val="22"/>
              </w:rPr>
              <w:t>5</w:t>
            </w:r>
          </w:p>
        </w:tc>
        <w:tc>
          <w:tcPr>
            <w:tcW w:w="1572" w:type="dxa"/>
            <w:gridSpan w:val="2"/>
            <w:tcBorders>
              <w:bottom w:val="single" w:color="auto" w:sz="4" w:space="0"/>
            </w:tcBorders>
            <w:vAlign w:val="center"/>
          </w:tcPr>
          <w:p>
            <w:pPr>
              <w:jc w:val="left"/>
              <w:rPr>
                <w:rFonts w:ascii="宋体" w:hAnsi="宋体"/>
                <w:color w:val="auto"/>
                <w:sz w:val="22"/>
                <w:szCs w:val="22"/>
              </w:rPr>
            </w:pPr>
            <w:r>
              <w:rPr>
                <w:rFonts w:hint="eastAsia" w:ascii="宋体" w:hAnsi="宋体"/>
                <w:color w:val="auto"/>
                <w:sz w:val="22"/>
                <w:szCs w:val="22"/>
              </w:rPr>
              <w:t>进度计划及保证措施</w:t>
            </w:r>
          </w:p>
        </w:tc>
        <w:tc>
          <w:tcPr>
            <w:tcW w:w="739" w:type="dxa"/>
            <w:tcBorders>
              <w:bottom w:val="single" w:color="auto" w:sz="4" w:space="0"/>
            </w:tcBorders>
            <w:vAlign w:val="center"/>
          </w:tcPr>
          <w:p>
            <w:pPr>
              <w:jc w:val="center"/>
              <w:rPr>
                <w:rFonts w:ascii="宋体" w:hAnsi="宋体"/>
                <w:color w:val="auto"/>
                <w:sz w:val="22"/>
                <w:szCs w:val="22"/>
              </w:rPr>
            </w:pPr>
            <w:r>
              <w:rPr>
                <w:rFonts w:hint="eastAsia" w:ascii="宋体" w:hAnsi="宋体"/>
                <w:color w:val="auto"/>
                <w:sz w:val="22"/>
                <w:szCs w:val="22"/>
              </w:rPr>
              <w:t>3分</w:t>
            </w:r>
          </w:p>
        </w:tc>
        <w:tc>
          <w:tcPr>
            <w:tcW w:w="4669" w:type="dxa"/>
            <w:tcBorders>
              <w:bottom w:val="single" w:color="auto" w:sz="4" w:space="0"/>
            </w:tcBorders>
          </w:tcPr>
          <w:p>
            <w:pPr>
              <w:jc w:val="left"/>
              <w:rPr>
                <w:rFonts w:ascii="宋体" w:hAnsi="宋体"/>
                <w:color w:val="auto"/>
                <w:sz w:val="22"/>
                <w:szCs w:val="22"/>
              </w:rPr>
            </w:pPr>
            <w:r>
              <w:rPr>
                <w:rFonts w:hint="eastAsia" w:ascii="宋体" w:hAnsi="宋体"/>
                <w:color w:val="auto"/>
                <w:sz w:val="22"/>
                <w:szCs w:val="22"/>
              </w:rPr>
              <w:t>设计进度安排满足工期要求、技术服务保障措施得力、有针对性。</w:t>
            </w:r>
          </w:p>
        </w:tc>
        <w:tc>
          <w:tcPr>
            <w:tcW w:w="1944" w:type="dxa"/>
            <w:vMerge w:val="continue"/>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Borders>
              <w:bottom w:val="single" w:color="auto" w:sz="4" w:space="0"/>
            </w:tcBorders>
            <w:vAlign w:val="center"/>
          </w:tcPr>
          <w:p>
            <w:pPr>
              <w:spacing w:line="360" w:lineRule="auto"/>
              <w:jc w:val="center"/>
              <w:rPr>
                <w:rFonts w:ascii="宋体" w:hAnsi="宋体"/>
                <w:color w:val="auto"/>
                <w:sz w:val="22"/>
                <w:szCs w:val="22"/>
              </w:rPr>
            </w:pPr>
            <w:r>
              <w:rPr>
                <w:rFonts w:hint="eastAsia" w:ascii="宋体" w:hAnsi="宋体"/>
                <w:color w:val="auto"/>
                <w:sz w:val="22"/>
                <w:szCs w:val="22"/>
              </w:rPr>
              <w:t>6</w:t>
            </w:r>
          </w:p>
        </w:tc>
        <w:tc>
          <w:tcPr>
            <w:tcW w:w="1572" w:type="dxa"/>
            <w:gridSpan w:val="2"/>
            <w:tcBorders>
              <w:bottom w:val="single" w:color="auto" w:sz="4" w:space="0"/>
            </w:tcBorders>
            <w:vAlign w:val="center"/>
          </w:tcPr>
          <w:p>
            <w:pPr>
              <w:jc w:val="left"/>
              <w:rPr>
                <w:rFonts w:ascii="宋体" w:hAnsi="宋体"/>
                <w:color w:val="auto"/>
                <w:sz w:val="22"/>
                <w:szCs w:val="22"/>
              </w:rPr>
            </w:pPr>
            <w:r>
              <w:rPr>
                <w:rFonts w:hint="eastAsia" w:ascii="宋体" w:hAnsi="宋体"/>
                <w:color w:val="auto"/>
                <w:sz w:val="22"/>
                <w:szCs w:val="22"/>
              </w:rPr>
              <w:t>环保及安全文明施工措施</w:t>
            </w:r>
          </w:p>
        </w:tc>
        <w:tc>
          <w:tcPr>
            <w:tcW w:w="739" w:type="dxa"/>
            <w:tcBorders>
              <w:bottom w:val="single" w:color="auto" w:sz="4" w:space="0"/>
            </w:tcBorders>
            <w:vAlign w:val="center"/>
          </w:tcPr>
          <w:p>
            <w:pPr>
              <w:jc w:val="center"/>
              <w:rPr>
                <w:rFonts w:ascii="宋体" w:hAnsi="宋体"/>
                <w:color w:val="auto"/>
                <w:sz w:val="22"/>
                <w:szCs w:val="22"/>
              </w:rPr>
            </w:pPr>
            <w:r>
              <w:rPr>
                <w:rFonts w:hint="eastAsia" w:ascii="宋体" w:hAnsi="宋体"/>
                <w:color w:val="auto"/>
                <w:sz w:val="22"/>
                <w:szCs w:val="22"/>
              </w:rPr>
              <w:t>2分</w:t>
            </w:r>
          </w:p>
        </w:tc>
        <w:tc>
          <w:tcPr>
            <w:tcW w:w="4669" w:type="dxa"/>
            <w:tcBorders>
              <w:bottom w:val="single" w:color="auto" w:sz="4" w:space="0"/>
            </w:tcBorders>
          </w:tcPr>
          <w:p>
            <w:pPr>
              <w:jc w:val="left"/>
              <w:rPr>
                <w:rFonts w:ascii="宋体" w:hAnsi="宋体"/>
                <w:color w:val="auto"/>
                <w:sz w:val="22"/>
                <w:szCs w:val="22"/>
              </w:rPr>
            </w:pPr>
            <w:r>
              <w:rPr>
                <w:rFonts w:hint="eastAsia" w:ascii="宋体" w:hAnsi="宋体"/>
                <w:color w:val="auto"/>
                <w:sz w:val="22"/>
                <w:szCs w:val="22"/>
              </w:rPr>
              <w:t>根据相关措施的合理性、实用性进行评分。</w:t>
            </w:r>
          </w:p>
        </w:tc>
        <w:tc>
          <w:tcPr>
            <w:tcW w:w="1944" w:type="dxa"/>
            <w:vMerge w:val="continue"/>
            <w:tcBorders>
              <w:bottom w:val="single" w:color="auto" w:sz="4" w:space="0"/>
            </w:tcBorders>
            <w:vAlign w:val="center"/>
          </w:tcPr>
          <w:p>
            <w:pPr>
              <w:spacing w:line="360" w:lineRule="auto"/>
              <w:jc w:val="center"/>
              <w:rPr>
                <w:rFonts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6"/>
            <w:tcBorders>
              <w:bottom w:val="single" w:color="auto" w:sz="4" w:space="0"/>
            </w:tcBorders>
            <w:vAlign w:val="center"/>
          </w:tcPr>
          <w:p>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以上评分是评委个人公正评判投标人投标文件主观内容的反映，是个性与共性的统一。为所有评委主观分的算术平均值。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6"/>
            <w:tcBorders>
              <w:top w:val="single" w:color="auto" w:sz="4" w:space="0"/>
              <w:left w:val="nil"/>
              <w:bottom w:val="nil"/>
              <w:right w:val="nil"/>
            </w:tcBorders>
          </w:tcPr>
          <w:p>
            <w:pPr>
              <w:pStyle w:val="2"/>
              <w:rPr>
                <w:rFonts w:ascii="宋体" w:hAnsi="宋体"/>
                <w:color w:val="auto"/>
                <w:sz w:val="20"/>
                <w:szCs w:val="22"/>
              </w:rPr>
            </w:pPr>
          </w:p>
          <w:p>
            <w:pPr>
              <w:pStyle w:val="2"/>
              <w:rPr>
                <w:rFonts w:ascii="宋体" w:hAnsi="宋体"/>
                <w:color w:val="auto"/>
                <w:sz w:val="20"/>
                <w:szCs w:val="22"/>
              </w:rPr>
            </w:pPr>
          </w:p>
          <w:p>
            <w:pPr>
              <w:jc w:val="center"/>
              <w:rPr>
                <w:rFonts w:ascii="宋体" w:hAnsi="宋体"/>
                <w:color w:val="auto"/>
                <w:sz w:val="22"/>
                <w:szCs w:val="22"/>
              </w:rPr>
            </w:pPr>
            <w:r>
              <w:rPr>
                <w:rFonts w:hint="eastAsia" w:ascii="宋体" w:hAnsi="宋体"/>
                <w:b/>
                <w:bCs/>
                <w:color w:val="auto"/>
                <w:sz w:val="24"/>
                <w:szCs w:val="24"/>
              </w:rPr>
              <w:t>B、项目管理机构及其他评分因素（</w:t>
            </w:r>
            <w:r>
              <w:rPr>
                <w:rFonts w:ascii="宋体" w:hAnsi="宋体"/>
                <w:b/>
                <w:bCs/>
                <w:color w:val="auto"/>
                <w:sz w:val="24"/>
                <w:szCs w:val="24"/>
              </w:rPr>
              <w:t>10</w:t>
            </w:r>
            <w:r>
              <w:rPr>
                <w:rFonts w:hint="eastAsia" w:ascii="宋体" w:hAnsi="宋体"/>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94" w:type="dxa"/>
            <w:gridSpan w:val="2"/>
            <w:vAlign w:val="center"/>
          </w:tcPr>
          <w:p>
            <w:pPr>
              <w:spacing w:line="360" w:lineRule="auto"/>
              <w:jc w:val="center"/>
              <w:rPr>
                <w:rFonts w:ascii="宋体" w:hAnsi="宋体"/>
                <w:color w:val="auto"/>
                <w:sz w:val="22"/>
                <w:szCs w:val="22"/>
              </w:rPr>
            </w:pPr>
            <w:r>
              <w:rPr>
                <w:rFonts w:hint="eastAsia" w:ascii="宋体" w:hAnsi="宋体"/>
                <w:color w:val="auto"/>
                <w:sz w:val="22"/>
                <w:szCs w:val="22"/>
              </w:rPr>
              <w:t>序号</w:t>
            </w:r>
          </w:p>
        </w:tc>
        <w:tc>
          <w:tcPr>
            <w:tcW w:w="1477"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评分因素</w:t>
            </w:r>
          </w:p>
        </w:tc>
        <w:tc>
          <w:tcPr>
            <w:tcW w:w="73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分值</w:t>
            </w:r>
          </w:p>
        </w:tc>
        <w:tc>
          <w:tcPr>
            <w:tcW w:w="6613" w:type="dxa"/>
            <w:gridSpan w:val="2"/>
            <w:vAlign w:val="center"/>
          </w:tcPr>
          <w:p>
            <w:pPr>
              <w:spacing w:line="360" w:lineRule="auto"/>
              <w:jc w:val="center"/>
              <w:rPr>
                <w:color w:val="auto"/>
                <w:sz w:val="22"/>
                <w:szCs w:val="21"/>
              </w:rPr>
            </w:pPr>
            <w:r>
              <w:rPr>
                <w:rFonts w:hint="eastAsia" w:ascii="宋体" w:hAnsi="宋体"/>
                <w:color w:val="auto"/>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94" w:type="dxa"/>
            <w:gridSpan w:val="2"/>
            <w:vMerge w:val="restart"/>
            <w:vAlign w:val="center"/>
          </w:tcPr>
          <w:p>
            <w:pPr>
              <w:jc w:val="center"/>
              <w:rPr>
                <w:rFonts w:ascii="宋体" w:hAnsi="宋体"/>
                <w:color w:val="auto"/>
                <w:sz w:val="22"/>
                <w:szCs w:val="22"/>
              </w:rPr>
            </w:pPr>
            <w:r>
              <w:rPr>
                <w:rFonts w:ascii="宋体" w:hAnsi="宋体"/>
                <w:color w:val="auto"/>
                <w:sz w:val="22"/>
                <w:szCs w:val="22"/>
              </w:rPr>
              <w:t>1</w:t>
            </w:r>
          </w:p>
        </w:tc>
        <w:tc>
          <w:tcPr>
            <w:tcW w:w="1477" w:type="dxa"/>
            <w:vMerge w:val="restart"/>
            <w:vAlign w:val="center"/>
          </w:tcPr>
          <w:p>
            <w:pPr>
              <w:autoSpaceDE w:val="0"/>
              <w:autoSpaceDN w:val="0"/>
              <w:adjustRightInd w:val="0"/>
              <w:jc w:val="left"/>
              <w:rPr>
                <w:rFonts w:ascii="宋体" w:hAnsi="宋体" w:cs="宋体"/>
                <w:color w:val="auto"/>
                <w:kern w:val="0"/>
                <w:sz w:val="22"/>
                <w:szCs w:val="22"/>
              </w:rPr>
            </w:pPr>
            <w:r>
              <w:rPr>
                <w:rFonts w:hint="eastAsia" w:ascii="宋体" w:hAnsi="宋体" w:cs="宋体"/>
                <w:color w:val="auto"/>
                <w:kern w:val="0"/>
                <w:sz w:val="22"/>
                <w:szCs w:val="22"/>
              </w:rPr>
              <w:t>项目负责人（项目经理）</w:t>
            </w:r>
          </w:p>
        </w:tc>
        <w:tc>
          <w:tcPr>
            <w:tcW w:w="739" w:type="dxa"/>
            <w:vMerge w:val="restart"/>
            <w:vAlign w:val="center"/>
          </w:tcPr>
          <w:p>
            <w:pPr>
              <w:jc w:val="left"/>
              <w:rPr>
                <w:rFonts w:ascii="宋体" w:hAnsi="宋体"/>
                <w:color w:val="auto"/>
                <w:sz w:val="22"/>
                <w:szCs w:val="22"/>
              </w:rPr>
            </w:pPr>
            <w:r>
              <w:rPr>
                <w:rFonts w:hint="eastAsia" w:ascii="宋体" w:hAnsi="宋体"/>
                <w:color w:val="auto"/>
                <w:sz w:val="22"/>
                <w:szCs w:val="22"/>
              </w:rPr>
              <w:t>2分</w:t>
            </w:r>
          </w:p>
        </w:tc>
        <w:tc>
          <w:tcPr>
            <w:tcW w:w="6613" w:type="dxa"/>
            <w:gridSpan w:val="2"/>
            <w:vAlign w:val="center"/>
          </w:tcPr>
          <w:p>
            <w:pPr>
              <w:jc w:val="left"/>
              <w:rPr>
                <w:color w:val="auto"/>
                <w:sz w:val="22"/>
                <w:szCs w:val="21"/>
              </w:rPr>
            </w:pPr>
            <w:r>
              <w:rPr>
                <w:rFonts w:hint="eastAsia"/>
                <w:color w:val="auto"/>
                <w:sz w:val="22"/>
                <w:szCs w:val="21"/>
              </w:rPr>
              <w:t>（1）在满足资格审查要求基础上，具有</w:t>
            </w:r>
            <w:r>
              <w:rPr>
                <w:rFonts w:hint="eastAsia" w:ascii="宋体" w:hAnsi="宋体" w:cs="宋体"/>
                <w:color w:val="auto"/>
                <w:kern w:val="0"/>
                <w:sz w:val="22"/>
                <w:szCs w:val="22"/>
              </w:rPr>
              <w:t>电力工程（或机电工程）专业壹级注册建造师证</w:t>
            </w:r>
            <w:r>
              <w:rPr>
                <w:rFonts w:hint="eastAsia"/>
                <w:color w:val="auto"/>
                <w:sz w:val="22"/>
                <w:szCs w:val="21"/>
              </w:rPr>
              <w:t>加0.5分；具有</w:t>
            </w:r>
            <w:r>
              <w:rPr>
                <w:rFonts w:hint="eastAsia" w:ascii="宋体" w:hAnsi="宋体" w:cs="宋体"/>
                <w:color w:val="auto"/>
                <w:kern w:val="0"/>
                <w:sz w:val="22"/>
                <w:szCs w:val="22"/>
              </w:rPr>
              <w:t>高级及以上技术职称</w:t>
            </w:r>
            <w:r>
              <w:rPr>
                <w:rFonts w:hint="eastAsia"/>
                <w:color w:val="auto"/>
                <w:sz w:val="22"/>
                <w:szCs w:val="21"/>
              </w:rPr>
              <w:t>，加0.5分；满分1分，</w:t>
            </w:r>
            <w:r>
              <w:rPr>
                <w:rFonts w:hint="eastAsia" w:ascii="宋体" w:hAnsi="宋体"/>
                <w:color w:val="auto"/>
                <w:sz w:val="22"/>
                <w:szCs w:val="22"/>
              </w:rPr>
              <w:t>不提供不计分</w:t>
            </w:r>
            <w:r>
              <w:rPr>
                <w:rFonts w:hint="eastAsia"/>
                <w:color w:val="auto"/>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794" w:type="dxa"/>
            <w:gridSpan w:val="2"/>
            <w:vMerge w:val="continue"/>
            <w:vAlign w:val="center"/>
          </w:tcPr>
          <w:p>
            <w:pPr>
              <w:jc w:val="center"/>
              <w:rPr>
                <w:rFonts w:ascii="宋体" w:hAnsi="宋体"/>
                <w:color w:val="auto"/>
                <w:sz w:val="22"/>
                <w:szCs w:val="22"/>
              </w:rPr>
            </w:pPr>
          </w:p>
        </w:tc>
        <w:tc>
          <w:tcPr>
            <w:tcW w:w="1477" w:type="dxa"/>
            <w:vMerge w:val="continue"/>
            <w:vAlign w:val="center"/>
          </w:tcPr>
          <w:p>
            <w:pPr>
              <w:autoSpaceDE w:val="0"/>
              <w:autoSpaceDN w:val="0"/>
              <w:adjustRightInd w:val="0"/>
              <w:jc w:val="left"/>
              <w:rPr>
                <w:rFonts w:ascii="宋体" w:hAnsi="宋体" w:cs="宋体"/>
                <w:color w:val="auto"/>
                <w:kern w:val="0"/>
                <w:sz w:val="22"/>
                <w:szCs w:val="22"/>
              </w:rPr>
            </w:pPr>
          </w:p>
        </w:tc>
        <w:tc>
          <w:tcPr>
            <w:tcW w:w="739" w:type="dxa"/>
            <w:vMerge w:val="continue"/>
            <w:vAlign w:val="center"/>
          </w:tcPr>
          <w:p>
            <w:pPr>
              <w:jc w:val="left"/>
              <w:rPr>
                <w:rFonts w:ascii="宋体" w:hAnsi="宋体"/>
                <w:color w:val="auto"/>
                <w:sz w:val="22"/>
                <w:szCs w:val="22"/>
              </w:rPr>
            </w:pPr>
          </w:p>
        </w:tc>
        <w:tc>
          <w:tcPr>
            <w:tcW w:w="6613" w:type="dxa"/>
            <w:gridSpan w:val="2"/>
            <w:vAlign w:val="center"/>
          </w:tcPr>
          <w:p>
            <w:pPr>
              <w:rPr>
                <w:color w:val="auto"/>
                <w:sz w:val="22"/>
                <w:szCs w:val="21"/>
              </w:rPr>
            </w:pPr>
            <w:r>
              <w:rPr>
                <w:rFonts w:hint="eastAsia"/>
                <w:color w:val="auto"/>
                <w:sz w:val="22"/>
                <w:szCs w:val="21"/>
              </w:rPr>
              <w:t>（2）拟派本项目的项目负责人作为项目负责人近3年（</w:t>
            </w:r>
            <w:r>
              <w:rPr>
                <w:color w:val="auto"/>
                <w:sz w:val="22"/>
                <w:szCs w:val="21"/>
              </w:rPr>
              <w:t>2017年1月1日至</w:t>
            </w:r>
            <w:r>
              <w:rPr>
                <w:rFonts w:hint="eastAsia"/>
                <w:color w:val="auto"/>
                <w:sz w:val="22"/>
                <w:szCs w:val="21"/>
              </w:rPr>
              <w:t>投标截止时间止）完成过1个</w:t>
            </w:r>
            <w:r>
              <w:rPr>
                <w:color w:val="auto"/>
                <w:sz w:val="22"/>
                <w:szCs w:val="21"/>
              </w:rPr>
              <w:t>110kV</w:t>
            </w:r>
            <w:r>
              <w:rPr>
                <w:rFonts w:hint="eastAsia"/>
                <w:color w:val="auto"/>
                <w:sz w:val="22"/>
                <w:szCs w:val="21"/>
              </w:rPr>
              <w:t>及以上送出工程</w:t>
            </w:r>
            <w:r>
              <w:rPr>
                <w:color w:val="auto"/>
                <w:sz w:val="22"/>
                <w:szCs w:val="21"/>
              </w:rPr>
              <w:t>EPC</w:t>
            </w:r>
            <w:r>
              <w:rPr>
                <w:rFonts w:hint="eastAsia"/>
                <w:color w:val="auto"/>
                <w:sz w:val="22"/>
                <w:szCs w:val="21"/>
              </w:rPr>
              <w:t>总承包项目业绩，得0.5分，最多得1分。</w:t>
            </w:r>
          </w:p>
          <w:p>
            <w:pPr>
              <w:rPr>
                <w:color w:val="auto"/>
                <w:sz w:val="22"/>
                <w:szCs w:val="21"/>
              </w:rPr>
            </w:pPr>
            <w:r>
              <w:rPr>
                <w:rFonts w:hint="eastAsia"/>
                <w:color w:val="auto"/>
                <w:sz w:val="22"/>
                <w:szCs w:val="21"/>
              </w:rPr>
              <w:t>注：业绩证明材料包括合同协议书和工程已投运的业主证明材料，业主证明材料须体现项目负责人（项目经理）名字，否则不予认可。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94" w:type="dxa"/>
            <w:gridSpan w:val="2"/>
            <w:vAlign w:val="center"/>
          </w:tcPr>
          <w:p>
            <w:pPr>
              <w:jc w:val="center"/>
              <w:rPr>
                <w:rFonts w:ascii="宋体" w:hAnsi="宋体"/>
                <w:color w:val="auto"/>
                <w:sz w:val="22"/>
                <w:szCs w:val="22"/>
              </w:rPr>
            </w:pPr>
            <w:r>
              <w:rPr>
                <w:rFonts w:ascii="宋体" w:hAnsi="宋体"/>
                <w:color w:val="auto"/>
                <w:sz w:val="22"/>
                <w:szCs w:val="22"/>
              </w:rPr>
              <w:t>2</w:t>
            </w:r>
          </w:p>
        </w:tc>
        <w:tc>
          <w:tcPr>
            <w:tcW w:w="1477" w:type="dxa"/>
            <w:vAlign w:val="center"/>
          </w:tcPr>
          <w:p>
            <w:pPr>
              <w:autoSpaceDE w:val="0"/>
              <w:autoSpaceDN w:val="0"/>
              <w:adjustRightInd w:val="0"/>
              <w:jc w:val="left"/>
              <w:rPr>
                <w:rFonts w:ascii="宋体" w:hAnsi="宋体" w:cs="宋体"/>
                <w:color w:val="auto"/>
                <w:kern w:val="0"/>
                <w:sz w:val="22"/>
                <w:szCs w:val="22"/>
              </w:rPr>
            </w:pPr>
            <w:r>
              <w:rPr>
                <w:rFonts w:hint="eastAsia" w:ascii="宋体" w:hAnsi="宋体" w:cs="宋体"/>
                <w:color w:val="auto"/>
                <w:kern w:val="0"/>
                <w:sz w:val="22"/>
                <w:szCs w:val="22"/>
              </w:rPr>
              <w:t>设计负责人</w:t>
            </w:r>
          </w:p>
        </w:tc>
        <w:tc>
          <w:tcPr>
            <w:tcW w:w="739" w:type="dxa"/>
            <w:vAlign w:val="center"/>
          </w:tcPr>
          <w:p>
            <w:pPr>
              <w:jc w:val="left"/>
              <w:rPr>
                <w:rFonts w:ascii="宋体" w:hAnsi="宋体"/>
                <w:color w:val="auto"/>
                <w:sz w:val="22"/>
                <w:szCs w:val="22"/>
              </w:rPr>
            </w:pPr>
            <w:r>
              <w:rPr>
                <w:rFonts w:hint="eastAsia" w:ascii="宋体" w:hAnsi="宋体"/>
                <w:color w:val="auto"/>
                <w:sz w:val="22"/>
                <w:szCs w:val="22"/>
              </w:rPr>
              <w:t>1分</w:t>
            </w:r>
          </w:p>
        </w:tc>
        <w:tc>
          <w:tcPr>
            <w:tcW w:w="6613" w:type="dxa"/>
            <w:gridSpan w:val="2"/>
            <w:vAlign w:val="center"/>
          </w:tcPr>
          <w:p>
            <w:pPr>
              <w:jc w:val="left"/>
              <w:rPr>
                <w:rFonts w:ascii="宋体" w:hAnsi="宋体"/>
                <w:color w:val="auto"/>
                <w:sz w:val="22"/>
                <w:szCs w:val="22"/>
              </w:rPr>
            </w:pPr>
            <w:r>
              <w:rPr>
                <w:rFonts w:hint="eastAsia" w:ascii="宋体" w:hAnsi="宋体"/>
                <w:color w:val="auto"/>
                <w:sz w:val="22"/>
                <w:szCs w:val="22"/>
              </w:rPr>
              <w:t>具备电力工程（或机电工程）专业高级及以上职称证书</w:t>
            </w:r>
            <w:r>
              <w:rPr>
                <w:rFonts w:hint="eastAsia"/>
                <w:color w:val="auto"/>
                <w:sz w:val="22"/>
                <w:szCs w:val="21"/>
              </w:rPr>
              <w:t>得0.5分，具有</w:t>
            </w:r>
            <w:r>
              <w:rPr>
                <w:rFonts w:hint="eastAsia" w:ascii="宋体" w:hAnsi="宋体"/>
                <w:color w:val="auto"/>
                <w:sz w:val="22"/>
                <w:szCs w:val="22"/>
              </w:rPr>
              <w:t>注册电气工程师资格证书得0.5分，</w:t>
            </w:r>
            <w:r>
              <w:rPr>
                <w:rFonts w:hint="eastAsia"/>
                <w:color w:val="auto"/>
                <w:sz w:val="22"/>
                <w:szCs w:val="21"/>
              </w:rPr>
              <w:t>最多得1分</w:t>
            </w:r>
            <w:r>
              <w:rPr>
                <w:rFonts w:hint="eastAsia" w:ascii="宋体" w:hAnsi="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794" w:type="dxa"/>
            <w:gridSpan w:val="2"/>
            <w:vAlign w:val="center"/>
          </w:tcPr>
          <w:p>
            <w:pPr>
              <w:jc w:val="center"/>
              <w:rPr>
                <w:rFonts w:ascii="宋体" w:hAnsi="宋体"/>
                <w:color w:val="auto"/>
                <w:sz w:val="22"/>
                <w:szCs w:val="22"/>
              </w:rPr>
            </w:pPr>
            <w:r>
              <w:rPr>
                <w:rFonts w:hint="eastAsia" w:ascii="宋体" w:hAnsi="宋体"/>
                <w:color w:val="auto"/>
                <w:sz w:val="22"/>
                <w:szCs w:val="22"/>
              </w:rPr>
              <w:t>3</w:t>
            </w:r>
          </w:p>
        </w:tc>
        <w:tc>
          <w:tcPr>
            <w:tcW w:w="1477" w:type="dxa"/>
            <w:vAlign w:val="center"/>
          </w:tcPr>
          <w:p>
            <w:pPr>
              <w:autoSpaceDE w:val="0"/>
              <w:autoSpaceDN w:val="0"/>
              <w:adjustRightInd w:val="0"/>
              <w:jc w:val="left"/>
              <w:rPr>
                <w:rFonts w:ascii="宋体" w:hAnsi="宋体" w:cs="宋体"/>
                <w:color w:val="auto"/>
                <w:kern w:val="0"/>
                <w:sz w:val="22"/>
                <w:szCs w:val="22"/>
              </w:rPr>
            </w:pPr>
            <w:r>
              <w:rPr>
                <w:rFonts w:hint="eastAsia" w:ascii="宋体" w:hAnsi="宋体" w:cs="宋体"/>
                <w:color w:val="auto"/>
                <w:kern w:val="0"/>
                <w:sz w:val="22"/>
                <w:szCs w:val="22"/>
              </w:rPr>
              <w:t>施工负责人</w:t>
            </w:r>
          </w:p>
        </w:tc>
        <w:tc>
          <w:tcPr>
            <w:tcW w:w="739" w:type="dxa"/>
            <w:vAlign w:val="center"/>
          </w:tcPr>
          <w:p>
            <w:pPr>
              <w:jc w:val="left"/>
              <w:rPr>
                <w:rFonts w:ascii="宋体" w:hAnsi="宋体"/>
                <w:color w:val="auto"/>
                <w:sz w:val="22"/>
                <w:szCs w:val="22"/>
              </w:rPr>
            </w:pPr>
            <w:r>
              <w:rPr>
                <w:rFonts w:hint="eastAsia" w:ascii="宋体" w:hAnsi="宋体"/>
                <w:color w:val="auto"/>
                <w:sz w:val="22"/>
                <w:szCs w:val="22"/>
              </w:rPr>
              <w:t>1分</w:t>
            </w:r>
          </w:p>
        </w:tc>
        <w:tc>
          <w:tcPr>
            <w:tcW w:w="6613" w:type="dxa"/>
            <w:gridSpan w:val="2"/>
            <w:vAlign w:val="center"/>
          </w:tcPr>
          <w:p>
            <w:pPr>
              <w:jc w:val="left"/>
              <w:rPr>
                <w:color w:val="auto"/>
                <w:sz w:val="22"/>
                <w:szCs w:val="24"/>
              </w:rPr>
            </w:pPr>
            <w:r>
              <w:rPr>
                <w:rFonts w:hint="eastAsia"/>
                <w:color w:val="auto"/>
                <w:sz w:val="22"/>
                <w:szCs w:val="24"/>
              </w:rPr>
              <w:t>拟投入本项目的施工负责人作为施工负责人，近3年（2017年1月1日至</w:t>
            </w:r>
            <w:r>
              <w:rPr>
                <w:rFonts w:hint="eastAsia"/>
                <w:color w:val="auto"/>
                <w:sz w:val="22"/>
                <w:szCs w:val="21"/>
              </w:rPr>
              <w:t>投标截止时间止</w:t>
            </w:r>
            <w:r>
              <w:rPr>
                <w:rFonts w:hint="eastAsia"/>
                <w:color w:val="auto"/>
                <w:sz w:val="22"/>
                <w:szCs w:val="24"/>
              </w:rPr>
              <w:t>）完成过1个110kV及以上送出工程业绩的，得0.5分，最多得1.0分。</w:t>
            </w:r>
          </w:p>
          <w:p>
            <w:pPr>
              <w:jc w:val="left"/>
              <w:rPr>
                <w:color w:val="auto"/>
                <w:sz w:val="22"/>
                <w:szCs w:val="21"/>
              </w:rPr>
            </w:pPr>
            <w:r>
              <w:rPr>
                <w:rFonts w:hint="eastAsia"/>
                <w:color w:val="auto"/>
                <w:sz w:val="22"/>
                <w:szCs w:val="24"/>
              </w:rPr>
              <w:t>注：业绩相关证明材料包括合同协议书和工程已投运的业主证明材料复印件，业主证明材料须体现施工负责人名字，否则不予认可。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94" w:type="dxa"/>
            <w:gridSpan w:val="2"/>
            <w:vAlign w:val="center"/>
          </w:tcPr>
          <w:p>
            <w:pPr>
              <w:jc w:val="center"/>
              <w:rPr>
                <w:rFonts w:ascii="宋体" w:hAnsi="宋体"/>
                <w:color w:val="auto"/>
                <w:sz w:val="22"/>
                <w:szCs w:val="22"/>
              </w:rPr>
            </w:pPr>
            <w:r>
              <w:rPr>
                <w:rFonts w:hint="eastAsia" w:ascii="宋体" w:hAnsi="宋体"/>
                <w:color w:val="auto"/>
                <w:sz w:val="22"/>
                <w:szCs w:val="22"/>
              </w:rPr>
              <w:t>4</w:t>
            </w:r>
          </w:p>
        </w:tc>
        <w:tc>
          <w:tcPr>
            <w:tcW w:w="1477" w:type="dxa"/>
            <w:vAlign w:val="center"/>
          </w:tcPr>
          <w:p>
            <w:pPr>
              <w:jc w:val="left"/>
              <w:rPr>
                <w:rFonts w:ascii="宋体" w:hAnsi="宋体"/>
                <w:color w:val="auto"/>
                <w:sz w:val="22"/>
                <w:szCs w:val="22"/>
              </w:rPr>
            </w:pPr>
            <w:r>
              <w:rPr>
                <w:rFonts w:hint="eastAsia" w:ascii="宋体" w:hAnsi="宋体" w:cs="宋体"/>
                <w:color w:val="auto"/>
                <w:kern w:val="0"/>
                <w:sz w:val="22"/>
                <w:szCs w:val="22"/>
              </w:rPr>
              <w:t>专职安全负责人</w:t>
            </w:r>
          </w:p>
        </w:tc>
        <w:tc>
          <w:tcPr>
            <w:tcW w:w="739" w:type="dxa"/>
            <w:vAlign w:val="center"/>
          </w:tcPr>
          <w:p>
            <w:pPr>
              <w:jc w:val="left"/>
              <w:rPr>
                <w:rFonts w:ascii="宋体" w:hAnsi="宋体"/>
                <w:color w:val="auto"/>
                <w:sz w:val="22"/>
                <w:szCs w:val="22"/>
              </w:rPr>
            </w:pPr>
            <w:r>
              <w:rPr>
                <w:rFonts w:hint="eastAsia" w:ascii="宋体" w:hAnsi="宋体"/>
                <w:color w:val="auto"/>
                <w:sz w:val="22"/>
                <w:szCs w:val="22"/>
              </w:rPr>
              <w:t>1分</w:t>
            </w:r>
          </w:p>
        </w:tc>
        <w:tc>
          <w:tcPr>
            <w:tcW w:w="6613" w:type="dxa"/>
            <w:gridSpan w:val="2"/>
            <w:vAlign w:val="center"/>
          </w:tcPr>
          <w:p>
            <w:pPr>
              <w:jc w:val="left"/>
              <w:rPr>
                <w:color w:val="auto"/>
                <w:sz w:val="22"/>
                <w:szCs w:val="24"/>
              </w:rPr>
            </w:pPr>
            <w:r>
              <w:rPr>
                <w:rFonts w:hint="eastAsia"/>
                <w:color w:val="auto"/>
                <w:sz w:val="22"/>
                <w:szCs w:val="24"/>
              </w:rPr>
              <w:t>(1)每提供1名专职安全负责人加0.5分，最多加1分；不提供不计分。</w:t>
            </w:r>
          </w:p>
          <w:p>
            <w:pPr>
              <w:jc w:val="left"/>
              <w:rPr>
                <w:color w:val="auto"/>
                <w:sz w:val="22"/>
                <w:szCs w:val="21"/>
              </w:rPr>
            </w:pPr>
            <w:r>
              <w:rPr>
                <w:rFonts w:hint="eastAsia"/>
                <w:color w:val="auto"/>
                <w:sz w:val="22"/>
                <w:szCs w:val="24"/>
              </w:rPr>
              <w:t>注：需提供安全考核合格证（C证）及2019年1月至2019年12月31日的社保证明的复印件，未提供的不计分。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94" w:type="dxa"/>
            <w:gridSpan w:val="2"/>
            <w:vAlign w:val="center"/>
          </w:tcPr>
          <w:p>
            <w:pPr>
              <w:jc w:val="center"/>
              <w:rPr>
                <w:rFonts w:ascii="宋体" w:hAnsi="宋体"/>
                <w:color w:val="auto"/>
                <w:sz w:val="22"/>
                <w:szCs w:val="22"/>
              </w:rPr>
            </w:pPr>
            <w:r>
              <w:rPr>
                <w:rFonts w:hint="eastAsia" w:ascii="宋体" w:hAnsi="宋体"/>
                <w:color w:val="auto"/>
                <w:sz w:val="22"/>
                <w:szCs w:val="22"/>
              </w:rPr>
              <w:t>5</w:t>
            </w:r>
          </w:p>
        </w:tc>
        <w:tc>
          <w:tcPr>
            <w:tcW w:w="1477" w:type="dxa"/>
            <w:vAlign w:val="center"/>
          </w:tcPr>
          <w:p>
            <w:pPr>
              <w:jc w:val="left"/>
              <w:rPr>
                <w:rFonts w:ascii="宋体" w:hAnsi="宋体" w:cs="宋体"/>
                <w:color w:val="auto"/>
                <w:kern w:val="0"/>
                <w:sz w:val="22"/>
                <w:szCs w:val="22"/>
              </w:rPr>
            </w:pPr>
            <w:r>
              <w:rPr>
                <w:rFonts w:hint="eastAsia" w:ascii="宋体" w:hAnsi="宋体" w:cs="宋体"/>
                <w:color w:val="auto"/>
                <w:kern w:val="0"/>
                <w:sz w:val="22"/>
                <w:szCs w:val="22"/>
              </w:rPr>
              <w:t>其他</w:t>
            </w:r>
          </w:p>
        </w:tc>
        <w:tc>
          <w:tcPr>
            <w:tcW w:w="739" w:type="dxa"/>
            <w:vAlign w:val="center"/>
          </w:tcPr>
          <w:p>
            <w:pPr>
              <w:jc w:val="left"/>
              <w:rPr>
                <w:rFonts w:ascii="宋体" w:hAnsi="宋体"/>
                <w:color w:val="auto"/>
                <w:sz w:val="22"/>
                <w:szCs w:val="22"/>
              </w:rPr>
            </w:pPr>
            <w:r>
              <w:rPr>
                <w:rFonts w:hint="eastAsia" w:ascii="宋体" w:hAnsi="宋体"/>
                <w:color w:val="auto"/>
                <w:sz w:val="22"/>
                <w:szCs w:val="22"/>
              </w:rPr>
              <w:t>1分</w:t>
            </w:r>
          </w:p>
        </w:tc>
        <w:tc>
          <w:tcPr>
            <w:tcW w:w="6613" w:type="dxa"/>
            <w:gridSpan w:val="2"/>
            <w:vAlign w:val="center"/>
          </w:tcPr>
          <w:p>
            <w:pPr>
              <w:jc w:val="left"/>
              <w:rPr>
                <w:rFonts w:ascii="宋体" w:hAnsi="宋体"/>
                <w:color w:val="auto"/>
                <w:sz w:val="22"/>
                <w:szCs w:val="22"/>
              </w:rPr>
            </w:pPr>
            <w:r>
              <w:rPr>
                <w:rFonts w:hint="eastAsia" w:ascii="宋体" w:hAnsi="宋体"/>
                <w:color w:val="auto"/>
                <w:sz w:val="22"/>
                <w:szCs w:val="22"/>
              </w:rPr>
              <w:t>质量管理体系认证、环境管理体系和职业安全健康管理体系认证证书情况，通过质量体系认证、环境管理体系、职业安全健康管理体系认证，且证书有效。三个体系认证齐全的得1分；缺一项，不得分。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94" w:type="dxa"/>
            <w:gridSpan w:val="2"/>
            <w:tcBorders>
              <w:bottom w:val="single" w:color="auto" w:sz="4" w:space="0"/>
            </w:tcBorders>
            <w:vAlign w:val="center"/>
          </w:tcPr>
          <w:p>
            <w:pPr>
              <w:jc w:val="center"/>
              <w:rPr>
                <w:rFonts w:ascii="宋体" w:hAnsi="宋体"/>
                <w:color w:val="auto"/>
                <w:sz w:val="22"/>
                <w:szCs w:val="22"/>
              </w:rPr>
            </w:pPr>
            <w:r>
              <w:rPr>
                <w:rFonts w:hint="eastAsia" w:ascii="宋体" w:hAnsi="宋体"/>
                <w:color w:val="auto"/>
                <w:sz w:val="22"/>
                <w:szCs w:val="22"/>
              </w:rPr>
              <w:t>6</w:t>
            </w:r>
          </w:p>
        </w:tc>
        <w:tc>
          <w:tcPr>
            <w:tcW w:w="1477" w:type="dxa"/>
            <w:tcBorders>
              <w:bottom w:val="single" w:color="auto" w:sz="4" w:space="0"/>
            </w:tcBorders>
            <w:vAlign w:val="center"/>
          </w:tcPr>
          <w:p>
            <w:pPr>
              <w:jc w:val="left"/>
              <w:rPr>
                <w:rFonts w:ascii="宋体" w:hAnsi="宋体"/>
                <w:color w:val="auto"/>
                <w:sz w:val="22"/>
                <w:szCs w:val="22"/>
              </w:rPr>
            </w:pPr>
            <w:r>
              <w:rPr>
                <w:rFonts w:hint="eastAsia" w:ascii="宋体" w:hAnsi="宋体" w:cs="宋体"/>
                <w:color w:val="auto"/>
                <w:kern w:val="0"/>
                <w:sz w:val="22"/>
                <w:szCs w:val="22"/>
              </w:rPr>
              <w:t>投标人业绩</w:t>
            </w:r>
          </w:p>
        </w:tc>
        <w:tc>
          <w:tcPr>
            <w:tcW w:w="739" w:type="dxa"/>
            <w:tcBorders>
              <w:bottom w:val="single" w:color="auto" w:sz="4" w:space="0"/>
            </w:tcBorders>
            <w:vAlign w:val="center"/>
          </w:tcPr>
          <w:p>
            <w:pPr>
              <w:jc w:val="left"/>
              <w:rPr>
                <w:rFonts w:ascii="宋体" w:hAnsi="宋体"/>
                <w:color w:val="auto"/>
                <w:sz w:val="22"/>
                <w:szCs w:val="22"/>
              </w:rPr>
            </w:pPr>
            <w:r>
              <w:rPr>
                <w:rFonts w:hint="eastAsia" w:ascii="宋体" w:hAnsi="宋体"/>
                <w:color w:val="auto"/>
                <w:sz w:val="22"/>
                <w:szCs w:val="22"/>
              </w:rPr>
              <w:t>2分</w:t>
            </w:r>
          </w:p>
        </w:tc>
        <w:tc>
          <w:tcPr>
            <w:tcW w:w="6613" w:type="dxa"/>
            <w:gridSpan w:val="2"/>
            <w:tcBorders>
              <w:bottom w:val="single" w:color="auto" w:sz="4" w:space="0"/>
            </w:tcBorders>
            <w:vAlign w:val="center"/>
          </w:tcPr>
          <w:p>
            <w:pPr>
              <w:jc w:val="left"/>
              <w:rPr>
                <w:color w:val="auto"/>
                <w:sz w:val="22"/>
                <w:szCs w:val="24"/>
              </w:rPr>
            </w:pPr>
            <w:r>
              <w:rPr>
                <w:rFonts w:hint="eastAsia"/>
                <w:color w:val="auto"/>
                <w:sz w:val="22"/>
                <w:szCs w:val="24"/>
              </w:rPr>
              <w:t>投标人近3年（2017年1月1日至</w:t>
            </w:r>
            <w:r>
              <w:rPr>
                <w:rFonts w:hint="eastAsia"/>
                <w:color w:val="auto"/>
                <w:sz w:val="22"/>
                <w:szCs w:val="21"/>
              </w:rPr>
              <w:t>投标截止时间止</w:t>
            </w:r>
            <w:r>
              <w:rPr>
                <w:rFonts w:hint="eastAsia"/>
                <w:color w:val="auto"/>
                <w:sz w:val="22"/>
                <w:szCs w:val="24"/>
              </w:rPr>
              <w:t>）完成过1个110kV及以上送出工程EPC总承包业绩的，得0.5分，最多得2分。</w:t>
            </w:r>
          </w:p>
          <w:p>
            <w:pPr>
              <w:jc w:val="left"/>
              <w:rPr>
                <w:color w:val="auto"/>
                <w:sz w:val="22"/>
                <w:szCs w:val="24"/>
              </w:rPr>
            </w:pPr>
            <w:r>
              <w:rPr>
                <w:rFonts w:hint="eastAsia"/>
                <w:color w:val="auto"/>
                <w:sz w:val="22"/>
                <w:szCs w:val="24"/>
              </w:rPr>
              <w:t>注：业绩相关证明材料包括：合同协议书和工程已投运的业主证明材料，业绩证明材料须体现项目为110kV及以上送出工程EPC总承包项目相关内容，否则不予计分。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794" w:type="dxa"/>
            <w:gridSpan w:val="2"/>
            <w:tcBorders>
              <w:bottom w:val="single" w:color="auto" w:sz="4" w:space="0"/>
            </w:tcBorders>
            <w:vAlign w:val="center"/>
          </w:tcPr>
          <w:p>
            <w:pPr>
              <w:jc w:val="center"/>
              <w:rPr>
                <w:rFonts w:ascii="宋体" w:hAnsi="宋体"/>
                <w:color w:val="auto"/>
                <w:sz w:val="22"/>
                <w:szCs w:val="22"/>
              </w:rPr>
            </w:pPr>
            <w:r>
              <w:rPr>
                <w:rFonts w:hint="eastAsia" w:ascii="宋体" w:hAnsi="宋体"/>
                <w:color w:val="auto"/>
                <w:sz w:val="22"/>
                <w:szCs w:val="22"/>
              </w:rPr>
              <w:t>7</w:t>
            </w:r>
          </w:p>
        </w:tc>
        <w:tc>
          <w:tcPr>
            <w:tcW w:w="1477" w:type="dxa"/>
            <w:tcBorders>
              <w:bottom w:val="single" w:color="auto" w:sz="4" w:space="0"/>
            </w:tcBorders>
            <w:vAlign w:val="center"/>
          </w:tcPr>
          <w:p>
            <w:pPr>
              <w:autoSpaceDE w:val="0"/>
              <w:autoSpaceDN w:val="0"/>
              <w:adjustRightInd w:val="0"/>
              <w:jc w:val="left"/>
              <w:rPr>
                <w:rFonts w:ascii="宋体" w:hAnsi="宋体" w:cs="宋体"/>
                <w:color w:val="auto"/>
                <w:kern w:val="0"/>
                <w:sz w:val="22"/>
                <w:szCs w:val="22"/>
              </w:rPr>
            </w:pPr>
            <w:r>
              <w:rPr>
                <w:rFonts w:hint="eastAsia" w:ascii="宋体" w:hAnsi="宋体" w:cs="宋体"/>
                <w:color w:val="auto"/>
                <w:kern w:val="0"/>
                <w:sz w:val="22"/>
                <w:szCs w:val="22"/>
              </w:rPr>
              <w:t>投标人财务能力</w:t>
            </w:r>
          </w:p>
        </w:tc>
        <w:tc>
          <w:tcPr>
            <w:tcW w:w="739" w:type="dxa"/>
            <w:tcBorders>
              <w:bottom w:val="single" w:color="auto" w:sz="4" w:space="0"/>
            </w:tcBorders>
            <w:vAlign w:val="center"/>
          </w:tcPr>
          <w:p>
            <w:pPr>
              <w:jc w:val="left"/>
              <w:rPr>
                <w:rFonts w:ascii="宋体" w:hAnsi="宋体"/>
                <w:color w:val="auto"/>
                <w:sz w:val="22"/>
                <w:szCs w:val="22"/>
              </w:rPr>
            </w:pPr>
            <w:r>
              <w:rPr>
                <w:rFonts w:hint="eastAsia" w:ascii="宋体" w:hAnsi="宋体"/>
                <w:color w:val="auto"/>
                <w:sz w:val="22"/>
                <w:szCs w:val="22"/>
              </w:rPr>
              <w:t>2分</w:t>
            </w:r>
          </w:p>
        </w:tc>
        <w:tc>
          <w:tcPr>
            <w:tcW w:w="6613" w:type="dxa"/>
            <w:gridSpan w:val="2"/>
            <w:tcBorders>
              <w:bottom w:val="single" w:color="auto" w:sz="4" w:space="0"/>
            </w:tcBorders>
          </w:tcPr>
          <w:p>
            <w:pPr>
              <w:jc w:val="left"/>
              <w:rPr>
                <w:color w:val="auto"/>
                <w:sz w:val="22"/>
                <w:szCs w:val="21"/>
              </w:rPr>
            </w:pPr>
            <w:r>
              <w:rPr>
                <w:rFonts w:hint="eastAsia"/>
                <w:color w:val="auto"/>
                <w:sz w:val="22"/>
                <w:szCs w:val="21"/>
              </w:rPr>
              <w:t>（1）2016年至2018年度资产负债表中货币资金期末数，年平均金额为500万元的得0.5分，未达到500万元的不计分；在500万元的基础上，增加500万元及以上加0.5分；货币资金年平均金额超过500万元而未超过1000万元的部分不计分。本项最多1分。</w:t>
            </w:r>
          </w:p>
          <w:p>
            <w:pPr>
              <w:jc w:val="left"/>
              <w:rPr>
                <w:rFonts w:hint="eastAsia"/>
                <w:color w:val="auto"/>
                <w:sz w:val="22"/>
                <w:szCs w:val="21"/>
              </w:rPr>
            </w:pPr>
            <w:r>
              <w:rPr>
                <w:rFonts w:hint="eastAsia"/>
                <w:color w:val="auto"/>
                <w:sz w:val="22"/>
                <w:szCs w:val="21"/>
              </w:rPr>
              <w:t xml:space="preserve"> （2）2016年至2018年度年平均营业收入达到800万元得0.5分，未达到800万元的不计分；在800万元的基础上，增加700万元及以上的加0.5分；年平均营业收入超过800万元而未超过1500万元的部分不计分。本项最多1分。</w:t>
            </w:r>
          </w:p>
          <w:p>
            <w:pPr>
              <w:pStyle w:val="2"/>
              <w:rPr>
                <w:rFonts w:hint="default" w:eastAsia="宋体"/>
                <w:color w:val="auto"/>
                <w:sz w:val="20"/>
                <w:szCs w:val="21"/>
                <w:lang w:val="en-US" w:eastAsia="zh-CN"/>
              </w:rPr>
            </w:pPr>
            <w:r>
              <w:rPr>
                <w:rFonts w:hint="eastAsia"/>
                <w:color w:val="auto"/>
                <w:sz w:val="21"/>
                <w:szCs w:val="28"/>
                <w:lang w:val="en-US" w:eastAsia="zh-CN"/>
              </w:rPr>
              <w:t>注：联合体投标的，仅评审联合体牵头人的财务能力是否满足加分要求。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623" w:type="dxa"/>
            <w:gridSpan w:val="6"/>
            <w:tcBorders>
              <w:bottom w:val="single" w:color="auto" w:sz="4" w:space="0"/>
            </w:tcBorders>
            <w:vAlign w:val="center"/>
          </w:tcPr>
          <w:p>
            <w:pPr>
              <w:rPr>
                <w:rFonts w:hAnsi="宋体"/>
                <w:color w:val="auto"/>
                <w:sz w:val="22"/>
                <w:szCs w:val="22"/>
              </w:rPr>
            </w:pPr>
            <w:r>
              <w:rPr>
                <w:rFonts w:hint="eastAsia" w:ascii="宋体" w:hAnsi="宋体"/>
                <w:color w:val="auto"/>
                <w:sz w:val="22"/>
                <w:szCs w:val="22"/>
              </w:rPr>
              <w:t>以上评分是评委共同公正评判投标人投标文件客观内容的一致反映，必须统一。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623" w:type="dxa"/>
            <w:gridSpan w:val="6"/>
            <w:tcBorders>
              <w:top w:val="single" w:color="auto" w:sz="4" w:space="0"/>
              <w:left w:val="nil"/>
              <w:bottom w:val="nil"/>
              <w:right w:val="nil"/>
            </w:tcBorders>
          </w:tcPr>
          <w:p>
            <w:pPr>
              <w:jc w:val="center"/>
              <w:rPr>
                <w:rFonts w:ascii="宋体" w:hAnsi="宋体"/>
                <w:color w:val="auto"/>
                <w:sz w:val="22"/>
                <w:szCs w:val="22"/>
              </w:rPr>
            </w:pPr>
          </w:p>
          <w:p>
            <w:pPr>
              <w:jc w:val="center"/>
              <w:rPr>
                <w:rFonts w:ascii="宋体" w:hAnsi="宋体"/>
                <w:b/>
                <w:bCs/>
                <w:color w:val="auto"/>
                <w:sz w:val="22"/>
                <w:szCs w:val="22"/>
              </w:rPr>
            </w:pPr>
          </w:p>
          <w:p>
            <w:pPr>
              <w:jc w:val="center"/>
              <w:rPr>
                <w:rFonts w:ascii="宋体" w:hAnsi="宋体"/>
                <w:b/>
                <w:bCs/>
                <w:color w:val="auto"/>
                <w:sz w:val="22"/>
                <w:szCs w:val="22"/>
              </w:rPr>
            </w:pPr>
          </w:p>
          <w:p>
            <w:pPr>
              <w:jc w:val="center"/>
              <w:rPr>
                <w:rFonts w:ascii="宋体" w:hAnsi="宋体"/>
                <w:b/>
                <w:bCs/>
                <w:color w:val="auto"/>
                <w:sz w:val="22"/>
                <w:szCs w:val="22"/>
              </w:rPr>
            </w:pPr>
          </w:p>
          <w:p>
            <w:pPr>
              <w:jc w:val="center"/>
              <w:rPr>
                <w:rFonts w:ascii="宋体" w:hAnsi="宋体"/>
                <w:b/>
                <w:bCs/>
                <w:color w:val="auto"/>
                <w:sz w:val="22"/>
                <w:szCs w:val="22"/>
              </w:rPr>
            </w:pPr>
          </w:p>
          <w:p>
            <w:pPr>
              <w:jc w:val="center"/>
              <w:rPr>
                <w:rFonts w:ascii="宋体" w:hAnsi="宋体"/>
                <w:b/>
                <w:bCs/>
                <w:color w:val="auto"/>
                <w:sz w:val="22"/>
                <w:szCs w:val="22"/>
              </w:rPr>
            </w:pPr>
          </w:p>
          <w:p>
            <w:pPr>
              <w:jc w:val="center"/>
              <w:rPr>
                <w:rFonts w:ascii="宋体" w:hAnsi="宋体"/>
                <w:b/>
                <w:bCs/>
                <w:color w:val="auto"/>
                <w:sz w:val="22"/>
                <w:szCs w:val="22"/>
              </w:rPr>
            </w:pPr>
          </w:p>
          <w:p>
            <w:pPr>
              <w:jc w:val="center"/>
              <w:rPr>
                <w:rFonts w:ascii="宋体" w:hAnsi="宋体"/>
                <w:b/>
                <w:bCs/>
                <w:color w:val="auto"/>
                <w:sz w:val="22"/>
                <w:szCs w:val="22"/>
              </w:rPr>
            </w:pPr>
          </w:p>
          <w:p>
            <w:pPr>
              <w:jc w:val="center"/>
              <w:rPr>
                <w:rFonts w:ascii="宋体" w:hAnsi="宋体"/>
                <w:b/>
                <w:bCs/>
                <w:color w:val="auto"/>
                <w:sz w:val="22"/>
                <w:szCs w:val="22"/>
              </w:rPr>
            </w:pPr>
          </w:p>
          <w:p>
            <w:pPr>
              <w:jc w:val="center"/>
              <w:rPr>
                <w:rFonts w:ascii="宋体" w:hAnsi="宋体"/>
                <w:b/>
                <w:bCs/>
                <w:color w:val="auto"/>
                <w:sz w:val="22"/>
                <w:szCs w:val="22"/>
              </w:rPr>
            </w:pPr>
          </w:p>
          <w:p>
            <w:pPr>
              <w:jc w:val="center"/>
              <w:rPr>
                <w:rFonts w:ascii="宋体" w:hAnsi="宋体"/>
                <w:color w:val="auto"/>
                <w:sz w:val="22"/>
                <w:szCs w:val="22"/>
              </w:rPr>
            </w:pPr>
            <w:r>
              <w:rPr>
                <w:rFonts w:ascii="宋体" w:hAnsi="宋体"/>
                <w:b/>
                <w:bCs/>
                <w:color w:val="auto"/>
                <w:sz w:val="22"/>
                <w:szCs w:val="22"/>
              </w:rPr>
              <w:t>C</w:t>
            </w:r>
            <w:r>
              <w:rPr>
                <w:rFonts w:hint="eastAsia" w:ascii="宋体" w:hAnsi="宋体"/>
                <w:b/>
                <w:bCs/>
                <w:color w:val="auto"/>
                <w:sz w:val="22"/>
                <w:szCs w:val="22"/>
              </w:rPr>
              <w:t>、</w:t>
            </w:r>
            <w:r>
              <w:rPr>
                <w:rFonts w:ascii="宋体" w:hAnsi="宋体"/>
                <w:b/>
                <w:bCs/>
                <w:color w:val="auto"/>
                <w:sz w:val="22"/>
                <w:szCs w:val="22"/>
              </w:rPr>
              <w:t>投标报价</w:t>
            </w:r>
            <w:r>
              <w:rPr>
                <w:rFonts w:hint="eastAsia" w:ascii="宋体" w:hAnsi="宋体"/>
                <w:b/>
                <w:bCs/>
                <w:color w:val="auto"/>
                <w:sz w:val="22"/>
                <w:szCs w:val="22"/>
              </w:rPr>
              <w:t>（5</w:t>
            </w:r>
            <w:r>
              <w:rPr>
                <w:rFonts w:ascii="宋体" w:hAnsi="宋体"/>
                <w:b/>
                <w:bCs/>
                <w:color w:val="auto"/>
                <w:sz w:val="22"/>
                <w:szCs w:val="22"/>
              </w:rPr>
              <w:t>5分</w:t>
            </w:r>
            <w:r>
              <w:rPr>
                <w:rFonts w:hint="eastAsia" w:ascii="宋体" w:hAnsi="宋体"/>
                <w:b/>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gridSpan w:val="2"/>
            <w:vAlign w:val="center"/>
          </w:tcPr>
          <w:p>
            <w:pPr>
              <w:spacing w:line="360" w:lineRule="auto"/>
              <w:jc w:val="center"/>
              <w:rPr>
                <w:rFonts w:ascii="宋体" w:hAnsi="宋体"/>
                <w:color w:val="auto"/>
                <w:sz w:val="22"/>
                <w:szCs w:val="22"/>
              </w:rPr>
            </w:pPr>
            <w:r>
              <w:rPr>
                <w:rFonts w:hint="eastAsia" w:ascii="宋体" w:hAnsi="宋体"/>
                <w:color w:val="auto"/>
                <w:sz w:val="22"/>
                <w:szCs w:val="22"/>
              </w:rPr>
              <w:t>序号</w:t>
            </w:r>
          </w:p>
        </w:tc>
        <w:tc>
          <w:tcPr>
            <w:tcW w:w="1477"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评分因素</w:t>
            </w:r>
          </w:p>
        </w:tc>
        <w:tc>
          <w:tcPr>
            <w:tcW w:w="739" w:type="dxa"/>
            <w:vAlign w:val="center"/>
          </w:tcPr>
          <w:p>
            <w:pPr>
              <w:spacing w:line="360" w:lineRule="auto"/>
              <w:jc w:val="center"/>
              <w:rPr>
                <w:rFonts w:ascii="宋体" w:hAnsi="宋体"/>
                <w:color w:val="auto"/>
                <w:sz w:val="22"/>
                <w:szCs w:val="22"/>
              </w:rPr>
            </w:pPr>
            <w:r>
              <w:rPr>
                <w:rFonts w:hint="eastAsia" w:ascii="宋体" w:hAnsi="宋体"/>
                <w:color w:val="auto"/>
                <w:sz w:val="22"/>
                <w:szCs w:val="22"/>
              </w:rPr>
              <w:t>分值</w:t>
            </w:r>
          </w:p>
        </w:tc>
        <w:tc>
          <w:tcPr>
            <w:tcW w:w="6613" w:type="dxa"/>
            <w:gridSpan w:val="2"/>
          </w:tcPr>
          <w:p>
            <w:pPr>
              <w:spacing w:line="360" w:lineRule="auto"/>
              <w:jc w:val="center"/>
              <w:rPr>
                <w:rFonts w:ascii="宋体" w:hAnsi="宋体"/>
                <w:color w:val="auto"/>
                <w:sz w:val="22"/>
                <w:szCs w:val="22"/>
              </w:rPr>
            </w:pPr>
            <w:r>
              <w:rPr>
                <w:rFonts w:hint="eastAsia" w:ascii="宋体" w:hAnsi="宋体"/>
                <w:color w:val="auto"/>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4" w:type="dxa"/>
            <w:gridSpan w:val="2"/>
            <w:vAlign w:val="center"/>
          </w:tcPr>
          <w:p>
            <w:pPr>
              <w:spacing w:line="360" w:lineRule="auto"/>
              <w:jc w:val="center"/>
              <w:rPr>
                <w:rFonts w:ascii="宋体" w:hAnsi="宋体"/>
                <w:color w:val="auto"/>
                <w:sz w:val="22"/>
                <w:szCs w:val="22"/>
              </w:rPr>
            </w:pPr>
            <w:r>
              <w:rPr>
                <w:rFonts w:ascii="宋体" w:hAnsi="宋体"/>
                <w:color w:val="auto"/>
                <w:sz w:val="22"/>
                <w:szCs w:val="22"/>
              </w:rPr>
              <w:t>1</w:t>
            </w:r>
          </w:p>
        </w:tc>
        <w:tc>
          <w:tcPr>
            <w:tcW w:w="1477" w:type="dxa"/>
            <w:vAlign w:val="center"/>
          </w:tcPr>
          <w:p>
            <w:pPr>
              <w:spacing w:line="360" w:lineRule="auto"/>
              <w:jc w:val="left"/>
              <w:rPr>
                <w:rFonts w:ascii="宋体" w:hAnsi="宋体"/>
                <w:color w:val="auto"/>
                <w:sz w:val="22"/>
                <w:szCs w:val="22"/>
              </w:rPr>
            </w:pPr>
            <w:r>
              <w:rPr>
                <w:rFonts w:hint="eastAsia" w:ascii="宋体" w:hAnsi="宋体"/>
                <w:color w:val="auto"/>
                <w:sz w:val="22"/>
                <w:szCs w:val="22"/>
              </w:rPr>
              <w:t>投标报价</w:t>
            </w:r>
          </w:p>
        </w:tc>
        <w:tc>
          <w:tcPr>
            <w:tcW w:w="739" w:type="dxa"/>
            <w:vAlign w:val="center"/>
          </w:tcPr>
          <w:p>
            <w:pPr>
              <w:spacing w:line="360" w:lineRule="auto"/>
              <w:jc w:val="left"/>
              <w:rPr>
                <w:rFonts w:ascii="宋体" w:hAnsi="宋体"/>
                <w:color w:val="auto"/>
                <w:sz w:val="22"/>
                <w:szCs w:val="22"/>
              </w:rPr>
            </w:pPr>
            <w:r>
              <w:rPr>
                <w:rFonts w:hint="eastAsia" w:ascii="宋体" w:hAnsi="宋体"/>
                <w:color w:val="auto"/>
                <w:sz w:val="22"/>
                <w:szCs w:val="22"/>
              </w:rPr>
              <w:t>55分</w:t>
            </w:r>
          </w:p>
        </w:tc>
        <w:tc>
          <w:tcPr>
            <w:tcW w:w="6613" w:type="dxa"/>
            <w:gridSpan w:val="2"/>
          </w:tcPr>
          <w:p>
            <w:pPr>
              <w:spacing w:line="360" w:lineRule="auto"/>
              <w:jc w:val="left"/>
              <w:rPr>
                <w:rFonts w:ascii="宋体" w:hAnsi="宋体"/>
                <w:color w:val="auto"/>
                <w:sz w:val="22"/>
                <w:szCs w:val="22"/>
              </w:rPr>
            </w:pPr>
            <w:r>
              <w:rPr>
                <w:rFonts w:hint="eastAsia" w:ascii="宋体" w:hAnsi="宋体"/>
                <w:color w:val="auto"/>
                <w:sz w:val="22"/>
                <w:szCs w:val="22"/>
              </w:rPr>
              <w:t>（1）当投标报价高于评标基准价时</w:t>
            </w:r>
            <w:r>
              <w:rPr>
                <w:rFonts w:ascii="宋体" w:hAnsi="宋体"/>
                <w:color w:val="auto"/>
                <w:sz w:val="22"/>
                <w:szCs w:val="22"/>
              </w:rPr>
              <w:t>A=</w:t>
            </w:r>
            <w:r>
              <w:rPr>
                <w:rFonts w:hint="eastAsia" w:ascii="宋体" w:hAnsi="宋体"/>
                <w:color w:val="auto"/>
                <w:sz w:val="22"/>
                <w:szCs w:val="22"/>
              </w:rPr>
              <w:t>2；当投标报价低于评标基准价时</w:t>
            </w:r>
            <w:r>
              <w:rPr>
                <w:rFonts w:ascii="宋体" w:hAnsi="宋体"/>
                <w:color w:val="auto"/>
                <w:sz w:val="22"/>
                <w:szCs w:val="22"/>
              </w:rPr>
              <w:t>A=</w:t>
            </w:r>
            <w:r>
              <w:rPr>
                <w:rFonts w:hint="eastAsia" w:ascii="宋体" w:hAnsi="宋体"/>
                <w:color w:val="auto"/>
                <w:sz w:val="22"/>
                <w:szCs w:val="22"/>
              </w:rPr>
              <w:t>1。</w:t>
            </w:r>
          </w:p>
          <w:p>
            <w:pPr>
              <w:spacing w:line="360" w:lineRule="auto"/>
              <w:jc w:val="left"/>
              <w:rPr>
                <w:rFonts w:ascii="宋体" w:hAnsi="宋体"/>
                <w:color w:val="auto"/>
                <w:sz w:val="22"/>
                <w:szCs w:val="22"/>
              </w:rPr>
            </w:pPr>
            <w:r>
              <w:rPr>
                <w:rFonts w:hint="eastAsia" w:ascii="宋体" w:hAnsi="宋体"/>
                <w:color w:val="auto"/>
                <w:sz w:val="22"/>
                <w:szCs w:val="22"/>
              </w:rPr>
              <w:t>（2）投标报价得分</w:t>
            </w:r>
            <w:r>
              <w:rPr>
                <w:rFonts w:ascii="宋体" w:hAnsi="宋体"/>
                <w:color w:val="auto"/>
                <w:sz w:val="22"/>
                <w:szCs w:val="22"/>
              </w:rPr>
              <w:t>Y=</w:t>
            </w:r>
            <w:r>
              <w:rPr>
                <w:rFonts w:hint="eastAsia" w:ascii="宋体" w:hAnsi="宋体"/>
                <w:color w:val="auto"/>
                <w:sz w:val="22"/>
                <w:szCs w:val="22"/>
              </w:rPr>
              <w:t>55</w:t>
            </w:r>
            <w:r>
              <w:rPr>
                <w:rFonts w:ascii="宋体" w:hAnsi="宋体"/>
                <w:color w:val="auto"/>
                <w:sz w:val="22"/>
                <w:szCs w:val="22"/>
              </w:rPr>
              <w:t>-A</w:t>
            </w:r>
            <w:r>
              <w:rPr>
                <w:rFonts w:hint="eastAsia" w:ascii="宋体" w:hAnsi="宋体"/>
                <w:color w:val="auto"/>
                <w:sz w:val="22"/>
                <w:szCs w:val="22"/>
              </w:rPr>
              <w:t>×︱（</w:t>
            </w:r>
            <w:r>
              <w:rPr>
                <w:rFonts w:ascii="宋体" w:hAnsi="宋体"/>
                <w:color w:val="auto"/>
                <w:sz w:val="22"/>
                <w:szCs w:val="22"/>
              </w:rPr>
              <w:t xml:space="preserve">1- </w:t>
            </w:r>
            <w:r>
              <w:rPr>
                <w:rFonts w:hint="eastAsia" w:ascii="宋体" w:hAnsi="宋体"/>
                <w:color w:val="auto"/>
                <w:sz w:val="22"/>
                <w:szCs w:val="22"/>
              </w:rPr>
              <w:t>投标报价</w:t>
            </w:r>
            <w:r>
              <w:rPr>
                <w:rFonts w:ascii="宋体" w:hAnsi="宋体"/>
                <w:color w:val="auto"/>
                <w:sz w:val="22"/>
                <w:szCs w:val="22"/>
              </w:rPr>
              <w:t>/</w:t>
            </w:r>
            <w:r>
              <w:rPr>
                <w:rFonts w:hint="eastAsia" w:ascii="宋体" w:hAnsi="宋体"/>
                <w:color w:val="auto"/>
                <w:sz w:val="22"/>
                <w:szCs w:val="22"/>
              </w:rPr>
              <w:t>评标基准价）︱×</w:t>
            </w:r>
            <w:r>
              <w:rPr>
                <w:rFonts w:ascii="宋体" w:hAnsi="宋体"/>
                <w:color w:val="auto"/>
                <w:sz w:val="22"/>
                <w:szCs w:val="22"/>
              </w:rPr>
              <w:t>100</w:t>
            </w:r>
          </w:p>
          <w:p>
            <w:pPr>
              <w:spacing w:line="360" w:lineRule="auto"/>
              <w:jc w:val="left"/>
              <w:rPr>
                <w:rFonts w:ascii="宋体" w:hAnsi="宋体"/>
                <w:color w:val="auto"/>
                <w:sz w:val="22"/>
                <w:szCs w:val="22"/>
              </w:rPr>
            </w:pPr>
            <w:r>
              <w:rPr>
                <w:rFonts w:ascii="宋体" w:hAnsi="宋体"/>
                <w:color w:val="auto"/>
                <w:sz w:val="22"/>
                <w:szCs w:val="22"/>
              </w:rPr>
              <w:t xml:space="preserve">Y = </w:t>
            </w:r>
            <w:r>
              <w:rPr>
                <w:rFonts w:hint="eastAsia" w:ascii="宋体" w:hAnsi="宋体"/>
                <w:color w:val="auto"/>
                <w:sz w:val="22"/>
                <w:szCs w:val="22"/>
              </w:rPr>
              <w:t>投标报价得分</w:t>
            </w:r>
            <w:r>
              <w:rPr>
                <w:rFonts w:ascii="宋体" w:hAnsi="宋体"/>
                <w:color w:val="auto"/>
                <w:sz w:val="22"/>
                <w:szCs w:val="22"/>
              </w:rPr>
              <w:t xml:space="preserve"> (</w:t>
            </w:r>
            <w:r>
              <w:rPr>
                <w:rFonts w:hint="eastAsia" w:ascii="宋体" w:hAnsi="宋体"/>
                <w:color w:val="auto"/>
                <w:sz w:val="22"/>
                <w:szCs w:val="22"/>
              </w:rPr>
              <w:t>保留两位小数</w:t>
            </w:r>
            <w:r>
              <w:rPr>
                <w:rFonts w:ascii="宋体" w:hAnsi="宋体"/>
                <w:color w:val="auto"/>
                <w:sz w:val="22"/>
                <w:szCs w:val="22"/>
              </w:rPr>
              <w:t>,</w:t>
            </w:r>
            <w:r>
              <w:rPr>
                <w:rFonts w:hint="eastAsia" w:ascii="宋体" w:hAnsi="宋体"/>
                <w:color w:val="auto"/>
                <w:sz w:val="22"/>
                <w:szCs w:val="22"/>
              </w:rPr>
              <w:t>第三位四舍五入</w:t>
            </w:r>
            <w:r>
              <w:rPr>
                <w:rFonts w:ascii="宋体" w:hAnsi="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6"/>
          </w:tcPr>
          <w:p>
            <w:pPr>
              <w:tabs>
                <w:tab w:val="left" w:pos="6300"/>
              </w:tabs>
              <w:spacing w:line="360" w:lineRule="auto"/>
              <w:jc w:val="left"/>
              <w:rPr>
                <w:rFonts w:ascii="宋体" w:hAnsi="宋体"/>
                <w:color w:val="auto"/>
                <w:sz w:val="22"/>
                <w:szCs w:val="22"/>
              </w:rPr>
            </w:pPr>
            <w:r>
              <w:rPr>
                <w:rFonts w:hint="eastAsia" w:ascii="宋体" w:hAnsi="宋体"/>
                <w:color w:val="auto"/>
                <w:sz w:val="22"/>
                <w:szCs w:val="22"/>
              </w:rPr>
              <w:t>以上评分是评委共同公正评判投标人投标文件客观内容的一致反映，必须统一。</w:t>
            </w:r>
          </w:p>
        </w:tc>
      </w:tr>
    </w:tbl>
    <w:p>
      <w:pPr>
        <w:spacing w:line="400" w:lineRule="exact"/>
        <w:rPr>
          <w:rFonts w:ascii="宋体" w:hAnsi="宋体"/>
          <w:color w:val="auto"/>
          <w:sz w:val="22"/>
          <w:szCs w:val="22"/>
        </w:rPr>
      </w:pPr>
    </w:p>
    <w:p>
      <w:pPr>
        <w:spacing w:line="400" w:lineRule="exact"/>
        <w:rPr>
          <w:rFonts w:ascii="宋体" w:hAnsi="宋体"/>
          <w:color w:val="auto"/>
          <w:sz w:val="22"/>
          <w:szCs w:val="22"/>
        </w:rPr>
      </w:pPr>
    </w:p>
    <w:p>
      <w:pPr>
        <w:pStyle w:val="2"/>
        <w:rPr>
          <w:rFonts w:ascii="宋体" w:hAnsi="宋体"/>
          <w:color w:val="auto"/>
          <w:sz w:val="20"/>
          <w:szCs w:val="22"/>
        </w:rPr>
      </w:pPr>
    </w:p>
    <w:p>
      <w:pPr>
        <w:pStyle w:val="2"/>
        <w:rPr>
          <w:rFonts w:ascii="宋体" w:hAnsi="宋体"/>
          <w:color w:val="auto"/>
          <w:sz w:val="20"/>
          <w:szCs w:val="22"/>
        </w:rPr>
      </w:pPr>
    </w:p>
    <w:p>
      <w:pPr>
        <w:pStyle w:val="2"/>
        <w:rPr>
          <w:rFonts w:ascii="宋体" w:hAnsi="宋体"/>
          <w:color w:val="auto"/>
          <w:sz w:val="20"/>
          <w:szCs w:val="22"/>
        </w:rPr>
      </w:pPr>
    </w:p>
    <w:p>
      <w:pPr>
        <w:pStyle w:val="2"/>
        <w:rPr>
          <w:rFonts w:ascii="宋体" w:hAnsi="宋体"/>
          <w:color w:val="auto"/>
          <w:sz w:val="20"/>
          <w:szCs w:val="22"/>
        </w:rPr>
      </w:pPr>
    </w:p>
    <w:p>
      <w:pPr>
        <w:pStyle w:val="2"/>
        <w:rPr>
          <w:rFonts w:ascii="宋体" w:hAnsi="宋体"/>
          <w:color w:val="auto"/>
          <w:sz w:val="20"/>
          <w:szCs w:val="22"/>
        </w:rPr>
      </w:pPr>
    </w:p>
    <w:p>
      <w:pPr>
        <w:pStyle w:val="2"/>
        <w:rPr>
          <w:rFonts w:ascii="宋体" w:hAnsi="宋体"/>
          <w:color w:val="auto"/>
          <w:sz w:val="20"/>
          <w:szCs w:val="22"/>
        </w:rPr>
      </w:pPr>
    </w:p>
    <w:p>
      <w:pPr>
        <w:pStyle w:val="2"/>
        <w:rPr>
          <w:rFonts w:ascii="宋体" w:hAnsi="宋体"/>
          <w:color w:val="auto"/>
          <w:sz w:val="20"/>
          <w:szCs w:val="22"/>
        </w:rPr>
      </w:pPr>
    </w:p>
    <w:p>
      <w:pPr>
        <w:pStyle w:val="2"/>
        <w:rPr>
          <w:rFonts w:ascii="宋体" w:hAnsi="宋体"/>
          <w:color w:val="auto"/>
          <w:sz w:val="20"/>
          <w:szCs w:val="22"/>
        </w:rPr>
      </w:pPr>
    </w:p>
    <w:p>
      <w:pPr>
        <w:pStyle w:val="2"/>
        <w:rPr>
          <w:rFonts w:ascii="宋体" w:hAnsi="宋体"/>
          <w:color w:val="auto"/>
          <w:sz w:val="20"/>
          <w:szCs w:val="22"/>
        </w:rPr>
      </w:pPr>
    </w:p>
    <w:p>
      <w:pPr>
        <w:pStyle w:val="2"/>
        <w:rPr>
          <w:rFonts w:ascii="宋体" w:hAnsi="宋体"/>
          <w:color w:val="auto"/>
          <w:sz w:val="20"/>
          <w:szCs w:val="22"/>
        </w:rPr>
      </w:pPr>
    </w:p>
    <w:p>
      <w:pPr>
        <w:spacing w:line="400" w:lineRule="exact"/>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评标方法</w:t>
      </w:r>
    </w:p>
    <w:p>
      <w:pPr>
        <w:spacing w:line="400" w:lineRule="exact"/>
        <w:ind w:firstLine="440" w:firstLineChars="200"/>
        <w:rPr>
          <w:rFonts w:ascii="宋体" w:hAnsi="宋体"/>
          <w:color w:val="auto"/>
          <w:sz w:val="22"/>
          <w:szCs w:val="22"/>
        </w:rPr>
      </w:pPr>
      <w:r>
        <w:rPr>
          <w:rFonts w:hint="eastAsia" w:ascii="宋体" w:hAnsi="宋体"/>
          <w:color w:val="auto"/>
          <w:sz w:val="22"/>
          <w:szCs w:val="22"/>
        </w:rPr>
        <w:t>本次评标采用综合评估法。评标委员会对满足招标文件实质要求的投标文件，根据本章第</w:t>
      </w:r>
      <w:r>
        <w:rPr>
          <w:rFonts w:ascii="宋体" w:hAnsi="宋体"/>
          <w:color w:val="auto"/>
          <w:sz w:val="22"/>
          <w:szCs w:val="22"/>
        </w:rPr>
        <w:t>2.2</w:t>
      </w:r>
      <w:r>
        <w:rPr>
          <w:rFonts w:hint="eastAsia" w:ascii="宋体" w:hAnsi="宋体"/>
          <w:color w:val="auto"/>
          <w:sz w:val="22"/>
          <w:szCs w:val="22"/>
        </w:rPr>
        <w:t>款规定的评分标准进行打分，并按得分由高到低的顺序推荐中标候选人，或根据招标人授权直接确定中标人，但投标报价低于其成本的除外。综合评分相等时，以投标报价低的优先；投标报价也相等的，由招标人自行确定。</w:t>
      </w:r>
    </w:p>
    <w:p>
      <w:pPr>
        <w:spacing w:line="400" w:lineRule="exact"/>
        <w:rPr>
          <w:rFonts w:ascii="宋体" w:hAnsi="宋体"/>
          <w:color w:val="auto"/>
          <w:sz w:val="22"/>
          <w:szCs w:val="22"/>
        </w:rPr>
      </w:pPr>
      <w:bookmarkStart w:id="4" w:name="_Toc221950490"/>
      <w:bookmarkStart w:id="5" w:name="_Toc168476121"/>
      <w:bookmarkStart w:id="6" w:name="_Toc168475718"/>
      <w:bookmarkStart w:id="7" w:name="_Toc144974570"/>
      <w:r>
        <w:rPr>
          <w:rFonts w:ascii="宋体" w:hAnsi="宋体"/>
          <w:color w:val="auto"/>
          <w:sz w:val="22"/>
          <w:szCs w:val="22"/>
        </w:rPr>
        <w:t>2.</w:t>
      </w:r>
      <w:r>
        <w:rPr>
          <w:rFonts w:hint="eastAsia" w:ascii="宋体" w:hAnsi="宋体"/>
          <w:color w:val="auto"/>
          <w:sz w:val="22"/>
          <w:szCs w:val="22"/>
        </w:rPr>
        <w:t>评审标准</w:t>
      </w:r>
    </w:p>
    <w:p>
      <w:pPr>
        <w:spacing w:line="400" w:lineRule="exact"/>
        <w:rPr>
          <w:rFonts w:ascii="宋体" w:hAnsi="宋体"/>
          <w:color w:val="auto"/>
          <w:sz w:val="22"/>
          <w:szCs w:val="22"/>
        </w:rPr>
      </w:pPr>
      <w:r>
        <w:rPr>
          <w:rFonts w:ascii="宋体" w:hAnsi="宋体"/>
          <w:color w:val="auto"/>
          <w:sz w:val="22"/>
          <w:szCs w:val="22"/>
        </w:rPr>
        <w:t>2.1</w:t>
      </w:r>
      <w:r>
        <w:rPr>
          <w:rFonts w:hint="eastAsia" w:ascii="宋体" w:hAnsi="宋体"/>
          <w:color w:val="auto"/>
          <w:sz w:val="22"/>
          <w:szCs w:val="22"/>
        </w:rPr>
        <w:t>初步评审标准</w:t>
      </w:r>
    </w:p>
    <w:p>
      <w:pPr>
        <w:spacing w:line="400" w:lineRule="exact"/>
        <w:ind w:firstLine="440" w:firstLineChars="200"/>
        <w:jc w:val="left"/>
        <w:rPr>
          <w:rFonts w:ascii="宋体" w:hAnsi="宋体"/>
          <w:color w:val="auto"/>
          <w:sz w:val="22"/>
          <w:szCs w:val="22"/>
        </w:rPr>
      </w:pPr>
      <w:r>
        <w:rPr>
          <w:rFonts w:ascii="宋体" w:hAnsi="宋体"/>
          <w:color w:val="auto"/>
          <w:sz w:val="22"/>
          <w:szCs w:val="22"/>
        </w:rPr>
        <w:t xml:space="preserve">2.1.1 </w:t>
      </w:r>
      <w:r>
        <w:rPr>
          <w:rFonts w:hint="eastAsia" w:ascii="宋体" w:hAnsi="宋体"/>
          <w:color w:val="auto"/>
          <w:sz w:val="22"/>
          <w:szCs w:val="22"/>
        </w:rPr>
        <w:t>形式评审标准：见评标办法前附表。</w:t>
      </w:r>
    </w:p>
    <w:p>
      <w:pPr>
        <w:spacing w:line="400" w:lineRule="exact"/>
        <w:ind w:firstLine="440" w:firstLineChars="200"/>
        <w:jc w:val="left"/>
        <w:rPr>
          <w:rFonts w:ascii="宋体" w:hAnsi="宋体"/>
          <w:color w:val="auto"/>
          <w:sz w:val="22"/>
          <w:szCs w:val="22"/>
        </w:rPr>
      </w:pPr>
      <w:r>
        <w:rPr>
          <w:rFonts w:ascii="宋体" w:hAnsi="宋体"/>
          <w:color w:val="auto"/>
          <w:sz w:val="22"/>
          <w:szCs w:val="22"/>
        </w:rPr>
        <w:t xml:space="preserve">2.1.2 </w:t>
      </w:r>
      <w:r>
        <w:rPr>
          <w:rFonts w:hint="eastAsia" w:ascii="宋体" w:hAnsi="宋体"/>
          <w:color w:val="auto"/>
          <w:sz w:val="22"/>
          <w:szCs w:val="22"/>
        </w:rPr>
        <w:t>资格评审标准：见评标办法前附表。</w:t>
      </w:r>
    </w:p>
    <w:p>
      <w:pPr>
        <w:spacing w:line="400" w:lineRule="exact"/>
        <w:ind w:firstLine="440" w:firstLineChars="200"/>
        <w:jc w:val="left"/>
        <w:rPr>
          <w:rFonts w:ascii="宋体" w:hAnsi="宋体"/>
          <w:color w:val="auto"/>
          <w:sz w:val="22"/>
          <w:szCs w:val="22"/>
        </w:rPr>
      </w:pPr>
      <w:r>
        <w:rPr>
          <w:rFonts w:ascii="宋体" w:hAnsi="宋体"/>
          <w:color w:val="auto"/>
          <w:sz w:val="22"/>
          <w:szCs w:val="22"/>
        </w:rPr>
        <w:t xml:space="preserve">2.1.3 </w:t>
      </w:r>
      <w:r>
        <w:rPr>
          <w:rFonts w:hint="eastAsia" w:ascii="宋体" w:hAnsi="宋体"/>
          <w:color w:val="auto"/>
          <w:sz w:val="22"/>
          <w:szCs w:val="22"/>
        </w:rPr>
        <w:t>响应性评审标准：见评标办法前附表。</w:t>
      </w:r>
    </w:p>
    <w:p>
      <w:pPr>
        <w:spacing w:line="400" w:lineRule="exact"/>
        <w:rPr>
          <w:rFonts w:ascii="宋体" w:hAnsi="宋体"/>
          <w:color w:val="auto"/>
          <w:sz w:val="22"/>
          <w:szCs w:val="22"/>
        </w:rPr>
      </w:pPr>
      <w:r>
        <w:rPr>
          <w:rFonts w:ascii="宋体" w:hAnsi="宋体"/>
          <w:color w:val="auto"/>
          <w:sz w:val="22"/>
          <w:szCs w:val="22"/>
        </w:rPr>
        <w:t>2.2</w:t>
      </w:r>
      <w:r>
        <w:rPr>
          <w:rFonts w:hint="eastAsia" w:ascii="宋体" w:hAnsi="宋体"/>
          <w:color w:val="auto"/>
          <w:sz w:val="22"/>
          <w:szCs w:val="22"/>
        </w:rPr>
        <w:t>分值构成与评分标准</w:t>
      </w:r>
    </w:p>
    <w:p>
      <w:pPr>
        <w:spacing w:line="400" w:lineRule="exact"/>
        <w:ind w:firstLine="440" w:firstLineChars="200"/>
        <w:rPr>
          <w:rFonts w:ascii="宋体" w:hAnsi="宋体"/>
          <w:color w:val="auto"/>
          <w:sz w:val="22"/>
          <w:szCs w:val="22"/>
        </w:rPr>
      </w:pPr>
      <w:r>
        <w:rPr>
          <w:rFonts w:ascii="宋体" w:hAnsi="宋体"/>
          <w:color w:val="auto"/>
          <w:sz w:val="22"/>
          <w:szCs w:val="22"/>
        </w:rPr>
        <w:t>2.2.1</w:t>
      </w:r>
      <w:r>
        <w:rPr>
          <w:rFonts w:hint="eastAsia" w:ascii="宋体" w:hAnsi="宋体"/>
          <w:color w:val="auto"/>
          <w:sz w:val="22"/>
          <w:szCs w:val="22"/>
        </w:rPr>
        <w:t>分值构成</w:t>
      </w:r>
    </w:p>
    <w:p>
      <w:pPr>
        <w:numPr>
          <w:ilvl w:val="0"/>
          <w:numId w:val="3"/>
        </w:numPr>
        <w:tabs>
          <w:tab w:val="left" w:pos="720"/>
        </w:tabs>
        <w:spacing w:line="400" w:lineRule="exact"/>
        <w:ind w:left="540" w:leftChars="257" w:right="248"/>
        <w:rPr>
          <w:rFonts w:ascii="宋体" w:hAnsi="宋体"/>
          <w:color w:val="auto"/>
          <w:sz w:val="22"/>
          <w:szCs w:val="22"/>
        </w:rPr>
      </w:pPr>
      <w:r>
        <w:rPr>
          <w:rFonts w:hint="eastAsia" w:ascii="宋体" w:hAnsi="宋体"/>
          <w:color w:val="auto"/>
          <w:sz w:val="22"/>
          <w:szCs w:val="22"/>
        </w:rPr>
        <w:t>投标人实施方案：见评标办法前附表；</w:t>
      </w:r>
    </w:p>
    <w:p>
      <w:pPr>
        <w:numPr>
          <w:ilvl w:val="0"/>
          <w:numId w:val="3"/>
        </w:numPr>
        <w:tabs>
          <w:tab w:val="left" w:pos="720"/>
        </w:tabs>
        <w:spacing w:line="400" w:lineRule="exact"/>
        <w:ind w:left="540" w:leftChars="257" w:right="248"/>
        <w:rPr>
          <w:rFonts w:ascii="宋体" w:hAnsi="宋体"/>
          <w:color w:val="auto"/>
          <w:sz w:val="22"/>
          <w:szCs w:val="22"/>
        </w:rPr>
      </w:pPr>
      <w:r>
        <w:rPr>
          <w:rFonts w:hint="eastAsia" w:ascii="宋体" w:hAnsi="宋体"/>
          <w:color w:val="auto"/>
          <w:sz w:val="22"/>
          <w:szCs w:val="22"/>
        </w:rPr>
        <w:t>项目管理机构及其他评分因素：见评标办法前附表；</w:t>
      </w:r>
    </w:p>
    <w:p>
      <w:pPr>
        <w:numPr>
          <w:ilvl w:val="0"/>
          <w:numId w:val="3"/>
        </w:numPr>
        <w:tabs>
          <w:tab w:val="left" w:pos="900"/>
        </w:tabs>
        <w:spacing w:line="400" w:lineRule="exact"/>
        <w:ind w:left="538" w:leftChars="256" w:right="187" w:rightChars="89"/>
        <w:rPr>
          <w:rFonts w:ascii="宋体" w:hAnsi="宋体"/>
          <w:color w:val="auto"/>
          <w:sz w:val="22"/>
          <w:szCs w:val="22"/>
        </w:rPr>
      </w:pPr>
      <w:r>
        <w:rPr>
          <w:rFonts w:hint="eastAsia" w:ascii="宋体" w:hAnsi="宋体"/>
          <w:color w:val="auto"/>
          <w:sz w:val="22"/>
          <w:szCs w:val="22"/>
        </w:rPr>
        <w:t>投标报价：见评标办法前附表；</w:t>
      </w:r>
    </w:p>
    <w:bookmarkEnd w:id="4"/>
    <w:bookmarkEnd w:id="5"/>
    <w:bookmarkEnd w:id="6"/>
    <w:bookmarkEnd w:id="7"/>
    <w:p>
      <w:pPr>
        <w:spacing w:line="400" w:lineRule="exact"/>
        <w:ind w:firstLine="440" w:firstLineChars="200"/>
        <w:rPr>
          <w:rFonts w:ascii="宋体" w:hAnsi="宋体"/>
          <w:color w:val="auto"/>
          <w:sz w:val="22"/>
          <w:szCs w:val="22"/>
        </w:rPr>
      </w:pPr>
      <w:bookmarkStart w:id="8" w:name="_Toc221950492"/>
      <w:bookmarkStart w:id="9" w:name="_Toc168476122"/>
      <w:bookmarkStart w:id="10" w:name="_Toc222029499"/>
      <w:bookmarkStart w:id="11" w:name="_Toc222033850"/>
      <w:bookmarkStart w:id="12" w:name="_Toc229305359"/>
      <w:bookmarkStart w:id="13" w:name="_Toc222032668"/>
      <w:bookmarkStart w:id="14" w:name="_Toc144974571"/>
      <w:bookmarkStart w:id="15" w:name="_Toc168475719"/>
      <w:bookmarkStart w:id="16" w:name="_Toc259524343"/>
      <w:bookmarkStart w:id="17" w:name="_Toc222031001"/>
      <w:bookmarkStart w:id="18" w:name="_Toc221950505"/>
      <w:r>
        <w:rPr>
          <w:rFonts w:ascii="宋体" w:hAnsi="宋体"/>
          <w:color w:val="auto"/>
          <w:sz w:val="22"/>
          <w:szCs w:val="22"/>
        </w:rPr>
        <w:t>2.2.</w:t>
      </w:r>
      <w:bookmarkEnd w:id="8"/>
      <w:bookmarkStart w:id="19" w:name="_Toc221950493"/>
      <w:r>
        <w:rPr>
          <w:rFonts w:ascii="宋体" w:hAnsi="宋体"/>
          <w:color w:val="auto"/>
          <w:sz w:val="22"/>
          <w:szCs w:val="22"/>
        </w:rPr>
        <w:t>2</w:t>
      </w:r>
      <w:bookmarkEnd w:id="19"/>
      <w:r>
        <w:rPr>
          <w:rFonts w:hint="eastAsia" w:ascii="宋体" w:hAnsi="宋体"/>
          <w:color w:val="auto"/>
          <w:sz w:val="22"/>
          <w:szCs w:val="22"/>
        </w:rPr>
        <w:t>采用有效报价的平均数确定评标基准价（适用于招标人不提供标底的）：</w:t>
      </w:r>
    </w:p>
    <w:p>
      <w:pPr>
        <w:spacing w:line="400" w:lineRule="exact"/>
        <w:ind w:right="248" w:firstLine="440" w:firstLineChars="200"/>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1</w:t>
      </w:r>
      <w:r>
        <w:rPr>
          <w:rFonts w:hint="eastAsia" w:ascii="宋体" w:hAnsi="宋体"/>
          <w:color w:val="auto"/>
          <w:sz w:val="22"/>
          <w:szCs w:val="22"/>
        </w:rPr>
        <w:t>）当</w:t>
      </w:r>
      <w:r>
        <w:rPr>
          <w:rFonts w:ascii="宋体" w:hAnsi="宋体"/>
          <w:color w:val="auto"/>
          <w:sz w:val="22"/>
          <w:szCs w:val="22"/>
        </w:rPr>
        <w:t>n</w:t>
      </w:r>
      <w:r>
        <w:rPr>
          <w:rFonts w:hint="eastAsia" w:ascii="宋体" w:hAnsi="宋体"/>
          <w:color w:val="auto"/>
          <w:sz w:val="22"/>
          <w:szCs w:val="22"/>
        </w:rPr>
        <w:t>≥</w:t>
      </w:r>
      <w:r>
        <w:rPr>
          <w:rFonts w:ascii="宋体" w:hAnsi="宋体"/>
          <w:color w:val="auto"/>
          <w:sz w:val="22"/>
          <w:szCs w:val="22"/>
        </w:rPr>
        <w:t>10</w:t>
      </w:r>
      <w:r>
        <w:rPr>
          <w:rFonts w:hint="eastAsia" w:ascii="宋体" w:hAnsi="宋体"/>
          <w:color w:val="auto"/>
          <w:sz w:val="22"/>
          <w:szCs w:val="22"/>
        </w:rPr>
        <w:t>时；</w:t>
      </w:r>
    </w:p>
    <w:p>
      <w:pPr>
        <w:spacing w:line="400" w:lineRule="exact"/>
        <w:ind w:right="248" w:firstLine="440" w:firstLineChars="200"/>
        <w:rPr>
          <w:rFonts w:ascii="宋体" w:hAnsi="宋体"/>
          <w:color w:val="auto"/>
          <w:sz w:val="22"/>
          <w:szCs w:val="22"/>
        </w:rPr>
      </w:pPr>
      <w:r>
        <w:rPr>
          <w:rFonts w:ascii="宋体" w:hAnsi="宋体"/>
          <w:color w:val="auto"/>
          <w:sz w:val="22"/>
          <w:szCs w:val="22"/>
        </w:rPr>
        <w:t>S</w:t>
      </w:r>
      <w:r>
        <w:rPr>
          <w:rFonts w:hint="eastAsia" w:ascii="宋体" w:hAnsi="宋体"/>
          <w:color w:val="auto"/>
          <w:sz w:val="22"/>
          <w:szCs w:val="22"/>
        </w:rPr>
        <w:t>为投标人有效报价中去掉两个最高报价和一个最低报价后余下的投标有效报价的算术平均值。</w:t>
      </w:r>
    </w:p>
    <w:p>
      <w:pPr>
        <w:spacing w:line="400" w:lineRule="exact"/>
        <w:ind w:right="248" w:firstLine="440" w:firstLineChars="200"/>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2</w:t>
      </w:r>
      <w:r>
        <w:rPr>
          <w:rFonts w:hint="eastAsia" w:ascii="宋体" w:hAnsi="宋体"/>
          <w:color w:val="auto"/>
          <w:sz w:val="22"/>
          <w:szCs w:val="22"/>
        </w:rPr>
        <w:t>）当</w:t>
      </w:r>
      <w:r>
        <w:rPr>
          <w:rFonts w:ascii="宋体" w:hAnsi="宋体"/>
          <w:color w:val="auto"/>
          <w:sz w:val="22"/>
          <w:szCs w:val="22"/>
        </w:rPr>
        <w:t>10</w:t>
      </w:r>
      <w:r>
        <w:rPr>
          <w:rFonts w:hint="eastAsia" w:ascii="宋体" w:hAnsi="宋体"/>
          <w:color w:val="auto"/>
          <w:sz w:val="22"/>
          <w:szCs w:val="22"/>
        </w:rPr>
        <w:t>＞</w:t>
      </w:r>
      <w:r>
        <w:rPr>
          <w:rFonts w:ascii="宋体" w:hAnsi="宋体"/>
          <w:color w:val="auto"/>
          <w:sz w:val="22"/>
          <w:szCs w:val="22"/>
        </w:rPr>
        <w:t>n</w:t>
      </w:r>
      <w:r>
        <w:rPr>
          <w:rFonts w:hint="eastAsia" w:ascii="宋体" w:hAnsi="宋体"/>
          <w:color w:val="auto"/>
          <w:sz w:val="22"/>
          <w:szCs w:val="22"/>
        </w:rPr>
        <w:t>≥</w:t>
      </w:r>
      <w:r>
        <w:rPr>
          <w:rFonts w:ascii="宋体" w:hAnsi="宋体"/>
          <w:color w:val="auto"/>
          <w:sz w:val="22"/>
          <w:szCs w:val="22"/>
        </w:rPr>
        <w:t>6</w:t>
      </w:r>
      <w:r>
        <w:rPr>
          <w:rFonts w:hint="eastAsia" w:ascii="宋体" w:hAnsi="宋体"/>
          <w:color w:val="auto"/>
          <w:sz w:val="22"/>
          <w:szCs w:val="22"/>
        </w:rPr>
        <w:t>时；</w:t>
      </w:r>
    </w:p>
    <w:p>
      <w:pPr>
        <w:spacing w:line="400" w:lineRule="exact"/>
        <w:ind w:right="248" w:firstLine="440" w:firstLineChars="200"/>
        <w:rPr>
          <w:rFonts w:ascii="宋体" w:hAnsi="宋体"/>
          <w:color w:val="auto"/>
          <w:sz w:val="22"/>
          <w:szCs w:val="22"/>
        </w:rPr>
      </w:pPr>
      <w:r>
        <w:rPr>
          <w:rFonts w:ascii="宋体" w:hAnsi="宋体"/>
          <w:color w:val="auto"/>
          <w:sz w:val="22"/>
          <w:szCs w:val="22"/>
        </w:rPr>
        <w:t>S</w:t>
      </w:r>
      <w:r>
        <w:rPr>
          <w:rFonts w:hint="eastAsia" w:ascii="宋体" w:hAnsi="宋体"/>
          <w:color w:val="auto"/>
          <w:sz w:val="22"/>
          <w:szCs w:val="22"/>
        </w:rPr>
        <w:t>为投标人有效报价中去掉一个最高报价和一个最低报价后余下的投标有效报价的算术平均值。</w:t>
      </w:r>
    </w:p>
    <w:p>
      <w:pPr>
        <w:spacing w:line="300" w:lineRule="exact"/>
        <w:ind w:firstLine="330" w:firstLineChars="150"/>
        <w:jc w:val="left"/>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3</w:t>
      </w:r>
      <w:r>
        <w:rPr>
          <w:rFonts w:hint="eastAsia" w:ascii="宋体" w:hAnsi="宋体"/>
          <w:color w:val="auto"/>
          <w:sz w:val="22"/>
          <w:szCs w:val="22"/>
        </w:rPr>
        <w:t>）当</w:t>
      </w:r>
      <w:r>
        <w:rPr>
          <w:rFonts w:ascii="宋体" w:hAnsi="宋体"/>
          <w:color w:val="auto"/>
          <w:sz w:val="22"/>
          <w:szCs w:val="22"/>
        </w:rPr>
        <w:t>n</w:t>
      </w:r>
      <w:r>
        <w:rPr>
          <w:rFonts w:hint="eastAsia" w:ascii="宋体" w:hAnsi="宋体"/>
          <w:color w:val="auto"/>
          <w:sz w:val="22"/>
          <w:szCs w:val="22"/>
        </w:rPr>
        <w:t>＜6时；</w:t>
      </w:r>
    </w:p>
    <w:p>
      <w:pPr>
        <w:spacing w:line="400" w:lineRule="exact"/>
        <w:ind w:right="248" w:firstLine="440" w:firstLineChars="200"/>
        <w:rPr>
          <w:rFonts w:ascii="宋体" w:hAnsi="宋体"/>
          <w:color w:val="auto"/>
          <w:sz w:val="22"/>
          <w:szCs w:val="22"/>
        </w:rPr>
      </w:pPr>
      <w:r>
        <w:rPr>
          <w:rFonts w:ascii="宋体" w:hAnsi="宋体"/>
          <w:color w:val="auto"/>
          <w:sz w:val="22"/>
          <w:szCs w:val="22"/>
        </w:rPr>
        <w:t>S</w:t>
      </w:r>
      <w:r>
        <w:rPr>
          <w:rFonts w:hint="eastAsia" w:ascii="宋体" w:hAnsi="宋体"/>
          <w:color w:val="auto"/>
          <w:sz w:val="22"/>
          <w:szCs w:val="22"/>
        </w:rPr>
        <w:t>为投标人有效报价的算术平均值</w:t>
      </w:r>
    </w:p>
    <w:p>
      <w:pPr>
        <w:spacing w:line="400" w:lineRule="exact"/>
        <w:ind w:right="248" w:firstLine="440" w:firstLineChars="200"/>
        <w:rPr>
          <w:rFonts w:ascii="宋体" w:hAnsi="宋体"/>
          <w:color w:val="auto"/>
          <w:sz w:val="22"/>
          <w:szCs w:val="22"/>
        </w:rPr>
      </w:pPr>
      <w:r>
        <w:rPr>
          <w:rFonts w:ascii="宋体" w:hAnsi="宋体"/>
          <w:color w:val="auto"/>
          <w:sz w:val="22"/>
          <w:szCs w:val="22"/>
        </w:rPr>
        <w:t>S—</w:t>
      </w:r>
      <w:r>
        <w:rPr>
          <w:rFonts w:hint="eastAsia" w:ascii="宋体" w:hAnsi="宋体"/>
          <w:color w:val="auto"/>
          <w:sz w:val="22"/>
          <w:szCs w:val="22"/>
        </w:rPr>
        <w:t>评标基准价</w:t>
      </w:r>
      <w:r>
        <w:rPr>
          <w:rFonts w:ascii="宋体" w:hAnsi="宋体"/>
          <w:color w:val="auto"/>
          <w:sz w:val="22"/>
          <w:szCs w:val="22"/>
        </w:rPr>
        <w:t>(</w:t>
      </w:r>
      <w:r>
        <w:rPr>
          <w:rFonts w:hint="eastAsia" w:ascii="宋体" w:hAnsi="宋体"/>
          <w:color w:val="auto"/>
          <w:sz w:val="22"/>
          <w:szCs w:val="22"/>
        </w:rPr>
        <w:t>计算结果精确到分）；</w:t>
      </w:r>
    </w:p>
    <w:p>
      <w:pPr>
        <w:spacing w:line="400" w:lineRule="exact"/>
        <w:ind w:firstLine="437"/>
        <w:rPr>
          <w:rFonts w:ascii="宋体" w:hAnsi="宋体"/>
          <w:color w:val="auto"/>
          <w:sz w:val="22"/>
          <w:szCs w:val="22"/>
        </w:rPr>
      </w:pPr>
      <w:r>
        <w:rPr>
          <w:rFonts w:ascii="宋体" w:hAnsi="宋体"/>
          <w:color w:val="auto"/>
          <w:sz w:val="22"/>
          <w:szCs w:val="22"/>
        </w:rPr>
        <w:t>n—</w:t>
      </w:r>
      <w:r>
        <w:rPr>
          <w:rFonts w:hint="eastAsia" w:ascii="宋体" w:hAnsi="宋体"/>
          <w:color w:val="auto"/>
          <w:sz w:val="22"/>
          <w:szCs w:val="22"/>
        </w:rPr>
        <w:t>有效报价的投标人个数。</w:t>
      </w:r>
    </w:p>
    <w:p>
      <w:pPr>
        <w:spacing w:line="360" w:lineRule="auto"/>
        <w:ind w:right="249" w:firstLine="440" w:firstLineChars="200"/>
        <w:rPr>
          <w:rFonts w:ascii="宋体" w:hAnsi="宋体"/>
          <w:color w:val="auto"/>
          <w:sz w:val="22"/>
          <w:szCs w:val="22"/>
        </w:rPr>
      </w:pPr>
      <w:r>
        <w:rPr>
          <w:rFonts w:ascii="宋体" w:hAnsi="宋体"/>
          <w:color w:val="auto"/>
          <w:sz w:val="22"/>
          <w:szCs w:val="22"/>
        </w:rPr>
        <w:t>2.2.3</w:t>
      </w:r>
      <w:r>
        <w:rPr>
          <w:rFonts w:hint="eastAsia" w:ascii="宋体" w:hAnsi="宋体"/>
          <w:color w:val="auto"/>
          <w:sz w:val="22"/>
          <w:szCs w:val="22"/>
        </w:rPr>
        <w:t>投标报价的偏差率计算方法：偏差率</w:t>
      </w:r>
      <w:r>
        <w:rPr>
          <w:rFonts w:ascii="宋体" w:hAnsi="宋体"/>
          <w:color w:val="auto"/>
          <w:sz w:val="22"/>
          <w:szCs w:val="22"/>
        </w:rPr>
        <w:t>=</w:t>
      </w:r>
      <w:r>
        <w:rPr>
          <w:rFonts w:hint="eastAsia" w:ascii="宋体" w:hAnsi="宋体"/>
          <w:color w:val="auto"/>
          <w:sz w:val="20"/>
          <w:szCs w:val="20"/>
        </w:rPr>
        <w:t>︱（</w:t>
      </w:r>
      <w:r>
        <w:rPr>
          <w:rFonts w:ascii="宋体" w:hAnsi="宋体"/>
          <w:color w:val="auto"/>
          <w:sz w:val="20"/>
          <w:szCs w:val="20"/>
        </w:rPr>
        <w:t xml:space="preserve">1- </w:t>
      </w:r>
      <w:r>
        <w:rPr>
          <w:rFonts w:hint="eastAsia" w:ascii="宋体" w:hAnsi="宋体"/>
          <w:color w:val="auto"/>
          <w:sz w:val="20"/>
          <w:szCs w:val="20"/>
        </w:rPr>
        <w:t>投标报价</w:t>
      </w:r>
      <w:r>
        <w:rPr>
          <w:rFonts w:ascii="宋体" w:hAnsi="宋体"/>
          <w:color w:val="auto"/>
          <w:sz w:val="20"/>
          <w:szCs w:val="20"/>
        </w:rPr>
        <w:t>/</w:t>
      </w:r>
      <w:r>
        <w:rPr>
          <w:rFonts w:hint="eastAsia" w:ascii="宋体" w:hAnsi="宋体"/>
          <w:color w:val="auto"/>
          <w:sz w:val="20"/>
          <w:szCs w:val="20"/>
        </w:rPr>
        <w:t>评标基准价）︱×</w:t>
      </w:r>
      <w:r>
        <w:rPr>
          <w:rFonts w:ascii="宋体" w:hAnsi="宋体"/>
          <w:color w:val="auto"/>
          <w:sz w:val="20"/>
          <w:szCs w:val="20"/>
        </w:rPr>
        <w:t>100</w:t>
      </w:r>
    </w:p>
    <w:p>
      <w:pPr>
        <w:spacing w:line="400" w:lineRule="exact"/>
        <w:ind w:right="249" w:firstLine="440" w:firstLineChars="200"/>
        <w:rPr>
          <w:rFonts w:ascii="宋体" w:hAnsi="宋体"/>
          <w:color w:val="auto"/>
          <w:sz w:val="22"/>
          <w:szCs w:val="22"/>
        </w:rPr>
      </w:pPr>
      <w:r>
        <w:rPr>
          <w:rFonts w:ascii="宋体" w:hAnsi="宋体"/>
          <w:color w:val="auto"/>
          <w:sz w:val="22"/>
          <w:szCs w:val="22"/>
        </w:rPr>
        <w:t>2.2.4</w:t>
      </w:r>
      <w:r>
        <w:rPr>
          <w:rFonts w:hint="eastAsia" w:ascii="宋体" w:hAnsi="宋体"/>
          <w:color w:val="auto"/>
          <w:sz w:val="22"/>
          <w:szCs w:val="22"/>
        </w:rPr>
        <w:t>评分标准</w:t>
      </w:r>
      <w:r>
        <w:rPr>
          <w:rFonts w:ascii="宋体" w:hAnsi="宋体"/>
          <w:color w:val="auto"/>
          <w:sz w:val="22"/>
          <w:szCs w:val="22"/>
        </w:rPr>
        <w:t xml:space="preserve"> </w:t>
      </w:r>
    </w:p>
    <w:p>
      <w:pPr>
        <w:spacing w:line="400" w:lineRule="exact"/>
        <w:ind w:right="248" w:firstLine="440" w:firstLineChars="200"/>
        <w:rPr>
          <w:rFonts w:ascii="宋体" w:hAnsi="宋体"/>
          <w:color w:val="auto"/>
          <w:sz w:val="22"/>
          <w:szCs w:val="22"/>
        </w:rPr>
      </w:pPr>
      <w:bookmarkStart w:id="20" w:name="_Toc221950504"/>
      <w:r>
        <w:rPr>
          <w:rFonts w:hint="eastAsia" w:ascii="宋体" w:hAnsi="宋体"/>
          <w:color w:val="auto"/>
          <w:sz w:val="22"/>
          <w:szCs w:val="22"/>
        </w:rPr>
        <w:t>评分标准按照本章附件三：评分标准。</w:t>
      </w:r>
      <w:bookmarkEnd w:id="20"/>
    </w:p>
    <w:p>
      <w:pPr>
        <w:spacing w:line="400" w:lineRule="exact"/>
        <w:rPr>
          <w:rFonts w:ascii="宋体" w:hAnsi="宋体"/>
          <w:color w:val="auto"/>
          <w:sz w:val="22"/>
          <w:szCs w:val="22"/>
        </w:rPr>
      </w:pPr>
      <w:r>
        <w:rPr>
          <w:rFonts w:ascii="宋体" w:hAnsi="宋体"/>
          <w:color w:val="auto"/>
          <w:sz w:val="22"/>
          <w:szCs w:val="22"/>
        </w:rPr>
        <w:t xml:space="preserve">3. </w:t>
      </w:r>
      <w:r>
        <w:rPr>
          <w:rFonts w:hint="eastAsia" w:ascii="宋体" w:hAnsi="宋体"/>
          <w:color w:val="auto"/>
          <w:sz w:val="22"/>
          <w:szCs w:val="22"/>
        </w:rPr>
        <w:t>评标程序</w:t>
      </w:r>
      <w:bookmarkEnd w:id="9"/>
      <w:bookmarkEnd w:id="10"/>
      <w:bookmarkEnd w:id="11"/>
      <w:bookmarkEnd w:id="12"/>
      <w:bookmarkEnd w:id="13"/>
      <w:bookmarkEnd w:id="14"/>
      <w:bookmarkEnd w:id="15"/>
      <w:bookmarkEnd w:id="16"/>
      <w:bookmarkEnd w:id="17"/>
      <w:bookmarkEnd w:id="18"/>
    </w:p>
    <w:p>
      <w:pPr>
        <w:spacing w:line="400" w:lineRule="exact"/>
        <w:rPr>
          <w:rFonts w:ascii="宋体" w:hAnsi="宋体"/>
          <w:color w:val="auto"/>
          <w:sz w:val="22"/>
          <w:szCs w:val="22"/>
        </w:rPr>
      </w:pPr>
      <w:bookmarkStart w:id="21" w:name="_Toc144974561"/>
      <w:bookmarkStart w:id="22" w:name="_Toc179632612"/>
      <w:bookmarkStart w:id="23" w:name="_Toc152045594"/>
      <w:bookmarkStart w:id="24" w:name="_Toc152042371"/>
      <w:bookmarkStart w:id="25" w:name="_Toc221950514"/>
      <w:r>
        <w:rPr>
          <w:rFonts w:ascii="宋体" w:hAnsi="宋体"/>
          <w:color w:val="auto"/>
          <w:sz w:val="22"/>
          <w:szCs w:val="22"/>
        </w:rPr>
        <w:t xml:space="preserve">3.1 </w:t>
      </w:r>
      <w:r>
        <w:rPr>
          <w:rFonts w:hint="eastAsia" w:ascii="宋体" w:hAnsi="宋体"/>
          <w:color w:val="auto"/>
          <w:sz w:val="22"/>
          <w:szCs w:val="22"/>
        </w:rPr>
        <w:t>初步评审</w:t>
      </w:r>
      <w:bookmarkEnd w:id="21"/>
      <w:bookmarkEnd w:id="22"/>
      <w:bookmarkEnd w:id="23"/>
      <w:bookmarkEnd w:id="24"/>
    </w:p>
    <w:p>
      <w:pPr>
        <w:spacing w:line="400" w:lineRule="exact"/>
        <w:ind w:firstLine="440" w:firstLineChars="200"/>
        <w:rPr>
          <w:rFonts w:ascii="宋体" w:hAnsi="宋体"/>
          <w:color w:val="auto"/>
          <w:sz w:val="22"/>
          <w:szCs w:val="22"/>
        </w:rPr>
      </w:pPr>
      <w:r>
        <w:rPr>
          <w:rFonts w:ascii="宋体" w:hAnsi="宋体"/>
          <w:color w:val="auto"/>
          <w:sz w:val="22"/>
          <w:szCs w:val="22"/>
        </w:rPr>
        <w:t xml:space="preserve">3.1.1 </w:t>
      </w:r>
      <w:r>
        <w:rPr>
          <w:rFonts w:hint="eastAsia" w:ascii="宋体" w:hAnsi="宋体"/>
          <w:color w:val="auto"/>
          <w:sz w:val="22"/>
          <w:szCs w:val="22"/>
        </w:rPr>
        <w:t>评标委员会可以要求投标人提交第二章“投标人须知”第</w:t>
      </w:r>
      <w:r>
        <w:rPr>
          <w:rFonts w:ascii="宋体" w:hAnsi="宋体"/>
          <w:color w:val="auto"/>
          <w:sz w:val="22"/>
          <w:szCs w:val="22"/>
        </w:rPr>
        <w:t>3.5.1</w:t>
      </w:r>
      <w:r>
        <w:rPr>
          <w:rFonts w:hint="eastAsia" w:ascii="宋体" w:hAnsi="宋体"/>
          <w:color w:val="auto"/>
          <w:sz w:val="22"/>
          <w:szCs w:val="22"/>
        </w:rPr>
        <w:t>项至第</w:t>
      </w:r>
      <w:r>
        <w:rPr>
          <w:rFonts w:ascii="宋体" w:hAnsi="宋体"/>
          <w:color w:val="auto"/>
          <w:sz w:val="22"/>
          <w:szCs w:val="22"/>
        </w:rPr>
        <w:t>3.5.5</w:t>
      </w:r>
      <w:r>
        <w:rPr>
          <w:rFonts w:hint="eastAsia" w:ascii="宋体" w:hAnsi="宋体"/>
          <w:color w:val="auto"/>
          <w:sz w:val="22"/>
          <w:szCs w:val="22"/>
        </w:rPr>
        <w:t>项规定的有关证明和证件的原件，以便核验。评标委员会依据本章第</w:t>
      </w:r>
      <w:r>
        <w:rPr>
          <w:rFonts w:ascii="宋体" w:hAnsi="宋体"/>
          <w:color w:val="auto"/>
          <w:sz w:val="22"/>
          <w:szCs w:val="22"/>
        </w:rPr>
        <w:t>2.1</w:t>
      </w:r>
      <w:r>
        <w:rPr>
          <w:rFonts w:hint="eastAsia" w:ascii="宋体" w:hAnsi="宋体"/>
          <w:color w:val="auto"/>
          <w:sz w:val="22"/>
          <w:szCs w:val="22"/>
        </w:rPr>
        <w:t>款规定的标准对投标文件进行初步评审。有一项不符合评审标准的，评审委员会否决其投标。</w:t>
      </w:r>
    </w:p>
    <w:p>
      <w:pPr>
        <w:spacing w:line="400" w:lineRule="exact"/>
        <w:ind w:firstLine="440" w:firstLineChars="200"/>
        <w:rPr>
          <w:rFonts w:ascii="宋体" w:hAnsi="宋体"/>
          <w:color w:val="auto"/>
          <w:sz w:val="22"/>
          <w:szCs w:val="22"/>
        </w:rPr>
      </w:pPr>
      <w:r>
        <w:rPr>
          <w:rFonts w:ascii="宋体" w:hAnsi="宋体"/>
          <w:color w:val="auto"/>
          <w:sz w:val="22"/>
          <w:szCs w:val="22"/>
        </w:rPr>
        <w:t xml:space="preserve">3.1.2 </w:t>
      </w:r>
      <w:r>
        <w:rPr>
          <w:rFonts w:hint="eastAsia" w:ascii="宋体" w:hAnsi="宋体"/>
          <w:color w:val="auto"/>
          <w:sz w:val="22"/>
          <w:szCs w:val="22"/>
        </w:rPr>
        <w:t>投标人有以下情形之一的，评标委员会应当否决其投标：</w:t>
      </w:r>
      <w:r>
        <w:rPr>
          <w:rFonts w:ascii="宋体" w:hAnsi="宋体"/>
          <w:color w:val="auto"/>
          <w:sz w:val="22"/>
          <w:szCs w:val="22"/>
        </w:rPr>
        <w:t xml:space="preserve"> </w:t>
      </w:r>
    </w:p>
    <w:p>
      <w:pPr>
        <w:spacing w:line="400" w:lineRule="exact"/>
        <w:ind w:firstLine="752" w:firstLineChars="342"/>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1</w:t>
      </w:r>
      <w:r>
        <w:rPr>
          <w:rFonts w:hint="eastAsia" w:ascii="宋体" w:hAnsi="宋体"/>
          <w:color w:val="auto"/>
          <w:sz w:val="22"/>
          <w:szCs w:val="22"/>
        </w:rPr>
        <w:t>）第</w:t>
      </w:r>
      <w:r>
        <w:rPr>
          <w:rFonts w:ascii="宋体" w:hAnsi="宋体"/>
          <w:color w:val="auto"/>
          <w:sz w:val="22"/>
          <w:szCs w:val="22"/>
        </w:rPr>
        <w:t>2</w:t>
      </w:r>
      <w:r>
        <w:rPr>
          <w:rFonts w:hint="eastAsia" w:ascii="宋体" w:hAnsi="宋体"/>
          <w:color w:val="auto"/>
          <w:sz w:val="22"/>
          <w:szCs w:val="22"/>
        </w:rPr>
        <w:t>章“投标人须知”第</w:t>
      </w:r>
      <w:r>
        <w:rPr>
          <w:rFonts w:ascii="宋体" w:hAnsi="宋体"/>
          <w:color w:val="auto"/>
          <w:sz w:val="22"/>
          <w:szCs w:val="22"/>
        </w:rPr>
        <w:t>1.4.3</w:t>
      </w:r>
      <w:r>
        <w:rPr>
          <w:rFonts w:hint="eastAsia" w:ascii="宋体" w:hAnsi="宋体"/>
          <w:color w:val="auto"/>
          <w:sz w:val="22"/>
          <w:szCs w:val="22"/>
        </w:rPr>
        <w:t>项规定的任何一种情形的；</w:t>
      </w:r>
    </w:p>
    <w:p>
      <w:pPr>
        <w:spacing w:line="400" w:lineRule="exact"/>
        <w:ind w:firstLine="752" w:firstLineChars="342"/>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2</w:t>
      </w:r>
      <w:r>
        <w:rPr>
          <w:rFonts w:hint="eastAsia" w:ascii="宋体" w:hAnsi="宋体"/>
          <w:color w:val="auto"/>
          <w:sz w:val="22"/>
          <w:szCs w:val="22"/>
        </w:rPr>
        <w:t>）串通投标或弄虚作假或有其他违法行为的；</w:t>
      </w:r>
    </w:p>
    <w:p>
      <w:pPr>
        <w:spacing w:line="400" w:lineRule="exact"/>
        <w:ind w:firstLine="770" w:firstLineChars="350"/>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3</w:t>
      </w:r>
      <w:r>
        <w:rPr>
          <w:rFonts w:hint="eastAsia" w:ascii="宋体" w:hAnsi="宋体"/>
          <w:color w:val="auto"/>
          <w:sz w:val="22"/>
          <w:szCs w:val="22"/>
        </w:rPr>
        <w:t>）不按评标委员会要求澄清、说明或补正的。</w:t>
      </w:r>
      <w:r>
        <w:rPr>
          <w:rFonts w:ascii="宋体" w:hAnsi="宋体"/>
          <w:color w:val="auto"/>
          <w:sz w:val="22"/>
          <w:szCs w:val="22"/>
        </w:rPr>
        <w:t xml:space="preserve"> </w:t>
      </w:r>
    </w:p>
    <w:p>
      <w:pPr>
        <w:spacing w:line="400" w:lineRule="exact"/>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3.1.3</w:t>
      </w:r>
      <w:r>
        <w:rPr>
          <w:rFonts w:hint="eastAsia" w:ascii="宋体" w:hAnsi="宋体"/>
          <w:color w:val="auto"/>
          <w:sz w:val="22"/>
          <w:szCs w:val="22"/>
        </w:rPr>
        <w:t>投标报价有算术错误的，评标委员会按以下原则对投标报价进行修正，修正的价格经投标人书面确认后具有约束力。投标人不接受修正价格的，评标委员会应当否决其投标。</w:t>
      </w:r>
    </w:p>
    <w:p>
      <w:pPr>
        <w:spacing w:line="400" w:lineRule="exact"/>
        <w:ind w:firstLine="752" w:firstLineChars="342"/>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1</w:t>
      </w:r>
      <w:r>
        <w:rPr>
          <w:rFonts w:hint="eastAsia" w:ascii="宋体" w:hAnsi="宋体"/>
          <w:color w:val="auto"/>
          <w:sz w:val="22"/>
          <w:szCs w:val="22"/>
        </w:rPr>
        <w:t>）投标文件中的大写金额与小写金额不一致的，以大写金额为准；</w:t>
      </w:r>
    </w:p>
    <w:p>
      <w:pPr>
        <w:spacing w:line="400" w:lineRule="exact"/>
        <w:ind w:firstLine="750" w:firstLineChars="341"/>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2</w:t>
      </w:r>
      <w:r>
        <w:rPr>
          <w:rFonts w:hint="eastAsia" w:ascii="宋体" w:hAnsi="宋体"/>
          <w:color w:val="auto"/>
          <w:sz w:val="22"/>
          <w:szCs w:val="22"/>
        </w:rPr>
        <w:t>）总价金额与依据单价计算出的结果不一致的，以单价金额为准修正总价，但单价金额小数点有明显错误的除外。</w:t>
      </w:r>
    </w:p>
    <w:p>
      <w:pPr>
        <w:spacing w:line="400" w:lineRule="exact"/>
        <w:rPr>
          <w:rFonts w:ascii="宋体" w:hAnsi="宋体"/>
          <w:color w:val="auto"/>
          <w:sz w:val="22"/>
          <w:szCs w:val="22"/>
        </w:rPr>
      </w:pPr>
      <w:bookmarkStart w:id="26" w:name="_Toc144974562"/>
      <w:bookmarkStart w:id="27" w:name="_Toc152045595"/>
      <w:bookmarkStart w:id="28" w:name="_Toc179632613"/>
      <w:bookmarkStart w:id="29" w:name="_Toc152042372"/>
      <w:r>
        <w:rPr>
          <w:rFonts w:ascii="宋体" w:hAnsi="宋体"/>
          <w:color w:val="auto"/>
          <w:sz w:val="22"/>
          <w:szCs w:val="22"/>
        </w:rPr>
        <w:t xml:space="preserve">3.2 </w:t>
      </w:r>
      <w:r>
        <w:rPr>
          <w:rFonts w:hint="eastAsia" w:ascii="宋体" w:hAnsi="宋体"/>
          <w:color w:val="auto"/>
          <w:sz w:val="22"/>
          <w:szCs w:val="22"/>
        </w:rPr>
        <w:t>详细评审</w:t>
      </w:r>
      <w:bookmarkEnd w:id="26"/>
      <w:bookmarkEnd w:id="27"/>
      <w:bookmarkEnd w:id="28"/>
      <w:bookmarkEnd w:id="29"/>
    </w:p>
    <w:p>
      <w:pPr>
        <w:spacing w:line="400" w:lineRule="exact"/>
        <w:ind w:firstLine="440" w:firstLineChars="200"/>
        <w:rPr>
          <w:rFonts w:ascii="宋体" w:hAnsi="宋体"/>
          <w:color w:val="auto"/>
          <w:sz w:val="22"/>
          <w:szCs w:val="22"/>
        </w:rPr>
      </w:pPr>
      <w:r>
        <w:rPr>
          <w:rFonts w:ascii="宋体" w:hAnsi="宋体"/>
          <w:color w:val="auto"/>
          <w:sz w:val="22"/>
          <w:szCs w:val="22"/>
        </w:rPr>
        <w:t>3.2.1</w:t>
      </w:r>
      <w:r>
        <w:rPr>
          <w:rFonts w:hint="eastAsia" w:ascii="宋体" w:hAnsi="宋体"/>
          <w:color w:val="auto"/>
          <w:sz w:val="22"/>
          <w:szCs w:val="22"/>
        </w:rPr>
        <w:t>评标委员会按本章第</w:t>
      </w:r>
      <w:r>
        <w:rPr>
          <w:rFonts w:ascii="宋体" w:hAnsi="宋体"/>
          <w:color w:val="auto"/>
          <w:sz w:val="22"/>
          <w:szCs w:val="22"/>
        </w:rPr>
        <w:t>2.2</w:t>
      </w:r>
      <w:r>
        <w:rPr>
          <w:rFonts w:hint="eastAsia" w:ascii="宋体" w:hAnsi="宋体"/>
          <w:color w:val="auto"/>
          <w:sz w:val="22"/>
          <w:szCs w:val="22"/>
        </w:rPr>
        <w:t>款规定的量化因素和分值进行打分，并计算出综合评估得分。</w:t>
      </w:r>
    </w:p>
    <w:p>
      <w:pPr>
        <w:spacing w:line="400" w:lineRule="exact"/>
        <w:ind w:firstLine="440" w:firstLineChars="200"/>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)按本章第</w:t>
      </w:r>
      <w:r>
        <w:rPr>
          <w:rFonts w:ascii="宋体" w:hAnsi="宋体"/>
          <w:color w:val="auto"/>
          <w:sz w:val="22"/>
          <w:szCs w:val="22"/>
        </w:rPr>
        <w:t>2.2.4(1</w:t>
      </w:r>
      <w:r>
        <w:rPr>
          <w:rFonts w:hint="eastAsia" w:ascii="宋体" w:hAnsi="宋体"/>
          <w:color w:val="auto"/>
          <w:sz w:val="22"/>
          <w:szCs w:val="22"/>
        </w:rPr>
        <w:t>)目规定的评审因素和分值对投标人实施方案计算出得分</w:t>
      </w:r>
      <w:r>
        <w:rPr>
          <w:rFonts w:ascii="宋体" w:hAnsi="宋体"/>
          <w:color w:val="auto"/>
          <w:sz w:val="22"/>
          <w:szCs w:val="22"/>
        </w:rPr>
        <w:t xml:space="preserve">A </w:t>
      </w:r>
      <w:r>
        <w:rPr>
          <w:rFonts w:hint="eastAsia" w:ascii="宋体" w:hAnsi="宋体"/>
          <w:color w:val="auto"/>
          <w:sz w:val="22"/>
          <w:szCs w:val="22"/>
        </w:rPr>
        <w:t>；</w:t>
      </w:r>
    </w:p>
    <w:p>
      <w:pPr>
        <w:spacing w:line="400" w:lineRule="exact"/>
        <w:ind w:firstLine="440" w:firstLineChars="200"/>
        <w:rPr>
          <w:rFonts w:ascii="宋体" w:hAnsi="宋体"/>
          <w:color w:val="auto"/>
          <w:sz w:val="22"/>
          <w:szCs w:val="22"/>
        </w:rPr>
      </w:pPr>
      <w:r>
        <w:rPr>
          <w:rFonts w:ascii="宋体" w:hAnsi="宋体"/>
          <w:color w:val="auto"/>
          <w:sz w:val="22"/>
          <w:szCs w:val="22"/>
        </w:rPr>
        <w:t>(2</w:t>
      </w:r>
      <w:r>
        <w:rPr>
          <w:rFonts w:hint="eastAsia" w:ascii="宋体" w:hAnsi="宋体"/>
          <w:color w:val="auto"/>
          <w:sz w:val="22"/>
          <w:szCs w:val="22"/>
        </w:rPr>
        <w:t>)按本章第</w:t>
      </w:r>
      <w:r>
        <w:rPr>
          <w:rFonts w:ascii="宋体" w:hAnsi="宋体"/>
          <w:color w:val="auto"/>
          <w:sz w:val="22"/>
          <w:szCs w:val="22"/>
        </w:rPr>
        <w:t>2.2.4(2</w:t>
      </w:r>
      <w:r>
        <w:rPr>
          <w:rFonts w:hint="eastAsia" w:ascii="宋体" w:hAnsi="宋体"/>
          <w:color w:val="auto"/>
          <w:sz w:val="22"/>
          <w:szCs w:val="22"/>
        </w:rPr>
        <w:t>)目规定的评审因素和分值对项目管理机构及其他评分因素计算出得分</w:t>
      </w:r>
      <w:r>
        <w:rPr>
          <w:rFonts w:ascii="宋体" w:hAnsi="宋体"/>
          <w:color w:val="auto"/>
          <w:sz w:val="22"/>
          <w:szCs w:val="22"/>
        </w:rPr>
        <w:t>B</w:t>
      </w:r>
      <w:r>
        <w:rPr>
          <w:rFonts w:hint="eastAsia" w:ascii="宋体" w:hAnsi="宋体"/>
          <w:color w:val="auto"/>
          <w:sz w:val="22"/>
          <w:szCs w:val="22"/>
        </w:rPr>
        <w:t>；</w:t>
      </w:r>
    </w:p>
    <w:p>
      <w:pPr>
        <w:spacing w:line="400" w:lineRule="exact"/>
        <w:ind w:firstLine="440" w:firstLineChars="200"/>
        <w:rPr>
          <w:rFonts w:ascii="宋体" w:hAnsi="宋体"/>
          <w:color w:val="auto"/>
          <w:sz w:val="22"/>
          <w:szCs w:val="22"/>
        </w:rPr>
      </w:pPr>
      <w:r>
        <w:rPr>
          <w:rFonts w:ascii="宋体" w:hAnsi="宋体"/>
          <w:color w:val="auto"/>
          <w:sz w:val="22"/>
          <w:szCs w:val="22"/>
        </w:rPr>
        <w:t>(3</w:t>
      </w:r>
      <w:r>
        <w:rPr>
          <w:rFonts w:hint="eastAsia" w:ascii="宋体" w:hAnsi="宋体"/>
          <w:color w:val="auto"/>
          <w:sz w:val="22"/>
          <w:szCs w:val="22"/>
        </w:rPr>
        <w:t>）按本章第</w:t>
      </w:r>
      <w:r>
        <w:rPr>
          <w:rFonts w:ascii="宋体" w:hAnsi="宋体"/>
          <w:color w:val="auto"/>
          <w:sz w:val="22"/>
          <w:szCs w:val="22"/>
        </w:rPr>
        <w:t>2.2.4(3</w:t>
      </w:r>
      <w:r>
        <w:rPr>
          <w:rFonts w:hint="eastAsia" w:ascii="宋体" w:hAnsi="宋体"/>
          <w:color w:val="auto"/>
          <w:sz w:val="22"/>
          <w:szCs w:val="22"/>
        </w:rPr>
        <w:t>）目规定的评审因素和分值对投标报价计算出得分</w:t>
      </w:r>
      <w:r>
        <w:rPr>
          <w:rFonts w:ascii="宋体" w:hAnsi="宋体"/>
          <w:color w:val="auto"/>
          <w:sz w:val="22"/>
          <w:szCs w:val="22"/>
        </w:rPr>
        <w:t>C</w:t>
      </w:r>
      <w:r>
        <w:rPr>
          <w:rFonts w:hint="eastAsia" w:ascii="宋体" w:hAnsi="宋体"/>
          <w:color w:val="auto"/>
          <w:sz w:val="22"/>
          <w:szCs w:val="22"/>
        </w:rPr>
        <w:t>；</w:t>
      </w:r>
    </w:p>
    <w:p>
      <w:pPr>
        <w:spacing w:line="400" w:lineRule="exact"/>
        <w:ind w:firstLine="440" w:firstLineChars="200"/>
        <w:rPr>
          <w:rFonts w:ascii="宋体" w:hAnsi="宋体"/>
          <w:color w:val="auto"/>
          <w:sz w:val="22"/>
          <w:szCs w:val="22"/>
        </w:rPr>
      </w:pPr>
      <w:r>
        <w:rPr>
          <w:rFonts w:ascii="宋体" w:hAnsi="宋体"/>
          <w:color w:val="auto"/>
          <w:sz w:val="22"/>
          <w:szCs w:val="22"/>
        </w:rPr>
        <w:t xml:space="preserve">3.2.2 </w:t>
      </w:r>
      <w:r>
        <w:rPr>
          <w:rFonts w:hint="eastAsia" w:ascii="宋体" w:hAnsi="宋体"/>
          <w:color w:val="auto"/>
          <w:sz w:val="22"/>
          <w:szCs w:val="22"/>
        </w:rPr>
        <w:t>评分分值计算保留小数点后面两位，小数点后第三位“四舍五入”。</w:t>
      </w:r>
    </w:p>
    <w:p>
      <w:pPr>
        <w:spacing w:line="400" w:lineRule="exact"/>
        <w:ind w:firstLine="440" w:firstLineChars="200"/>
        <w:rPr>
          <w:rFonts w:ascii="宋体" w:hAnsi="宋体"/>
          <w:color w:val="auto"/>
          <w:sz w:val="22"/>
          <w:szCs w:val="22"/>
        </w:rPr>
      </w:pPr>
      <w:r>
        <w:rPr>
          <w:rFonts w:ascii="宋体" w:hAnsi="宋体"/>
          <w:color w:val="auto"/>
          <w:sz w:val="22"/>
          <w:szCs w:val="22"/>
        </w:rPr>
        <w:t xml:space="preserve">3.2.3 </w:t>
      </w:r>
      <w:r>
        <w:rPr>
          <w:rFonts w:hint="eastAsia" w:ascii="宋体" w:hAnsi="宋体"/>
          <w:color w:val="auto"/>
          <w:sz w:val="22"/>
          <w:szCs w:val="22"/>
        </w:rPr>
        <w:t>投标人得分</w:t>
      </w:r>
      <w:r>
        <w:rPr>
          <w:rFonts w:ascii="宋体" w:hAnsi="宋体"/>
          <w:color w:val="auto"/>
          <w:sz w:val="22"/>
          <w:szCs w:val="22"/>
        </w:rPr>
        <w:t xml:space="preserve"> = A </w:t>
      </w:r>
      <w:r>
        <w:rPr>
          <w:rFonts w:hint="eastAsia" w:ascii="宋体" w:hAnsi="宋体"/>
          <w:color w:val="auto"/>
          <w:sz w:val="22"/>
          <w:szCs w:val="22"/>
        </w:rPr>
        <w:t>十</w:t>
      </w:r>
      <w:r>
        <w:rPr>
          <w:rFonts w:ascii="宋体" w:hAnsi="宋体"/>
          <w:color w:val="auto"/>
          <w:sz w:val="22"/>
          <w:szCs w:val="22"/>
        </w:rPr>
        <w:t xml:space="preserve">B </w:t>
      </w:r>
      <w:r>
        <w:rPr>
          <w:rFonts w:hint="eastAsia" w:ascii="宋体" w:hAnsi="宋体"/>
          <w:color w:val="auto"/>
          <w:sz w:val="22"/>
          <w:szCs w:val="22"/>
        </w:rPr>
        <w:t>十</w:t>
      </w:r>
      <w:r>
        <w:rPr>
          <w:rFonts w:ascii="宋体" w:hAnsi="宋体"/>
          <w:color w:val="auto"/>
          <w:sz w:val="22"/>
          <w:szCs w:val="22"/>
        </w:rPr>
        <w:t>C</w:t>
      </w:r>
      <w:r>
        <w:rPr>
          <w:rFonts w:hint="eastAsia" w:ascii="宋体" w:hAnsi="宋体"/>
          <w:color w:val="auto"/>
          <w:sz w:val="22"/>
          <w:szCs w:val="22"/>
        </w:rPr>
        <w:t>。</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rPr>
        <w:t>3.2.4 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评标委员会认定该投标人以低于成本报价竞标，评标委员会应当否决其投标。</w:t>
      </w:r>
    </w:p>
    <w:p>
      <w:pPr>
        <w:spacing w:line="400" w:lineRule="exact"/>
        <w:rPr>
          <w:rFonts w:ascii="宋体" w:hAnsi="宋体"/>
          <w:color w:val="auto"/>
          <w:sz w:val="22"/>
          <w:szCs w:val="22"/>
        </w:rPr>
      </w:pPr>
      <w:bookmarkStart w:id="30" w:name="_Toc144974563"/>
      <w:bookmarkStart w:id="31" w:name="_Toc179632614"/>
      <w:bookmarkStart w:id="32" w:name="_Toc152042373"/>
      <w:bookmarkStart w:id="33" w:name="_Toc152045596"/>
      <w:r>
        <w:rPr>
          <w:rFonts w:ascii="宋体" w:hAnsi="宋体"/>
          <w:color w:val="auto"/>
          <w:sz w:val="22"/>
          <w:szCs w:val="22"/>
        </w:rPr>
        <w:t xml:space="preserve">3.3 </w:t>
      </w:r>
      <w:r>
        <w:rPr>
          <w:rFonts w:hint="eastAsia" w:ascii="宋体" w:hAnsi="宋体"/>
          <w:color w:val="auto"/>
          <w:sz w:val="22"/>
          <w:szCs w:val="22"/>
        </w:rPr>
        <w:t>投标文件的澄清</w:t>
      </w:r>
      <w:bookmarkEnd w:id="30"/>
      <w:r>
        <w:rPr>
          <w:rFonts w:hint="eastAsia" w:ascii="宋体" w:hAnsi="宋体"/>
          <w:color w:val="auto"/>
          <w:sz w:val="22"/>
          <w:szCs w:val="22"/>
        </w:rPr>
        <w:t>和补正</w:t>
      </w:r>
      <w:bookmarkEnd w:id="31"/>
      <w:bookmarkEnd w:id="32"/>
      <w:bookmarkEnd w:id="33"/>
    </w:p>
    <w:p>
      <w:pPr>
        <w:spacing w:line="400" w:lineRule="exact"/>
        <w:ind w:firstLine="440" w:firstLineChars="200"/>
        <w:rPr>
          <w:rFonts w:ascii="宋体" w:hAnsi="宋体"/>
          <w:color w:val="auto"/>
          <w:sz w:val="22"/>
          <w:szCs w:val="22"/>
        </w:rPr>
      </w:pPr>
      <w:r>
        <w:rPr>
          <w:rFonts w:ascii="宋体" w:hAnsi="宋体"/>
          <w:color w:val="auto"/>
          <w:sz w:val="22"/>
          <w:szCs w:val="22"/>
        </w:rPr>
        <w:t>3.3.1</w:t>
      </w:r>
      <w:r>
        <w:rPr>
          <w:rFonts w:hint="eastAsia" w:ascii="宋体" w:hAnsi="宋体"/>
          <w:color w:val="auto"/>
          <w:sz w:val="22"/>
          <w:szCs w:val="22"/>
        </w:rPr>
        <w:t>在评标过程中，评标委员会可以书面形式要求投标人对所提交的投标文件中不明确的内容进行书面澄清或说明，或者对细微偏差进行补正。评标委员会不接受投标人主动提出的澄清、说明或补正。</w:t>
      </w:r>
    </w:p>
    <w:p>
      <w:pPr>
        <w:spacing w:line="400" w:lineRule="exact"/>
        <w:ind w:firstLine="440" w:firstLineChars="200"/>
        <w:rPr>
          <w:rFonts w:ascii="宋体" w:hAnsi="宋体"/>
          <w:color w:val="auto"/>
          <w:sz w:val="22"/>
          <w:szCs w:val="22"/>
        </w:rPr>
      </w:pPr>
      <w:r>
        <w:rPr>
          <w:rFonts w:ascii="宋体" w:hAnsi="宋体"/>
          <w:color w:val="auto"/>
          <w:sz w:val="22"/>
          <w:szCs w:val="22"/>
        </w:rPr>
        <w:t xml:space="preserve">3.3.2 </w:t>
      </w:r>
      <w:r>
        <w:rPr>
          <w:rFonts w:hint="eastAsia" w:ascii="宋体" w:hAnsi="宋体"/>
          <w:color w:val="auto"/>
          <w:sz w:val="22"/>
          <w:szCs w:val="22"/>
        </w:rPr>
        <w:t>澄清、说明和补正不得改变投标文件的实质性内容（算术性错误修正的除外）。投标人的书面澄清、说明和补正属于投标文件的组成部分。</w:t>
      </w:r>
    </w:p>
    <w:p>
      <w:pPr>
        <w:spacing w:line="400" w:lineRule="exact"/>
        <w:ind w:firstLine="440" w:firstLineChars="200"/>
        <w:rPr>
          <w:rFonts w:ascii="宋体" w:hAnsi="宋体"/>
          <w:color w:val="auto"/>
          <w:sz w:val="22"/>
          <w:szCs w:val="22"/>
        </w:rPr>
      </w:pPr>
      <w:r>
        <w:rPr>
          <w:rFonts w:ascii="宋体" w:hAnsi="宋体"/>
          <w:color w:val="auto"/>
          <w:sz w:val="22"/>
          <w:szCs w:val="22"/>
        </w:rPr>
        <w:t xml:space="preserve">3.3.3 </w:t>
      </w:r>
      <w:r>
        <w:rPr>
          <w:rFonts w:hint="eastAsia" w:ascii="宋体" w:hAnsi="宋体"/>
          <w:color w:val="auto"/>
          <w:sz w:val="22"/>
          <w:szCs w:val="22"/>
        </w:rPr>
        <w:t>评标委员会对投标人提交的澄清、说明或补正有疑问的，可以要求投标人进一步澄清、说明或补正，直至满足评标委员会的要求。</w:t>
      </w:r>
    </w:p>
    <w:p>
      <w:pPr>
        <w:spacing w:line="400" w:lineRule="exact"/>
        <w:rPr>
          <w:rFonts w:ascii="宋体" w:hAnsi="宋体"/>
          <w:color w:val="auto"/>
          <w:sz w:val="22"/>
          <w:szCs w:val="22"/>
        </w:rPr>
      </w:pPr>
      <w:r>
        <w:rPr>
          <w:rFonts w:ascii="宋体" w:hAnsi="宋体"/>
          <w:color w:val="auto"/>
          <w:sz w:val="22"/>
          <w:szCs w:val="22"/>
        </w:rPr>
        <w:t>3.4</w:t>
      </w:r>
      <w:r>
        <w:rPr>
          <w:rFonts w:hint="eastAsia" w:ascii="宋体" w:hAnsi="宋体"/>
          <w:color w:val="auto"/>
          <w:sz w:val="22"/>
          <w:szCs w:val="22"/>
        </w:rPr>
        <w:t>评标结果</w:t>
      </w:r>
    </w:p>
    <w:bookmarkEnd w:id="25"/>
    <w:p>
      <w:pPr>
        <w:spacing w:line="400" w:lineRule="exact"/>
        <w:ind w:right="248" w:firstLine="440" w:firstLineChars="200"/>
        <w:rPr>
          <w:rFonts w:ascii="宋体" w:hAnsi="宋体"/>
          <w:color w:val="auto"/>
          <w:sz w:val="22"/>
          <w:szCs w:val="22"/>
        </w:rPr>
      </w:pPr>
      <w:r>
        <w:rPr>
          <w:rFonts w:ascii="宋体" w:hAnsi="宋体"/>
          <w:color w:val="auto"/>
          <w:sz w:val="22"/>
          <w:szCs w:val="22"/>
        </w:rPr>
        <w:t xml:space="preserve">3.4.1 </w:t>
      </w:r>
      <w:r>
        <w:rPr>
          <w:rFonts w:hint="eastAsia" w:ascii="宋体" w:hAnsi="宋体"/>
          <w:color w:val="auto"/>
          <w:sz w:val="22"/>
          <w:szCs w:val="22"/>
        </w:rPr>
        <w:t>评标委员会依据本章第</w:t>
      </w:r>
      <w:r>
        <w:rPr>
          <w:rFonts w:ascii="宋体" w:hAnsi="宋体"/>
          <w:color w:val="auto"/>
          <w:sz w:val="22"/>
          <w:szCs w:val="22"/>
        </w:rPr>
        <w:t>2.2</w:t>
      </w:r>
      <w:r>
        <w:rPr>
          <w:rFonts w:hint="eastAsia" w:ascii="宋体" w:hAnsi="宋体"/>
          <w:color w:val="auto"/>
          <w:sz w:val="22"/>
          <w:szCs w:val="22"/>
        </w:rPr>
        <w:t>条评分标准进行评分，按评标办法前附表的约定计算投标人最终得分，根据得分由高到低的顺序推荐</w:t>
      </w:r>
      <w:r>
        <w:rPr>
          <w:rFonts w:ascii="宋体" w:hAnsi="宋体"/>
          <w:color w:val="auto"/>
          <w:sz w:val="22"/>
          <w:szCs w:val="22"/>
        </w:rPr>
        <w:t>3</w:t>
      </w:r>
      <w:r>
        <w:rPr>
          <w:rFonts w:hint="eastAsia" w:ascii="宋体" w:hAnsi="宋体"/>
          <w:color w:val="auto"/>
          <w:sz w:val="22"/>
          <w:szCs w:val="22"/>
        </w:rPr>
        <w:t>名中标候选人，并标明推荐顺序。</w:t>
      </w:r>
    </w:p>
    <w:p>
      <w:pPr>
        <w:pStyle w:val="5"/>
        <w:ind w:firstLine="440" w:firstLineChars="200"/>
        <w:rPr>
          <w:rFonts w:hAnsi="宋体"/>
          <w:color w:val="auto"/>
          <w:sz w:val="22"/>
          <w:szCs w:val="22"/>
        </w:rPr>
      </w:pPr>
      <w:r>
        <w:rPr>
          <w:rFonts w:hAnsi="宋体"/>
          <w:color w:val="auto"/>
          <w:sz w:val="22"/>
          <w:szCs w:val="22"/>
        </w:rPr>
        <w:t xml:space="preserve">3.4.2 </w:t>
      </w:r>
      <w:r>
        <w:rPr>
          <w:rFonts w:hint="eastAsia" w:hAnsi="宋体"/>
          <w:color w:val="auto"/>
          <w:sz w:val="22"/>
          <w:szCs w:val="22"/>
        </w:rPr>
        <w:t>评标委员会完成评标后，应当向招标人提交书面评标报告。</w:t>
      </w:r>
    </w:p>
    <w:p>
      <w:pPr>
        <w:pStyle w:val="6"/>
        <w:spacing w:beforeAutospacing="0" w:afterAutospacing="0" w:line="360" w:lineRule="auto"/>
        <w:jc w:val="left"/>
        <w:rPr>
          <w:rFonts w:hint="default" w:ascii="宋体" w:hAnsi="宋体"/>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795"/>
        </w:tabs>
        <w:ind w:left="1795" w:hanging="420"/>
      </w:pPr>
      <w:rPr>
        <w:rFonts w:hint="eastAsia" w:cs="Times New Roman"/>
      </w:rPr>
    </w:lvl>
    <w:lvl w:ilvl="1" w:tentative="0">
      <w:start w:val="1"/>
      <w:numFmt w:val="decimal"/>
      <w:lvlText w:val="%2、"/>
      <w:lvlJc w:val="left"/>
      <w:pPr>
        <w:tabs>
          <w:tab w:val="left" w:pos="780"/>
        </w:tabs>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7"/>
    <w:multiLevelType w:val="multilevel"/>
    <w:tmpl w:val="00000007"/>
    <w:lvl w:ilvl="0" w:tentative="0">
      <w:start w:val="1"/>
      <w:numFmt w:val="decimal"/>
      <w:suff w:val="nothing"/>
      <w:lvlText w:val="(%1) "/>
      <w:lvlJc w:val="left"/>
      <w:pPr>
        <w:ind w:left="1375"/>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B"/>
    <w:multiLevelType w:val="multilevel"/>
    <w:tmpl w:val="0000000B"/>
    <w:lvl w:ilvl="0" w:tentative="0">
      <w:start w:val="1"/>
      <w:numFmt w:val="upperLetter"/>
      <w:lvlText w:val="%1."/>
      <w:lvlJc w:val="left"/>
      <w:pPr>
        <w:tabs>
          <w:tab w:val="left" w:pos="1795"/>
        </w:tabs>
        <w:ind w:left="1795"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D4925"/>
    <w:rsid w:val="227B168C"/>
    <w:rsid w:val="2CF4325A"/>
    <w:rsid w:val="31331933"/>
    <w:rsid w:val="3A0877AF"/>
    <w:rsid w:val="5387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4">
    <w:name w:val="Body Text"/>
    <w:basedOn w:val="1"/>
    <w:qFormat/>
    <w:uiPriority w:val="99"/>
    <w:pPr>
      <w:spacing w:after="120"/>
    </w:pPr>
  </w:style>
  <w:style w:type="paragraph" w:styleId="5">
    <w:name w:val="Plain Text"/>
    <w:basedOn w:val="1"/>
    <w:qFormat/>
    <w:uiPriority w:val="0"/>
    <w:rPr>
      <w:rFonts w:ascii="宋体" w:hAnsi="Courier New"/>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2020-04-20T03:17:00Z</dcterms:created>
  <dc:creator>86136</dc:creator>
  <cp:lastModifiedBy>Administrator</cp:lastModifiedBy>
  <dcterms:modified xsi:type="dcterms:W3CDTF">2020-04-20T05:56:58Z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