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spacing w:before="0" w:after="0" w:line="360" w:lineRule="auto"/>
        <w:jc w:val="left"/>
        <w:rPr>
          <w:rFonts w:hint="eastAsia"/>
          <w:b/>
          <w:bCs/>
          <w:sz w:val="32"/>
          <w:szCs w:val="32"/>
          <w:highlight w:val="none"/>
          <w:lang w:eastAsia="zh-CN"/>
        </w:rPr>
      </w:pPr>
      <w:bookmarkStart w:id="36" w:name="_GoBack"/>
      <w:bookmarkEnd w:id="36"/>
      <w:r>
        <w:rPr>
          <w:rFonts w:hint="eastAsia"/>
          <w:b/>
          <w:bCs/>
          <w:sz w:val="32"/>
          <w:szCs w:val="32"/>
          <w:highlight w:val="none"/>
          <w:lang w:eastAsia="zh-CN"/>
        </w:rPr>
        <w:t>附</w:t>
      </w:r>
      <w:r>
        <w:rPr>
          <w:rFonts w:hint="eastAsia"/>
          <w:b/>
          <w:bCs/>
          <w:sz w:val="32"/>
          <w:szCs w:val="32"/>
          <w:highlight w:val="none"/>
          <w:lang w:val="en-US" w:eastAsia="zh-CN"/>
        </w:rPr>
        <w:t>1</w:t>
      </w:r>
      <w:r>
        <w:rPr>
          <w:rFonts w:hint="eastAsia"/>
          <w:b/>
          <w:bCs/>
          <w:sz w:val="32"/>
          <w:szCs w:val="32"/>
          <w:highlight w:val="none"/>
          <w:lang w:eastAsia="zh-CN"/>
        </w:rPr>
        <w:t>：资格审查条件</w:t>
      </w:r>
    </w:p>
    <w:p>
      <w:pPr>
        <w:widowControl/>
        <w:spacing w:line="276" w:lineRule="auto"/>
        <w:jc w:val="center"/>
        <w:rPr>
          <w:rFonts w:ascii="宋体" w:hAnsi="宋体"/>
          <w:szCs w:val="21"/>
        </w:rPr>
      </w:pPr>
      <w:r>
        <w:rPr>
          <w:rFonts w:ascii="宋体" w:hAnsi="宋体"/>
          <w:b/>
          <w:bCs/>
          <w:sz w:val="24"/>
          <w:szCs w:val="24"/>
        </w:rPr>
        <w:t>附录1  资质条件</w:t>
      </w:r>
    </w:p>
    <w:tbl>
      <w:tblPr>
        <w:tblStyle w:val="33"/>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9610" w:type="dxa"/>
          </w:tcPr>
          <w:p>
            <w:pPr>
              <w:widowControl/>
              <w:spacing w:line="276" w:lineRule="auto"/>
              <w:jc w:val="center"/>
              <w:rPr>
                <w:rFonts w:ascii="宋体" w:hAnsi="宋体"/>
                <w:szCs w:val="21"/>
              </w:rPr>
            </w:pPr>
            <w:r>
              <w:rPr>
                <w:rFonts w:ascii="宋体" w:hAnsi="宋体"/>
                <w:szCs w:val="21"/>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0" w:type="dxa"/>
          </w:tcPr>
          <w:p>
            <w:pPr>
              <w:spacing w:line="360" w:lineRule="auto"/>
              <w:jc w:val="left"/>
              <w:rPr>
                <w:rFonts w:hint="eastAsia"/>
              </w:rPr>
            </w:pPr>
            <w:r>
              <w:rPr>
                <w:rFonts w:hint="eastAsia"/>
              </w:rPr>
              <w:t>（1）具有独立法人资格的LED灯具制造商，具有合法的经营资格</w:t>
            </w:r>
            <w:r>
              <w:rPr>
                <w:rFonts w:hint="eastAsia"/>
                <w:lang w:eastAsia="zh-CN"/>
              </w:rPr>
              <w:t>，</w:t>
            </w:r>
            <w:r>
              <w:rPr>
                <w:rFonts w:hint="eastAsia"/>
                <w:lang w:val="en-US" w:eastAsia="zh-CN"/>
              </w:rPr>
              <w:t>提供有效的营业执照</w:t>
            </w:r>
            <w:r>
              <w:rPr>
                <w:rFonts w:hint="eastAsia"/>
              </w:rPr>
              <w:t>；</w:t>
            </w:r>
          </w:p>
          <w:p>
            <w:pPr>
              <w:spacing w:line="360" w:lineRule="auto"/>
              <w:jc w:val="left"/>
              <w:rPr>
                <w:rFonts w:hint="eastAsia"/>
              </w:rPr>
            </w:pPr>
            <w:r>
              <w:rPr>
                <w:rFonts w:hint="eastAsia"/>
              </w:rPr>
              <w:t>（2）投标人需具有有效的ISO9001:2000质量体系认证（认证范围包含LED灯）、 国家电气产品强制性3C认证；</w:t>
            </w:r>
          </w:p>
          <w:p>
            <w:pPr>
              <w:spacing w:line="360" w:lineRule="auto"/>
              <w:jc w:val="left"/>
              <w:rPr>
                <w:rFonts w:hint="eastAsia"/>
              </w:rPr>
            </w:pPr>
            <w:r>
              <w:rPr>
                <w:rFonts w:hint="eastAsia"/>
              </w:rPr>
              <w:t>（3）提供近三年内（2017年至投标截止之日），省部级及以上第三方有相关资质的质量检测机构出具的本次投标LED隧道灯中任意一个品规产品检测报告；同时检测机构具有计量行政管理部门颁发的有效计量认证证书（CMA）</w:t>
            </w:r>
            <w:r>
              <w:rPr>
                <w:rFonts w:hint="eastAsia"/>
                <w:lang w:val="en-US" w:eastAsia="zh-CN"/>
              </w:rPr>
              <w:t>或有效的CNAS认证证书</w:t>
            </w:r>
            <w:r>
              <w:rPr>
                <w:rFonts w:hint="eastAsia"/>
              </w:rPr>
              <w:t>；</w:t>
            </w:r>
          </w:p>
          <w:p>
            <w:pPr>
              <w:spacing w:beforeLines="50" w:afterLines="50" w:line="360" w:lineRule="auto"/>
            </w:pPr>
            <w:r>
              <w:rPr>
                <w:rFonts w:hint="eastAsia"/>
              </w:rPr>
              <w:t>（4）投入本项目隧道的LED产品核心电源、芯片、光源必须采用</w:t>
            </w:r>
            <w:r>
              <w:rPr>
                <w:rFonts w:hint="eastAsia"/>
                <w:lang w:eastAsia="zh-CN"/>
              </w:rPr>
              <w:t>国际</w:t>
            </w:r>
            <w:r>
              <w:rPr>
                <w:rFonts w:hint="eastAsia"/>
              </w:rPr>
              <w:t>一线</w:t>
            </w:r>
            <w:r>
              <w:rPr>
                <w:rFonts w:hint="eastAsia"/>
                <w:lang w:eastAsia="zh-CN"/>
              </w:rPr>
              <w:t>品牌，</w:t>
            </w:r>
            <w:r>
              <w:rPr>
                <w:rFonts w:hint="eastAsia"/>
              </w:rPr>
              <w:t>正规厂家生产，交经原厂封装测试（提供相关证明文件）。</w:t>
            </w:r>
          </w:p>
        </w:tc>
      </w:tr>
    </w:tbl>
    <w:p>
      <w:pPr>
        <w:spacing w:line="360" w:lineRule="auto"/>
        <w:rPr>
          <w:rFonts w:ascii="宋体" w:hAnsi="宋体" w:cs="仿宋"/>
          <w:szCs w:val="21"/>
        </w:rPr>
      </w:pPr>
      <w:r>
        <w:rPr>
          <w:rFonts w:hint="eastAsia" w:ascii="宋体" w:hAnsi="宋体" w:cs="仿宋"/>
          <w:szCs w:val="21"/>
        </w:rPr>
        <w:t>注：1.投标人应附有效的企业营业执照</w:t>
      </w:r>
      <w:r>
        <w:rPr>
          <w:rFonts w:hint="eastAsia" w:ascii="宋体" w:hAnsi="宋体" w:cs="宋体"/>
          <w:kern w:val="0"/>
          <w:szCs w:val="21"/>
        </w:rPr>
        <w:t>、ISO9001:2000质量体系认证</w:t>
      </w:r>
      <w:r>
        <w:rPr>
          <w:rFonts w:hint="eastAsia" w:ascii="宋体" w:hAnsi="宋体" w:cs="仿宋"/>
          <w:szCs w:val="21"/>
        </w:rPr>
        <w:t>证书、</w:t>
      </w:r>
      <w:r>
        <w:rPr>
          <w:rFonts w:hint="eastAsia"/>
        </w:rPr>
        <w:t>国家电气产品强制性3C认证</w:t>
      </w:r>
      <w:r>
        <w:rPr>
          <w:rFonts w:hint="eastAsia"/>
          <w:lang w:eastAsia="zh-CN"/>
        </w:rPr>
        <w:t>、</w:t>
      </w:r>
      <w:r>
        <w:rPr>
          <w:rFonts w:hint="eastAsia"/>
          <w:lang w:val="en-US" w:eastAsia="zh-CN"/>
        </w:rPr>
        <w:t>质量</w:t>
      </w:r>
      <w:r>
        <w:rPr>
          <w:rFonts w:hint="eastAsia" w:cs="宋体" w:asciiTheme="minorEastAsia" w:hAnsiTheme="minorEastAsia"/>
          <w:kern w:val="0"/>
          <w:szCs w:val="21"/>
        </w:rPr>
        <w:t>检测报告、</w:t>
      </w:r>
      <w:r>
        <w:rPr>
          <w:rFonts w:hint="eastAsia" w:cs="宋体" w:asciiTheme="minorEastAsia" w:hAnsiTheme="minorEastAsia"/>
          <w:kern w:val="0"/>
          <w:szCs w:val="21"/>
          <w:lang w:val="en-US" w:eastAsia="zh-CN"/>
        </w:rPr>
        <w:t>检测机构认证证书、</w:t>
      </w:r>
      <w:r>
        <w:rPr>
          <w:rFonts w:hint="eastAsia"/>
          <w:lang w:eastAsia="zh-CN"/>
        </w:rPr>
        <w:t>隧道LED灯</w:t>
      </w:r>
      <w:r>
        <w:rPr>
          <w:rFonts w:hint="eastAsia"/>
        </w:rPr>
        <w:t>电源及光源品牌合同</w:t>
      </w:r>
      <w:r>
        <w:rPr>
          <w:rFonts w:hint="eastAsia" w:cs="宋体" w:asciiTheme="minorEastAsia" w:hAnsiTheme="minorEastAsia"/>
          <w:kern w:val="0"/>
          <w:szCs w:val="21"/>
        </w:rPr>
        <w:t>等其他相关证明资料</w:t>
      </w:r>
      <w:r>
        <w:rPr>
          <w:rFonts w:hint="eastAsia" w:ascii="宋体" w:hAnsi="宋体" w:cs="仿宋"/>
          <w:szCs w:val="21"/>
        </w:rPr>
        <w:t>的复印件，所有复印件均需加盖投标单位公章。</w:t>
      </w:r>
    </w:p>
    <w:p>
      <w:pPr>
        <w:spacing w:line="360" w:lineRule="auto"/>
        <w:rPr>
          <w:rFonts w:hint="eastAsia" w:ascii="宋体" w:hAnsi="宋体" w:eastAsia="宋体" w:cs="仿宋"/>
          <w:szCs w:val="21"/>
          <w:lang w:eastAsia="zh-CN"/>
        </w:rPr>
      </w:pPr>
      <w:r>
        <w:rPr>
          <w:rFonts w:hint="eastAsia" w:ascii="宋体" w:hAnsi="宋体" w:cs="仿宋"/>
          <w:szCs w:val="21"/>
        </w:rPr>
        <w:t xml:space="preserve">    2.资质条件所填表格具体见第六章第五款中《基本情况表》</w:t>
      </w:r>
      <w:r>
        <w:rPr>
          <w:rFonts w:hint="eastAsia" w:ascii="宋体" w:hAnsi="宋体" w:cs="仿宋"/>
          <w:szCs w:val="21"/>
          <w:lang w:eastAsia="zh-CN"/>
        </w:rPr>
        <w:t>。</w:t>
      </w:r>
    </w:p>
    <w:p>
      <w:pPr>
        <w:widowControl/>
        <w:spacing w:line="276" w:lineRule="auto"/>
        <w:jc w:val="center"/>
        <w:rPr>
          <w:rFonts w:ascii="宋体" w:hAnsi="宋体"/>
          <w:b/>
          <w:bCs/>
          <w:sz w:val="24"/>
          <w:szCs w:val="24"/>
        </w:rPr>
      </w:pPr>
    </w:p>
    <w:p>
      <w:pPr>
        <w:widowControl/>
        <w:spacing w:line="276" w:lineRule="auto"/>
        <w:jc w:val="center"/>
        <w:rPr>
          <w:rFonts w:ascii="宋体" w:hAnsi="宋体"/>
          <w:b/>
          <w:bCs/>
          <w:sz w:val="24"/>
          <w:szCs w:val="24"/>
        </w:rPr>
      </w:pPr>
      <w:r>
        <w:rPr>
          <w:rFonts w:ascii="宋体" w:hAnsi="宋体"/>
          <w:b/>
          <w:bCs/>
          <w:sz w:val="24"/>
          <w:szCs w:val="24"/>
        </w:rPr>
        <w:t>附录</w:t>
      </w:r>
      <w:r>
        <w:rPr>
          <w:rFonts w:hint="eastAsia" w:ascii="宋体" w:hAnsi="宋体"/>
          <w:b/>
          <w:bCs/>
          <w:sz w:val="24"/>
          <w:szCs w:val="24"/>
        </w:rPr>
        <w:t>2财务</w:t>
      </w:r>
      <w:r>
        <w:rPr>
          <w:rFonts w:ascii="宋体" w:hAnsi="宋体"/>
          <w:b/>
          <w:bCs/>
          <w:sz w:val="24"/>
          <w:szCs w:val="24"/>
        </w:rPr>
        <w:t>要求</w:t>
      </w:r>
    </w:p>
    <w:p>
      <w:pPr>
        <w:widowControl/>
        <w:spacing w:line="276" w:lineRule="auto"/>
        <w:jc w:val="center"/>
        <w:rPr>
          <w:rFonts w:ascii="宋体" w:hAnsi="宋体"/>
          <w:b/>
          <w:bCs/>
          <w:sz w:val="24"/>
          <w:szCs w:val="24"/>
        </w:rPr>
      </w:pPr>
    </w:p>
    <w:tbl>
      <w:tblPr>
        <w:tblStyle w:val="33"/>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400" w:type="dxa"/>
            <w:vAlign w:val="center"/>
          </w:tcPr>
          <w:p>
            <w:pPr>
              <w:autoSpaceDE w:val="0"/>
              <w:autoSpaceDN w:val="0"/>
              <w:adjustRightInd w:val="0"/>
              <w:jc w:val="center"/>
              <w:rPr>
                <w:rFonts w:ascii="宋体" w:hAnsi="宋体" w:cs="仿宋"/>
                <w:sz w:val="24"/>
                <w:szCs w:val="24"/>
              </w:rPr>
            </w:pPr>
            <w:r>
              <w:rPr>
                <w:rFonts w:hint="eastAsia" w:cs="宋体" w:asciiTheme="minorEastAsia" w:hAnsiTheme="minorEastAsia"/>
                <w:b/>
                <w:kern w:val="0"/>
                <w:sz w:val="24"/>
                <w:szCs w:val="24"/>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9400" w:type="dxa"/>
            <w:tcBorders>
              <w:bottom w:val="single" w:color="000000" w:sz="4" w:space="0"/>
            </w:tcBorders>
            <w:vAlign w:val="center"/>
          </w:tcPr>
          <w:p>
            <w:pPr>
              <w:spacing w:line="360" w:lineRule="auto"/>
              <w:rPr>
                <w:rFonts w:ascii="宋体" w:hAnsi="宋体" w:cs="仿宋"/>
                <w:sz w:val="24"/>
                <w:szCs w:val="24"/>
              </w:rPr>
            </w:pPr>
            <w:r>
              <w:rPr>
                <w:rFonts w:hint="eastAsia" w:cs="宋体" w:asciiTheme="minorEastAsia" w:hAnsiTheme="minorEastAsia"/>
                <w:szCs w:val="21"/>
              </w:rPr>
              <w:t>提供近三年（2017年至2019年）经审计的财务报表，若投标人由于成立日期（以营业执照中成立日期为准）的原因，无法提供近三年（2017年至2019年）中相应年份的财务报表，则投标人需提供自成立之日起的所有年份经审计的财务报表且所提供的财务报表应满足资格审查条件；2019年资金流动比率（流动资产/流动负债×100%）大于1。</w:t>
            </w:r>
          </w:p>
        </w:tc>
      </w:tr>
    </w:tbl>
    <w:p>
      <w:pPr>
        <w:pStyle w:val="87"/>
        <w:widowControl/>
        <w:spacing w:line="276" w:lineRule="auto"/>
        <w:ind w:firstLine="0" w:firstLineChars="0"/>
        <w:rPr>
          <w:rFonts w:hint="eastAsia" w:ascii="宋体" w:hAnsi="宋体" w:eastAsia="宋体" w:cs="仿宋"/>
          <w:szCs w:val="21"/>
          <w:lang w:eastAsia="zh-CN"/>
        </w:rPr>
      </w:pPr>
      <w:r>
        <w:rPr>
          <w:rFonts w:hint="eastAsia" w:ascii="宋体" w:hAnsi="宋体" w:cs="仿宋"/>
          <w:szCs w:val="21"/>
        </w:rPr>
        <w:t>注：投标人应附（2017年-2019年）年度经会计师事务所或审计机构审计的财务会计报表，包括资产负债表、现金流量表、利润表和财务情况说明书的复印件，所有资料均需加盖投标单位公章</w:t>
      </w:r>
      <w:r>
        <w:rPr>
          <w:rFonts w:hint="eastAsia" w:ascii="宋体" w:hAnsi="宋体" w:cs="仿宋"/>
          <w:szCs w:val="21"/>
          <w:lang w:eastAsia="zh-CN"/>
        </w:rPr>
        <w:t>。</w:t>
      </w:r>
    </w:p>
    <w:p>
      <w:pPr>
        <w:widowControl/>
        <w:spacing w:line="276" w:lineRule="auto"/>
        <w:rPr>
          <w:rFonts w:ascii="宋体" w:hAnsi="宋体"/>
          <w:b/>
          <w:bCs/>
          <w:sz w:val="24"/>
          <w:szCs w:val="24"/>
        </w:rPr>
      </w:pPr>
    </w:p>
    <w:p>
      <w:pPr>
        <w:widowControl/>
        <w:spacing w:line="276" w:lineRule="auto"/>
        <w:jc w:val="center"/>
        <w:rPr>
          <w:rFonts w:ascii="宋体" w:hAnsi="宋体"/>
          <w:b/>
          <w:bCs/>
          <w:sz w:val="24"/>
          <w:szCs w:val="24"/>
        </w:rPr>
      </w:pPr>
    </w:p>
    <w:p>
      <w:pPr>
        <w:widowControl/>
        <w:spacing w:line="276" w:lineRule="auto"/>
        <w:jc w:val="center"/>
        <w:rPr>
          <w:rFonts w:ascii="宋体" w:hAnsi="宋体"/>
          <w:b/>
          <w:bCs/>
          <w:sz w:val="24"/>
          <w:szCs w:val="24"/>
        </w:rPr>
      </w:pPr>
      <w:r>
        <w:rPr>
          <w:rFonts w:hint="eastAsia" w:ascii="宋体" w:hAnsi="宋体"/>
          <w:b/>
          <w:bCs/>
          <w:sz w:val="24"/>
          <w:szCs w:val="24"/>
        </w:rPr>
        <w:t>附录3:业绩要求</w:t>
      </w:r>
    </w:p>
    <w:tbl>
      <w:tblPr>
        <w:tblStyle w:val="33"/>
        <w:tblpPr w:leftFromText="180" w:rightFromText="180" w:vertAnchor="text" w:horzAnchor="page" w:tblpX="1422" w:tblpY="352"/>
        <w:tblOverlap w:val="never"/>
        <w:tblW w:w="964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trPr>
        <w:tc>
          <w:tcPr>
            <w:tcW w:w="9648" w:type="dxa"/>
            <w:vAlign w:val="center"/>
          </w:tcPr>
          <w:p>
            <w:pPr>
              <w:autoSpaceDE w:val="0"/>
              <w:autoSpaceDN w:val="0"/>
              <w:adjustRightInd w:val="0"/>
              <w:jc w:val="center"/>
              <w:rPr>
                <w:rFonts w:cs="宋体" w:asciiTheme="minorEastAsia" w:hAnsiTheme="minorEastAsia"/>
                <w:kern w:val="0"/>
                <w:sz w:val="24"/>
                <w:szCs w:val="24"/>
              </w:rPr>
            </w:pPr>
            <w:r>
              <w:rPr>
                <w:rFonts w:hint="eastAsia" w:cs="宋体" w:asciiTheme="minorEastAsia" w:hAnsiTheme="minorEastAsia"/>
                <w:b/>
                <w:kern w:val="0"/>
                <w:sz w:val="24"/>
                <w:szCs w:val="24"/>
              </w:rPr>
              <w:t>业绩要求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4" w:hRule="atLeast"/>
        </w:trPr>
        <w:tc>
          <w:tcPr>
            <w:tcW w:w="9648" w:type="dxa"/>
            <w:vAlign w:val="center"/>
          </w:tcPr>
          <w:p>
            <w:pPr>
              <w:spacing w:line="360" w:lineRule="auto"/>
              <w:rPr>
                <w:rFonts w:cs="宋体" w:asciiTheme="minorEastAsia" w:hAnsiTheme="minorEastAsia"/>
                <w:kern w:val="0"/>
                <w:sz w:val="24"/>
                <w:szCs w:val="24"/>
              </w:rPr>
            </w:pPr>
            <w:r>
              <w:rPr>
                <w:rFonts w:hint="eastAsia" w:cs="宋体" w:asciiTheme="minorEastAsia" w:hAnsiTheme="minorEastAsia"/>
                <w:szCs w:val="21"/>
              </w:rPr>
              <w:t>本项目对业绩不做强制性要求。</w:t>
            </w:r>
          </w:p>
        </w:tc>
      </w:tr>
    </w:tbl>
    <w:p>
      <w:pPr>
        <w:widowControl/>
        <w:spacing w:line="276" w:lineRule="auto"/>
        <w:jc w:val="center"/>
        <w:rPr>
          <w:rFonts w:ascii="宋体" w:hAnsi="宋体"/>
          <w:b/>
          <w:bCs/>
          <w:sz w:val="24"/>
          <w:szCs w:val="24"/>
        </w:rPr>
      </w:pPr>
    </w:p>
    <w:p>
      <w:pPr>
        <w:widowControl/>
        <w:spacing w:line="276" w:lineRule="auto"/>
        <w:jc w:val="center"/>
        <w:rPr>
          <w:rFonts w:ascii="宋体" w:hAnsi="宋体"/>
          <w:b/>
          <w:bCs/>
          <w:sz w:val="24"/>
          <w:szCs w:val="24"/>
        </w:rPr>
      </w:pPr>
    </w:p>
    <w:p>
      <w:pPr>
        <w:widowControl/>
        <w:spacing w:line="276" w:lineRule="auto"/>
        <w:jc w:val="center"/>
        <w:rPr>
          <w:rFonts w:ascii="宋体" w:hAnsi="宋体"/>
          <w:b/>
          <w:bCs/>
          <w:sz w:val="24"/>
          <w:szCs w:val="24"/>
        </w:rPr>
      </w:pPr>
      <w:r>
        <w:rPr>
          <w:rFonts w:hint="eastAsia" w:ascii="宋体" w:hAnsi="宋体"/>
          <w:b/>
          <w:bCs/>
          <w:sz w:val="24"/>
          <w:szCs w:val="24"/>
        </w:rPr>
        <w:t>附录4: 信誉要求</w:t>
      </w:r>
    </w:p>
    <w:tbl>
      <w:tblPr>
        <w:tblStyle w:val="33"/>
        <w:tblpPr w:leftFromText="180" w:rightFromText="180" w:vertAnchor="text" w:horzAnchor="page" w:tblpX="1422" w:tblpY="352"/>
        <w:tblOverlap w:val="never"/>
        <w:tblW w:w="945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4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trPr>
        <w:tc>
          <w:tcPr>
            <w:tcW w:w="9450" w:type="dxa"/>
            <w:vAlign w:val="center"/>
          </w:tcPr>
          <w:p>
            <w:pPr>
              <w:autoSpaceDE w:val="0"/>
              <w:autoSpaceDN w:val="0"/>
              <w:adjustRightInd w:val="0"/>
              <w:jc w:val="center"/>
              <w:rPr>
                <w:rFonts w:cs="宋体" w:asciiTheme="minorEastAsia" w:hAnsiTheme="minorEastAsia"/>
                <w:kern w:val="0"/>
                <w:sz w:val="24"/>
                <w:szCs w:val="24"/>
              </w:rPr>
            </w:pPr>
            <w:r>
              <w:rPr>
                <w:rFonts w:hint="eastAsia" w:cs="宋体" w:asciiTheme="minorEastAsia" w:hAnsiTheme="minorEastAsia"/>
                <w:b/>
                <w:kern w:val="0"/>
                <w:sz w:val="24"/>
                <w:szCs w:val="24"/>
              </w:rPr>
              <w:t>信誉要求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2" w:hRule="atLeast"/>
        </w:trPr>
        <w:tc>
          <w:tcPr>
            <w:tcW w:w="9450" w:type="dxa"/>
            <w:vAlign w:val="center"/>
          </w:tcPr>
          <w:p>
            <w:pPr>
              <w:spacing w:line="360" w:lineRule="auto"/>
              <w:rPr>
                <w:rFonts w:ascii="宋体" w:hAnsi="宋体" w:cs="宋体"/>
                <w:szCs w:val="21"/>
              </w:rPr>
            </w:pPr>
            <w:r>
              <w:rPr>
                <w:rFonts w:hint="eastAsia" w:ascii="宋体" w:hAnsi="宋体" w:cs="宋体"/>
                <w:szCs w:val="21"/>
              </w:rPr>
              <w:t>（1）在国家企业信用信息公示系统（www.gsxt.gov.cn）中被列入严重违法失信企业名单的投标人，不得参加投标；</w:t>
            </w:r>
            <w:r>
              <w:rPr>
                <w:rFonts w:hint="eastAsia" w:ascii="Times New Roman" w:hAnsi="Times New Roman"/>
                <w:szCs w:val="21"/>
              </w:rPr>
              <w:t>（须提供网站查询结果截图）</w:t>
            </w:r>
          </w:p>
          <w:p>
            <w:pPr>
              <w:spacing w:line="360" w:lineRule="auto"/>
              <w:rPr>
                <w:rFonts w:ascii="宋体" w:hAnsi="宋体" w:cs="宋体"/>
                <w:szCs w:val="21"/>
              </w:rPr>
            </w:pPr>
            <w:r>
              <w:rPr>
                <w:rFonts w:hint="eastAsia" w:ascii="宋体" w:hAnsi="宋体" w:cs="宋体"/>
                <w:szCs w:val="21"/>
              </w:rPr>
              <w:t>（2）在“信用中国”网站（www.creditchina.gov.cn）中被列入失信被执行人名单的投标人，不得参加投标。</w:t>
            </w:r>
            <w:r>
              <w:rPr>
                <w:rFonts w:hint="eastAsia" w:ascii="Times New Roman" w:hAnsi="Times New Roman"/>
                <w:szCs w:val="21"/>
              </w:rPr>
              <w:t>（须提供网站查询结果截图）</w:t>
            </w:r>
          </w:p>
          <w:p>
            <w:pPr>
              <w:spacing w:line="360" w:lineRule="auto"/>
            </w:pPr>
            <w:r>
              <w:rPr>
                <w:rFonts w:hint="eastAsia" w:ascii="宋体" w:hAnsi="宋体" w:cs="宋体"/>
                <w:szCs w:val="21"/>
              </w:rPr>
              <w:t>（3）近三年内（2017年至今）未发生合同供货履约方面或产品质量方面的诉讼或仲裁案件。（须提供中国裁判文书网（www.wenshu.com/）查询结果截图）</w:t>
            </w:r>
          </w:p>
        </w:tc>
      </w:tr>
    </w:tbl>
    <w:p>
      <w:pPr>
        <w:widowControl/>
        <w:jc w:val="left"/>
        <w:rPr>
          <w:rFonts w:asciiTheme="minorEastAsia" w:hAnsiTheme="minorEastAsia"/>
          <w:bCs/>
          <w:sz w:val="32"/>
        </w:rPr>
      </w:pPr>
    </w:p>
    <w:p>
      <w:pPr>
        <w:spacing w:line="360" w:lineRule="auto"/>
        <w:rPr>
          <w:rFonts w:ascii="宋体" w:hAnsi="宋体" w:cs="宋体"/>
          <w:szCs w:val="21"/>
        </w:rPr>
      </w:pPr>
      <w:r>
        <w:rPr>
          <w:rFonts w:hint="eastAsia" w:ascii="宋体" w:hAnsi="宋体" w:cs="宋体"/>
          <w:szCs w:val="21"/>
        </w:rPr>
        <w:t>注：信誉要求截图资料均需加盖投标单位公章。</w:t>
      </w:r>
    </w:p>
    <w:p>
      <w:pPr>
        <w:pStyle w:val="2"/>
        <w:rPr>
          <w:highlight w:val="none"/>
        </w:rPr>
      </w:pPr>
    </w:p>
    <w:p>
      <w:pPr>
        <w:widowControl/>
        <w:spacing w:line="360" w:lineRule="auto"/>
        <w:jc w:val="left"/>
        <w:rPr>
          <w:rFonts w:ascii="Times New Roman" w:hAnsi="Times New Roman"/>
          <w:highlight w:val="none"/>
        </w:rPr>
      </w:pPr>
      <w:bookmarkStart w:id="0" w:name="_Toc492288387"/>
      <w:bookmarkStart w:id="1" w:name="_Toc26816"/>
      <w:r>
        <w:rPr>
          <w:rFonts w:ascii="Times New Roman" w:hAnsi="Times New Roman"/>
          <w:highlight w:val="none"/>
        </w:rPr>
        <w:br w:type="page"/>
      </w:r>
    </w:p>
    <w:bookmarkEnd w:id="0"/>
    <w:bookmarkEnd w:id="1"/>
    <w:p>
      <w:pPr>
        <w:pStyle w:val="3"/>
        <w:spacing w:before="0" w:after="0" w:line="360" w:lineRule="auto"/>
        <w:jc w:val="left"/>
        <w:rPr>
          <w:b/>
          <w:bCs/>
          <w:sz w:val="32"/>
          <w:szCs w:val="32"/>
          <w:highlight w:val="none"/>
        </w:rPr>
      </w:pPr>
      <w:bookmarkStart w:id="2" w:name="_Toc7778"/>
      <w:bookmarkStart w:id="3" w:name="_Toc511393323"/>
      <w:bookmarkStart w:id="4" w:name="_Toc509308306"/>
      <w:r>
        <w:rPr>
          <w:rFonts w:hint="eastAsia"/>
          <w:b/>
          <w:bCs/>
          <w:sz w:val="32"/>
          <w:szCs w:val="32"/>
          <w:highlight w:val="none"/>
          <w:lang w:eastAsia="zh-CN"/>
        </w:rPr>
        <w:t>附件</w:t>
      </w:r>
      <w:r>
        <w:rPr>
          <w:rFonts w:hint="eastAsia"/>
          <w:b/>
          <w:bCs/>
          <w:sz w:val="32"/>
          <w:szCs w:val="32"/>
          <w:highlight w:val="none"/>
          <w:lang w:val="en-US" w:eastAsia="zh-CN"/>
        </w:rPr>
        <w:t>2：</w:t>
      </w:r>
      <w:r>
        <w:rPr>
          <w:rFonts w:hint="eastAsia"/>
          <w:b/>
          <w:bCs/>
          <w:sz w:val="32"/>
          <w:szCs w:val="32"/>
          <w:highlight w:val="none"/>
        </w:rPr>
        <w:t>评标办法</w:t>
      </w:r>
      <w:bookmarkEnd w:id="2"/>
    </w:p>
    <w:bookmarkEnd w:id="3"/>
    <w:bookmarkEnd w:id="4"/>
    <w:p>
      <w:pPr>
        <w:pStyle w:val="3"/>
        <w:spacing w:before="0" w:after="0" w:line="360" w:lineRule="auto"/>
        <w:jc w:val="center"/>
        <w:rPr>
          <w:sz w:val="32"/>
          <w:szCs w:val="32"/>
        </w:rPr>
      </w:pPr>
      <w:bookmarkStart w:id="5" w:name="_Toc511393324"/>
      <w:r>
        <w:rPr>
          <w:rFonts w:hint="eastAsia"/>
          <w:sz w:val="32"/>
          <w:szCs w:val="32"/>
        </w:rPr>
        <w:t>评标办法（综合评估法）</w:t>
      </w:r>
    </w:p>
    <w:p>
      <w:pPr>
        <w:pStyle w:val="4"/>
        <w:spacing w:before="0" w:after="0" w:line="360" w:lineRule="auto"/>
        <w:jc w:val="center"/>
        <w:rPr>
          <w:rFonts w:ascii="黑体" w:hAnsi="黑体" w:cs="黑体"/>
          <w:sz w:val="28"/>
          <w:szCs w:val="28"/>
        </w:rPr>
      </w:pPr>
      <w:bookmarkStart w:id="6" w:name="_Toc14167"/>
      <w:r>
        <w:rPr>
          <w:rFonts w:hint="eastAsia" w:ascii="黑体" w:hAnsi="黑体" w:cs="黑体"/>
          <w:sz w:val="28"/>
          <w:szCs w:val="28"/>
        </w:rPr>
        <w:t>评标办法前附表</w:t>
      </w:r>
      <w:bookmarkEnd w:id="6"/>
    </w:p>
    <w:p>
      <w:pPr>
        <w:ind w:firstLine="420" w:firstLineChars="200"/>
        <w:rPr>
          <w:rFonts w:ascii="黑体" w:hAnsi="黑体" w:eastAsia="黑体" w:cs="黑体"/>
        </w:rPr>
      </w:pPr>
    </w:p>
    <w:p>
      <w:pPr>
        <w:ind w:firstLine="440" w:firstLineChars="200"/>
        <w:rPr>
          <w:rFonts w:ascii="黑体" w:hAnsi="黑体" w:eastAsia="黑体" w:cs="黑体"/>
          <w:sz w:val="22"/>
          <w:szCs w:val="24"/>
        </w:rPr>
      </w:pPr>
      <w:r>
        <w:rPr>
          <w:rFonts w:hint="eastAsia" w:ascii="黑体" w:hAnsi="黑体" w:eastAsia="黑体" w:cs="黑体"/>
          <w:sz w:val="22"/>
          <w:szCs w:val="24"/>
        </w:rPr>
        <w:t>本次招标将所有资格审查标准、否决投标情形以及评标标准方法等在此集中，未集中的其他内容均不得作为重大偏差、否决投标或评标依据。</w:t>
      </w:r>
    </w:p>
    <w:tbl>
      <w:tblPr>
        <w:tblStyle w:val="33"/>
        <w:tblW w:w="96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322"/>
        <w:gridCol w:w="1528"/>
        <w:gridCol w:w="5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8"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hint="eastAsia" w:ascii="Times New Roman" w:hAnsi="Times New Roman"/>
                <w:b/>
              </w:rPr>
              <w:t>条款号</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hint="eastAsia" w:ascii="Times New Roman" w:hAnsi="Times New Roman"/>
                <w:b/>
              </w:rPr>
              <w:t>评审因素</w:t>
            </w:r>
          </w:p>
        </w:tc>
        <w:tc>
          <w:tcPr>
            <w:tcW w:w="5986" w:type="dxa"/>
            <w:tcBorders>
              <w:top w:val="single" w:color="auto" w:sz="4" w:space="0"/>
              <w:left w:val="single" w:color="auto" w:sz="4" w:space="0"/>
              <w:bottom w:val="single" w:color="auto" w:sz="4" w:space="0"/>
            </w:tcBorders>
            <w:vAlign w:val="center"/>
          </w:tcPr>
          <w:p>
            <w:pPr>
              <w:spacing w:line="440" w:lineRule="exact"/>
              <w:jc w:val="center"/>
              <w:rPr>
                <w:rFonts w:ascii="Times New Roman" w:hAnsi="Times New Roman"/>
                <w:b/>
              </w:rPr>
            </w:pPr>
            <w:r>
              <w:rPr>
                <w:rFonts w:hint="eastAsia" w:ascii="Times New Roman" w:hAnsi="Times New Roman"/>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776"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1</w:t>
            </w:r>
          </w:p>
        </w:tc>
        <w:tc>
          <w:tcPr>
            <w:tcW w:w="1322"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评标方法</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中标候选人排序方法</w:t>
            </w:r>
          </w:p>
        </w:tc>
        <w:tc>
          <w:tcPr>
            <w:tcW w:w="5986" w:type="dxa"/>
            <w:tcBorders>
              <w:top w:val="single" w:color="auto" w:sz="4" w:space="0"/>
              <w:left w:val="single" w:color="auto" w:sz="4" w:space="0"/>
              <w:bottom w:val="single" w:color="auto" w:sz="4" w:space="0"/>
            </w:tcBorders>
          </w:tcPr>
          <w:p>
            <w:pPr>
              <w:spacing w:line="440" w:lineRule="exact"/>
              <w:rPr>
                <w:rFonts w:ascii="Times New Roman" w:hAnsi="Times New Roman"/>
              </w:rPr>
            </w:pPr>
            <w:bookmarkStart w:id="7" w:name="_Hlk39565844"/>
            <w:r>
              <w:rPr>
                <w:rFonts w:hint="eastAsia" w:ascii="Times New Roman" w:hAnsi="Times New Roman"/>
              </w:rPr>
              <w:t>评标委员会将按照综合评审得分由高到的低顺序推荐中标候选人，推荐排序第一名的投标人为第一中标候选人，推荐排序第二、三名的投标人分别为第二、三中标候选人。综合评分相等时，以投标报价低的优先；投标报价也相等的，以技术得分高的优先；如果技术得分也相等，以类似项目业绩累计金额之和高的排名靠前。</w:t>
            </w:r>
            <w:bookmarkEnd w:id="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776" w:type="dxa"/>
            <w:vMerge w:val="continue"/>
            <w:tcBorders>
              <w:bottom w:val="single" w:color="auto" w:sz="4" w:space="0"/>
              <w:right w:val="single" w:color="auto" w:sz="4" w:space="0"/>
            </w:tcBorders>
            <w:vAlign w:val="center"/>
          </w:tcPr>
          <w:p>
            <w:pPr>
              <w:spacing w:line="440" w:lineRule="exact"/>
              <w:jc w:val="center"/>
              <w:rPr>
                <w:rFonts w:ascii="Times New Roman" w:hAnsi="Times New Roman"/>
              </w:rPr>
            </w:pPr>
          </w:p>
        </w:tc>
        <w:tc>
          <w:tcPr>
            <w:tcW w:w="1322"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评标程序</w:t>
            </w:r>
          </w:p>
        </w:tc>
        <w:tc>
          <w:tcPr>
            <w:tcW w:w="5986"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hint="eastAsia" w:ascii="Times New Roman" w:hAnsi="Times New Roman"/>
              </w:rPr>
              <w:t>第一个信封形式评审：见2.1.1款。</w:t>
            </w:r>
          </w:p>
          <w:p>
            <w:pPr>
              <w:spacing w:line="440" w:lineRule="exact"/>
              <w:rPr>
                <w:rFonts w:ascii="Times New Roman" w:hAnsi="Times New Roman"/>
              </w:rPr>
            </w:pPr>
            <w:r>
              <w:rPr>
                <w:rFonts w:hint="eastAsia" w:ascii="Times New Roman" w:hAnsi="Times New Roman"/>
              </w:rPr>
              <w:t>第一个信封资格评审：见2.1.2款。</w:t>
            </w:r>
          </w:p>
          <w:p>
            <w:pPr>
              <w:spacing w:line="440" w:lineRule="exact"/>
              <w:rPr>
                <w:rFonts w:ascii="Times New Roman" w:hAnsi="Times New Roman"/>
              </w:rPr>
            </w:pPr>
            <w:r>
              <w:rPr>
                <w:rFonts w:hint="eastAsia" w:ascii="Times New Roman" w:hAnsi="Times New Roman"/>
              </w:rPr>
              <w:t>第一个信封响应性评审：见2.1.3款。</w:t>
            </w:r>
          </w:p>
          <w:p>
            <w:pPr>
              <w:spacing w:line="440" w:lineRule="exact"/>
              <w:ind w:left="2520" w:hanging="2520" w:hangingChars="1200"/>
              <w:jc w:val="left"/>
              <w:rPr>
                <w:rFonts w:ascii="Times New Roman" w:hAnsi="Times New Roman"/>
              </w:rPr>
            </w:pPr>
            <w:r>
              <w:rPr>
                <w:rFonts w:hint="eastAsia" w:ascii="Times New Roman" w:hAnsi="Times New Roman"/>
              </w:rPr>
              <w:t>第一个信封详细评审：见2.2.4（1）、2.2.4（2）、2.2.4（4）款。</w:t>
            </w:r>
          </w:p>
          <w:p>
            <w:pPr>
              <w:spacing w:line="440" w:lineRule="exact"/>
              <w:rPr>
                <w:rFonts w:ascii="Times New Roman" w:hAnsi="Times New Roman"/>
              </w:rPr>
            </w:pPr>
            <w:r>
              <w:rPr>
                <w:rFonts w:hint="eastAsia" w:ascii="Times New Roman" w:hAnsi="Times New Roman"/>
              </w:rPr>
              <w:t>第二个信封开标：对通过投标文件第一个信封（商务及技术文件）评审的投标文件第二个信封（报价文件）进行开标。</w:t>
            </w:r>
          </w:p>
          <w:p>
            <w:pPr>
              <w:spacing w:line="440" w:lineRule="exact"/>
              <w:rPr>
                <w:rFonts w:ascii="Times New Roman" w:hAnsi="Times New Roman"/>
              </w:rPr>
            </w:pPr>
            <w:r>
              <w:rPr>
                <w:rFonts w:hint="eastAsia" w:ascii="Times New Roman" w:hAnsi="Times New Roman"/>
              </w:rPr>
              <w:t>第二个信封形式评审：见2.1.1款。</w:t>
            </w:r>
          </w:p>
          <w:p>
            <w:pPr>
              <w:spacing w:line="440" w:lineRule="exact"/>
              <w:rPr>
                <w:rFonts w:ascii="Times New Roman" w:hAnsi="Times New Roman"/>
              </w:rPr>
            </w:pPr>
            <w:r>
              <w:rPr>
                <w:rFonts w:hint="eastAsia" w:ascii="Times New Roman" w:hAnsi="Times New Roman"/>
              </w:rPr>
              <w:t>第二个信封详细评审：见2.2.4（3）款。</w:t>
            </w:r>
          </w:p>
          <w:p>
            <w:pPr>
              <w:spacing w:line="440" w:lineRule="exact"/>
              <w:rPr>
                <w:rFonts w:ascii="Times New Roman" w:hAnsi="Times New Roman"/>
              </w:rPr>
            </w:pPr>
            <w:r>
              <w:rPr>
                <w:rFonts w:hint="eastAsia" w:ascii="Times New Roman" w:hAnsi="Times New Roman"/>
              </w:rPr>
              <w:t>综合得分排序并推荐中标候选人。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6"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2.1.1</w:t>
            </w:r>
          </w:p>
        </w:tc>
        <w:tc>
          <w:tcPr>
            <w:tcW w:w="1322" w:type="dxa"/>
            <w:vMerge w:val="restart"/>
            <w:tcBorders>
              <w:top w:val="single" w:color="auto" w:sz="4" w:space="0"/>
              <w:left w:val="single" w:color="auto" w:sz="4" w:space="0"/>
              <w:right w:val="single" w:color="auto" w:sz="4" w:space="0"/>
            </w:tcBorders>
            <w:vAlign w:val="center"/>
          </w:tcPr>
          <w:p>
            <w:pPr>
              <w:spacing w:line="380" w:lineRule="atLeast"/>
              <w:rPr>
                <w:rFonts w:ascii="Times New Roman" w:hAnsi="Times New Roman"/>
              </w:rPr>
            </w:pPr>
            <w:r>
              <w:rPr>
                <w:rFonts w:hint="eastAsia" w:ascii="Times New Roman" w:hAnsi="Times New Roman"/>
              </w:rPr>
              <w:t>第一个信封（商务及</w:t>
            </w:r>
            <w:r>
              <w:rPr>
                <w:rFonts w:ascii="Times New Roman" w:hAnsi="Times New Roman"/>
              </w:rPr>
              <w:t>技术文件</w:t>
            </w:r>
            <w:r>
              <w:rPr>
                <w:rFonts w:hint="eastAsia" w:ascii="Times New Roman" w:hAnsi="Times New Roman"/>
              </w:rPr>
              <w:t>）形式评审标准</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投标人名称</w:t>
            </w:r>
          </w:p>
        </w:tc>
        <w:tc>
          <w:tcPr>
            <w:tcW w:w="5986"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rPr>
            </w:pPr>
            <w:r>
              <w:rPr>
                <w:rFonts w:hint="eastAsia" w:ascii="Times New Roman" w:hAnsi="Times New Roman"/>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6" w:type="dxa"/>
            <w:vMerge w:val="continue"/>
            <w:tcBorders>
              <w:right w:val="single" w:color="auto" w:sz="4" w:space="0"/>
            </w:tcBorders>
            <w:vAlign w:val="center"/>
          </w:tcPr>
          <w:p>
            <w:pPr>
              <w:rPr>
                <w:rFonts w:ascii="Times New Roman" w:hAnsi="Times New Roman"/>
              </w:rPr>
            </w:pPr>
          </w:p>
        </w:tc>
        <w:tc>
          <w:tcPr>
            <w:tcW w:w="1322" w:type="dxa"/>
            <w:vMerge w:val="continue"/>
            <w:tcBorders>
              <w:left w:val="single" w:color="auto" w:sz="4" w:space="0"/>
              <w:right w:val="single" w:color="auto" w:sz="4" w:space="0"/>
            </w:tcBorders>
            <w:vAlign w:val="center"/>
          </w:tcPr>
          <w:p>
            <w:pPr>
              <w:rPr>
                <w:rFonts w:ascii="Times New Roman" w:hAnsi="Times New Roman"/>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投标函签字盖章</w:t>
            </w:r>
          </w:p>
        </w:tc>
        <w:tc>
          <w:tcPr>
            <w:tcW w:w="5986" w:type="dxa"/>
            <w:tcBorders>
              <w:top w:val="single" w:color="auto" w:sz="4" w:space="0"/>
              <w:left w:val="single" w:color="auto" w:sz="4" w:space="0"/>
              <w:bottom w:val="single" w:color="auto" w:sz="4" w:space="0"/>
            </w:tcBorders>
            <w:vAlign w:val="center"/>
          </w:tcPr>
          <w:p>
            <w:pPr>
              <w:spacing w:line="440" w:lineRule="exact"/>
              <w:rPr>
                <w:rFonts w:hint="eastAsia" w:ascii="Times New Roman" w:hAnsi="Times New Roman"/>
              </w:rPr>
            </w:pPr>
            <w:r>
              <w:rPr>
                <w:rFonts w:hint="eastAsia" w:ascii="Times New Roman" w:hAnsi="Times New Roman"/>
                <w:lang w:val="en-US" w:eastAsia="zh-CN"/>
              </w:rPr>
              <w:t>1、</w:t>
            </w:r>
            <w:r>
              <w:rPr>
                <w:rFonts w:hint="eastAsia" w:ascii="Times New Roman" w:hAnsi="Times New Roman"/>
              </w:rPr>
              <w:t>投标文件第一个信封（商务及技术文件）：招标文件中投标文件格式指定要求签字盖章位置处须由投标人的法定代表人或其委托代理人签署并盖单位公章，不得使用签名章或其它电子制版签名代替，单位公章不得使用单位其他专用章代替。</w:t>
            </w:r>
          </w:p>
          <w:p>
            <w:pPr>
              <w:spacing w:line="440" w:lineRule="exact"/>
              <w:rPr>
                <w:rFonts w:hint="eastAsia" w:ascii="Times New Roman" w:hAnsi="Times New Roman"/>
              </w:rPr>
            </w:pPr>
            <w:r>
              <w:rPr>
                <w:rFonts w:hint="eastAsia" w:ascii="Times New Roman" w:hAnsi="Times New Roman"/>
              </w:rPr>
              <w:t>投标文件中的任何改动之处应加盖单位公章或由投标人的法定代表人或其委托代理人签字确认。</w:t>
            </w:r>
          </w:p>
          <w:p>
            <w:pPr>
              <w:spacing w:line="440" w:lineRule="exact"/>
              <w:rPr>
                <w:rFonts w:hint="eastAsia" w:ascii="Times New Roman" w:hAnsi="Times New Roman" w:eastAsia="宋体"/>
                <w:lang w:eastAsia="zh-CN"/>
              </w:rPr>
            </w:pPr>
            <w:r>
              <w:rPr>
                <w:rFonts w:hint="eastAsia" w:ascii="Times New Roman" w:hAnsi="Times New Roman"/>
                <w:lang w:val="en-US" w:eastAsia="zh-CN"/>
              </w:rPr>
              <w:t>2、</w:t>
            </w:r>
            <w:r>
              <w:rPr>
                <w:rFonts w:hint="eastAsia" w:ascii="Times New Roman" w:hAnsi="Times New Roman"/>
              </w:rPr>
              <w:t>由法定代表人签字的，应附法定代表人身份证明，由代理人签字的，应附授权委托书，身份证明或授权委托书应符合第六章</w:t>
            </w:r>
            <w:r>
              <w:rPr>
                <w:rFonts w:ascii="Times New Roman" w:hAnsi="Times New Roman"/>
              </w:rPr>
              <w:t>“</w:t>
            </w:r>
            <w:r>
              <w:rPr>
                <w:rFonts w:hint="eastAsia" w:ascii="Times New Roman" w:hAnsi="Times New Roman"/>
              </w:rPr>
              <w:t>投标文件格式</w:t>
            </w:r>
            <w:r>
              <w:rPr>
                <w:rFonts w:ascii="Times New Roman" w:hAnsi="Times New Roman"/>
              </w:rPr>
              <w:t>”</w:t>
            </w:r>
            <w:r>
              <w:rPr>
                <w:rFonts w:hint="eastAsia" w:ascii="Times New Roman" w:hAnsi="Times New Roman"/>
              </w:rPr>
              <w:t>的规定</w:t>
            </w:r>
            <w:r>
              <w:rPr>
                <w:rFonts w:hint="eastAsia" w:ascii="Times New Roman" w:hAnsi="Times New Roman"/>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6" w:type="dxa"/>
            <w:vMerge w:val="continue"/>
            <w:tcBorders>
              <w:right w:val="single" w:color="auto" w:sz="4" w:space="0"/>
            </w:tcBorders>
            <w:vAlign w:val="center"/>
          </w:tcPr>
          <w:p>
            <w:pPr>
              <w:rPr>
                <w:rFonts w:ascii="Times New Roman" w:hAnsi="Times New Roman"/>
              </w:rPr>
            </w:pPr>
          </w:p>
        </w:tc>
        <w:tc>
          <w:tcPr>
            <w:tcW w:w="1322" w:type="dxa"/>
            <w:vMerge w:val="continue"/>
            <w:tcBorders>
              <w:left w:val="single" w:color="auto" w:sz="4" w:space="0"/>
              <w:right w:val="single" w:color="auto" w:sz="4" w:space="0"/>
            </w:tcBorders>
            <w:vAlign w:val="center"/>
          </w:tcPr>
          <w:p>
            <w:pPr>
              <w:rPr>
                <w:rFonts w:ascii="Times New Roman" w:hAnsi="Times New Roman"/>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投标文件格式</w:t>
            </w:r>
          </w:p>
        </w:tc>
        <w:tc>
          <w:tcPr>
            <w:tcW w:w="5986"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rPr>
            </w:pPr>
            <w:r>
              <w:rPr>
                <w:rFonts w:hint="eastAsia" w:ascii="Times New Roman" w:hAnsi="Times New Roman"/>
              </w:rPr>
              <w:t>符合第六章</w:t>
            </w:r>
            <w:r>
              <w:rPr>
                <w:rFonts w:ascii="Times New Roman" w:hAnsi="Times New Roman"/>
              </w:rPr>
              <w:t>“</w:t>
            </w:r>
            <w:r>
              <w:rPr>
                <w:rFonts w:hint="eastAsia" w:ascii="Times New Roman" w:hAnsi="Times New Roman"/>
              </w:rPr>
              <w:t>投标文件格式</w:t>
            </w:r>
            <w:r>
              <w:rPr>
                <w:rFonts w:ascii="Times New Roman" w:hAnsi="Times New Roman"/>
              </w:rPr>
              <w:t>”</w:t>
            </w:r>
            <w:r>
              <w:rPr>
                <w:rFonts w:hint="eastAsia" w:ascii="Times New Roman" w:hAnsi="Times New Roman"/>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6" w:type="dxa"/>
            <w:vMerge w:val="continue"/>
            <w:tcBorders>
              <w:right w:val="single" w:color="auto" w:sz="4" w:space="0"/>
            </w:tcBorders>
            <w:vAlign w:val="center"/>
          </w:tcPr>
          <w:p>
            <w:pPr>
              <w:rPr>
                <w:rFonts w:ascii="Times New Roman" w:hAnsi="Times New Roman"/>
              </w:rPr>
            </w:pPr>
          </w:p>
        </w:tc>
        <w:tc>
          <w:tcPr>
            <w:tcW w:w="1322" w:type="dxa"/>
            <w:vMerge w:val="continue"/>
            <w:tcBorders>
              <w:left w:val="single" w:color="auto" w:sz="4" w:space="0"/>
              <w:right w:val="single" w:color="auto" w:sz="4" w:space="0"/>
            </w:tcBorders>
            <w:vAlign w:val="center"/>
          </w:tcPr>
          <w:p>
            <w:pPr>
              <w:rPr>
                <w:rFonts w:ascii="Times New Roman" w:hAnsi="Times New Roman"/>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联合体投标人</w:t>
            </w:r>
          </w:p>
        </w:tc>
        <w:tc>
          <w:tcPr>
            <w:tcW w:w="5986"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rPr>
            </w:pPr>
            <w:r>
              <w:rPr>
                <w:rFonts w:hint="eastAsia" w:ascii="Times New Roman" w:hAnsi="Times New Roman"/>
              </w:rPr>
              <w:t>投标人未以联合体形式参与本项目投标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6" w:type="dxa"/>
            <w:vMerge w:val="continue"/>
            <w:tcBorders>
              <w:right w:val="single" w:color="auto" w:sz="4" w:space="0"/>
            </w:tcBorders>
            <w:vAlign w:val="center"/>
          </w:tcPr>
          <w:p>
            <w:pPr>
              <w:rPr>
                <w:rFonts w:ascii="Times New Roman" w:hAnsi="Times New Roman"/>
              </w:rPr>
            </w:pPr>
          </w:p>
        </w:tc>
        <w:tc>
          <w:tcPr>
            <w:tcW w:w="1322" w:type="dxa"/>
            <w:vMerge w:val="continue"/>
            <w:tcBorders>
              <w:left w:val="single" w:color="auto" w:sz="4" w:space="0"/>
              <w:right w:val="single" w:color="auto" w:sz="4" w:space="0"/>
            </w:tcBorders>
            <w:vAlign w:val="center"/>
          </w:tcPr>
          <w:p>
            <w:pPr>
              <w:rPr>
                <w:rFonts w:ascii="Times New Roman" w:hAnsi="Times New Roman"/>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备选投标方案</w:t>
            </w:r>
          </w:p>
        </w:tc>
        <w:tc>
          <w:tcPr>
            <w:tcW w:w="5986"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rPr>
            </w:pPr>
            <w:r>
              <w:rPr>
                <w:rFonts w:hint="eastAsia" w:ascii="Times New Roman" w:hAnsi="Times New Roman"/>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776" w:type="dxa"/>
            <w:vMerge w:val="continue"/>
            <w:tcBorders>
              <w:bottom w:val="single" w:color="auto" w:sz="4" w:space="0"/>
              <w:right w:val="single" w:color="auto" w:sz="4" w:space="0"/>
            </w:tcBorders>
          </w:tcPr>
          <w:p>
            <w:pPr>
              <w:rPr>
                <w:rFonts w:ascii="Times New Roman" w:hAnsi="Times New Roman"/>
              </w:rPr>
            </w:pPr>
          </w:p>
        </w:tc>
        <w:tc>
          <w:tcPr>
            <w:tcW w:w="1322" w:type="dxa"/>
            <w:vMerge w:val="continue"/>
            <w:tcBorders>
              <w:left w:val="single" w:color="auto" w:sz="4" w:space="0"/>
              <w:bottom w:val="single" w:color="auto" w:sz="4" w:space="0"/>
              <w:right w:val="single" w:color="auto" w:sz="4" w:space="0"/>
            </w:tcBorders>
          </w:tcPr>
          <w:p>
            <w:pPr>
              <w:rPr>
                <w:rFonts w:ascii="Times New Roman" w:hAnsi="Times New Roman"/>
              </w:rPr>
            </w:pPr>
          </w:p>
        </w:tc>
        <w:tc>
          <w:tcPr>
            <w:tcW w:w="152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rPr>
            </w:pPr>
            <w:r>
              <w:rPr>
                <w:rFonts w:hint="eastAsia" w:ascii="Times New Roman" w:hAnsi="Times New Roman"/>
              </w:rPr>
              <w:t>投标文件正本中法定代表人或其授权代理人签署</w:t>
            </w:r>
          </w:p>
        </w:tc>
        <w:tc>
          <w:tcPr>
            <w:tcW w:w="5986"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rPr>
            </w:pPr>
            <w:r>
              <w:rPr>
                <w:rFonts w:hint="eastAsia" w:ascii="Times New Roman" w:hAnsi="Times New Roman"/>
              </w:rPr>
              <w:t>投标文件正本中法定代表人或其授权代理人签署姓名齐全，符合招标文件规定；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776" w:type="dxa"/>
            <w:vMerge w:val="restart"/>
            <w:tcBorders>
              <w:right w:val="single" w:color="auto" w:sz="4" w:space="0"/>
            </w:tcBorders>
            <w:vAlign w:val="center"/>
          </w:tcPr>
          <w:p>
            <w:pPr>
              <w:jc w:val="center"/>
              <w:rPr>
                <w:rFonts w:ascii="Times New Roman" w:hAnsi="Times New Roman"/>
              </w:rPr>
            </w:pPr>
            <w:r>
              <w:rPr>
                <w:rFonts w:ascii="Times New Roman" w:hAnsi="Times New Roman"/>
              </w:rPr>
              <w:t>2.1.1</w:t>
            </w:r>
          </w:p>
          <w:p>
            <w:pPr>
              <w:jc w:val="center"/>
              <w:rPr>
                <w:rFonts w:ascii="Times New Roman" w:hAnsi="Times New Roman"/>
              </w:rPr>
            </w:pPr>
            <w:r>
              <w:rPr>
                <w:rFonts w:hint="eastAsia" w:ascii="Times New Roman" w:hAnsi="Times New Roman"/>
              </w:rPr>
              <w:t>（续）</w:t>
            </w:r>
          </w:p>
        </w:tc>
        <w:tc>
          <w:tcPr>
            <w:tcW w:w="1322" w:type="dxa"/>
            <w:vMerge w:val="restart"/>
            <w:tcBorders>
              <w:left w:val="single" w:color="auto" w:sz="4" w:space="0"/>
              <w:right w:val="single" w:color="auto" w:sz="4" w:space="0"/>
            </w:tcBorders>
            <w:vAlign w:val="center"/>
          </w:tcPr>
          <w:p>
            <w:pPr>
              <w:jc w:val="center"/>
              <w:rPr>
                <w:rFonts w:ascii="Times New Roman" w:hAnsi="Times New Roman"/>
              </w:rPr>
            </w:pPr>
            <w:r>
              <w:rPr>
                <w:rFonts w:ascii="Times New Roman" w:hAnsi="Times New Roman"/>
              </w:rPr>
              <w:t>第</w:t>
            </w:r>
            <w:r>
              <w:rPr>
                <w:rFonts w:hint="eastAsia" w:ascii="Times New Roman" w:hAnsi="Times New Roman"/>
              </w:rPr>
              <w:t>二</w:t>
            </w:r>
            <w:r>
              <w:rPr>
                <w:rFonts w:ascii="Times New Roman" w:hAnsi="Times New Roman"/>
              </w:rPr>
              <w:t>个信封</w:t>
            </w:r>
            <w:r>
              <w:rPr>
                <w:rFonts w:hint="eastAsia" w:ascii="Times New Roman" w:hAnsi="Times New Roman"/>
              </w:rPr>
              <w:t>（报价文件）形式评审标准</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投标文件格式</w:t>
            </w:r>
          </w:p>
        </w:tc>
        <w:tc>
          <w:tcPr>
            <w:tcW w:w="5986"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rPr>
            </w:pPr>
            <w:r>
              <w:rPr>
                <w:rFonts w:hint="eastAsia" w:ascii="Times New Roman" w:hAnsi="Times New Roman"/>
              </w:rPr>
              <w:t>符合第六章</w:t>
            </w:r>
            <w:r>
              <w:rPr>
                <w:rFonts w:ascii="Times New Roman" w:hAnsi="Times New Roman"/>
              </w:rPr>
              <w:t>“</w:t>
            </w:r>
            <w:r>
              <w:rPr>
                <w:rFonts w:hint="eastAsia" w:ascii="Times New Roman" w:hAnsi="Times New Roman"/>
              </w:rPr>
              <w:t>投标文件格式</w:t>
            </w:r>
            <w:r>
              <w:rPr>
                <w:rFonts w:ascii="Times New Roman" w:hAnsi="Times New Roman"/>
              </w:rPr>
              <w:t>”中</w:t>
            </w:r>
            <w:r>
              <w:rPr>
                <w:rFonts w:hint="eastAsia" w:ascii="Times New Roman" w:hAnsi="Times New Roman"/>
              </w:rPr>
              <w:t>“</w:t>
            </w:r>
            <w:r>
              <w:rPr>
                <w:rFonts w:ascii="Times New Roman" w:hAnsi="Times New Roman"/>
              </w:rPr>
              <w:t>报价文件</w:t>
            </w:r>
            <w:r>
              <w:rPr>
                <w:rFonts w:hint="eastAsia" w:ascii="Times New Roman" w:hAnsi="Times New Roman"/>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2" w:hRule="atLeast"/>
          <w:jc w:val="center"/>
        </w:trPr>
        <w:tc>
          <w:tcPr>
            <w:tcW w:w="776" w:type="dxa"/>
            <w:vMerge w:val="continue"/>
            <w:tcBorders>
              <w:right w:val="single" w:color="auto" w:sz="4" w:space="0"/>
            </w:tcBorders>
          </w:tcPr>
          <w:p>
            <w:pPr>
              <w:rPr>
                <w:rFonts w:ascii="Times New Roman" w:hAnsi="Times New Roman"/>
              </w:rPr>
            </w:pPr>
          </w:p>
        </w:tc>
        <w:tc>
          <w:tcPr>
            <w:tcW w:w="1322" w:type="dxa"/>
            <w:vMerge w:val="continue"/>
            <w:tcBorders>
              <w:left w:val="single" w:color="auto" w:sz="4" w:space="0"/>
              <w:right w:val="single" w:color="auto" w:sz="4" w:space="0"/>
            </w:tcBorders>
          </w:tcPr>
          <w:p>
            <w:pPr>
              <w:rPr>
                <w:rFonts w:ascii="Times New Roman" w:hAnsi="Times New Roman"/>
              </w:rPr>
            </w:pPr>
          </w:p>
        </w:tc>
        <w:tc>
          <w:tcPr>
            <w:tcW w:w="152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sz w:val="18"/>
                <w:szCs w:val="18"/>
              </w:rPr>
            </w:pPr>
            <w:r>
              <w:rPr>
                <w:rFonts w:hint="eastAsia" w:ascii="Times New Roman" w:hAnsi="Times New Roman"/>
              </w:rPr>
              <w:t>投标文件正本中法定代表人或其授权代理人签署</w:t>
            </w:r>
          </w:p>
        </w:tc>
        <w:tc>
          <w:tcPr>
            <w:tcW w:w="5986" w:type="dxa"/>
            <w:tcBorders>
              <w:top w:val="single" w:color="auto" w:sz="4" w:space="0"/>
              <w:left w:val="single" w:color="auto" w:sz="4" w:space="0"/>
              <w:bottom w:val="single" w:color="auto" w:sz="4" w:space="0"/>
            </w:tcBorders>
            <w:vAlign w:val="center"/>
          </w:tcPr>
          <w:p>
            <w:pPr>
              <w:numPr>
                <w:ilvl w:val="0"/>
                <w:numId w:val="1"/>
              </w:numPr>
              <w:spacing w:line="440" w:lineRule="exact"/>
              <w:rPr>
                <w:rFonts w:hint="eastAsia" w:ascii="Times New Roman" w:hAnsi="Times New Roman"/>
              </w:rPr>
            </w:pPr>
            <w:r>
              <w:rPr>
                <w:rFonts w:hint="eastAsia" w:ascii="Times New Roman" w:hAnsi="Times New Roman"/>
              </w:rPr>
              <w:t>投标文件第二个信封（投标报价文件）：招标文件中投标文件格式指定要求签字盖章位置处须由投标人的法定代表人或其委托代理人签署并盖单位公章，不得使用签名章或其它电子制版签名代替，单位公章不得使用单位其他专用章代替。</w:t>
            </w:r>
          </w:p>
          <w:p>
            <w:pPr>
              <w:numPr>
                <w:ilvl w:val="0"/>
                <w:numId w:val="0"/>
              </w:numPr>
              <w:spacing w:line="440" w:lineRule="exact"/>
              <w:rPr>
                <w:rFonts w:hint="eastAsia" w:ascii="Times New Roman" w:hAnsi="Times New Roman" w:eastAsia="宋体"/>
                <w:lang w:eastAsia="zh-CN"/>
              </w:rPr>
            </w:pPr>
            <w:r>
              <w:rPr>
                <w:rFonts w:hint="eastAsia" w:ascii="Times New Roman" w:hAnsi="Times New Roman"/>
                <w:lang w:val="en-US" w:eastAsia="zh-CN"/>
              </w:rPr>
              <w:t>2、</w:t>
            </w:r>
            <w:r>
              <w:rPr>
                <w:rFonts w:hint="eastAsia" w:ascii="Times New Roman" w:hAnsi="Times New Roman"/>
              </w:rPr>
              <w:t>由法定代表人签字的，应附法定代表人身份证明，由代理人签字的，应附授权委托书，身份证明或授权委托书应符合第六章</w:t>
            </w:r>
            <w:r>
              <w:rPr>
                <w:rFonts w:ascii="Times New Roman" w:hAnsi="Times New Roman"/>
              </w:rPr>
              <w:t>“</w:t>
            </w:r>
            <w:r>
              <w:rPr>
                <w:rFonts w:hint="eastAsia" w:ascii="Times New Roman" w:hAnsi="Times New Roman"/>
              </w:rPr>
              <w:t>投标文件格式</w:t>
            </w:r>
            <w:r>
              <w:rPr>
                <w:rFonts w:ascii="Times New Roman" w:hAnsi="Times New Roman"/>
              </w:rPr>
              <w:t>”</w:t>
            </w:r>
            <w:r>
              <w:rPr>
                <w:rFonts w:hint="eastAsia" w:ascii="Times New Roman" w:hAnsi="Times New Roman"/>
              </w:rPr>
              <w:t>的规定</w:t>
            </w:r>
            <w:r>
              <w:rPr>
                <w:rFonts w:hint="eastAsia" w:ascii="Times New Roman" w:hAnsi="Times New Roman"/>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jc w:val="center"/>
        </w:trPr>
        <w:tc>
          <w:tcPr>
            <w:tcW w:w="776" w:type="dxa"/>
            <w:vMerge w:val="continue"/>
            <w:tcBorders>
              <w:right w:val="single" w:color="auto" w:sz="4" w:space="0"/>
            </w:tcBorders>
          </w:tcPr>
          <w:p>
            <w:pPr>
              <w:rPr>
                <w:rFonts w:ascii="Times New Roman" w:hAnsi="Times New Roman"/>
              </w:rPr>
            </w:pPr>
          </w:p>
        </w:tc>
        <w:tc>
          <w:tcPr>
            <w:tcW w:w="1322" w:type="dxa"/>
            <w:vMerge w:val="continue"/>
            <w:tcBorders>
              <w:left w:val="single" w:color="auto" w:sz="4" w:space="0"/>
              <w:right w:val="single" w:color="auto" w:sz="4" w:space="0"/>
            </w:tcBorders>
          </w:tcPr>
          <w:p>
            <w:pPr>
              <w:rPr>
                <w:rFonts w:ascii="Times New Roman" w:hAnsi="Times New Roman"/>
              </w:rPr>
            </w:pPr>
          </w:p>
        </w:tc>
        <w:tc>
          <w:tcPr>
            <w:tcW w:w="1528" w:type="dxa"/>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sz w:val="18"/>
                <w:szCs w:val="18"/>
              </w:rPr>
            </w:pPr>
            <w:r>
              <w:rPr>
                <w:rFonts w:hint="eastAsia" w:ascii="Times New Roman" w:hAnsi="Times New Roman"/>
              </w:rPr>
              <w:t>投标报价</w:t>
            </w:r>
          </w:p>
        </w:tc>
        <w:tc>
          <w:tcPr>
            <w:tcW w:w="5986" w:type="dxa"/>
            <w:tcBorders>
              <w:top w:val="single" w:color="auto" w:sz="4" w:space="0"/>
              <w:left w:val="single" w:color="auto" w:sz="4" w:space="0"/>
            </w:tcBorders>
            <w:vAlign w:val="center"/>
          </w:tcPr>
          <w:p>
            <w:pPr>
              <w:spacing w:line="440" w:lineRule="exact"/>
              <w:rPr>
                <w:rFonts w:ascii="Times New Roman" w:hAnsi="Times New Roman"/>
              </w:rPr>
            </w:pPr>
            <w:r>
              <w:rPr>
                <w:rFonts w:hint="eastAsia" w:ascii="Times New Roman" w:hAnsi="Times New Roman"/>
              </w:rPr>
              <w:t>符合第二章</w:t>
            </w:r>
            <w:r>
              <w:rPr>
                <w:rFonts w:ascii="Times New Roman" w:hAnsi="Times New Roman"/>
              </w:rPr>
              <w:t>“</w:t>
            </w:r>
            <w:r>
              <w:rPr>
                <w:rFonts w:hint="eastAsia" w:ascii="Times New Roman" w:hAnsi="Times New Roman"/>
              </w:rPr>
              <w:t>投标人须知</w:t>
            </w:r>
            <w:r>
              <w:rPr>
                <w:rFonts w:ascii="Times New Roman" w:hAnsi="Times New Roman"/>
              </w:rPr>
              <w:t>”</w:t>
            </w:r>
            <w:r>
              <w:rPr>
                <w:rFonts w:hint="eastAsia" w:ascii="Times New Roman" w:hAnsi="Times New Roman"/>
              </w:rPr>
              <w:t>第</w:t>
            </w:r>
            <w:r>
              <w:rPr>
                <w:rFonts w:ascii="Times New Roman" w:hAnsi="Times New Roman"/>
              </w:rPr>
              <w:t>3.2</w:t>
            </w:r>
            <w:r>
              <w:rPr>
                <w:rFonts w:hint="eastAsia" w:ascii="Times New Roman" w:hAnsi="Times New Roman"/>
              </w:rPr>
              <w:t>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6"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2.1.2</w:t>
            </w:r>
          </w:p>
        </w:tc>
        <w:tc>
          <w:tcPr>
            <w:tcW w:w="1322"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资格评审标准</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营业执照</w:t>
            </w:r>
          </w:p>
        </w:tc>
        <w:tc>
          <w:tcPr>
            <w:tcW w:w="5986"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rPr>
            </w:pPr>
            <w:r>
              <w:rPr>
                <w:rFonts w:hint="eastAsia" w:ascii="Times New Roman" w:hAnsi="Times New Roman"/>
              </w:rPr>
              <w:t>符合第二章</w:t>
            </w:r>
            <w:r>
              <w:rPr>
                <w:rFonts w:ascii="Times New Roman" w:hAnsi="Times New Roman"/>
              </w:rPr>
              <w:t>“</w:t>
            </w:r>
            <w:r>
              <w:rPr>
                <w:rFonts w:hint="eastAsia" w:ascii="Times New Roman" w:hAnsi="Times New Roman"/>
              </w:rPr>
              <w:t>投标人须知</w:t>
            </w:r>
            <w:r>
              <w:rPr>
                <w:rFonts w:ascii="Times New Roman" w:hAnsi="Times New Roman"/>
              </w:rPr>
              <w:t>”</w:t>
            </w:r>
            <w:r>
              <w:rPr>
                <w:rFonts w:hint="eastAsia" w:ascii="Times New Roman" w:hAnsi="Times New Roman"/>
              </w:rPr>
              <w:t>第</w:t>
            </w:r>
            <w:r>
              <w:rPr>
                <w:rFonts w:ascii="Times New Roman" w:hAnsi="Times New Roman"/>
              </w:rPr>
              <w:t>3.5.1</w:t>
            </w:r>
            <w:r>
              <w:rPr>
                <w:rFonts w:hint="eastAsia" w:ascii="Times New Roman" w:hAnsi="Times New Roman"/>
              </w:rPr>
              <w:t>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6"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32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资质要求</w:t>
            </w:r>
          </w:p>
        </w:tc>
        <w:tc>
          <w:tcPr>
            <w:tcW w:w="5986"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rPr>
            </w:pPr>
            <w:r>
              <w:rPr>
                <w:rFonts w:hint="eastAsia" w:ascii="Times New Roman" w:hAnsi="Times New Roman"/>
              </w:rPr>
              <w:t>符合第二章</w:t>
            </w:r>
            <w:r>
              <w:rPr>
                <w:rFonts w:ascii="Times New Roman" w:hAnsi="Times New Roman"/>
              </w:rPr>
              <w:t>“</w:t>
            </w:r>
            <w:r>
              <w:rPr>
                <w:rFonts w:hint="eastAsia" w:ascii="Times New Roman" w:hAnsi="Times New Roman"/>
              </w:rPr>
              <w:t>投标人须知</w:t>
            </w:r>
            <w:r>
              <w:rPr>
                <w:rFonts w:ascii="Times New Roman" w:hAnsi="Times New Roman"/>
              </w:rPr>
              <w:t>”</w:t>
            </w:r>
            <w:r>
              <w:rPr>
                <w:rFonts w:hint="eastAsia" w:ascii="Times New Roman" w:hAnsi="Times New Roman"/>
              </w:rPr>
              <w:t>第</w:t>
            </w:r>
            <w:r>
              <w:rPr>
                <w:rFonts w:ascii="Times New Roman" w:hAnsi="Times New Roman"/>
              </w:rPr>
              <w:t>1.4.1</w:t>
            </w:r>
            <w:r>
              <w:rPr>
                <w:rFonts w:hint="eastAsia" w:ascii="Times New Roman" w:hAnsi="Times New Roman"/>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6"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32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财务要求</w:t>
            </w:r>
          </w:p>
        </w:tc>
        <w:tc>
          <w:tcPr>
            <w:tcW w:w="5986"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rPr>
            </w:pPr>
            <w:r>
              <w:rPr>
                <w:rFonts w:hint="eastAsia" w:ascii="Times New Roman" w:hAnsi="Times New Roman"/>
              </w:rPr>
              <w:t>符合第二章</w:t>
            </w:r>
            <w:r>
              <w:rPr>
                <w:rFonts w:ascii="Times New Roman" w:hAnsi="Times New Roman"/>
              </w:rPr>
              <w:t>“</w:t>
            </w:r>
            <w:r>
              <w:rPr>
                <w:rFonts w:hint="eastAsia" w:ascii="Times New Roman" w:hAnsi="Times New Roman"/>
              </w:rPr>
              <w:t>投标人须知</w:t>
            </w:r>
            <w:r>
              <w:rPr>
                <w:rFonts w:ascii="Times New Roman" w:hAnsi="Times New Roman"/>
              </w:rPr>
              <w:t>”</w:t>
            </w:r>
            <w:r>
              <w:rPr>
                <w:rFonts w:hint="eastAsia" w:ascii="Times New Roman" w:hAnsi="Times New Roman"/>
              </w:rPr>
              <w:t>第</w:t>
            </w:r>
            <w:r>
              <w:rPr>
                <w:rFonts w:ascii="Times New Roman" w:hAnsi="Times New Roman"/>
              </w:rPr>
              <w:t>1.4.1</w:t>
            </w:r>
            <w:r>
              <w:rPr>
                <w:rFonts w:hint="eastAsia" w:ascii="Times New Roman" w:hAnsi="Times New Roman"/>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6"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32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业绩要求</w:t>
            </w:r>
          </w:p>
        </w:tc>
        <w:tc>
          <w:tcPr>
            <w:tcW w:w="5986" w:type="dxa"/>
            <w:tcBorders>
              <w:top w:val="single" w:color="auto" w:sz="4" w:space="0"/>
              <w:left w:val="single" w:color="auto" w:sz="4" w:space="0"/>
              <w:bottom w:val="single" w:color="auto" w:sz="4" w:space="0"/>
            </w:tcBorders>
            <w:vAlign w:val="center"/>
          </w:tcPr>
          <w:p>
            <w:pPr>
              <w:rPr>
                <w:rFonts w:ascii="Times New Roman" w:hAnsi="Times New Roman"/>
              </w:rPr>
            </w:pPr>
            <w:r>
              <w:rPr>
                <w:rFonts w:hint="eastAsia" w:ascii="Times New Roman" w:hAnsi="Times New Roman"/>
              </w:rPr>
              <w:t>符合第二章</w:t>
            </w:r>
            <w:r>
              <w:rPr>
                <w:rFonts w:ascii="Times New Roman" w:hAnsi="Times New Roman"/>
              </w:rPr>
              <w:t>“</w:t>
            </w:r>
            <w:r>
              <w:rPr>
                <w:rFonts w:hint="eastAsia" w:ascii="Times New Roman" w:hAnsi="Times New Roman"/>
              </w:rPr>
              <w:t>投标人须知</w:t>
            </w:r>
            <w:r>
              <w:rPr>
                <w:rFonts w:ascii="Times New Roman" w:hAnsi="Times New Roman"/>
              </w:rPr>
              <w:t>”</w:t>
            </w:r>
            <w:r>
              <w:rPr>
                <w:rFonts w:hint="eastAsia" w:ascii="Times New Roman" w:hAnsi="Times New Roman"/>
              </w:rPr>
              <w:t>第</w:t>
            </w:r>
            <w:r>
              <w:rPr>
                <w:rFonts w:ascii="Times New Roman" w:hAnsi="Times New Roman"/>
              </w:rPr>
              <w:t>1.4.1</w:t>
            </w:r>
            <w:r>
              <w:rPr>
                <w:rFonts w:hint="eastAsia" w:ascii="Times New Roman" w:hAnsi="Times New Roman"/>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6"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32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其他要求</w:t>
            </w:r>
          </w:p>
        </w:tc>
        <w:tc>
          <w:tcPr>
            <w:tcW w:w="5986"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rPr>
            </w:pPr>
            <w:r>
              <w:rPr>
                <w:rFonts w:hint="eastAsia" w:ascii="Times New Roman" w:hAnsi="Times New Roman"/>
              </w:rPr>
              <w:t>符合第二章</w:t>
            </w:r>
            <w:r>
              <w:rPr>
                <w:rFonts w:ascii="Times New Roman" w:hAnsi="Times New Roman"/>
              </w:rPr>
              <w:t>“</w:t>
            </w:r>
            <w:r>
              <w:rPr>
                <w:rFonts w:hint="eastAsia" w:ascii="Times New Roman" w:hAnsi="Times New Roman"/>
              </w:rPr>
              <w:t>投标人须知</w:t>
            </w:r>
            <w:r>
              <w:rPr>
                <w:rFonts w:ascii="Times New Roman" w:hAnsi="Times New Roman"/>
              </w:rPr>
              <w:t>”</w:t>
            </w:r>
            <w:r>
              <w:rPr>
                <w:rFonts w:hint="eastAsia" w:ascii="Times New Roman" w:hAnsi="Times New Roman"/>
              </w:rPr>
              <w:t>第</w:t>
            </w:r>
            <w:r>
              <w:rPr>
                <w:rFonts w:ascii="Times New Roman" w:hAnsi="Times New Roman"/>
              </w:rPr>
              <w:t>1.4.1</w:t>
            </w:r>
            <w:r>
              <w:rPr>
                <w:rFonts w:hint="eastAsia" w:ascii="Times New Roman" w:hAnsi="Times New Roman"/>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6"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32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不存在禁止投标的情形</w:t>
            </w:r>
          </w:p>
        </w:tc>
        <w:tc>
          <w:tcPr>
            <w:tcW w:w="5986"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rPr>
            </w:pPr>
            <w:r>
              <w:rPr>
                <w:rFonts w:hint="eastAsia" w:ascii="Times New Roman" w:hAnsi="Times New Roman"/>
              </w:rPr>
              <w:t>不存在第二章</w:t>
            </w:r>
            <w:r>
              <w:rPr>
                <w:rFonts w:ascii="Times New Roman" w:hAnsi="Times New Roman"/>
              </w:rPr>
              <w:t>“</w:t>
            </w:r>
            <w:r>
              <w:rPr>
                <w:rFonts w:hint="eastAsia" w:ascii="Times New Roman" w:hAnsi="Times New Roman"/>
              </w:rPr>
              <w:t>投标人须知</w:t>
            </w:r>
            <w:r>
              <w:rPr>
                <w:rFonts w:ascii="Times New Roman" w:hAnsi="Times New Roman"/>
              </w:rPr>
              <w:t>”</w:t>
            </w:r>
            <w:r>
              <w:rPr>
                <w:rFonts w:hint="eastAsia" w:ascii="Times New Roman" w:hAnsi="Times New Roman"/>
              </w:rPr>
              <w:t>第</w:t>
            </w:r>
            <w:r>
              <w:rPr>
                <w:rFonts w:ascii="Times New Roman" w:hAnsi="Times New Roman"/>
              </w:rPr>
              <w:t>1.4.3</w:t>
            </w:r>
            <w:r>
              <w:rPr>
                <w:rFonts w:hint="eastAsia" w:ascii="Times New Roman" w:hAnsi="Times New Roman"/>
              </w:rPr>
              <w:t>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6"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2.1.3</w:t>
            </w:r>
          </w:p>
        </w:tc>
        <w:tc>
          <w:tcPr>
            <w:tcW w:w="1322"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第一个信封（商务及</w:t>
            </w:r>
            <w:r>
              <w:rPr>
                <w:rFonts w:ascii="Times New Roman" w:hAnsi="Times New Roman"/>
              </w:rPr>
              <w:t>技术文件</w:t>
            </w:r>
            <w:r>
              <w:rPr>
                <w:rFonts w:hint="eastAsia" w:ascii="Times New Roman" w:hAnsi="Times New Roman"/>
              </w:rPr>
              <w:t>）响应性评审标准</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投标内容</w:t>
            </w:r>
          </w:p>
        </w:tc>
        <w:tc>
          <w:tcPr>
            <w:tcW w:w="5986"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rPr>
            </w:pPr>
            <w:r>
              <w:rPr>
                <w:rFonts w:hint="eastAsia" w:ascii="Times New Roman" w:hAnsi="Times New Roman"/>
              </w:rPr>
              <w:t>符合第二章</w:t>
            </w:r>
            <w:r>
              <w:rPr>
                <w:rFonts w:ascii="Times New Roman" w:hAnsi="Times New Roman"/>
              </w:rPr>
              <w:t>“</w:t>
            </w:r>
            <w:r>
              <w:rPr>
                <w:rFonts w:hint="eastAsia" w:ascii="Times New Roman" w:hAnsi="Times New Roman"/>
              </w:rPr>
              <w:t>投标人须知</w:t>
            </w:r>
            <w:r>
              <w:rPr>
                <w:rFonts w:ascii="Times New Roman" w:hAnsi="Times New Roman"/>
              </w:rPr>
              <w:t>”</w:t>
            </w:r>
            <w:r>
              <w:rPr>
                <w:rFonts w:hint="eastAsia" w:ascii="Times New Roman" w:hAnsi="Times New Roman"/>
              </w:rPr>
              <w:t>第</w:t>
            </w:r>
            <w:r>
              <w:rPr>
                <w:rFonts w:ascii="Times New Roman" w:hAnsi="Times New Roman"/>
              </w:rPr>
              <w:t>1.3.1</w:t>
            </w:r>
            <w:r>
              <w:rPr>
                <w:rFonts w:hint="eastAsia" w:ascii="Times New Roman" w:hAnsi="Times New Roman"/>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6"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p>
        </w:tc>
        <w:tc>
          <w:tcPr>
            <w:tcW w:w="1322"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交货期</w:t>
            </w:r>
          </w:p>
        </w:tc>
        <w:tc>
          <w:tcPr>
            <w:tcW w:w="5986"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rPr>
            </w:pPr>
            <w:r>
              <w:rPr>
                <w:rFonts w:hint="eastAsia" w:ascii="Times New Roman" w:hAnsi="Times New Roman"/>
              </w:rPr>
              <w:t>符合第二章</w:t>
            </w:r>
            <w:r>
              <w:rPr>
                <w:rFonts w:ascii="Times New Roman" w:hAnsi="Times New Roman"/>
              </w:rPr>
              <w:t>“</w:t>
            </w:r>
            <w:r>
              <w:rPr>
                <w:rFonts w:hint="eastAsia" w:ascii="Times New Roman" w:hAnsi="Times New Roman"/>
              </w:rPr>
              <w:t>投标人须知</w:t>
            </w:r>
            <w:r>
              <w:rPr>
                <w:rFonts w:ascii="Times New Roman" w:hAnsi="Times New Roman"/>
              </w:rPr>
              <w:t>”</w:t>
            </w:r>
            <w:r>
              <w:rPr>
                <w:rFonts w:hint="eastAsia" w:ascii="Times New Roman" w:hAnsi="Times New Roman"/>
              </w:rPr>
              <w:t>第</w:t>
            </w:r>
            <w:r>
              <w:rPr>
                <w:rFonts w:ascii="Times New Roman" w:hAnsi="Times New Roman"/>
              </w:rPr>
              <w:t>1.3.2</w:t>
            </w:r>
            <w:r>
              <w:rPr>
                <w:rFonts w:hint="eastAsia" w:ascii="Times New Roman" w:hAnsi="Times New Roman"/>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6"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p>
        </w:tc>
        <w:tc>
          <w:tcPr>
            <w:tcW w:w="1322"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交货地点</w:t>
            </w:r>
          </w:p>
        </w:tc>
        <w:tc>
          <w:tcPr>
            <w:tcW w:w="5986"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rPr>
            </w:pPr>
            <w:r>
              <w:rPr>
                <w:rFonts w:hint="eastAsia" w:ascii="Times New Roman" w:hAnsi="Times New Roman"/>
              </w:rPr>
              <w:t>符合第二章</w:t>
            </w:r>
            <w:r>
              <w:rPr>
                <w:rFonts w:ascii="Times New Roman" w:hAnsi="Times New Roman"/>
              </w:rPr>
              <w:t>“</w:t>
            </w:r>
            <w:r>
              <w:rPr>
                <w:rFonts w:hint="eastAsia" w:ascii="Times New Roman" w:hAnsi="Times New Roman"/>
              </w:rPr>
              <w:t>投标人须知</w:t>
            </w:r>
            <w:r>
              <w:rPr>
                <w:rFonts w:ascii="Times New Roman" w:hAnsi="Times New Roman"/>
              </w:rPr>
              <w:t>”</w:t>
            </w:r>
            <w:r>
              <w:rPr>
                <w:rFonts w:hint="eastAsia" w:ascii="Times New Roman" w:hAnsi="Times New Roman"/>
              </w:rPr>
              <w:t>第</w:t>
            </w:r>
            <w:r>
              <w:rPr>
                <w:rFonts w:ascii="Times New Roman" w:hAnsi="Times New Roman"/>
              </w:rPr>
              <w:t>1.3.3</w:t>
            </w:r>
            <w:r>
              <w:rPr>
                <w:rFonts w:hint="eastAsia" w:ascii="Times New Roman" w:hAnsi="Times New Roman"/>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6"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p>
        </w:tc>
        <w:tc>
          <w:tcPr>
            <w:tcW w:w="1322"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技术性能指标</w:t>
            </w:r>
          </w:p>
        </w:tc>
        <w:tc>
          <w:tcPr>
            <w:tcW w:w="5986"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rPr>
            </w:pPr>
            <w:r>
              <w:rPr>
                <w:rFonts w:hint="eastAsia" w:ascii="Times New Roman" w:hAnsi="Times New Roman"/>
              </w:rPr>
              <w:t>符合第二章</w:t>
            </w:r>
            <w:r>
              <w:rPr>
                <w:rFonts w:ascii="Times New Roman" w:hAnsi="Times New Roman"/>
              </w:rPr>
              <w:t>“</w:t>
            </w:r>
            <w:r>
              <w:rPr>
                <w:rFonts w:hint="eastAsia" w:ascii="Times New Roman" w:hAnsi="Times New Roman"/>
              </w:rPr>
              <w:t>投标人须知</w:t>
            </w:r>
            <w:r>
              <w:rPr>
                <w:rFonts w:ascii="Times New Roman" w:hAnsi="Times New Roman"/>
              </w:rPr>
              <w:t>”</w:t>
            </w:r>
            <w:r>
              <w:rPr>
                <w:rFonts w:hint="eastAsia" w:ascii="Times New Roman" w:hAnsi="Times New Roman"/>
              </w:rPr>
              <w:t>第</w:t>
            </w:r>
            <w:r>
              <w:rPr>
                <w:rFonts w:ascii="Times New Roman" w:hAnsi="Times New Roman"/>
              </w:rPr>
              <w:t>1.3.4</w:t>
            </w:r>
            <w:r>
              <w:rPr>
                <w:rFonts w:hint="eastAsia" w:ascii="Times New Roman" w:hAnsi="Times New Roman"/>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6"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32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52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rPr>
            </w:pPr>
            <w:r>
              <w:rPr>
                <w:rFonts w:hint="eastAsia" w:ascii="Times New Roman" w:hAnsi="Times New Roman"/>
              </w:rPr>
              <w:t>投标有效期</w:t>
            </w:r>
          </w:p>
        </w:tc>
        <w:tc>
          <w:tcPr>
            <w:tcW w:w="5986"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hint="eastAsia" w:ascii="Times New Roman" w:hAnsi="Times New Roman"/>
              </w:rPr>
              <w:t>符合第二章</w:t>
            </w:r>
            <w:r>
              <w:rPr>
                <w:rFonts w:ascii="Times New Roman" w:hAnsi="Times New Roman"/>
              </w:rPr>
              <w:t>“</w:t>
            </w:r>
            <w:r>
              <w:rPr>
                <w:rFonts w:hint="eastAsia" w:ascii="Times New Roman" w:hAnsi="Times New Roman"/>
              </w:rPr>
              <w:t>投标人须知</w:t>
            </w:r>
            <w:r>
              <w:rPr>
                <w:rFonts w:ascii="Times New Roman" w:hAnsi="Times New Roman"/>
              </w:rPr>
              <w:t>”</w:t>
            </w:r>
            <w:r>
              <w:rPr>
                <w:rFonts w:hint="eastAsia" w:ascii="Times New Roman" w:hAnsi="Times New Roman"/>
              </w:rPr>
              <w:t>第</w:t>
            </w:r>
            <w:r>
              <w:rPr>
                <w:rFonts w:ascii="Times New Roman" w:hAnsi="Times New Roman"/>
              </w:rPr>
              <w:t>3.3.1</w:t>
            </w:r>
            <w:r>
              <w:rPr>
                <w:rFonts w:hint="eastAsia" w:ascii="Times New Roman" w:hAnsi="Times New Roman"/>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6"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32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52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rPr>
            </w:pPr>
            <w:r>
              <w:rPr>
                <w:rFonts w:hint="eastAsia" w:ascii="Times New Roman" w:hAnsi="Times New Roman"/>
              </w:rPr>
              <w:t>投标保证金</w:t>
            </w:r>
          </w:p>
        </w:tc>
        <w:tc>
          <w:tcPr>
            <w:tcW w:w="5986"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hint="eastAsia" w:ascii="Times New Roman" w:hAnsi="Times New Roman"/>
              </w:rPr>
              <w:t>符合第二章</w:t>
            </w:r>
            <w:r>
              <w:rPr>
                <w:rFonts w:ascii="Times New Roman" w:hAnsi="Times New Roman"/>
              </w:rPr>
              <w:t>“</w:t>
            </w:r>
            <w:r>
              <w:rPr>
                <w:rFonts w:hint="eastAsia" w:ascii="Times New Roman" w:hAnsi="Times New Roman"/>
              </w:rPr>
              <w:t>投标人须知</w:t>
            </w:r>
            <w:r>
              <w:rPr>
                <w:rFonts w:ascii="Times New Roman" w:hAnsi="Times New Roman"/>
              </w:rPr>
              <w:t>”</w:t>
            </w:r>
            <w:r>
              <w:rPr>
                <w:rFonts w:hint="eastAsia" w:ascii="Times New Roman" w:hAnsi="Times New Roman"/>
              </w:rPr>
              <w:t>第</w:t>
            </w:r>
            <w:r>
              <w:rPr>
                <w:rFonts w:ascii="Times New Roman" w:hAnsi="Times New Roman"/>
              </w:rPr>
              <w:t>3.4.1</w:t>
            </w:r>
            <w:r>
              <w:rPr>
                <w:rFonts w:hint="eastAsia" w:ascii="Times New Roman" w:hAnsi="Times New Roman"/>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6"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32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52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rPr>
            </w:pPr>
            <w:r>
              <w:rPr>
                <w:rFonts w:hint="eastAsia" w:ascii="Times New Roman" w:hAnsi="Times New Roman"/>
              </w:rPr>
              <w:t>权利义务</w:t>
            </w:r>
          </w:p>
        </w:tc>
        <w:tc>
          <w:tcPr>
            <w:tcW w:w="5986"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hint="eastAsia" w:ascii="Times New Roman" w:hAnsi="Times New Roman"/>
              </w:rPr>
              <w:t>符合第二章</w:t>
            </w:r>
            <w:r>
              <w:rPr>
                <w:rFonts w:ascii="Times New Roman" w:hAnsi="Times New Roman"/>
              </w:rPr>
              <w:t>“</w:t>
            </w:r>
            <w:r>
              <w:rPr>
                <w:rFonts w:hint="eastAsia" w:ascii="Times New Roman" w:hAnsi="Times New Roman"/>
              </w:rPr>
              <w:t>投标人须知</w:t>
            </w:r>
            <w:r>
              <w:rPr>
                <w:rFonts w:ascii="Times New Roman" w:hAnsi="Times New Roman"/>
              </w:rPr>
              <w:t>”</w:t>
            </w:r>
            <w:r>
              <w:rPr>
                <w:rFonts w:hint="eastAsia" w:ascii="Times New Roman" w:hAnsi="Times New Roman"/>
              </w:rPr>
              <w:t>第</w:t>
            </w:r>
            <w:r>
              <w:rPr>
                <w:rFonts w:ascii="Times New Roman" w:hAnsi="Times New Roman"/>
              </w:rPr>
              <w:t>1.11.1</w:t>
            </w:r>
            <w:r>
              <w:rPr>
                <w:rFonts w:hint="eastAsia" w:ascii="Times New Roman" w:hAnsi="Times New Roman"/>
              </w:rPr>
              <w:t>项规定和第四章</w:t>
            </w:r>
            <w:r>
              <w:rPr>
                <w:rFonts w:ascii="Times New Roman" w:hAnsi="Times New Roman"/>
              </w:rPr>
              <w:t>“</w:t>
            </w:r>
            <w:r>
              <w:rPr>
                <w:rFonts w:hint="eastAsia" w:ascii="Times New Roman" w:hAnsi="Times New Roman"/>
              </w:rPr>
              <w:t>合同条款及格式</w:t>
            </w:r>
            <w:r>
              <w:rPr>
                <w:rFonts w:ascii="Times New Roman" w:hAnsi="Times New Roman"/>
              </w:rPr>
              <w:t>”</w:t>
            </w:r>
            <w:r>
              <w:rPr>
                <w:rFonts w:hint="eastAsia" w:ascii="Times New Roman" w:hAnsi="Times New Roman"/>
              </w:rPr>
              <w:t>中的实质性要求和条件</w:t>
            </w:r>
          </w:p>
        </w:tc>
      </w:tr>
    </w:tbl>
    <w:p>
      <w:pPr>
        <w:pStyle w:val="41"/>
        <w:ind w:firstLine="0" w:firstLineChars="0"/>
        <w:rPr>
          <w:color w:val="auto"/>
        </w:rPr>
        <w:sectPr>
          <w:footerReference r:id="rId3" w:type="default"/>
          <w:pgSz w:w="12240" w:h="15840"/>
          <w:pgMar w:top="1440" w:right="1406" w:bottom="1440" w:left="1463" w:header="720" w:footer="720" w:gutter="0"/>
          <w:cols w:space="0" w:num="1"/>
          <w:docGrid w:linePitch="285" w:charSpace="0"/>
        </w:sectPr>
      </w:pPr>
    </w:p>
    <w:tbl>
      <w:tblPr>
        <w:tblStyle w:val="33"/>
        <w:tblW w:w="96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993"/>
        <w:gridCol w:w="1417"/>
        <w:gridCol w:w="65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05" w:type="dxa"/>
            <w:gridSpan w:val="2"/>
            <w:tcBorders>
              <w:top w:val="single" w:color="auto" w:sz="4" w:space="0"/>
              <w:bottom w:val="single" w:color="auto" w:sz="4" w:space="0"/>
              <w:right w:val="single" w:color="auto" w:sz="4" w:space="0"/>
            </w:tcBorders>
            <w:vAlign w:val="center"/>
          </w:tcPr>
          <w:p>
            <w:pPr>
              <w:jc w:val="center"/>
              <w:rPr>
                <w:b/>
                <w:highlight w:val="none"/>
              </w:rPr>
            </w:pPr>
            <w:bookmarkStart w:id="8" w:name="_Toc492288450"/>
            <w:bookmarkStart w:id="9" w:name="_Toc492288461"/>
            <w:r>
              <w:rPr>
                <w:rFonts w:hint="eastAsia"/>
                <w:b/>
                <w:highlight w:val="none"/>
              </w:rPr>
              <w:t>条款号</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b/>
                <w:highlight w:val="none"/>
              </w:rPr>
            </w:pPr>
            <w:r>
              <w:rPr>
                <w:rFonts w:hint="eastAsia"/>
                <w:b/>
                <w:highlight w:val="none"/>
              </w:rPr>
              <w:t>条款内容</w:t>
            </w:r>
          </w:p>
        </w:tc>
        <w:tc>
          <w:tcPr>
            <w:tcW w:w="6524" w:type="dxa"/>
            <w:tcBorders>
              <w:top w:val="single" w:color="auto" w:sz="4" w:space="0"/>
              <w:left w:val="single" w:color="auto" w:sz="4" w:space="0"/>
              <w:bottom w:val="single" w:color="auto" w:sz="4" w:space="0"/>
            </w:tcBorders>
            <w:vAlign w:val="center"/>
          </w:tcPr>
          <w:p>
            <w:pPr>
              <w:jc w:val="center"/>
              <w:rPr>
                <w:b/>
                <w:highlight w:val="none"/>
              </w:rPr>
            </w:pPr>
            <w:r>
              <w:rPr>
                <w:rFonts w:hint="eastAsia"/>
                <w:b/>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05" w:type="dxa"/>
            <w:gridSpan w:val="2"/>
            <w:tcBorders>
              <w:bottom w:val="single" w:color="auto" w:sz="4" w:space="0"/>
              <w:right w:val="single" w:color="auto" w:sz="4" w:space="0"/>
            </w:tcBorders>
            <w:vAlign w:val="center"/>
          </w:tcPr>
          <w:p>
            <w:pPr>
              <w:jc w:val="center"/>
              <w:rPr>
                <w:highlight w:val="none"/>
              </w:rPr>
            </w:pPr>
            <w:r>
              <w:rPr>
                <w:highlight w:val="none"/>
              </w:rPr>
              <w:t>2.2.1</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hAnsi="Times New Roman"/>
                <w:highlight w:val="none"/>
              </w:rPr>
              <w:t>分值构成</w:t>
            </w:r>
          </w:p>
          <w:p>
            <w:pPr>
              <w:spacing w:line="440" w:lineRule="exact"/>
              <w:jc w:val="center"/>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总分</w:t>
            </w:r>
            <w:r>
              <w:rPr>
                <w:rFonts w:ascii="Times New Roman" w:hAnsi="Times New Roman"/>
                <w:highlight w:val="none"/>
              </w:rPr>
              <w:t>100</w:t>
            </w:r>
            <w:r>
              <w:rPr>
                <w:rFonts w:hint="eastAsia" w:ascii="Times New Roman" w:hAnsi="Times New Roman"/>
                <w:highlight w:val="none"/>
              </w:rPr>
              <w:t>分</w:t>
            </w:r>
            <w:r>
              <w:rPr>
                <w:rFonts w:ascii="Times New Roman" w:hAnsi="Times New Roman"/>
                <w:highlight w:val="none"/>
              </w:rPr>
              <w:t>)</w:t>
            </w:r>
          </w:p>
          <w:p>
            <w:pPr>
              <w:spacing w:line="440" w:lineRule="exact"/>
              <w:jc w:val="center"/>
              <w:rPr>
                <w:highlight w:val="none"/>
              </w:rPr>
            </w:pPr>
          </w:p>
        </w:tc>
        <w:tc>
          <w:tcPr>
            <w:tcW w:w="6524" w:type="dxa"/>
            <w:tcBorders>
              <w:top w:val="single" w:color="auto" w:sz="4" w:space="0"/>
              <w:left w:val="single" w:color="auto" w:sz="4" w:space="0"/>
              <w:bottom w:val="single" w:color="auto" w:sz="4" w:space="0"/>
            </w:tcBorders>
            <w:vAlign w:val="center"/>
          </w:tcPr>
          <w:p>
            <w:pPr>
              <w:spacing w:line="440" w:lineRule="exact"/>
              <w:rPr>
                <w:b/>
                <w:szCs w:val="21"/>
                <w:highlight w:val="none"/>
              </w:rPr>
            </w:pPr>
            <w:r>
              <w:rPr>
                <w:b/>
                <w:szCs w:val="21"/>
                <w:highlight w:val="none"/>
              </w:rPr>
              <w:t>第一个信封（商务及技术文件）</w:t>
            </w:r>
            <w:r>
              <w:rPr>
                <w:rFonts w:hint="eastAsia"/>
                <w:b/>
                <w:szCs w:val="21"/>
                <w:highlight w:val="none"/>
              </w:rPr>
              <w:t>分值构成：</w:t>
            </w:r>
          </w:p>
          <w:p>
            <w:pPr>
              <w:spacing w:line="440" w:lineRule="exact"/>
              <w:ind w:firstLine="420" w:firstLineChars="200"/>
              <w:rPr>
                <w:rFonts w:ascii="Times New Roman" w:hAnsi="Times New Roman"/>
                <w:highlight w:val="none"/>
              </w:rPr>
            </w:pPr>
            <w:r>
              <w:rPr>
                <w:rFonts w:hint="eastAsia" w:ascii="Times New Roman" w:hAnsi="Times New Roman"/>
                <w:highlight w:val="none"/>
              </w:rPr>
              <w:t>商务部分：</w:t>
            </w:r>
            <w:r>
              <w:rPr>
                <w:rFonts w:ascii="Times New Roman" w:hAnsi="Times New Roman"/>
                <w:highlight w:val="none"/>
                <w:u w:val="single"/>
              </w:rPr>
              <w:t>1</w:t>
            </w:r>
            <w:r>
              <w:rPr>
                <w:rFonts w:hint="eastAsia" w:ascii="Times New Roman" w:hAnsi="Times New Roman"/>
                <w:highlight w:val="none"/>
                <w:u w:val="single"/>
              </w:rPr>
              <w:t>5</w:t>
            </w:r>
            <w:r>
              <w:rPr>
                <w:rFonts w:hint="eastAsia" w:ascii="Times New Roman" w:hAnsi="Times New Roman"/>
                <w:highlight w:val="none"/>
              </w:rPr>
              <w:t>分</w:t>
            </w:r>
          </w:p>
          <w:p>
            <w:pPr>
              <w:spacing w:line="440" w:lineRule="exact"/>
              <w:ind w:firstLine="420" w:firstLineChars="200"/>
              <w:rPr>
                <w:rFonts w:ascii="Times New Roman" w:hAnsi="Times New Roman"/>
                <w:highlight w:val="none"/>
              </w:rPr>
            </w:pPr>
            <w:r>
              <w:rPr>
                <w:rFonts w:hint="eastAsia" w:ascii="Times New Roman" w:hAnsi="Times New Roman"/>
                <w:highlight w:val="none"/>
              </w:rPr>
              <w:t>技术部分：</w:t>
            </w:r>
            <w:r>
              <w:rPr>
                <w:rFonts w:hint="eastAsia"/>
                <w:highlight w:val="none"/>
                <w:u w:val="single"/>
                <w:lang w:val="en-US" w:eastAsia="zh-CN"/>
              </w:rPr>
              <w:t>15</w:t>
            </w:r>
            <w:r>
              <w:rPr>
                <w:rFonts w:hint="eastAsia" w:ascii="Times New Roman" w:hAnsi="Times New Roman"/>
                <w:highlight w:val="none"/>
              </w:rPr>
              <w:t>分</w:t>
            </w:r>
          </w:p>
          <w:p>
            <w:pPr>
              <w:spacing w:line="440" w:lineRule="exact"/>
              <w:ind w:firstLine="420" w:firstLineChars="200"/>
              <w:rPr>
                <w:rFonts w:ascii="Times New Roman" w:hAnsi="Times New Roman"/>
                <w:highlight w:val="none"/>
              </w:rPr>
            </w:pPr>
            <w:r>
              <w:rPr>
                <w:rFonts w:hint="eastAsia" w:ascii="Times New Roman" w:hAnsi="Times New Roman"/>
                <w:highlight w:val="none"/>
              </w:rPr>
              <w:t>其他评分因素：</w:t>
            </w:r>
            <w:r>
              <w:rPr>
                <w:rFonts w:ascii="Times New Roman" w:hAnsi="Times New Roman"/>
                <w:highlight w:val="none"/>
                <w:u w:val="single"/>
              </w:rPr>
              <w:t>0</w:t>
            </w:r>
            <w:r>
              <w:rPr>
                <w:rFonts w:hint="eastAsia" w:ascii="Times New Roman" w:hAnsi="Times New Roman"/>
                <w:highlight w:val="none"/>
              </w:rPr>
              <w:t>分（如有）</w:t>
            </w:r>
          </w:p>
          <w:p>
            <w:pPr>
              <w:spacing w:line="440" w:lineRule="exact"/>
              <w:rPr>
                <w:rFonts w:ascii="宋体" w:hAnsi="宋体"/>
                <w:szCs w:val="21"/>
                <w:highlight w:val="none"/>
              </w:rPr>
            </w:pPr>
            <w:r>
              <w:rPr>
                <w:rFonts w:hint="eastAsia" w:ascii="宋体" w:hAnsi="宋体"/>
                <w:b/>
                <w:szCs w:val="21"/>
                <w:highlight w:val="none"/>
              </w:rPr>
              <w:t>评标委员会成员对技术部分评审各项因素的评分低于（商务及技术）满分值60%的，应当在评标报告中作出说明</w:t>
            </w:r>
            <w:r>
              <w:rPr>
                <w:rFonts w:hint="eastAsia" w:ascii="宋体" w:hAnsi="宋体"/>
                <w:szCs w:val="21"/>
                <w:highlight w:val="none"/>
              </w:rPr>
              <w:t>。</w:t>
            </w:r>
          </w:p>
          <w:p>
            <w:pPr>
              <w:spacing w:line="440" w:lineRule="exact"/>
              <w:rPr>
                <w:rFonts w:ascii="宋体" w:hAnsi="宋体"/>
                <w:szCs w:val="21"/>
                <w:highlight w:val="none"/>
              </w:rPr>
            </w:pPr>
          </w:p>
          <w:p>
            <w:pPr>
              <w:spacing w:line="440" w:lineRule="exact"/>
              <w:rPr>
                <w:rFonts w:ascii="Times New Roman" w:hAnsi="Times New Roman"/>
                <w:highlight w:val="none"/>
              </w:rPr>
            </w:pPr>
            <w:r>
              <w:rPr>
                <w:b/>
                <w:szCs w:val="21"/>
                <w:highlight w:val="none"/>
              </w:rPr>
              <w:t>第二个信封（报价文件）分值构成：</w:t>
            </w:r>
          </w:p>
          <w:p>
            <w:pPr>
              <w:spacing w:line="440" w:lineRule="exact"/>
              <w:ind w:firstLine="420" w:firstLineChars="200"/>
              <w:rPr>
                <w:highlight w:val="none"/>
              </w:rPr>
            </w:pPr>
            <w:r>
              <w:rPr>
                <w:rFonts w:hint="eastAsia" w:ascii="Times New Roman" w:hAnsi="Times New Roman"/>
                <w:highlight w:val="none"/>
              </w:rPr>
              <w:t>投标报价：</w:t>
            </w:r>
            <w:r>
              <w:rPr>
                <w:rFonts w:hint="eastAsia"/>
                <w:highlight w:val="none"/>
                <w:u w:val="single"/>
                <w:lang w:val="en-US" w:eastAsia="zh-CN"/>
              </w:rPr>
              <w:t>70</w:t>
            </w:r>
            <w:r>
              <w:rPr>
                <w:rFonts w:hint="eastAsia" w:ascii="Times New Roman" w:hAnsi="Times New Roman"/>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05" w:type="dxa"/>
            <w:gridSpan w:val="2"/>
            <w:tcBorders>
              <w:top w:val="single" w:color="auto" w:sz="4" w:space="0"/>
              <w:bottom w:val="single" w:color="auto" w:sz="4" w:space="0"/>
              <w:right w:val="single" w:color="auto" w:sz="4" w:space="0"/>
            </w:tcBorders>
            <w:vAlign w:val="center"/>
          </w:tcPr>
          <w:p>
            <w:pPr>
              <w:jc w:val="center"/>
              <w:rPr>
                <w:highlight w:val="none"/>
              </w:rPr>
            </w:pPr>
            <w:r>
              <w:rPr>
                <w:highlight w:val="none"/>
              </w:rPr>
              <w:t>2.2.2</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highlight w:val="none"/>
              </w:rPr>
            </w:pPr>
            <w:r>
              <w:rPr>
                <w:rFonts w:hint="eastAsia"/>
                <w:highlight w:val="none"/>
              </w:rPr>
              <w:t>评标基准价计算方法</w:t>
            </w:r>
          </w:p>
        </w:tc>
        <w:tc>
          <w:tcPr>
            <w:tcW w:w="6524" w:type="dxa"/>
            <w:tcBorders>
              <w:top w:val="single" w:color="auto" w:sz="4" w:space="0"/>
              <w:left w:val="single" w:color="auto" w:sz="4" w:space="0"/>
              <w:bottom w:val="single" w:color="auto" w:sz="4" w:space="0"/>
            </w:tcBorders>
            <w:vAlign w:val="center"/>
          </w:tcPr>
          <w:p>
            <w:pPr>
              <w:spacing w:line="360" w:lineRule="auto"/>
              <w:rPr>
                <w:rFonts w:ascii="宋体" w:hAnsi="宋体"/>
                <w:szCs w:val="21"/>
                <w:highlight w:val="none"/>
              </w:rPr>
            </w:pPr>
            <w:r>
              <w:rPr>
                <w:rFonts w:hint="eastAsia" w:ascii="宋体" w:hAnsi="宋体"/>
                <w:szCs w:val="21"/>
                <w:highlight w:val="none"/>
              </w:rPr>
              <w:t>(1)有效报价：经第二信封开标，未被否决或不超过</w:t>
            </w:r>
            <w:r>
              <w:rPr>
                <w:szCs w:val="21"/>
                <w:highlight w:val="none"/>
              </w:rPr>
              <w:t>最高投标限价</w:t>
            </w:r>
            <w:r>
              <w:rPr>
                <w:rFonts w:hint="eastAsia" w:ascii="宋体" w:hAnsi="宋体"/>
                <w:szCs w:val="21"/>
                <w:highlight w:val="none"/>
              </w:rPr>
              <w:t>的投标报价为有效报价。</w:t>
            </w:r>
          </w:p>
          <w:p>
            <w:pPr>
              <w:pStyle w:val="2"/>
              <w:spacing w:line="360" w:lineRule="auto"/>
              <w:ind w:left="0" w:firstLine="0"/>
              <w:rPr>
                <w:rFonts w:ascii="宋体" w:hAnsi="宋体"/>
                <w:b/>
                <w:bCs/>
                <w:sz w:val="21"/>
                <w:szCs w:val="21"/>
                <w:highlight w:val="none"/>
              </w:rPr>
            </w:pPr>
            <w:r>
              <w:rPr>
                <w:rFonts w:hint="eastAsia" w:ascii="宋体" w:hAnsi="宋体"/>
                <w:b/>
                <w:bCs/>
                <w:sz w:val="21"/>
                <w:szCs w:val="21"/>
                <w:highlight w:val="none"/>
              </w:rPr>
              <w:t>除按第二章“投标人须知”规定开标现场被宣布为不进入评标基准价计算的投标报价外，当投标人家数</w:t>
            </w:r>
            <w:r>
              <w:rPr>
                <w:rFonts w:hint="eastAsia" w:ascii="宋体" w:hAnsi="宋体"/>
                <w:b/>
                <w:bCs/>
                <w:sz w:val="21"/>
                <w:szCs w:val="21"/>
                <w:highlight w:val="none"/>
                <w:lang w:val="en-US" w:eastAsia="zh-CN"/>
              </w:rPr>
              <w:t>大</w:t>
            </w:r>
            <w:r>
              <w:rPr>
                <w:rFonts w:hint="eastAsia" w:ascii="宋体" w:hAnsi="宋体"/>
                <w:b/>
                <w:bCs/>
                <w:sz w:val="21"/>
                <w:szCs w:val="21"/>
                <w:highlight w:val="none"/>
              </w:rPr>
              <w:t>于5家时</w:t>
            </w:r>
            <w:r>
              <w:rPr>
                <w:rFonts w:hint="eastAsia" w:ascii="宋体" w:hAnsi="宋体"/>
                <w:b/>
                <w:bCs/>
                <w:sz w:val="21"/>
                <w:szCs w:val="21"/>
                <w:highlight w:val="none"/>
                <w:lang w:eastAsia="zh-CN"/>
              </w:rPr>
              <w:t>，</w:t>
            </w:r>
            <w:r>
              <w:rPr>
                <w:rFonts w:hint="eastAsia" w:ascii="宋体" w:hAnsi="宋体"/>
                <w:b/>
                <w:bCs/>
                <w:sz w:val="21"/>
                <w:szCs w:val="21"/>
                <w:highlight w:val="none"/>
                <w:lang w:val="en-US" w:eastAsia="zh-CN"/>
              </w:rPr>
              <w:t>取</w:t>
            </w:r>
            <w:r>
              <w:rPr>
                <w:rFonts w:hint="eastAsia" w:ascii="宋体" w:hAnsi="宋体"/>
                <w:b/>
                <w:bCs/>
                <w:sz w:val="21"/>
                <w:szCs w:val="21"/>
                <w:highlight w:val="none"/>
              </w:rPr>
              <w:t>所有投标人</w:t>
            </w:r>
            <w:r>
              <w:rPr>
                <w:rFonts w:hint="eastAsia" w:ascii="宋体" w:hAnsi="宋体"/>
                <w:b/>
                <w:bCs/>
                <w:sz w:val="21"/>
                <w:szCs w:val="21"/>
                <w:highlight w:val="none"/>
                <w:lang w:val="en-US" w:eastAsia="zh-CN"/>
              </w:rPr>
              <w:t>有效</w:t>
            </w:r>
            <w:r>
              <w:rPr>
                <w:rFonts w:hint="eastAsia" w:ascii="宋体" w:hAnsi="宋体"/>
                <w:b/>
                <w:bCs/>
                <w:sz w:val="21"/>
                <w:szCs w:val="21"/>
                <w:highlight w:val="none"/>
              </w:rPr>
              <w:t>报价去掉一个最高</w:t>
            </w:r>
            <w:r>
              <w:rPr>
                <w:rFonts w:hint="eastAsia" w:ascii="宋体" w:hAnsi="宋体"/>
                <w:b/>
                <w:bCs/>
                <w:sz w:val="21"/>
                <w:szCs w:val="21"/>
                <w:highlight w:val="none"/>
                <w:lang w:val="en-US" w:eastAsia="zh-CN"/>
              </w:rPr>
              <w:t>价</w:t>
            </w:r>
            <w:r>
              <w:rPr>
                <w:rFonts w:hint="eastAsia" w:ascii="宋体" w:hAnsi="宋体"/>
                <w:b/>
                <w:bCs/>
                <w:sz w:val="21"/>
                <w:szCs w:val="21"/>
                <w:highlight w:val="none"/>
              </w:rPr>
              <w:t>，去掉一个最低</w:t>
            </w:r>
            <w:r>
              <w:rPr>
                <w:rFonts w:hint="eastAsia" w:ascii="宋体" w:hAnsi="宋体"/>
                <w:b/>
                <w:bCs/>
                <w:sz w:val="21"/>
                <w:szCs w:val="21"/>
                <w:highlight w:val="none"/>
                <w:lang w:val="en-US" w:eastAsia="zh-CN"/>
              </w:rPr>
              <w:t>价</w:t>
            </w:r>
            <w:r>
              <w:rPr>
                <w:rFonts w:hint="eastAsia" w:ascii="宋体" w:hAnsi="宋体"/>
                <w:b/>
                <w:bCs/>
                <w:sz w:val="21"/>
                <w:szCs w:val="21"/>
                <w:highlight w:val="none"/>
              </w:rPr>
              <w:t>的算术平均值（四舍五入后取整，不保留小数）</w:t>
            </w:r>
            <w:r>
              <w:rPr>
                <w:rFonts w:hint="eastAsia" w:ascii="宋体" w:hAnsi="宋体"/>
                <w:b/>
                <w:bCs/>
                <w:sz w:val="21"/>
                <w:szCs w:val="21"/>
                <w:highlight w:val="none"/>
                <w:lang w:eastAsia="zh-CN"/>
              </w:rPr>
              <w:t>；</w:t>
            </w:r>
            <w:r>
              <w:rPr>
                <w:rFonts w:hint="eastAsia" w:ascii="宋体" w:hAnsi="宋体"/>
                <w:b/>
                <w:bCs/>
                <w:sz w:val="21"/>
                <w:szCs w:val="21"/>
                <w:highlight w:val="none"/>
              </w:rPr>
              <w:t>当投标人家数小于等于5家时，则取投标人所有</w:t>
            </w:r>
            <w:r>
              <w:rPr>
                <w:rFonts w:hint="eastAsia" w:ascii="宋体" w:hAnsi="宋体"/>
                <w:b/>
                <w:bCs/>
                <w:sz w:val="21"/>
                <w:szCs w:val="21"/>
                <w:highlight w:val="none"/>
                <w:lang w:val="en-US" w:eastAsia="zh-CN"/>
              </w:rPr>
              <w:t>有效</w:t>
            </w:r>
            <w:r>
              <w:rPr>
                <w:rFonts w:hint="eastAsia" w:ascii="宋体" w:hAnsi="宋体"/>
                <w:b/>
                <w:bCs/>
                <w:sz w:val="21"/>
                <w:szCs w:val="21"/>
                <w:highlight w:val="none"/>
              </w:rPr>
              <w:t>报价的算术平均值为评标基准价。 </w:t>
            </w:r>
          </w:p>
          <w:p>
            <w:pPr>
              <w:spacing w:line="360" w:lineRule="auto"/>
              <w:rPr>
                <w:highlight w:val="none"/>
              </w:rPr>
            </w:pPr>
            <w:r>
              <w:rPr>
                <w:rFonts w:hint="eastAsia" w:ascii="宋体" w:hAnsi="宋体"/>
                <w:szCs w:val="21"/>
                <w:highlight w:val="none"/>
              </w:rPr>
              <w:t>(2)如果投标人认为评标基准价计算有误，有权在开标现场提出，经监标人现场核实确认之后，可重新计算、并宣布评标基准价。确认后的评标基准价在其后的评标期间保持不变。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1705" w:type="dxa"/>
            <w:gridSpan w:val="2"/>
            <w:tcBorders>
              <w:top w:val="single" w:color="auto" w:sz="4" w:space="0"/>
              <w:bottom w:val="single" w:color="auto" w:sz="4" w:space="0"/>
              <w:right w:val="single" w:color="auto" w:sz="4" w:space="0"/>
            </w:tcBorders>
            <w:vAlign w:val="center"/>
          </w:tcPr>
          <w:p>
            <w:pPr>
              <w:jc w:val="center"/>
              <w:rPr>
                <w:highlight w:val="none"/>
              </w:rPr>
            </w:pPr>
            <w:r>
              <w:rPr>
                <w:highlight w:val="none"/>
              </w:rPr>
              <w:t>2.2.3</w:t>
            </w:r>
          </w:p>
        </w:tc>
        <w:tc>
          <w:tcPr>
            <w:tcW w:w="1417" w:type="dxa"/>
            <w:tcBorders>
              <w:top w:val="single" w:color="auto" w:sz="4" w:space="0"/>
              <w:left w:val="single" w:color="auto" w:sz="4" w:space="0"/>
              <w:right w:val="single" w:color="auto" w:sz="4" w:space="0"/>
            </w:tcBorders>
            <w:vAlign w:val="center"/>
          </w:tcPr>
          <w:p>
            <w:pPr>
              <w:jc w:val="center"/>
              <w:rPr>
                <w:highlight w:val="none"/>
              </w:rPr>
            </w:pPr>
            <w:r>
              <w:rPr>
                <w:rFonts w:hint="eastAsia"/>
                <w:highlight w:val="none"/>
              </w:rPr>
              <w:t>投标报价的偏差率</w:t>
            </w:r>
          </w:p>
          <w:p>
            <w:pPr>
              <w:jc w:val="center"/>
              <w:rPr>
                <w:highlight w:val="none"/>
              </w:rPr>
            </w:pPr>
            <w:r>
              <w:rPr>
                <w:rFonts w:hint="eastAsia"/>
                <w:highlight w:val="none"/>
              </w:rPr>
              <w:t>计算公式</w:t>
            </w:r>
          </w:p>
        </w:tc>
        <w:tc>
          <w:tcPr>
            <w:tcW w:w="6524" w:type="dxa"/>
            <w:tcBorders>
              <w:top w:val="single" w:color="auto" w:sz="4" w:space="0"/>
              <w:left w:val="single" w:color="auto" w:sz="4" w:space="0"/>
            </w:tcBorders>
            <w:vAlign w:val="center"/>
          </w:tcPr>
          <w:p>
            <w:pPr>
              <w:rPr>
                <w:highlight w:val="none"/>
              </w:rPr>
            </w:pPr>
            <w:r>
              <w:rPr>
                <w:rFonts w:hint="eastAsia"/>
                <w:highlight w:val="none"/>
              </w:rPr>
              <w:t>偏差率</w:t>
            </w:r>
            <w:r>
              <w:rPr>
                <w:highlight w:val="none"/>
              </w:rPr>
              <w:t>=</w:t>
            </w:r>
            <w:r>
              <w:rPr>
                <w:rFonts w:hint="eastAsia"/>
                <w:highlight w:val="none"/>
              </w:rPr>
              <w:t>（投标人的评标价</w:t>
            </w:r>
            <w:r>
              <w:rPr>
                <w:highlight w:val="none"/>
              </w:rPr>
              <w:t>-</w:t>
            </w:r>
            <w:r>
              <w:rPr>
                <w:rFonts w:hint="eastAsia"/>
                <w:highlight w:val="none"/>
              </w:rPr>
              <w:t>评标基准价）</w:t>
            </w:r>
            <w:r>
              <w:rPr>
                <w:highlight w:val="none"/>
              </w:rPr>
              <w:t>/</w:t>
            </w:r>
            <w:r>
              <w:rPr>
                <w:rFonts w:hint="eastAsia"/>
                <w:highlight w:val="none"/>
              </w:rPr>
              <w:t>评标基准价</w:t>
            </w:r>
            <w:r>
              <w:rPr>
                <w:highlight w:val="none"/>
              </w:rPr>
              <w:drawing>
                <wp:inline distT="0" distB="0" distL="0" distR="0">
                  <wp:extent cx="101600" cy="114300"/>
                  <wp:effectExtent l="0" t="0" r="1270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noChangeArrowheads="1"/>
                          </pic:cNvPicPr>
                        </pic:nvPicPr>
                        <pic:blipFill>
                          <a:blip r:embed="rId6"/>
                          <a:srcRect/>
                          <a:stretch>
                            <a:fillRect/>
                          </a:stretch>
                        </pic:blipFill>
                        <pic:spPr>
                          <a:xfrm>
                            <a:off x="0" y="0"/>
                            <a:ext cx="101600" cy="114300"/>
                          </a:xfrm>
                          <a:prstGeom prst="rect">
                            <a:avLst/>
                          </a:prstGeom>
                          <a:noFill/>
                          <a:ln w="9525">
                            <a:noFill/>
                            <a:miter lim="800000"/>
                            <a:headEnd/>
                            <a:tailEnd/>
                          </a:ln>
                        </pic:spPr>
                      </pic:pic>
                    </a:graphicData>
                  </a:graphic>
                </wp:inline>
              </w:drawing>
            </w:r>
            <w:r>
              <w:rPr>
                <w:highlight w:val="none"/>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05" w:type="dxa"/>
            <w:gridSpan w:val="2"/>
            <w:tcBorders>
              <w:top w:val="single" w:color="auto" w:sz="4" w:space="0"/>
              <w:bottom w:val="single" w:color="auto" w:sz="4" w:space="0"/>
              <w:right w:val="single" w:color="auto" w:sz="4" w:space="0"/>
            </w:tcBorders>
            <w:vAlign w:val="center"/>
          </w:tcPr>
          <w:p>
            <w:pPr>
              <w:jc w:val="center"/>
              <w:rPr>
                <w:b/>
                <w:highlight w:val="none"/>
              </w:rPr>
            </w:pPr>
            <w:r>
              <w:rPr>
                <w:rFonts w:hint="eastAsia"/>
                <w:b/>
                <w:highlight w:val="none"/>
              </w:rPr>
              <w:t>条款号</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b/>
                <w:highlight w:val="none"/>
              </w:rPr>
            </w:pPr>
            <w:r>
              <w:rPr>
                <w:rFonts w:hint="eastAsia"/>
                <w:b/>
                <w:highlight w:val="none"/>
              </w:rPr>
              <w:t>评分因素</w:t>
            </w:r>
          </w:p>
          <w:p>
            <w:pPr>
              <w:jc w:val="center"/>
              <w:rPr>
                <w:b/>
                <w:highlight w:val="none"/>
              </w:rPr>
            </w:pPr>
            <w:r>
              <w:rPr>
                <w:rFonts w:hint="eastAsia"/>
                <w:b/>
                <w:highlight w:val="none"/>
              </w:rPr>
              <w:t>（偏差率）</w:t>
            </w:r>
          </w:p>
        </w:tc>
        <w:tc>
          <w:tcPr>
            <w:tcW w:w="6524" w:type="dxa"/>
            <w:tcBorders>
              <w:top w:val="single" w:color="auto" w:sz="4" w:space="0"/>
              <w:left w:val="single" w:color="auto" w:sz="4" w:space="0"/>
              <w:bottom w:val="single" w:color="auto" w:sz="4" w:space="0"/>
            </w:tcBorders>
            <w:vAlign w:val="center"/>
          </w:tcPr>
          <w:p>
            <w:pPr>
              <w:jc w:val="center"/>
              <w:rPr>
                <w:b/>
                <w:highlight w:val="none"/>
              </w:rPr>
            </w:pPr>
            <w:r>
              <w:rPr>
                <w:rFonts w:hint="eastAsia"/>
                <w:b/>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24" w:hRule="atLeast"/>
          <w:jc w:val="center"/>
        </w:trPr>
        <w:tc>
          <w:tcPr>
            <w:tcW w:w="712" w:type="dxa"/>
            <w:vMerge w:val="restart"/>
            <w:tcBorders>
              <w:top w:val="single" w:color="auto" w:sz="4" w:space="0"/>
              <w:right w:val="single" w:color="auto" w:sz="4" w:space="0"/>
            </w:tcBorders>
            <w:vAlign w:val="center"/>
          </w:tcPr>
          <w:p>
            <w:pPr>
              <w:jc w:val="center"/>
              <w:rPr>
                <w:sz w:val="22"/>
                <w:szCs w:val="22"/>
                <w:highlight w:val="none"/>
              </w:rPr>
            </w:pPr>
            <w:r>
              <w:rPr>
                <w:sz w:val="22"/>
                <w:szCs w:val="22"/>
                <w:highlight w:val="none"/>
              </w:rPr>
              <w:t>2.2.4</w:t>
            </w:r>
            <w:r>
              <w:rPr>
                <w:rFonts w:hint="eastAsia"/>
                <w:sz w:val="22"/>
                <w:szCs w:val="22"/>
                <w:highlight w:val="none"/>
              </w:rPr>
              <w:t>（</w:t>
            </w:r>
            <w:r>
              <w:rPr>
                <w:sz w:val="22"/>
                <w:szCs w:val="22"/>
                <w:highlight w:val="none"/>
              </w:rPr>
              <w:t>1</w:t>
            </w:r>
            <w:r>
              <w:rPr>
                <w:rFonts w:hint="eastAsia"/>
                <w:sz w:val="22"/>
                <w:szCs w:val="22"/>
                <w:highlight w:val="none"/>
              </w:rPr>
              <w:t>）</w:t>
            </w:r>
          </w:p>
        </w:tc>
        <w:tc>
          <w:tcPr>
            <w:tcW w:w="993" w:type="dxa"/>
            <w:vMerge w:val="restart"/>
            <w:tcBorders>
              <w:top w:val="single" w:color="auto" w:sz="4" w:space="0"/>
              <w:right w:val="single" w:color="auto" w:sz="4" w:space="0"/>
            </w:tcBorders>
            <w:vAlign w:val="center"/>
          </w:tcPr>
          <w:p>
            <w:pPr>
              <w:rPr>
                <w:sz w:val="22"/>
                <w:szCs w:val="22"/>
                <w:highlight w:val="none"/>
              </w:rPr>
            </w:pPr>
            <w:r>
              <w:rPr>
                <w:rFonts w:hint="eastAsia"/>
                <w:sz w:val="22"/>
                <w:szCs w:val="22"/>
                <w:highlight w:val="none"/>
              </w:rPr>
              <w:t>商务评分标准</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2"/>
                <w:szCs w:val="22"/>
                <w:highlight w:val="none"/>
              </w:rPr>
            </w:pPr>
            <w:r>
              <w:rPr>
                <w:rFonts w:hint="eastAsia" w:ascii="Times New Roman" w:hAnsi="Times New Roman"/>
                <w:sz w:val="22"/>
                <w:szCs w:val="22"/>
                <w:highlight w:val="none"/>
              </w:rPr>
              <w:t>类似项目业绩（</w:t>
            </w:r>
            <w:r>
              <w:rPr>
                <w:rFonts w:ascii="Times New Roman" w:hAnsi="Times New Roman"/>
                <w:sz w:val="22"/>
                <w:szCs w:val="22"/>
                <w:highlight w:val="none"/>
              </w:rPr>
              <w:t>10</w:t>
            </w:r>
            <w:r>
              <w:rPr>
                <w:rFonts w:hint="eastAsia" w:ascii="Times New Roman" w:hAnsi="Times New Roman"/>
                <w:sz w:val="22"/>
                <w:szCs w:val="22"/>
                <w:highlight w:val="none"/>
              </w:rPr>
              <w:t>分）</w:t>
            </w:r>
          </w:p>
        </w:tc>
        <w:tc>
          <w:tcPr>
            <w:tcW w:w="6524"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sz w:val="22"/>
                <w:szCs w:val="22"/>
                <w:highlight w:val="none"/>
              </w:rPr>
            </w:pPr>
            <w:r>
              <w:rPr>
                <w:rFonts w:hint="eastAsia" w:ascii="宋体" w:hAnsi="宋体"/>
                <w:sz w:val="22"/>
                <w:szCs w:val="22"/>
                <w:highlight w:val="none"/>
              </w:rPr>
              <w:t>投标人在2015年1月1日至投标截止之日止：每提供一个隧道LED灯高速公路供货业绩，且供货金额不低于300万元的2分，最多</w:t>
            </w:r>
            <w:r>
              <w:rPr>
                <w:rFonts w:hint="eastAsia" w:ascii="Times New Roman" w:hAnsi="Times New Roman"/>
                <w:sz w:val="22"/>
                <w:szCs w:val="22"/>
                <w:highlight w:val="none"/>
              </w:rPr>
              <w:t>得</w:t>
            </w:r>
            <w:r>
              <w:rPr>
                <w:rFonts w:ascii="Times New Roman" w:hAnsi="Times New Roman"/>
                <w:sz w:val="22"/>
                <w:szCs w:val="22"/>
                <w:highlight w:val="none"/>
              </w:rPr>
              <w:t>10</w:t>
            </w:r>
            <w:r>
              <w:rPr>
                <w:rFonts w:hint="eastAsia" w:ascii="Times New Roman" w:hAnsi="Times New Roman"/>
                <w:sz w:val="22"/>
                <w:szCs w:val="22"/>
                <w:highlight w:val="none"/>
              </w:rPr>
              <w:t>分。</w:t>
            </w:r>
          </w:p>
          <w:p>
            <w:pPr>
              <w:spacing w:line="440" w:lineRule="exact"/>
              <w:rPr>
                <w:rFonts w:ascii="宋体" w:hAnsi="宋体" w:cs="宋体"/>
                <w:kern w:val="0"/>
                <w:sz w:val="22"/>
                <w:szCs w:val="22"/>
                <w:highlight w:val="none"/>
              </w:rPr>
            </w:pPr>
            <w:r>
              <w:rPr>
                <w:rFonts w:hint="eastAsia" w:ascii="宋体" w:hAnsi="宋体"/>
                <w:sz w:val="22"/>
                <w:szCs w:val="22"/>
                <w:highlight w:val="none"/>
              </w:rPr>
              <w:t>【</w:t>
            </w:r>
            <w:r>
              <w:rPr>
                <w:rFonts w:hint="eastAsia"/>
                <w:sz w:val="22"/>
                <w:szCs w:val="22"/>
                <w:highlight w:val="none"/>
              </w:rPr>
              <w:t>相关证明材料：供货合同或中标通知书及相应供货金额的发票扫描件或复印件，发票金额与合同或中标通知书不一致的，业绩以发票金额为准】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0" w:hRule="atLeast"/>
          <w:jc w:val="center"/>
        </w:trPr>
        <w:tc>
          <w:tcPr>
            <w:tcW w:w="712" w:type="dxa"/>
            <w:vMerge w:val="continue"/>
            <w:tcBorders>
              <w:bottom w:val="single" w:color="auto" w:sz="4" w:space="0"/>
              <w:right w:val="single" w:color="auto" w:sz="4" w:space="0"/>
            </w:tcBorders>
            <w:vAlign w:val="center"/>
          </w:tcPr>
          <w:p>
            <w:pPr>
              <w:jc w:val="center"/>
              <w:rPr>
                <w:sz w:val="22"/>
                <w:szCs w:val="22"/>
                <w:highlight w:val="none"/>
              </w:rPr>
            </w:pPr>
          </w:p>
        </w:tc>
        <w:tc>
          <w:tcPr>
            <w:tcW w:w="993" w:type="dxa"/>
            <w:vMerge w:val="continue"/>
            <w:tcBorders>
              <w:bottom w:val="single" w:color="auto" w:sz="4" w:space="0"/>
              <w:right w:val="single" w:color="auto" w:sz="4" w:space="0"/>
            </w:tcBorders>
            <w:vAlign w:val="center"/>
          </w:tcPr>
          <w:p>
            <w:pPr>
              <w:rPr>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sz w:val="22"/>
                <w:szCs w:val="22"/>
                <w:highlight w:val="none"/>
              </w:rPr>
            </w:pPr>
            <w:r>
              <w:rPr>
                <w:rFonts w:hint="eastAsia" w:ascii="Times New Roman" w:hAnsi="Times New Roman"/>
                <w:sz w:val="22"/>
                <w:szCs w:val="22"/>
                <w:highlight w:val="none"/>
              </w:rPr>
              <w:t>样品评审</w:t>
            </w:r>
          </w:p>
          <w:p>
            <w:pPr>
              <w:spacing w:line="440" w:lineRule="exact"/>
              <w:jc w:val="center"/>
              <w:rPr>
                <w:sz w:val="22"/>
                <w:szCs w:val="22"/>
                <w:highlight w:val="none"/>
              </w:rPr>
            </w:pPr>
            <w:r>
              <w:rPr>
                <w:rFonts w:hint="eastAsia" w:ascii="Times New Roman" w:hAnsi="Times New Roman"/>
                <w:sz w:val="22"/>
                <w:szCs w:val="22"/>
                <w:highlight w:val="none"/>
              </w:rPr>
              <w:t>（</w:t>
            </w:r>
            <w:r>
              <w:rPr>
                <w:rFonts w:ascii="Times New Roman" w:hAnsi="Times New Roman"/>
                <w:sz w:val="22"/>
                <w:szCs w:val="22"/>
                <w:highlight w:val="none"/>
              </w:rPr>
              <w:t>5</w:t>
            </w:r>
            <w:r>
              <w:rPr>
                <w:rFonts w:hint="eastAsia" w:ascii="Times New Roman" w:hAnsi="Times New Roman"/>
                <w:sz w:val="22"/>
                <w:szCs w:val="22"/>
                <w:highlight w:val="none"/>
              </w:rPr>
              <w:t>分）</w:t>
            </w:r>
          </w:p>
        </w:tc>
        <w:tc>
          <w:tcPr>
            <w:tcW w:w="6524" w:type="dxa"/>
            <w:tcBorders>
              <w:top w:val="single" w:color="auto" w:sz="4" w:space="0"/>
              <w:left w:val="single" w:color="auto" w:sz="4" w:space="0"/>
              <w:bottom w:val="single" w:color="auto" w:sz="4" w:space="0"/>
            </w:tcBorders>
            <w:vAlign w:val="center"/>
          </w:tcPr>
          <w:p>
            <w:pPr>
              <w:spacing w:line="440" w:lineRule="exact"/>
              <w:rPr>
                <w:sz w:val="22"/>
                <w:szCs w:val="22"/>
                <w:highlight w:val="none"/>
              </w:rPr>
            </w:pPr>
            <w:r>
              <w:rPr>
                <w:rFonts w:hint="eastAsia"/>
                <w:sz w:val="22"/>
                <w:szCs w:val="22"/>
                <w:highlight w:val="none"/>
              </w:rPr>
              <w:t>在投标截止时间之前，投标人需提供一个</w:t>
            </w:r>
            <w:r>
              <w:rPr>
                <w:sz w:val="22"/>
                <w:szCs w:val="22"/>
                <w:highlight w:val="none"/>
              </w:rPr>
              <w:t>40W</w:t>
            </w:r>
            <w:r>
              <w:rPr>
                <w:rFonts w:hint="eastAsia"/>
                <w:sz w:val="22"/>
                <w:szCs w:val="22"/>
                <w:highlight w:val="none"/>
              </w:rPr>
              <w:t>隧道灯样品随投标文件一并送至开标指定地点。</w:t>
            </w:r>
          </w:p>
          <w:p>
            <w:pPr>
              <w:spacing w:line="440" w:lineRule="exact"/>
              <w:rPr>
                <w:sz w:val="22"/>
                <w:szCs w:val="22"/>
                <w:highlight w:val="none"/>
              </w:rPr>
            </w:pPr>
            <w:r>
              <w:rPr>
                <w:rFonts w:hint="eastAsia"/>
                <w:sz w:val="22"/>
                <w:szCs w:val="22"/>
                <w:highlight w:val="none"/>
              </w:rPr>
              <w:t>评委根据样品的外观、结构、清洁性能、实用性、功能、材质</w:t>
            </w:r>
            <w:r>
              <w:rPr>
                <w:rFonts w:hint="eastAsia"/>
                <w:sz w:val="22"/>
                <w:szCs w:val="22"/>
                <w:highlight w:val="none"/>
                <w:lang w:eastAsia="zh-CN"/>
              </w:rPr>
              <w:t>、</w:t>
            </w:r>
            <w:r>
              <w:rPr>
                <w:rFonts w:hint="eastAsia"/>
                <w:sz w:val="22"/>
                <w:szCs w:val="22"/>
                <w:highlight w:val="none"/>
              </w:rPr>
              <w:t>灯具采用模块化设计进行评分。差：得0分；一般：得1-3分；好：得</w:t>
            </w:r>
            <w:r>
              <w:rPr>
                <w:sz w:val="22"/>
                <w:szCs w:val="22"/>
                <w:highlight w:val="none"/>
              </w:rPr>
              <w:t>4-5</w:t>
            </w:r>
            <w:r>
              <w:rPr>
                <w:rFonts w:hint="eastAsia"/>
                <w:sz w:val="22"/>
                <w:szCs w:val="22"/>
                <w:highlight w:val="none"/>
              </w:rPr>
              <w:t>分。（未提供规定的样品或提供不全的或经评标委员会评审投标样品不符合招标文件要求的，本项不得分。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8" w:hRule="atLeast"/>
          <w:jc w:val="center"/>
        </w:trPr>
        <w:tc>
          <w:tcPr>
            <w:tcW w:w="712" w:type="dxa"/>
            <w:vMerge w:val="continue"/>
            <w:tcBorders>
              <w:right w:val="single" w:color="auto" w:sz="4" w:space="0"/>
            </w:tcBorders>
            <w:vAlign w:val="center"/>
          </w:tcPr>
          <w:p>
            <w:pPr>
              <w:jc w:val="center"/>
              <w:rPr>
                <w:sz w:val="22"/>
                <w:szCs w:val="22"/>
                <w:highlight w:val="none"/>
              </w:rPr>
            </w:pPr>
          </w:p>
        </w:tc>
        <w:tc>
          <w:tcPr>
            <w:tcW w:w="993" w:type="dxa"/>
            <w:vMerge w:val="continue"/>
            <w:tcBorders>
              <w:right w:val="single" w:color="auto" w:sz="4" w:space="0"/>
            </w:tcBorders>
            <w:vAlign w:val="center"/>
          </w:tcPr>
          <w:p>
            <w:pPr>
              <w:jc w:val="center"/>
              <w:rPr>
                <w:sz w:val="22"/>
                <w:szCs w:val="22"/>
                <w:highlight w:val="none"/>
              </w:rPr>
            </w:pPr>
          </w:p>
        </w:tc>
        <w:tc>
          <w:tcPr>
            <w:tcW w:w="1417" w:type="dxa"/>
            <w:tcBorders>
              <w:top w:val="single" w:color="auto" w:sz="4" w:space="0"/>
              <w:left w:val="single" w:color="auto" w:sz="4" w:space="0"/>
              <w:right w:val="single" w:color="auto" w:sz="4" w:space="0"/>
            </w:tcBorders>
            <w:vAlign w:val="center"/>
          </w:tcPr>
          <w:p>
            <w:pPr>
              <w:spacing w:line="440" w:lineRule="exact"/>
              <w:jc w:val="center"/>
              <w:rPr>
                <w:rFonts w:ascii="宋体" w:hAnsi="宋体"/>
                <w:bCs/>
                <w:color w:val="000000"/>
                <w:sz w:val="22"/>
                <w:szCs w:val="22"/>
                <w:highlight w:val="none"/>
              </w:rPr>
            </w:pPr>
            <w:r>
              <w:rPr>
                <w:rFonts w:hint="eastAsia" w:ascii="宋体" w:hAnsi="宋体"/>
                <w:bCs/>
                <w:color w:val="000000"/>
                <w:sz w:val="22"/>
                <w:szCs w:val="22"/>
                <w:highlight w:val="none"/>
              </w:rPr>
              <w:t>研发实力</w:t>
            </w:r>
          </w:p>
          <w:p>
            <w:pPr>
              <w:spacing w:line="440" w:lineRule="exact"/>
              <w:jc w:val="center"/>
              <w:rPr>
                <w:sz w:val="22"/>
                <w:szCs w:val="22"/>
                <w:highlight w:val="none"/>
              </w:rPr>
            </w:pPr>
            <w:r>
              <w:rPr>
                <w:rFonts w:hint="eastAsia"/>
                <w:sz w:val="22"/>
                <w:szCs w:val="22"/>
                <w:highlight w:val="none"/>
              </w:rPr>
              <w:t>（</w:t>
            </w:r>
            <w:r>
              <w:rPr>
                <w:sz w:val="22"/>
                <w:szCs w:val="22"/>
                <w:highlight w:val="none"/>
              </w:rPr>
              <w:t>5</w:t>
            </w:r>
            <w:r>
              <w:rPr>
                <w:rFonts w:hint="eastAsia"/>
                <w:sz w:val="22"/>
                <w:szCs w:val="22"/>
                <w:highlight w:val="none"/>
              </w:rPr>
              <w:t>分）</w:t>
            </w:r>
          </w:p>
        </w:tc>
        <w:tc>
          <w:tcPr>
            <w:tcW w:w="6524" w:type="dxa"/>
            <w:tcBorders>
              <w:top w:val="single" w:color="auto" w:sz="4" w:space="0"/>
              <w:left w:val="single" w:color="auto" w:sz="4" w:space="0"/>
            </w:tcBorders>
            <w:vAlign w:val="center"/>
          </w:tcPr>
          <w:p>
            <w:pPr>
              <w:spacing w:line="440" w:lineRule="exact"/>
              <w:rPr>
                <w:rFonts w:hint="eastAsia"/>
                <w:sz w:val="22"/>
                <w:szCs w:val="22"/>
                <w:highlight w:val="none"/>
              </w:rPr>
            </w:pPr>
            <w:r>
              <w:rPr>
                <w:rFonts w:hint="eastAsia"/>
                <w:sz w:val="22"/>
                <w:szCs w:val="22"/>
                <w:highlight w:val="none"/>
              </w:rPr>
              <w:t>1、LED灯具生产企业获得LED照明相关的发明专利每项得0.5分，本项最高2分。（专利需为中国国家知识产权局颁发的，实用新型及外观专利不得分）</w:t>
            </w:r>
          </w:p>
          <w:p>
            <w:pPr>
              <w:spacing w:line="440" w:lineRule="exact"/>
              <w:rPr>
                <w:rFonts w:hint="eastAsia"/>
                <w:sz w:val="22"/>
                <w:szCs w:val="22"/>
                <w:highlight w:val="none"/>
              </w:rPr>
            </w:pPr>
            <w:r>
              <w:rPr>
                <w:rFonts w:hint="eastAsia"/>
                <w:sz w:val="22"/>
                <w:szCs w:val="22"/>
                <w:highlight w:val="none"/>
              </w:rPr>
              <w:t>2、LED隧道具有中国质量认证中心发放的CQC认证证书得1分。</w:t>
            </w:r>
          </w:p>
          <w:p>
            <w:pPr>
              <w:spacing w:line="440" w:lineRule="exact"/>
              <w:rPr>
                <w:rFonts w:hint="eastAsia"/>
                <w:sz w:val="22"/>
                <w:szCs w:val="22"/>
                <w:highlight w:val="none"/>
              </w:rPr>
            </w:pPr>
            <w:r>
              <w:rPr>
                <w:rFonts w:hint="eastAsia"/>
                <w:sz w:val="22"/>
                <w:szCs w:val="22"/>
                <w:highlight w:val="none"/>
              </w:rPr>
              <w:t>3、LED灯具生产企业通过中国节能产品认证的得1分</w:t>
            </w:r>
          </w:p>
          <w:p>
            <w:pPr>
              <w:spacing w:line="440" w:lineRule="exact"/>
              <w:rPr>
                <w:rFonts w:hint="eastAsia"/>
                <w:sz w:val="22"/>
                <w:szCs w:val="22"/>
                <w:highlight w:val="none"/>
              </w:rPr>
            </w:pPr>
            <w:r>
              <w:rPr>
                <w:rFonts w:hint="eastAsia"/>
                <w:sz w:val="22"/>
                <w:szCs w:val="22"/>
                <w:highlight w:val="none"/>
              </w:rPr>
              <w:t>4、LED灯具生产企业具有国家CNAS认证实验室的得1分</w:t>
            </w:r>
          </w:p>
          <w:p>
            <w:pPr>
              <w:spacing w:line="440" w:lineRule="exact"/>
              <w:rPr>
                <w:sz w:val="22"/>
                <w:szCs w:val="22"/>
                <w:highlight w:val="none"/>
              </w:rPr>
            </w:pPr>
            <w:r>
              <w:rPr>
                <w:rFonts w:hint="eastAsia"/>
                <w:sz w:val="22"/>
                <w:szCs w:val="22"/>
                <w:highlight w:val="none"/>
              </w:rPr>
              <w:t>（以上提供证书复印件，原件备查）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jc w:val="center"/>
        </w:trPr>
        <w:tc>
          <w:tcPr>
            <w:tcW w:w="712" w:type="dxa"/>
            <w:vMerge w:val="continue"/>
            <w:tcBorders>
              <w:right w:val="single" w:color="auto" w:sz="4" w:space="0"/>
            </w:tcBorders>
          </w:tcPr>
          <w:p>
            <w:pPr>
              <w:rPr>
                <w:sz w:val="22"/>
                <w:szCs w:val="22"/>
                <w:highlight w:val="none"/>
              </w:rPr>
            </w:pPr>
          </w:p>
        </w:tc>
        <w:tc>
          <w:tcPr>
            <w:tcW w:w="993" w:type="dxa"/>
            <w:vMerge w:val="continue"/>
            <w:tcBorders>
              <w:right w:val="single" w:color="auto" w:sz="4" w:space="0"/>
            </w:tcBorders>
          </w:tcPr>
          <w:p>
            <w:pPr>
              <w:rPr>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rFonts w:hint="eastAsia"/>
                <w:sz w:val="22"/>
                <w:szCs w:val="22"/>
                <w:highlight w:val="none"/>
              </w:rPr>
            </w:pPr>
            <w:r>
              <w:rPr>
                <w:rFonts w:hint="eastAsia"/>
                <w:sz w:val="22"/>
                <w:szCs w:val="22"/>
                <w:highlight w:val="none"/>
              </w:rPr>
              <w:t>财务能力</w:t>
            </w:r>
          </w:p>
          <w:p>
            <w:pPr>
              <w:spacing w:line="440" w:lineRule="exact"/>
              <w:jc w:val="center"/>
              <w:rPr>
                <w:rFonts w:hint="eastAsia"/>
                <w:sz w:val="22"/>
                <w:szCs w:val="22"/>
                <w:highlight w:val="none"/>
              </w:rPr>
            </w:pPr>
            <w:r>
              <w:rPr>
                <w:rFonts w:hint="eastAsia"/>
                <w:sz w:val="22"/>
                <w:szCs w:val="22"/>
                <w:highlight w:val="none"/>
              </w:rPr>
              <w:t>（5分）</w:t>
            </w:r>
          </w:p>
        </w:tc>
        <w:tc>
          <w:tcPr>
            <w:tcW w:w="6524" w:type="dxa"/>
            <w:tcBorders>
              <w:top w:val="single" w:color="auto" w:sz="4" w:space="0"/>
              <w:left w:val="single" w:color="auto" w:sz="4" w:space="0"/>
              <w:bottom w:val="single" w:color="auto" w:sz="4" w:space="0"/>
            </w:tcBorders>
            <w:tcMar>
              <w:left w:w="57" w:type="dxa"/>
              <w:right w:w="57" w:type="dxa"/>
            </w:tcMar>
            <w:vAlign w:val="center"/>
          </w:tcPr>
          <w:p>
            <w:pPr>
              <w:spacing w:line="440" w:lineRule="exact"/>
              <w:rPr>
                <w:rFonts w:hint="eastAsia"/>
                <w:sz w:val="22"/>
                <w:szCs w:val="22"/>
                <w:highlight w:val="none"/>
              </w:rPr>
            </w:pPr>
            <w:r>
              <w:rPr>
                <w:rFonts w:hint="eastAsia"/>
                <w:sz w:val="22"/>
                <w:szCs w:val="22"/>
                <w:highlight w:val="none"/>
              </w:rPr>
              <w:t>近三年（2017-2019年）的年度主营业务收入平均值5000万元（含）以上得5分，</w:t>
            </w:r>
            <w:r>
              <w:rPr>
                <w:rFonts w:hint="eastAsia"/>
                <w:sz w:val="22"/>
                <w:szCs w:val="22"/>
                <w:highlight w:val="none"/>
                <w:lang w:val="en-US" w:eastAsia="zh-CN"/>
              </w:rPr>
              <w:t>4000万元（含）-</w:t>
            </w:r>
            <w:r>
              <w:rPr>
                <w:rFonts w:hint="eastAsia"/>
                <w:sz w:val="22"/>
                <w:szCs w:val="22"/>
                <w:highlight w:val="none"/>
              </w:rPr>
              <w:t>5000万元得</w:t>
            </w:r>
            <w:r>
              <w:rPr>
                <w:rFonts w:hint="eastAsia"/>
                <w:sz w:val="22"/>
                <w:szCs w:val="22"/>
                <w:highlight w:val="none"/>
                <w:lang w:val="en-US" w:eastAsia="zh-CN"/>
              </w:rPr>
              <w:t>3</w:t>
            </w:r>
            <w:r>
              <w:rPr>
                <w:rFonts w:hint="eastAsia"/>
                <w:sz w:val="22"/>
                <w:szCs w:val="22"/>
                <w:highlight w:val="none"/>
              </w:rPr>
              <w:t>分</w:t>
            </w:r>
            <w:r>
              <w:rPr>
                <w:rFonts w:hint="eastAsia"/>
                <w:sz w:val="22"/>
                <w:szCs w:val="22"/>
                <w:highlight w:val="none"/>
                <w:lang w:eastAsia="zh-CN"/>
              </w:rPr>
              <w:t>，</w:t>
            </w:r>
            <w:r>
              <w:rPr>
                <w:rFonts w:hint="eastAsia"/>
                <w:sz w:val="22"/>
                <w:szCs w:val="22"/>
                <w:highlight w:val="none"/>
                <w:lang w:val="en-US" w:eastAsia="zh-CN"/>
              </w:rPr>
              <w:t>3000万元（含）4000万元得2分，3000万元以下得0分</w:t>
            </w:r>
            <w:r>
              <w:rPr>
                <w:rFonts w:hint="eastAsia"/>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jc w:val="center"/>
        </w:trPr>
        <w:tc>
          <w:tcPr>
            <w:tcW w:w="712" w:type="dxa"/>
            <w:vMerge w:val="continue"/>
            <w:tcBorders>
              <w:right w:val="single" w:color="auto" w:sz="4" w:space="0"/>
            </w:tcBorders>
          </w:tcPr>
          <w:p>
            <w:pPr>
              <w:rPr>
                <w:sz w:val="22"/>
                <w:szCs w:val="22"/>
                <w:highlight w:val="none"/>
              </w:rPr>
            </w:pPr>
          </w:p>
        </w:tc>
        <w:tc>
          <w:tcPr>
            <w:tcW w:w="993" w:type="dxa"/>
            <w:vMerge w:val="continue"/>
            <w:tcBorders>
              <w:right w:val="single" w:color="auto" w:sz="4" w:space="0"/>
            </w:tcBorders>
          </w:tcPr>
          <w:p>
            <w:pPr>
              <w:rPr>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rFonts w:hint="eastAsia"/>
                <w:sz w:val="22"/>
                <w:szCs w:val="22"/>
                <w:highlight w:val="none"/>
              </w:rPr>
            </w:pPr>
            <w:r>
              <w:rPr>
                <w:rFonts w:hint="eastAsia"/>
                <w:sz w:val="22"/>
                <w:szCs w:val="22"/>
                <w:highlight w:val="none"/>
                <w:lang w:eastAsia="zh-CN"/>
              </w:rPr>
              <w:t>产品质量保证（</w:t>
            </w:r>
            <w:r>
              <w:rPr>
                <w:rFonts w:hint="eastAsia"/>
                <w:sz w:val="22"/>
                <w:szCs w:val="22"/>
                <w:highlight w:val="none"/>
                <w:lang w:val="en-US" w:eastAsia="zh-CN"/>
              </w:rPr>
              <w:t>5分</w:t>
            </w:r>
            <w:r>
              <w:rPr>
                <w:rFonts w:hint="eastAsia"/>
                <w:sz w:val="22"/>
                <w:szCs w:val="22"/>
                <w:highlight w:val="none"/>
                <w:lang w:eastAsia="zh-CN"/>
              </w:rPr>
              <w:t>）</w:t>
            </w:r>
          </w:p>
        </w:tc>
        <w:tc>
          <w:tcPr>
            <w:tcW w:w="6524" w:type="dxa"/>
            <w:tcBorders>
              <w:top w:val="single" w:color="auto" w:sz="4" w:space="0"/>
              <w:left w:val="single" w:color="auto" w:sz="4" w:space="0"/>
              <w:bottom w:val="single" w:color="auto" w:sz="4" w:space="0"/>
            </w:tcBorders>
            <w:tcMar>
              <w:left w:w="57" w:type="dxa"/>
              <w:right w:w="57" w:type="dxa"/>
            </w:tcMar>
            <w:vAlign w:val="center"/>
          </w:tcPr>
          <w:p>
            <w:pPr>
              <w:spacing w:line="440" w:lineRule="exact"/>
              <w:rPr>
                <w:rFonts w:hint="eastAsia"/>
                <w:sz w:val="22"/>
                <w:szCs w:val="22"/>
                <w:highlight w:val="none"/>
              </w:rPr>
            </w:pPr>
            <w:r>
              <w:rPr>
                <w:rFonts w:hint="eastAsia"/>
                <w:sz w:val="22"/>
                <w:szCs w:val="22"/>
                <w:highlight w:val="none"/>
                <w:lang w:eastAsia="zh-CN"/>
              </w:rPr>
              <w:t>隧道LED灯</w:t>
            </w:r>
            <w:r>
              <w:rPr>
                <w:rFonts w:hint="eastAsia"/>
                <w:sz w:val="22"/>
                <w:szCs w:val="22"/>
                <w:highlight w:val="none"/>
              </w:rPr>
              <w:t>电源</w:t>
            </w:r>
            <w:r>
              <w:rPr>
                <w:rFonts w:hint="eastAsia"/>
                <w:sz w:val="22"/>
                <w:szCs w:val="22"/>
                <w:highlight w:val="none"/>
                <w:lang w:eastAsia="zh-CN"/>
              </w:rPr>
              <w:t>、</w:t>
            </w:r>
            <w:r>
              <w:rPr>
                <w:rFonts w:hint="eastAsia"/>
                <w:sz w:val="22"/>
                <w:szCs w:val="22"/>
                <w:highlight w:val="none"/>
              </w:rPr>
              <w:t>光源的LED芯片采用</w:t>
            </w:r>
            <w:r>
              <w:rPr>
                <w:rFonts w:hint="eastAsia"/>
                <w:sz w:val="22"/>
                <w:szCs w:val="22"/>
                <w:highlight w:val="none"/>
                <w:lang w:eastAsia="zh-CN"/>
              </w:rPr>
              <w:t>国际</w:t>
            </w:r>
            <w:r>
              <w:rPr>
                <w:rFonts w:hint="eastAsia"/>
                <w:sz w:val="22"/>
                <w:szCs w:val="22"/>
                <w:highlight w:val="none"/>
              </w:rPr>
              <w:t>一线</w:t>
            </w:r>
            <w:r>
              <w:rPr>
                <w:rFonts w:hint="eastAsia"/>
                <w:sz w:val="22"/>
                <w:szCs w:val="22"/>
                <w:highlight w:val="none"/>
                <w:lang w:eastAsia="zh-CN"/>
              </w:rPr>
              <w:t>品牌，</w:t>
            </w:r>
            <w:r>
              <w:rPr>
                <w:rFonts w:hint="eastAsia"/>
                <w:sz w:val="22"/>
                <w:szCs w:val="22"/>
                <w:highlight w:val="none"/>
              </w:rPr>
              <w:t>正规厂家生产</w:t>
            </w:r>
            <w:r>
              <w:rPr>
                <w:rFonts w:hint="eastAsia"/>
                <w:sz w:val="22"/>
                <w:szCs w:val="22"/>
                <w:highlight w:val="none"/>
                <w:lang w:eastAsia="zh-CN"/>
              </w:rPr>
              <w:t>，</w:t>
            </w:r>
            <w:r>
              <w:rPr>
                <w:rFonts w:hint="eastAsia"/>
                <w:sz w:val="22"/>
                <w:szCs w:val="22"/>
                <w:highlight w:val="none"/>
              </w:rPr>
              <w:t>并经原厂封装</w:t>
            </w:r>
            <w:r>
              <w:rPr>
                <w:rFonts w:hint="eastAsia"/>
                <w:sz w:val="22"/>
                <w:szCs w:val="22"/>
                <w:highlight w:val="none"/>
                <w:lang w:eastAsia="zh-CN"/>
              </w:rPr>
              <w:t>（如：</w:t>
            </w:r>
            <w:r>
              <w:rPr>
                <w:rFonts w:hint="eastAsia"/>
                <w:sz w:val="22"/>
                <w:szCs w:val="22"/>
                <w:highlight w:val="none"/>
              </w:rPr>
              <w:t>茂硕、英飞特、明</w:t>
            </w:r>
            <w:r>
              <w:rPr>
                <w:rFonts w:hint="eastAsia"/>
                <w:sz w:val="22"/>
                <w:szCs w:val="22"/>
                <w:highlight w:val="none"/>
                <w:lang w:val="en-US" w:eastAsia="zh-CN"/>
              </w:rPr>
              <w:t>纬、</w:t>
            </w:r>
            <w:r>
              <w:rPr>
                <w:rFonts w:hint="eastAsia"/>
                <w:sz w:val="22"/>
                <w:szCs w:val="22"/>
                <w:highlight w:val="none"/>
              </w:rPr>
              <w:t>美国科锐、飞利浦、欧司朗、日亚</w:t>
            </w:r>
            <w:r>
              <w:rPr>
                <w:rFonts w:hint="eastAsia"/>
                <w:sz w:val="22"/>
                <w:szCs w:val="22"/>
                <w:highlight w:val="none"/>
                <w:lang w:eastAsia="zh-CN"/>
              </w:rPr>
              <w:t>），</w:t>
            </w:r>
            <w:r>
              <w:rPr>
                <w:rFonts w:hint="eastAsia"/>
                <w:sz w:val="22"/>
                <w:szCs w:val="22"/>
                <w:highlight w:val="none"/>
              </w:rPr>
              <w:t>需提供相关证明</w:t>
            </w:r>
            <w:r>
              <w:rPr>
                <w:rFonts w:hint="eastAsia"/>
                <w:sz w:val="22"/>
                <w:szCs w:val="22"/>
                <w:highlight w:val="none"/>
                <w:lang w:eastAsia="zh-CN"/>
              </w:rPr>
              <w:t>材料得</w:t>
            </w:r>
            <w:r>
              <w:rPr>
                <w:rFonts w:hint="eastAsia"/>
                <w:sz w:val="22"/>
                <w:szCs w:val="22"/>
                <w:highlight w:val="none"/>
                <w:lang w:val="en-US" w:eastAsia="zh-CN"/>
              </w:rPr>
              <w:t>5分</w:t>
            </w:r>
            <w:r>
              <w:rPr>
                <w:rFonts w:hint="eastAsia"/>
                <w:sz w:val="22"/>
                <w:szCs w:val="22"/>
                <w:highlight w:val="none"/>
                <w:lang w:eastAsia="zh-CN"/>
              </w:rPr>
              <w:t>，不提供不得分。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12" w:type="dxa"/>
            <w:tcBorders>
              <w:top w:val="single" w:color="auto" w:sz="4" w:space="0"/>
              <w:bottom w:val="single" w:color="auto" w:sz="4" w:space="0"/>
              <w:right w:val="single" w:color="auto" w:sz="4" w:space="0"/>
            </w:tcBorders>
            <w:vAlign w:val="center"/>
          </w:tcPr>
          <w:p>
            <w:pPr>
              <w:jc w:val="center"/>
              <w:rPr>
                <w:sz w:val="22"/>
                <w:szCs w:val="22"/>
                <w:highlight w:val="none"/>
              </w:rPr>
            </w:pPr>
            <w:r>
              <w:rPr>
                <w:sz w:val="22"/>
                <w:szCs w:val="22"/>
                <w:highlight w:val="none"/>
              </w:rPr>
              <w:t>2.2.4</w:t>
            </w:r>
            <w:r>
              <w:rPr>
                <w:rFonts w:hint="eastAsia"/>
                <w:sz w:val="22"/>
                <w:szCs w:val="22"/>
                <w:highlight w:val="none"/>
              </w:rPr>
              <w:t>（</w:t>
            </w:r>
            <w:r>
              <w:rPr>
                <w:sz w:val="22"/>
                <w:szCs w:val="22"/>
                <w:highlight w:val="none"/>
              </w:rPr>
              <w:t>3</w:t>
            </w:r>
            <w:r>
              <w:rPr>
                <w:rFonts w:hint="eastAsia"/>
                <w:sz w:val="22"/>
                <w:szCs w:val="22"/>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2"/>
                <w:szCs w:val="22"/>
                <w:highlight w:val="none"/>
              </w:rPr>
            </w:pPr>
            <w:r>
              <w:rPr>
                <w:rFonts w:hint="eastAsia"/>
                <w:sz w:val="22"/>
                <w:szCs w:val="22"/>
                <w:highlight w:val="none"/>
              </w:rPr>
              <w:t>投标报价评分标准</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2"/>
                <w:szCs w:val="22"/>
                <w:highlight w:val="none"/>
              </w:rPr>
            </w:pPr>
            <w:r>
              <w:rPr>
                <w:rFonts w:hint="eastAsia"/>
                <w:sz w:val="22"/>
                <w:szCs w:val="22"/>
                <w:highlight w:val="none"/>
              </w:rPr>
              <w:t>评标报价得分计算</w:t>
            </w:r>
          </w:p>
          <w:p>
            <w:pPr>
              <w:jc w:val="center"/>
              <w:rPr>
                <w:rFonts w:hint="eastAsia" w:eastAsia="宋体"/>
                <w:sz w:val="22"/>
                <w:szCs w:val="22"/>
                <w:highlight w:val="none"/>
                <w:lang w:eastAsia="zh-CN"/>
              </w:rPr>
            </w:pPr>
            <w:r>
              <w:rPr>
                <w:rFonts w:hint="eastAsia"/>
                <w:sz w:val="22"/>
                <w:szCs w:val="22"/>
                <w:highlight w:val="none"/>
                <w:lang w:eastAsia="zh-CN"/>
              </w:rPr>
              <w:t>（</w:t>
            </w:r>
            <w:r>
              <w:rPr>
                <w:rFonts w:hint="eastAsia"/>
                <w:sz w:val="22"/>
                <w:szCs w:val="22"/>
                <w:highlight w:val="none"/>
                <w:lang w:val="en-US" w:eastAsia="zh-CN"/>
              </w:rPr>
              <w:t>70分</w:t>
            </w:r>
            <w:r>
              <w:rPr>
                <w:rFonts w:hint="eastAsia"/>
                <w:sz w:val="22"/>
                <w:szCs w:val="22"/>
                <w:highlight w:val="none"/>
                <w:lang w:eastAsia="zh-CN"/>
              </w:rPr>
              <w:t>）</w:t>
            </w:r>
          </w:p>
        </w:tc>
        <w:tc>
          <w:tcPr>
            <w:tcW w:w="6524" w:type="dxa"/>
            <w:tcBorders>
              <w:top w:val="single" w:color="auto" w:sz="4" w:space="0"/>
              <w:left w:val="single" w:color="auto" w:sz="4" w:space="0"/>
              <w:bottom w:val="single" w:color="auto" w:sz="4" w:space="0"/>
            </w:tcBorders>
            <w:vAlign w:val="center"/>
          </w:tcPr>
          <w:p>
            <w:pPr>
              <w:numPr>
                <w:ilvl w:val="255"/>
                <w:numId w:val="0"/>
              </w:numPr>
              <w:spacing w:line="360" w:lineRule="auto"/>
              <w:jc w:val="left"/>
              <w:rPr>
                <w:sz w:val="22"/>
                <w:szCs w:val="22"/>
                <w:highlight w:val="none"/>
              </w:rPr>
            </w:pPr>
            <w:r>
              <w:rPr>
                <w:rFonts w:hint="eastAsia"/>
                <w:sz w:val="22"/>
                <w:szCs w:val="22"/>
                <w:highlight w:val="none"/>
              </w:rPr>
              <w:t>当投标人评标价等于评标基准价</w:t>
            </w:r>
            <w:r>
              <w:rPr>
                <w:sz w:val="22"/>
                <w:szCs w:val="22"/>
                <w:highlight w:val="none"/>
              </w:rPr>
              <w:t>D</w:t>
            </w:r>
            <w:r>
              <w:rPr>
                <w:rFonts w:hint="eastAsia"/>
                <w:sz w:val="22"/>
                <w:szCs w:val="22"/>
                <w:highlight w:val="none"/>
              </w:rPr>
              <w:t>时得满分</w:t>
            </w:r>
            <w:r>
              <w:rPr>
                <w:sz w:val="22"/>
                <w:szCs w:val="22"/>
                <w:highlight w:val="none"/>
              </w:rPr>
              <w:t>(</w:t>
            </w:r>
            <w:r>
              <w:rPr>
                <w:rFonts w:hint="eastAsia"/>
                <w:sz w:val="22"/>
                <w:szCs w:val="22"/>
                <w:highlight w:val="none"/>
                <w:lang w:val="en-US" w:eastAsia="zh-CN"/>
              </w:rPr>
              <w:t>70</w:t>
            </w:r>
            <w:r>
              <w:rPr>
                <w:rFonts w:hint="eastAsia"/>
                <w:sz w:val="22"/>
                <w:szCs w:val="22"/>
                <w:highlight w:val="none"/>
              </w:rPr>
              <w:t>分</w:t>
            </w:r>
            <w:r>
              <w:rPr>
                <w:sz w:val="22"/>
                <w:szCs w:val="22"/>
                <w:highlight w:val="none"/>
              </w:rPr>
              <w:t>)</w:t>
            </w:r>
            <w:r>
              <w:rPr>
                <w:rFonts w:hint="eastAsia"/>
                <w:sz w:val="22"/>
                <w:szCs w:val="22"/>
                <w:highlight w:val="none"/>
              </w:rPr>
              <w:t>，每高于</w:t>
            </w:r>
            <w:r>
              <w:rPr>
                <w:sz w:val="22"/>
                <w:szCs w:val="22"/>
                <w:highlight w:val="none"/>
              </w:rPr>
              <w:t>D</w:t>
            </w:r>
            <w:r>
              <w:rPr>
                <w:rFonts w:hint="eastAsia"/>
                <w:sz w:val="22"/>
                <w:szCs w:val="22"/>
                <w:highlight w:val="none"/>
              </w:rPr>
              <w:t>一个百分点扣2分，每低于</w:t>
            </w:r>
            <w:r>
              <w:rPr>
                <w:sz w:val="22"/>
                <w:szCs w:val="22"/>
                <w:highlight w:val="none"/>
              </w:rPr>
              <w:t>D</w:t>
            </w:r>
            <w:r>
              <w:rPr>
                <w:rFonts w:hint="eastAsia"/>
                <w:sz w:val="22"/>
                <w:szCs w:val="22"/>
                <w:highlight w:val="none"/>
              </w:rPr>
              <w:t>一个百分点扣1分，中间值按比例内插。</w:t>
            </w:r>
          </w:p>
          <w:p>
            <w:pPr>
              <w:numPr>
                <w:ilvl w:val="255"/>
                <w:numId w:val="0"/>
              </w:numPr>
              <w:spacing w:line="360" w:lineRule="auto"/>
              <w:jc w:val="left"/>
              <w:rPr>
                <w:sz w:val="22"/>
                <w:szCs w:val="22"/>
                <w:highlight w:val="none"/>
              </w:rPr>
            </w:pPr>
            <w:r>
              <w:rPr>
                <w:rFonts w:hint="eastAsia"/>
                <w:sz w:val="22"/>
                <w:szCs w:val="22"/>
                <w:highlight w:val="none"/>
              </w:rPr>
              <w:t>用公式表示如下：</w:t>
            </w:r>
          </w:p>
          <w:p>
            <w:pPr>
              <w:spacing w:line="360" w:lineRule="auto"/>
              <w:jc w:val="left"/>
              <w:rPr>
                <w:rFonts w:hint="eastAsia" w:cs="Times New Roman"/>
                <w:sz w:val="22"/>
                <w:szCs w:val="22"/>
                <w:highlight w:val="none"/>
              </w:rPr>
            </w:pPr>
            <w:r>
              <w:rPr>
                <w:rFonts w:hint="eastAsia" w:cs="Times New Roman"/>
                <w:sz w:val="22"/>
                <w:szCs w:val="22"/>
                <w:highlight w:val="none"/>
              </w:rPr>
              <w:pict>
                <v:shape id="_x0000_s2050" o:spid="_x0000_s2050" o:spt="75" type="#_x0000_t75" style="position:absolute;left:0pt;margin-left:37.45pt;margin-top:9.15pt;height:29.55pt;width:140.95pt;mso-wrap-distance-bottom:0pt;mso-wrap-distance-top:0pt;z-index:251658240;mso-width-relative:page;mso-height-relative:page;" o:ole="t" filled="f" o:preferrelative="t" stroked="f" coordsize="21600,21600">
                  <v:path/>
                  <v:fill on="f" focussize="0,0"/>
                  <v:stroke on="f" joinstyle="miter"/>
                  <v:imagedata r:id="rId8" o:title=""/>
                  <o:lock v:ext="edit" aspectratio="t"/>
                  <w10:wrap type="topAndBottom"/>
                </v:shape>
                <o:OLEObject Type="Embed" ProgID="Equation.3" ShapeID="_x0000_s2050" DrawAspect="Content" ObjectID="_1468075725" r:id="rId7">
                  <o:LockedField>false</o:LockedField>
                </o:OLEObject>
              </w:pict>
            </w:r>
            <w:r>
              <w:rPr>
                <w:rFonts w:hint="eastAsia" w:cs="Times New Roman"/>
                <w:sz w:val="22"/>
                <w:szCs w:val="22"/>
                <w:highlight w:val="none"/>
              </w:rPr>
              <w:t>式中：F1=评标价得分；</w:t>
            </w:r>
          </w:p>
          <w:p>
            <w:pPr>
              <w:numPr>
                <w:ilvl w:val="255"/>
                <w:numId w:val="0"/>
              </w:numPr>
              <w:spacing w:line="360" w:lineRule="auto"/>
              <w:jc w:val="left"/>
              <w:rPr>
                <w:sz w:val="22"/>
                <w:szCs w:val="22"/>
                <w:highlight w:val="none"/>
              </w:rPr>
            </w:pPr>
            <w:r>
              <w:rPr>
                <w:sz w:val="22"/>
                <w:szCs w:val="22"/>
                <w:highlight w:val="none"/>
              </w:rPr>
              <w:t>F=</w:t>
            </w:r>
            <w:r>
              <w:rPr>
                <w:rFonts w:hint="eastAsia"/>
                <w:sz w:val="22"/>
                <w:szCs w:val="22"/>
                <w:highlight w:val="none"/>
                <w:lang w:val="en-US" w:eastAsia="zh-CN"/>
              </w:rPr>
              <w:t>70</w:t>
            </w:r>
            <w:r>
              <w:rPr>
                <w:rFonts w:hint="eastAsia"/>
                <w:sz w:val="22"/>
                <w:szCs w:val="22"/>
                <w:highlight w:val="none"/>
              </w:rPr>
              <w:t>；</w:t>
            </w:r>
          </w:p>
          <w:p>
            <w:pPr>
              <w:numPr>
                <w:ilvl w:val="255"/>
                <w:numId w:val="0"/>
              </w:numPr>
              <w:spacing w:line="360" w:lineRule="auto"/>
              <w:jc w:val="left"/>
              <w:rPr>
                <w:sz w:val="22"/>
                <w:szCs w:val="22"/>
                <w:highlight w:val="none"/>
              </w:rPr>
            </w:pPr>
            <w:r>
              <w:rPr>
                <w:sz w:val="22"/>
                <w:szCs w:val="22"/>
                <w:highlight w:val="none"/>
              </w:rPr>
              <w:t>D1=</w:t>
            </w:r>
            <w:r>
              <w:rPr>
                <w:rFonts w:hint="eastAsia"/>
                <w:sz w:val="22"/>
                <w:szCs w:val="22"/>
                <w:highlight w:val="none"/>
              </w:rPr>
              <w:t>投标人评标价；</w:t>
            </w:r>
          </w:p>
          <w:p>
            <w:pPr>
              <w:numPr>
                <w:ilvl w:val="255"/>
                <w:numId w:val="0"/>
              </w:numPr>
              <w:spacing w:line="360" w:lineRule="auto"/>
              <w:jc w:val="left"/>
              <w:rPr>
                <w:sz w:val="22"/>
                <w:szCs w:val="22"/>
                <w:highlight w:val="none"/>
              </w:rPr>
            </w:pPr>
            <w:r>
              <w:rPr>
                <w:sz w:val="22"/>
                <w:szCs w:val="22"/>
                <w:highlight w:val="none"/>
              </w:rPr>
              <w:t>D=</w:t>
            </w:r>
            <w:r>
              <w:rPr>
                <w:rFonts w:hint="eastAsia"/>
                <w:sz w:val="22"/>
                <w:szCs w:val="22"/>
                <w:highlight w:val="none"/>
              </w:rPr>
              <w:t>评标基准价。</w:t>
            </w:r>
          </w:p>
          <w:p>
            <w:pPr>
              <w:spacing w:line="360" w:lineRule="auto"/>
              <w:jc w:val="left"/>
              <w:rPr>
                <w:rFonts w:hint="eastAsia"/>
                <w:sz w:val="22"/>
                <w:szCs w:val="22"/>
                <w:highlight w:val="none"/>
              </w:rPr>
            </w:pPr>
            <w:r>
              <w:rPr>
                <w:rFonts w:hint="eastAsia"/>
                <w:sz w:val="22"/>
                <w:szCs w:val="22"/>
                <w:highlight w:val="none"/>
              </w:rPr>
              <w:t>若D1</w:t>
            </w:r>
            <w:r>
              <w:rPr>
                <w:rFonts w:hint="eastAsia"/>
                <w:sz w:val="22"/>
                <w:szCs w:val="22"/>
                <w:highlight w:val="none"/>
                <w:lang w:val="en-US" w:eastAsia="zh-CN"/>
              </w:rPr>
              <w:t>≥</w:t>
            </w:r>
            <w:r>
              <w:rPr>
                <w:rFonts w:hint="eastAsia"/>
                <w:sz w:val="22"/>
                <w:szCs w:val="22"/>
                <w:highlight w:val="none"/>
              </w:rPr>
              <w:t>D，则E=2；若D1</w:t>
            </w:r>
            <w:r>
              <w:rPr>
                <w:rFonts w:hint="eastAsia"/>
                <w:sz w:val="22"/>
                <w:szCs w:val="22"/>
                <w:highlight w:val="none"/>
                <w:lang w:val="en-US" w:eastAsia="zh-CN"/>
              </w:rPr>
              <w:t>＜</w:t>
            </w:r>
            <w:r>
              <w:rPr>
                <w:rFonts w:hint="eastAsia"/>
                <w:sz w:val="22"/>
                <w:szCs w:val="22"/>
                <w:highlight w:val="none"/>
              </w:rPr>
              <w:t>D，则E=1。</w:t>
            </w:r>
          </w:p>
          <w:p>
            <w:pPr>
              <w:spacing w:line="360" w:lineRule="auto"/>
              <w:jc w:val="left"/>
              <w:rPr>
                <w:sz w:val="22"/>
                <w:szCs w:val="22"/>
                <w:highlight w:val="none"/>
              </w:rPr>
            </w:pPr>
            <w:r>
              <w:rPr>
                <w:rFonts w:hint="eastAsia"/>
                <w:sz w:val="22"/>
                <w:szCs w:val="22"/>
                <w:highlight w:val="none"/>
              </w:rPr>
              <w:t>评标价得分最低为0分。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712" w:type="dxa"/>
            <w:tcBorders>
              <w:top w:val="single" w:color="auto" w:sz="4" w:space="0"/>
              <w:bottom w:val="single" w:color="auto" w:sz="4" w:space="0"/>
              <w:right w:val="single" w:color="auto" w:sz="4" w:space="0"/>
            </w:tcBorders>
          </w:tcPr>
          <w:p>
            <w:pPr>
              <w:jc w:val="center"/>
              <w:rPr>
                <w:sz w:val="22"/>
                <w:szCs w:val="22"/>
                <w:highlight w:val="none"/>
              </w:rPr>
            </w:pPr>
            <w:r>
              <w:rPr>
                <w:sz w:val="22"/>
                <w:szCs w:val="22"/>
                <w:highlight w:val="none"/>
              </w:rPr>
              <w:t>2.2.4</w:t>
            </w:r>
            <w:r>
              <w:rPr>
                <w:rFonts w:hint="eastAsia"/>
                <w:sz w:val="22"/>
                <w:szCs w:val="22"/>
                <w:highlight w:val="none"/>
              </w:rPr>
              <w:t>（</w:t>
            </w:r>
            <w:r>
              <w:rPr>
                <w:sz w:val="22"/>
                <w:szCs w:val="22"/>
                <w:highlight w:val="none"/>
              </w:rPr>
              <w:t>4</w:t>
            </w:r>
            <w:r>
              <w:rPr>
                <w:rFonts w:hint="eastAsia"/>
                <w:sz w:val="22"/>
                <w:szCs w:val="22"/>
                <w:highlight w:val="none"/>
              </w:rPr>
              <w:t>）</w:t>
            </w:r>
          </w:p>
        </w:tc>
        <w:tc>
          <w:tcPr>
            <w:tcW w:w="993" w:type="dxa"/>
            <w:tcBorders>
              <w:top w:val="single" w:color="auto" w:sz="4" w:space="0"/>
              <w:left w:val="single" w:color="auto" w:sz="4" w:space="0"/>
              <w:bottom w:val="single" w:color="auto" w:sz="4" w:space="0"/>
              <w:right w:val="single" w:color="auto" w:sz="4" w:space="0"/>
            </w:tcBorders>
          </w:tcPr>
          <w:p>
            <w:pPr>
              <w:jc w:val="center"/>
              <w:rPr>
                <w:sz w:val="22"/>
                <w:szCs w:val="22"/>
                <w:highlight w:val="none"/>
              </w:rPr>
            </w:pPr>
            <w:r>
              <w:rPr>
                <w:rFonts w:hint="eastAsia"/>
                <w:sz w:val="22"/>
                <w:szCs w:val="22"/>
                <w:highlight w:val="none"/>
              </w:rPr>
              <w:t>其他因素评分标准</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 w:val="22"/>
                <w:szCs w:val="22"/>
                <w:highlight w:val="none"/>
              </w:rPr>
            </w:pPr>
            <w:r>
              <w:rPr>
                <w:sz w:val="22"/>
                <w:szCs w:val="22"/>
                <w:highlight w:val="none"/>
              </w:rPr>
              <w:t>/</w:t>
            </w:r>
          </w:p>
        </w:tc>
        <w:tc>
          <w:tcPr>
            <w:tcW w:w="6524" w:type="dxa"/>
            <w:tcBorders>
              <w:top w:val="single" w:color="auto" w:sz="4" w:space="0"/>
              <w:left w:val="single" w:color="auto" w:sz="4" w:space="0"/>
              <w:bottom w:val="single" w:color="auto" w:sz="4" w:space="0"/>
            </w:tcBorders>
            <w:vAlign w:val="center"/>
          </w:tcPr>
          <w:p>
            <w:pPr>
              <w:jc w:val="center"/>
              <w:rPr>
                <w:sz w:val="22"/>
                <w:szCs w:val="22"/>
                <w:highlight w:val="none"/>
              </w:rPr>
            </w:pPr>
            <w:r>
              <w:rPr>
                <w:sz w:val="22"/>
                <w:szCs w:val="22"/>
                <w:highlight w:val="none"/>
              </w:rPr>
              <w:t>/</w:t>
            </w:r>
          </w:p>
        </w:tc>
      </w:tr>
    </w:tbl>
    <w:p>
      <w:r>
        <w:br w:type="page"/>
      </w:r>
    </w:p>
    <w:bookmarkEnd w:id="8"/>
    <w:bookmarkEnd w:id="9"/>
    <w:p>
      <w:pPr>
        <w:pStyle w:val="4"/>
        <w:rPr>
          <w:rFonts w:ascii="Times New Roman" w:hAnsi="Times New Roman"/>
        </w:rPr>
      </w:pPr>
      <w:bookmarkStart w:id="10" w:name="_Toc14890"/>
      <w:r>
        <w:rPr>
          <w:rFonts w:ascii="Times New Roman" w:hAnsi="Times New Roman"/>
        </w:rPr>
        <w:t>1. 评标方法</w:t>
      </w:r>
      <w:bookmarkEnd w:id="10"/>
    </w:p>
    <w:p>
      <w:pPr>
        <w:spacing w:line="400" w:lineRule="exact"/>
        <w:ind w:firstLine="420" w:firstLineChars="200"/>
        <w:rPr>
          <w:rFonts w:ascii="Times New Roman" w:hAnsi="Times New Roman"/>
        </w:rPr>
      </w:pPr>
      <w:bookmarkStart w:id="11" w:name="_Toc492288462"/>
      <w:bookmarkStart w:id="12" w:name="_Toc4298"/>
      <w:r>
        <w:rPr>
          <w:rFonts w:ascii="Times New Roman" w:hAnsi="Times New Roman"/>
        </w:rPr>
        <w:t>本次评标采用综合</w:t>
      </w:r>
      <w:r>
        <w:rPr>
          <w:rFonts w:hint="eastAsia" w:ascii="Times New Roman" w:hAnsi="Times New Roman"/>
        </w:rPr>
        <w:t>评估</w:t>
      </w:r>
      <w:r>
        <w:rPr>
          <w:rFonts w:ascii="Times New Roman" w:hAnsi="Times New Roman"/>
        </w:rPr>
        <w:t>法。评标委员会对满足招标文件实质性要求的投标文件，</w:t>
      </w:r>
      <w:r>
        <w:rPr>
          <w:rFonts w:hint="eastAsia" w:ascii="Times New Roman" w:hAnsi="Times New Roman"/>
        </w:rPr>
        <w:t>按照</w:t>
      </w:r>
      <w:r>
        <w:rPr>
          <w:rFonts w:ascii="Times New Roman" w:hAnsi="Times New Roman"/>
        </w:rPr>
        <w:t>本章第2.2款规定的</w:t>
      </w:r>
      <w:r>
        <w:rPr>
          <w:rFonts w:hint="eastAsia" w:ascii="Times New Roman" w:hAnsi="Times New Roman"/>
        </w:rPr>
        <w:t>评分标准进行打分，并按综合评审得分由高到低的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pPr>
        <w:pStyle w:val="4"/>
        <w:rPr>
          <w:rFonts w:ascii="Times New Roman" w:hAnsi="Times New Roman"/>
        </w:rPr>
      </w:pPr>
      <w:bookmarkStart w:id="13" w:name="_Toc32745"/>
      <w:r>
        <w:rPr>
          <w:rFonts w:ascii="Times New Roman" w:hAnsi="Times New Roman"/>
        </w:rPr>
        <w:t>2. 评审标准</w:t>
      </w:r>
      <w:bookmarkEnd w:id="11"/>
      <w:bookmarkEnd w:id="12"/>
      <w:bookmarkEnd w:id="13"/>
    </w:p>
    <w:p>
      <w:pPr>
        <w:pStyle w:val="5"/>
        <w:spacing w:line="240" w:lineRule="auto"/>
        <w:ind w:firstLine="137"/>
        <w:rPr>
          <w:rFonts w:ascii="Times New Roman" w:hAnsi="Times New Roman"/>
        </w:rPr>
      </w:pPr>
      <w:bookmarkStart w:id="14" w:name="_Toc11893"/>
      <w:bookmarkStart w:id="15" w:name="_Toc492288463"/>
      <w:bookmarkStart w:id="16" w:name="_Toc14865"/>
      <w:r>
        <w:rPr>
          <w:rFonts w:ascii="Times New Roman" w:hAnsi="Times New Roman"/>
        </w:rPr>
        <w:t>2.1 初步评审标准</w:t>
      </w:r>
      <w:bookmarkEnd w:id="14"/>
      <w:bookmarkEnd w:id="15"/>
      <w:bookmarkEnd w:id="16"/>
    </w:p>
    <w:p>
      <w:pPr>
        <w:spacing w:line="400" w:lineRule="exact"/>
        <w:ind w:firstLine="420" w:firstLineChars="200"/>
        <w:rPr>
          <w:rFonts w:ascii="Times New Roman" w:hAnsi="Times New Roman"/>
        </w:rPr>
      </w:pPr>
      <w:r>
        <w:rPr>
          <w:rFonts w:ascii="Times New Roman" w:hAnsi="Times New Roman"/>
        </w:rPr>
        <w:t>2.1.1 形式评审标准：见评标办法前附表。</w:t>
      </w:r>
    </w:p>
    <w:p>
      <w:pPr>
        <w:spacing w:line="400" w:lineRule="exact"/>
        <w:ind w:firstLine="420" w:firstLineChars="200"/>
        <w:rPr>
          <w:rFonts w:ascii="Times New Roman" w:hAnsi="Times New Roman"/>
        </w:rPr>
      </w:pPr>
      <w:r>
        <w:rPr>
          <w:rFonts w:ascii="Times New Roman" w:hAnsi="Times New Roman"/>
        </w:rPr>
        <w:t>2.1.2 资格评审标准：见评标办法前附表。</w:t>
      </w:r>
    </w:p>
    <w:p>
      <w:pPr>
        <w:spacing w:line="400" w:lineRule="exact"/>
        <w:ind w:firstLine="420" w:firstLineChars="200"/>
        <w:rPr>
          <w:rFonts w:ascii="Times New Roman" w:hAnsi="Times New Roman"/>
        </w:rPr>
      </w:pPr>
      <w:r>
        <w:rPr>
          <w:rFonts w:ascii="Times New Roman" w:hAnsi="Times New Roman"/>
        </w:rPr>
        <w:t>2.1.3 响应性评审标准：见评标办法前附表。</w:t>
      </w:r>
    </w:p>
    <w:p>
      <w:pPr>
        <w:pStyle w:val="5"/>
        <w:spacing w:line="240" w:lineRule="auto"/>
        <w:ind w:firstLine="137"/>
        <w:rPr>
          <w:rFonts w:ascii="Times New Roman" w:hAnsi="Times New Roman"/>
        </w:rPr>
      </w:pPr>
      <w:bookmarkStart w:id="17" w:name="_Toc19410"/>
      <w:bookmarkStart w:id="18" w:name="_Toc9255"/>
      <w:bookmarkStart w:id="19" w:name="_Toc492288464"/>
      <w:r>
        <w:rPr>
          <w:rFonts w:ascii="Times New Roman" w:hAnsi="Times New Roman"/>
        </w:rPr>
        <w:t xml:space="preserve">2.2 </w:t>
      </w:r>
      <w:r>
        <w:rPr>
          <w:rFonts w:hint="eastAsia" w:ascii="Times New Roman" w:hAnsi="Times New Roman"/>
        </w:rPr>
        <w:t>分值构成与评分标准</w:t>
      </w:r>
      <w:bookmarkEnd w:id="17"/>
      <w:bookmarkEnd w:id="18"/>
      <w:bookmarkEnd w:id="19"/>
    </w:p>
    <w:p>
      <w:pPr>
        <w:spacing w:line="400" w:lineRule="exact"/>
        <w:ind w:firstLine="420" w:firstLineChars="200"/>
        <w:rPr>
          <w:rFonts w:ascii="Times New Roman" w:hAnsi="Times New Roman"/>
        </w:rPr>
      </w:pPr>
      <w:r>
        <w:rPr>
          <w:rFonts w:ascii="Times New Roman" w:hAnsi="Times New Roman"/>
        </w:rPr>
        <w:t>2.</w:t>
      </w:r>
      <w:r>
        <w:rPr>
          <w:rFonts w:hint="eastAsia" w:ascii="Times New Roman" w:hAnsi="Times New Roman"/>
        </w:rPr>
        <w:t>2</w:t>
      </w:r>
      <w:r>
        <w:rPr>
          <w:rFonts w:ascii="Times New Roman" w:hAnsi="Times New Roman"/>
        </w:rPr>
        <w:t xml:space="preserve">.1 </w:t>
      </w:r>
      <w:r>
        <w:rPr>
          <w:rFonts w:hint="eastAsia" w:ascii="Times New Roman" w:hAnsi="Times New Roman"/>
        </w:rPr>
        <w:t>分值构成</w:t>
      </w:r>
    </w:p>
    <w:p>
      <w:pPr>
        <w:spacing w:line="400" w:lineRule="exact"/>
        <w:ind w:firstLine="420" w:firstLineChars="200"/>
        <w:rPr>
          <w:rFonts w:ascii="Times New Roman" w:hAnsi="Times New Roman"/>
        </w:rPr>
      </w:pPr>
      <w:r>
        <w:rPr>
          <w:rFonts w:hint="eastAsia" w:ascii="Times New Roman" w:hAnsi="Times New Roman"/>
        </w:rPr>
        <w:t>⑴ 商务部分：见评标办法前附表；</w:t>
      </w:r>
    </w:p>
    <w:p>
      <w:pPr>
        <w:spacing w:line="400" w:lineRule="exact"/>
        <w:ind w:firstLine="420" w:firstLineChars="200"/>
        <w:rPr>
          <w:rFonts w:ascii="Times New Roman" w:hAnsi="Times New Roman"/>
        </w:rPr>
      </w:pPr>
      <w:r>
        <w:rPr>
          <w:rFonts w:hint="eastAsia" w:ascii="Times New Roman" w:hAnsi="Times New Roman"/>
        </w:rPr>
        <w:t>⑵ 技术部分：见评标办法前附表；</w:t>
      </w:r>
    </w:p>
    <w:p>
      <w:pPr>
        <w:spacing w:line="400" w:lineRule="exact"/>
        <w:ind w:firstLine="420" w:firstLineChars="200"/>
        <w:rPr>
          <w:rFonts w:ascii="Times New Roman" w:hAnsi="Times New Roman"/>
        </w:rPr>
      </w:pPr>
      <w:r>
        <w:rPr>
          <w:rFonts w:hint="eastAsia" w:ascii="Times New Roman" w:hAnsi="Times New Roman"/>
        </w:rPr>
        <w:t>⑶ 投标报价：见评标办法前附表；</w:t>
      </w:r>
    </w:p>
    <w:p>
      <w:pPr>
        <w:spacing w:line="400" w:lineRule="exact"/>
        <w:ind w:firstLine="420" w:firstLineChars="200"/>
        <w:rPr>
          <w:rFonts w:ascii="Times New Roman" w:hAnsi="Times New Roman"/>
        </w:rPr>
      </w:pPr>
      <w:r>
        <w:rPr>
          <w:rFonts w:hint="eastAsia" w:ascii="Times New Roman" w:hAnsi="Times New Roman"/>
        </w:rPr>
        <w:t>⑷ 其他评分因素：见评标办法前附表。</w:t>
      </w:r>
    </w:p>
    <w:p>
      <w:pPr>
        <w:spacing w:line="400" w:lineRule="exact"/>
        <w:ind w:firstLine="420" w:firstLineChars="200"/>
        <w:rPr>
          <w:rFonts w:ascii="Times New Roman" w:hAnsi="Times New Roman"/>
        </w:rPr>
      </w:pPr>
      <w:r>
        <w:rPr>
          <w:rFonts w:ascii="Times New Roman" w:hAnsi="Times New Roman"/>
        </w:rPr>
        <w:t>2.</w:t>
      </w:r>
      <w:r>
        <w:rPr>
          <w:rFonts w:hint="eastAsia" w:ascii="Times New Roman" w:hAnsi="Times New Roman"/>
        </w:rPr>
        <w:t>2</w:t>
      </w:r>
      <w:r>
        <w:rPr>
          <w:rFonts w:ascii="Times New Roman" w:hAnsi="Times New Roman"/>
        </w:rPr>
        <w:t xml:space="preserve">.2 </w:t>
      </w:r>
      <w:r>
        <w:rPr>
          <w:rFonts w:hint="eastAsia" w:ascii="Times New Roman" w:hAnsi="Times New Roman"/>
        </w:rPr>
        <w:t>评标基准价计算</w:t>
      </w:r>
    </w:p>
    <w:p>
      <w:pPr>
        <w:spacing w:line="400" w:lineRule="exact"/>
        <w:ind w:firstLine="420" w:firstLineChars="200"/>
        <w:rPr>
          <w:rFonts w:ascii="Times New Roman" w:hAnsi="Times New Roman"/>
        </w:rPr>
      </w:pPr>
      <w:r>
        <w:rPr>
          <w:rFonts w:hint="eastAsia" w:ascii="Times New Roman" w:hAnsi="Times New Roman"/>
        </w:rPr>
        <w:t>评标基准价计算方法</w:t>
      </w:r>
      <w:r>
        <w:rPr>
          <w:rFonts w:ascii="Times New Roman" w:hAnsi="Times New Roman"/>
        </w:rPr>
        <w:t>：</w:t>
      </w:r>
      <w:r>
        <w:rPr>
          <w:rFonts w:hint="eastAsia" w:ascii="Times New Roman" w:hAnsi="Times New Roman"/>
        </w:rPr>
        <w:t>见评标办法前附表。</w:t>
      </w:r>
    </w:p>
    <w:p>
      <w:pPr>
        <w:spacing w:line="400" w:lineRule="exact"/>
        <w:ind w:firstLine="420" w:firstLineChars="200"/>
        <w:rPr>
          <w:rFonts w:ascii="Times New Roman" w:hAnsi="Times New Roman"/>
        </w:rPr>
      </w:pPr>
      <w:r>
        <w:rPr>
          <w:rFonts w:ascii="Times New Roman" w:hAnsi="Times New Roman"/>
        </w:rPr>
        <w:t>2.</w:t>
      </w:r>
      <w:r>
        <w:rPr>
          <w:rFonts w:hint="eastAsia" w:ascii="Times New Roman" w:hAnsi="Times New Roman"/>
        </w:rPr>
        <w:t>2</w:t>
      </w:r>
      <w:r>
        <w:rPr>
          <w:rFonts w:ascii="Times New Roman" w:hAnsi="Times New Roman"/>
        </w:rPr>
        <w:t xml:space="preserve">.3 </w:t>
      </w:r>
      <w:r>
        <w:rPr>
          <w:rFonts w:hint="eastAsia" w:ascii="Times New Roman" w:hAnsi="Times New Roman"/>
        </w:rPr>
        <w:t>投标报价的偏差率计算</w:t>
      </w:r>
    </w:p>
    <w:p>
      <w:pPr>
        <w:spacing w:line="400" w:lineRule="exact"/>
        <w:ind w:firstLine="420" w:firstLineChars="200"/>
        <w:rPr>
          <w:rFonts w:ascii="Times New Roman" w:hAnsi="Times New Roman"/>
        </w:rPr>
      </w:pPr>
      <w:r>
        <w:rPr>
          <w:rFonts w:hint="eastAsia" w:ascii="Times New Roman" w:hAnsi="Times New Roman"/>
        </w:rPr>
        <w:t>投标报价的偏差率计算公式</w:t>
      </w:r>
      <w:r>
        <w:rPr>
          <w:rFonts w:ascii="Times New Roman" w:hAnsi="Times New Roman"/>
        </w:rPr>
        <w:t>：</w:t>
      </w:r>
      <w:r>
        <w:rPr>
          <w:rFonts w:hint="eastAsia" w:ascii="Times New Roman" w:hAnsi="Times New Roman"/>
        </w:rPr>
        <w:t>见评标办法前附表。</w:t>
      </w:r>
    </w:p>
    <w:p>
      <w:pPr>
        <w:spacing w:line="400" w:lineRule="exact"/>
        <w:ind w:firstLine="420" w:firstLineChars="200"/>
        <w:rPr>
          <w:rFonts w:ascii="Times New Roman" w:hAnsi="Times New Roman"/>
        </w:rPr>
      </w:pPr>
      <w:r>
        <w:rPr>
          <w:rFonts w:ascii="Times New Roman" w:hAnsi="Times New Roman"/>
        </w:rPr>
        <w:t>2.</w:t>
      </w:r>
      <w:r>
        <w:rPr>
          <w:rFonts w:hint="eastAsia" w:ascii="Times New Roman" w:hAnsi="Times New Roman"/>
        </w:rPr>
        <w:t>2</w:t>
      </w:r>
      <w:r>
        <w:rPr>
          <w:rFonts w:ascii="Times New Roman" w:hAnsi="Times New Roman"/>
        </w:rPr>
        <w:t>.</w:t>
      </w:r>
      <w:r>
        <w:rPr>
          <w:rFonts w:hint="eastAsia" w:ascii="Times New Roman" w:hAnsi="Times New Roman"/>
        </w:rPr>
        <w:t>4 评分标准</w:t>
      </w:r>
    </w:p>
    <w:p>
      <w:pPr>
        <w:spacing w:line="400" w:lineRule="exact"/>
        <w:ind w:firstLine="420" w:firstLineChars="200"/>
        <w:rPr>
          <w:rFonts w:ascii="Times New Roman" w:hAnsi="Times New Roman"/>
        </w:rPr>
      </w:pPr>
      <w:r>
        <w:rPr>
          <w:rFonts w:hint="eastAsia" w:ascii="Times New Roman" w:hAnsi="Times New Roman"/>
        </w:rPr>
        <w:t>⑴ 商务部分：见评标办法前附表；</w:t>
      </w:r>
    </w:p>
    <w:p>
      <w:pPr>
        <w:spacing w:line="400" w:lineRule="exact"/>
        <w:ind w:firstLine="420" w:firstLineChars="200"/>
        <w:rPr>
          <w:rFonts w:ascii="Times New Roman" w:hAnsi="Times New Roman"/>
        </w:rPr>
      </w:pPr>
      <w:r>
        <w:rPr>
          <w:rFonts w:hint="eastAsia" w:ascii="Times New Roman" w:hAnsi="Times New Roman"/>
        </w:rPr>
        <w:t>⑵ 技术部分：见评标办法前附表；</w:t>
      </w:r>
    </w:p>
    <w:p>
      <w:pPr>
        <w:spacing w:line="400" w:lineRule="exact"/>
        <w:ind w:firstLine="420" w:firstLineChars="200"/>
        <w:rPr>
          <w:rFonts w:ascii="Times New Roman" w:hAnsi="Times New Roman"/>
        </w:rPr>
      </w:pPr>
      <w:r>
        <w:rPr>
          <w:rFonts w:hint="eastAsia" w:ascii="Times New Roman" w:hAnsi="Times New Roman"/>
        </w:rPr>
        <w:t>⑶ 投标报价：见评标办法前附表；</w:t>
      </w:r>
    </w:p>
    <w:p>
      <w:pPr>
        <w:spacing w:line="400" w:lineRule="exact"/>
        <w:ind w:firstLine="420" w:firstLineChars="200"/>
        <w:rPr>
          <w:rFonts w:ascii="Times New Roman" w:hAnsi="Times New Roman"/>
        </w:rPr>
      </w:pPr>
      <w:r>
        <w:rPr>
          <w:rFonts w:hint="eastAsia" w:ascii="Times New Roman" w:hAnsi="Times New Roman"/>
        </w:rPr>
        <w:t>⑷ 其他评分因素：见评标办法前附表。</w:t>
      </w:r>
    </w:p>
    <w:p>
      <w:pPr>
        <w:spacing w:line="400" w:lineRule="exact"/>
        <w:ind w:firstLine="420" w:firstLineChars="200"/>
        <w:rPr>
          <w:rFonts w:ascii="Times New Roman" w:hAnsi="Times New Roman"/>
        </w:rPr>
      </w:pPr>
    </w:p>
    <w:p>
      <w:pPr>
        <w:pStyle w:val="4"/>
        <w:rPr>
          <w:rFonts w:ascii="Times New Roman" w:hAnsi="Times New Roman"/>
        </w:rPr>
      </w:pPr>
      <w:bookmarkStart w:id="20" w:name="_Toc5824"/>
      <w:bookmarkStart w:id="21" w:name="_Toc492288465"/>
      <w:bookmarkStart w:id="22" w:name="_Toc31999"/>
      <w:r>
        <w:rPr>
          <w:rFonts w:ascii="Times New Roman" w:hAnsi="Times New Roman"/>
        </w:rPr>
        <w:t>3. 评标程序</w:t>
      </w:r>
      <w:bookmarkEnd w:id="20"/>
      <w:bookmarkEnd w:id="21"/>
      <w:bookmarkEnd w:id="22"/>
    </w:p>
    <w:p>
      <w:pPr>
        <w:pStyle w:val="5"/>
        <w:spacing w:line="240" w:lineRule="auto"/>
        <w:ind w:firstLine="137"/>
        <w:rPr>
          <w:rFonts w:ascii="Times New Roman" w:hAnsi="Times New Roman"/>
        </w:rPr>
      </w:pPr>
      <w:bookmarkStart w:id="23" w:name="_Toc31382"/>
      <w:bookmarkStart w:id="24" w:name="_Toc492288466"/>
      <w:bookmarkStart w:id="25" w:name="_Toc19170"/>
      <w:r>
        <w:rPr>
          <w:rFonts w:ascii="Times New Roman" w:hAnsi="Times New Roman"/>
        </w:rPr>
        <w:t>3.1 初步评审</w:t>
      </w:r>
      <w:bookmarkEnd w:id="23"/>
      <w:bookmarkEnd w:id="24"/>
      <w:bookmarkEnd w:id="25"/>
    </w:p>
    <w:p>
      <w:pPr>
        <w:spacing w:line="400" w:lineRule="exact"/>
        <w:ind w:firstLine="420" w:firstLineChars="200"/>
        <w:rPr>
          <w:rFonts w:ascii="Times New Roman" w:hAnsi="Times New Roman"/>
        </w:rPr>
      </w:pPr>
      <w:r>
        <w:rPr>
          <w:rFonts w:ascii="Times New Roman" w:hAnsi="Times New Roman"/>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rFonts w:ascii="Times New Roman" w:hAnsi="Times New Roman"/>
        </w:rPr>
      </w:pPr>
      <w:r>
        <w:rPr>
          <w:rFonts w:ascii="Times New Roman" w:hAnsi="Times New Roman"/>
        </w:rPr>
        <w:t>3.1.2 投标人有以下情形之一的，评标委员会应当否决其投标：</w:t>
      </w:r>
    </w:p>
    <w:p>
      <w:pPr>
        <w:spacing w:line="400" w:lineRule="exact"/>
        <w:ind w:firstLine="420" w:firstLineChars="200"/>
        <w:rPr>
          <w:rFonts w:ascii="Times New Roman" w:hAnsi="Times New Roman"/>
        </w:rPr>
      </w:pPr>
      <w:r>
        <w:rPr>
          <w:rFonts w:ascii="Times New Roman" w:hAnsi="Times New Roman"/>
        </w:rPr>
        <w:t>（1）投标文件没有对招标文件的实质性要求和条件作出响应或者对招标文件的偏差超出招标文件规定的偏差范围或最高项数；</w:t>
      </w:r>
    </w:p>
    <w:p>
      <w:pPr>
        <w:spacing w:line="400" w:lineRule="exact"/>
        <w:ind w:firstLine="420" w:firstLineChars="200"/>
        <w:rPr>
          <w:rFonts w:ascii="Times New Roman" w:hAnsi="Times New Roman"/>
        </w:rPr>
      </w:pPr>
      <w:r>
        <w:rPr>
          <w:rFonts w:ascii="Times New Roman" w:hAnsi="Times New Roman"/>
        </w:rPr>
        <w:t>（2）有串通投标、弄虚作假、行贿等违法行为。</w:t>
      </w:r>
    </w:p>
    <w:p>
      <w:pPr>
        <w:spacing w:line="400" w:lineRule="exact"/>
        <w:ind w:firstLine="420" w:firstLineChars="200"/>
        <w:rPr>
          <w:rFonts w:ascii="Times New Roman" w:hAnsi="Times New Roman"/>
        </w:rPr>
      </w:pPr>
      <w:r>
        <w:rPr>
          <w:rFonts w:ascii="Times New Roman" w:hAnsi="Times New Roman"/>
        </w:rPr>
        <w:t>3.1.3 投标报价有算术错误及其他错误的，评标委员会按以下原则要求投标人对投标报价进行修正，并要求投标人书面澄清确认。投标人拒不澄清确认的，评标委员会应当否决其投标：</w:t>
      </w:r>
    </w:p>
    <w:p>
      <w:pPr>
        <w:spacing w:line="400" w:lineRule="exact"/>
        <w:ind w:firstLine="420" w:firstLineChars="200"/>
        <w:rPr>
          <w:rFonts w:ascii="Times New Roman" w:hAnsi="Times New Roman"/>
        </w:rPr>
      </w:pPr>
      <w:r>
        <w:rPr>
          <w:rFonts w:ascii="Times New Roman" w:hAnsi="Times New Roman"/>
        </w:rPr>
        <w:t>（1）投标文件中的大写金额与小写金额不一致的，以大写金额为准；</w:t>
      </w:r>
    </w:p>
    <w:p>
      <w:pPr>
        <w:spacing w:line="400" w:lineRule="exact"/>
        <w:ind w:firstLine="420" w:firstLineChars="200"/>
        <w:rPr>
          <w:rFonts w:ascii="Times New Roman" w:hAnsi="Times New Roman"/>
        </w:rPr>
      </w:pPr>
      <w:r>
        <w:rPr>
          <w:rFonts w:ascii="Times New Roman" w:hAnsi="Times New Roman"/>
        </w:rPr>
        <w:t>（2）总价金额与单价金额不一致的，以单价金额为准，但单价金额小数点有明显错误的除外；</w:t>
      </w:r>
    </w:p>
    <w:p>
      <w:pPr>
        <w:spacing w:line="400" w:lineRule="exact"/>
        <w:ind w:firstLine="420" w:firstLineChars="200"/>
        <w:rPr>
          <w:rFonts w:ascii="Times New Roman" w:hAnsi="Times New Roman"/>
          <w:caps/>
        </w:rPr>
      </w:pPr>
      <w:r>
        <w:rPr>
          <w:rFonts w:ascii="Times New Roman" w:hAnsi="Times New Roman"/>
        </w:rPr>
        <w:t>（3）投标报价为各分项报价金额之和，投标报价与分项报价的合价不一致的，应以各分项合价累计数为准，修正投标报价；</w:t>
      </w:r>
    </w:p>
    <w:p>
      <w:pPr>
        <w:spacing w:line="400" w:lineRule="exact"/>
        <w:ind w:firstLine="420" w:firstLineChars="200"/>
        <w:rPr>
          <w:rFonts w:ascii="Times New Roman" w:hAnsi="Times New Roman"/>
        </w:rPr>
      </w:pPr>
      <w:r>
        <w:rPr>
          <w:rFonts w:ascii="Times New Roman" w:hAnsi="Times New Roman"/>
        </w:rPr>
        <w:t>（4）</w:t>
      </w:r>
      <w:r>
        <w:rPr>
          <w:rFonts w:hint="eastAsia" w:ascii="Times New Roman" w:hAnsi="Times New Roman"/>
        </w:rPr>
        <w:t>如果</w:t>
      </w:r>
      <w:r>
        <w:rPr>
          <w:rFonts w:ascii="Times New Roman" w:hAnsi="Times New Roman"/>
        </w:rPr>
        <w:t>分项报价中存在缺漏项，则视为缺漏项价格已包含在其他分项报价之中。</w:t>
      </w:r>
    </w:p>
    <w:p>
      <w:pPr>
        <w:pStyle w:val="5"/>
        <w:spacing w:line="240" w:lineRule="auto"/>
        <w:ind w:firstLine="137"/>
        <w:rPr>
          <w:rFonts w:ascii="Times New Roman" w:hAnsi="Times New Roman"/>
        </w:rPr>
      </w:pPr>
      <w:bookmarkStart w:id="26" w:name="_Toc29089"/>
      <w:bookmarkStart w:id="27" w:name="_Toc492288467"/>
      <w:bookmarkStart w:id="28" w:name="_Toc1380"/>
      <w:r>
        <w:rPr>
          <w:rFonts w:ascii="Times New Roman" w:hAnsi="Times New Roman"/>
        </w:rPr>
        <w:t xml:space="preserve">3.2 </w:t>
      </w:r>
      <w:r>
        <w:rPr>
          <w:rFonts w:hint="eastAsia" w:ascii="Times New Roman" w:hAnsi="Times New Roman"/>
        </w:rPr>
        <w:t>详细评审</w:t>
      </w:r>
      <w:bookmarkEnd w:id="26"/>
      <w:bookmarkEnd w:id="27"/>
      <w:bookmarkEnd w:id="28"/>
    </w:p>
    <w:p>
      <w:pPr>
        <w:spacing w:line="400" w:lineRule="exact"/>
        <w:ind w:firstLine="420" w:firstLineChars="200"/>
        <w:rPr>
          <w:rFonts w:ascii="Times New Roman" w:hAnsi="Times New Roman"/>
        </w:rPr>
      </w:pPr>
      <w:r>
        <w:rPr>
          <w:rFonts w:ascii="Times New Roman" w:hAnsi="Times New Roman"/>
        </w:rPr>
        <w:t>3.2.1 评标委员会按本章第2</w:t>
      </w:r>
      <w:bookmarkStart w:id="29" w:name="_Toc5752"/>
      <w:r>
        <w:rPr>
          <w:rFonts w:ascii="Times New Roman" w:hAnsi="Times New Roman"/>
        </w:rPr>
        <w:t>.2款规定的</w:t>
      </w:r>
      <w:r>
        <w:rPr>
          <w:rFonts w:hint="eastAsia" w:ascii="Times New Roman" w:hAnsi="Times New Roman"/>
        </w:rPr>
        <w:t>量化因素和分值进行打分，并计算出综合评分得分</w:t>
      </w:r>
      <w:bookmarkEnd w:id="29"/>
      <w:r>
        <w:rPr>
          <w:rFonts w:ascii="Times New Roman" w:hAnsi="Times New Roman"/>
        </w:rPr>
        <w:t>。</w:t>
      </w:r>
    </w:p>
    <w:p>
      <w:pPr>
        <w:spacing w:line="400" w:lineRule="exact"/>
        <w:ind w:firstLine="420" w:firstLineChars="200"/>
        <w:rPr>
          <w:rFonts w:ascii="Times New Roman" w:hAnsi="Times New Roman"/>
        </w:rPr>
      </w:pPr>
      <w:r>
        <w:rPr>
          <w:rFonts w:hint="eastAsia" w:ascii="Times New Roman" w:hAnsi="Times New Roman"/>
        </w:rPr>
        <w:t>⑴ 按本章第2.2.4(1)目规定的评审因素和分值对商务部分计算出得分A；</w:t>
      </w:r>
    </w:p>
    <w:p>
      <w:pPr>
        <w:spacing w:line="400" w:lineRule="exact"/>
        <w:ind w:firstLine="420" w:firstLineChars="200"/>
        <w:rPr>
          <w:rFonts w:ascii="Times New Roman" w:hAnsi="Times New Roman"/>
        </w:rPr>
      </w:pPr>
      <w:r>
        <w:rPr>
          <w:rFonts w:hint="eastAsia" w:ascii="Times New Roman" w:hAnsi="Times New Roman"/>
        </w:rPr>
        <w:t>⑵ 按本章第2.2.4(2)目规定的评审因素和分值对技术部分计算出得分B；</w:t>
      </w:r>
    </w:p>
    <w:p>
      <w:pPr>
        <w:spacing w:line="400" w:lineRule="exact"/>
        <w:ind w:firstLine="420" w:firstLineChars="200"/>
        <w:rPr>
          <w:rFonts w:ascii="Times New Roman" w:hAnsi="Times New Roman"/>
        </w:rPr>
      </w:pPr>
      <w:r>
        <w:rPr>
          <w:rFonts w:hint="eastAsia" w:ascii="Times New Roman" w:hAnsi="Times New Roman"/>
        </w:rPr>
        <w:t>⑶ 按本章第2.2.4(3)目规定的评审因素和分值对投标报价计算出得分C；</w:t>
      </w:r>
    </w:p>
    <w:p>
      <w:pPr>
        <w:spacing w:line="400" w:lineRule="exact"/>
        <w:ind w:firstLine="420" w:firstLineChars="200"/>
        <w:rPr>
          <w:rFonts w:ascii="Times New Roman" w:hAnsi="Times New Roman"/>
        </w:rPr>
      </w:pPr>
      <w:r>
        <w:rPr>
          <w:rFonts w:hint="eastAsia" w:ascii="Times New Roman" w:hAnsi="Times New Roman"/>
        </w:rPr>
        <w:t>⑷ 按本章第2.2.4(4)目规定的评审因素和分值对其他部分计算出得分D。</w:t>
      </w:r>
    </w:p>
    <w:p>
      <w:pPr>
        <w:spacing w:line="400" w:lineRule="exact"/>
        <w:ind w:left="420" w:leftChars="200"/>
        <w:rPr>
          <w:rFonts w:ascii="Times New Roman" w:hAnsi="Times New Roman"/>
        </w:rPr>
      </w:pPr>
      <w:r>
        <w:rPr>
          <w:rFonts w:ascii="Times New Roman" w:hAnsi="Times New Roman"/>
        </w:rPr>
        <w:t>3.2.2</w:t>
      </w:r>
      <w:r>
        <w:rPr>
          <w:rFonts w:hint="eastAsia" w:ascii="Times New Roman" w:hAnsi="Times New Roman"/>
        </w:rPr>
        <w:t xml:space="preserve"> </w:t>
      </w:r>
      <w:r>
        <w:rPr>
          <w:rFonts w:ascii="Times New Roman" w:hAnsi="Times New Roman"/>
        </w:rPr>
        <w:t>评分分值计算保留小数点后两位，小数点后第三位“四舍五入”。</w:t>
      </w:r>
    </w:p>
    <w:p>
      <w:pPr>
        <w:spacing w:line="400" w:lineRule="exact"/>
        <w:ind w:left="420" w:leftChars="200"/>
        <w:rPr>
          <w:rFonts w:ascii="Times New Roman" w:hAnsi="Times New Roman"/>
          <w:b/>
          <w:bCs/>
        </w:rPr>
      </w:pPr>
      <w:r>
        <w:rPr>
          <w:rFonts w:ascii="Times New Roman" w:hAnsi="Times New Roman"/>
          <w:b/>
          <w:bCs/>
        </w:rPr>
        <w:t>3.2.3</w:t>
      </w:r>
      <w:r>
        <w:rPr>
          <w:rFonts w:hint="eastAsia" w:ascii="Times New Roman" w:hAnsi="Times New Roman"/>
          <w:b/>
          <w:bCs/>
        </w:rPr>
        <w:t xml:space="preserve"> </w:t>
      </w:r>
      <w:r>
        <w:rPr>
          <w:rFonts w:ascii="Times New Roman" w:hAnsi="Times New Roman"/>
          <w:b/>
          <w:bCs/>
        </w:rPr>
        <w:t>投标人得分=A+B+C+D</w:t>
      </w:r>
      <w:r>
        <w:rPr>
          <w:rFonts w:hint="eastAsia" w:ascii="Times New Roman" w:hAnsi="Times New Roman"/>
          <w:b/>
          <w:bCs/>
        </w:rPr>
        <w:t>。</w:t>
      </w:r>
    </w:p>
    <w:p>
      <w:pPr>
        <w:spacing w:line="400" w:lineRule="exact"/>
        <w:ind w:firstLine="424" w:firstLineChars="201"/>
        <w:rPr>
          <w:rFonts w:ascii="Times New Roman" w:hAnsi="Times New Roman"/>
          <w:b/>
          <w:bCs/>
        </w:rPr>
      </w:pPr>
      <w:r>
        <w:rPr>
          <w:rFonts w:ascii="Times New Roman" w:hAnsi="Times New Roman"/>
          <w:b/>
          <w:bCs/>
        </w:rPr>
        <w:t>3.2.4</w:t>
      </w:r>
      <w:r>
        <w:rPr>
          <w:rFonts w:hint="eastAsia" w:ascii="Times New Roman" w:hAnsi="Times New Roman"/>
          <w:b/>
          <w:bCs/>
        </w:rPr>
        <w:t xml:space="preserve"> </w:t>
      </w:r>
      <w:r>
        <w:rPr>
          <w:rFonts w:ascii="Times New Roman" w:hAnsi="Times New Roman"/>
          <w:b/>
          <w:bCs/>
        </w:rPr>
        <w:t>评标委员会发现投标人的报价明显低于其他投标报价，使得其投标报价可能低于其个别成本的，应当要求该投标人作出书面说明并提供相应的证明材料。投标人不能合理说明或者不能</w:t>
      </w:r>
      <w:r>
        <w:rPr>
          <w:rFonts w:hint="eastAsia" w:ascii="Times New Roman" w:hAnsi="Times New Roman"/>
          <w:b/>
          <w:bCs/>
        </w:rPr>
        <w:t>提供</w:t>
      </w:r>
      <w:r>
        <w:rPr>
          <w:rFonts w:ascii="Times New Roman" w:hAnsi="Times New Roman"/>
          <w:b/>
          <w:bCs/>
        </w:rPr>
        <w:t>相应证明材料的，评标委员会应当认定该投标人以低于成本报价竞标，</w:t>
      </w:r>
      <w:r>
        <w:rPr>
          <w:rFonts w:hint="eastAsia" w:ascii="Times New Roman" w:hAnsi="Times New Roman"/>
          <w:b/>
          <w:bCs/>
        </w:rPr>
        <w:t>并</w:t>
      </w:r>
      <w:r>
        <w:rPr>
          <w:rFonts w:ascii="Times New Roman" w:hAnsi="Times New Roman"/>
          <w:b/>
          <w:bCs/>
        </w:rPr>
        <w:t>否决</w:t>
      </w:r>
      <w:r>
        <w:rPr>
          <w:rFonts w:hint="eastAsia" w:ascii="Times New Roman" w:hAnsi="Times New Roman"/>
          <w:b/>
          <w:bCs/>
        </w:rPr>
        <w:t>其</w:t>
      </w:r>
      <w:r>
        <w:rPr>
          <w:rFonts w:ascii="Times New Roman" w:hAnsi="Times New Roman"/>
          <w:b/>
          <w:bCs/>
        </w:rPr>
        <w:t>投标。</w:t>
      </w:r>
    </w:p>
    <w:p>
      <w:pPr>
        <w:pStyle w:val="5"/>
        <w:spacing w:line="240" w:lineRule="auto"/>
        <w:ind w:firstLine="137"/>
        <w:rPr>
          <w:rFonts w:ascii="Times New Roman" w:hAnsi="Times New Roman"/>
        </w:rPr>
      </w:pPr>
      <w:bookmarkStart w:id="30" w:name="_Toc492288468"/>
      <w:bookmarkStart w:id="31" w:name="_Toc8464"/>
      <w:bookmarkStart w:id="32" w:name="_Toc5003"/>
      <w:r>
        <w:rPr>
          <w:rFonts w:ascii="Times New Roman" w:hAnsi="Times New Roman"/>
        </w:rPr>
        <w:t>3.3 投标文件的澄清</w:t>
      </w:r>
      <w:bookmarkEnd w:id="30"/>
      <w:bookmarkEnd w:id="31"/>
      <w:bookmarkEnd w:id="32"/>
    </w:p>
    <w:p>
      <w:pPr>
        <w:spacing w:line="400" w:lineRule="exact"/>
        <w:ind w:firstLine="420" w:firstLineChars="200"/>
        <w:rPr>
          <w:rFonts w:ascii="Times New Roman" w:hAnsi="Times New Roman"/>
        </w:rPr>
      </w:pPr>
      <w:r>
        <w:rPr>
          <w:rFonts w:ascii="Times New Roman" w:hAnsi="Times New Roman"/>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rFonts w:ascii="Times New Roman" w:hAnsi="Times New Roman"/>
        </w:rPr>
      </w:pPr>
      <w:r>
        <w:rPr>
          <w:rFonts w:ascii="Times New Roman" w:hAnsi="Times New Roman"/>
        </w:rPr>
        <w:t>3.3.2 澄清、说明或补正不得超出投标文件的范围且不得改变投标文件的实质性内容，并构成投标文件的组成部分。</w:t>
      </w:r>
    </w:p>
    <w:p>
      <w:pPr>
        <w:spacing w:line="400" w:lineRule="exact"/>
        <w:ind w:firstLine="420" w:firstLineChars="200"/>
        <w:rPr>
          <w:rFonts w:ascii="Times New Roman" w:hAnsi="Times New Roman"/>
        </w:rPr>
      </w:pPr>
      <w:r>
        <w:rPr>
          <w:rFonts w:ascii="Times New Roman" w:hAnsi="Times New Roman"/>
        </w:rPr>
        <w:t>3.3.3 评标委员会对投标人提交的澄清、说明或补正有疑问的，可以要求投标人进一步澄清、说明或补正，直至满足评标委员会的要求。</w:t>
      </w:r>
    </w:p>
    <w:p>
      <w:pPr>
        <w:pStyle w:val="5"/>
        <w:spacing w:line="240" w:lineRule="auto"/>
        <w:ind w:firstLine="137"/>
        <w:rPr>
          <w:rFonts w:ascii="Times New Roman" w:hAnsi="Times New Roman"/>
        </w:rPr>
      </w:pPr>
      <w:bookmarkStart w:id="33" w:name="_Toc1383"/>
      <w:bookmarkStart w:id="34" w:name="_Toc492288469"/>
      <w:bookmarkStart w:id="35" w:name="_Toc3225"/>
      <w:r>
        <w:rPr>
          <w:rFonts w:ascii="Times New Roman" w:hAnsi="Times New Roman"/>
        </w:rPr>
        <w:t>3.4 评标结果</w:t>
      </w:r>
      <w:bookmarkEnd w:id="33"/>
      <w:bookmarkEnd w:id="34"/>
      <w:bookmarkEnd w:id="35"/>
    </w:p>
    <w:p>
      <w:pPr>
        <w:spacing w:line="360" w:lineRule="auto"/>
        <w:ind w:firstLine="420" w:firstLineChars="200"/>
        <w:rPr>
          <w:rFonts w:ascii="Times New Roman" w:hAnsi="Times New Roman"/>
        </w:rPr>
      </w:pPr>
      <w:r>
        <w:rPr>
          <w:rFonts w:ascii="Times New Roman" w:hAnsi="Times New Roman"/>
        </w:rPr>
        <w:t>3.4.1 除第二章“投标人须知”前附表授权直接确定中标人外，评标委员会按照</w:t>
      </w:r>
      <w:r>
        <w:rPr>
          <w:rFonts w:hint="eastAsia" w:ascii="Times New Roman" w:hAnsi="Times New Roman"/>
        </w:rPr>
        <w:t>得分</w:t>
      </w:r>
      <w:r>
        <w:rPr>
          <w:rFonts w:ascii="Times New Roman" w:hAnsi="Times New Roman"/>
        </w:rPr>
        <w:t>由</w:t>
      </w:r>
      <w:r>
        <w:rPr>
          <w:rFonts w:hint="eastAsia" w:ascii="Times New Roman" w:hAnsi="Times New Roman"/>
        </w:rPr>
        <w:t>高</w:t>
      </w:r>
      <w:r>
        <w:rPr>
          <w:rFonts w:ascii="Times New Roman" w:hAnsi="Times New Roman"/>
        </w:rPr>
        <w:t>到</w:t>
      </w:r>
      <w:r>
        <w:rPr>
          <w:rFonts w:hint="eastAsia" w:ascii="Times New Roman" w:hAnsi="Times New Roman"/>
        </w:rPr>
        <w:t>低</w:t>
      </w:r>
      <w:r>
        <w:rPr>
          <w:rFonts w:ascii="Times New Roman" w:hAnsi="Times New Roman"/>
        </w:rPr>
        <w:t>的顺序推荐中标候选人，并标明排序。</w:t>
      </w:r>
    </w:p>
    <w:p>
      <w:pPr>
        <w:spacing w:line="400" w:lineRule="exact"/>
        <w:ind w:firstLine="420" w:firstLineChars="200"/>
        <w:rPr>
          <w:sz w:val="32"/>
          <w:szCs w:val="32"/>
        </w:rPr>
      </w:pPr>
      <w:r>
        <w:rPr>
          <w:rFonts w:ascii="Times New Roman" w:hAnsi="Times New Roman"/>
        </w:rPr>
        <w:t>3.4.2 评标委员会完成评标后，应当向招标人提交书面评标报告和中标候选人名单。</w:t>
      </w:r>
    </w:p>
    <w:p>
      <w:pPr>
        <w:rPr>
          <w:sz w:val="32"/>
          <w:szCs w:val="32"/>
          <w:highlight w:val="none"/>
        </w:rPr>
      </w:pPr>
    </w:p>
    <w:bookmarkEnd w:id="5"/>
    <w:p>
      <w:pPr>
        <w:autoSpaceDE w:val="0"/>
        <w:autoSpaceDN w:val="0"/>
        <w:adjustRightInd w:val="0"/>
        <w:snapToGrid w:val="0"/>
        <w:spacing w:beforeLines="50" w:afterLines="80" w:line="240" w:lineRule="atLeast"/>
        <w:ind w:left="315" w:leftChars="150" w:firstLine="3465" w:firstLineChars="1650"/>
        <w:jc w:val="right"/>
        <w:rPr>
          <w:rFonts w:asciiTheme="minorEastAsia" w:hAnsiTheme="minorEastAsia" w:eastAsiaTheme="minorEastAsia" w:cstheme="minorEastAsia"/>
          <w:szCs w:val="20"/>
          <w:highlight w:val="none"/>
        </w:rPr>
      </w:pPr>
    </w:p>
    <w:sectPr>
      <w:footerReference r:id="rId4" w:type="default"/>
      <w:pgSz w:w="12240" w:h="15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0"/>
                          </w:pPr>
                          <w:r>
                            <w:fldChar w:fldCharType="begin"/>
                          </w:r>
                          <w:r>
                            <w:instrText xml:space="preserve"> PAGE  \* MERGEFORMAT </w:instrText>
                          </w:r>
                          <w:r>
                            <w:fldChar w:fldCharType="separate"/>
                          </w:r>
                          <w:r>
                            <w:t>104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I57F5G+AQAAYwMAAA4AAAAAAAAAAQAgAAAAIgEAAGRycy9lMm9Eb2MueG1sUEsF&#10;BgAAAAAGAAYAWQEAAFIFAAAAAA==&#10;">
              <v:fill on="f" focussize="0,0"/>
              <v:stroke on="f" weight="1.2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0"/>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PIyMI2+AQAAZAMAAA4AAAAAAAAAAQAgAAAAIgEAAGRycy9lMm9Eb2MueG1sUEsF&#10;BgAAAAAGAAYAWQEAAFIFAAAAAA==&#10;">
              <v:fill on="f" focussize="0,0"/>
              <v:stroke on="f" weight="1.2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BF271"/>
    <w:multiLevelType w:val="singleLevel"/>
    <w:tmpl w:val="5F6BF27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04"/>
    <w:rsid w:val="00000DA4"/>
    <w:rsid w:val="00002A60"/>
    <w:rsid w:val="00003280"/>
    <w:rsid w:val="00003391"/>
    <w:rsid w:val="00004603"/>
    <w:rsid w:val="00005A75"/>
    <w:rsid w:val="0000636E"/>
    <w:rsid w:val="00007112"/>
    <w:rsid w:val="00007319"/>
    <w:rsid w:val="000073BA"/>
    <w:rsid w:val="000079D2"/>
    <w:rsid w:val="00010193"/>
    <w:rsid w:val="000106AE"/>
    <w:rsid w:val="00010714"/>
    <w:rsid w:val="00010B53"/>
    <w:rsid w:val="00010F58"/>
    <w:rsid w:val="00011049"/>
    <w:rsid w:val="000122C9"/>
    <w:rsid w:val="0001230C"/>
    <w:rsid w:val="00012360"/>
    <w:rsid w:val="00012703"/>
    <w:rsid w:val="00012757"/>
    <w:rsid w:val="0001294E"/>
    <w:rsid w:val="00013135"/>
    <w:rsid w:val="0001485E"/>
    <w:rsid w:val="00015240"/>
    <w:rsid w:val="000168F9"/>
    <w:rsid w:val="00016D19"/>
    <w:rsid w:val="00017DE5"/>
    <w:rsid w:val="00020713"/>
    <w:rsid w:val="0002193F"/>
    <w:rsid w:val="00021BFE"/>
    <w:rsid w:val="00021E85"/>
    <w:rsid w:val="00022245"/>
    <w:rsid w:val="00023637"/>
    <w:rsid w:val="0002369F"/>
    <w:rsid w:val="00023EE7"/>
    <w:rsid w:val="00024918"/>
    <w:rsid w:val="000250D6"/>
    <w:rsid w:val="00025ACC"/>
    <w:rsid w:val="00025EC4"/>
    <w:rsid w:val="00026171"/>
    <w:rsid w:val="0002671A"/>
    <w:rsid w:val="00026C33"/>
    <w:rsid w:val="000303E1"/>
    <w:rsid w:val="000304C4"/>
    <w:rsid w:val="00033DFA"/>
    <w:rsid w:val="000344E0"/>
    <w:rsid w:val="000351AE"/>
    <w:rsid w:val="000353F3"/>
    <w:rsid w:val="0003545E"/>
    <w:rsid w:val="000357BD"/>
    <w:rsid w:val="000361D8"/>
    <w:rsid w:val="000377CD"/>
    <w:rsid w:val="000401D0"/>
    <w:rsid w:val="0004046A"/>
    <w:rsid w:val="00041641"/>
    <w:rsid w:val="00041BB7"/>
    <w:rsid w:val="00041E78"/>
    <w:rsid w:val="00041F67"/>
    <w:rsid w:val="0004288C"/>
    <w:rsid w:val="00042D2B"/>
    <w:rsid w:val="00043778"/>
    <w:rsid w:val="00043D7C"/>
    <w:rsid w:val="000441B4"/>
    <w:rsid w:val="0004433B"/>
    <w:rsid w:val="000455DE"/>
    <w:rsid w:val="00045EE6"/>
    <w:rsid w:val="00045EEE"/>
    <w:rsid w:val="00046A35"/>
    <w:rsid w:val="00046E7C"/>
    <w:rsid w:val="000472EC"/>
    <w:rsid w:val="00050C6F"/>
    <w:rsid w:val="00050FC8"/>
    <w:rsid w:val="00051294"/>
    <w:rsid w:val="0005154E"/>
    <w:rsid w:val="00051589"/>
    <w:rsid w:val="00051A25"/>
    <w:rsid w:val="00051E22"/>
    <w:rsid w:val="0005271B"/>
    <w:rsid w:val="0005333E"/>
    <w:rsid w:val="00055D60"/>
    <w:rsid w:val="000569CD"/>
    <w:rsid w:val="00057886"/>
    <w:rsid w:val="00060501"/>
    <w:rsid w:val="00060846"/>
    <w:rsid w:val="000610A3"/>
    <w:rsid w:val="00061C38"/>
    <w:rsid w:val="00061CA7"/>
    <w:rsid w:val="00062AC6"/>
    <w:rsid w:val="00063102"/>
    <w:rsid w:val="00064949"/>
    <w:rsid w:val="00064F48"/>
    <w:rsid w:val="00065076"/>
    <w:rsid w:val="00065FD2"/>
    <w:rsid w:val="00067035"/>
    <w:rsid w:val="00067569"/>
    <w:rsid w:val="000675EF"/>
    <w:rsid w:val="00067C4B"/>
    <w:rsid w:val="00067FC0"/>
    <w:rsid w:val="0007032B"/>
    <w:rsid w:val="00071AE8"/>
    <w:rsid w:val="00071FA8"/>
    <w:rsid w:val="00072086"/>
    <w:rsid w:val="0007266A"/>
    <w:rsid w:val="00072B08"/>
    <w:rsid w:val="00073C17"/>
    <w:rsid w:val="0007464C"/>
    <w:rsid w:val="00075A67"/>
    <w:rsid w:val="00075C42"/>
    <w:rsid w:val="00077168"/>
    <w:rsid w:val="00077284"/>
    <w:rsid w:val="00080214"/>
    <w:rsid w:val="000809AA"/>
    <w:rsid w:val="00080BDB"/>
    <w:rsid w:val="0008132B"/>
    <w:rsid w:val="00081360"/>
    <w:rsid w:val="0008253E"/>
    <w:rsid w:val="00082893"/>
    <w:rsid w:val="000851B1"/>
    <w:rsid w:val="00087480"/>
    <w:rsid w:val="00087A33"/>
    <w:rsid w:val="00090ADA"/>
    <w:rsid w:val="00091967"/>
    <w:rsid w:val="0009198C"/>
    <w:rsid w:val="00091CE4"/>
    <w:rsid w:val="00093AC9"/>
    <w:rsid w:val="00093C05"/>
    <w:rsid w:val="000943B0"/>
    <w:rsid w:val="00094C66"/>
    <w:rsid w:val="00095868"/>
    <w:rsid w:val="00096324"/>
    <w:rsid w:val="000963A9"/>
    <w:rsid w:val="000A04A3"/>
    <w:rsid w:val="000A14E8"/>
    <w:rsid w:val="000A1752"/>
    <w:rsid w:val="000A19BC"/>
    <w:rsid w:val="000A287B"/>
    <w:rsid w:val="000A3FC5"/>
    <w:rsid w:val="000A4194"/>
    <w:rsid w:val="000A5C0E"/>
    <w:rsid w:val="000A5C81"/>
    <w:rsid w:val="000A6612"/>
    <w:rsid w:val="000A76B3"/>
    <w:rsid w:val="000B0B8E"/>
    <w:rsid w:val="000B196F"/>
    <w:rsid w:val="000B2879"/>
    <w:rsid w:val="000B2CD1"/>
    <w:rsid w:val="000B3437"/>
    <w:rsid w:val="000B394D"/>
    <w:rsid w:val="000B4A78"/>
    <w:rsid w:val="000B4D44"/>
    <w:rsid w:val="000B621C"/>
    <w:rsid w:val="000B65E2"/>
    <w:rsid w:val="000B6CAA"/>
    <w:rsid w:val="000B6CF6"/>
    <w:rsid w:val="000C0018"/>
    <w:rsid w:val="000C00CE"/>
    <w:rsid w:val="000C0220"/>
    <w:rsid w:val="000C096E"/>
    <w:rsid w:val="000C13D7"/>
    <w:rsid w:val="000C15E1"/>
    <w:rsid w:val="000C1A9B"/>
    <w:rsid w:val="000C2AB5"/>
    <w:rsid w:val="000C36D2"/>
    <w:rsid w:val="000C4710"/>
    <w:rsid w:val="000C50FC"/>
    <w:rsid w:val="000C5A27"/>
    <w:rsid w:val="000C5C86"/>
    <w:rsid w:val="000D043D"/>
    <w:rsid w:val="000D1B87"/>
    <w:rsid w:val="000D2001"/>
    <w:rsid w:val="000D255C"/>
    <w:rsid w:val="000D4336"/>
    <w:rsid w:val="000D46E5"/>
    <w:rsid w:val="000D49B4"/>
    <w:rsid w:val="000D4E08"/>
    <w:rsid w:val="000D4FED"/>
    <w:rsid w:val="000D54E7"/>
    <w:rsid w:val="000D5F2B"/>
    <w:rsid w:val="000E006A"/>
    <w:rsid w:val="000E00B7"/>
    <w:rsid w:val="000E08CB"/>
    <w:rsid w:val="000E3468"/>
    <w:rsid w:val="000E3A69"/>
    <w:rsid w:val="000E40F1"/>
    <w:rsid w:val="000E4A2F"/>
    <w:rsid w:val="000E4C26"/>
    <w:rsid w:val="000E559D"/>
    <w:rsid w:val="000E5673"/>
    <w:rsid w:val="000E6B29"/>
    <w:rsid w:val="000E78B7"/>
    <w:rsid w:val="000E78C9"/>
    <w:rsid w:val="000F13A1"/>
    <w:rsid w:val="000F2186"/>
    <w:rsid w:val="000F2A12"/>
    <w:rsid w:val="000F2ECC"/>
    <w:rsid w:val="000F38AF"/>
    <w:rsid w:val="000F3F82"/>
    <w:rsid w:val="000F5770"/>
    <w:rsid w:val="000F6666"/>
    <w:rsid w:val="000F6746"/>
    <w:rsid w:val="000F7535"/>
    <w:rsid w:val="000F7AB0"/>
    <w:rsid w:val="0010091C"/>
    <w:rsid w:val="001011FC"/>
    <w:rsid w:val="00101526"/>
    <w:rsid w:val="0010173D"/>
    <w:rsid w:val="0010247F"/>
    <w:rsid w:val="001024D1"/>
    <w:rsid w:val="00102618"/>
    <w:rsid w:val="00103060"/>
    <w:rsid w:val="0010342E"/>
    <w:rsid w:val="00103E21"/>
    <w:rsid w:val="00103E9E"/>
    <w:rsid w:val="0010495B"/>
    <w:rsid w:val="00105114"/>
    <w:rsid w:val="00105423"/>
    <w:rsid w:val="00105CE2"/>
    <w:rsid w:val="00106B9A"/>
    <w:rsid w:val="00111106"/>
    <w:rsid w:val="001119B6"/>
    <w:rsid w:val="001125E2"/>
    <w:rsid w:val="0011333F"/>
    <w:rsid w:val="0011340A"/>
    <w:rsid w:val="00113431"/>
    <w:rsid w:val="00113FB7"/>
    <w:rsid w:val="0011470D"/>
    <w:rsid w:val="0011476C"/>
    <w:rsid w:val="001147FB"/>
    <w:rsid w:val="00114EFC"/>
    <w:rsid w:val="00115124"/>
    <w:rsid w:val="00115848"/>
    <w:rsid w:val="00115B48"/>
    <w:rsid w:val="00115DF0"/>
    <w:rsid w:val="001161B2"/>
    <w:rsid w:val="00116F13"/>
    <w:rsid w:val="00117A3C"/>
    <w:rsid w:val="00117B50"/>
    <w:rsid w:val="00117CBA"/>
    <w:rsid w:val="00117F0F"/>
    <w:rsid w:val="00120D57"/>
    <w:rsid w:val="001212E3"/>
    <w:rsid w:val="001242FE"/>
    <w:rsid w:val="00124CFA"/>
    <w:rsid w:val="0012584B"/>
    <w:rsid w:val="00125A52"/>
    <w:rsid w:val="00130C82"/>
    <w:rsid w:val="0013146C"/>
    <w:rsid w:val="00135A55"/>
    <w:rsid w:val="00136C79"/>
    <w:rsid w:val="00140392"/>
    <w:rsid w:val="00140445"/>
    <w:rsid w:val="0014098E"/>
    <w:rsid w:val="00141482"/>
    <w:rsid w:val="00141C51"/>
    <w:rsid w:val="0014217B"/>
    <w:rsid w:val="00142D25"/>
    <w:rsid w:val="0014316B"/>
    <w:rsid w:val="0014399F"/>
    <w:rsid w:val="001446A6"/>
    <w:rsid w:val="00145008"/>
    <w:rsid w:val="00145B5D"/>
    <w:rsid w:val="00145F18"/>
    <w:rsid w:val="001470C1"/>
    <w:rsid w:val="001506A1"/>
    <w:rsid w:val="001514FC"/>
    <w:rsid w:val="00151921"/>
    <w:rsid w:val="00151B73"/>
    <w:rsid w:val="00151BB4"/>
    <w:rsid w:val="00151C42"/>
    <w:rsid w:val="001528CC"/>
    <w:rsid w:val="001530C6"/>
    <w:rsid w:val="00153643"/>
    <w:rsid w:val="00153968"/>
    <w:rsid w:val="00153AA1"/>
    <w:rsid w:val="00153B32"/>
    <w:rsid w:val="0015532D"/>
    <w:rsid w:val="001559C9"/>
    <w:rsid w:val="00155E7B"/>
    <w:rsid w:val="0015624B"/>
    <w:rsid w:val="00156643"/>
    <w:rsid w:val="00156CEB"/>
    <w:rsid w:val="00157778"/>
    <w:rsid w:val="0016040A"/>
    <w:rsid w:val="001613DD"/>
    <w:rsid w:val="00161846"/>
    <w:rsid w:val="00163D72"/>
    <w:rsid w:val="0016419C"/>
    <w:rsid w:val="00164606"/>
    <w:rsid w:val="0016464A"/>
    <w:rsid w:val="001658EF"/>
    <w:rsid w:val="00166B95"/>
    <w:rsid w:val="001676EC"/>
    <w:rsid w:val="001700F3"/>
    <w:rsid w:val="00171515"/>
    <w:rsid w:val="00171FE0"/>
    <w:rsid w:val="00172A27"/>
    <w:rsid w:val="00172D49"/>
    <w:rsid w:val="00173360"/>
    <w:rsid w:val="001735B4"/>
    <w:rsid w:val="00173CA3"/>
    <w:rsid w:val="00173F48"/>
    <w:rsid w:val="00174389"/>
    <w:rsid w:val="001748A3"/>
    <w:rsid w:val="001749E2"/>
    <w:rsid w:val="001749E3"/>
    <w:rsid w:val="00175569"/>
    <w:rsid w:val="00175F7A"/>
    <w:rsid w:val="0017696E"/>
    <w:rsid w:val="00176A3E"/>
    <w:rsid w:val="00180A66"/>
    <w:rsid w:val="00180F94"/>
    <w:rsid w:val="00181243"/>
    <w:rsid w:val="00181EE3"/>
    <w:rsid w:val="00182A3A"/>
    <w:rsid w:val="00182B11"/>
    <w:rsid w:val="00182D8B"/>
    <w:rsid w:val="00183B4A"/>
    <w:rsid w:val="0018412E"/>
    <w:rsid w:val="0018419A"/>
    <w:rsid w:val="00184393"/>
    <w:rsid w:val="00184EE1"/>
    <w:rsid w:val="00186976"/>
    <w:rsid w:val="001915B6"/>
    <w:rsid w:val="0019253E"/>
    <w:rsid w:val="00192831"/>
    <w:rsid w:val="0019285F"/>
    <w:rsid w:val="001928FE"/>
    <w:rsid w:val="00192979"/>
    <w:rsid w:val="001937BA"/>
    <w:rsid w:val="00193C1D"/>
    <w:rsid w:val="00195B64"/>
    <w:rsid w:val="00195D5C"/>
    <w:rsid w:val="0019654F"/>
    <w:rsid w:val="00196869"/>
    <w:rsid w:val="001971E0"/>
    <w:rsid w:val="0019743B"/>
    <w:rsid w:val="001974DF"/>
    <w:rsid w:val="00197AD8"/>
    <w:rsid w:val="00197C0D"/>
    <w:rsid w:val="001A093D"/>
    <w:rsid w:val="001A0CCF"/>
    <w:rsid w:val="001A1E44"/>
    <w:rsid w:val="001A20CE"/>
    <w:rsid w:val="001A2B51"/>
    <w:rsid w:val="001A2E05"/>
    <w:rsid w:val="001A3259"/>
    <w:rsid w:val="001A3290"/>
    <w:rsid w:val="001A4491"/>
    <w:rsid w:val="001A4684"/>
    <w:rsid w:val="001A47FA"/>
    <w:rsid w:val="001A4A6A"/>
    <w:rsid w:val="001A5168"/>
    <w:rsid w:val="001A5C8E"/>
    <w:rsid w:val="001A607F"/>
    <w:rsid w:val="001A6336"/>
    <w:rsid w:val="001A6C80"/>
    <w:rsid w:val="001A756D"/>
    <w:rsid w:val="001B022E"/>
    <w:rsid w:val="001B0D89"/>
    <w:rsid w:val="001B17B4"/>
    <w:rsid w:val="001B1987"/>
    <w:rsid w:val="001B2AC0"/>
    <w:rsid w:val="001B401E"/>
    <w:rsid w:val="001B4A66"/>
    <w:rsid w:val="001B5089"/>
    <w:rsid w:val="001B563E"/>
    <w:rsid w:val="001B5C90"/>
    <w:rsid w:val="001B5F75"/>
    <w:rsid w:val="001B7BB3"/>
    <w:rsid w:val="001B7FEF"/>
    <w:rsid w:val="001C0785"/>
    <w:rsid w:val="001C08D4"/>
    <w:rsid w:val="001C0A54"/>
    <w:rsid w:val="001C11EA"/>
    <w:rsid w:val="001C205B"/>
    <w:rsid w:val="001C240A"/>
    <w:rsid w:val="001C2F99"/>
    <w:rsid w:val="001C30C7"/>
    <w:rsid w:val="001C38D5"/>
    <w:rsid w:val="001C3CF8"/>
    <w:rsid w:val="001C4008"/>
    <w:rsid w:val="001C48B0"/>
    <w:rsid w:val="001C6230"/>
    <w:rsid w:val="001C7358"/>
    <w:rsid w:val="001D1E0F"/>
    <w:rsid w:val="001D46D2"/>
    <w:rsid w:val="001D4A29"/>
    <w:rsid w:val="001D4A7D"/>
    <w:rsid w:val="001D5075"/>
    <w:rsid w:val="001D6B42"/>
    <w:rsid w:val="001D7FD9"/>
    <w:rsid w:val="001E0915"/>
    <w:rsid w:val="001E0AA3"/>
    <w:rsid w:val="001E0BCB"/>
    <w:rsid w:val="001E1433"/>
    <w:rsid w:val="001E15BD"/>
    <w:rsid w:val="001E2544"/>
    <w:rsid w:val="001E2A73"/>
    <w:rsid w:val="001E2D03"/>
    <w:rsid w:val="001E3048"/>
    <w:rsid w:val="001E3BD0"/>
    <w:rsid w:val="001E4660"/>
    <w:rsid w:val="001E4C22"/>
    <w:rsid w:val="001E5607"/>
    <w:rsid w:val="001E6637"/>
    <w:rsid w:val="001E721A"/>
    <w:rsid w:val="001E774A"/>
    <w:rsid w:val="001E7BAC"/>
    <w:rsid w:val="001F2019"/>
    <w:rsid w:val="001F2208"/>
    <w:rsid w:val="001F37E0"/>
    <w:rsid w:val="001F3868"/>
    <w:rsid w:val="001F3B75"/>
    <w:rsid w:val="001F4134"/>
    <w:rsid w:val="001F42A2"/>
    <w:rsid w:val="001F45C6"/>
    <w:rsid w:val="001F45EE"/>
    <w:rsid w:val="001F4850"/>
    <w:rsid w:val="001F4A3D"/>
    <w:rsid w:val="001F4EAC"/>
    <w:rsid w:val="001F5634"/>
    <w:rsid w:val="001F6F2E"/>
    <w:rsid w:val="00200CC2"/>
    <w:rsid w:val="002042BA"/>
    <w:rsid w:val="002043E2"/>
    <w:rsid w:val="002044C2"/>
    <w:rsid w:val="00204A5C"/>
    <w:rsid w:val="00204C69"/>
    <w:rsid w:val="00206EAA"/>
    <w:rsid w:val="00207A0B"/>
    <w:rsid w:val="00207CCA"/>
    <w:rsid w:val="00207D2B"/>
    <w:rsid w:val="00210246"/>
    <w:rsid w:val="00212600"/>
    <w:rsid w:val="00212A53"/>
    <w:rsid w:val="00212FD4"/>
    <w:rsid w:val="0021322F"/>
    <w:rsid w:val="002132D6"/>
    <w:rsid w:val="00213B90"/>
    <w:rsid w:val="002159A3"/>
    <w:rsid w:val="00215AF0"/>
    <w:rsid w:val="00215E0E"/>
    <w:rsid w:val="00217AB9"/>
    <w:rsid w:val="00217EDB"/>
    <w:rsid w:val="002204FC"/>
    <w:rsid w:val="002207B9"/>
    <w:rsid w:val="002229E2"/>
    <w:rsid w:val="0022434B"/>
    <w:rsid w:val="002246C3"/>
    <w:rsid w:val="002249F6"/>
    <w:rsid w:val="00225421"/>
    <w:rsid w:val="002256F6"/>
    <w:rsid w:val="002269CE"/>
    <w:rsid w:val="00226C85"/>
    <w:rsid w:val="0023033B"/>
    <w:rsid w:val="0023185B"/>
    <w:rsid w:val="00231A63"/>
    <w:rsid w:val="00231EB5"/>
    <w:rsid w:val="00232B10"/>
    <w:rsid w:val="00232D76"/>
    <w:rsid w:val="00232E78"/>
    <w:rsid w:val="0023423F"/>
    <w:rsid w:val="002346AC"/>
    <w:rsid w:val="002359A9"/>
    <w:rsid w:val="00235ABA"/>
    <w:rsid w:val="00235EFD"/>
    <w:rsid w:val="00235F20"/>
    <w:rsid w:val="00236570"/>
    <w:rsid w:val="00236A7D"/>
    <w:rsid w:val="00236E57"/>
    <w:rsid w:val="00236FEA"/>
    <w:rsid w:val="002373AE"/>
    <w:rsid w:val="00237422"/>
    <w:rsid w:val="00237B0E"/>
    <w:rsid w:val="00237ED1"/>
    <w:rsid w:val="002400A4"/>
    <w:rsid w:val="00240884"/>
    <w:rsid w:val="0024176E"/>
    <w:rsid w:val="00242296"/>
    <w:rsid w:val="002430C2"/>
    <w:rsid w:val="00245556"/>
    <w:rsid w:val="00245CB9"/>
    <w:rsid w:val="002469F9"/>
    <w:rsid w:val="00246EB2"/>
    <w:rsid w:val="0025013A"/>
    <w:rsid w:val="0025020A"/>
    <w:rsid w:val="00251109"/>
    <w:rsid w:val="00251261"/>
    <w:rsid w:val="00251A49"/>
    <w:rsid w:val="00252B57"/>
    <w:rsid w:val="00253000"/>
    <w:rsid w:val="002535BE"/>
    <w:rsid w:val="0025460A"/>
    <w:rsid w:val="00255D0D"/>
    <w:rsid w:val="00256B65"/>
    <w:rsid w:val="0025790C"/>
    <w:rsid w:val="00260650"/>
    <w:rsid w:val="00260A53"/>
    <w:rsid w:val="00260B7B"/>
    <w:rsid w:val="00260C77"/>
    <w:rsid w:val="00261352"/>
    <w:rsid w:val="00261497"/>
    <w:rsid w:val="002628B9"/>
    <w:rsid w:val="00263947"/>
    <w:rsid w:val="00263AD9"/>
    <w:rsid w:val="00263D4A"/>
    <w:rsid w:val="00263DFC"/>
    <w:rsid w:val="00263F0B"/>
    <w:rsid w:val="00264CBF"/>
    <w:rsid w:val="00264CEC"/>
    <w:rsid w:val="00264D92"/>
    <w:rsid w:val="00264EB1"/>
    <w:rsid w:val="00265ED8"/>
    <w:rsid w:val="00266BD1"/>
    <w:rsid w:val="00266D8B"/>
    <w:rsid w:val="00267ED4"/>
    <w:rsid w:val="002711A8"/>
    <w:rsid w:val="002718DC"/>
    <w:rsid w:val="00271E8C"/>
    <w:rsid w:val="0027396F"/>
    <w:rsid w:val="00274470"/>
    <w:rsid w:val="0027477B"/>
    <w:rsid w:val="00274EEA"/>
    <w:rsid w:val="0027657E"/>
    <w:rsid w:val="00276C71"/>
    <w:rsid w:val="002773E4"/>
    <w:rsid w:val="0027764B"/>
    <w:rsid w:val="002777F2"/>
    <w:rsid w:val="0027795C"/>
    <w:rsid w:val="00280097"/>
    <w:rsid w:val="00281526"/>
    <w:rsid w:val="00281776"/>
    <w:rsid w:val="00282FB1"/>
    <w:rsid w:val="00283751"/>
    <w:rsid w:val="00283C71"/>
    <w:rsid w:val="0028521D"/>
    <w:rsid w:val="00285406"/>
    <w:rsid w:val="00286C1A"/>
    <w:rsid w:val="00287861"/>
    <w:rsid w:val="00287DCA"/>
    <w:rsid w:val="00291906"/>
    <w:rsid w:val="0029242E"/>
    <w:rsid w:val="002931BF"/>
    <w:rsid w:val="00294E8B"/>
    <w:rsid w:val="00294F57"/>
    <w:rsid w:val="00295701"/>
    <w:rsid w:val="002967DE"/>
    <w:rsid w:val="00296A9A"/>
    <w:rsid w:val="00296B26"/>
    <w:rsid w:val="00296F95"/>
    <w:rsid w:val="00297388"/>
    <w:rsid w:val="002977D2"/>
    <w:rsid w:val="00297A3C"/>
    <w:rsid w:val="00297C37"/>
    <w:rsid w:val="002A0896"/>
    <w:rsid w:val="002A0D01"/>
    <w:rsid w:val="002A1981"/>
    <w:rsid w:val="002A294E"/>
    <w:rsid w:val="002A30AD"/>
    <w:rsid w:val="002A30F7"/>
    <w:rsid w:val="002A33AB"/>
    <w:rsid w:val="002A550F"/>
    <w:rsid w:val="002A552C"/>
    <w:rsid w:val="002A65ED"/>
    <w:rsid w:val="002A662F"/>
    <w:rsid w:val="002A7A82"/>
    <w:rsid w:val="002B1B6F"/>
    <w:rsid w:val="002B2271"/>
    <w:rsid w:val="002B2E71"/>
    <w:rsid w:val="002B30A2"/>
    <w:rsid w:val="002B3632"/>
    <w:rsid w:val="002B3D9F"/>
    <w:rsid w:val="002B3E86"/>
    <w:rsid w:val="002B545F"/>
    <w:rsid w:val="002B5F92"/>
    <w:rsid w:val="002B75DB"/>
    <w:rsid w:val="002B7B53"/>
    <w:rsid w:val="002C0940"/>
    <w:rsid w:val="002C0C29"/>
    <w:rsid w:val="002C0FE4"/>
    <w:rsid w:val="002C290B"/>
    <w:rsid w:val="002C303B"/>
    <w:rsid w:val="002C4FCD"/>
    <w:rsid w:val="002C5BB1"/>
    <w:rsid w:val="002C688F"/>
    <w:rsid w:val="002C7667"/>
    <w:rsid w:val="002C7B9B"/>
    <w:rsid w:val="002D1134"/>
    <w:rsid w:val="002D13F4"/>
    <w:rsid w:val="002D2B90"/>
    <w:rsid w:val="002D2D02"/>
    <w:rsid w:val="002D68DF"/>
    <w:rsid w:val="002D6F32"/>
    <w:rsid w:val="002E0130"/>
    <w:rsid w:val="002E08A0"/>
    <w:rsid w:val="002E15A0"/>
    <w:rsid w:val="002E1C1E"/>
    <w:rsid w:val="002E1DAC"/>
    <w:rsid w:val="002E21C7"/>
    <w:rsid w:val="002E2A9F"/>
    <w:rsid w:val="002E302F"/>
    <w:rsid w:val="002E39C2"/>
    <w:rsid w:val="002E47F1"/>
    <w:rsid w:val="002E4B16"/>
    <w:rsid w:val="002E5B16"/>
    <w:rsid w:val="002E602B"/>
    <w:rsid w:val="002E6880"/>
    <w:rsid w:val="002E6D05"/>
    <w:rsid w:val="002F0277"/>
    <w:rsid w:val="002F0E3A"/>
    <w:rsid w:val="002F31CE"/>
    <w:rsid w:val="002F3E2F"/>
    <w:rsid w:val="002F462F"/>
    <w:rsid w:val="002F4E05"/>
    <w:rsid w:val="002F506C"/>
    <w:rsid w:val="002F5A91"/>
    <w:rsid w:val="002F5E60"/>
    <w:rsid w:val="002F6FC1"/>
    <w:rsid w:val="002F72A0"/>
    <w:rsid w:val="0030003A"/>
    <w:rsid w:val="00301043"/>
    <w:rsid w:val="003016D5"/>
    <w:rsid w:val="00302C36"/>
    <w:rsid w:val="0030315A"/>
    <w:rsid w:val="0030386A"/>
    <w:rsid w:val="00303961"/>
    <w:rsid w:val="0030427B"/>
    <w:rsid w:val="00304F44"/>
    <w:rsid w:val="0030504E"/>
    <w:rsid w:val="003055F6"/>
    <w:rsid w:val="00307A20"/>
    <w:rsid w:val="00307FA0"/>
    <w:rsid w:val="00310C17"/>
    <w:rsid w:val="00310DA4"/>
    <w:rsid w:val="00311009"/>
    <w:rsid w:val="00311023"/>
    <w:rsid w:val="00311324"/>
    <w:rsid w:val="00311BB4"/>
    <w:rsid w:val="003122C4"/>
    <w:rsid w:val="00312975"/>
    <w:rsid w:val="00312A1B"/>
    <w:rsid w:val="00313E92"/>
    <w:rsid w:val="003140A3"/>
    <w:rsid w:val="00314103"/>
    <w:rsid w:val="00314C76"/>
    <w:rsid w:val="00314F16"/>
    <w:rsid w:val="00315F3C"/>
    <w:rsid w:val="003160FE"/>
    <w:rsid w:val="00316DA2"/>
    <w:rsid w:val="00317145"/>
    <w:rsid w:val="00317712"/>
    <w:rsid w:val="0032031D"/>
    <w:rsid w:val="003203C0"/>
    <w:rsid w:val="00320B99"/>
    <w:rsid w:val="00320FB0"/>
    <w:rsid w:val="003214A4"/>
    <w:rsid w:val="00321647"/>
    <w:rsid w:val="00321989"/>
    <w:rsid w:val="003225E8"/>
    <w:rsid w:val="0032347B"/>
    <w:rsid w:val="00323C5C"/>
    <w:rsid w:val="00323E39"/>
    <w:rsid w:val="0032433C"/>
    <w:rsid w:val="003243EC"/>
    <w:rsid w:val="00324596"/>
    <w:rsid w:val="00324678"/>
    <w:rsid w:val="003247CD"/>
    <w:rsid w:val="0032515F"/>
    <w:rsid w:val="00325A86"/>
    <w:rsid w:val="00325C2D"/>
    <w:rsid w:val="00326829"/>
    <w:rsid w:val="00326C66"/>
    <w:rsid w:val="003273ED"/>
    <w:rsid w:val="003278B0"/>
    <w:rsid w:val="00330268"/>
    <w:rsid w:val="00330FF8"/>
    <w:rsid w:val="00333E3A"/>
    <w:rsid w:val="0033468A"/>
    <w:rsid w:val="00336026"/>
    <w:rsid w:val="003362AD"/>
    <w:rsid w:val="0033761D"/>
    <w:rsid w:val="00337CAE"/>
    <w:rsid w:val="00337CD2"/>
    <w:rsid w:val="00340078"/>
    <w:rsid w:val="00340DC0"/>
    <w:rsid w:val="00340FBF"/>
    <w:rsid w:val="003412FC"/>
    <w:rsid w:val="00341B5C"/>
    <w:rsid w:val="00342688"/>
    <w:rsid w:val="00343393"/>
    <w:rsid w:val="00343E8A"/>
    <w:rsid w:val="0034401F"/>
    <w:rsid w:val="0034440E"/>
    <w:rsid w:val="00345F24"/>
    <w:rsid w:val="003463A4"/>
    <w:rsid w:val="0034667A"/>
    <w:rsid w:val="00346854"/>
    <w:rsid w:val="00346AD1"/>
    <w:rsid w:val="00347899"/>
    <w:rsid w:val="00347E04"/>
    <w:rsid w:val="003518D6"/>
    <w:rsid w:val="00351B7A"/>
    <w:rsid w:val="00352502"/>
    <w:rsid w:val="00352D40"/>
    <w:rsid w:val="0035311D"/>
    <w:rsid w:val="00353EDF"/>
    <w:rsid w:val="00354B7A"/>
    <w:rsid w:val="0035548A"/>
    <w:rsid w:val="0035617B"/>
    <w:rsid w:val="00356B8B"/>
    <w:rsid w:val="00357129"/>
    <w:rsid w:val="003577D2"/>
    <w:rsid w:val="0035796F"/>
    <w:rsid w:val="00362806"/>
    <w:rsid w:val="00362ABF"/>
    <w:rsid w:val="00362DE1"/>
    <w:rsid w:val="00363966"/>
    <w:rsid w:val="00364E0F"/>
    <w:rsid w:val="003651B7"/>
    <w:rsid w:val="00365F22"/>
    <w:rsid w:val="00366379"/>
    <w:rsid w:val="00367631"/>
    <w:rsid w:val="003708B8"/>
    <w:rsid w:val="003741B0"/>
    <w:rsid w:val="00374F29"/>
    <w:rsid w:val="00375261"/>
    <w:rsid w:val="00375B83"/>
    <w:rsid w:val="00375C63"/>
    <w:rsid w:val="00376453"/>
    <w:rsid w:val="00377069"/>
    <w:rsid w:val="00377102"/>
    <w:rsid w:val="00377A13"/>
    <w:rsid w:val="00380691"/>
    <w:rsid w:val="003816B1"/>
    <w:rsid w:val="0038240C"/>
    <w:rsid w:val="00382F35"/>
    <w:rsid w:val="00383045"/>
    <w:rsid w:val="0038359A"/>
    <w:rsid w:val="00386712"/>
    <w:rsid w:val="00387996"/>
    <w:rsid w:val="00390194"/>
    <w:rsid w:val="003915C0"/>
    <w:rsid w:val="00391E66"/>
    <w:rsid w:val="00391F03"/>
    <w:rsid w:val="00392768"/>
    <w:rsid w:val="0039277B"/>
    <w:rsid w:val="00392C90"/>
    <w:rsid w:val="003944C8"/>
    <w:rsid w:val="003947A1"/>
    <w:rsid w:val="00394ACB"/>
    <w:rsid w:val="00394E50"/>
    <w:rsid w:val="003976FF"/>
    <w:rsid w:val="003A2368"/>
    <w:rsid w:val="003A3D25"/>
    <w:rsid w:val="003A4201"/>
    <w:rsid w:val="003A4A10"/>
    <w:rsid w:val="003A55F0"/>
    <w:rsid w:val="003A5B10"/>
    <w:rsid w:val="003A5D0A"/>
    <w:rsid w:val="003A5D8C"/>
    <w:rsid w:val="003A5E92"/>
    <w:rsid w:val="003A609E"/>
    <w:rsid w:val="003A62A3"/>
    <w:rsid w:val="003A6418"/>
    <w:rsid w:val="003A6775"/>
    <w:rsid w:val="003A76C4"/>
    <w:rsid w:val="003A76CF"/>
    <w:rsid w:val="003B0216"/>
    <w:rsid w:val="003B12DE"/>
    <w:rsid w:val="003B1FEE"/>
    <w:rsid w:val="003B20A1"/>
    <w:rsid w:val="003B3719"/>
    <w:rsid w:val="003B41C4"/>
    <w:rsid w:val="003B427A"/>
    <w:rsid w:val="003B67F7"/>
    <w:rsid w:val="003B7663"/>
    <w:rsid w:val="003B76E1"/>
    <w:rsid w:val="003B7B9A"/>
    <w:rsid w:val="003C0D7D"/>
    <w:rsid w:val="003C271A"/>
    <w:rsid w:val="003C3469"/>
    <w:rsid w:val="003C4858"/>
    <w:rsid w:val="003C5BB3"/>
    <w:rsid w:val="003C663D"/>
    <w:rsid w:val="003C7B8A"/>
    <w:rsid w:val="003D1170"/>
    <w:rsid w:val="003D1B8E"/>
    <w:rsid w:val="003D1C1D"/>
    <w:rsid w:val="003D1ED0"/>
    <w:rsid w:val="003D25CE"/>
    <w:rsid w:val="003D2AB2"/>
    <w:rsid w:val="003D2D72"/>
    <w:rsid w:val="003D31F3"/>
    <w:rsid w:val="003D332B"/>
    <w:rsid w:val="003D36EE"/>
    <w:rsid w:val="003D3858"/>
    <w:rsid w:val="003D3A98"/>
    <w:rsid w:val="003D4DF8"/>
    <w:rsid w:val="003D515C"/>
    <w:rsid w:val="003D52C4"/>
    <w:rsid w:val="003D57D5"/>
    <w:rsid w:val="003D6341"/>
    <w:rsid w:val="003D6B76"/>
    <w:rsid w:val="003D6E0A"/>
    <w:rsid w:val="003D7D64"/>
    <w:rsid w:val="003E1712"/>
    <w:rsid w:val="003E3079"/>
    <w:rsid w:val="003E4497"/>
    <w:rsid w:val="003E453A"/>
    <w:rsid w:val="003E4FAA"/>
    <w:rsid w:val="003E5A25"/>
    <w:rsid w:val="003E5A72"/>
    <w:rsid w:val="003E644A"/>
    <w:rsid w:val="003E7111"/>
    <w:rsid w:val="003E7136"/>
    <w:rsid w:val="003E744C"/>
    <w:rsid w:val="003F1CDB"/>
    <w:rsid w:val="003F3518"/>
    <w:rsid w:val="003F38B0"/>
    <w:rsid w:val="003F3A39"/>
    <w:rsid w:val="003F3B55"/>
    <w:rsid w:val="003F41B1"/>
    <w:rsid w:val="003F504F"/>
    <w:rsid w:val="003F519A"/>
    <w:rsid w:val="003F59D9"/>
    <w:rsid w:val="003F5B69"/>
    <w:rsid w:val="003F5F72"/>
    <w:rsid w:val="003F74C7"/>
    <w:rsid w:val="004028DD"/>
    <w:rsid w:val="00403115"/>
    <w:rsid w:val="0040347C"/>
    <w:rsid w:val="00403934"/>
    <w:rsid w:val="0040452D"/>
    <w:rsid w:val="00405337"/>
    <w:rsid w:val="00406FBA"/>
    <w:rsid w:val="00406FF2"/>
    <w:rsid w:val="00410449"/>
    <w:rsid w:val="004105EF"/>
    <w:rsid w:val="004107EF"/>
    <w:rsid w:val="004125A8"/>
    <w:rsid w:val="00413A55"/>
    <w:rsid w:val="004152E4"/>
    <w:rsid w:val="00415A1A"/>
    <w:rsid w:val="00415B25"/>
    <w:rsid w:val="00416576"/>
    <w:rsid w:val="00417BF5"/>
    <w:rsid w:val="0042093D"/>
    <w:rsid w:val="00422468"/>
    <w:rsid w:val="00422823"/>
    <w:rsid w:val="004228B9"/>
    <w:rsid w:val="004230A9"/>
    <w:rsid w:val="0042326A"/>
    <w:rsid w:val="00423F96"/>
    <w:rsid w:val="00425AE3"/>
    <w:rsid w:val="0042619D"/>
    <w:rsid w:val="00427E81"/>
    <w:rsid w:val="00430583"/>
    <w:rsid w:val="00430C39"/>
    <w:rsid w:val="004317F1"/>
    <w:rsid w:val="00431EC6"/>
    <w:rsid w:val="00431F4F"/>
    <w:rsid w:val="0043351E"/>
    <w:rsid w:val="0043356A"/>
    <w:rsid w:val="00433676"/>
    <w:rsid w:val="004336A4"/>
    <w:rsid w:val="00434250"/>
    <w:rsid w:val="00434DC2"/>
    <w:rsid w:val="00434E49"/>
    <w:rsid w:val="00434E80"/>
    <w:rsid w:val="00434F09"/>
    <w:rsid w:val="00435A4A"/>
    <w:rsid w:val="00436504"/>
    <w:rsid w:val="0043655D"/>
    <w:rsid w:val="00436C0E"/>
    <w:rsid w:val="004405C7"/>
    <w:rsid w:val="00441308"/>
    <w:rsid w:val="00441D39"/>
    <w:rsid w:val="00442421"/>
    <w:rsid w:val="0044250A"/>
    <w:rsid w:val="00442AF8"/>
    <w:rsid w:val="0044514A"/>
    <w:rsid w:val="004454AE"/>
    <w:rsid w:val="00445B0D"/>
    <w:rsid w:val="00446A37"/>
    <w:rsid w:val="00447587"/>
    <w:rsid w:val="00447628"/>
    <w:rsid w:val="00447E59"/>
    <w:rsid w:val="00450418"/>
    <w:rsid w:val="00450D56"/>
    <w:rsid w:val="00450DB7"/>
    <w:rsid w:val="00452702"/>
    <w:rsid w:val="00453295"/>
    <w:rsid w:val="00453A7D"/>
    <w:rsid w:val="00453EBB"/>
    <w:rsid w:val="004542F6"/>
    <w:rsid w:val="00455745"/>
    <w:rsid w:val="004574C8"/>
    <w:rsid w:val="004579D9"/>
    <w:rsid w:val="00457DC2"/>
    <w:rsid w:val="00461D9C"/>
    <w:rsid w:val="00462645"/>
    <w:rsid w:val="004634D7"/>
    <w:rsid w:val="00465030"/>
    <w:rsid w:val="00465378"/>
    <w:rsid w:val="00471516"/>
    <w:rsid w:val="004716DF"/>
    <w:rsid w:val="00472DA0"/>
    <w:rsid w:val="004730E1"/>
    <w:rsid w:val="004733D3"/>
    <w:rsid w:val="004743B2"/>
    <w:rsid w:val="004750F2"/>
    <w:rsid w:val="00475110"/>
    <w:rsid w:val="004771A1"/>
    <w:rsid w:val="00477E1E"/>
    <w:rsid w:val="00480807"/>
    <w:rsid w:val="00480C06"/>
    <w:rsid w:val="004825BA"/>
    <w:rsid w:val="004834C0"/>
    <w:rsid w:val="00483672"/>
    <w:rsid w:val="00486461"/>
    <w:rsid w:val="00486CA0"/>
    <w:rsid w:val="00486E1F"/>
    <w:rsid w:val="00487315"/>
    <w:rsid w:val="00487CF7"/>
    <w:rsid w:val="00490332"/>
    <w:rsid w:val="00491BAA"/>
    <w:rsid w:val="00493F43"/>
    <w:rsid w:val="00494624"/>
    <w:rsid w:val="0049469B"/>
    <w:rsid w:val="00495001"/>
    <w:rsid w:val="0049574A"/>
    <w:rsid w:val="00495E5D"/>
    <w:rsid w:val="00495E67"/>
    <w:rsid w:val="00495EDD"/>
    <w:rsid w:val="004961B5"/>
    <w:rsid w:val="0049627B"/>
    <w:rsid w:val="004967B1"/>
    <w:rsid w:val="004A0C05"/>
    <w:rsid w:val="004A0F7F"/>
    <w:rsid w:val="004A112E"/>
    <w:rsid w:val="004A241E"/>
    <w:rsid w:val="004A27AF"/>
    <w:rsid w:val="004A2E91"/>
    <w:rsid w:val="004A3844"/>
    <w:rsid w:val="004A4618"/>
    <w:rsid w:val="004A4732"/>
    <w:rsid w:val="004A494E"/>
    <w:rsid w:val="004A4981"/>
    <w:rsid w:val="004A4A49"/>
    <w:rsid w:val="004A564D"/>
    <w:rsid w:val="004A5FF2"/>
    <w:rsid w:val="004A76F2"/>
    <w:rsid w:val="004B094A"/>
    <w:rsid w:val="004B1477"/>
    <w:rsid w:val="004B1553"/>
    <w:rsid w:val="004B1C1A"/>
    <w:rsid w:val="004B2DD2"/>
    <w:rsid w:val="004B3390"/>
    <w:rsid w:val="004B33CD"/>
    <w:rsid w:val="004B3F48"/>
    <w:rsid w:val="004B4376"/>
    <w:rsid w:val="004B51E3"/>
    <w:rsid w:val="004B54E7"/>
    <w:rsid w:val="004B6ED7"/>
    <w:rsid w:val="004B75C3"/>
    <w:rsid w:val="004C1565"/>
    <w:rsid w:val="004C16FA"/>
    <w:rsid w:val="004C3849"/>
    <w:rsid w:val="004C4833"/>
    <w:rsid w:val="004C56EB"/>
    <w:rsid w:val="004C5DC1"/>
    <w:rsid w:val="004C6ACE"/>
    <w:rsid w:val="004C6F28"/>
    <w:rsid w:val="004D0B42"/>
    <w:rsid w:val="004D1209"/>
    <w:rsid w:val="004D2286"/>
    <w:rsid w:val="004D22BB"/>
    <w:rsid w:val="004D274B"/>
    <w:rsid w:val="004D3D95"/>
    <w:rsid w:val="004D4247"/>
    <w:rsid w:val="004D621C"/>
    <w:rsid w:val="004D62DE"/>
    <w:rsid w:val="004D636A"/>
    <w:rsid w:val="004D654C"/>
    <w:rsid w:val="004D683E"/>
    <w:rsid w:val="004D6CA2"/>
    <w:rsid w:val="004D6F33"/>
    <w:rsid w:val="004D7222"/>
    <w:rsid w:val="004D7237"/>
    <w:rsid w:val="004D794D"/>
    <w:rsid w:val="004D7AA7"/>
    <w:rsid w:val="004D7FCB"/>
    <w:rsid w:val="004E0C05"/>
    <w:rsid w:val="004E1BCC"/>
    <w:rsid w:val="004E1C19"/>
    <w:rsid w:val="004E1D75"/>
    <w:rsid w:val="004E2439"/>
    <w:rsid w:val="004E2C6A"/>
    <w:rsid w:val="004E3364"/>
    <w:rsid w:val="004E3473"/>
    <w:rsid w:val="004E3832"/>
    <w:rsid w:val="004E3953"/>
    <w:rsid w:val="004E3E31"/>
    <w:rsid w:val="004E3E76"/>
    <w:rsid w:val="004E4AE8"/>
    <w:rsid w:val="004E4D3C"/>
    <w:rsid w:val="004E60E0"/>
    <w:rsid w:val="004E621B"/>
    <w:rsid w:val="004E7DB3"/>
    <w:rsid w:val="004F0521"/>
    <w:rsid w:val="004F0B28"/>
    <w:rsid w:val="004F0C8A"/>
    <w:rsid w:val="004F1425"/>
    <w:rsid w:val="004F156F"/>
    <w:rsid w:val="004F1BB7"/>
    <w:rsid w:val="004F2250"/>
    <w:rsid w:val="004F2322"/>
    <w:rsid w:val="004F2CD9"/>
    <w:rsid w:val="004F3309"/>
    <w:rsid w:val="004F37D1"/>
    <w:rsid w:val="004F3A77"/>
    <w:rsid w:val="004F468F"/>
    <w:rsid w:val="004F4CCA"/>
    <w:rsid w:val="004F4F44"/>
    <w:rsid w:val="00501608"/>
    <w:rsid w:val="0050185B"/>
    <w:rsid w:val="005024DA"/>
    <w:rsid w:val="005034E3"/>
    <w:rsid w:val="005047CD"/>
    <w:rsid w:val="00506636"/>
    <w:rsid w:val="0050703B"/>
    <w:rsid w:val="0050739A"/>
    <w:rsid w:val="005076D5"/>
    <w:rsid w:val="005100DC"/>
    <w:rsid w:val="00510A2F"/>
    <w:rsid w:val="00510BEA"/>
    <w:rsid w:val="00510E61"/>
    <w:rsid w:val="00511660"/>
    <w:rsid w:val="00512A0D"/>
    <w:rsid w:val="00513F69"/>
    <w:rsid w:val="00514A1D"/>
    <w:rsid w:val="00515CEE"/>
    <w:rsid w:val="00516A06"/>
    <w:rsid w:val="00516E04"/>
    <w:rsid w:val="00517542"/>
    <w:rsid w:val="00517B10"/>
    <w:rsid w:val="00517CCE"/>
    <w:rsid w:val="00517E13"/>
    <w:rsid w:val="0052194C"/>
    <w:rsid w:val="005229A0"/>
    <w:rsid w:val="00522D50"/>
    <w:rsid w:val="0052368B"/>
    <w:rsid w:val="00523990"/>
    <w:rsid w:val="00523A83"/>
    <w:rsid w:val="00523C59"/>
    <w:rsid w:val="00523F6F"/>
    <w:rsid w:val="0052483D"/>
    <w:rsid w:val="0052517F"/>
    <w:rsid w:val="005251E7"/>
    <w:rsid w:val="00526A25"/>
    <w:rsid w:val="005275D1"/>
    <w:rsid w:val="00527C55"/>
    <w:rsid w:val="00527D92"/>
    <w:rsid w:val="0053000C"/>
    <w:rsid w:val="00530380"/>
    <w:rsid w:val="00531255"/>
    <w:rsid w:val="00531A42"/>
    <w:rsid w:val="00531B26"/>
    <w:rsid w:val="00531BAF"/>
    <w:rsid w:val="00531C76"/>
    <w:rsid w:val="00531E9D"/>
    <w:rsid w:val="0053632A"/>
    <w:rsid w:val="0053661C"/>
    <w:rsid w:val="0053663D"/>
    <w:rsid w:val="00537306"/>
    <w:rsid w:val="00537781"/>
    <w:rsid w:val="00537D91"/>
    <w:rsid w:val="005409DB"/>
    <w:rsid w:val="005409E0"/>
    <w:rsid w:val="005412A3"/>
    <w:rsid w:val="00541B00"/>
    <w:rsid w:val="00542AA9"/>
    <w:rsid w:val="00542C62"/>
    <w:rsid w:val="00542F68"/>
    <w:rsid w:val="00543556"/>
    <w:rsid w:val="00543F5F"/>
    <w:rsid w:val="00545698"/>
    <w:rsid w:val="00546149"/>
    <w:rsid w:val="0054630F"/>
    <w:rsid w:val="0054680C"/>
    <w:rsid w:val="0054730C"/>
    <w:rsid w:val="00547315"/>
    <w:rsid w:val="005522DE"/>
    <w:rsid w:val="00552D78"/>
    <w:rsid w:val="00553065"/>
    <w:rsid w:val="00554E9D"/>
    <w:rsid w:val="00555089"/>
    <w:rsid w:val="00555949"/>
    <w:rsid w:val="005561EF"/>
    <w:rsid w:val="005565F1"/>
    <w:rsid w:val="00557D41"/>
    <w:rsid w:val="00557F78"/>
    <w:rsid w:val="00562259"/>
    <w:rsid w:val="005629BB"/>
    <w:rsid w:val="00562E92"/>
    <w:rsid w:val="00563703"/>
    <w:rsid w:val="0056399D"/>
    <w:rsid w:val="005655BD"/>
    <w:rsid w:val="00565E11"/>
    <w:rsid w:val="005661E1"/>
    <w:rsid w:val="005703EE"/>
    <w:rsid w:val="00571501"/>
    <w:rsid w:val="005722A1"/>
    <w:rsid w:val="0057253E"/>
    <w:rsid w:val="00572A4A"/>
    <w:rsid w:val="00572E88"/>
    <w:rsid w:val="00572F59"/>
    <w:rsid w:val="00573746"/>
    <w:rsid w:val="00573B46"/>
    <w:rsid w:val="00573C8F"/>
    <w:rsid w:val="00574712"/>
    <w:rsid w:val="00574871"/>
    <w:rsid w:val="005748C7"/>
    <w:rsid w:val="005767F5"/>
    <w:rsid w:val="00576C5E"/>
    <w:rsid w:val="00577020"/>
    <w:rsid w:val="00577307"/>
    <w:rsid w:val="00577C17"/>
    <w:rsid w:val="005804CC"/>
    <w:rsid w:val="005808D8"/>
    <w:rsid w:val="00580957"/>
    <w:rsid w:val="005817BC"/>
    <w:rsid w:val="005818B8"/>
    <w:rsid w:val="00582297"/>
    <w:rsid w:val="005824FB"/>
    <w:rsid w:val="00582542"/>
    <w:rsid w:val="00582549"/>
    <w:rsid w:val="00582D8A"/>
    <w:rsid w:val="005830FA"/>
    <w:rsid w:val="00583AAA"/>
    <w:rsid w:val="005848AB"/>
    <w:rsid w:val="00584CA3"/>
    <w:rsid w:val="005852E8"/>
    <w:rsid w:val="005856BA"/>
    <w:rsid w:val="00586955"/>
    <w:rsid w:val="00586C1D"/>
    <w:rsid w:val="005870EB"/>
    <w:rsid w:val="00591ACA"/>
    <w:rsid w:val="0059216D"/>
    <w:rsid w:val="00592DCF"/>
    <w:rsid w:val="00592FD2"/>
    <w:rsid w:val="00593024"/>
    <w:rsid w:val="005940BA"/>
    <w:rsid w:val="005948FF"/>
    <w:rsid w:val="005955BA"/>
    <w:rsid w:val="00596575"/>
    <w:rsid w:val="00596A6F"/>
    <w:rsid w:val="00597DB4"/>
    <w:rsid w:val="005A025B"/>
    <w:rsid w:val="005A0B59"/>
    <w:rsid w:val="005A1284"/>
    <w:rsid w:val="005A12E3"/>
    <w:rsid w:val="005A245A"/>
    <w:rsid w:val="005A2C7B"/>
    <w:rsid w:val="005A326F"/>
    <w:rsid w:val="005A3602"/>
    <w:rsid w:val="005A4C11"/>
    <w:rsid w:val="005B0F9A"/>
    <w:rsid w:val="005B109E"/>
    <w:rsid w:val="005B1A42"/>
    <w:rsid w:val="005B1B50"/>
    <w:rsid w:val="005B3BBE"/>
    <w:rsid w:val="005B3F6C"/>
    <w:rsid w:val="005B4DB1"/>
    <w:rsid w:val="005B6CE1"/>
    <w:rsid w:val="005B7198"/>
    <w:rsid w:val="005B77A6"/>
    <w:rsid w:val="005C11DC"/>
    <w:rsid w:val="005C11FB"/>
    <w:rsid w:val="005C162E"/>
    <w:rsid w:val="005C1B9F"/>
    <w:rsid w:val="005C1E96"/>
    <w:rsid w:val="005C22BC"/>
    <w:rsid w:val="005C3912"/>
    <w:rsid w:val="005C3AB0"/>
    <w:rsid w:val="005C417A"/>
    <w:rsid w:val="005C5C40"/>
    <w:rsid w:val="005C6436"/>
    <w:rsid w:val="005D0210"/>
    <w:rsid w:val="005D0731"/>
    <w:rsid w:val="005D0C8B"/>
    <w:rsid w:val="005D0D95"/>
    <w:rsid w:val="005D0F65"/>
    <w:rsid w:val="005D181C"/>
    <w:rsid w:val="005D1866"/>
    <w:rsid w:val="005D1CA8"/>
    <w:rsid w:val="005D22FC"/>
    <w:rsid w:val="005D2435"/>
    <w:rsid w:val="005D26A4"/>
    <w:rsid w:val="005D27C6"/>
    <w:rsid w:val="005D3D41"/>
    <w:rsid w:val="005D4EBA"/>
    <w:rsid w:val="005D5015"/>
    <w:rsid w:val="005D5322"/>
    <w:rsid w:val="005D598D"/>
    <w:rsid w:val="005D736F"/>
    <w:rsid w:val="005D7421"/>
    <w:rsid w:val="005D7958"/>
    <w:rsid w:val="005E04AF"/>
    <w:rsid w:val="005E12C5"/>
    <w:rsid w:val="005E1540"/>
    <w:rsid w:val="005E24FE"/>
    <w:rsid w:val="005E2C68"/>
    <w:rsid w:val="005E3E4F"/>
    <w:rsid w:val="005E427D"/>
    <w:rsid w:val="005E48C0"/>
    <w:rsid w:val="005E4F70"/>
    <w:rsid w:val="005E51E8"/>
    <w:rsid w:val="005E60EB"/>
    <w:rsid w:val="005E74A8"/>
    <w:rsid w:val="005E7CE8"/>
    <w:rsid w:val="005F0BC1"/>
    <w:rsid w:val="005F13D4"/>
    <w:rsid w:val="005F162E"/>
    <w:rsid w:val="005F16C3"/>
    <w:rsid w:val="005F1739"/>
    <w:rsid w:val="005F2A1E"/>
    <w:rsid w:val="005F328B"/>
    <w:rsid w:val="005F378D"/>
    <w:rsid w:val="005F4163"/>
    <w:rsid w:val="005F5878"/>
    <w:rsid w:val="005F6B5A"/>
    <w:rsid w:val="005F723D"/>
    <w:rsid w:val="005F74F3"/>
    <w:rsid w:val="005F75C6"/>
    <w:rsid w:val="005F7995"/>
    <w:rsid w:val="00600500"/>
    <w:rsid w:val="0060092D"/>
    <w:rsid w:val="00601372"/>
    <w:rsid w:val="00601632"/>
    <w:rsid w:val="00603B57"/>
    <w:rsid w:val="006041C3"/>
    <w:rsid w:val="006052FC"/>
    <w:rsid w:val="006054D7"/>
    <w:rsid w:val="006058F8"/>
    <w:rsid w:val="00605A28"/>
    <w:rsid w:val="00605E5D"/>
    <w:rsid w:val="00605E6E"/>
    <w:rsid w:val="00610BBF"/>
    <w:rsid w:val="0061255E"/>
    <w:rsid w:val="0061346C"/>
    <w:rsid w:val="006134D9"/>
    <w:rsid w:val="00613FB5"/>
    <w:rsid w:val="00614E98"/>
    <w:rsid w:val="0061562C"/>
    <w:rsid w:val="006158FE"/>
    <w:rsid w:val="00615972"/>
    <w:rsid w:val="00616E72"/>
    <w:rsid w:val="0062082A"/>
    <w:rsid w:val="00620ACF"/>
    <w:rsid w:val="006216A6"/>
    <w:rsid w:val="00621E00"/>
    <w:rsid w:val="00622538"/>
    <w:rsid w:val="0062295C"/>
    <w:rsid w:val="00623AD2"/>
    <w:rsid w:val="00624591"/>
    <w:rsid w:val="00625DB8"/>
    <w:rsid w:val="0062699E"/>
    <w:rsid w:val="00626E0B"/>
    <w:rsid w:val="00627277"/>
    <w:rsid w:val="0062739D"/>
    <w:rsid w:val="00631C30"/>
    <w:rsid w:val="00631D13"/>
    <w:rsid w:val="006323B2"/>
    <w:rsid w:val="00632B51"/>
    <w:rsid w:val="00632CD8"/>
    <w:rsid w:val="00633021"/>
    <w:rsid w:val="0063454C"/>
    <w:rsid w:val="00635358"/>
    <w:rsid w:val="00636962"/>
    <w:rsid w:val="00637781"/>
    <w:rsid w:val="00637A8C"/>
    <w:rsid w:val="00637C9F"/>
    <w:rsid w:val="00640199"/>
    <w:rsid w:val="00641920"/>
    <w:rsid w:val="006429C8"/>
    <w:rsid w:val="00642ADE"/>
    <w:rsid w:val="0064334D"/>
    <w:rsid w:val="0064390A"/>
    <w:rsid w:val="006447C5"/>
    <w:rsid w:val="00644C71"/>
    <w:rsid w:val="0064564F"/>
    <w:rsid w:val="006462FA"/>
    <w:rsid w:val="00646ED3"/>
    <w:rsid w:val="0065093C"/>
    <w:rsid w:val="00652AA7"/>
    <w:rsid w:val="00657AE0"/>
    <w:rsid w:val="00660EBB"/>
    <w:rsid w:val="00663721"/>
    <w:rsid w:val="00663CC5"/>
    <w:rsid w:val="006648F3"/>
    <w:rsid w:val="0066507A"/>
    <w:rsid w:val="00665C10"/>
    <w:rsid w:val="006669BE"/>
    <w:rsid w:val="006700F7"/>
    <w:rsid w:val="006701CF"/>
    <w:rsid w:val="00670660"/>
    <w:rsid w:val="00670CF3"/>
    <w:rsid w:val="00672034"/>
    <w:rsid w:val="00672A66"/>
    <w:rsid w:val="006732BE"/>
    <w:rsid w:val="00674BF8"/>
    <w:rsid w:val="00675C9A"/>
    <w:rsid w:val="006764F6"/>
    <w:rsid w:val="0067701A"/>
    <w:rsid w:val="0067745D"/>
    <w:rsid w:val="0067764B"/>
    <w:rsid w:val="00680940"/>
    <w:rsid w:val="006817AA"/>
    <w:rsid w:val="006838E2"/>
    <w:rsid w:val="00684D69"/>
    <w:rsid w:val="006864A4"/>
    <w:rsid w:val="006866EB"/>
    <w:rsid w:val="00686AF3"/>
    <w:rsid w:val="00686E84"/>
    <w:rsid w:val="00687163"/>
    <w:rsid w:val="0068740B"/>
    <w:rsid w:val="00687C7A"/>
    <w:rsid w:val="00690D8F"/>
    <w:rsid w:val="006913E5"/>
    <w:rsid w:val="0069163F"/>
    <w:rsid w:val="006928F3"/>
    <w:rsid w:val="00692B5F"/>
    <w:rsid w:val="00692CC7"/>
    <w:rsid w:val="006936B3"/>
    <w:rsid w:val="00693E98"/>
    <w:rsid w:val="00694873"/>
    <w:rsid w:val="006952F5"/>
    <w:rsid w:val="00695C69"/>
    <w:rsid w:val="00695F48"/>
    <w:rsid w:val="00695FA9"/>
    <w:rsid w:val="006A1006"/>
    <w:rsid w:val="006A16DC"/>
    <w:rsid w:val="006A2E04"/>
    <w:rsid w:val="006A2F51"/>
    <w:rsid w:val="006A350C"/>
    <w:rsid w:val="006A4243"/>
    <w:rsid w:val="006A4483"/>
    <w:rsid w:val="006A4B85"/>
    <w:rsid w:val="006A5596"/>
    <w:rsid w:val="006A70BB"/>
    <w:rsid w:val="006A76A2"/>
    <w:rsid w:val="006B13E5"/>
    <w:rsid w:val="006B1470"/>
    <w:rsid w:val="006B1818"/>
    <w:rsid w:val="006B19A2"/>
    <w:rsid w:val="006B247E"/>
    <w:rsid w:val="006B268E"/>
    <w:rsid w:val="006B2C54"/>
    <w:rsid w:val="006B317B"/>
    <w:rsid w:val="006B4620"/>
    <w:rsid w:val="006B580B"/>
    <w:rsid w:val="006B58FD"/>
    <w:rsid w:val="006B65FC"/>
    <w:rsid w:val="006B6DE3"/>
    <w:rsid w:val="006B7463"/>
    <w:rsid w:val="006B7FEF"/>
    <w:rsid w:val="006C02E3"/>
    <w:rsid w:val="006C0924"/>
    <w:rsid w:val="006C0B48"/>
    <w:rsid w:val="006C162A"/>
    <w:rsid w:val="006C17D8"/>
    <w:rsid w:val="006C1B42"/>
    <w:rsid w:val="006C1BEE"/>
    <w:rsid w:val="006C2E6E"/>
    <w:rsid w:val="006C30E2"/>
    <w:rsid w:val="006C4434"/>
    <w:rsid w:val="006C5170"/>
    <w:rsid w:val="006C5416"/>
    <w:rsid w:val="006C56C9"/>
    <w:rsid w:val="006C5FE2"/>
    <w:rsid w:val="006C6BE5"/>
    <w:rsid w:val="006C6D9C"/>
    <w:rsid w:val="006C7603"/>
    <w:rsid w:val="006C7636"/>
    <w:rsid w:val="006D05E4"/>
    <w:rsid w:val="006D0B21"/>
    <w:rsid w:val="006D144F"/>
    <w:rsid w:val="006D1BA3"/>
    <w:rsid w:val="006D2A0D"/>
    <w:rsid w:val="006D2CC6"/>
    <w:rsid w:val="006D2FD4"/>
    <w:rsid w:val="006D389E"/>
    <w:rsid w:val="006D410A"/>
    <w:rsid w:val="006D4270"/>
    <w:rsid w:val="006D4C2A"/>
    <w:rsid w:val="006D567B"/>
    <w:rsid w:val="006D6D79"/>
    <w:rsid w:val="006D71DE"/>
    <w:rsid w:val="006D77BE"/>
    <w:rsid w:val="006D7D2A"/>
    <w:rsid w:val="006E0B76"/>
    <w:rsid w:val="006E12EF"/>
    <w:rsid w:val="006E1445"/>
    <w:rsid w:val="006E1A78"/>
    <w:rsid w:val="006E1CF0"/>
    <w:rsid w:val="006E241C"/>
    <w:rsid w:val="006E2EB3"/>
    <w:rsid w:val="006E318B"/>
    <w:rsid w:val="006E3737"/>
    <w:rsid w:val="006E3EAB"/>
    <w:rsid w:val="006E4B2A"/>
    <w:rsid w:val="006E521B"/>
    <w:rsid w:val="006E55E0"/>
    <w:rsid w:val="006E5AC6"/>
    <w:rsid w:val="006E611E"/>
    <w:rsid w:val="006E65DA"/>
    <w:rsid w:val="006E6FB8"/>
    <w:rsid w:val="006E7782"/>
    <w:rsid w:val="006E7A79"/>
    <w:rsid w:val="006F01D5"/>
    <w:rsid w:val="006F0505"/>
    <w:rsid w:val="006F0C5D"/>
    <w:rsid w:val="006F1891"/>
    <w:rsid w:val="006F30B4"/>
    <w:rsid w:val="006F37F2"/>
    <w:rsid w:val="006F3939"/>
    <w:rsid w:val="006F4607"/>
    <w:rsid w:val="006F46C3"/>
    <w:rsid w:val="006F5186"/>
    <w:rsid w:val="006F60F4"/>
    <w:rsid w:val="006F6E12"/>
    <w:rsid w:val="006F7A83"/>
    <w:rsid w:val="00700298"/>
    <w:rsid w:val="00700515"/>
    <w:rsid w:val="00700AEA"/>
    <w:rsid w:val="007011ED"/>
    <w:rsid w:val="00701A84"/>
    <w:rsid w:val="00702F0C"/>
    <w:rsid w:val="00703816"/>
    <w:rsid w:val="00705859"/>
    <w:rsid w:val="007058F5"/>
    <w:rsid w:val="00706041"/>
    <w:rsid w:val="00706332"/>
    <w:rsid w:val="00707240"/>
    <w:rsid w:val="0071088F"/>
    <w:rsid w:val="00710FC5"/>
    <w:rsid w:val="00711AAD"/>
    <w:rsid w:val="007123AF"/>
    <w:rsid w:val="00712A96"/>
    <w:rsid w:val="00712AB0"/>
    <w:rsid w:val="00714E01"/>
    <w:rsid w:val="00716073"/>
    <w:rsid w:val="007166F9"/>
    <w:rsid w:val="00716A3F"/>
    <w:rsid w:val="00720704"/>
    <w:rsid w:val="00721056"/>
    <w:rsid w:val="00721CA8"/>
    <w:rsid w:val="00721DDF"/>
    <w:rsid w:val="00722A70"/>
    <w:rsid w:val="00723378"/>
    <w:rsid w:val="00723AEF"/>
    <w:rsid w:val="00724044"/>
    <w:rsid w:val="00724B96"/>
    <w:rsid w:val="0072589E"/>
    <w:rsid w:val="00725C94"/>
    <w:rsid w:val="00726A6C"/>
    <w:rsid w:val="00726B23"/>
    <w:rsid w:val="00726DB7"/>
    <w:rsid w:val="007274AC"/>
    <w:rsid w:val="00727E09"/>
    <w:rsid w:val="00727E29"/>
    <w:rsid w:val="0073090E"/>
    <w:rsid w:val="00730C9F"/>
    <w:rsid w:val="00730F19"/>
    <w:rsid w:val="007328CE"/>
    <w:rsid w:val="00732A79"/>
    <w:rsid w:val="00733083"/>
    <w:rsid w:val="00735916"/>
    <w:rsid w:val="00736851"/>
    <w:rsid w:val="00737428"/>
    <w:rsid w:val="00740A9B"/>
    <w:rsid w:val="00741456"/>
    <w:rsid w:val="0074152B"/>
    <w:rsid w:val="007425FE"/>
    <w:rsid w:val="00742B21"/>
    <w:rsid w:val="0074323B"/>
    <w:rsid w:val="00743E21"/>
    <w:rsid w:val="00744246"/>
    <w:rsid w:val="00744312"/>
    <w:rsid w:val="00744517"/>
    <w:rsid w:val="00745371"/>
    <w:rsid w:val="0074577D"/>
    <w:rsid w:val="007469C9"/>
    <w:rsid w:val="00747796"/>
    <w:rsid w:val="00747815"/>
    <w:rsid w:val="00750137"/>
    <w:rsid w:val="0075115C"/>
    <w:rsid w:val="00752FAB"/>
    <w:rsid w:val="00754096"/>
    <w:rsid w:val="00754DCB"/>
    <w:rsid w:val="00755157"/>
    <w:rsid w:val="00757A8B"/>
    <w:rsid w:val="00757CCD"/>
    <w:rsid w:val="0076094B"/>
    <w:rsid w:val="0076188A"/>
    <w:rsid w:val="0076228A"/>
    <w:rsid w:val="00762418"/>
    <w:rsid w:val="00762C99"/>
    <w:rsid w:val="007635B5"/>
    <w:rsid w:val="00763D23"/>
    <w:rsid w:val="007642BC"/>
    <w:rsid w:val="00764AD3"/>
    <w:rsid w:val="00764B65"/>
    <w:rsid w:val="00764CF3"/>
    <w:rsid w:val="00765089"/>
    <w:rsid w:val="00765A88"/>
    <w:rsid w:val="00766147"/>
    <w:rsid w:val="007662BD"/>
    <w:rsid w:val="00766DD4"/>
    <w:rsid w:val="00767CE1"/>
    <w:rsid w:val="00770518"/>
    <w:rsid w:val="00770C01"/>
    <w:rsid w:val="007724D2"/>
    <w:rsid w:val="00772765"/>
    <w:rsid w:val="007727A0"/>
    <w:rsid w:val="00772E30"/>
    <w:rsid w:val="0077300E"/>
    <w:rsid w:val="0077333E"/>
    <w:rsid w:val="007740A7"/>
    <w:rsid w:val="00775383"/>
    <w:rsid w:val="00775882"/>
    <w:rsid w:val="007769FC"/>
    <w:rsid w:val="00780470"/>
    <w:rsid w:val="00780F2F"/>
    <w:rsid w:val="00782F7F"/>
    <w:rsid w:val="00784293"/>
    <w:rsid w:val="0078434A"/>
    <w:rsid w:val="00785ACD"/>
    <w:rsid w:val="00786D21"/>
    <w:rsid w:val="00786E28"/>
    <w:rsid w:val="00787137"/>
    <w:rsid w:val="007872BA"/>
    <w:rsid w:val="007875F2"/>
    <w:rsid w:val="00787D65"/>
    <w:rsid w:val="00790A94"/>
    <w:rsid w:val="00790DE9"/>
    <w:rsid w:val="007911B2"/>
    <w:rsid w:val="00791686"/>
    <w:rsid w:val="0079170A"/>
    <w:rsid w:val="00792F89"/>
    <w:rsid w:val="007939B5"/>
    <w:rsid w:val="0079432D"/>
    <w:rsid w:val="00795AC3"/>
    <w:rsid w:val="0079653A"/>
    <w:rsid w:val="007969B4"/>
    <w:rsid w:val="00797321"/>
    <w:rsid w:val="00797ACE"/>
    <w:rsid w:val="007A012B"/>
    <w:rsid w:val="007A08F7"/>
    <w:rsid w:val="007A108D"/>
    <w:rsid w:val="007A1285"/>
    <w:rsid w:val="007A1E5B"/>
    <w:rsid w:val="007A2435"/>
    <w:rsid w:val="007A2E3A"/>
    <w:rsid w:val="007A2F7F"/>
    <w:rsid w:val="007A2FFD"/>
    <w:rsid w:val="007A36C9"/>
    <w:rsid w:val="007A3C01"/>
    <w:rsid w:val="007A4013"/>
    <w:rsid w:val="007A4581"/>
    <w:rsid w:val="007A5188"/>
    <w:rsid w:val="007A57DE"/>
    <w:rsid w:val="007A5A05"/>
    <w:rsid w:val="007A6512"/>
    <w:rsid w:val="007A67FD"/>
    <w:rsid w:val="007A6961"/>
    <w:rsid w:val="007A6A8B"/>
    <w:rsid w:val="007A6DC5"/>
    <w:rsid w:val="007A7615"/>
    <w:rsid w:val="007A7C22"/>
    <w:rsid w:val="007B0144"/>
    <w:rsid w:val="007B03FA"/>
    <w:rsid w:val="007B093C"/>
    <w:rsid w:val="007B177A"/>
    <w:rsid w:val="007B17DB"/>
    <w:rsid w:val="007B214A"/>
    <w:rsid w:val="007B25EA"/>
    <w:rsid w:val="007B300E"/>
    <w:rsid w:val="007B3D71"/>
    <w:rsid w:val="007B411C"/>
    <w:rsid w:val="007B451E"/>
    <w:rsid w:val="007B5194"/>
    <w:rsid w:val="007B51E7"/>
    <w:rsid w:val="007B5213"/>
    <w:rsid w:val="007B5FED"/>
    <w:rsid w:val="007B63EB"/>
    <w:rsid w:val="007B7DDF"/>
    <w:rsid w:val="007C0417"/>
    <w:rsid w:val="007C0DE9"/>
    <w:rsid w:val="007C0DEE"/>
    <w:rsid w:val="007C1FD0"/>
    <w:rsid w:val="007C2538"/>
    <w:rsid w:val="007C292F"/>
    <w:rsid w:val="007C4959"/>
    <w:rsid w:val="007C4EC6"/>
    <w:rsid w:val="007C6880"/>
    <w:rsid w:val="007C6B22"/>
    <w:rsid w:val="007C6C24"/>
    <w:rsid w:val="007C71D7"/>
    <w:rsid w:val="007C76E1"/>
    <w:rsid w:val="007D04C0"/>
    <w:rsid w:val="007D07A2"/>
    <w:rsid w:val="007D16DC"/>
    <w:rsid w:val="007D1E26"/>
    <w:rsid w:val="007D27AC"/>
    <w:rsid w:val="007D29C2"/>
    <w:rsid w:val="007D29E5"/>
    <w:rsid w:val="007D3555"/>
    <w:rsid w:val="007D3AAE"/>
    <w:rsid w:val="007D4C26"/>
    <w:rsid w:val="007D52D4"/>
    <w:rsid w:val="007D5CBB"/>
    <w:rsid w:val="007D6572"/>
    <w:rsid w:val="007D6E72"/>
    <w:rsid w:val="007E0563"/>
    <w:rsid w:val="007E2F3F"/>
    <w:rsid w:val="007E3073"/>
    <w:rsid w:val="007E331A"/>
    <w:rsid w:val="007E3EC2"/>
    <w:rsid w:val="007E58A7"/>
    <w:rsid w:val="007E5B19"/>
    <w:rsid w:val="007E6590"/>
    <w:rsid w:val="007E78FD"/>
    <w:rsid w:val="007E79C9"/>
    <w:rsid w:val="007F0916"/>
    <w:rsid w:val="007F19CB"/>
    <w:rsid w:val="007F23FE"/>
    <w:rsid w:val="007F24FF"/>
    <w:rsid w:val="007F2C97"/>
    <w:rsid w:val="007F2D92"/>
    <w:rsid w:val="007F33A5"/>
    <w:rsid w:val="007F364E"/>
    <w:rsid w:val="007F3773"/>
    <w:rsid w:val="007F5096"/>
    <w:rsid w:val="007F5359"/>
    <w:rsid w:val="007F561C"/>
    <w:rsid w:val="007F5BDE"/>
    <w:rsid w:val="007F5E71"/>
    <w:rsid w:val="007F6A96"/>
    <w:rsid w:val="007F7682"/>
    <w:rsid w:val="007F7CC6"/>
    <w:rsid w:val="00800AA1"/>
    <w:rsid w:val="00800ABF"/>
    <w:rsid w:val="008016DA"/>
    <w:rsid w:val="00802B3E"/>
    <w:rsid w:val="00802C50"/>
    <w:rsid w:val="0080337C"/>
    <w:rsid w:val="00803888"/>
    <w:rsid w:val="00803D1B"/>
    <w:rsid w:val="00804212"/>
    <w:rsid w:val="00804854"/>
    <w:rsid w:val="00804DFD"/>
    <w:rsid w:val="00805D01"/>
    <w:rsid w:val="00811710"/>
    <w:rsid w:val="00811DCC"/>
    <w:rsid w:val="00811EEB"/>
    <w:rsid w:val="00813C00"/>
    <w:rsid w:val="0081434E"/>
    <w:rsid w:val="00814372"/>
    <w:rsid w:val="00814456"/>
    <w:rsid w:val="00814ACE"/>
    <w:rsid w:val="00814CE9"/>
    <w:rsid w:val="008150BB"/>
    <w:rsid w:val="00815154"/>
    <w:rsid w:val="00815921"/>
    <w:rsid w:val="00815BD1"/>
    <w:rsid w:val="00815F38"/>
    <w:rsid w:val="0082122C"/>
    <w:rsid w:val="00821C95"/>
    <w:rsid w:val="00821E8E"/>
    <w:rsid w:val="008222D4"/>
    <w:rsid w:val="00822B05"/>
    <w:rsid w:val="00822C61"/>
    <w:rsid w:val="0082300E"/>
    <w:rsid w:val="00823971"/>
    <w:rsid w:val="008256CE"/>
    <w:rsid w:val="008256EF"/>
    <w:rsid w:val="0082595F"/>
    <w:rsid w:val="00825F53"/>
    <w:rsid w:val="008261CA"/>
    <w:rsid w:val="00826534"/>
    <w:rsid w:val="0082695B"/>
    <w:rsid w:val="00826C28"/>
    <w:rsid w:val="00830B21"/>
    <w:rsid w:val="00830B2C"/>
    <w:rsid w:val="00831B22"/>
    <w:rsid w:val="008321D1"/>
    <w:rsid w:val="00833491"/>
    <w:rsid w:val="00833AB7"/>
    <w:rsid w:val="00833E5B"/>
    <w:rsid w:val="00834750"/>
    <w:rsid w:val="00835658"/>
    <w:rsid w:val="00835A5E"/>
    <w:rsid w:val="00835E16"/>
    <w:rsid w:val="0083774C"/>
    <w:rsid w:val="00837CCA"/>
    <w:rsid w:val="00837D10"/>
    <w:rsid w:val="008405DF"/>
    <w:rsid w:val="00841718"/>
    <w:rsid w:val="00841E6D"/>
    <w:rsid w:val="00842210"/>
    <w:rsid w:val="00842723"/>
    <w:rsid w:val="00842D0A"/>
    <w:rsid w:val="00843663"/>
    <w:rsid w:val="00843B88"/>
    <w:rsid w:val="00843D26"/>
    <w:rsid w:val="00844017"/>
    <w:rsid w:val="008444F0"/>
    <w:rsid w:val="00844D54"/>
    <w:rsid w:val="00845B48"/>
    <w:rsid w:val="00845B57"/>
    <w:rsid w:val="0084602F"/>
    <w:rsid w:val="008460A6"/>
    <w:rsid w:val="0084700D"/>
    <w:rsid w:val="00847755"/>
    <w:rsid w:val="00851107"/>
    <w:rsid w:val="008512F9"/>
    <w:rsid w:val="0085193C"/>
    <w:rsid w:val="00851E8D"/>
    <w:rsid w:val="00851EC7"/>
    <w:rsid w:val="00851FB3"/>
    <w:rsid w:val="00852454"/>
    <w:rsid w:val="0085267C"/>
    <w:rsid w:val="00853A02"/>
    <w:rsid w:val="008555F3"/>
    <w:rsid w:val="0085592A"/>
    <w:rsid w:val="008567AE"/>
    <w:rsid w:val="00856897"/>
    <w:rsid w:val="00857965"/>
    <w:rsid w:val="008602E0"/>
    <w:rsid w:val="00860DD6"/>
    <w:rsid w:val="00861119"/>
    <w:rsid w:val="00861146"/>
    <w:rsid w:val="00862054"/>
    <w:rsid w:val="008625DD"/>
    <w:rsid w:val="00862F2B"/>
    <w:rsid w:val="008631DC"/>
    <w:rsid w:val="008631FE"/>
    <w:rsid w:val="00863238"/>
    <w:rsid w:val="008634A5"/>
    <w:rsid w:val="00863607"/>
    <w:rsid w:val="00863A03"/>
    <w:rsid w:val="00864D6D"/>
    <w:rsid w:val="00865948"/>
    <w:rsid w:val="00865A18"/>
    <w:rsid w:val="00865AA4"/>
    <w:rsid w:val="00870196"/>
    <w:rsid w:val="00870C29"/>
    <w:rsid w:val="00873586"/>
    <w:rsid w:val="00874417"/>
    <w:rsid w:val="00874F32"/>
    <w:rsid w:val="008751FD"/>
    <w:rsid w:val="00875C0E"/>
    <w:rsid w:val="0087656A"/>
    <w:rsid w:val="0087786C"/>
    <w:rsid w:val="00877B50"/>
    <w:rsid w:val="00880C4E"/>
    <w:rsid w:val="0088108E"/>
    <w:rsid w:val="00881439"/>
    <w:rsid w:val="0088159C"/>
    <w:rsid w:val="0088212A"/>
    <w:rsid w:val="00882631"/>
    <w:rsid w:val="00882F90"/>
    <w:rsid w:val="00883002"/>
    <w:rsid w:val="00883899"/>
    <w:rsid w:val="00883B2E"/>
    <w:rsid w:val="00884003"/>
    <w:rsid w:val="0088451C"/>
    <w:rsid w:val="00884568"/>
    <w:rsid w:val="00885C03"/>
    <w:rsid w:val="00886969"/>
    <w:rsid w:val="00886BF2"/>
    <w:rsid w:val="00886D39"/>
    <w:rsid w:val="00887412"/>
    <w:rsid w:val="00887890"/>
    <w:rsid w:val="00887C3F"/>
    <w:rsid w:val="00887E57"/>
    <w:rsid w:val="00890165"/>
    <w:rsid w:val="00896185"/>
    <w:rsid w:val="008965DE"/>
    <w:rsid w:val="00896DA9"/>
    <w:rsid w:val="00897259"/>
    <w:rsid w:val="00897743"/>
    <w:rsid w:val="008A0C3A"/>
    <w:rsid w:val="008A0C4A"/>
    <w:rsid w:val="008A15D3"/>
    <w:rsid w:val="008A1FAB"/>
    <w:rsid w:val="008A2254"/>
    <w:rsid w:val="008A3340"/>
    <w:rsid w:val="008A3781"/>
    <w:rsid w:val="008A3945"/>
    <w:rsid w:val="008A4249"/>
    <w:rsid w:val="008A4B01"/>
    <w:rsid w:val="008A4C9A"/>
    <w:rsid w:val="008A4F8A"/>
    <w:rsid w:val="008A622C"/>
    <w:rsid w:val="008A6265"/>
    <w:rsid w:val="008A6599"/>
    <w:rsid w:val="008A6CB2"/>
    <w:rsid w:val="008B013C"/>
    <w:rsid w:val="008B098B"/>
    <w:rsid w:val="008B18FD"/>
    <w:rsid w:val="008B1A29"/>
    <w:rsid w:val="008B236F"/>
    <w:rsid w:val="008B30BB"/>
    <w:rsid w:val="008B3D0A"/>
    <w:rsid w:val="008B3F4C"/>
    <w:rsid w:val="008B46C9"/>
    <w:rsid w:val="008B4958"/>
    <w:rsid w:val="008B65EE"/>
    <w:rsid w:val="008C00A1"/>
    <w:rsid w:val="008C063E"/>
    <w:rsid w:val="008C071D"/>
    <w:rsid w:val="008C10FA"/>
    <w:rsid w:val="008C1A6B"/>
    <w:rsid w:val="008C24C8"/>
    <w:rsid w:val="008C2F06"/>
    <w:rsid w:val="008C4D93"/>
    <w:rsid w:val="008C5578"/>
    <w:rsid w:val="008C6F6B"/>
    <w:rsid w:val="008C751D"/>
    <w:rsid w:val="008C78A2"/>
    <w:rsid w:val="008D085E"/>
    <w:rsid w:val="008D0EA5"/>
    <w:rsid w:val="008D1879"/>
    <w:rsid w:val="008D2B4F"/>
    <w:rsid w:val="008D49CD"/>
    <w:rsid w:val="008D5567"/>
    <w:rsid w:val="008D70C7"/>
    <w:rsid w:val="008D719D"/>
    <w:rsid w:val="008D7A59"/>
    <w:rsid w:val="008D7E81"/>
    <w:rsid w:val="008E18CB"/>
    <w:rsid w:val="008E26FF"/>
    <w:rsid w:val="008E2781"/>
    <w:rsid w:val="008E2CA5"/>
    <w:rsid w:val="008E2F28"/>
    <w:rsid w:val="008E35BB"/>
    <w:rsid w:val="008E3802"/>
    <w:rsid w:val="008E38C4"/>
    <w:rsid w:val="008E3A41"/>
    <w:rsid w:val="008E4412"/>
    <w:rsid w:val="008E4EE0"/>
    <w:rsid w:val="008E7E3F"/>
    <w:rsid w:val="008E7E96"/>
    <w:rsid w:val="008F0293"/>
    <w:rsid w:val="008F1130"/>
    <w:rsid w:val="008F2A48"/>
    <w:rsid w:val="008F2DB6"/>
    <w:rsid w:val="008F527B"/>
    <w:rsid w:val="008F5859"/>
    <w:rsid w:val="008F5CCA"/>
    <w:rsid w:val="008F67B9"/>
    <w:rsid w:val="008F6A76"/>
    <w:rsid w:val="008F78BF"/>
    <w:rsid w:val="009005E4"/>
    <w:rsid w:val="00900D51"/>
    <w:rsid w:val="0090152F"/>
    <w:rsid w:val="00901A6B"/>
    <w:rsid w:val="00902228"/>
    <w:rsid w:val="009025CE"/>
    <w:rsid w:val="009026A8"/>
    <w:rsid w:val="00902AC4"/>
    <w:rsid w:val="0090509F"/>
    <w:rsid w:val="00905AE6"/>
    <w:rsid w:val="00906F08"/>
    <w:rsid w:val="0090794E"/>
    <w:rsid w:val="009102B1"/>
    <w:rsid w:val="0091046D"/>
    <w:rsid w:val="0091072D"/>
    <w:rsid w:val="009113E1"/>
    <w:rsid w:val="00911CD1"/>
    <w:rsid w:val="00912137"/>
    <w:rsid w:val="00912DC1"/>
    <w:rsid w:val="00913533"/>
    <w:rsid w:val="00913849"/>
    <w:rsid w:val="00913DA9"/>
    <w:rsid w:val="0091494B"/>
    <w:rsid w:val="00914F5F"/>
    <w:rsid w:val="009153E0"/>
    <w:rsid w:val="0091565C"/>
    <w:rsid w:val="0091578B"/>
    <w:rsid w:val="00915B0B"/>
    <w:rsid w:val="00915BD0"/>
    <w:rsid w:val="00915FBE"/>
    <w:rsid w:val="009165B6"/>
    <w:rsid w:val="00916D76"/>
    <w:rsid w:val="00917017"/>
    <w:rsid w:val="0091764F"/>
    <w:rsid w:val="00917E11"/>
    <w:rsid w:val="0092068C"/>
    <w:rsid w:val="009208E8"/>
    <w:rsid w:val="00922D1D"/>
    <w:rsid w:val="009238C8"/>
    <w:rsid w:val="00923EE6"/>
    <w:rsid w:val="00924995"/>
    <w:rsid w:val="0092577B"/>
    <w:rsid w:val="00926831"/>
    <w:rsid w:val="00927C06"/>
    <w:rsid w:val="00930A2F"/>
    <w:rsid w:val="00931478"/>
    <w:rsid w:val="009325E4"/>
    <w:rsid w:val="00933069"/>
    <w:rsid w:val="009335B6"/>
    <w:rsid w:val="009335B8"/>
    <w:rsid w:val="00934D2B"/>
    <w:rsid w:val="009361C0"/>
    <w:rsid w:val="0093627E"/>
    <w:rsid w:val="00936564"/>
    <w:rsid w:val="00936581"/>
    <w:rsid w:val="00936753"/>
    <w:rsid w:val="00936DCF"/>
    <w:rsid w:val="00936FBB"/>
    <w:rsid w:val="00937163"/>
    <w:rsid w:val="009376E6"/>
    <w:rsid w:val="00940826"/>
    <w:rsid w:val="009418FB"/>
    <w:rsid w:val="00941A9C"/>
    <w:rsid w:val="00941D7F"/>
    <w:rsid w:val="00942082"/>
    <w:rsid w:val="00942FF5"/>
    <w:rsid w:val="009434A8"/>
    <w:rsid w:val="00943B39"/>
    <w:rsid w:val="00943F58"/>
    <w:rsid w:val="0094443B"/>
    <w:rsid w:val="0094479F"/>
    <w:rsid w:val="009466CF"/>
    <w:rsid w:val="00947325"/>
    <w:rsid w:val="009475DF"/>
    <w:rsid w:val="0094784E"/>
    <w:rsid w:val="00947882"/>
    <w:rsid w:val="0094793B"/>
    <w:rsid w:val="009500EF"/>
    <w:rsid w:val="009515A1"/>
    <w:rsid w:val="00951E49"/>
    <w:rsid w:val="00951E8D"/>
    <w:rsid w:val="009538FA"/>
    <w:rsid w:val="00953D79"/>
    <w:rsid w:val="00953FC7"/>
    <w:rsid w:val="009550FC"/>
    <w:rsid w:val="00955C4D"/>
    <w:rsid w:val="009562F3"/>
    <w:rsid w:val="00956336"/>
    <w:rsid w:val="00956684"/>
    <w:rsid w:val="00957429"/>
    <w:rsid w:val="00957B35"/>
    <w:rsid w:val="00957C87"/>
    <w:rsid w:val="00957F2D"/>
    <w:rsid w:val="00957FD8"/>
    <w:rsid w:val="0096197F"/>
    <w:rsid w:val="00962493"/>
    <w:rsid w:val="00962606"/>
    <w:rsid w:val="0096341D"/>
    <w:rsid w:val="0096390A"/>
    <w:rsid w:val="00963F5C"/>
    <w:rsid w:val="00964108"/>
    <w:rsid w:val="00964882"/>
    <w:rsid w:val="0096512C"/>
    <w:rsid w:val="009672FF"/>
    <w:rsid w:val="009678EF"/>
    <w:rsid w:val="00967A68"/>
    <w:rsid w:val="00967C66"/>
    <w:rsid w:val="00970114"/>
    <w:rsid w:val="009703B1"/>
    <w:rsid w:val="00970E5D"/>
    <w:rsid w:val="0097185D"/>
    <w:rsid w:val="00971AC4"/>
    <w:rsid w:val="00972023"/>
    <w:rsid w:val="00972737"/>
    <w:rsid w:val="00972D10"/>
    <w:rsid w:val="009731BE"/>
    <w:rsid w:val="00974C4F"/>
    <w:rsid w:val="00975526"/>
    <w:rsid w:val="00975C1B"/>
    <w:rsid w:val="00976123"/>
    <w:rsid w:val="00976894"/>
    <w:rsid w:val="009775BC"/>
    <w:rsid w:val="00977A85"/>
    <w:rsid w:val="0098013A"/>
    <w:rsid w:val="0098095B"/>
    <w:rsid w:val="00980CE5"/>
    <w:rsid w:val="00980F1C"/>
    <w:rsid w:val="00980F3E"/>
    <w:rsid w:val="00981293"/>
    <w:rsid w:val="009816BB"/>
    <w:rsid w:val="00982277"/>
    <w:rsid w:val="0098269A"/>
    <w:rsid w:val="00982DD6"/>
    <w:rsid w:val="0098401B"/>
    <w:rsid w:val="00984168"/>
    <w:rsid w:val="00984443"/>
    <w:rsid w:val="009844FD"/>
    <w:rsid w:val="0098473F"/>
    <w:rsid w:val="00984A03"/>
    <w:rsid w:val="00984B7E"/>
    <w:rsid w:val="009853F8"/>
    <w:rsid w:val="0098604D"/>
    <w:rsid w:val="00986130"/>
    <w:rsid w:val="00986DC3"/>
    <w:rsid w:val="00987385"/>
    <w:rsid w:val="009875FE"/>
    <w:rsid w:val="00987946"/>
    <w:rsid w:val="00987DAB"/>
    <w:rsid w:val="00990C32"/>
    <w:rsid w:val="00990F03"/>
    <w:rsid w:val="009910AA"/>
    <w:rsid w:val="009914DB"/>
    <w:rsid w:val="00991BD8"/>
    <w:rsid w:val="00991D9F"/>
    <w:rsid w:val="009921A8"/>
    <w:rsid w:val="00992ECC"/>
    <w:rsid w:val="00993CE9"/>
    <w:rsid w:val="00993DD3"/>
    <w:rsid w:val="0099453C"/>
    <w:rsid w:val="00994998"/>
    <w:rsid w:val="00994F30"/>
    <w:rsid w:val="00995232"/>
    <w:rsid w:val="00996086"/>
    <w:rsid w:val="00996A73"/>
    <w:rsid w:val="0099765D"/>
    <w:rsid w:val="009A026F"/>
    <w:rsid w:val="009A0B62"/>
    <w:rsid w:val="009A149C"/>
    <w:rsid w:val="009A21F7"/>
    <w:rsid w:val="009A2798"/>
    <w:rsid w:val="009A2806"/>
    <w:rsid w:val="009A4937"/>
    <w:rsid w:val="009A4C63"/>
    <w:rsid w:val="009A59A6"/>
    <w:rsid w:val="009A6828"/>
    <w:rsid w:val="009A7610"/>
    <w:rsid w:val="009B0025"/>
    <w:rsid w:val="009B115E"/>
    <w:rsid w:val="009B1ADF"/>
    <w:rsid w:val="009B2213"/>
    <w:rsid w:val="009B499F"/>
    <w:rsid w:val="009B54E6"/>
    <w:rsid w:val="009B5ED2"/>
    <w:rsid w:val="009B6435"/>
    <w:rsid w:val="009B6704"/>
    <w:rsid w:val="009B6FDF"/>
    <w:rsid w:val="009B7296"/>
    <w:rsid w:val="009C119D"/>
    <w:rsid w:val="009C221B"/>
    <w:rsid w:val="009C229D"/>
    <w:rsid w:val="009C42F0"/>
    <w:rsid w:val="009C45DA"/>
    <w:rsid w:val="009C4707"/>
    <w:rsid w:val="009C5D2B"/>
    <w:rsid w:val="009C663E"/>
    <w:rsid w:val="009C7340"/>
    <w:rsid w:val="009C7EC7"/>
    <w:rsid w:val="009C7EDE"/>
    <w:rsid w:val="009D0A6C"/>
    <w:rsid w:val="009D1D84"/>
    <w:rsid w:val="009D23D5"/>
    <w:rsid w:val="009D34B8"/>
    <w:rsid w:val="009D3584"/>
    <w:rsid w:val="009D44BD"/>
    <w:rsid w:val="009D47BD"/>
    <w:rsid w:val="009D4F5F"/>
    <w:rsid w:val="009D58EA"/>
    <w:rsid w:val="009D5C8F"/>
    <w:rsid w:val="009D5FF8"/>
    <w:rsid w:val="009D6E9B"/>
    <w:rsid w:val="009D708F"/>
    <w:rsid w:val="009E07D0"/>
    <w:rsid w:val="009E08C8"/>
    <w:rsid w:val="009E0A63"/>
    <w:rsid w:val="009E27A9"/>
    <w:rsid w:val="009E280D"/>
    <w:rsid w:val="009E2BA2"/>
    <w:rsid w:val="009E3F33"/>
    <w:rsid w:val="009E4CA3"/>
    <w:rsid w:val="009E50B5"/>
    <w:rsid w:val="009E582C"/>
    <w:rsid w:val="009E70B1"/>
    <w:rsid w:val="009E776E"/>
    <w:rsid w:val="009E7786"/>
    <w:rsid w:val="009E77CE"/>
    <w:rsid w:val="009F13DB"/>
    <w:rsid w:val="009F1AC6"/>
    <w:rsid w:val="009F1FF8"/>
    <w:rsid w:val="009F29C5"/>
    <w:rsid w:val="009F2E16"/>
    <w:rsid w:val="009F3B8E"/>
    <w:rsid w:val="009F3D52"/>
    <w:rsid w:val="009F3DEC"/>
    <w:rsid w:val="009F46DE"/>
    <w:rsid w:val="009F4ABD"/>
    <w:rsid w:val="009F5A4E"/>
    <w:rsid w:val="009F6685"/>
    <w:rsid w:val="009F7053"/>
    <w:rsid w:val="009F7563"/>
    <w:rsid w:val="00A00218"/>
    <w:rsid w:val="00A01041"/>
    <w:rsid w:val="00A0126D"/>
    <w:rsid w:val="00A013E6"/>
    <w:rsid w:val="00A01F88"/>
    <w:rsid w:val="00A024C2"/>
    <w:rsid w:val="00A02955"/>
    <w:rsid w:val="00A04543"/>
    <w:rsid w:val="00A059CF"/>
    <w:rsid w:val="00A067E3"/>
    <w:rsid w:val="00A06CC2"/>
    <w:rsid w:val="00A0727D"/>
    <w:rsid w:val="00A07D52"/>
    <w:rsid w:val="00A108BD"/>
    <w:rsid w:val="00A1267A"/>
    <w:rsid w:val="00A12938"/>
    <w:rsid w:val="00A12C7F"/>
    <w:rsid w:val="00A13CF8"/>
    <w:rsid w:val="00A13DDB"/>
    <w:rsid w:val="00A14CB0"/>
    <w:rsid w:val="00A15C2B"/>
    <w:rsid w:val="00A15C43"/>
    <w:rsid w:val="00A161A9"/>
    <w:rsid w:val="00A16B61"/>
    <w:rsid w:val="00A16DE2"/>
    <w:rsid w:val="00A1723B"/>
    <w:rsid w:val="00A20549"/>
    <w:rsid w:val="00A2083E"/>
    <w:rsid w:val="00A20C87"/>
    <w:rsid w:val="00A214E6"/>
    <w:rsid w:val="00A21599"/>
    <w:rsid w:val="00A22F71"/>
    <w:rsid w:val="00A233CF"/>
    <w:rsid w:val="00A236AA"/>
    <w:rsid w:val="00A239C4"/>
    <w:rsid w:val="00A24AE5"/>
    <w:rsid w:val="00A24F30"/>
    <w:rsid w:val="00A2583C"/>
    <w:rsid w:val="00A258DA"/>
    <w:rsid w:val="00A2591A"/>
    <w:rsid w:val="00A259CD"/>
    <w:rsid w:val="00A27AD2"/>
    <w:rsid w:val="00A31EAB"/>
    <w:rsid w:val="00A31FBE"/>
    <w:rsid w:val="00A32B8C"/>
    <w:rsid w:val="00A34902"/>
    <w:rsid w:val="00A35036"/>
    <w:rsid w:val="00A35754"/>
    <w:rsid w:val="00A35BC2"/>
    <w:rsid w:val="00A3743C"/>
    <w:rsid w:val="00A400B5"/>
    <w:rsid w:val="00A404C4"/>
    <w:rsid w:val="00A40E4C"/>
    <w:rsid w:val="00A41C01"/>
    <w:rsid w:val="00A41FB8"/>
    <w:rsid w:val="00A4210A"/>
    <w:rsid w:val="00A429B7"/>
    <w:rsid w:val="00A434EB"/>
    <w:rsid w:val="00A43591"/>
    <w:rsid w:val="00A43E24"/>
    <w:rsid w:val="00A443E0"/>
    <w:rsid w:val="00A447F6"/>
    <w:rsid w:val="00A44E3A"/>
    <w:rsid w:val="00A44EA9"/>
    <w:rsid w:val="00A4568D"/>
    <w:rsid w:val="00A45FD7"/>
    <w:rsid w:val="00A47A1B"/>
    <w:rsid w:val="00A50918"/>
    <w:rsid w:val="00A50DCD"/>
    <w:rsid w:val="00A50EF9"/>
    <w:rsid w:val="00A5190C"/>
    <w:rsid w:val="00A51D94"/>
    <w:rsid w:val="00A52A21"/>
    <w:rsid w:val="00A52AE6"/>
    <w:rsid w:val="00A52D7B"/>
    <w:rsid w:val="00A53DA3"/>
    <w:rsid w:val="00A55781"/>
    <w:rsid w:val="00A5581D"/>
    <w:rsid w:val="00A564B5"/>
    <w:rsid w:val="00A57967"/>
    <w:rsid w:val="00A57C50"/>
    <w:rsid w:val="00A57F9E"/>
    <w:rsid w:val="00A60096"/>
    <w:rsid w:val="00A6053D"/>
    <w:rsid w:val="00A6263B"/>
    <w:rsid w:val="00A62BBB"/>
    <w:rsid w:val="00A63017"/>
    <w:rsid w:val="00A6413D"/>
    <w:rsid w:val="00A644DB"/>
    <w:rsid w:val="00A64CFB"/>
    <w:rsid w:val="00A65340"/>
    <w:rsid w:val="00A65886"/>
    <w:rsid w:val="00A660F9"/>
    <w:rsid w:val="00A6626A"/>
    <w:rsid w:val="00A66830"/>
    <w:rsid w:val="00A66BBA"/>
    <w:rsid w:val="00A67921"/>
    <w:rsid w:val="00A67F0D"/>
    <w:rsid w:val="00A70836"/>
    <w:rsid w:val="00A7108D"/>
    <w:rsid w:val="00A71821"/>
    <w:rsid w:val="00A721D2"/>
    <w:rsid w:val="00A737BC"/>
    <w:rsid w:val="00A73D25"/>
    <w:rsid w:val="00A7425C"/>
    <w:rsid w:val="00A74673"/>
    <w:rsid w:val="00A74956"/>
    <w:rsid w:val="00A74BC0"/>
    <w:rsid w:val="00A75AAB"/>
    <w:rsid w:val="00A766FA"/>
    <w:rsid w:val="00A7782C"/>
    <w:rsid w:val="00A77C2A"/>
    <w:rsid w:val="00A8279C"/>
    <w:rsid w:val="00A82D90"/>
    <w:rsid w:val="00A8366F"/>
    <w:rsid w:val="00A83927"/>
    <w:rsid w:val="00A83ACD"/>
    <w:rsid w:val="00A8494D"/>
    <w:rsid w:val="00A8514D"/>
    <w:rsid w:val="00A851D7"/>
    <w:rsid w:val="00A86BC1"/>
    <w:rsid w:val="00A870AA"/>
    <w:rsid w:val="00A90140"/>
    <w:rsid w:val="00A90355"/>
    <w:rsid w:val="00A909F4"/>
    <w:rsid w:val="00A90E1F"/>
    <w:rsid w:val="00A90FFC"/>
    <w:rsid w:val="00A91E43"/>
    <w:rsid w:val="00A91F10"/>
    <w:rsid w:val="00A926A2"/>
    <w:rsid w:val="00A93CEE"/>
    <w:rsid w:val="00A95DBF"/>
    <w:rsid w:val="00A96619"/>
    <w:rsid w:val="00A96B22"/>
    <w:rsid w:val="00A96DDC"/>
    <w:rsid w:val="00A97BEC"/>
    <w:rsid w:val="00A97CE7"/>
    <w:rsid w:val="00A97ECB"/>
    <w:rsid w:val="00AA0011"/>
    <w:rsid w:val="00AA1BE6"/>
    <w:rsid w:val="00AA2824"/>
    <w:rsid w:val="00AA2C0C"/>
    <w:rsid w:val="00AA45C8"/>
    <w:rsid w:val="00AA46D7"/>
    <w:rsid w:val="00AA5425"/>
    <w:rsid w:val="00AA5687"/>
    <w:rsid w:val="00AA7077"/>
    <w:rsid w:val="00AA77E6"/>
    <w:rsid w:val="00AA794D"/>
    <w:rsid w:val="00AB002F"/>
    <w:rsid w:val="00AB0DE8"/>
    <w:rsid w:val="00AB17E1"/>
    <w:rsid w:val="00AB1F86"/>
    <w:rsid w:val="00AB2246"/>
    <w:rsid w:val="00AB22FD"/>
    <w:rsid w:val="00AB249C"/>
    <w:rsid w:val="00AB3141"/>
    <w:rsid w:val="00AB42F1"/>
    <w:rsid w:val="00AB4F2B"/>
    <w:rsid w:val="00AB51E4"/>
    <w:rsid w:val="00AB5E86"/>
    <w:rsid w:val="00AB5EF7"/>
    <w:rsid w:val="00AB609D"/>
    <w:rsid w:val="00AB66B8"/>
    <w:rsid w:val="00AB6A03"/>
    <w:rsid w:val="00AB6A64"/>
    <w:rsid w:val="00AB6E75"/>
    <w:rsid w:val="00AB734C"/>
    <w:rsid w:val="00AB73A0"/>
    <w:rsid w:val="00AB7B1B"/>
    <w:rsid w:val="00AC085A"/>
    <w:rsid w:val="00AC0F25"/>
    <w:rsid w:val="00AC0F26"/>
    <w:rsid w:val="00AC0F87"/>
    <w:rsid w:val="00AC21AA"/>
    <w:rsid w:val="00AC21FA"/>
    <w:rsid w:val="00AC2268"/>
    <w:rsid w:val="00AC27AF"/>
    <w:rsid w:val="00AC3D28"/>
    <w:rsid w:val="00AC4605"/>
    <w:rsid w:val="00AC5E3B"/>
    <w:rsid w:val="00AC6023"/>
    <w:rsid w:val="00AC69EA"/>
    <w:rsid w:val="00AC6DA1"/>
    <w:rsid w:val="00AC7CC0"/>
    <w:rsid w:val="00AD0BA3"/>
    <w:rsid w:val="00AD0FAA"/>
    <w:rsid w:val="00AD1F93"/>
    <w:rsid w:val="00AD2354"/>
    <w:rsid w:val="00AD2889"/>
    <w:rsid w:val="00AD31D4"/>
    <w:rsid w:val="00AD4A55"/>
    <w:rsid w:val="00AD4BA0"/>
    <w:rsid w:val="00AD51AC"/>
    <w:rsid w:val="00AD551F"/>
    <w:rsid w:val="00AD5960"/>
    <w:rsid w:val="00AD5F0A"/>
    <w:rsid w:val="00AD634D"/>
    <w:rsid w:val="00AD6678"/>
    <w:rsid w:val="00AD66BA"/>
    <w:rsid w:val="00AD7372"/>
    <w:rsid w:val="00AD75D8"/>
    <w:rsid w:val="00AD7CAC"/>
    <w:rsid w:val="00AD7DE4"/>
    <w:rsid w:val="00AE05DD"/>
    <w:rsid w:val="00AE0928"/>
    <w:rsid w:val="00AE0E48"/>
    <w:rsid w:val="00AE17D6"/>
    <w:rsid w:val="00AE17E6"/>
    <w:rsid w:val="00AE3D01"/>
    <w:rsid w:val="00AE4030"/>
    <w:rsid w:val="00AE4289"/>
    <w:rsid w:val="00AE4FC4"/>
    <w:rsid w:val="00AE514B"/>
    <w:rsid w:val="00AE5260"/>
    <w:rsid w:val="00AE5378"/>
    <w:rsid w:val="00AE5853"/>
    <w:rsid w:val="00AE5C90"/>
    <w:rsid w:val="00AE5CF7"/>
    <w:rsid w:val="00AE5F5F"/>
    <w:rsid w:val="00AE67B6"/>
    <w:rsid w:val="00AE6DD0"/>
    <w:rsid w:val="00AE7D5E"/>
    <w:rsid w:val="00AF08A4"/>
    <w:rsid w:val="00AF28B2"/>
    <w:rsid w:val="00AF29DB"/>
    <w:rsid w:val="00AF3442"/>
    <w:rsid w:val="00AF379B"/>
    <w:rsid w:val="00AF3FCC"/>
    <w:rsid w:val="00AF4434"/>
    <w:rsid w:val="00AF49A0"/>
    <w:rsid w:val="00AF5D13"/>
    <w:rsid w:val="00AF5D40"/>
    <w:rsid w:val="00AF6684"/>
    <w:rsid w:val="00AF7453"/>
    <w:rsid w:val="00AF7CFA"/>
    <w:rsid w:val="00B00215"/>
    <w:rsid w:val="00B021E1"/>
    <w:rsid w:val="00B02D9D"/>
    <w:rsid w:val="00B032FB"/>
    <w:rsid w:val="00B04A89"/>
    <w:rsid w:val="00B05EB7"/>
    <w:rsid w:val="00B06359"/>
    <w:rsid w:val="00B0641E"/>
    <w:rsid w:val="00B066FD"/>
    <w:rsid w:val="00B07805"/>
    <w:rsid w:val="00B078A6"/>
    <w:rsid w:val="00B10CFC"/>
    <w:rsid w:val="00B12671"/>
    <w:rsid w:val="00B1435B"/>
    <w:rsid w:val="00B15327"/>
    <w:rsid w:val="00B153E1"/>
    <w:rsid w:val="00B1618D"/>
    <w:rsid w:val="00B16219"/>
    <w:rsid w:val="00B1690E"/>
    <w:rsid w:val="00B16ADE"/>
    <w:rsid w:val="00B16EF6"/>
    <w:rsid w:val="00B17226"/>
    <w:rsid w:val="00B1739F"/>
    <w:rsid w:val="00B173D0"/>
    <w:rsid w:val="00B1766F"/>
    <w:rsid w:val="00B17914"/>
    <w:rsid w:val="00B17FFC"/>
    <w:rsid w:val="00B20435"/>
    <w:rsid w:val="00B21442"/>
    <w:rsid w:val="00B2193F"/>
    <w:rsid w:val="00B21D4A"/>
    <w:rsid w:val="00B254D4"/>
    <w:rsid w:val="00B26540"/>
    <w:rsid w:val="00B279FC"/>
    <w:rsid w:val="00B27A66"/>
    <w:rsid w:val="00B30AFC"/>
    <w:rsid w:val="00B30D0B"/>
    <w:rsid w:val="00B31581"/>
    <w:rsid w:val="00B31D1D"/>
    <w:rsid w:val="00B322BC"/>
    <w:rsid w:val="00B32974"/>
    <w:rsid w:val="00B333E0"/>
    <w:rsid w:val="00B336CC"/>
    <w:rsid w:val="00B33BC4"/>
    <w:rsid w:val="00B34169"/>
    <w:rsid w:val="00B34B02"/>
    <w:rsid w:val="00B35847"/>
    <w:rsid w:val="00B40DB4"/>
    <w:rsid w:val="00B411A7"/>
    <w:rsid w:val="00B41560"/>
    <w:rsid w:val="00B41EB8"/>
    <w:rsid w:val="00B42281"/>
    <w:rsid w:val="00B4266B"/>
    <w:rsid w:val="00B42DA3"/>
    <w:rsid w:val="00B43078"/>
    <w:rsid w:val="00B43529"/>
    <w:rsid w:val="00B43F53"/>
    <w:rsid w:val="00B441A3"/>
    <w:rsid w:val="00B45828"/>
    <w:rsid w:val="00B4788F"/>
    <w:rsid w:val="00B508B3"/>
    <w:rsid w:val="00B50C7A"/>
    <w:rsid w:val="00B51492"/>
    <w:rsid w:val="00B51807"/>
    <w:rsid w:val="00B51D11"/>
    <w:rsid w:val="00B51D4F"/>
    <w:rsid w:val="00B52304"/>
    <w:rsid w:val="00B52A28"/>
    <w:rsid w:val="00B5303C"/>
    <w:rsid w:val="00B53365"/>
    <w:rsid w:val="00B53796"/>
    <w:rsid w:val="00B537AA"/>
    <w:rsid w:val="00B54826"/>
    <w:rsid w:val="00B54BEC"/>
    <w:rsid w:val="00B550CA"/>
    <w:rsid w:val="00B5520C"/>
    <w:rsid w:val="00B55DA5"/>
    <w:rsid w:val="00B568D1"/>
    <w:rsid w:val="00B56F9E"/>
    <w:rsid w:val="00B5771D"/>
    <w:rsid w:val="00B57C5F"/>
    <w:rsid w:val="00B57EC9"/>
    <w:rsid w:val="00B60194"/>
    <w:rsid w:val="00B6040F"/>
    <w:rsid w:val="00B60D18"/>
    <w:rsid w:val="00B617E0"/>
    <w:rsid w:val="00B61EB9"/>
    <w:rsid w:val="00B62042"/>
    <w:rsid w:val="00B62720"/>
    <w:rsid w:val="00B6277D"/>
    <w:rsid w:val="00B637BC"/>
    <w:rsid w:val="00B646D1"/>
    <w:rsid w:val="00B651E9"/>
    <w:rsid w:val="00B65934"/>
    <w:rsid w:val="00B660DE"/>
    <w:rsid w:val="00B66376"/>
    <w:rsid w:val="00B66E4B"/>
    <w:rsid w:val="00B70AB4"/>
    <w:rsid w:val="00B7131C"/>
    <w:rsid w:val="00B71A72"/>
    <w:rsid w:val="00B71BE9"/>
    <w:rsid w:val="00B73F7B"/>
    <w:rsid w:val="00B7445A"/>
    <w:rsid w:val="00B7522B"/>
    <w:rsid w:val="00B75C96"/>
    <w:rsid w:val="00B76101"/>
    <w:rsid w:val="00B7681D"/>
    <w:rsid w:val="00B770F9"/>
    <w:rsid w:val="00B8004F"/>
    <w:rsid w:val="00B809E0"/>
    <w:rsid w:val="00B80AF2"/>
    <w:rsid w:val="00B813FD"/>
    <w:rsid w:val="00B816AB"/>
    <w:rsid w:val="00B82CF7"/>
    <w:rsid w:val="00B82E6C"/>
    <w:rsid w:val="00B82F5B"/>
    <w:rsid w:val="00B83509"/>
    <w:rsid w:val="00B83B9D"/>
    <w:rsid w:val="00B83E5B"/>
    <w:rsid w:val="00B840FF"/>
    <w:rsid w:val="00B8418F"/>
    <w:rsid w:val="00B84F9E"/>
    <w:rsid w:val="00B85061"/>
    <w:rsid w:val="00B850F5"/>
    <w:rsid w:val="00B852D2"/>
    <w:rsid w:val="00B855A7"/>
    <w:rsid w:val="00B85D28"/>
    <w:rsid w:val="00B86DD4"/>
    <w:rsid w:val="00B87EEA"/>
    <w:rsid w:val="00B923D8"/>
    <w:rsid w:val="00B924CB"/>
    <w:rsid w:val="00B92C99"/>
    <w:rsid w:val="00B93F02"/>
    <w:rsid w:val="00B94755"/>
    <w:rsid w:val="00B94E35"/>
    <w:rsid w:val="00B95506"/>
    <w:rsid w:val="00B957FA"/>
    <w:rsid w:val="00B958ED"/>
    <w:rsid w:val="00B959EE"/>
    <w:rsid w:val="00B96183"/>
    <w:rsid w:val="00B96566"/>
    <w:rsid w:val="00B9660E"/>
    <w:rsid w:val="00B96B30"/>
    <w:rsid w:val="00B972DB"/>
    <w:rsid w:val="00B974C5"/>
    <w:rsid w:val="00B97BFE"/>
    <w:rsid w:val="00BA0114"/>
    <w:rsid w:val="00BA0BF9"/>
    <w:rsid w:val="00BA0EAC"/>
    <w:rsid w:val="00BA1742"/>
    <w:rsid w:val="00BA3C84"/>
    <w:rsid w:val="00BA65A2"/>
    <w:rsid w:val="00BA6A1E"/>
    <w:rsid w:val="00BA779B"/>
    <w:rsid w:val="00BB14E3"/>
    <w:rsid w:val="00BB1B28"/>
    <w:rsid w:val="00BB2113"/>
    <w:rsid w:val="00BB2810"/>
    <w:rsid w:val="00BB2AE2"/>
    <w:rsid w:val="00BB2CB8"/>
    <w:rsid w:val="00BB36C1"/>
    <w:rsid w:val="00BB4C82"/>
    <w:rsid w:val="00BB4F87"/>
    <w:rsid w:val="00BB53A5"/>
    <w:rsid w:val="00BB6955"/>
    <w:rsid w:val="00BB7076"/>
    <w:rsid w:val="00BC15E9"/>
    <w:rsid w:val="00BC31D7"/>
    <w:rsid w:val="00BC5E6E"/>
    <w:rsid w:val="00BC75B2"/>
    <w:rsid w:val="00BC7BDB"/>
    <w:rsid w:val="00BD0888"/>
    <w:rsid w:val="00BD1995"/>
    <w:rsid w:val="00BD1D6B"/>
    <w:rsid w:val="00BD2382"/>
    <w:rsid w:val="00BD3133"/>
    <w:rsid w:val="00BD38A7"/>
    <w:rsid w:val="00BD4AAF"/>
    <w:rsid w:val="00BD4C88"/>
    <w:rsid w:val="00BD4CB1"/>
    <w:rsid w:val="00BD5685"/>
    <w:rsid w:val="00BD58EC"/>
    <w:rsid w:val="00BD60AA"/>
    <w:rsid w:val="00BD6C25"/>
    <w:rsid w:val="00BD6C5E"/>
    <w:rsid w:val="00BD6EA6"/>
    <w:rsid w:val="00BD7122"/>
    <w:rsid w:val="00BD7A92"/>
    <w:rsid w:val="00BD7FC2"/>
    <w:rsid w:val="00BE05C4"/>
    <w:rsid w:val="00BE1A34"/>
    <w:rsid w:val="00BE1F7A"/>
    <w:rsid w:val="00BE2617"/>
    <w:rsid w:val="00BE2855"/>
    <w:rsid w:val="00BE2B6E"/>
    <w:rsid w:val="00BE350E"/>
    <w:rsid w:val="00BE390D"/>
    <w:rsid w:val="00BE3B13"/>
    <w:rsid w:val="00BE4B78"/>
    <w:rsid w:val="00BE52A0"/>
    <w:rsid w:val="00BE53BD"/>
    <w:rsid w:val="00BE6327"/>
    <w:rsid w:val="00BE66D1"/>
    <w:rsid w:val="00BF0BD6"/>
    <w:rsid w:val="00BF1233"/>
    <w:rsid w:val="00BF1F32"/>
    <w:rsid w:val="00BF208A"/>
    <w:rsid w:val="00BF28F3"/>
    <w:rsid w:val="00BF3112"/>
    <w:rsid w:val="00BF34B8"/>
    <w:rsid w:val="00BF3798"/>
    <w:rsid w:val="00BF3E93"/>
    <w:rsid w:val="00BF44DB"/>
    <w:rsid w:val="00BF5015"/>
    <w:rsid w:val="00BF7CA8"/>
    <w:rsid w:val="00BF7E40"/>
    <w:rsid w:val="00C000E6"/>
    <w:rsid w:val="00C006B7"/>
    <w:rsid w:val="00C00B94"/>
    <w:rsid w:val="00C0422F"/>
    <w:rsid w:val="00C04722"/>
    <w:rsid w:val="00C05748"/>
    <w:rsid w:val="00C06037"/>
    <w:rsid w:val="00C070F9"/>
    <w:rsid w:val="00C10A53"/>
    <w:rsid w:val="00C11B1A"/>
    <w:rsid w:val="00C13846"/>
    <w:rsid w:val="00C1439C"/>
    <w:rsid w:val="00C149A0"/>
    <w:rsid w:val="00C1546E"/>
    <w:rsid w:val="00C1558A"/>
    <w:rsid w:val="00C15616"/>
    <w:rsid w:val="00C1625D"/>
    <w:rsid w:val="00C16E65"/>
    <w:rsid w:val="00C17AFB"/>
    <w:rsid w:val="00C20F46"/>
    <w:rsid w:val="00C21F81"/>
    <w:rsid w:val="00C2256D"/>
    <w:rsid w:val="00C22D19"/>
    <w:rsid w:val="00C2334D"/>
    <w:rsid w:val="00C24125"/>
    <w:rsid w:val="00C24380"/>
    <w:rsid w:val="00C24C12"/>
    <w:rsid w:val="00C251FD"/>
    <w:rsid w:val="00C256BD"/>
    <w:rsid w:val="00C25A48"/>
    <w:rsid w:val="00C25E0D"/>
    <w:rsid w:val="00C30A03"/>
    <w:rsid w:val="00C31E7A"/>
    <w:rsid w:val="00C323E4"/>
    <w:rsid w:val="00C326BD"/>
    <w:rsid w:val="00C337B6"/>
    <w:rsid w:val="00C34477"/>
    <w:rsid w:val="00C345C7"/>
    <w:rsid w:val="00C34CA7"/>
    <w:rsid w:val="00C40007"/>
    <w:rsid w:val="00C40038"/>
    <w:rsid w:val="00C409F2"/>
    <w:rsid w:val="00C40EFF"/>
    <w:rsid w:val="00C4193D"/>
    <w:rsid w:val="00C4232E"/>
    <w:rsid w:val="00C426BD"/>
    <w:rsid w:val="00C4456E"/>
    <w:rsid w:val="00C45963"/>
    <w:rsid w:val="00C463A8"/>
    <w:rsid w:val="00C4680D"/>
    <w:rsid w:val="00C47ED3"/>
    <w:rsid w:val="00C50131"/>
    <w:rsid w:val="00C50AD8"/>
    <w:rsid w:val="00C50F27"/>
    <w:rsid w:val="00C511A1"/>
    <w:rsid w:val="00C528BD"/>
    <w:rsid w:val="00C53B52"/>
    <w:rsid w:val="00C5487F"/>
    <w:rsid w:val="00C54E43"/>
    <w:rsid w:val="00C557A1"/>
    <w:rsid w:val="00C55D14"/>
    <w:rsid w:val="00C56162"/>
    <w:rsid w:val="00C561A1"/>
    <w:rsid w:val="00C56918"/>
    <w:rsid w:val="00C56F51"/>
    <w:rsid w:val="00C57185"/>
    <w:rsid w:val="00C576DE"/>
    <w:rsid w:val="00C57B73"/>
    <w:rsid w:val="00C60374"/>
    <w:rsid w:val="00C6130C"/>
    <w:rsid w:val="00C61548"/>
    <w:rsid w:val="00C61701"/>
    <w:rsid w:val="00C62708"/>
    <w:rsid w:val="00C6366A"/>
    <w:rsid w:val="00C637E3"/>
    <w:rsid w:val="00C63EB2"/>
    <w:rsid w:val="00C64E3C"/>
    <w:rsid w:val="00C65F10"/>
    <w:rsid w:val="00C676F4"/>
    <w:rsid w:val="00C678D6"/>
    <w:rsid w:val="00C6791F"/>
    <w:rsid w:val="00C7016A"/>
    <w:rsid w:val="00C707EC"/>
    <w:rsid w:val="00C70EEE"/>
    <w:rsid w:val="00C71D80"/>
    <w:rsid w:val="00C721CA"/>
    <w:rsid w:val="00C72795"/>
    <w:rsid w:val="00C72E98"/>
    <w:rsid w:val="00C7395E"/>
    <w:rsid w:val="00C73C94"/>
    <w:rsid w:val="00C74CE6"/>
    <w:rsid w:val="00C750F1"/>
    <w:rsid w:val="00C758AF"/>
    <w:rsid w:val="00C75B4A"/>
    <w:rsid w:val="00C75D0D"/>
    <w:rsid w:val="00C76C7A"/>
    <w:rsid w:val="00C77592"/>
    <w:rsid w:val="00C775F0"/>
    <w:rsid w:val="00C77CB0"/>
    <w:rsid w:val="00C77D07"/>
    <w:rsid w:val="00C80C46"/>
    <w:rsid w:val="00C810A3"/>
    <w:rsid w:val="00C81564"/>
    <w:rsid w:val="00C81A99"/>
    <w:rsid w:val="00C83350"/>
    <w:rsid w:val="00C8379B"/>
    <w:rsid w:val="00C83AF4"/>
    <w:rsid w:val="00C8459E"/>
    <w:rsid w:val="00C852FD"/>
    <w:rsid w:val="00C859BA"/>
    <w:rsid w:val="00C86157"/>
    <w:rsid w:val="00C86D8D"/>
    <w:rsid w:val="00C871D3"/>
    <w:rsid w:val="00C874F5"/>
    <w:rsid w:val="00C876C7"/>
    <w:rsid w:val="00C9053D"/>
    <w:rsid w:val="00C91259"/>
    <w:rsid w:val="00C91853"/>
    <w:rsid w:val="00C9312C"/>
    <w:rsid w:val="00C932D4"/>
    <w:rsid w:val="00C939BC"/>
    <w:rsid w:val="00C94DD2"/>
    <w:rsid w:val="00C9519E"/>
    <w:rsid w:val="00C95698"/>
    <w:rsid w:val="00C9635E"/>
    <w:rsid w:val="00C97B27"/>
    <w:rsid w:val="00CA0BBE"/>
    <w:rsid w:val="00CA0F82"/>
    <w:rsid w:val="00CA434E"/>
    <w:rsid w:val="00CA4FF7"/>
    <w:rsid w:val="00CA54D2"/>
    <w:rsid w:val="00CA6451"/>
    <w:rsid w:val="00CB019F"/>
    <w:rsid w:val="00CB036B"/>
    <w:rsid w:val="00CB2000"/>
    <w:rsid w:val="00CB20A3"/>
    <w:rsid w:val="00CB3419"/>
    <w:rsid w:val="00CB39B1"/>
    <w:rsid w:val="00CB45B1"/>
    <w:rsid w:val="00CB4A45"/>
    <w:rsid w:val="00CB52CE"/>
    <w:rsid w:val="00CB5375"/>
    <w:rsid w:val="00CB621C"/>
    <w:rsid w:val="00CB6952"/>
    <w:rsid w:val="00CB6D8A"/>
    <w:rsid w:val="00CB6EAF"/>
    <w:rsid w:val="00CC02F2"/>
    <w:rsid w:val="00CC0DF2"/>
    <w:rsid w:val="00CC136B"/>
    <w:rsid w:val="00CC13CF"/>
    <w:rsid w:val="00CC20D2"/>
    <w:rsid w:val="00CC25B6"/>
    <w:rsid w:val="00CC2DBD"/>
    <w:rsid w:val="00CC3554"/>
    <w:rsid w:val="00CC3A27"/>
    <w:rsid w:val="00CC3B9F"/>
    <w:rsid w:val="00CC3ED5"/>
    <w:rsid w:val="00CC659F"/>
    <w:rsid w:val="00CC69FA"/>
    <w:rsid w:val="00CC6B34"/>
    <w:rsid w:val="00CC6E40"/>
    <w:rsid w:val="00CC7127"/>
    <w:rsid w:val="00CC7B72"/>
    <w:rsid w:val="00CC7BF1"/>
    <w:rsid w:val="00CD0867"/>
    <w:rsid w:val="00CD09B4"/>
    <w:rsid w:val="00CD25D8"/>
    <w:rsid w:val="00CD2841"/>
    <w:rsid w:val="00CD2EF6"/>
    <w:rsid w:val="00CD3597"/>
    <w:rsid w:val="00CD37E9"/>
    <w:rsid w:val="00CD6641"/>
    <w:rsid w:val="00CD6EE8"/>
    <w:rsid w:val="00CD7133"/>
    <w:rsid w:val="00CD7773"/>
    <w:rsid w:val="00CE0246"/>
    <w:rsid w:val="00CE07F7"/>
    <w:rsid w:val="00CE0BBB"/>
    <w:rsid w:val="00CE13AE"/>
    <w:rsid w:val="00CE156A"/>
    <w:rsid w:val="00CE3284"/>
    <w:rsid w:val="00CE33AF"/>
    <w:rsid w:val="00CE3855"/>
    <w:rsid w:val="00CE4E78"/>
    <w:rsid w:val="00CE5F59"/>
    <w:rsid w:val="00CE691B"/>
    <w:rsid w:val="00CE6D0A"/>
    <w:rsid w:val="00CE6DB8"/>
    <w:rsid w:val="00CE6F25"/>
    <w:rsid w:val="00CE7437"/>
    <w:rsid w:val="00CE78B9"/>
    <w:rsid w:val="00CF0D6F"/>
    <w:rsid w:val="00CF166E"/>
    <w:rsid w:val="00CF1742"/>
    <w:rsid w:val="00CF1DBB"/>
    <w:rsid w:val="00CF3526"/>
    <w:rsid w:val="00CF3971"/>
    <w:rsid w:val="00CF4351"/>
    <w:rsid w:val="00CF48A1"/>
    <w:rsid w:val="00CF5CD9"/>
    <w:rsid w:val="00CF6231"/>
    <w:rsid w:val="00CF67F1"/>
    <w:rsid w:val="00CF7AB2"/>
    <w:rsid w:val="00D004DE"/>
    <w:rsid w:val="00D01B7A"/>
    <w:rsid w:val="00D01E73"/>
    <w:rsid w:val="00D02959"/>
    <w:rsid w:val="00D02CEC"/>
    <w:rsid w:val="00D030F7"/>
    <w:rsid w:val="00D0314D"/>
    <w:rsid w:val="00D03D5D"/>
    <w:rsid w:val="00D03FC4"/>
    <w:rsid w:val="00D0412D"/>
    <w:rsid w:val="00D041C5"/>
    <w:rsid w:val="00D0481A"/>
    <w:rsid w:val="00D05110"/>
    <w:rsid w:val="00D05125"/>
    <w:rsid w:val="00D05C94"/>
    <w:rsid w:val="00D05F0E"/>
    <w:rsid w:val="00D06A95"/>
    <w:rsid w:val="00D06F38"/>
    <w:rsid w:val="00D0778D"/>
    <w:rsid w:val="00D10ABF"/>
    <w:rsid w:val="00D1181B"/>
    <w:rsid w:val="00D12040"/>
    <w:rsid w:val="00D13D87"/>
    <w:rsid w:val="00D13DA8"/>
    <w:rsid w:val="00D13EC9"/>
    <w:rsid w:val="00D15890"/>
    <w:rsid w:val="00D159B2"/>
    <w:rsid w:val="00D15B4E"/>
    <w:rsid w:val="00D16EFB"/>
    <w:rsid w:val="00D177D1"/>
    <w:rsid w:val="00D179F8"/>
    <w:rsid w:val="00D2059C"/>
    <w:rsid w:val="00D213FD"/>
    <w:rsid w:val="00D220DF"/>
    <w:rsid w:val="00D227F0"/>
    <w:rsid w:val="00D233C2"/>
    <w:rsid w:val="00D23BF7"/>
    <w:rsid w:val="00D2503E"/>
    <w:rsid w:val="00D25085"/>
    <w:rsid w:val="00D2665C"/>
    <w:rsid w:val="00D267E9"/>
    <w:rsid w:val="00D27215"/>
    <w:rsid w:val="00D27C32"/>
    <w:rsid w:val="00D30C7E"/>
    <w:rsid w:val="00D31041"/>
    <w:rsid w:val="00D31A22"/>
    <w:rsid w:val="00D31FA1"/>
    <w:rsid w:val="00D32035"/>
    <w:rsid w:val="00D32CD6"/>
    <w:rsid w:val="00D33584"/>
    <w:rsid w:val="00D33E6D"/>
    <w:rsid w:val="00D355AF"/>
    <w:rsid w:val="00D357B5"/>
    <w:rsid w:val="00D36440"/>
    <w:rsid w:val="00D3719D"/>
    <w:rsid w:val="00D37677"/>
    <w:rsid w:val="00D40634"/>
    <w:rsid w:val="00D41566"/>
    <w:rsid w:val="00D4185E"/>
    <w:rsid w:val="00D41D64"/>
    <w:rsid w:val="00D41F1D"/>
    <w:rsid w:val="00D424F4"/>
    <w:rsid w:val="00D4683D"/>
    <w:rsid w:val="00D50E3E"/>
    <w:rsid w:val="00D51375"/>
    <w:rsid w:val="00D52299"/>
    <w:rsid w:val="00D52E1E"/>
    <w:rsid w:val="00D552BE"/>
    <w:rsid w:val="00D55D5A"/>
    <w:rsid w:val="00D55E79"/>
    <w:rsid w:val="00D57B6D"/>
    <w:rsid w:val="00D600B5"/>
    <w:rsid w:val="00D61E00"/>
    <w:rsid w:val="00D62BE8"/>
    <w:rsid w:val="00D639E2"/>
    <w:rsid w:val="00D63E9A"/>
    <w:rsid w:val="00D64A2D"/>
    <w:rsid w:val="00D65028"/>
    <w:rsid w:val="00D666AF"/>
    <w:rsid w:val="00D66EF9"/>
    <w:rsid w:val="00D66F82"/>
    <w:rsid w:val="00D703CC"/>
    <w:rsid w:val="00D70B9C"/>
    <w:rsid w:val="00D71236"/>
    <w:rsid w:val="00D71AF2"/>
    <w:rsid w:val="00D722C5"/>
    <w:rsid w:val="00D72E62"/>
    <w:rsid w:val="00D73671"/>
    <w:rsid w:val="00D7370D"/>
    <w:rsid w:val="00D74914"/>
    <w:rsid w:val="00D74C71"/>
    <w:rsid w:val="00D75D8B"/>
    <w:rsid w:val="00D76110"/>
    <w:rsid w:val="00D765FC"/>
    <w:rsid w:val="00D77424"/>
    <w:rsid w:val="00D77428"/>
    <w:rsid w:val="00D774D2"/>
    <w:rsid w:val="00D821B8"/>
    <w:rsid w:val="00D8264B"/>
    <w:rsid w:val="00D82AFC"/>
    <w:rsid w:val="00D83715"/>
    <w:rsid w:val="00D8437D"/>
    <w:rsid w:val="00D861DB"/>
    <w:rsid w:val="00D9028D"/>
    <w:rsid w:val="00D90527"/>
    <w:rsid w:val="00D908D9"/>
    <w:rsid w:val="00D90BB6"/>
    <w:rsid w:val="00D90DA1"/>
    <w:rsid w:val="00D91DBD"/>
    <w:rsid w:val="00D91F21"/>
    <w:rsid w:val="00D935CD"/>
    <w:rsid w:val="00D9367F"/>
    <w:rsid w:val="00D939FA"/>
    <w:rsid w:val="00D94273"/>
    <w:rsid w:val="00D944A0"/>
    <w:rsid w:val="00D946E9"/>
    <w:rsid w:val="00D949BF"/>
    <w:rsid w:val="00D94BA0"/>
    <w:rsid w:val="00D958ED"/>
    <w:rsid w:val="00D960EA"/>
    <w:rsid w:val="00D96E7B"/>
    <w:rsid w:val="00D97C3D"/>
    <w:rsid w:val="00D97FC3"/>
    <w:rsid w:val="00DA0E56"/>
    <w:rsid w:val="00DA2836"/>
    <w:rsid w:val="00DA3DAB"/>
    <w:rsid w:val="00DA3F9B"/>
    <w:rsid w:val="00DA6626"/>
    <w:rsid w:val="00DA6789"/>
    <w:rsid w:val="00DA6B18"/>
    <w:rsid w:val="00DA7B30"/>
    <w:rsid w:val="00DA7EB6"/>
    <w:rsid w:val="00DA7FAF"/>
    <w:rsid w:val="00DB0191"/>
    <w:rsid w:val="00DB01EA"/>
    <w:rsid w:val="00DB1008"/>
    <w:rsid w:val="00DB14B0"/>
    <w:rsid w:val="00DB192B"/>
    <w:rsid w:val="00DB24F4"/>
    <w:rsid w:val="00DB2502"/>
    <w:rsid w:val="00DB3E81"/>
    <w:rsid w:val="00DB45CC"/>
    <w:rsid w:val="00DB5027"/>
    <w:rsid w:val="00DB6372"/>
    <w:rsid w:val="00DB7D30"/>
    <w:rsid w:val="00DB7E41"/>
    <w:rsid w:val="00DC06AC"/>
    <w:rsid w:val="00DC0818"/>
    <w:rsid w:val="00DC1421"/>
    <w:rsid w:val="00DC1615"/>
    <w:rsid w:val="00DC1BF6"/>
    <w:rsid w:val="00DC2545"/>
    <w:rsid w:val="00DC2970"/>
    <w:rsid w:val="00DC2FDC"/>
    <w:rsid w:val="00DC3691"/>
    <w:rsid w:val="00DC3A4D"/>
    <w:rsid w:val="00DC4447"/>
    <w:rsid w:val="00DC4FA6"/>
    <w:rsid w:val="00DC500F"/>
    <w:rsid w:val="00DC64BC"/>
    <w:rsid w:val="00DC6A6A"/>
    <w:rsid w:val="00DC6F06"/>
    <w:rsid w:val="00DC76AE"/>
    <w:rsid w:val="00DD0DDE"/>
    <w:rsid w:val="00DD0E54"/>
    <w:rsid w:val="00DD230C"/>
    <w:rsid w:val="00DD2358"/>
    <w:rsid w:val="00DD3069"/>
    <w:rsid w:val="00DD4278"/>
    <w:rsid w:val="00DD5335"/>
    <w:rsid w:val="00DD5DA4"/>
    <w:rsid w:val="00DD5E4D"/>
    <w:rsid w:val="00DD6091"/>
    <w:rsid w:val="00DD6937"/>
    <w:rsid w:val="00DD7949"/>
    <w:rsid w:val="00DD7DFB"/>
    <w:rsid w:val="00DE005D"/>
    <w:rsid w:val="00DE0C34"/>
    <w:rsid w:val="00DE1C3E"/>
    <w:rsid w:val="00DE1CEF"/>
    <w:rsid w:val="00DE2DF3"/>
    <w:rsid w:val="00DE33CB"/>
    <w:rsid w:val="00DE381D"/>
    <w:rsid w:val="00DE3B31"/>
    <w:rsid w:val="00DE495D"/>
    <w:rsid w:val="00DE5767"/>
    <w:rsid w:val="00DE7014"/>
    <w:rsid w:val="00DE772B"/>
    <w:rsid w:val="00DE799C"/>
    <w:rsid w:val="00DE7C53"/>
    <w:rsid w:val="00DF00CB"/>
    <w:rsid w:val="00DF0DA8"/>
    <w:rsid w:val="00DF14B9"/>
    <w:rsid w:val="00DF1C26"/>
    <w:rsid w:val="00DF320B"/>
    <w:rsid w:val="00DF42FA"/>
    <w:rsid w:val="00DF52FA"/>
    <w:rsid w:val="00DF57E4"/>
    <w:rsid w:val="00DF619F"/>
    <w:rsid w:val="00DF6C28"/>
    <w:rsid w:val="00DF7180"/>
    <w:rsid w:val="00E00B48"/>
    <w:rsid w:val="00E02417"/>
    <w:rsid w:val="00E0275E"/>
    <w:rsid w:val="00E02D0D"/>
    <w:rsid w:val="00E030EE"/>
    <w:rsid w:val="00E04835"/>
    <w:rsid w:val="00E0546C"/>
    <w:rsid w:val="00E056A0"/>
    <w:rsid w:val="00E05A88"/>
    <w:rsid w:val="00E065C3"/>
    <w:rsid w:val="00E07CC4"/>
    <w:rsid w:val="00E108C3"/>
    <w:rsid w:val="00E111E4"/>
    <w:rsid w:val="00E118DA"/>
    <w:rsid w:val="00E11F03"/>
    <w:rsid w:val="00E120B6"/>
    <w:rsid w:val="00E120B9"/>
    <w:rsid w:val="00E12C28"/>
    <w:rsid w:val="00E13758"/>
    <w:rsid w:val="00E148F3"/>
    <w:rsid w:val="00E14A15"/>
    <w:rsid w:val="00E14C04"/>
    <w:rsid w:val="00E151DA"/>
    <w:rsid w:val="00E15382"/>
    <w:rsid w:val="00E1641F"/>
    <w:rsid w:val="00E176D4"/>
    <w:rsid w:val="00E20162"/>
    <w:rsid w:val="00E20944"/>
    <w:rsid w:val="00E20A71"/>
    <w:rsid w:val="00E20FD1"/>
    <w:rsid w:val="00E22BC2"/>
    <w:rsid w:val="00E22CC3"/>
    <w:rsid w:val="00E238A2"/>
    <w:rsid w:val="00E2480D"/>
    <w:rsid w:val="00E24D4D"/>
    <w:rsid w:val="00E25AF1"/>
    <w:rsid w:val="00E301FB"/>
    <w:rsid w:val="00E31C6F"/>
    <w:rsid w:val="00E3243B"/>
    <w:rsid w:val="00E32F88"/>
    <w:rsid w:val="00E332E7"/>
    <w:rsid w:val="00E335D8"/>
    <w:rsid w:val="00E33707"/>
    <w:rsid w:val="00E33E82"/>
    <w:rsid w:val="00E34005"/>
    <w:rsid w:val="00E34170"/>
    <w:rsid w:val="00E34749"/>
    <w:rsid w:val="00E34B45"/>
    <w:rsid w:val="00E35020"/>
    <w:rsid w:val="00E36DD4"/>
    <w:rsid w:val="00E37205"/>
    <w:rsid w:val="00E374A2"/>
    <w:rsid w:val="00E40799"/>
    <w:rsid w:val="00E41022"/>
    <w:rsid w:val="00E412E6"/>
    <w:rsid w:val="00E413AB"/>
    <w:rsid w:val="00E41810"/>
    <w:rsid w:val="00E425D5"/>
    <w:rsid w:val="00E43274"/>
    <w:rsid w:val="00E44DE2"/>
    <w:rsid w:val="00E45B05"/>
    <w:rsid w:val="00E45EC3"/>
    <w:rsid w:val="00E4665E"/>
    <w:rsid w:val="00E47A8B"/>
    <w:rsid w:val="00E47E75"/>
    <w:rsid w:val="00E50989"/>
    <w:rsid w:val="00E50C29"/>
    <w:rsid w:val="00E5113F"/>
    <w:rsid w:val="00E51E7B"/>
    <w:rsid w:val="00E5292C"/>
    <w:rsid w:val="00E52D87"/>
    <w:rsid w:val="00E537E0"/>
    <w:rsid w:val="00E53F38"/>
    <w:rsid w:val="00E54BFD"/>
    <w:rsid w:val="00E54CE3"/>
    <w:rsid w:val="00E54DEB"/>
    <w:rsid w:val="00E54E4B"/>
    <w:rsid w:val="00E55455"/>
    <w:rsid w:val="00E556FF"/>
    <w:rsid w:val="00E557F3"/>
    <w:rsid w:val="00E55FB7"/>
    <w:rsid w:val="00E561C6"/>
    <w:rsid w:val="00E5715B"/>
    <w:rsid w:val="00E60407"/>
    <w:rsid w:val="00E6060D"/>
    <w:rsid w:val="00E607A4"/>
    <w:rsid w:val="00E60838"/>
    <w:rsid w:val="00E60994"/>
    <w:rsid w:val="00E615B5"/>
    <w:rsid w:val="00E6162D"/>
    <w:rsid w:val="00E636C1"/>
    <w:rsid w:val="00E64469"/>
    <w:rsid w:val="00E64629"/>
    <w:rsid w:val="00E64E59"/>
    <w:rsid w:val="00E64E71"/>
    <w:rsid w:val="00E651B3"/>
    <w:rsid w:val="00E65837"/>
    <w:rsid w:val="00E65BCF"/>
    <w:rsid w:val="00E66BCC"/>
    <w:rsid w:val="00E671D4"/>
    <w:rsid w:val="00E6779E"/>
    <w:rsid w:val="00E70204"/>
    <w:rsid w:val="00E71D45"/>
    <w:rsid w:val="00E71D8C"/>
    <w:rsid w:val="00E72FD4"/>
    <w:rsid w:val="00E73E35"/>
    <w:rsid w:val="00E74E2A"/>
    <w:rsid w:val="00E76A43"/>
    <w:rsid w:val="00E77A90"/>
    <w:rsid w:val="00E807BA"/>
    <w:rsid w:val="00E80F7E"/>
    <w:rsid w:val="00E810CA"/>
    <w:rsid w:val="00E8164C"/>
    <w:rsid w:val="00E81A4C"/>
    <w:rsid w:val="00E82B5F"/>
    <w:rsid w:val="00E836BD"/>
    <w:rsid w:val="00E83902"/>
    <w:rsid w:val="00E83F3E"/>
    <w:rsid w:val="00E85643"/>
    <w:rsid w:val="00E85BCF"/>
    <w:rsid w:val="00E87049"/>
    <w:rsid w:val="00E87DA6"/>
    <w:rsid w:val="00E90341"/>
    <w:rsid w:val="00E90D94"/>
    <w:rsid w:val="00E90E76"/>
    <w:rsid w:val="00E928A8"/>
    <w:rsid w:val="00E92918"/>
    <w:rsid w:val="00E92D87"/>
    <w:rsid w:val="00E93C61"/>
    <w:rsid w:val="00E94AB2"/>
    <w:rsid w:val="00E95194"/>
    <w:rsid w:val="00E96A44"/>
    <w:rsid w:val="00E96F65"/>
    <w:rsid w:val="00E97DCD"/>
    <w:rsid w:val="00EA19C3"/>
    <w:rsid w:val="00EA2682"/>
    <w:rsid w:val="00EA3286"/>
    <w:rsid w:val="00EA458B"/>
    <w:rsid w:val="00EA5BBB"/>
    <w:rsid w:val="00EA662E"/>
    <w:rsid w:val="00EA7740"/>
    <w:rsid w:val="00EA7BA7"/>
    <w:rsid w:val="00EB08C4"/>
    <w:rsid w:val="00EB10A7"/>
    <w:rsid w:val="00EB16A0"/>
    <w:rsid w:val="00EB2328"/>
    <w:rsid w:val="00EB48A2"/>
    <w:rsid w:val="00EB48F5"/>
    <w:rsid w:val="00EB4BDD"/>
    <w:rsid w:val="00EB593C"/>
    <w:rsid w:val="00EB60A1"/>
    <w:rsid w:val="00EB6DE7"/>
    <w:rsid w:val="00EB6FB6"/>
    <w:rsid w:val="00EB71F5"/>
    <w:rsid w:val="00EB72D3"/>
    <w:rsid w:val="00EC04D7"/>
    <w:rsid w:val="00EC0FE2"/>
    <w:rsid w:val="00EC1662"/>
    <w:rsid w:val="00EC1AE2"/>
    <w:rsid w:val="00EC3AF9"/>
    <w:rsid w:val="00EC5066"/>
    <w:rsid w:val="00EC5934"/>
    <w:rsid w:val="00ED0140"/>
    <w:rsid w:val="00ED18F6"/>
    <w:rsid w:val="00ED1AAE"/>
    <w:rsid w:val="00ED1C35"/>
    <w:rsid w:val="00ED1CE4"/>
    <w:rsid w:val="00ED1DA5"/>
    <w:rsid w:val="00ED4442"/>
    <w:rsid w:val="00ED53F9"/>
    <w:rsid w:val="00ED694A"/>
    <w:rsid w:val="00ED6DCD"/>
    <w:rsid w:val="00ED76D9"/>
    <w:rsid w:val="00ED7B3F"/>
    <w:rsid w:val="00EE016D"/>
    <w:rsid w:val="00EE187F"/>
    <w:rsid w:val="00EE1F02"/>
    <w:rsid w:val="00EE3343"/>
    <w:rsid w:val="00EE3365"/>
    <w:rsid w:val="00EE586B"/>
    <w:rsid w:val="00EE5CD5"/>
    <w:rsid w:val="00EE693B"/>
    <w:rsid w:val="00EE6CCD"/>
    <w:rsid w:val="00EE7000"/>
    <w:rsid w:val="00EE7B13"/>
    <w:rsid w:val="00EF0EB1"/>
    <w:rsid w:val="00EF2AEB"/>
    <w:rsid w:val="00EF3E61"/>
    <w:rsid w:val="00EF3EA3"/>
    <w:rsid w:val="00EF48CD"/>
    <w:rsid w:val="00EF6291"/>
    <w:rsid w:val="00EF6928"/>
    <w:rsid w:val="00EF7390"/>
    <w:rsid w:val="00EF7865"/>
    <w:rsid w:val="00EF7BD7"/>
    <w:rsid w:val="00F00217"/>
    <w:rsid w:val="00F0053A"/>
    <w:rsid w:val="00F02886"/>
    <w:rsid w:val="00F02DB0"/>
    <w:rsid w:val="00F02F51"/>
    <w:rsid w:val="00F031B9"/>
    <w:rsid w:val="00F03E28"/>
    <w:rsid w:val="00F050C1"/>
    <w:rsid w:val="00F052A4"/>
    <w:rsid w:val="00F05DE3"/>
    <w:rsid w:val="00F060A4"/>
    <w:rsid w:val="00F06124"/>
    <w:rsid w:val="00F064C5"/>
    <w:rsid w:val="00F070BB"/>
    <w:rsid w:val="00F072D0"/>
    <w:rsid w:val="00F07523"/>
    <w:rsid w:val="00F10EB8"/>
    <w:rsid w:val="00F11D9A"/>
    <w:rsid w:val="00F12B79"/>
    <w:rsid w:val="00F12C40"/>
    <w:rsid w:val="00F12E12"/>
    <w:rsid w:val="00F132D8"/>
    <w:rsid w:val="00F14C40"/>
    <w:rsid w:val="00F15CE2"/>
    <w:rsid w:val="00F16B10"/>
    <w:rsid w:val="00F16E9A"/>
    <w:rsid w:val="00F20948"/>
    <w:rsid w:val="00F21292"/>
    <w:rsid w:val="00F22336"/>
    <w:rsid w:val="00F2268A"/>
    <w:rsid w:val="00F231AB"/>
    <w:rsid w:val="00F23F0A"/>
    <w:rsid w:val="00F24BB1"/>
    <w:rsid w:val="00F25BD2"/>
    <w:rsid w:val="00F26E33"/>
    <w:rsid w:val="00F304EE"/>
    <w:rsid w:val="00F31887"/>
    <w:rsid w:val="00F32A1A"/>
    <w:rsid w:val="00F3476E"/>
    <w:rsid w:val="00F34D21"/>
    <w:rsid w:val="00F34DEF"/>
    <w:rsid w:val="00F353C8"/>
    <w:rsid w:val="00F35671"/>
    <w:rsid w:val="00F35FA0"/>
    <w:rsid w:val="00F366DA"/>
    <w:rsid w:val="00F36AA2"/>
    <w:rsid w:val="00F3711C"/>
    <w:rsid w:val="00F3729B"/>
    <w:rsid w:val="00F37772"/>
    <w:rsid w:val="00F400C4"/>
    <w:rsid w:val="00F40A43"/>
    <w:rsid w:val="00F40F15"/>
    <w:rsid w:val="00F41480"/>
    <w:rsid w:val="00F41611"/>
    <w:rsid w:val="00F416E5"/>
    <w:rsid w:val="00F41874"/>
    <w:rsid w:val="00F41E90"/>
    <w:rsid w:val="00F42C3E"/>
    <w:rsid w:val="00F437AF"/>
    <w:rsid w:val="00F44131"/>
    <w:rsid w:val="00F44964"/>
    <w:rsid w:val="00F45ADD"/>
    <w:rsid w:val="00F46FA6"/>
    <w:rsid w:val="00F4710F"/>
    <w:rsid w:val="00F47286"/>
    <w:rsid w:val="00F47CDB"/>
    <w:rsid w:val="00F505B2"/>
    <w:rsid w:val="00F508D7"/>
    <w:rsid w:val="00F51566"/>
    <w:rsid w:val="00F535AE"/>
    <w:rsid w:val="00F53A81"/>
    <w:rsid w:val="00F55581"/>
    <w:rsid w:val="00F5687D"/>
    <w:rsid w:val="00F5793F"/>
    <w:rsid w:val="00F57D8D"/>
    <w:rsid w:val="00F6029D"/>
    <w:rsid w:val="00F609C3"/>
    <w:rsid w:val="00F60AEA"/>
    <w:rsid w:val="00F60B5B"/>
    <w:rsid w:val="00F60E88"/>
    <w:rsid w:val="00F617B7"/>
    <w:rsid w:val="00F61F4F"/>
    <w:rsid w:val="00F625AF"/>
    <w:rsid w:val="00F62DA5"/>
    <w:rsid w:val="00F63F20"/>
    <w:rsid w:val="00F66E61"/>
    <w:rsid w:val="00F67871"/>
    <w:rsid w:val="00F67F72"/>
    <w:rsid w:val="00F710A3"/>
    <w:rsid w:val="00F716FC"/>
    <w:rsid w:val="00F72C06"/>
    <w:rsid w:val="00F730EB"/>
    <w:rsid w:val="00F7323C"/>
    <w:rsid w:val="00F73B29"/>
    <w:rsid w:val="00F73ED7"/>
    <w:rsid w:val="00F73F59"/>
    <w:rsid w:val="00F74B08"/>
    <w:rsid w:val="00F750EC"/>
    <w:rsid w:val="00F757F6"/>
    <w:rsid w:val="00F7626C"/>
    <w:rsid w:val="00F7768E"/>
    <w:rsid w:val="00F77F89"/>
    <w:rsid w:val="00F80D1C"/>
    <w:rsid w:val="00F81141"/>
    <w:rsid w:val="00F8210E"/>
    <w:rsid w:val="00F823B7"/>
    <w:rsid w:val="00F824F7"/>
    <w:rsid w:val="00F82B69"/>
    <w:rsid w:val="00F8331E"/>
    <w:rsid w:val="00F83C96"/>
    <w:rsid w:val="00F83CEC"/>
    <w:rsid w:val="00F8448F"/>
    <w:rsid w:val="00F846A2"/>
    <w:rsid w:val="00F84A95"/>
    <w:rsid w:val="00F84AA7"/>
    <w:rsid w:val="00F84F7E"/>
    <w:rsid w:val="00F86321"/>
    <w:rsid w:val="00F867F7"/>
    <w:rsid w:val="00F90437"/>
    <w:rsid w:val="00F9095E"/>
    <w:rsid w:val="00F91188"/>
    <w:rsid w:val="00F94CCB"/>
    <w:rsid w:val="00F9546C"/>
    <w:rsid w:val="00F96CF9"/>
    <w:rsid w:val="00F97745"/>
    <w:rsid w:val="00F97949"/>
    <w:rsid w:val="00F97B52"/>
    <w:rsid w:val="00F97B72"/>
    <w:rsid w:val="00FA0F06"/>
    <w:rsid w:val="00FA1089"/>
    <w:rsid w:val="00FA10A8"/>
    <w:rsid w:val="00FA1427"/>
    <w:rsid w:val="00FA1785"/>
    <w:rsid w:val="00FA36FC"/>
    <w:rsid w:val="00FA3A3A"/>
    <w:rsid w:val="00FA45BA"/>
    <w:rsid w:val="00FA4B03"/>
    <w:rsid w:val="00FA5296"/>
    <w:rsid w:val="00FA534D"/>
    <w:rsid w:val="00FA7446"/>
    <w:rsid w:val="00FB0E57"/>
    <w:rsid w:val="00FB1F93"/>
    <w:rsid w:val="00FB2383"/>
    <w:rsid w:val="00FB24DB"/>
    <w:rsid w:val="00FB3DEE"/>
    <w:rsid w:val="00FB4213"/>
    <w:rsid w:val="00FB48DF"/>
    <w:rsid w:val="00FB5673"/>
    <w:rsid w:val="00FB5972"/>
    <w:rsid w:val="00FB632F"/>
    <w:rsid w:val="00FB65DC"/>
    <w:rsid w:val="00FB7388"/>
    <w:rsid w:val="00FB75CF"/>
    <w:rsid w:val="00FC0514"/>
    <w:rsid w:val="00FC07D0"/>
    <w:rsid w:val="00FC093F"/>
    <w:rsid w:val="00FC0CF1"/>
    <w:rsid w:val="00FC16C7"/>
    <w:rsid w:val="00FC2CB4"/>
    <w:rsid w:val="00FC3129"/>
    <w:rsid w:val="00FC3256"/>
    <w:rsid w:val="00FC37E1"/>
    <w:rsid w:val="00FC3BAF"/>
    <w:rsid w:val="00FC3E7D"/>
    <w:rsid w:val="00FC40DC"/>
    <w:rsid w:val="00FC485B"/>
    <w:rsid w:val="00FC578F"/>
    <w:rsid w:val="00FC5824"/>
    <w:rsid w:val="00FC58A3"/>
    <w:rsid w:val="00FC5AE7"/>
    <w:rsid w:val="00FC5D22"/>
    <w:rsid w:val="00FC5EAA"/>
    <w:rsid w:val="00FC7E05"/>
    <w:rsid w:val="00FD01BA"/>
    <w:rsid w:val="00FD0CA5"/>
    <w:rsid w:val="00FD1549"/>
    <w:rsid w:val="00FD16E7"/>
    <w:rsid w:val="00FD21DC"/>
    <w:rsid w:val="00FD25D2"/>
    <w:rsid w:val="00FD2B70"/>
    <w:rsid w:val="00FD3658"/>
    <w:rsid w:val="00FD378A"/>
    <w:rsid w:val="00FD3931"/>
    <w:rsid w:val="00FD3B36"/>
    <w:rsid w:val="00FD3CD9"/>
    <w:rsid w:val="00FD4012"/>
    <w:rsid w:val="00FD51B5"/>
    <w:rsid w:val="00FD71D1"/>
    <w:rsid w:val="00FD7C02"/>
    <w:rsid w:val="00FE13D2"/>
    <w:rsid w:val="00FE15CB"/>
    <w:rsid w:val="00FE1AB8"/>
    <w:rsid w:val="00FE20F3"/>
    <w:rsid w:val="00FE4D45"/>
    <w:rsid w:val="00FE4D85"/>
    <w:rsid w:val="00FE5259"/>
    <w:rsid w:val="00FE52DB"/>
    <w:rsid w:val="00FE5DE8"/>
    <w:rsid w:val="00FE6604"/>
    <w:rsid w:val="00FE6C66"/>
    <w:rsid w:val="00FE7775"/>
    <w:rsid w:val="00FE7C52"/>
    <w:rsid w:val="00FF0CDE"/>
    <w:rsid w:val="00FF1719"/>
    <w:rsid w:val="00FF2469"/>
    <w:rsid w:val="00FF4F25"/>
    <w:rsid w:val="00FF5079"/>
    <w:rsid w:val="00FF50FB"/>
    <w:rsid w:val="00FF5135"/>
    <w:rsid w:val="00FF5238"/>
    <w:rsid w:val="00FF5CB1"/>
    <w:rsid w:val="00FF6594"/>
    <w:rsid w:val="00FF6B57"/>
    <w:rsid w:val="00FF7679"/>
    <w:rsid w:val="00FF7B73"/>
    <w:rsid w:val="0105204F"/>
    <w:rsid w:val="010A4CF1"/>
    <w:rsid w:val="010A7799"/>
    <w:rsid w:val="011646BB"/>
    <w:rsid w:val="01287E63"/>
    <w:rsid w:val="012D1180"/>
    <w:rsid w:val="0130386F"/>
    <w:rsid w:val="0134795E"/>
    <w:rsid w:val="01366391"/>
    <w:rsid w:val="01452C17"/>
    <w:rsid w:val="01490C7C"/>
    <w:rsid w:val="015D0CDB"/>
    <w:rsid w:val="01654224"/>
    <w:rsid w:val="01654D38"/>
    <w:rsid w:val="016A207E"/>
    <w:rsid w:val="016A54AA"/>
    <w:rsid w:val="017005D8"/>
    <w:rsid w:val="017A187E"/>
    <w:rsid w:val="01853D3C"/>
    <w:rsid w:val="01895BDD"/>
    <w:rsid w:val="01935D13"/>
    <w:rsid w:val="01A36E68"/>
    <w:rsid w:val="01A44729"/>
    <w:rsid w:val="01A944D8"/>
    <w:rsid w:val="01BA41FB"/>
    <w:rsid w:val="01CE3772"/>
    <w:rsid w:val="01F22834"/>
    <w:rsid w:val="0211148D"/>
    <w:rsid w:val="02381C19"/>
    <w:rsid w:val="02402AFC"/>
    <w:rsid w:val="027766C5"/>
    <w:rsid w:val="027F1A99"/>
    <w:rsid w:val="02850B59"/>
    <w:rsid w:val="028C119D"/>
    <w:rsid w:val="02992134"/>
    <w:rsid w:val="029C0C55"/>
    <w:rsid w:val="02AE02CA"/>
    <w:rsid w:val="02BD1D06"/>
    <w:rsid w:val="02BF7895"/>
    <w:rsid w:val="02CC262C"/>
    <w:rsid w:val="02F077BA"/>
    <w:rsid w:val="02FA790A"/>
    <w:rsid w:val="02FE2969"/>
    <w:rsid w:val="031A2C2C"/>
    <w:rsid w:val="033934A0"/>
    <w:rsid w:val="0362532C"/>
    <w:rsid w:val="03722409"/>
    <w:rsid w:val="03782FA2"/>
    <w:rsid w:val="037B6B73"/>
    <w:rsid w:val="037F540D"/>
    <w:rsid w:val="03830189"/>
    <w:rsid w:val="038474C0"/>
    <w:rsid w:val="03873EE7"/>
    <w:rsid w:val="03995836"/>
    <w:rsid w:val="039A6866"/>
    <w:rsid w:val="039D21C2"/>
    <w:rsid w:val="03AA414C"/>
    <w:rsid w:val="03B25EB4"/>
    <w:rsid w:val="03C05AA8"/>
    <w:rsid w:val="03CA13C6"/>
    <w:rsid w:val="03D148CA"/>
    <w:rsid w:val="03F622F4"/>
    <w:rsid w:val="03FD64EB"/>
    <w:rsid w:val="04146E1B"/>
    <w:rsid w:val="04153C40"/>
    <w:rsid w:val="0415652F"/>
    <w:rsid w:val="0424655B"/>
    <w:rsid w:val="04265C21"/>
    <w:rsid w:val="04327EAE"/>
    <w:rsid w:val="043335FE"/>
    <w:rsid w:val="04472229"/>
    <w:rsid w:val="04547E44"/>
    <w:rsid w:val="045B08C7"/>
    <w:rsid w:val="04753473"/>
    <w:rsid w:val="048C7DD7"/>
    <w:rsid w:val="04985FBC"/>
    <w:rsid w:val="04B16684"/>
    <w:rsid w:val="04C30157"/>
    <w:rsid w:val="04D91DA7"/>
    <w:rsid w:val="04DA5A67"/>
    <w:rsid w:val="04E335F0"/>
    <w:rsid w:val="04EF71AE"/>
    <w:rsid w:val="04FD3416"/>
    <w:rsid w:val="04FF3A5C"/>
    <w:rsid w:val="05555019"/>
    <w:rsid w:val="055B4CCC"/>
    <w:rsid w:val="056230DA"/>
    <w:rsid w:val="0563147F"/>
    <w:rsid w:val="057639E0"/>
    <w:rsid w:val="05A41987"/>
    <w:rsid w:val="05AE5255"/>
    <w:rsid w:val="05AF25D4"/>
    <w:rsid w:val="05C31D0B"/>
    <w:rsid w:val="05E238CF"/>
    <w:rsid w:val="05FA1F42"/>
    <w:rsid w:val="060B3AA6"/>
    <w:rsid w:val="061F2827"/>
    <w:rsid w:val="06220123"/>
    <w:rsid w:val="06294ED3"/>
    <w:rsid w:val="063630F5"/>
    <w:rsid w:val="063931A9"/>
    <w:rsid w:val="06486E7C"/>
    <w:rsid w:val="064E562D"/>
    <w:rsid w:val="064F13DD"/>
    <w:rsid w:val="06526AAF"/>
    <w:rsid w:val="065A1398"/>
    <w:rsid w:val="065D0829"/>
    <w:rsid w:val="066344F5"/>
    <w:rsid w:val="066E6C90"/>
    <w:rsid w:val="067F7B86"/>
    <w:rsid w:val="06881029"/>
    <w:rsid w:val="069E0CAC"/>
    <w:rsid w:val="06A040A9"/>
    <w:rsid w:val="06AB16DC"/>
    <w:rsid w:val="06B048C4"/>
    <w:rsid w:val="06B24CC6"/>
    <w:rsid w:val="06BC364F"/>
    <w:rsid w:val="06C30F48"/>
    <w:rsid w:val="06C4750C"/>
    <w:rsid w:val="06C82AF2"/>
    <w:rsid w:val="06E71786"/>
    <w:rsid w:val="06F40EE7"/>
    <w:rsid w:val="07093EA4"/>
    <w:rsid w:val="0747163E"/>
    <w:rsid w:val="075137F5"/>
    <w:rsid w:val="075E39CA"/>
    <w:rsid w:val="077B5846"/>
    <w:rsid w:val="07844959"/>
    <w:rsid w:val="078D07BF"/>
    <w:rsid w:val="07A573BE"/>
    <w:rsid w:val="07BC1429"/>
    <w:rsid w:val="07BE0CD7"/>
    <w:rsid w:val="07C30CCB"/>
    <w:rsid w:val="07C551D3"/>
    <w:rsid w:val="07CE0247"/>
    <w:rsid w:val="07D25347"/>
    <w:rsid w:val="07D34EEF"/>
    <w:rsid w:val="07D56159"/>
    <w:rsid w:val="07E94D9A"/>
    <w:rsid w:val="07ED2727"/>
    <w:rsid w:val="07F847E3"/>
    <w:rsid w:val="08050C43"/>
    <w:rsid w:val="08085FFE"/>
    <w:rsid w:val="08117DF0"/>
    <w:rsid w:val="081F7559"/>
    <w:rsid w:val="082C48EE"/>
    <w:rsid w:val="0832617F"/>
    <w:rsid w:val="0856481B"/>
    <w:rsid w:val="08585252"/>
    <w:rsid w:val="08655A05"/>
    <w:rsid w:val="08833A7D"/>
    <w:rsid w:val="088821D1"/>
    <w:rsid w:val="08961269"/>
    <w:rsid w:val="089C09DB"/>
    <w:rsid w:val="089E5FF9"/>
    <w:rsid w:val="08CF0B64"/>
    <w:rsid w:val="08D21D20"/>
    <w:rsid w:val="08DA1922"/>
    <w:rsid w:val="08F85F28"/>
    <w:rsid w:val="09091431"/>
    <w:rsid w:val="090B661E"/>
    <w:rsid w:val="091911A2"/>
    <w:rsid w:val="091C0FDB"/>
    <w:rsid w:val="09232B1E"/>
    <w:rsid w:val="095B6FAE"/>
    <w:rsid w:val="096B15AD"/>
    <w:rsid w:val="097823FA"/>
    <w:rsid w:val="098925EC"/>
    <w:rsid w:val="098C4758"/>
    <w:rsid w:val="098C50DF"/>
    <w:rsid w:val="09955FF6"/>
    <w:rsid w:val="09A00262"/>
    <w:rsid w:val="09B42E93"/>
    <w:rsid w:val="09C642B8"/>
    <w:rsid w:val="09CA371A"/>
    <w:rsid w:val="09F93078"/>
    <w:rsid w:val="0A207423"/>
    <w:rsid w:val="0A242A87"/>
    <w:rsid w:val="0A271FB9"/>
    <w:rsid w:val="0A2756B9"/>
    <w:rsid w:val="0A3C20D9"/>
    <w:rsid w:val="0A491D92"/>
    <w:rsid w:val="0A6038F7"/>
    <w:rsid w:val="0A640EF1"/>
    <w:rsid w:val="0A784680"/>
    <w:rsid w:val="0A977124"/>
    <w:rsid w:val="0AB63A1F"/>
    <w:rsid w:val="0AC062DB"/>
    <w:rsid w:val="0AD10421"/>
    <w:rsid w:val="0ADC44D5"/>
    <w:rsid w:val="0AFA6771"/>
    <w:rsid w:val="0B17356A"/>
    <w:rsid w:val="0B3B381D"/>
    <w:rsid w:val="0B50323E"/>
    <w:rsid w:val="0B662553"/>
    <w:rsid w:val="0B6674DF"/>
    <w:rsid w:val="0B6F7F59"/>
    <w:rsid w:val="0B7755E4"/>
    <w:rsid w:val="0B924E99"/>
    <w:rsid w:val="0BAC3EE8"/>
    <w:rsid w:val="0BE23302"/>
    <w:rsid w:val="0BEB54B9"/>
    <w:rsid w:val="0BFB3E02"/>
    <w:rsid w:val="0C007D5E"/>
    <w:rsid w:val="0C111EBC"/>
    <w:rsid w:val="0C184112"/>
    <w:rsid w:val="0C29420A"/>
    <w:rsid w:val="0C296857"/>
    <w:rsid w:val="0C514A70"/>
    <w:rsid w:val="0C8E2977"/>
    <w:rsid w:val="0C943FB6"/>
    <w:rsid w:val="0CAC574D"/>
    <w:rsid w:val="0CBA40C6"/>
    <w:rsid w:val="0CD8119A"/>
    <w:rsid w:val="0CF11101"/>
    <w:rsid w:val="0CF43F44"/>
    <w:rsid w:val="0CFA4BF6"/>
    <w:rsid w:val="0D114784"/>
    <w:rsid w:val="0D305168"/>
    <w:rsid w:val="0D3365C9"/>
    <w:rsid w:val="0D3F4932"/>
    <w:rsid w:val="0D4923C5"/>
    <w:rsid w:val="0D655B32"/>
    <w:rsid w:val="0D6A5FC1"/>
    <w:rsid w:val="0D6B1430"/>
    <w:rsid w:val="0D704C78"/>
    <w:rsid w:val="0D965E2B"/>
    <w:rsid w:val="0DA910C4"/>
    <w:rsid w:val="0DB14103"/>
    <w:rsid w:val="0DD47830"/>
    <w:rsid w:val="0DD6099E"/>
    <w:rsid w:val="0DE55954"/>
    <w:rsid w:val="0DF532C2"/>
    <w:rsid w:val="0E06702E"/>
    <w:rsid w:val="0E08467B"/>
    <w:rsid w:val="0E105987"/>
    <w:rsid w:val="0E176680"/>
    <w:rsid w:val="0E194A19"/>
    <w:rsid w:val="0E1D773A"/>
    <w:rsid w:val="0E227EAE"/>
    <w:rsid w:val="0E2A22A3"/>
    <w:rsid w:val="0E385B84"/>
    <w:rsid w:val="0E417E7A"/>
    <w:rsid w:val="0E463C95"/>
    <w:rsid w:val="0E4F56AE"/>
    <w:rsid w:val="0E541253"/>
    <w:rsid w:val="0E582F31"/>
    <w:rsid w:val="0E6C215B"/>
    <w:rsid w:val="0E7D4F08"/>
    <w:rsid w:val="0E806A71"/>
    <w:rsid w:val="0E8909DC"/>
    <w:rsid w:val="0E973A44"/>
    <w:rsid w:val="0EB12CA6"/>
    <w:rsid w:val="0EB624B2"/>
    <w:rsid w:val="0EB675C5"/>
    <w:rsid w:val="0EBC472F"/>
    <w:rsid w:val="0EBF04BF"/>
    <w:rsid w:val="0EDE29BC"/>
    <w:rsid w:val="0EE428C2"/>
    <w:rsid w:val="0EE52A30"/>
    <w:rsid w:val="0EE6529D"/>
    <w:rsid w:val="0EEB4763"/>
    <w:rsid w:val="0EF4038D"/>
    <w:rsid w:val="0F0745A6"/>
    <w:rsid w:val="0F1028CC"/>
    <w:rsid w:val="0F191A3A"/>
    <w:rsid w:val="0F2567D4"/>
    <w:rsid w:val="0F2B312E"/>
    <w:rsid w:val="0F31061F"/>
    <w:rsid w:val="0F34565C"/>
    <w:rsid w:val="0F357A47"/>
    <w:rsid w:val="0F393346"/>
    <w:rsid w:val="0F54470D"/>
    <w:rsid w:val="0F6D588E"/>
    <w:rsid w:val="0F7A02F2"/>
    <w:rsid w:val="0F7A18AD"/>
    <w:rsid w:val="0F8B568E"/>
    <w:rsid w:val="0F973E10"/>
    <w:rsid w:val="0FAC7B65"/>
    <w:rsid w:val="0FAF4537"/>
    <w:rsid w:val="0FB51F38"/>
    <w:rsid w:val="0FB8082D"/>
    <w:rsid w:val="0FB910D3"/>
    <w:rsid w:val="0FBC2E7B"/>
    <w:rsid w:val="0FC33852"/>
    <w:rsid w:val="0FCC6F10"/>
    <w:rsid w:val="0FD57FD8"/>
    <w:rsid w:val="0FED1109"/>
    <w:rsid w:val="0FF17AD8"/>
    <w:rsid w:val="10121A1C"/>
    <w:rsid w:val="1015055C"/>
    <w:rsid w:val="10236BC4"/>
    <w:rsid w:val="102B0E5F"/>
    <w:rsid w:val="102F0D16"/>
    <w:rsid w:val="102F594C"/>
    <w:rsid w:val="10455272"/>
    <w:rsid w:val="105226AA"/>
    <w:rsid w:val="10596396"/>
    <w:rsid w:val="105C1DBF"/>
    <w:rsid w:val="106C4F20"/>
    <w:rsid w:val="106F441B"/>
    <w:rsid w:val="108555F5"/>
    <w:rsid w:val="109F199D"/>
    <w:rsid w:val="10AB7089"/>
    <w:rsid w:val="10DF279C"/>
    <w:rsid w:val="11010D38"/>
    <w:rsid w:val="11275F9C"/>
    <w:rsid w:val="112E3E22"/>
    <w:rsid w:val="113A56BD"/>
    <w:rsid w:val="115148E2"/>
    <w:rsid w:val="115648BE"/>
    <w:rsid w:val="115917B1"/>
    <w:rsid w:val="1188211D"/>
    <w:rsid w:val="119A16F5"/>
    <w:rsid w:val="119F7657"/>
    <w:rsid w:val="11C151EF"/>
    <w:rsid w:val="11CF2132"/>
    <w:rsid w:val="11CF34F6"/>
    <w:rsid w:val="11E44108"/>
    <w:rsid w:val="11F02E0D"/>
    <w:rsid w:val="11F526B2"/>
    <w:rsid w:val="11FF4A28"/>
    <w:rsid w:val="120477AD"/>
    <w:rsid w:val="122A534D"/>
    <w:rsid w:val="122D1A6D"/>
    <w:rsid w:val="122E44E4"/>
    <w:rsid w:val="12376BB3"/>
    <w:rsid w:val="12396AE6"/>
    <w:rsid w:val="12425075"/>
    <w:rsid w:val="124442D0"/>
    <w:rsid w:val="1254194E"/>
    <w:rsid w:val="12615911"/>
    <w:rsid w:val="126C62B3"/>
    <w:rsid w:val="12771BAC"/>
    <w:rsid w:val="12797AFC"/>
    <w:rsid w:val="127B50D1"/>
    <w:rsid w:val="127F2E42"/>
    <w:rsid w:val="127F5AAA"/>
    <w:rsid w:val="128F1CC7"/>
    <w:rsid w:val="12A3099E"/>
    <w:rsid w:val="12AD471A"/>
    <w:rsid w:val="12BD16AA"/>
    <w:rsid w:val="12DC5F7A"/>
    <w:rsid w:val="12E57D38"/>
    <w:rsid w:val="12ED04AB"/>
    <w:rsid w:val="130440AC"/>
    <w:rsid w:val="13361976"/>
    <w:rsid w:val="13363585"/>
    <w:rsid w:val="133F7815"/>
    <w:rsid w:val="13652E88"/>
    <w:rsid w:val="136934BF"/>
    <w:rsid w:val="13752C6A"/>
    <w:rsid w:val="137B3C77"/>
    <w:rsid w:val="137E4A51"/>
    <w:rsid w:val="137F06E4"/>
    <w:rsid w:val="13853288"/>
    <w:rsid w:val="139B649E"/>
    <w:rsid w:val="139E1149"/>
    <w:rsid w:val="13A4227E"/>
    <w:rsid w:val="13B54BF0"/>
    <w:rsid w:val="13E37EB2"/>
    <w:rsid w:val="13E60485"/>
    <w:rsid w:val="14057552"/>
    <w:rsid w:val="140655F5"/>
    <w:rsid w:val="141F4265"/>
    <w:rsid w:val="142F0401"/>
    <w:rsid w:val="143E77CE"/>
    <w:rsid w:val="14504246"/>
    <w:rsid w:val="145F43B5"/>
    <w:rsid w:val="147F36B9"/>
    <w:rsid w:val="149249C5"/>
    <w:rsid w:val="14BE2D2A"/>
    <w:rsid w:val="14C67363"/>
    <w:rsid w:val="14E04F4B"/>
    <w:rsid w:val="14E33BA3"/>
    <w:rsid w:val="14E96AB2"/>
    <w:rsid w:val="14F260E2"/>
    <w:rsid w:val="14FE572B"/>
    <w:rsid w:val="1522788B"/>
    <w:rsid w:val="153B5EFC"/>
    <w:rsid w:val="15520C32"/>
    <w:rsid w:val="156B2AF5"/>
    <w:rsid w:val="1574047B"/>
    <w:rsid w:val="157737C7"/>
    <w:rsid w:val="157C618E"/>
    <w:rsid w:val="1588301A"/>
    <w:rsid w:val="15A24E4B"/>
    <w:rsid w:val="15A436BC"/>
    <w:rsid w:val="15B07332"/>
    <w:rsid w:val="15C21301"/>
    <w:rsid w:val="160666D4"/>
    <w:rsid w:val="1613713C"/>
    <w:rsid w:val="162F2950"/>
    <w:rsid w:val="162F5EF5"/>
    <w:rsid w:val="163537ED"/>
    <w:rsid w:val="165C639A"/>
    <w:rsid w:val="16630D36"/>
    <w:rsid w:val="1664773D"/>
    <w:rsid w:val="1665308F"/>
    <w:rsid w:val="166D3912"/>
    <w:rsid w:val="16A17772"/>
    <w:rsid w:val="16BF145B"/>
    <w:rsid w:val="16C868F1"/>
    <w:rsid w:val="16DC18F9"/>
    <w:rsid w:val="17102BC2"/>
    <w:rsid w:val="171106AB"/>
    <w:rsid w:val="17175BDE"/>
    <w:rsid w:val="171D5E0C"/>
    <w:rsid w:val="17354FBD"/>
    <w:rsid w:val="17503CCA"/>
    <w:rsid w:val="17565BDC"/>
    <w:rsid w:val="17640DCA"/>
    <w:rsid w:val="17765BBC"/>
    <w:rsid w:val="178F0396"/>
    <w:rsid w:val="17974F39"/>
    <w:rsid w:val="179A6621"/>
    <w:rsid w:val="17B133E3"/>
    <w:rsid w:val="17BB3A4F"/>
    <w:rsid w:val="17C50B30"/>
    <w:rsid w:val="17D46774"/>
    <w:rsid w:val="17E77D3A"/>
    <w:rsid w:val="17ED1F47"/>
    <w:rsid w:val="17FB106E"/>
    <w:rsid w:val="180C7E3B"/>
    <w:rsid w:val="1821048B"/>
    <w:rsid w:val="182D508F"/>
    <w:rsid w:val="18335CBE"/>
    <w:rsid w:val="184954F3"/>
    <w:rsid w:val="184D26DA"/>
    <w:rsid w:val="184F6FD7"/>
    <w:rsid w:val="185D0B7B"/>
    <w:rsid w:val="18627A40"/>
    <w:rsid w:val="186B4798"/>
    <w:rsid w:val="18720AE9"/>
    <w:rsid w:val="18736319"/>
    <w:rsid w:val="187E5EC7"/>
    <w:rsid w:val="18813476"/>
    <w:rsid w:val="188678FB"/>
    <w:rsid w:val="188D2397"/>
    <w:rsid w:val="189B5E99"/>
    <w:rsid w:val="18C72CE8"/>
    <w:rsid w:val="18E42D56"/>
    <w:rsid w:val="18E67944"/>
    <w:rsid w:val="18F32945"/>
    <w:rsid w:val="18FE71A5"/>
    <w:rsid w:val="19044FF4"/>
    <w:rsid w:val="190D0A8B"/>
    <w:rsid w:val="190F4E01"/>
    <w:rsid w:val="192558F8"/>
    <w:rsid w:val="192B6783"/>
    <w:rsid w:val="192C2428"/>
    <w:rsid w:val="1937656F"/>
    <w:rsid w:val="193F6A34"/>
    <w:rsid w:val="194A2FFA"/>
    <w:rsid w:val="19612C18"/>
    <w:rsid w:val="19707778"/>
    <w:rsid w:val="197A3BC6"/>
    <w:rsid w:val="197F41DE"/>
    <w:rsid w:val="19911CC9"/>
    <w:rsid w:val="199A53B5"/>
    <w:rsid w:val="199D2042"/>
    <w:rsid w:val="199F2F50"/>
    <w:rsid w:val="19B46701"/>
    <w:rsid w:val="19BF1FC8"/>
    <w:rsid w:val="19C55E55"/>
    <w:rsid w:val="19C7104C"/>
    <w:rsid w:val="19D449EB"/>
    <w:rsid w:val="19DA46F2"/>
    <w:rsid w:val="19F66E3F"/>
    <w:rsid w:val="1A0C6E2E"/>
    <w:rsid w:val="1A185959"/>
    <w:rsid w:val="1A271019"/>
    <w:rsid w:val="1A291A63"/>
    <w:rsid w:val="1A376FF2"/>
    <w:rsid w:val="1A3D2E64"/>
    <w:rsid w:val="1A6B6AC3"/>
    <w:rsid w:val="1A76422C"/>
    <w:rsid w:val="1A7B5928"/>
    <w:rsid w:val="1A8A71CF"/>
    <w:rsid w:val="1A9B1958"/>
    <w:rsid w:val="1AA145AA"/>
    <w:rsid w:val="1AA5384B"/>
    <w:rsid w:val="1AC22EB4"/>
    <w:rsid w:val="1AD41192"/>
    <w:rsid w:val="1ADB5CEF"/>
    <w:rsid w:val="1AE31D32"/>
    <w:rsid w:val="1AE93AD4"/>
    <w:rsid w:val="1B015DAC"/>
    <w:rsid w:val="1B065151"/>
    <w:rsid w:val="1B071AA7"/>
    <w:rsid w:val="1B125C1B"/>
    <w:rsid w:val="1B145F7C"/>
    <w:rsid w:val="1B270518"/>
    <w:rsid w:val="1B2C2C9D"/>
    <w:rsid w:val="1B3F2376"/>
    <w:rsid w:val="1B592D92"/>
    <w:rsid w:val="1B5B7806"/>
    <w:rsid w:val="1B603B06"/>
    <w:rsid w:val="1BA96203"/>
    <w:rsid w:val="1BB51F83"/>
    <w:rsid w:val="1BCF2E6A"/>
    <w:rsid w:val="1BE403C0"/>
    <w:rsid w:val="1BFB364E"/>
    <w:rsid w:val="1BFD6BF9"/>
    <w:rsid w:val="1C4F6392"/>
    <w:rsid w:val="1C6B45F9"/>
    <w:rsid w:val="1C6E6E72"/>
    <w:rsid w:val="1C6F5DB2"/>
    <w:rsid w:val="1C717E13"/>
    <w:rsid w:val="1C742C96"/>
    <w:rsid w:val="1C823E70"/>
    <w:rsid w:val="1C96187F"/>
    <w:rsid w:val="1CA7730F"/>
    <w:rsid w:val="1CB114C5"/>
    <w:rsid w:val="1CB2210B"/>
    <w:rsid w:val="1CB850C9"/>
    <w:rsid w:val="1CBB6184"/>
    <w:rsid w:val="1CD465EE"/>
    <w:rsid w:val="1CD61BD0"/>
    <w:rsid w:val="1CDC1CD0"/>
    <w:rsid w:val="1CE02084"/>
    <w:rsid w:val="1CE05979"/>
    <w:rsid w:val="1CF81B5D"/>
    <w:rsid w:val="1CF830EA"/>
    <w:rsid w:val="1CFA74C4"/>
    <w:rsid w:val="1CFF15DE"/>
    <w:rsid w:val="1D074F20"/>
    <w:rsid w:val="1D0C190B"/>
    <w:rsid w:val="1D121F27"/>
    <w:rsid w:val="1D285480"/>
    <w:rsid w:val="1D32624E"/>
    <w:rsid w:val="1D3D0879"/>
    <w:rsid w:val="1D47024C"/>
    <w:rsid w:val="1D7309C7"/>
    <w:rsid w:val="1D734817"/>
    <w:rsid w:val="1D8F26AC"/>
    <w:rsid w:val="1D92720C"/>
    <w:rsid w:val="1D982370"/>
    <w:rsid w:val="1DAA7BA4"/>
    <w:rsid w:val="1DBD26BF"/>
    <w:rsid w:val="1DC4459F"/>
    <w:rsid w:val="1DCD51FA"/>
    <w:rsid w:val="1DD43574"/>
    <w:rsid w:val="1DD60796"/>
    <w:rsid w:val="1DEF5641"/>
    <w:rsid w:val="1DF50155"/>
    <w:rsid w:val="1E082A3D"/>
    <w:rsid w:val="1E2D5F31"/>
    <w:rsid w:val="1E2E272C"/>
    <w:rsid w:val="1E4731B0"/>
    <w:rsid w:val="1E4A0FA2"/>
    <w:rsid w:val="1E541C85"/>
    <w:rsid w:val="1E555A3F"/>
    <w:rsid w:val="1E6A45DF"/>
    <w:rsid w:val="1E7526F5"/>
    <w:rsid w:val="1E79446E"/>
    <w:rsid w:val="1E7A151A"/>
    <w:rsid w:val="1E8B36D8"/>
    <w:rsid w:val="1E8C7F2D"/>
    <w:rsid w:val="1E8D027A"/>
    <w:rsid w:val="1E9F1308"/>
    <w:rsid w:val="1EA20C11"/>
    <w:rsid w:val="1EA63585"/>
    <w:rsid w:val="1EB02EB3"/>
    <w:rsid w:val="1ED634C8"/>
    <w:rsid w:val="1F1A4174"/>
    <w:rsid w:val="1F317F2F"/>
    <w:rsid w:val="1F3A2822"/>
    <w:rsid w:val="1F425C9E"/>
    <w:rsid w:val="1F50437F"/>
    <w:rsid w:val="1F524902"/>
    <w:rsid w:val="1F5E2A42"/>
    <w:rsid w:val="1F6F3F65"/>
    <w:rsid w:val="1F6F600D"/>
    <w:rsid w:val="1F71140C"/>
    <w:rsid w:val="1F77173C"/>
    <w:rsid w:val="1F7806EE"/>
    <w:rsid w:val="1F7E02BC"/>
    <w:rsid w:val="1F882178"/>
    <w:rsid w:val="1F8C2708"/>
    <w:rsid w:val="1F8D46CB"/>
    <w:rsid w:val="1F942583"/>
    <w:rsid w:val="1F9D29A9"/>
    <w:rsid w:val="1F9D3C86"/>
    <w:rsid w:val="1FA60284"/>
    <w:rsid w:val="1FB32DB4"/>
    <w:rsid w:val="1FC01FD0"/>
    <w:rsid w:val="1FE23B5B"/>
    <w:rsid w:val="1FF30913"/>
    <w:rsid w:val="2009574A"/>
    <w:rsid w:val="20177AD7"/>
    <w:rsid w:val="20320805"/>
    <w:rsid w:val="20434F03"/>
    <w:rsid w:val="20522510"/>
    <w:rsid w:val="20572947"/>
    <w:rsid w:val="20586DAA"/>
    <w:rsid w:val="205C7E13"/>
    <w:rsid w:val="2066281A"/>
    <w:rsid w:val="20692DB1"/>
    <w:rsid w:val="206A0061"/>
    <w:rsid w:val="206F77A6"/>
    <w:rsid w:val="207411F6"/>
    <w:rsid w:val="20775BDB"/>
    <w:rsid w:val="20861F0D"/>
    <w:rsid w:val="209337D2"/>
    <w:rsid w:val="2094411D"/>
    <w:rsid w:val="20995A9C"/>
    <w:rsid w:val="209D030A"/>
    <w:rsid w:val="20A26A1A"/>
    <w:rsid w:val="20A6563C"/>
    <w:rsid w:val="20B72F34"/>
    <w:rsid w:val="20CB3765"/>
    <w:rsid w:val="20D308EA"/>
    <w:rsid w:val="20D50D54"/>
    <w:rsid w:val="20DD5754"/>
    <w:rsid w:val="20E174EB"/>
    <w:rsid w:val="210908BB"/>
    <w:rsid w:val="21156916"/>
    <w:rsid w:val="212461E1"/>
    <w:rsid w:val="214128DB"/>
    <w:rsid w:val="21413789"/>
    <w:rsid w:val="214E718E"/>
    <w:rsid w:val="21581320"/>
    <w:rsid w:val="216412D8"/>
    <w:rsid w:val="2165741F"/>
    <w:rsid w:val="217A7C08"/>
    <w:rsid w:val="21885155"/>
    <w:rsid w:val="219A4D3D"/>
    <w:rsid w:val="21A374F2"/>
    <w:rsid w:val="21BB7E33"/>
    <w:rsid w:val="21C6019D"/>
    <w:rsid w:val="21CA5BF7"/>
    <w:rsid w:val="21DA4837"/>
    <w:rsid w:val="21DD7AA4"/>
    <w:rsid w:val="21EA4195"/>
    <w:rsid w:val="21EE6A44"/>
    <w:rsid w:val="21F754E0"/>
    <w:rsid w:val="22042709"/>
    <w:rsid w:val="2210318B"/>
    <w:rsid w:val="22120CBB"/>
    <w:rsid w:val="222609AE"/>
    <w:rsid w:val="222A092A"/>
    <w:rsid w:val="2236112C"/>
    <w:rsid w:val="22381AB4"/>
    <w:rsid w:val="224B44F4"/>
    <w:rsid w:val="224D4190"/>
    <w:rsid w:val="22581266"/>
    <w:rsid w:val="22654DED"/>
    <w:rsid w:val="226B10CB"/>
    <w:rsid w:val="22700E5D"/>
    <w:rsid w:val="227F2B05"/>
    <w:rsid w:val="2282374C"/>
    <w:rsid w:val="22922713"/>
    <w:rsid w:val="22A14429"/>
    <w:rsid w:val="22C10889"/>
    <w:rsid w:val="22C44F27"/>
    <w:rsid w:val="22C55D90"/>
    <w:rsid w:val="22EF6E32"/>
    <w:rsid w:val="22F12297"/>
    <w:rsid w:val="22F9489E"/>
    <w:rsid w:val="22FD0965"/>
    <w:rsid w:val="230C3E8B"/>
    <w:rsid w:val="231471AC"/>
    <w:rsid w:val="231B12B8"/>
    <w:rsid w:val="231D3576"/>
    <w:rsid w:val="23317CBF"/>
    <w:rsid w:val="2346682E"/>
    <w:rsid w:val="23487032"/>
    <w:rsid w:val="234A3CB3"/>
    <w:rsid w:val="235F7E48"/>
    <w:rsid w:val="23663C45"/>
    <w:rsid w:val="2375130F"/>
    <w:rsid w:val="237B0F66"/>
    <w:rsid w:val="23891F29"/>
    <w:rsid w:val="238C7CA0"/>
    <w:rsid w:val="238E4769"/>
    <w:rsid w:val="23AD1C1C"/>
    <w:rsid w:val="23B65744"/>
    <w:rsid w:val="23C921B3"/>
    <w:rsid w:val="23CD0B75"/>
    <w:rsid w:val="23F02710"/>
    <w:rsid w:val="23FC46FC"/>
    <w:rsid w:val="23FE2E85"/>
    <w:rsid w:val="2402031E"/>
    <w:rsid w:val="240A23E7"/>
    <w:rsid w:val="240F7C19"/>
    <w:rsid w:val="24136BB4"/>
    <w:rsid w:val="241A7270"/>
    <w:rsid w:val="243667C3"/>
    <w:rsid w:val="243830FC"/>
    <w:rsid w:val="243F08C6"/>
    <w:rsid w:val="24446EE8"/>
    <w:rsid w:val="245B69E5"/>
    <w:rsid w:val="2486506D"/>
    <w:rsid w:val="24A00064"/>
    <w:rsid w:val="24C414EC"/>
    <w:rsid w:val="24C66DF5"/>
    <w:rsid w:val="24C84D9D"/>
    <w:rsid w:val="24E50C08"/>
    <w:rsid w:val="24E522E7"/>
    <w:rsid w:val="250905CA"/>
    <w:rsid w:val="250A0F54"/>
    <w:rsid w:val="252303E7"/>
    <w:rsid w:val="254657AC"/>
    <w:rsid w:val="255103B3"/>
    <w:rsid w:val="256120B6"/>
    <w:rsid w:val="25647B31"/>
    <w:rsid w:val="256E2B96"/>
    <w:rsid w:val="257D732D"/>
    <w:rsid w:val="25861A2E"/>
    <w:rsid w:val="258D5F03"/>
    <w:rsid w:val="258E2046"/>
    <w:rsid w:val="25AF5099"/>
    <w:rsid w:val="25BB7E1C"/>
    <w:rsid w:val="25C27A17"/>
    <w:rsid w:val="25C97209"/>
    <w:rsid w:val="25D54B9C"/>
    <w:rsid w:val="25D72535"/>
    <w:rsid w:val="25D8089C"/>
    <w:rsid w:val="25DC312C"/>
    <w:rsid w:val="25E53885"/>
    <w:rsid w:val="26022025"/>
    <w:rsid w:val="26071B14"/>
    <w:rsid w:val="261A2DC4"/>
    <w:rsid w:val="261E546A"/>
    <w:rsid w:val="262867F9"/>
    <w:rsid w:val="2635682F"/>
    <w:rsid w:val="26473064"/>
    <w:rsid w:val="266F4E41"/>
    <w:rsid w:val="267657EC"/>
    <w:rsid w:val="267C53B5"/>
    <w:rsid w:val="268175AF"/>
    <w:rsid w:val="269936E5"/>
    <w:rsid w:val="26A107CB"/>
    <w:rsid w:val="26A63E4F"/>
    <w:rsid w:val="26A849D4"/>
    <w:rsid w:val="26B056BA"/>
    <w:rsid w:val="26B4330A"/>
    <w:rsid w:val="26B439E7"/>
    <w:rsid w:val="26C7384A"/>
    <w:rsid w:val="26C81C11"/>
    <w:rsid w:val="26CD5B84"/>
    <w:rsid w:val="26D65139"/>
    <w:rsid w:val="26DD6103"/>
    <w:rsid w:val="26DF3000"/>
    <w:rsid w:val="26F64AC0"/>
    <w:rsid w:val="270D005B"/>
    <w:rsid w:val="27252F68"/>
    <w:rsid w:val="27261338"/>
    <w:rsid w:val="277D0E1C"/>
    <w:rsid w:val="279A2512"/>
    <w:rsid w:val="27A125ED"/>
    <w:rsid w:val="27A674A1"/>
    <w:rsid w:val="27B060BE"/>
    <w:rsid w:val="27B3313E"/>
    <w:rsid w:val="27B91DBE"/>
    <w:rsid w:val="27C768DF"/>
    <w:rsid w:val="27DA3026"/>
    <w:rsid w:val="27E86862"/>
    <w:rsid w:val="27F302F1"/>
    <w:rsid w:val="281D45FF"/>
    <w:rsid w:val="28312587"/>
    <w:rsid w:val="283B6BC2"/>
    <w:rsid w:val="283D7D01"/>
    <w:rsid w:val="28441583"/>
    <w:rsid w:val="28670709"/>
    <w:rsid w:val="28851EBF"/>
    <w:rsid w:val="28B00F9C"/>
    <w:rsid w:val="28B62B70"/>
    <w:rsid w:val="28C164F8"/>
    <w:rsid w:val="28E16E2C"/>
    <w:rsid w:val="28E47876"/>
    <w:rsid w:val="28EE7A28"/>
    <w:rsid w:val="28F02100"/>
    <w:rsid w:val="29621CBE"/>
    <w:rsid w:val="2988329A"/>
    <w:rsid w:val="299E5795"/>
    <w:rsid w:val="29A24B74"/>
    <w:rsid w:val="29A373B1"/>
    <w:rsid w:val="29B70933"/>
    <w:rsid w:val="29C165C5"/>
    <w:rsid w:val="29D67D33"/>
    <w:rsid w:val="29FF5558"/>
    <w:rsid w:val="2A05728E"/>
    <w:rsid w:val="2A1E468F"/>
    <w:rsid w:val="2A3A31D8"/>
    <w:rsid w:val="2A3A5929"/>
    <w:rsid w:val="2A486E62"/>
    <w:rsid w:val="2A494C75"/>
    <w:rsid w:val="2A55359D"/>
    <w:rsid w:val="2A631CCA"/>
    <w:rsid w:val="2A6E7914"/>
    <w:rsid w:val="2A73683C"/>
    <w:rsid w:val="2A934276"/>
    <w:rsid w:val="2A9929F4"/>
    <w:rsid w:val="2AB22EEB"/>
    <w:rsid w:val="2ABB1A58"/>
    <w:rsid w:val="2ABE1CF1"/>
    <w:rsid w:val="2AD86CE9"/>
    <w:rsid w:val="2AF81E5A"/>
    <w:rsid w:val="2AFB0F7C"/>
    <w:rsid w:val="2B042ED6"/>
    <w:rsid w:val="2B085109"/>
    <w:rsid w:val="2B135D77"/>
    <w:rsid w:val="2B271352"/>
    <w:rsid w:val="2B2D0E6E"/>
    <w:rsid w:val="2B350AC6"/>
    <w:rsid w:val="2B3F1171"/>
    <w:rsid w:val="2B712699"/>
    <w:rsid w:val="2B7803FE"/>
    <w:rsid w:val="2B784EDA"/>
    <w:rsid w:val="2B865DB5"/>
    <w:rsid w:val="2B881D42"/>
    <w:rsid w:val="2B9B2D8A"/>
    <w:rsid w:val="2BA432D1"/>
    <w:rsid w:val="2BA83407"/>
    <w:rsid w:val="2BAA62BF"/>
    <w:rsid w:val="2BAD75ED"/>
    <w:rsid w:val="2BAD7F9F"/>
    <w:rsid w:val="2BB22949"/>
    <w:rsid w:val="2BC007D2"/>
    <w:rsid w:val="2BD356C0"/>
    <w:rsid w:val="2BDB19E8"/>
    <w:rsid w:val="2BDF0004"/>
    <w:rsid w:val="2BEA79CF"/>
    <w:rsid w:val="2BEE0439"/>
    <w:rsid w:val="2BFE4DEE"/>
    <w:rsid w:val="2C103772"/>
    <w:rsid w:val="2C211A40"/>
    <w:rsid w:val="2C253DD4"/>
    <w:rsid w:val="2C3D3BAC"/>
    <w:rsid w:val="2C4475B2"/>
    <w:rsid w:val="2C5E6A1E"/>
    <w:rsid w:val="2C6967DB"/>
    <w:rsid w:val="2C6B4A45"/>
    <w:rsid w:val="2C7C43B6"/>
    <w:rsid w:val="2CAC7728"/>
    <w:rsid w:val="2CB454B5"/>
    <w:rsid w:val="2CB91EC5"/>
    <w:rsid w:val="2CBC54B5"/>
    <w:rsid w:val="2CBE7FCC"/>
    <w:rsid w:val="2CD4197A"/>
    <w:rsid w:val="2CD858E5"/>
    <w:rsid w:val="2CF76D71"/>
    <w:rsid w:val="2CFB5BB9"/>
    <w:rsid w:val="2D066A02"/>
    <w:rsid w:val="2D131E54"/>
    <w:rsid w:val="2D1428CF"/>
    <w:rsid w:val="2D154B29"/>
    <w:rsid w:val="2D2B08EA"/>
    <w:rsid w:val="2D383471"/>
    <w:rsid w:val="2D426F07"/>
    <w:rsid w:val="2D4F07C8"/>
    <w:rsid w:val="2D5B6981"/>
    <w:rsid w:val="2D5C5261"/>
    <w:rsid w:val="2D6D1208"/>
    <w:rsid w:val="2D6E5679"/>
    <w:rsid w:val="2D807EB8"/>
    <w:rsid w:val="2DA57639"/>
    <w:rsid w:val="2DB32775"/>
    <w:rsid w:val="2DD36B49"/>
    <w:rsid w:val="2DD67712"/>
    <w:rsid w:val="2DD85027"/>
    <w:rsid w:val="2DDC44F1"/>
    <w:rsid w:val="2DEF7C38"/>
    <w:rsid w:val="2DF139B7"/>
    <w:rsid w:val="2DF27B22"/>
    <w:rsid w:val="2DF50597"/>
    <w:rsid w:val="2E07556C"/>
    <w:rsid w:val="2E1072EF"/>
    <w:rsid w:val="2E136C20"/>
    <w:rsid w:val="2E1C6296"/>
    <w:rsid w:val="2E22555E"/>
    <w:rsid w:val="2E2C3749"/>
    <w:rsid w:val="2E2D7123"/>
    <w:rsid w:val="2E2F13F7"/>
    <w:rsid w:val="2E3018AA"/>
    <w:rsid w:val="2E3365E4"/>
    <w:rsid w:val="2E594636"/>
    <w:rsid w:val="2E5D1314"/>
    <w:rsid w:val="2E64168D"/>
    <w:rsid w:val="2E7D721A"/>
    <w:rsid w:val="2E897FB1"/>
    <w:rsid w:val="2E8E59B3"/>
    <w:rsid w:val="2E9C4B61"/>
    <w:rsid w:val="2EA56CB5"/>
    <w:rsid w:val="2EA60FFB"/>
    <w:rsid w:val="2EAA13BF"/>
    <w:rsid w:val="2EAE76D1"/>
    <w:rsid w:val="2EB03306"/>
    <w:rsid w:val="2EC00612"/>
    <w:rsid w:val="2EC94008"/>
    <w:rsid w:val="2ECB7DF6"/>
    <w:rsid w:val="2EDC0B15"/>
    <w:rsid w:val="2EEE7454"/>
    <w:rsid w:val="2EF02CE1"/>
    <w:rsid w:val="2EFB1748"/>
    <w:rsid w:val="2F001736"/>
    <w:rsid w:val="2F107B04"/>
    <w:rsid w:val="2F12267C"/>
    <w:rsid w:val="2F201BF1"/>
    <w:rsid w:val="2F2721CE"/>
    <w:rsid w:val="2F4023DC"/>
    <w:rsid w:val="2F49294B"/>
    <w:rsid w:val="2F650ACD"/>
    <w:rsid w:val="2F683576"/>
    <w:rsid w:val="2F826B8F"/>
    <w:rsid w:val="2F8D25FE"/>
    <w:rsid w:val="2F9F78D6"/>
    <w:rsid w:val="2FA9248D"/>
    <w:rsid w:val="2FAC4963"/>
    <w:rsid w:val="2FDF66AA"/>
    <w:rsid w:val="2FF714DB"/>
    <w:rsid w:val="2FFB1EC7"/>
    <w:rsid w:val="30025C0E"/>
    <w:rsid w:val="300371CD"/>
    <w:rsid w:val="300B1481"/>
    <w:rsid w:val="30175A8E"/>
    <w:rsid w:val="30407B60"/>
    <w:rsid w:val="30517F11"/>
    <w:rsid w:val="306E151C"/>
    <w:rsid w:val="307964E6"/>
    <w:rsid w:val="307B1DD7"/>
    <w:rsid w:val="307F5D93"/>
    <w:rsid w:val="30A720EB"/>
    <w:rsid w:val="30A9724A"/>
    <w:rsid w:val="30AE7BF2"/>
    <w:rsid w:val="30B42AD4"/>
    <w:rsid w:val="30C65F98"/>
    <w:rsid w:val="30C873A7"/>
    <w:rsid w:val="30CF4115"/>
    <w:rsid w:val="30D2103B"/>
    <w:rsid w:val="30E055B8"/>
    <w:rsid w:val="30FE6E14"/>
    <w:rsid w:val="31183FA1"/>
    <w:rsid w:val="3124204D"/>
    <w:rsid w:val="31472444"/>
    <w:rsid w:val="314F22F4"/>
    <w:rsid w:val="31523BD4"/>
    <w:rsid w:val="31540DE1"/>
    <w:rsid w:val="31542FA6"/>
    <w:rsid w:val="31620770"/>
    <w:rsid w:val="316312B9"/>
    <w:rsid w:val="31744474"/>
    <w:rsid w:val="31850370"/>
    <w:rsid w:val="31922F82"/>
    <w:rsid w:val="319A1D52"/>
    <w:rsid w:val="319B6702"/>
    <w:rsid w:val="31A779EB"/>
    <w:rsid w:val="31B56F05"/>
    <w:rsid w:val="31D1101F"/>
    <w:rsid w:val="31E33837"/>
    <w:rsid w:val="31EB416D"/>
    <w:rsid w:val="31EE26DF"/>
    <w:rsid w:val="320F6379"/>
    <w:rsid w:val="321E7A46"/>
    <w:rsid w:val="32532AC4"/>
    <w:rsid w:val="3256423A"/>
    <w:rsid w:val="32620A53"/>
    <w:rsid w:val="328F0627"/>
    <w:rsid w:val="328F2DA7"/>
    <w:rsid w:val="32A73779"/>
    <w:rsid w:val="32C5043B"/>
    <w:rsid w:val="32D547D4"/>
    <w:rsid w:val="32E73FFB"/>
    <w:rsid w:val="32EF5376"/>
    <w:rsid w:val="3311642B"/>
    <w:rsid w:val="332B4CAB"/>
    <w:rsid w:val="333A262E"/>
    <w:rsid w:val="333D0AFB"/>
    <w:rsid w:val="335B6967"/>
    <w:rsid w:val="335E0755"/>
    <w:rsid w:val="336113AC"/>
    <w:rsid w:val="33651321"/>
    <w:rsid w:val="336C6D80"/>
    <w:rsid w:val="337639C8"/>
    <w:rsid w:val="3381492E"/>
    <w:rsid w:val="338449DA"/>
    <w:rsid w:val="338A4933"/>
    <w:rsid w:val="338A4B3E"/>
    <w:rsid w:val="33AF0611"/>
    <w:rsid w:val="33E71000"/>
    <w:rsid w:val="340112F2"/>
    <w:rsid w:val="340A4DA3"/>
    <w:rsid w:val="34152F1A"/>
    <w:rsid w:val="342D1D49"/>
    <w:rsid w:val="34311068"/>
    <w:rsid w:val="3432741A"/>
    <w:rsid w:val="34327F4F"/>
    <w:rsid w:val="3459785A"/>
    <w:rsid w:val="346825FC"/>
    <w:rsid w:val="34781C65"/>
    <w:rsid w:val="348C3DC8"/>
    <w:rsid w:val="34937526"/>
    <w:rsid w:val="34D021AC"/>
    <w:rsid w:val="34ED1500"/>
    <w:rsid w:val="34F764A5"/>
    <w:rsid w:val="35010A75"/>
    <w:rsid w:val="3509060F"/>
    <w:rsid w:val="35315961"/>
    <w:rsid w:val="353D4EA6"/>
    <w:rsid w:val="353D7B84"/>
    <w:rsid w:val="3541360E"/>
    <w:rsid w:val="354438F1"/>
    <w:rsid w:val="35583982"/>
    <w:rsid w:val="355A75C5"/>
    <w:rsid w:val="35624F71"/>
    <w:rsid w:val="35633FFF"/>
    <w:rsid w:val="356D6C4C"/>
    <w:rsid w:val="357A1911"/>
    <w:rsid w:val="35942A45"/>
    <w:rsid w:val="35B41F70"/>
    <w:rsid w:val="35B5028C"/>
    <w:rsid w:val="35C8084D"/>
    <w:rsid w:val="35CC5054"/>
    <w:rsid w:val="35DD5D72"/>
    <w:rsid w:val="35F278D4"/>
    <w:rsid w:val="36035720"/>
    <w:rsid w:val="36085E3D"/>
    <w:rsid w:val="360F3846"/>
    <w:rsid w:val="36147D7E"/>
    <w:rsid w:val="3632125C"/>
    <w:rsid w:val="36321A9D"/>
    <w:rsid w:val="36334D39"/>
    <w:rsid w:val="36356321"/>
    <w:rsid w:val="363B1CF1"/>
    <w:rsid w:val="363D0B35"/>
    <w:rsid w:val="365C5F8C"/>
    <w:rsid w:val="3664470D"/>
    <w:rsid w:val="36696401"/>
    <w:rsid w:val="366E08E7"/>
    <w:rsid w:val="366F1DCE"/>
    <w:rsid w:val="3676322C"/>
    <w:rsid w:val="368811A7"/>
    <w:rsid w:val="368D15B1"/>
    <w:rsid w:val="36A44AAC"/>
    <w:rsid w:val="36AF7B8C"/>
    <w:rsid w:val="36BB1A91"/>
    <w:rsid w:val="36BE37A8"/>
    <w:rsid w:val="36C43816"/>
    <w:rsid w:val="36C56E01"/>
    <w:rsid w:val="36C8349F"/>
    <w:rsid w:val="36D07867"/>
    <w:rsid w:val="36DF3AB4"/>
    <w:rsid w:val="36E115C0"/>
    <w:rsid w:val="36E54D8C"/>
    <w:rsid w:val="36EA45E4"/>
    <w:rsid w:val="36EA5E2D"/>
    <w:rsid w:val="36ED220F"/>
    <w:rsid w:val="36F13B3A"/>
    <w:rsid w:val="370E7B2D"/>
    <w:rsid w:val="37284525"/>
    <w:rsid w:val="372E44E9"/>
    <w:rsid w:val="3732408F"/>
    <w:rsid w:val="37326FAB"/>
    <w:rsid w:val="37341636"/>
    <w:rsid w:val="373C7550"/>
    <w:rsid w:val="374E50D4"/>
    <w:rsid w:val="37540A26"/>
    <w:rsid w:val="375D1E6E"/>
    <w:rsid w:val="37673734"/>
    <w:rsid w:val="37A01D42"/>
    <w:rsid w:val="37A44AF1"/>
    <w:rsid w:val="37B9761A"/>
    <w:rsid w:val="37BB0B1C"/>
    <w:rsid w:val="37C11A6E"/>
    <w:rsid w:val="37D02C45"/>
    <w:rsid w:val="37D325B4"/>
    <w:rsid w:val="37D446D1"/>
    <w:rsid w:val="37D517F5"/>
    <w:rsid w:val="37DC0EB3"/>
    <w:rsid w:val="37E74CF5"/>
    <w:rsid w:val="37EB5682"/>
    <w:rsid w:val="38077689"/>
    <w:rsid w:val="38082ECE"/>
    <w:rsid w:val="38087BDE"/>
    <w:rsid w:val="381E7FB5"/>
    <w:rsid w:val="38291ED2"/>
    <w:rsid w:val="382F5059"/>
    <w:rsid w:val="38337675"/>
    <w:rsid w:val="3843542A"/>
    <w:rsid w:val="386234C8"/>
    <w:rsid w:val="38684AF3"/>
    <w:rsid w:val="3869288C"/>
    <w:rsid w:val="386B58E8"/>
    <w:rsid w:val="38715858"/>
    <w:rsid w:val="3875018D"/>
    <w:rsid w:val="38815338"/>
    <w:rsid w:val="38A2325E"/>
    <w:rsid w:val="38A561BA"/>
    <w:rsid w:val="38B11DED"/>
    <w:rsid w:val="38BB4677"/>
    <w:rsid w:val="38D215BE"/>
    <w:rsid w:val="38DC243C"/>
    <w:rsid w:val="38DE3647"/>
    <w:rsid w:val="38E0213A"/>
    <w:rsid w:val="38E371D7"/>
    <w:rsid w:val="38F34FAD"/>
    <w:rsid w:val="3901055C"/>
    <w:rsid w:val="390B4165"/>
    <w:rsid w:val="390C5685"/>
    <w:rsid w:val="391772F9"/>
    <w:rsid w:val="39264E57"/>
    <w:rsid w:val="392719AE"/>
    <w:rsid w:val="392A708E"/>
    <w:rsid w:val="39344476"/>
    <w:rsid w:val="39436814"/>
    <w:rsid w:val="394B0FD5"/>
    <w:rsid w:val="39514DB0"/>
    <w:rsid w:val="3959473B"/>
    <w:rsid w:val="39635C08"/>
    <w:rsid w:val="39721A77"/>
    <w:rsid w:val="397B0098"/>
    <w:rsid w:val="397B61B3"/>
    <w:rsid w:val="398D7A19"/>
    <w:rsid w:val="399A363A"/>
    <w:rsid w:val="399E76E5"/>
    <w:rsid w:val="39AB0C57"/>
    <w:rsid w:val="39C07917"/>
    <w:rsid w:val="39CB25C4"/>
    <w:rsid w:val="39CC1FCC"/>
    <w:rsid w:val="39D16C84"/>
    <w:rsid w:val="39D75DC9"/>
    <w:rsid w:val="39E1498A"/>
    <w:rsid w:val="39E527FD"/>
    <w:rsid w:val="39E65D62"/>
    <w:rsid w:val="3A266CAD"/>
    <w:rsid w:val="3A40791E"/>
    <w:rsid w:val="3A4D00B2"/>
    <w:rsid w:val="3A5B7E70"/>
    <w:rsid w:val="3A7E3EEB"/>
    <w:rsid w:val="3AA233D9"/>
    <w:rsid w:val="3AA54FC5"/>
    <w:rsid w:val="3AAD4F64"/>
    <w:rsid w:val="3AAD638B"/>
    <w:rsid w:val="3AAE1648"/>
    <w:rsid w:val="3AC07EE6"/>
    <w:rsid w:val="3AC45692"/>
    <w:rsid w:val="3ACA088E"/>
    <w:rsid w:val="3ACA7508"/>
    <w:rsid w:val="3AD0727A"/>
    <w:rsid w:val="3AD46886"/>
    <w:rsid w:val="3AD631C1"/>
    <w:rsid w:val="3ADA7AFA"/>
    <w:rsid w:val="3AE90D28"/>
    <w:rsid w:val="3AF40CC7"/>
    <w:rsid w:val="3AF54A3E"/>
    <w:rsid w:val="3B0318F4"/>
    <w:rsid w:val="3B12134C"/>
    <w:rsid w:val="3B18568D"/>
    <w:rsid w:val="3B2339AA"/>
    <w:rsid w:val="3B255DA9"/>
    <w:rsid w:val="3B274246"/>
    <w:rsid w:val="3B2E14F0"/>
    <w:rsid w:val="3B2E65FC"/>
    <w:rsid w:val="3B370199"/>
    <w:rsid w:val="3B470946"/>
    <w:rsid w:val="3B542E14"/>
    <w:rsid w:val="3B5571A4"/>
    <w:rsid w:val="3B5747CC"/>
    <w:rsid w:val="3B5876BC"/>
    <w:rsid w:val="3B592D3D"/>
    <w:rsid w:val="3B631759"/>
    <w:rsid w:val="3B6515BB"/>
    <w:rsid w:val="3B675690"/>
    <w:rsid w:val="3B704D5E"/>
    <w:rsid w:val="3B7964A2"/>
    <w:rsid w:val="3B8771F1"/>
    <w:rsid w:val="3B9042B5"/>
    <w:rsid w:val="3B9E2855"/>
    <w:rsid w:val="3BA23E1D"/>
    <w:rsid w:val="3BAC43CB"/>
    <w:rsid w:val="3BBC4E15"/>
    <w:rsid w:val="3BC63CD4"/>
    <w:rsid w:val="3BE130CC"/>
    <w:rsid w:val="3BE4245C"/>
    <w:rsid w:val="3BF47EC4"/>
    <w:rsid w:val="3BF55635"/>
    <w:rsid w:val="3C011E2F"/>
    <w:rsid w:val="3C104C68"/>
    <w:rsid w:val="3C154A7E"/>
    <w:rsid w:val="3C3117ED"/>
    <w:rsid w:val="3C4E4E36"/>
    <w:rsid w:val="3C510BA4"/>
    <w:rsid w:val="3C52699E"/>
    <w:rsid w:val="3C6808CA"/>
    <w:rsid w:val="3C8134DF"/>
    <w:rsid w:val="3C822865"/>
    <w:rsid w:val="3C8578C5"/>
    <w:rsid w:val="3CA255D0"/>
    <w:rsid w:val="3CA74D51"/>
    <w:rsid w:val="3CB70AD5"/>
    <w:rsid w:val="3CDD1A11"/>
    <w:rsid w:val="3CDF57ED"/>
    <w:rsid w:val="3CE42D71"/>
    <w:rsid w:val="3D070255"/>
    <w:rsid w:val="3D081EF5"/>
    <w:rsid w:val="3D2767BE"/>
    <w:rsid w:val="3D3372C1"/>
    <w:rsid w:val="3D350D95"/>
    <w:rsid w:val="3D492140"/>
    <w:rsid w:val="3D504DD3"/>
    <w:rsid w:val="3D561EDF"/>
    <w:rsid w:val="3D784B8E"/>
    <w:rsid w:val="3D7B54E3"/>
    <w:rsid w:val="3D843D78"/>
    <w:rsid w:val="3D8B6045"/>
    <w:rsid w:val="3D8C65B0"/>
    <w:rsid w:val="3D9B71A8"/>
    <w:rsid w:val="3DA43931"/>
    <w:rsid w:val="3DBC4A78"/>
    <w:rsid w:val="3DC13D39"/>
    <w:rsid w:val="3DCA532D"/>
    <w:rsid w:val="3DD82BC0"/>
    <w:rsid w:val="3DDB3AA2"/>
    <w:rsid w:val="3DDD38D5"/>
    <w:rsid w:val="3DEB65EF"/>
    <w:rsid w:val="3DF670AA"/>
    <w:rsid w:val="3DF87D59"/>
    <w:rsid w:val="3E220ADD"/>
    <w:rsid w:val="3E370155"/>
    <w:rsid w:val="3E3C03E6"/>
    <w:rsid w:val="3E6F42F6"/>
    <w:rsid w:val="3E971C48"/>
    <w:rsid w:val="3E9F1DB5"/>
    <w:rsid w:val="3EBE1611"/>
    <w:rsid w:val="3ECF6C39"/>
    <w:rsid w:val="3ED03921"/>
    <w:rsid w:val="3EDF385E"/>
    <w:rsid w:val="3EEF33D1"/>
    <w:rsid w:val="3EF257C9"/>
    <w:rsid w:val="3F0F6BDD"/>
    <w:rsid w:val="3F302632"/>
    <w:rsid w:val="3F387F61"/>
    <w:rsid w:val="3F5841AB"/>
    <w:rsid w:val="3F5C7A64"/>
    <w:rsid w:val="3F6436B7"/>
    <w:rsid w:val="3F652F8E"/>
    <w:rsid w:val="3F671373"/>
    <w:rsid w:val="3F7007F7"/>
    <w:rsid w:val="3F815DC2"/>
    <w:rsid w:val="3F920B36"/>
    <w:rsid w:val="3F996000"/>
    <w:rsid w:val="3FB15300"/>
    <w:rsid w:val="3FBC5FD5"/>
    <w:rsid w:val="3FC64CCC"/>
    <w:rsid w:val="3FF06567"/>
    <w:rsid w:val="3FFD0E11"/>
    <w:rsid w:val="40086CAC"/>
    <w:rsid w:val="400B3674"/>
    <w:rsid w:val="40192F32"/>
    <w:rsid w:val="401B2238"/>
    <w:rsid w:val="402461D2"/>
    <w:rsid w:val="402A02AC"/>
    <w:rsid w:val="402F0649"/>
    <w:rsid w:val="40324D43"/>
    <w:rsid w:val="40332891"/>
    <w:rsid w:val="403D374D"/>
    <w:rsid w:val="404233BE"/>
    <w:rsid w:val="404D30D4"/>
    <w:rsid w:val="405A74E9"/>
    <w:rsid w:val="40760297"/>
    <w:rsid w:val="409E328F"/>
    <w:rsid w:val="40C96FC1"/>
    <w:rsid w:val="40CE720D"/>
    <w:rsid w:val="40D0140B"/>
    <w:rsid w:val="40E14257"/>
    <w:rsid w:val="40F274D3"/>
    <w:rsid w:val="40FB55C0"/>
    <w:rsid w:val="41104951"/>
    <w:rsid w:val="41127CBD"/>
    <w:rsid w:val="41235407"/>
    <w:rsid w:val="41261005"/>
    <w:rsid w:val="416C7A4C"/>
    <w:rsid w:val="417206E1"/>
    <w:rsid w:val="41840505"/>
    <w:rsid w:val="418C4844"/>
    <w:rsid w:val="419258A3"/>
    <w:rsid w:val="4199096C"/>
    <w:rsid w:val="41B90B6E"/>
    <w:rsid w:val="41C57C23"/>
    <w:rsid w:val="41D162BC"/>
    <w:rsid w:val="41E502D8"/>
    <w:rsid w:val="41E531A5"/>
    <w:rsid w:val="41FF4B7B"/>
    <w:rsid w:val="420B67C7"/>
    <w:rsid w:val="420E56F6"/>
    <w:rsid w:val="421B2AB4"/>
    <w:rsid w:val="4221736A"/>
    <w:rsid w:val="4236259B"/>
    <w:rsid w:val="42446A5A"/>
    <w:rsid w:val="425014CB"/>
    <w:rsid w:val="426D3895"/>
    <w:rsid w:val="42802E68"/>
    <w:rsid w:val="428925D2"/>
    <w:rsid w:val="428E34C5"/>
    <w:rsid w:val="42AA04A6"/>
    <w:rsid w:val="42BA1740"/>
    <w:rsid w:val="42C42949"/>
    <w:rsid w:val="42CE0254"/>
    <w:rsid w:val="42D4242E"/>
    <w:rsid w:val="42EF3971"/>
    <w:rsid w:val="430B3AC1"/>
    <w:rsid w:val="430B5C83"/>
    <w:rsid w:val="43131587"/>
    <w:rsid w:val="431E245E"/>
    <w:rsid w:val="431F6CFA"/>
    <w:rsid w:val="43222F22"/>
    <w:rsid w:val="43317757"/>
    <w:rsid w:val="43432A31"/>
    <w:rsid w:val="4343482F"/>
    <w:rsid w:val="434863B1"/>
    <w:rsid w:val="434D6866"/>
    <w:rsid w:val="4352623D"/>
    <w:rsid w:val="435B41FB"/>
    <w:rsid w:val="435F4A61"/>
    <w:rsid w:val="43672A72"/>
    <w:rsid w:val="436A1C53"/>
    <w:rsid w:val="436C3630"/>
    <w:rsid w:val="436F4F07"/>
    <w:rsid w:val="43860A70"/>
    <w:rsid w:val="438F6947"/>
    <w:rsid w:val="43AD2430"/>
    <w:rsid w:val="43AF0A5B"/>
    <w:rsid w:val="43BB2CAD"/>
    <w:rsid w:val="43C721CF"/>
    <w:rsid w:val="43D70968"/>
    <w:rsid w:val="43DB3F9C"/>
    <w:rsid w:val="43F25248"/>
    <w:rsid w:val="43FA020D"/>
    <w:rsid w:val="44070500"/>
    <w:rsid w:val="441A71CC"/>
    <w:rsid w:val="441B7499"/>
    <w:rsid w:val="442356CE"/>
    <w:rsid w:val="442704F8"/>
    <w:rsid w:val="44474D7E"/>
    <w:rsid w:val="4453753A"/>
    <w:rsid w:val="4456721D"/>
    <w:rsid w:val="44674A2F"/>
    <w:rsid w:val="447104E8"/>
    <w:rsid w:val="448E043F"/>
    <w:rsid w:val="44912634"/>
    <w:rsid w:val="449C5CA4"/>
    <w:rsid w:val="449F0538"/>
    <w:rsid w:val="44A111C4"/>
    <w:rsid w:val="44C76EC6"/>
    <w:rsid w:val="44CB44E4"/>
    <w:rsid w:val="44CC6571"/>
    <w:rsid w:val="44D07B23"/>
    <w:rsid w:val="44D92B3D"/>
    <w:rsid w:val="44DD6ACC"/>
    <w:rsid w:val="44FB7EBA"/>
    <w:rsid w:val="45192822"/>
    <w:rsid w:val="45481BD4"/>
    <w:rsid w:val="45577864"/>
    <w:rsid w:val="456443EF"/>
    <w:rsid w:val="459E55CC"/>
    <w:rsid w:val="45D104BF"/>
    <w:rsid w:val="45DF5D81"/>
    <w:rsid w:val="45E3031E"/>
    <w:rsid w:val="45E75A7E"/>
    <w:rsid w:val="45F40AFA"/>
    <w:rsid w:val="46061A80"/>
    <w:rsid w:val="46285506"/>
    <w:rsid w:val="462E7CFA"/>
    <w:rsid w:val="46305FDB"/>
    <w:rsid w:val="466F519F"/>
    <w:rsid w:val="46716FC0"/>
    <w:rsid w:val="46775233"/>
    <w:rsid w:val="46803974"/>
    <w:rsid w:val="46882528"/>
    <w:rsid w:val="469C1F91"/>
    <w:rsid w:val="46A533DF"/>
    <w:rsid w:val="46AC195E"/>
    <w:rsid w:val="46B821AC"/>
    <w:rsid w:val="46C13749"/>
    <w:rsid w:val="46D05D8C"/>
    <w:rsid w:val="46ED7B5F"/>
    <w:rsid w:val="47021B93"/>
    <w:rsid w:val="470C103A"/>
    <w:rsid w:val="470F0454"/>
    <w:rsid w:val="47145147"/>
    <w:rsid w:val="471E2302"/>
    <w:rsid w:val="4725155F"/>
    <w:rsid w:val="473E715E"/>
    <w:rsid w:val="473F21CF"/>
    <w:rsid w:val="47511C14"/>
    <w:rsid w:val="47514FA1"/>
    <w:rsid w:val="475342E6"/>
    <w:rsid w:val="47721148"/>
    <w:rsid w:val="47896DBC"/>
    <w:rsid w:val="47900453"/>
    <w:rsid w:val="479A3595"/>
    <w:rsid w:val="47A81431"/>
    <w:rsid w:val="47BF1486"/>
    <w:rsid w:val="47CD3DC1"/>
    <w:rsid w:val="47CE6659"/>
    <w:rsid w:val="47D33BD0"/>
    <w:rsid w:val="47D85013"/>
    <w:rsid w:val="47EB4B85"/>
    <w:rsid w:val="47F23318"/>
    <w:rsid w:val="47F80920"/>
    <w:rsid w:val="48072F06"/>
    <w:rsid w:val="480E0A86"/>
    <w:rsid w:val="48201016"/>
    <w:rsid w:val="48212CD4"/>
    <w:rsid w:val="4844535C"/>
    <w:rsid w:val="48552163"/>
    <w:rsid w:val="485E5789"/>
    <w:rsid w:val="4868338C"/>
    <w:rsid w:val="487533E9"/>
    <w:rsid w:val="487D4008"/>
    <w:rsid w:val="488251DD"/>
    <w:rsid w:val="489876CE"/>
    <w:rsid w:val="48CD44AF"/>
    <w:rsid w:val="48CE7B1F"/>
    <w:rsid w:val="48E80F27"/>
    <w:rsid w:val="48EA7BDA"/>
    <w:rsid w:val="48F238A3"/>
    <w:rsid w:val="490A7582"/>
    <w:rsid w:val="490D006F"/>
    <w:rsid w:val="49105DE5"/>
    <w:rsid w:val="49135481"/>
    <w:rsid w:val="49273722"/>
    <w:rsid w:val="493939E7"/>
    <w:rsid w:val="4940240F"/>
    <w:rsid w:val="49492E29"/>
    <w:rsid w:val="494A51C3"/>
    <w:rsid w:val="494D6A38"/>
    <w:rsid w:val="49576E27"/>
    <w:rsid w:val="496875FC"/>
    <w:rsid w:val="496B2062"/>
    <w:rsid w:val="496B7763"/>
    <w:rsid w:val="49764F55"/>
    <w:rsid w:val="497942BE"/>
    <w:rsid w:val="497B7923"/>
    <w:rsid w:val="49915E9F"/>
    <w:rsid w:val="49A42A8B"/>
    <w:rsid w:val="49DC0E58"/>
    <w:rsid w:val="49E30EAF"/>
    <w:rsid w:val="49F80EB6"/>
    <w:rsid w:val="4A0229FD"/>
    <w:rsid w:val="4A0924D7"/>
    <w:rsid w:val="4A2848EE"/>
    <w:rsid w:val="4A4539F8"/>
    <w:rsid w:val="4A564D31"/>
    <w:rsid w:val="4A57054A"/>
    <w:rsid w:val="4A653ECF"/>
    <w:rsid w:val="4A88539F"/>
    <w:rsid w:val="4A8C1BDE"/>
    <w:rsid w:val="4A977F42"/>
    <w:rsid w:val="4A9B2936"/>
    <w:rsid w:val="4AB1651C"/>
    <w:rsid w:val="4AC37095"/>
    <w:rsid w:val="4AC61F16"/>
    <w:rsid w:val="4AC857E2"/>
    <w:rsid w:val="4AD372B8"/>
    <w:rsid w:val="4AE51E15"/>
    <w:rsid w:val="4AEC6FC9"/>
    <w:rsid w:val="4AFD5D58"/>
    <w:rsid w:val="4B0813C0"/>
    <w:rsid w:val="4B124F29"/>
    <w:rsid w:val="4B1E2DD5"/>
    <w:rsid w:val="4B35225F"/>
    <w:rsid w:val="4B4F378B"/>
    <w:rsid w:val="4B5E6218"/>
    <w:rsid w:val="4B602580"/>
    <w:rsid w:val="4B6255FA"/>
    <w:rsid w:val="4B7356FA"/>
    <w:rsid w:val="4B7E4661"/>
    <w:rsid w:val="4B9251D7"/>
    <w:rsid w:val="4B95065D"/>
    <w:rsid w:val="4BA01507"/>
    <w:rsid w:val="4BA6725C"/>
    <w:rsid w:val="4BB85F6F"/>
    <w:rsid w:val="4BBE15D9"/>
    <w:rsid w:val="4BBE283B"/>
    <w:rsid w:val="4BCB3252"/>
    <w:rsid w:val="4BCF0A34"/>
    <w:rsid w:val="4BD81355"/>
    <w:rsid w:val="4BEE50F5"/>
    <w:rsid w:val="4C036541"/>
    <w:rsid w:val="4C134452"/>
    <w:rsid w:val="4C1836C7"/>
    <w:rsid w:val="4C2C62B0"/>
    <w:rsid w:val="4C39236E"/>
    <w:rsid w:val="4C492442"/>
    <w:rsid w:val="4C5328A3"/>
    <w:rsid w:val="4C597C68"/>
    <w:rsid w:val="4C641E7C"/>
    <w:rsid w:val="4C7317B1"/>
    <w:rsid w:val="4C766058"/>
    <w:rsid w:val="4C775E6B"/>
    <w:rsid w:val="4C7E0D13"/>
    <w:rsid w:val="4C861A70"/>
    <w:rsid w:val="4C8D5834"/>
    <w:rsid w:val="4C982C45"/>
    <w:rsid w:val="4CBE64E8"/>
    <w:rsid w:val="4CBF5DA4"/>
    <w:rsid w:val="4CCC1A81"/>
    <w:rsid w:val="4CD67F84"/>
    <w:rsid w:val="4CFA7F20"/>
    <w:rsid w:val="4CFC36F2"/>
    <w:rsid w:val="4D283FEF"/>
    <w:rsid w:val="4D3B5882"/>
    <w:rsid w:val="4D4669D8"/>
    <w:rsid w:val="4D5209CF"/>
    <w:rsid w:val="4D710D83"/>
    <w:rsid w:val="4D7F5DED"/>
    <w:rsid w:val="4D817BBB"/>
    <w:rsid w:val="4D8631FA"/>
    <w:rsid w:val="4D964B7A"/>
    <w:rsid w:val="4DA943BE"/>
    <w:rsid w:val="4DAA3C2D"/>
    <w:rsid w:val="4DC0387A"/>
    <w:rsid w:val="4DC40FB6"/>
    <w:rsid w:val="4DC52D06"/>
    <w:rsid w:val="4E036327"/>
    <w:rsid w:val="4E1635A6"/>
    <w:rsid w:val="4E205145"/>
    <w:rsid w:val="4E2E5E2E"/>
    <w:rsid w:val="4E303FE5"/>
    <w:rsid w:val="4E356CE9"/>
    <w:rsid w:val="4E3E5F94"/>
    <w:rsid w:val="4E54245F"/>
    <w:rsid w:val="4E5A4901"/>
    <w:rsid w:val="4E5F2F46"/>
    <w:rsid w:val="4E6108D3"/>
    <w:rsid w:val="4E7531D0"/>
    <w:rsid w:val="4E783A44"/>
    <w:rsid w:val="4E8A61D5"/>
    <w:rsid w:val="4E995F9D"/>
    <w:rsid w:val="4EA22BBA"/>
    <w:rsid w:val="4EBE5542"/>
    <w:rsid w:val="4EC4556A"/>
    <w:rsid w:val="4ECF191A"/>
    <w:rsid w:val="4ED10821"/>
    <w:rsid w:val="4EEE3B69"/>
    <w:rsid w:val="4F005E32"/>
    <w:rsid w:val="4F0E76D0"/>
    <w:rsid w:val="4F1A2862"/>
    <w:rsid w:val="4F1A76A7"/>
    <w:rsid w:val="4F246E25"/>
    <w:rsid w:val="4F326020"/>
    <w:rsid w:val="4F3B4477"/>
    <w:rsid w:val="4F4208FB"/>
    <w:rsid w:val="4F533F22"/>
    <w:rsid w:val="4F535D2F"/>
    <w:rsid w:val="4F6111E9"/>
    <w:rsid w:val="4F696B79"/>
    <w:rsid w:val="4F6C6D89"/>
    <w:rsid w:val="4F6E0A59"/>
    <w:rsid w:val="4F6F3884"/>
    <w:rsid w:val="4F7C7A30"/>
    <w:rsid w:val="4F8161C6"/>
    <w:rsid w:val="4F825592"/>
    <w:rsid w:val="4FAF398E"/>
    <w:rsid w:val="4FB72264"/>
    <w:rsid w:val="4FBA50E3"/>
    <w:rsid w:val="4FC21B18"/>
    <w:rsid w:val="4FCC0986"/>
    <w:rsid w:val="4FCE72B3"/>
    <w:rsid w:val="4FD15EEE"/>
    <w:rsid w:val="4FD771C4"/>
    <w:rsid w:val="50046583"/>
    <w:rsid w:val="500B7F97"/>
    <w:rsid w:val="500E7C92"/>
    <w:rsid w:val="5026432D"/>
    <w:rsid w:val="5041489A"/>
    <w:rsid w:val="504D77B1"/>
    <w:rsid w:val="50644BD1"/>
    <w:rsid w:val="50666040"/>
    <w:rsid w:val="50735A71"/>
    <w:rsid w:val="507A7CA7"/>
    <w:rsid w:val="50901E5D"/>
    <w:rsid w:val="50A02C0C"/>
    <w:rsid w:val="50A54F2F"/>
    <w:rsid w:val="50B82D42"/>
    <w:rsid w:val="50BD3518"/>
    <w:rsid w:val="50EC197D"/>
    <w:rsid w:val="50F736D5"/>
    <w:rsid w:val="510B30CC"/>
    <w:rsid w:val="511771F8"/>
    <w:rsid w:val="51277BFA"/>
    <w:rsid w:val="512C1EB6"/>
    <w:rsid w:val="514954BF"/>
    <w:rsid w:val="514C1487"/>
    <w:rsid w:val="515C1CF7"/>
    <w:rsid w:val="51703292"/>
    <w:rsid w:val="51735BA5"/>
    <w:rsid w:val="51763A48"/>
    <w:rsid w:val="517F611B"/>
    <w:rsid w:val="5181703A"/>
    <w:rsid w:val="51A81714"/>
    <w:rsid w:val="51B941D0"/>
    <w:rsid w:val="51C2401F"/>
    <w:rsid w:val="51DD275B"/>
    <w:rsid w:val="51DF1DE4"/>
    <w:rsid w:val="51F1506E"/>
    <w:rsid w:val="51FD7B38"/>
    <w:rsid w:val="520233B6"/>
    <w:rsid w:val="520A7ED4"/>
    <w:rsid w:val="521D1D01"/>
    <w:rsid w:val="52281DAD"/>
    <w:rsid w:val="52464DBF"/>
    <w:rsid w:val="524E5192"/>
    <w:rsid w:val="52583898"/>
    <w:rsid w:val="526B1F23"/>
    <w:rsid w:val="526E249D"/>
    <w:rsid w:val="527A5EB0"/>
    <w:rsid w:val="527C5F74"/>
    <w:rsid w:val="527E39DD"/>
    <w:rsid w:val="5282788E"/>
    <w:rsid w:val="52955BC6"/>
    <w:rsid w:val="52966870"/>
    <w:rsid w:val="529F3185"/>
    <w:rsid w:val="52A40C61"/>
    <w:rsid w:val="52A51A94"/>
    <w:rsid w:val="52AD2D05"/>
    <w:rsid w:val="52B57043"/>
    <w:rsid w:val="52B724FF"/>
    <w:rsid w:val="52C149B6"/>
    <w:rsid w:val="52D67F8C"/>
    <w:rsid w:val="52D85BE3"/>
    <w:rsid w:val="52DD4E0A"/>
    <w:rsid w:val="52DF5BA9"/>
    <w:rsid w:val="52E07F3D"/>
    <w:rsid w:val="52FD0418"/>
    <w:rsid w:val="531E7165"/>
    <w:rsid w:val="53202E2B"/>
    <w:rsid w:val="53216C66"/>
    <w:rsid w:val="5345782D"/>
    <w:rsid w:val="53491A70"/>
    <w:rsid w:val="535D3714"/>
    <w:rsid w:val="535E6610"/>
    <w:rsid w:val="535E6C51"/>
    <w:rsid w:val="53683AAF"/>
    <w:rsid w:val="53690694"/>
    <w:rsid w:val="536A39B3"/>
    <w:rsid w:val="53701132"/>
    <w:rsid w:val="53705EA4"/>
    <w:rsid w:val="537B7181"/>
    <w:rsid w:val="53980B31"/>
    <w:rsid w:val="53AB2E62"/>
    <w:rsid w:val="53AC1FC2"/>
    <w:rsid w:val="53BC1915"/>
    <w:rsid w:val="53BE5B33"/>
    <w:rsid w:val="53CB28A1"/>
    <w:rsid w:val="53DB690B"/>
    <w:rsid w:val="53E069AA"/>
    <w:rsid w:val="53E14F0A"/>
    <w:rsid w:val="53E17875"/>
    <w:rsid w:val="53E87501"/>
    <w:rsid w:val="53EB58DB"/>
    <w:rsid w:val="53F746E6"/>
    <w:rsid w:val="53FE0838"/>
    <w:rsid w:val="53FE41F1"/>
    <w:rsid w:val="5403454E"/>
    <w:rsid w:val="540864A9"/>
    <w:rsid w:val="540B3DE5"/>
    <w:rsid w:val="542E05CF"/>
    <w:rsid w:val="545B5348"/>
    <w:rsid w:val="545F47E5"/>
    <w:rsid w:val="54603098"/>
    <w:rsid w:val="54690402"/>
    <w:rsid w:val="54694006"/>
    <w:rsid w:val="546B3311"/>
    <w:rsid w:val="5480065A"/>
    <w:rsid w:val="548007B2"/>
    <w:rsid w:val="548E4E73"/>
    <w:rsid w:val="54B0211D"/>
    <w:rsid w:val="54B4231C"/>
    <w:rsid w:val="54D16FC5"/>
    <w:rsid w:val="54D21AB6"/>
    <w:rsid w:val="54D25037"/>
    <w:rsid w:val="54D37322"/>
    <w:rsid w:val="54DB61D8"/>
    <w:rsid w:val="54E1565C"/>
    <w:rsid w:val="54EF6D18"/>
    <w:rsid w:val="54F977A3"/>
    <w:rsid w:val="54FC6D57"/>
    <w:rsid w:val="55131952"/>
    <w:rsid w:val="55205A94"/>
    <w:rsid w:val="554040D3"/>
    <w:rsid w:val="5546537A"/>
    <w:rsid w:val="554A421D"/>
    <w:rsid w:val="5551073D"/>
    <w:rsid w:val="55521012"/>
    <w:rsid w:val="555421D5"/>
    <w:rsid w:val="55574015"/>
    <w:rsid w:val="556A00CE"/>
    <w:rsid w:val="556F38AF"/>
    <w:rsid w:val="556F44CB"/>
    <w:rsid w:val="557B3369"/>
    <w:rsid w:val="557B3EE4"/>
    <w:rsid w:val="55816E3A"/>
    <w:rsid w:val="55B372AD"/>
    <w:rsid w:val="55B47632"/>
    <w:rsid w:val="55B87026"/>
    <w:rsid w:val="55C52534"/>
    <w:rsid w:val="55D06BF5"/>
    <w:rsid w:val="55D23E45"/>
    <w:rsid w:val="55E21317"/>
    <w:rsid w:val="55F45D9F"/>
    <w:rsid w:val="55F9711D"/>
    <w:rsid w:val="56054BA0"/>
    <w:rsid w:val="56127A8B"/>
    <w:rsid w:val="56162888"/>
    <w:rsid w:val="561F57A2"/>
    <w:rsid w:val="562F01DB"/>
    <w:rsid w:val="5646546F"/>
    <w:rsid w:val="5670446D"/>
    <w:rsid w:val="568842FD"/>
    <w:rsid w:val="56A652FC"/>
    <w:rsid w:val="56B828E1"/>
    <w:rsid w:val="56BF0811"/>
    <w:rsid w:val="56D15AA2"/>
    <w:rsid w:val="56D540F3"/>
    <w:rsid w:val="56D73D03"/>
    <w:rsid w:val="56DE7872"/>
    <w:rsid w:val="56FB1BDC"/>
    <w:rsid w:val="5702577E"/>
    <w:rsid w:val="57043FDA"/>
    <w:rsid w:val="570F71D8"/>
    <w:rsid w:val="571E0EA2"/>
    <w:rsid w:val="57214122"/>
    <w:rsid w:val="574F7B77"/>
    <w:rsid w:val="57554E33"/>
    <w:rsid w:val="57663CEE"/>
    <w:rsid w:val="57685FB4"/>
    <w:rsid w:val="5769768C"/>
    <w:rsid w:val="576F53C3"/>
    <w:rsid w:val="578406AE"/>
    <w:rsid w:val="57942851"/>
    <w:rsid w:val="57B16232"/>
    <w:rsid w:val="57B47590"/>
    <w:rsid w:val="57C149F7"/>
    <w:rsid w:val="57C17A25"/>
    <w:rsid w:val="57D05277"/>
    <w:rsid w:val="57FC0E65"/>
    <w:rsid w:val="58063BB9"/>
    <w:rsid w:val="5811153F"/>
    <w:rsid w:val="58173BFE"/>
    <w:rsid w:val="58286801"/>
    <w:rsid w:val="583E7137"/>
    <w:rsid w:val="585F3B79"/>
    <w:rsid w:val="58681255"/>
    <w:rsid w:val="58695DFB"/>
    <w:rsid w:val="58733547"/>
    <w:rsid w:val="58806FC7"/>
    <w:rsid w:val="58A31200"/>
    <w:rsid w:val="58A5207F"/>
    <w:rsid w:val="58B4353F"/>
    <w:rsid w:val="58B62B49"/>
    <w:rsid w:val="58C44727"/>
    <w:rsid w:val="58D906C6"/>
    <w:rsid w:val="58F52324"/>
    <w:rsid w:val="590404F0"/>
    <w:rsid w:val="590E0FFF"/>
    <w:rsid w:val="59102606"/>
    <w:rsid w:val="591B70F2"/>
    <w:rsid w:val="592226AC"/>
    <w:rsid w:val="593026DF"/>
    <w:rsid w:val="5952398F"/>
    <w:rsid w:val="595F040E"/>
    <w:rsid w:val="5961200B"/>
    <w:rsid w:val="596825BC"/>
    <w:rsid w:val="596A08F7"/>
    <w:rsid w:val="59994E0C"/>
    <w:rsid w:val="59B102A9"/>
    <w:rsid w:val="59C32839"/>
    <w:rsid w:val="59C33D87"/>
    <w:rsid w:val="59C557ED"/>
    <w:rsid w:val="59D85604"/>
    <w:rsid w:val="59DE6260"/>
    <w:rsid w:val="59E57261"/>
    <w:rsid w:val="5A04080C"/>
    <w:rsid w:val="5A117A7F"/>
    <w:rsid w:val="5A2B3AB7"/>
    <w:rsid w:val="5A5440D5"/>
    <w:rsid w:val="5A56373E"/>
    <w:rsid w:val="5A593637"/>
    <w:rsid w:val="5A704A19"/>
    <w:rsid w:val="5A777CC3"/>
    <w:rsid w:val="5A7F1E3F"/>
    <w:rsid w:val="5A8A3CB9"/>
    <w:rsid w:val="5A933B72"/>
    <w:rsid w:val="5A955AD7"/>
    <w:rsid w:val="5A991749"/>
    <w:rsid w:val="5AAD28AC"/>
    <w:rsid w:val="5AB33273"/>
    <w:rsid w:val="5ACF277C"/>
    <w:rsid w:val="5AD51ABF"/>
    <w:rsid w:val="5AE62CCB"/>
    <w:rsid w:val="5AEA7C0A"/>
    <w:rsid w:val="5AF55739"/>
    <w:rsid w:val="5AFD0256"/>
    <w:rsid w:val="5AFF1753"/>
    <w:rsid w:val="5B0A3464"/>
    <w:rsid w:val="5B162ADD"/>
    <w:rsid w:val="5B2E624D"/>
    <w:rsid w:val="5B4E72FB"/>
    <w:rsid w:val="5B8E7034"/>
    <w:rsid w:val="5B9F59A1"/>
    <w:rsid w:val="5BAA6E32"/>
    <w:rsid w:val="5BB43B8D"/>
    <w:rsid w:val="5BB60E12"/>
    <w:rsid w:val="5BBA2BEA"/>
    <w:rsid w:val="5BCF7B32"/>
    <w:rsid w:val="5BD31C93"/>
    <w:rsid w:val="5BD75BAE"/>
    <w:rsid w:val="5BD9700B"/>
    <w:rsid w:val="5BDA578E"/>
    <w:rsid w:val="5BE528E6"/>
    <w:rsid w:val="5BF72634"/>
    <w:rsid w:val="5C0068E1"/>
    <w:rsid w:val="5C1907B6"/>
    <w:rsid w:val="5C3A19DF"/>
    <w:rsid w:val="5C5B37A6"/>
    <w:rsid w:val="5C67393A"/>
    <w:rsid w:val="5C694286"/>
    <w:rsid w:val="5C7B77D2"/>
    <w:rsid w:val="5C8C36EF"/>
    <w:rsid w:val="5C8E2E0C"/>
    <w:rsid w:val="5CA82EA1"/>
    <w:rsid w:val="5CAD5371"/>
    <w:rsid w:val="5CB213C6"/>
    <w:rsid w:val="5CBA4EB2"/>
    <w:rsid w:val="5CC02298"/>
    <w:rsid w:val="5CDC5C34"/>
    <w:rsid w:val="5CEB31EC"/>
    <w:rsid w:val="5CED19E4"/>
    <w:rsid w:val="5CF448DA"/>
    <w:rsid w:val="5CF633B6"/>
    <w:rsid w:val="5D033021"/>
    <w:rsid w:val="5D0A0F52"/>
    <w:rsid w:val="5D0B7A95"/>
    <w:rsid w:val="5D200D52"/>
    <w:rsid w:val="5D202B3D"/>
    <w:rsid w:val="5D5F50A7"/>
    <w:rsid w:val="5D6917CD"/>
    <w:rsid w:val="5D6E1E63"/>
    <w:rsid w:val="5D7A46B0"/>
    <w:rsid w:val="5D856E4D"/>
    <w:rsid w:val="5DB04530"/>
    <w:rsid w:val="5DC049C9"/>
    <w:rsid w:val="5DCA6137"/>
    <w:rsid w:val="5DCB6DDD"/>
    <w:rsid w:val="5DDE6F7D"/>
    <w:rsid w:val="5DF157EA"/>
    <w:rsid w:val="5DF206FB"/>
    <w:rsid w:val="5DF233B1"/>
    <w:rsid w:val="5E07202D"/>
    <w:rsid w:val="5E236E44"/>
    <w:rsid w:val="5E441937"/>
    <w:rsid w:val="5E462952"/>
    <w:rsid w:val="5E496996"/>
    <w:rsid w:val="5E506AB9"/>
    <w:rsid w:val="5E5A2188"/>
    <w:rsid w:val="5E625A89"/>
    <w:rsid w:val="5E6A4E8C"/>
    <w:rsid w:val="5E6C74B7"/>
    <w:rsid w:val="5E721B02"/>
    <w:rsid w:val="5E883185"/>
    <w:rsid w:val="5E952144"/>
    <w:rsid w:val="5E9A0C09"/>
    <w:rsid w:val="5EA616E9"/>
    <w:rsid w:val="5EAC01A8"/>
    <w:rsid w:val="5EBD6DC8"/>
    <w:rsid w:val="5EC030C3"/>
    <w:rsid w:val="5EC66090"/>
    <w:rsid w:val="5F016721"/>
    <w:rsid w:val="5F0473D1"/>
    <w:rsid w:val="5F2314C4"/>
    <w:rsid w:val="5F4C71C7"/>
    <w:rsid w:val="5F52550D"/>
    <w:rsid w:val="5F5D4C1E"/>
    <w:rsid w:val="5F776AC9"/>
    <w:rsid w:val="5F8078FD"/>
    <w:rsid w:val="5F93075F"/>
    <w:rsid w:val="5F9F2CB9"/>
    <w:rsid w:val="5FC47F77"/>
    <w:rsid w:val="5FC62DAE"/>
    <w:rsid w:val="5FCE38E5"/>
    <w:rsid w:val="5FCE419F"/>
    <w:rsid w:val="5FD21935"/>
    <w:rsid w:val="5FEA47F4"/>
    <w:rsid w:val="5FF4739D"/>
    <w:rsid w:val="5FF6327C"/>
    <w:rsid w:val="60024DB3"/>
    <w:rsid w:val="60213331"/>
    <w:rsid w:val="60230515"/>
    <w:rsid w:val="602D0882"/>
    <w:rsid w:val="603D5629"/>
    <w:rsid w:val="605D051E"/>
    <w:rsid w:val="606019A2"/>
    <w:rsid w:val="60644BE3"/>
    <w:rsid w:val="607872C5"/>
    <w:rsid w:val="608463ED"/>
    <w:rsid w:val="60855A19"/>
    <w:rsid w:val="609614A2"/>
    <w:rsid w:val="6099119A"/>
    <w:rsid w:val="609E3B11"/>
    <w:rsid w:val="60A166E3"/>
    <w:rsid w:val="60A33772"/>
    <w:rsid w:val="60AC703E"/>
    <w:rsid w:val="60B11982"/>
    <w:rsid w:val="60DD5848"/>
    <w:rsid w:val="60E1145D"/>
    <w:rsid w:val="60E33BED"/>
    <w:rsid w:val="60F01403"/>
    <w:rsid w:val="60F277A7"/>
    <w:rsid w:val="60FB5343"/>
    <w:rsid w:val="60FB64A3"/>
    <w:rsid w:val="610A3620"/>
    <w:rsid w:val="6112557E"/>
    <w:rsid w:val="611E059C"/>
    <w:rsid w:val="61385200"/>
    <w:rsid w:val="613D3EB0"/>
    <w:rsid w:val="615F2067"/>
    <w:rsid w:val="617E523D"/>
    <w:rsid w:val="618833F2"/>
    <w:rsid w:val="619E250E"/>
    <w:rsid w:val="619F26C9"/>
    <w:rsid w:val="61AA3CC3"/>
    <w:rsid w:val="61BB195C"/>
    <w:rsid w:val="61C3702A"/>
    <w:rsid w:val="61C7433F"/>
    <w:rsid w:val="61D1548C"/>
    <w:rsid w:val="61DA3DE5"/>
    <w:rsid w:val="61E96214"/>
    <w:rsid w:val="61FD3C68"/>
    <w:rsid w:val="6200658F"/>
    <w:rsid w:val="622F4576"/>
    <w:rsid w:val="62326284"/>
    <w:rsid w:val="623D7B69"/>
    <w:rsid w:val="624660BB"/>
    <w:rsid w:val="62564591"/>
    <w:rsid w:val="62601EBE"/>
    <w:rsid w:val="62941E83"/>
    <w:rsid w:val="629F2334"/>
    <w:rsid w:val="62AA3FB7"/>
    <w:rsid w:val="62AF0A98"/>
    <w:rsid w:val="62BB6C55"/>
    <w:rsid w:val="62D00BA8"/>
    <w:rsid w:val="62E5475F"/>
    <w:rsid w:val="62F614A8"/>
    <w:rsid w:val="62FF5788"/>
    <w:rsid w:val="63096493"/>
    <w:rsid w:val="631164C6"/>
    <w:rsid w:val="631B647F"/>
    <w:rsid w:val="63207C6D"/>
    <w:rsid w:val="632C24F2"/>
    <w:rsid w:val="634A7AED"/>
    <w:rsid w:val="635A5483"/>
    <w:rsid w:val="63610F63"/>
    <w:rsid w:val="637A0BD6"/>
    <w:rsid w:val="63800DEA"/>
    <w:rsid w:val="638B1A44"/>
    <w:rsid w:val="6391430B"/>
    <w:rsid w:val="63917188"/>
    <w:rsid w:val="63B37FBE"/>
    <w:rsid w:val="63B410DB"/>
    <w:rsid w:val="63B474CB"/>
    <w:rsid w:val="63B55721"/>
    <w:rsid w:val="63CA08A0"/>
    <w:rsid w:val="63EF3A00"/>
    <w:rsid w:val="63F92DD6"/>
    <w:rsid w:val="6400119C"/>
    <w:rsid w:val="64023DED"/>
    <w:rsid w:val="640405BE"/>
    <w:rsid w:val="64174A37"/>
    <w:rsid w:val="641E53BF"/>
    <w:rsid w:val="64203778"/>
    <w:rsid w:val="6424663C"/>
    <w:rsid w:val="6428722D"/>
    <w:rsid w:val="64316810"/>
    <w:rsid w:val="64374664"/>
    <w:rsid w:val="64484B27"/>
    <w:rsid w:val="64562DD1"/>
    <w:rsid w:val="6467295F"/>
    <w:rsid w:val="646B673D"/>
    <w:rsid w:val="648B7F0C"/>
    <w:rsid w:val="648C29D6"/>
    <w:rsid w:val="64B43454"/>
    <w:rsid w:val="64BB155A"/>
    <w:rsid w:val="64E9106D"/>
    <w:rsid w:val="650B07AA"/>
    <w:rsid w:val="650E677E"/>
    <w:rsid w:val="65135981"/>
    <w:rsid w:val="651F4E13"/>
    <w:rsid w:val="65214371"/>
    <w:rsid w:val="652273EE"/>
    <w:rsid w:val="65385717"/>
    <w:rsid w:val="65425904"/>
    <w:rsid w:val="658A7D36"/>
    <w:rsid w:val="658D380A"/>
    <w:rsid w:val="65B65778"/>
    <w:rsid w:val="65CE27BE"/>
    <w:rsid w:val="65D41D41"/>
    <w:rsid w:val="65DF01D1"/>
    <w:rsid w:val="65E25D4D"/>
    <w:rsid w:val="65E32126"/>
    <w:rsid w:val="65EF7488"/>
    <w:rsid w:val="66037090"/>
    <w:rsid w:val="66046192"/>
    <w:rsid w:val="661A0B2B"/>
    <w:rsid w:val="663C6D1C"/>
    <w:rsid w:val="665A4A8D"/>
    <w:rsid w:val="666B322E"/>
    <w:rsid w:val="668F467F"/>
    <w:rsid w:val="669759AB"/>
    <w:rsid w:val="66AC7C1D"/>
    <w:rsid w:val="66CC2558"/>
    <w:rsid w:val="66D10027"/>
    <w:rsid w:val="66EA01F9"/>
    <w:rsid w:val="66F03981"/>
    <w:rsid w:val="670566DB"/>
    <w:rsid w:val="67135D9E"/>
    <w:rsid w:val="671D77BF"/>
    <w:rsid w:val="6723113B"/>
    <w:rsid w:val="672333A2"/>
    <w:rsid w:val="672A0D8D"/>
    <w:rsid w:val="67332C1F"/>
    <w:rsid w:val="67381AEC"/>
    <w:rsid w:val="67551EB3"/>
    <w:rsid w:val="675B0D69"/>
    <w:rsid w:val="675E7BFC"/>
    <w:rsid w:val="67647D8C"/>
    <w:rsid w:val="678D248F"/>
    <w:rsid w:val="679D65CC"/>
    <w:rsid w:val="67A16729"/>
    <w:rsid w:val="67A86D3E"/>
    <w:rsid w:val="67CB7E23"/>
    <w:rsid w:val="67D31F7A"/>
    <w:rsid w:val="67D32109"/>
    <w:rsid w:val="67D64E10"/>
    <w:rsid w:val="67E822A4"/>
    <w:rsid w:val="67ED64EF"/>
    <w:rsid w:val="67F041A5"/>
    <w:rsid w:val="67F070FC"/>
    <w:rsid w:val="67F54750"/>
    <w:rsid w:val="68004935"/>
    <w:rsid w:val="680510C3"/>
    <w:rsid w:val="68276079"/>
    <w:rsid w:val="68525315"/>
    <w:rsid w:val="685A4E7D"/>
    <w:rsid w:val="68742ACC"/>
    <w:rsid w:val="687B02A4"/>
    <w:rsid w:val="6886429F"/>
    <w:rsid w:val="688F77CF"/>
    <w:rsid w:val="68A3467D"/>
    <w:rsid w:val="68D52803"/>
    <w:rsid w:val="68D531D8"/>
    <w:rsid w:val="68DE7DA7"/>
    <w:rsid w:val="68E328DD"/>
    <w:rsid w:val="68F875EB"/>
    <w:rsid w:val="68FA2097"/>
    <w:rsid w:val="69070D31"/>
    <w:rsid w:val="690B470B"/>
    <w:rsid w:val="692344C7"/>
    <w:rsid w:val="6925710E"/>
    <w:rsid w:val="69293182"/>
    <w:rsid w:val="692E7E56"/>
    <w:rsid w:val="69506469"/>
    <w:rsid w:val="695C54F8"/>
    <w:rsid w:val="698A38F3"/>
    <w:rsid w:val="69991716"/>
    <w:rsid w:val="69A16932"/>
    <w:rsid w:val="69C6408B"/>
    <w:rsid w:val="6A090593"/>
    <w:rsid w:val="6A0F1751"/>
    <w:rsid w:val="6A1574D9"/>
    <w:rsid w:val="6A1B6AFD"/>
    <w:rsid w:val="6A271099"/>
    <w:rsid w:val="6A2E77F6"/>
    <w:rsid w:val="6A384C3D"/>
    <w:rsid w:val="6A3B3484"/>
    <w:rsid w:val="6A5030DD"/>
    <w:rsid w:val="6A525F3C"/>
    <w:rsid w:val="6A817051"/>
    <w:rsid w:val="6A8D25F1"/>
    <w:rsid w:val="6A967344"/>
    <w:rsid w:val="6A9F5521"/>
    <w:rsid w:val="6AA31FF6"/>
    <w:rsid w:val="6AAD2D8F"/>
    <w:rsid w:val="6AB302F9"/>
    <w:rsid w:val="6ACC1264"/>
    <w:rsid w:val="6AF101D6"/>
    <w:rsid w:val="6AF160FE"/>
    <w:rsid w:val="6AFB38EF"/>
    <w:rsid w:val="6B0226CD"/>
    <w:rsid w:val="6B0566E8"/>
    <w:rsid w:val="6B1A7C2A"/>
    <w:rsid w:val="6B25219A"/>
    <w:rsid w:val="6B29029A"/>
    <w:rsid w:val="6B2F7F0E"/>
    <w:rsid w:val="6B3742FD"/>
    <w:rsid w:val="6B3C3460"/>
    <w:rsid w:val="6B6143CA"/>
    <w:rsid w:val="6B6323A4"/>
    <w:rsid w:val="6B6E5043"/>
    <w:rsid w:val="6B792488"/>
    <w:rsid w:val="6B7B1A53"/>
    <w:rsid w:val="6B831E27"/>
    <w:rsid w:val="6B87237C"/>
    <w:rsid w:val="6B927B9A"/>
    <w:rsid w:val="6B9F2911"/>
    <w:rsid w:val="6B9F59C3"/>
    <w:rsid w:val="6BA94EFA"/>
    <w:rsid w:val="6BB33F61"/>
    <w:rsid w:val="6BB878D2"/>
    <w:rsid w:val="6BBF4FCD"/>
    <w:rsid w:val="6BC35246"/>
    <w:rsid w:val="6BC53EA2"/>
    <w:rsid w:val="6BC638B7"/>
    <w:rsid w:val="6BD1751D"/>
    <w:rsid w:val="6BDE3940"/>
    <w:rsid w:val="6BE20E27"/>
    <w:rsid w:val="6BE4244B"/>
    <w:rsid w:val="6BEA6DB2"/>
    <w:rsid w:val="6BF93052"/>
    <w:rsid w:val="6BFE3767"/>
    <w:rsid w:val="6C056194"/>
    <w:rsid w:val="6C0569A8"/>
    <w:rsid w:val="6C063714"/>
    <w:rsid w:val="6C080549"/>
    <w:rsid w:val="6C0F4097"/>
    <w:rsid w:val="6C2C1095"/>
    <w:rsid w:val="6C2E3B74"/>
    <w:rsid w:val="6C333745"/>
    <w:rsid w:val="6C3B1DCD"/>
    <w:rsid w:val="6C48562C"/>
    <w:rsid w:val="6C654008"/>
    <w:rsid w:val="6C75567D"/>
    <w:rsid w:val="6C8D6078"/>
    <w:rsid w:val="6C8E4193"/>
    <w:rsid w:val="6C9707FC"/>
    <w:rsid w:val="6C9D1C55"/>
    <w:rsid w:val="6C9F1D24"/>
    <w:rsid w:val="6C9F6875"/>
    <w:rsid w:val="6CA37327"/>
    <w:rsid w:val="6CAC1FB0"/>
    <w:rsid w:val="6CB0115C"/>
    <w:rsid w:val="6CBC3D21"/>
    <w:rsid w:val="6CC319D4"/>
    <w:rsid w:val="6CCB61E2"/>
    <w:rsid w:val="6CCF5429"/>
    <w:rsid w:val="6CD311BD"/>
    <w:rsid w:val="6CD609FB"/>
    <w:rsid w:val="6CEA5637"/>
    <w:rsid w:val="6CF56224"/>
    <w:rsid w:val="6CF70683"/>
    <w:rsid w:val="6CFA2FF6"/>
    <w:rsid w:val="6D00369F"/>
    <w:rsid w:val="6D25560F"/>
    <w:rsid w:val="6D3200BD"/>
    <w:rsid w:val="6D380CE0"/>
    <w:rsid w:val="6D5105D7"/>
    <w:rsid w:val="6D545CF8"/>
    <w:rsid w:val="6D5C3775"/>
    <w:rsid w:val="6D6B1375"/>
    <w:rsid w:val="6D707A67"/>
    <w:rsid w:val="6D752DC4"/>
    <w:rsid w:val="6D872310"/>
    <w:rsid w:val="6D8A4CBC"/>
    <w:rsid w:val="6D982F34"/>
    <w:rsid w:val="6DA768D8"/>
    <w:rsid w:val="6DB10EEA"/>
    <w:rsid w:val="6DB94208"/>
    <w:rsid w:val="6DC5611D"/>
    <w:rsid w:val="6DD6770B"/>
    <w:rsid w:val="6DE11254"/>
    <w:rsid w:val="6DEC4E88"/>
    <w:rsid w:val="6E1C558D"/>
    <w:rsid w:val="6E1D023E"/>
    <w:rsid w:val="6E3B09D1"/>
    <w:rsid w:val="6E3F1D09"/>
    <w:rsid w:val="6E445AB2"/>
    <w:rsid w:val="6E4D417B"/>
    <w:rsid w:val="6E4F5478"/>
    <w:rsid w:val="6E6617C0"/>
    <w:rsid w:val="6E680685"/>
    <w:rsid w:val="6E7E6C44"/>
    <w:rsid w:val="6E883BA9"/>
    <w:rsid w:val="6EB25564"/>
    <w:rsid w:val="6EB335DF"/>
    <w:rsid w:val="6ECB405A"/>
    <w:rsid w:val="6ED2036B"/>
    <w:rsid w:val="6ED84B1E"/>
    <w:rsid w:val="6EDC58E1"/>
    <w:rsid w:val="6EE238CB"/>
    <w:rsid w:val="6EF22038"/>
    <w:rsid w:val="6EFA6166"/>
    <w:rsid w:val="6F0E4555"/>
    <w:rsid w:val="6F0F5E15"/>
    <w:rsid w:val="6F264C01"/>
    <w:rsid w:val="6F383015"/>
    <w:rsid w:val="6F503AA4"/>
    <w:rsid w:val="6F51777A"/>
    <w:rsid w:val="6F542E66"/>
    <w:rsid w:val="6F69086A"/>
    <w:rsid w:val="6F740825"/>
    <w:rsid w:val="6F771D30"/>
    <w:rsid w:val="6F8D61D6"/>
    <w:rsid w:val="6F924B75"/>
    <w:rsid w:val="6F997BEB"/>
    <w:rsid w:val="6FA1774E"/>
    <w:rsid w:val="6FBA20C4"/>
    <w:rsid w:val="6FBB5DA0"/>
    <w:rsid w:val="6FC949E1"/>
    <w:rsid w:val="70011A16"/>
    <w:rsid w:val="700F41F0"/>
    <w:rsid w:val="7014026E"/>
    <w:rsid w:val="701B0697"/>
    <w:rsid w:val="701C107D"/>
    <w:rsid w:val="70380FCB"/>
    <w:rsid w:val="70450900"/>
    <w:rsid w:val="706E3DB8"/>
    <w:rsid w:val="707A30C6"/>
    <w:rsid w:val="707A3C0E"/>
    <w:rsid w:val="707E7221"/>
    <w:rsid w:val="70895639"/>
    <w:rsid w:val="708A3F78"/>
    <w:rsid w:val="7093557C"/>
    <w:rsid w:val="709553F2"/>
    <w:rsid w:val="70A9452D"/>
    <w:rsid w:val="70C21312"/>
    <w:rsid w:val="70C33341"/>
    <w:rsid w:val="70C536A2"/>
    <w:rsid w:val="70C709E5"/>
    <w:rsid w:val="70CB116A"/>
    <w:rsid w:val="70CC3A0A"/>
    <w:rsid w:val="70CD24AD"/>
    <w:rsid w:val="70D84DD5"/>
    <w:rsid w:val="70E52E28"/>
    <w:rsid w:val="70F074F1"/>
    <w:rsid w:val="710050FB"/>
    <w:rsid w:val="71097DCD"/>
    <w:rsid w:val="712539FA"/>
    <w:rsid w:val="71557AE0"/>
    <w:rsid w:val="71574D4A"/>
    <w:rsid w:val="716455F2"/>
    <w:rsid w:val="716C5717"/>
    <w:rsid w:val="71724F73"/>
    <w:rsid w:val="717B7DE1"/>
    <w:rsid w:val="71831C17"/>
    <w:rsid w:val="71831E00"/>
    <w:rsid w:val="71B1586F"/>
    <w:rsid w:val="71D16377"/>
    <w:rsid w:val="71F32B95"/>
    <w:rsid w:val="71F35C79"/>
    <w:rsid w:val="72147DD3"/>
    <w:rsid w:val="721F45D6"/>
    <w:rsid w:val="72280D66"/>
    <w:rsid w:val="72390CDD"/>
    <w:rsid w:val="724411B6"/>
    <w:rsid w:val="724E0B89"/>
    <w:rsid w:val="724F3CC3"/>
    <w:rsid w:val="72606481"/>
    <w:rsid w:val="727E2ECF"/>
    <w:rsid w:val="729B4A1F"/>
    <w:rsid w:val="72A53DB8"/>
    <w:rsid w:val="72A97BD9"/>
    <w:rsid w:val="72AD231D"/>
    <w:rsid w:val="72B567F3"/>
    <w:rsid w:val="72B664EF"/>
    <w:rsid w:val="72B85FB7"/>
    <w:rsid w:val="72C56C1E"/>
    <w:rsid w:val="72DB6414"/>
    <w:rsid w:val="72DF5903"/>
    <w:rsid w:val="72FC3F59"/>
    <w:rsid w:val="73082C1A"/>
    <w:rsid w:val="730A7577"/>
    <w:rsid w:val="73190C6D"/>
    <w:rsid w:val="7329201D"/>
    <w:rsid w:val="733E3A61"/>
    <w:rsid w:val="73570F37"/>
    <w:rsid w:val="736A7093"/>
    <w:rsid w:val="73783956"/>
    <w:rsid w:val="73786F67"/>
    <w:rsid w:val="73877122"/>
    <w:rsid w:val="738F2573"/>
    <w:rsid w:val="73AC6D59"/>
    <w:rsid w:val="73C13F40"/>
    <w:rsid w:val="73C219C3"/>
    <w:rsid w:val="73CA3701"/>
    <w:rsid w:val="73CE1175"/>
    <w:rsid w:val="73D36A93"/>
    <w:rsid w:val="73D43685"/>
    <w:rsid w:val="73DF1C59"/>
    <w:rsid w:val="73EE36F6"/>
    <w:rsid w:val="73F46F08"/>
    <w:rsid w:val="73F832FC"/>
    <w:rsid w:val="741B2E0B"/>
    <w:rsid w:val="74296716"/>
    <w:rsid w:val="742C1A7A"/>
    <w:rsid w:val="74350814"/>
    <w:rsid w:val="7457120A"/>
    <w:rsid w:val="74572816"/>
    <w:rsid w:val="745B65B4"/>
    <w:rsid w:val="74635CFA"/>
    <w:rsid w:val="74976D32"/>
    <w:rsid w:val="749F0913"/>
    <w:rsid w:val="74C972EB"/>
    <w:rsid w:val="74D813E2"/>
    <w:rsid w:val="74E7411B"/>
    <w:rsid w:val="75176CEB"/>
    <w:rsid w:val="751B7FF0"/>
    <w:rsid w:val="752F130A"/>
    <w:rsid w:val="753230CA"/>
    <w:rsid w:val="753A6EE3"/>
    <w:rsid w:val="75534E81"/>
    <w:rsid w:val="756938C9"/>
    <w:rsid w:val="756B41A6"/>
    <w:rsid w:val="757C1F1B"/>
    <w:rsid w:val="757F379C"/>
    <w:rsid w:val="75801F90"/>
    <w:rsid w:val="758E49F0"/>
    <w:rsid w:val="758E5E80"/>
    <w:rsid w:val="7596008B"/>
    <w:rsid w:val="75A37C6F"/>
    <w:rsid w:val="75A4697E"/>
    <w:rsid w:val="75A76E88"/>
    <w:rsid w:val="75AA445A"/>
    <w:rsid w:val="75B86364"/>
    <w:rsid w:val="75D9316B"/>
    <w:rsid w:val="75E01783"/>
    <w:rsid w:val="75F263D4"/>
    <w:rsid w:val="76027AB3"/>
    <w:rsid w:val="760F2285"/>
    <w:rsid w:val="76144B4D"/>
    <w:rsid w:val="762959D3"/>
    <w:rsid w:val="7634289F"/>
    <w:rsid w:val="76432636"/>
    <w:rsid w:val="76563A5D"/>
    <w:rsid w:val="765740B7"/>
    <w:rsid w:val="765B26D1"/>
    <w:rsid w:val="766F2B31"/>
    <w:rsid w:val="768D3FA5"/>
    <w:rsid w:val="7690140D"/>
    <w:rsid w:val="769A48CA"/>
    <w:rsid w:val="76AF0BFA"/>
    <w:rsid w:val="76BC2B50"/>
    <w:rsid w:val="76BE05D8"/>
    <w:rsid w:val="76CC1D4D"/>
    <w:rsid w:val="76CF121F"/>
    <w:rsid w:val="76D2183E"/>
    <w:rsid w:val="76DA7D3F"/>
    <w:rsid w:val="76E62ABF"/>
    <w:rsid w:val="76EC4481"/>
    <w:rsid w:val="76ED65C6"/>
    <w:rsid w:val="770F4795"/>
    <w:rsid w:val="77152A9A"/>
    <w:rsid w:val="77563DB4"/>
    <w:rsid w:val="77572AD0"/>
    <w:rsid w:val="77675415"/>
    <w:rsid w:val="77686F3F"/>
    <w:rsid w:val="776917EB"/>
    <w:rsid w:val="776C6549"/>
    <w:rsid w:val="777376D1"/>
    <w:rsid w:val="7776219F"/>
    <w:rsid w:val="77865A52"/>
    <w:rsid w:val="77D9553A"/>
    <w:rsid w:val="77E500BB"/>
    <w:rsid w:val="77E65C91"/>
    <w:rsid w:val="77FE0FB7"/>
    <w:rsid w:val="78036453"/>
    <w:rsid w:val="780D7CA3"/>
    <w:rsid w:val="781733B8"/>
    <w:rsid w:val="782069AD"/>
    <w:rsid w:val="782860A7"/>
    <w:rsid w:val="782A44C7"/>
    <w:rsid w:val="786E0D15"/>
    <w:rsid w:val="788317DA"/>
    <w:rsid w:val="78886CAC"/>
    <w:rsid w:val="78A208F2"/>
    <w:rsid w:val="78AA7F1C"/>
    <w:rsid w:val="78AC7A2F"/>
    <w:rsid w:val="78B476BE"/>
    <w:rsid w:val="78BC3C5B"/>
    <w:rsid w:val="78C4254A"/>
    <w:rsid w:val="78CB4D0A"/>
    <w:rsid w:val="78D65FFF"/>
    <w:rsid w:val="78EC2650"/>
    <w:rsid w:val="78FE1293"/>
    <w:rsid w:val="79136A04"/>
    <w:rsid w:val="791E2FBC"/>
    <w:rsid w:val="792242E1"/>
    <w:rsid w:val="792A0880"/>
    <w:rsid w:val="792C2AB9"/>
    <w:rsid w:val="793838BA"/>
    <w:rsid w:val="793E6533"/>
    <w:rsid w:val="795B3E8A"/>
    <w:rsid w:val="795D20E7"/>
    <w:rsid w:val="795E6FC8"/>
    <w:rsid w:val="7983793C"/>
    <w:rsid w:val="798537A2"/>
    <w:rsid w:val="798576DF"/>
    <w:rsid w:val="79903F8D"/>
    <w:rsid w:val="79B16674"/>
    <w:rsid w:val="79B42DFA"/>
    <w:rsid w:val="79BF6CB5"/>
    <w:rsid w:val="79CF02B1"/>
    <w:rsid w:val="79DE43C1"/>
    <w:rsid w:val="79FF50C9"/>
    <w:rsid w:val="7A0433B0"/>
    <w:rsid w:val="7A182198"/>
    <w:rsid w:val="7A2C23BA"/>
    <w:rsid w:val="7A2D4967"/>
    <w:rsid w:val="7A375540"/>
    <w:rsid w:val="7A395035"/>
    <w:rsid w:val="7A656CF7"/>
    <w:rsid w:val="7A6F6B09"/>
    <w:rsid w:val="7A841281"/>
    <w:rsid w:val="7AA5601C"/>
    <w:rsid w:val="7AAA2C2D"/>
    <w:rsid w:val="7ABA6F6C"/>
    <w:rsid w:val="7ABB4BD4"/>
    <w:rsid w:val="7AF07DBC"/>
    <w:rsid w:val="7AF1652E"/>
    <w:rsid w:val="7B0271E2"/>
    <w:rsid w:val="7B04602D"/>
    <w:rsid w:val="7B3A3663"/>
    <w:rsid w:val="7B457A5A"/>
    <w:rsid w:val="7B463B86"/>
    <w:rsid w:val="7B485E4B"/>
    <w:rsid w:val="7B49384B"/>
    <w:rsid w:val="7B49553A"/>
    <w:rsid w:val="7B7361E0"/>
    <w:rsid w:val="7B856E6D"/>
    <w:rsid w:val="7B9568A6"/>
    <w:rsid w:val="7B9B22E3"/>
    <w:rsid w:val="7BBA180D"/>
    <w:rsid w:val="7BCC4B6B"/>
    <w:rsid w:val="7BD46644"/>
    <w:rsid w:val="7BD63840"/>
    <w:rsid w:val="7BD95E2E"/>
    <w:rsid w:val="7BDF060A"/>
    <w:rsid w:val="7BE01DFA"/>
    <w:rsid w:val="7C130119"/>
    <w:rsid w:val="7C1521AA"/>
    <w:rsid w:val="7C1B6411"/>
    <w:rsid w:val="7C2C1D8B"/>
    <w:rsid w:val="7C300877"/>
    <w:rsid w:val="7C3C4CF0"/>
    <w:rsid w:val="7C3D384D"/>
    <w:rsid w:val="7C5E1681"/>
    <w:rsid w:val="7C7C34A1"/>
    <w:rsid w:val="7C8268EA"/>
    <w:rsid w:val="7C8D4386"/>
    <w:rsid w:val="7C92077F"/>
    <w:rsid w:val="7C943CAF"/>
    <w:rsid w:val="7C951C3D"/>
    <w:rsid w:val="7CA01185"/>
    <w:rsid w:val="7CAF5BBE"/>
    <w:rsid w:val="7CB12D8B"/>
    <w:rsid w:val="7CDE6687"/>
    <w:rsid w:val="7CEF098E"/>
    <w:rsid w:val="7D18460C"/>
    <w:rsid w:val="7D1A0F5C"/>
    <w:rsid w:val="7D2434EB"/>
    <w:rsid w:val="7D2808FA"/>
    <w:rsid w:val="7D2869C1"/>
    <w:rsid w:val="7D2F73B9"/>
    <w:rsid w:val="7D3038CF"/>
    <w:rsid w:val="7D3B2679"/>
    <w:rsid w:val="7D4F63BF"/>
    <w:rsid w:val="7D630FFC"/>
    <w:rsid w:val="7D65499F"/>
    <w:rsid w:val="7D67532B"/>
    <w:rsid w:val="7D6F6634"/>
    <w:rsid w:val="7D9F0E7A"/>
    <w:rsid w:val="7DB3309C"/>
    <w:rsid w:val="7DB45872"/>
    <w:rsid w:val="7DBB5B3E"/>
    <w:rsid w:val="7DBF187A"/>
    <w:rsid w:val="7DC21589"/>
    <w:rsid w:val="7DC51239"/>
    <w:rsid w:val="7DCC5CDD"/>
    <w:rsid w:val="7DD60EBC"/>
    <w:rsid w:val="7DDC2107"/>
    <w:rsid w:val="7DE021FC"/>
    <w:rsid w:val="7DEE7852"/>
    <w:rsid w:val="7DF2139B"/>
    <w:rsid w:val="7E1808A8"/>
    <w:rsid w:val="7E1E76F9"/>
    <w:rsid w:val="7E266520"/>
    <w:rsid w:val="7E2A06FF"/>
    <w:rsid w:val="7E343D60"/>
    <w:rsid w:val="7E3821BE"/>
    <w:rsid w:val="7E4D201C"/>
    <w:rsid w:val="7E5A4A06"/>
    <w:rsid w:val="7E7C0822"/>
    <w:rsid w:val="7E920DCD"/>
    <w:rsid w:val="7EA03F96"/>
    <w:rsid w:val="7EAC0F14"/>
    <w:rsid w:val="7EB55821"/>
    <w:rsid w:val="7EBB6296"/>
    <w:rsid w:val="7EBF5DD4"/>
    <w:rsid w:val="7ECC6DEA"/>
    <w:rsid w:val="7ED42C91"/>
    <w:rsid w:val="7EDF290B"/>
    <w:rsid w:val="7EE20E77"/>
    <w:rsid w:val="7EEA0F99"/>
    <w:rsid w:val="7EFC2489"/>
    <w:rsid w:val="7F0D16DE"/>
    <w:rsid w:val="7F112FA7"/>
    <w:rsid w:val="7F1F47E8"/>
    <w:rsid w:val="7F2E65FC"/>
    <w:rsid w:val="7F3E1C8A"/>
    <w:rsid w:val="7F435036"/>
    <w:rsid w:val="7F450CBB"/>
    <w:rsid w:val="7F516F9D"/>
    <w:rsid w:val="7F7E653B"/>
    <w:rsid w:val="7F8137D7"/>
    <w:rsid w:val="7F914B6A"/>
    <w:rsid w:val="7F93198A"/>
    <w:rsid w:val="7F9749DB"/>
    <w:rsid w:val="7F9A7E0B"/>
    <w:rsid w:val="7FB11129"/>
    <w:rsid w:val="7FBB38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uiPriority="1" w:name="Default Paragraph Font"/>
    <w:lsdException w:qFormat="1" w:uiPriority="99" w:semiHidden="0"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qFormat="1"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ocked="1"/>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0" w:semiHidden="0" w:name="Document Map"/>
    <w:lsdException w:qFormat="1" w:unhideWhenUsed="0" w:uiPriority="99" w:semiHidden="0" w:name="Plain Text"/>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4"/>
    <w:link w:val="42"/>
    <w:qFormat/>
    <w:uiPriority w:val="99"/>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5"/>
    <w:link w:val="43"/>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link w:val="44"/>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locked/>
    <w:uiPriority w:val="99"/>
    <w:pPr>
      <w:spacing w:line="440" w:lineRule="atLeast"/>
      <w:ind w:left="360" w:hanging="3"/>
    </w:pPr>
    <w:rPr>
      <w:sz w:val="24"/>
    </w:rPr>
  </w:style>
  <w:style w:type="paragraph" w:styleId="6">
    <w:name w:val="toc 7"/>
    <w:basedOn w:val="1"/>
    <w:next w:val="1"/>
    <w:qFormat/>
    <w:uiPriority w:val="39"/>
    <w:pPr>
      <w:ind w:left="1200" w:leftChars="1200"/>
    </w:pPr>
  </w:style>
  <w:style w:type="paragraph" w:styleId="7">
    <w:name w:val="Normal Indent"/>
    <w:basedOn w:val="1"/>
    <w:link w:val="78"/>
    <w:qFormat/>
    <w:uiPriority w:val="99"/>
    <w:pPr>
      <w:ind w:firstLine="420"/>
    </w:pPr>
  </w:style>
  <w:style w:type="paragraph" w:styleId="8">
    <w:name w:val="Document Map"/>
    <w:basedOn w:val="1"/>
    <w:link w:val="47"/>
    <w:qFormat/>
    <w:uiPriority w:val="0"/>
    <w:rPr>
      <w:rFonts w:ascii="宋体" w:cs="宋体"/>
      <w:sz w:val="18"/>
      <w:szCs w:val="18"/>
    </w:rPr>
  </w:style>
  <w:style w:type="paragraph" w:styleId="9">
    <w:name w:val="annotation text"/>
    <w:basedOn w:val="1"/>
    <w:link w:val="61"/>
    <w:qFormat/>
    <w:uiPriority w:val="99"/>
    <w:pPr>
      <w:jc w:val="left"/>
    </w:pPr>
    <w:rPr>
      <w:rFonts w:ascii="Times New Roman" w:hAnsi="Times New Roman"/>
      <w:szCs w:val="20"/>
    </w:rPr>
  </w:style>
  <w:style w:type="paragraph" w:styleId="10">
    <w:name w:val="Body Text 3"/>
    <w:basedOn w:val="1"/>
    <w:link w:val="48"/>
    <w:qFormat/>
    <w:uiPriority w:val="0"/>
    <w:rPr>
      <w:rFonts w:ascii="宋体"/>
      <w:sz w:val="24"/>
      <w:szCs w:val="20"/>
    </w:rPr>
  </w:style>
  <w:style w:type="paragraph" w:styleId="11">
    <w:name w:val="Body Text"/>
    <w:basedOn w:val="1"/>
    <w:link w:val="68"/>
    <w:unhideWhenUsed/>
    <w:qFormat/>
    <w:locked/>
    <w:uiPriority w:val="99"/>
    <w:pPr>
      <w:spacing w:after="120"/>
    </w:pPr>
  </w:style>
  <w:style w:type="paragraph" w:styleId="12">
    <w:name w:val="Body Text Indent"/>
    <w:basedOn w:val="1"/>
    <w:link w:val="69"/>
    <w:unhideWhenUsed/>
    <w:qFormat/>
    <w:locked/>
    <w:uiPriority w:val="99"/>
    <w:pPr>
      <w:spacing w:after="120"/>
      <w:ind w:left="420" w:leftChars="200"/>
    </w:pPr>
  </w:style>
  <w:style w:type="paragraph" w:styleId="13">
    <w:name w:val="Block Text"/>
    <w:basedOn w:val="1"/>
    <w:qFormat/>
    <w:uiPriority w:val="99"/>
    <w:pPr>
      <w:spacing w:line="520" w:lineRule="atLeast"/>
      <w:ind w:left="266" w:right="156" w:hanging="14"/>
    </w:pPr>
    <w:rPr>
      <w:sz w:val="24"/>
    </w:rPr>
  </w:style>
  <w:style w:type="paragraph" w:styleId="14">
    <w:name w:val="toc 5"/>
    <w:basedOn w:val="1"/>
    <w:next w:val="1"/>
    <w:qFormat/>
    <w:uiPriority w:val="39"/>
    <w:pPr>
      <w:ind w:left="800" w:leftChars="800"/>
    </w:pPr>
  </w:style>
  <w:style w:type="paragraph" w:styleId="15">
    <w:name w:val="toc 3"/>
    <w:basedOn w:val="1"/>
    <w:next w:val="1"/>
    <w:qFormat/>
    <w:uiPriority w:val="39"/>
    <w:pPr>
      <w:ind w:left="400" w:leftChars="400"/>
    </w:pPr>
  </w:style>
  <w:style w:type="paragraph" w:styleId="16">
    <w:name w:val="Plain Text"/>
    <w:basedOn w:val="1"/>
    <w:link w:val="49"/>
    <w:qFormat/>
    <w:uiPriority w:val="99"/>
    <w:rPr>
      <w:rFonts w:ascii="宋体"/>
    </w:rPr>
  </w:style>
  <w:style w:type="paragraph" w:styleId="17">
    <w:name w:val="toc 8"/>
    <w:basedOn w:val="1"/>
    <w:next w:val="1"/>
    <w:qFormat/>
    <w:uiPriority w:val="39"/>
    <w:pPr>
      <w:ind w:left="1400" w:leftChars="1400"/>
    </w:pPr>
  </w:style>
  <w:style w:type="paragraph" w:styleId="18">
    <w:name w:val="Date"/>
    <w:basedOn w:val="1"/>
    <w:next w:val="1"/>
    <w:link w:val="50"/>
    <w:qFormat/>
    <w:uiPriority w:val="99"/>
    <w:pPr>
      <w:ind w:left="2500" w:leftChars="2500"/>
    </w:pPr>
    <w:rPr>
      <w:rFonts w:ascii="Times New Roman" w:hAnsi="Times New Roman"/>
      <w:szCs w:val="20"/>
    </w:rPr>
  </w:style>
  <w:style w:type="paragraph" w:styleId="19">
    <w:name w:val="Balloon Text"/>
    <w:basedOn w:val="1"/>
    <w:link w:val="51"/>
    <w:qFormat/>
    <w:uiPriority w:val="99"/>
    <w:rPr>
      <w:rFonts w:ascii="Times New Roman" w:hAnsi="Times New Roman"/>
      <w:sz w:val="18"/>
      <w:szCs w:val="20"/>
    </w:rPr>
  </w:style>
  <w:style w:type="paragraph" w:styleId="20">
    <w:name w:val="footer"/>
    <w:basedOn w:val="1"/>
    <w:link w:val="52"/>
    <w:qFormat/>
    <w:uiPriority w:val="0"/>
    <w:pPr>
      <w:tabs>
        <w:tab w:val="center" w:pos="4153"/>
        <w:tab w:val="right" w:pos="8306"/>
      </w:tabs>
      <w:snapToGrid w:val="0"/>
      <w:jc w:val="left"/>
    </w:pPr>
    <w:rPr>
      <w:sz w:val="18"/>
    </w:rPr>
  </w:style>
  <w:style w:type="paragraph" w:styleId="21">
    <w:name w:val="header"/>
    <w:basedOn w:val="1"/>
    <w:link w:val="53"/>
    <w:qFormat/>
    <w:uiPriority w:val="99"/>
    <w:pPr>
      <w:tabs>
        <w:tab w:val="center" w:pos="4153"/>
        <w:tab w:val="right" w:pos="8306"/>
      </w:tabs>
      <w:snapToGrid w:val="0"/>
    </w:pPr>
    <w:rPr>
      <w:rFonts w:ascii="Times New Roman" w:hAnsi="Times New Roman"/>
      <w:sz w:val="18"/>
      <w:szCs w:val="20"/>
    </w:rPr>
  </w:style>
  <w:style w:type="paragraph" w:styleId="22">
    <w:name w:val="toc 1"/>
    <w:basedOn w:val="1"/>
    <w:next w:val="1"/>
    <w:qFormat/>
    <w:uiPriority w:val="39"/>
  </w:style>
  <w:style w:type="paragraph" w:styleId="23">
    <w:name w:val="toc 4"/>
    <w:basedOn w:val="1"/>
    <w:next w:val="1"/>
    <w:qFormat/>
    <w:uiPriority w:val="39"/>
    <w:pPr>
      <w:ind w:left="600" w:leftChars="600"/>
    </w:pPr>
  </w:style>
  <w:style w:type="paragraph" w:styleId="24">
    <w:name w:val="toc 6"/>
    <w:basedOn w:val="1"/>
    <w:next w:val="1"/>
    <w:qFormat/>
    <w:uiPriority w:val="39"/>
    <w:pPr>
      <w:ind w:left="1000" w:leftChars="1000"/>
    </w:pPr>
  </w:style>
  <w:style w:type="paragraph" w:styleId="25">
    <w:name w:val="Body Text Indent 3"/>
    <w:basedOn w:val="1"/>
    <w:link w:val="54"/>
    <w:qFormat/>
    <w:uiPriority w:val="99"/>
    <w:pPr>
      <w:spacing w:after="120"/>
      <w:ind w:left="200" w:leftChars="200"/>
    </w:pPr>
    <w:rPr>
      <w:sz w:val="16"/>
      <w:szCs w:val="16"/>
    </w:rPr>
  </w:style>
  <w:style w:type="paragraph" w:styleId="26">
    <w:name w:val="toc 2"/>
    <w:basedOn w:val="1"/>
    <w:next w:val="1"/>
    <w:qFormat/>
    <w:uiPriority w:val="39"/>
    <w:pPr>
      <w:ind w:left="200" w:leftChars="200"/>
    </w:pPr>
  </w:style>
  <w:style w:type="paragraph" w:styleId="27">
    <w:name w:val="toc 9"/>
    <w:basedOn w:val="1"/>
    <w:next w:val="1"/>
    <w:qFormat/>
    <w:uiPriority w:val="39"/>
    <w:pPr>
      <w:ind w:left="1600" w:leftChars="1600"/>
    </w:pPr>
  </w:style>
  <w:style w:type="paragraph" w:styleId="28">
    <w:name w:val="Body Text 2"/>
    <w:basedOn w:val="1"/>
    <w:link w:val="55"/>
    <w:qFormat/>
    <w:uiPriority w:val="99"/>
    <w:pPr>
      <w:spacing w:after="120" w:line="480" w:lineRule="auto"/>
    </w:pPr>
  </w:style>
  <w:style w:type="paragraph" w:styleId="29">
    <w:name w:val="Normal (Web)"/>
    <w:basedOn w:val="1"/>
    <w:unhideWhenUsed/>
    <w:qFormat/>
    <w:locked/>
    <w:uiPriority w:val="99"/>
    <w:rPr>
      <w:rFonts w:ascii="Times New Roman" w:hAnsi="Times New Roman"/>
      <w:sz w:val="24"/>
    </w:rPr>
  </w:style>
  <w:style w:type="paragraph" w:styleId="30">
    <w:name w:val="Title"/>
    <w:basedOn w:val="1"/>
    <w:link w:val="70"/>
    <w:qFormat/>
    <w:locked/>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1">
    <w:name w:val="annotation subject"/>
    <w:basedOn w:val="9"/>
    <w:next w:val="9"/>
    <w:link w:val="46"/>
    <w:qFormat/>
    <w:uiPriority w:val="0"/>
  </w:style>
  <w:style w:type="paragraph" w:styleId="32">
    <w:name w:val="Body Text First Indent"/>
    <w:basedOn w:val="11"/>
    <w:unhideWhenUsed/>
    <w:qFormat/>
    <w:uiPriority w:val="99"/>
    <w:pPr>
      <w:ind w:firstLine="420" w:firstLineChars="100"/>
    </w:p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99"/>
    <w:rPr>
      <w:rFonts w:cs="Times New Roman"/>
      <w:b/>
    </w:rPr>
  </w:style>
  <w:style w:type="character" w:styleId="37">
    <w:name w:val="page number"/>
    <w:basedOn w:val="35"/>
    <w:qFormat/>
    <w:uiPriority w:val="99"/>
    <w:rPr>
      <w:rFonts w:cs="Times New Roman"/>
    </w:rPr>
  </w:style>
  <w:style w:type="character" w:styleId="38">
    <w:name w:val="Emphasis"/>
    <w:basedOn w:val="35"/>
    <w:qFormat/>
    <w:locked/>
    <w:uiPriority w:val="20"/>
    <w:rPr>
      <w:i/>
      <w:iCs/>
    </w:rPr>
  </w:style>
  <w:style w:type="character" w:styleId="39">
    <w:name w:val="Hyperlink"/>
    <w:basedOn w:val="35"/>
    <w:qFormat/>
    <w:uiPriority w:val="99"/>
    <w:rPr>
      <w:rFonts w:cs="Times New Roman"/>
      <w:color w:val="0000FF"/>
      <w:u w:val="single"/>
    </w:rPr>
  </w:style>
  <w:style w:type="character" w:styleId="40">
    <w:name w:val="annotation reference"/>
    <w:basedOn w:val="35"/>
    <w:qFormat/>
    <w:uiPriority w:val="0"/>
    <w:rPr>
      <w:rFonts w:cs="Times New Roman"/>
      <w:sz w:val="21"/>
    </w:rPr>
  </w:style>
  <w:style w:type="paragraph" w:customStyle="1" w:styleId="41">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 w:type="character" w:customStyle="1" w:styleId="42">
    <w:name w:val="标题 1 Char"/>
    <w:basedOn w:val="35"/>
    <w:link w:val="3"/>
    <w:qFormat/>
    <w:uiPriority w:val="9"/>
    <w:rPr>
      <w:rFonts w:ascii="Calibri" w:hAnsi="Calibri"/>
      <w:b/>
      <w:bCs/>
      <w:kern w:val="44"/>
      <w:sz w:val="44"/>
      <w:szCs w:val="44"/>
    </w:rPr>
  </w:style>
  <w:style w:type="character" w:customStyle="1" w:styleId="43">
    <w:name w:val="标题 2 Char"/>
    <w:basedOn w:val="35"/>
    <w:link w:val="4"/>
    <w:qFormat/>
    <w:uiPriority w:val="0"/>
    <w:rPr>
      <w:rFonts w:asciiTheme="majorHAnsi" w:hAnsiTheme="majorHAnsi" w:eastAsiaTheme="majorEastAsia" w:cstheme="majorBidi"/>
      <w:b/>
      <w:bCs/>
      <w:sz w:val="32"/>
      <w:szCs w:val="32"/>
    </w:rPr>
  </w:style>
  <w:style w:type="character" w:customStyle="1" w:styleId="44">
    <w:name w:val="标题 3 Char"/>
    <w:basedOn w:val="35"/>
    <w:link w:val="5"/>
    <w:semiHidden/>
    <w:qFormat/>
    <w:uiPriority w:val="9"/>
    <w:rPr>
      <w:rFonts w:ascii="Calibri" w:hAnsi="Calibri"/>
      <w:b/>
      <w:bCs/>
      <w:sz w:val="32"/>
      <w:szCs w:val="32"/>
    </w:rPr>
  </w:style>
  <w:style w:type="character" w:customStyle="1" w:styleId="45">
    <w:name w:val="Comment Text Char"/>
    <w:basedOn w:val="35"/>
    <w:qFormat/>
    <w:uiPriority w:val="99"/>
  </w:style>
  <w:style w:type="character" w:customStyle="1" w:styleId="46">
    <w:name w:val="批注主题 Char"/>
    <w:basedOn w:val="45"/>
    <w:link w:val="31"/>
    <w:qFormat/>
    <w:uiPriority w:val="0"/>
    <w:rPr>
      <w:rFonts w:ascii="Calibri" w:hAnsi="Calibri"/>
      <w:b/>
      <w:bCs/>
    </w:rPr>
  </w:style>
  <w:style w:type="character" w:customStyle="1" w:styleId="47">
    <w:name w:val="文档结构图 Char"/>
    <w:basedOn w:val="35"/>
    <w:link w:val="8"/>
    <w:qFormat/>
    <w:uiPriority w:val="0"/>
    <w:rPr>
      <w:sz w:val="0"/>
      <w:szCs w:val="0"/>
    </w:rPr>
  </w:style>
  <w:style w:type="character" w:customStyle="1" w:styleId="48">
    <w:name w:val="正文文本 3 Char"/>
    <w:basedOn w:val="35"/>
    <w:link w:val="10"/>
    <w:qFormat/>
    <w:locked/>
    <w:uiPriority w:val="0"/>
    <w:rPr>
      <w:rFonts w:ascii="宋体" w:hAnsi="Calibri" w:eastAsia="宋体" w:cs="Times New Roman"/>
      <w:kern w:val="2"/>
      <w:sz w:val="24"/>
    </w:rPr>
  </w:style>
  <w:style w:type="character" w:customStyle="1" w:styleId="49">
    <w:name w:val="纯文本 Char"/>
    <w:basedOn w:val="35"/>
    <w:link w:val="16"/>
    <w:semiHidden/>
    <w:qFormat/>
    <w:uiPriority w:val="99"/>
    <w:rPr>
      <w:rFonts w:ascii="宋体" w:hAnsi="Courier New" w:cs="Courier New"/>
      <w:szCs w:val="21"/>
    </w:rPr>
  </w:style>
  <w:style w:type="character" w:customStyle="1" w:styleId="50">
    <w:name w:val="日期 Char"/>
    <w:basedOn w:val="35"/>
    <w:link w:val="18"/>
    <w:semiHidden/>
    <w:qFormat/>
    <w:uiPriority w:val="99"/>
    <w:rPr>
      <w:rFonts w:ascii="Calibri" w:hAnsi="Calibri"/>
    </w:rPr>
  </w:style>
  <w:style w:type="character" w:customStyle="1" w:styleId="51">
    <w:name w:val="批注框文本 Char"/>
    <w:basedOn w:val="35"/>
    <w:link w:val="19"/>
    <w:semiHidden/>
    <w:qFormat/>
    <w:uiPriority w:val="99"/>
    <w:rPr>
      <w:rFonts w:ascii="Calibri" w:hAnsi="Calibri"/>
      <w:sz w:val="0"/>
      <w:szCs w:val="0"/>
    </w:rPr>
  </w:style>
  <w:style w:type="character" w:customStyle="1" w:styleId="52">
    <w:name w:val="页脚 Char"/>
    <w:basedOn w:val="35"/>
    <w:link w:val="20"/>
    <w:qFormat/>
    <w:uiPriority w:val="0"/>
    <w:rPr>
      <w:rFonts w:ascii="Calibri" w:hAnsi="Calibri"/>
      <w:sz w:val="18"/>
      <w:szCs w:val="18"/>
    </w:rPr>
  </w:style>
  <w:style w:type="character" w:customStyle="1" w:styleId="53">
    <w:name w:val="页眉 Char"/>
    <w:basedOn w:val="35"/>
    <w:link w:val="21"/>
    <w:semiHidden/>
    <w:qFormat/>
    <w:uiPriority w:val="99"/>
    <w:rPr>
      <w:rFonts w:ascii="Calibri" w:hAnsi="Calibri"/>
      <w:sz w:val="18"/>
      <w:szCs w:val="18"/>
    </w:rPr>
  </w:style>
  <w:style w:type="character" w:customStyle="1" w:styleId="54">
    <w:name w:val="正文文本缩进 3 Char"/>
    <w:basedOn w:val="35"/>
    <w:link w:val="25"/>
    <w:semiHidden/>
    <w:qFormat/>
    <w:uiPriority w:val="99"/>
    <w:rPr>
      <w:rFonts w:ascii="Calibri" w:hAnsi="Calibri"/>
      <w:sz w:val="16"/>
      <w:szCs w:val="16"/>
    </w:rPr>
  </w:style>
  <w:style w:type="character" w:customStyle="1" w:styleId="55">
    <w:name w:val="正文文本 2 Char"/>
    <w:basedOn w:val="35"/>
    <w:link w:val="28"/>
    <w:semiHidden/>
    <w:qFormat/>
    <w:uiPriority w:val="99"/>
    <w:rPr>
      <w:rFonts w:ascii="Calibri" w:hAnsi="Calibri"/>
    </w:rPr>
  </w:style>
  <w:style w:type="character" w:customStyle="1" w:styleId="56">
    <w:name w:val="style_kwd"/>
    <w:basedOn w:val="35"/>
    <w:qFormat/>
    <w:uiPriority w:val="99"/>
    <w:rPr>
      <w:rFonts w:cs="Times New Roman"/>
    </w:rPr>
  </w:style>
  <w:style w:type="character" w:customStyle="1" w:styleId="57">
    <w:name w:val="批注文字 Char1"/>
    <w:qFormat/>
    <w:uiPriority w:val="99"/>
    <w:rPr>
      <w:rFonts w:ascii="Times New Roman" w:hAnsi="Times New Roman" w:eastAsia="宋体"/>
      <w:sz w:val="20"/>
    </w:rPr>
  </w:style>
  <w:style w:type="paragraph" w:customStyle="1" w:styleId="58">
    <w:name w:val="Revision1"/>
    <w:qFormat/>
    <w:uiPriority w:val="99"/>
    <w:rPr>
      <w:rFonts w:ascii="Times New Roman" w:hAnsi="Times New Roman" w:eastAsia="宋体" w:cs="Times New Roman"/>
      <w:kern w:val="2"/>
      <w:sz w:val="21"/>
      <w:lang w:val="en-US" w:eastAsia="zh-CN" w:bidi="ar-SA"/>
    </w:rPr>
  </w:style>
  <w:style w:type="paragraph" w:customStyle="1" w:styleId="59">
    <w:name w:val="_Style 23"/>
    <w:basedOn w:val="1"/>
    <w:qFormat/>
    <w:uiPriority w:val="99"/>
    <w:pPr>
      <w:widowControl/>
      <w:spacing w:after="160" w:line="240" w:lineRule="exact"/>
      <w:jc w:val="left"/>
    </w:pPr>
  </w:style>
  <w:style w:type="paragraph" w:customStyle="1" w:styleId="60">
    <w:name w:val="TOC Heading1"/>
    <w:basedOn w:val="3"/>
    <w:next w:val="1"/>
    <w:qFormat/>
    <w:uiPriority w:val="99"/>
    <w:pPr>
      <w:widowControl/>
      <w:spacing w:before="480" w:after="0" w:line="276" w:lineRule="auto"/>
      <w:jc w:val="left"/>
      <w:outlineLvl w:val="9"/>
    </w:pPr>
    <w:rPr>
      <w:rFonts w:ascii="Cambria" w:hAnsi="Cambria"/>
      <w:color w:val="365F91"/>
      <w:kern w:val="0"/>
      <w:sz w:val="28"/>
    </w:rPr>
  </w:style>
  <w:style w:type="character" w:customStyle="1" w:styleId="61">
    <w:name w:val="批注文字 Char"/>
    <w:basedOn w:val="35"/>
    <w:link w:val="9"/>
    <w:qFormat/>
    <w:locked/>
    <w:uiPriority w:val="99"/>
    <w:rPr>
      <w:rFonts w:eastAsia="宋体" w:cs="Times New Roman"/>
      <w:kern w:val="2"/>
      <w:sz w:val="21"/>
    </w:rPr>
  </w:style>
  <w:style w:type="character" w:customStyle="1" w:styleId="62">
    <w:name w:val="font161"/>
    <w:qFormat/>
    <w:uiPriority w:val="99"/>
    <w:rPr>
      <w:b/>
      <w:sz w:val="32"/>
    </w:rPr>
  </w:style>
  <w:style w:type="character" w:customStyle="1" w:styleId="63">
    <w:name w:val="15"/>
    <w:qFormat/>
    <w:uiPriority w:val="99"/>
    <w:rPr>
      <w:rFonts w:ascii="Times New Roman" w:hAnsi="Times New Roman"/>
      <w:color w:val="0000FF"/>
      <w:u w:val="single"/>
    </w:rPr>
  </w:style>
  <w:style w:type="paragraph" w:customStyle="1" w:styleId="64">
    <w:name w:val="2"/>
    <w:basedOn w:val="1"/>
    <w:qFormat/>
    <w:uiPriority w:val="99"/>
    <w:pPr>
      <w:spacing w:before="60" w:after="60"/>
      <w:ind w:left="454"/>
    </w:pPr>
    <w:rPr>
      <w:position w:val="5"/>
    </w:rPr>
  </w:style>
  <w:style w:type="paragraph" w:customStyle="1" w:styleId="65">
    <w:name w:val="表格方字"/>
    <w:basedOn w:val="1"/>
    <w:qFormat/>
    <w:uiPriority w:val="99"/>
    <w:pPr>
      <w:spacing w:before="60" w:after="60"/>
      <w:jc w:val="left"/>
    </w:pPr>
  </w:style>
  <w:style w:type="paragraph" w:customStyle="1" w:styleId="66">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6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character" w:customStyle="1" w:styleId="68">
    <w:name w:val="正文文本 Char"/>
    <w:basedOn w:val="35"/>
    <w:link w:val="11"/>
    <w:qFormat/>
    <w:uiPriority w:val="99"/>
    <w:rPr>
      <w:rFonts w:ascii="Calibri" w:hAnsi="Calibri"/>
      <w:kern w:val="2"/>
      <w:sz w:val="21"/>
      <w:szCs w:val="22"/>
    </w:rPr>
  </w:style>
  <w:style w:type="character" w:customStyle="1" w:styleId="69">
    <w:name w:val="正文文本缩进 Char"/>
    <w:basedOn w:val="35"/>
    <w:link w:val="12"/>
    <w:semiHidden/>
    <w:qFormat/>
    <w:uiPriority w:val="99"/>
    <w:rPr>
      <w:rFonts w:ascii="Calibri" w:hAnsi="Calibri"/>
      <w:kern w:val="2"/>
      <w:sz w:val="21"/>
      <w:szCs w:val="22"/>
    </w:rPr>
  </w:style>
  <w:style w:type="character" w:customStyle="1" w:styleId="70">
    <w:name w:val="标题 Char"/>
    <w:basedOn w:val="35"/>
    <w:link w:val="30"/>
    <w:qFormat/>
    <w:uiPriority w:val="0"/>
    <w:rPr>
      <w:rFonts w:ascii="Arial" w:hAnsi="Arial"/>
      <w:b/>
      <w:sz w:val="32"/>
    </w:rPr>
  </w:style>
  <w:style w:type="paragraph" w:customStyle="1" w:styleId="71">
    <w:name w:val="表文C"/>
    <w:basedOn w:val="1"/>
    <w:qFormat/>
    <w:uiPriority w:val="0"/>
    <w:pPr>
      <w:widowControl/>
      <w:tabs>
        <w:tab w:val="left" w:pos="0"/>
      </w:tabs>
      <w:snapToGrid w:val="0"/>
      <w:spacing w:line="360" w:lineRule="auto"/>
      <w:jc w:val="center"/>
    </w:pPr>
    <w:rPr>
      <w:snapToGrid w:val="0"/>
      <w:kern w:val="0"/>
    </w:rPr>
  </w:style>
  <w:style w:type="paragraph" w:customStyle="1" w:styleId="72">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szCs w:val="22"/>
      <w:lang w:val="en-US" w:eastAsia="zh-CN" w:bidi="ar-SA"/>
    </w:rPr>
  </w:style>
  <w:style w:type="paragraph" w:customStyle="1" w:styleId="73">
    <w:name w:val="表名A"/>
    <w:basedOn w:val="1"/>
    <w:qFormat/>
    <w:uiPriority w:val="99"/>
    <w:pPr>
      <w:widowControl/>
      <w:tabs>
        <w:tab w:val="left" w:pos="0"/>
      </w:tabs>
      <w:snapToGrid w:val="0"/>
      <w:spacing w:beforeLines="80" w:afterLines="20" w:line="360" w:lineRule="auto"/>
      <w:jc w:val="center"/>
    </w:pPr>
    <w:rPr>
      <w:b/>
      <w:snapToGrid w:val="0"/>
      <w:kern w:val="0"/>
    </w:rPr>
  </w:style>
  <w:style w:type="paragraph" w:customStyle="1" w:styleId="7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5">
    <w:name w:val="样式 标题 3 + (中文) 黑体 小四 非加粗 段前: 7.8 磅 段后: 0 磅 行距: 固定值 20 磅"/>
    <w:basedOn w:val="5"/>
    <w:qFormat/>
    <w:uiPriority w:val="0"/>
    <w:pPr>
      <w:spacing w:before="0" w:after="0" w:line="400" w:lineRule="exact"/>
      <w:ind w:firstLine="0" w:firstLineChars="0"/>
    </w:pPr>
    <w:rPr>
      <w:rFonts w:ascii="Times New Roman" w:hAnsi="Times New Roman" w:cs="宋体"/>
      <w:sz w:val="24"/>
    </w:rPr>
  </w:style>
  <w:style w:type="paragraph" w:customStyle="1" w:styleId="76">
    <w:name w:val="列出段落1"/>
    <w:basedOn w:val="1"/>
    <w:unhideWhenUsed/>
    <w:qFormat/>
    <w:uiPriority w:val="99"/>
    <w:pPr>
      <w:ind w:firstLine="420" w:firstLineChars="200"/>
    </w:pPr>
  </w:style>
  <w:style w:type="paragraph" w:customStyle="1" w:styleId="77">
    <w:name w:val="Char"/>
    <w:basedOn w:val="1"/>
    <w:semiHidden/>
    <w:qFormat/>
    <w:uiPriority w:val="0"/>
    <w:pPr>
      <w:spacing w:line="360" w:lineRule="auto"/>
      <w:ind w:firstLine="200" w:firstLineChars="200"/>
    </w:pPr>
    <w:rPr>
      <w:rFonts w:ascii="宋体" w:hAnsi="宋体" w:cs="宋体"/>
      <w:sz w:val="24"/>
      <w:szCs w:val="24"/>
    </w:rPr>
  </w:style>
  <w:style w:type="character" w:customStyle="1" w:styleId="78">
    <w:name w:val="正文缩进 Char"/>
    <w:basedOn w:val="35"/>
    <w:link w:val="7"/>
    <w:qFormat/>
    <w:locked/>
    <w:uiPriority w:val="0"/>
    <w:rPr>
      <w:rFonts w:ascii="Calibri" w:hAnsi="Calibri"/>
      <w:kern w:val="2"/>
      <w:sz w:val="21"/>
      <w:szCs w:val="22"/>
    </w:rPr>
  </w:style>
  <w:style w:type="paragraph" w:customStyle="1" w:styleId="79">
    <w:name w:val="Char1"/>
    <w:basedOn w:val="1"/>
    <w:semiHidden/>
    <w:qFormat/>
    <w:uiPriority w:val="0"/>
    <w:pPr>
      <w:spacing w:line="360" w:lineRule="auto"/>
      <w:ind w:firstLine="200" w:firstLineChars="200"/>
    </w:pPr>
    <w:rPr>
      <w:rFonts w:ascii="宋体" w:hAnsi="宋体" w:cs="宋体"/>
      <w:sz w:val="24"/>
      <w:szCs w:val="24"/>
    </w:rPr>
  </w:style>
  <w:style w:type="paragraph" w:customStyle="1" w:styleId="80">
    <w:name w:val="p0"/>
    <w:basedOn w:val="1"/>
    <w:qFormat/>
    <w:uiPriority w:val="0"/>
    <w:pPr>
      <w:widowControl/>
    </w:pPr>
    <w:rPr>
      <w:rFonts w:cs="宋体"/>
      <w:kern w:val="0"/>
      <w:szCs w:val="21"/>
    </w:rPr>
  </w:style>
  <w:style w:type="paragraph" w:customStyle="1" w:styleId="81">
    <w:name w:val="列表段落1"/>
    <w:basedOn w:val="1"/>
    <w:unhideWhenUsed/>
    <w:qFormat/>
    <w:uiPriority w:val="99"/>
    <w:pPr>
      <w:ind w:firstLine="420" w:firstLineChars="200"/>
    </w:pPr>
  </w:style>
  <w:style w:type="paragraph" w:customStyle="1" w:styleId="82">
    <w:name w:val="列出段落2"/>
    <w:basedOn w:val="1"/>
    <w:unhideWhenUsed/>
    <w:qFormat/>
    <w:uiPriority w:val="99"/>
    <w:pPr>
      <w:ind w:firstLine="420" w:firstLineChars="200"/>
    </w:pPr>
  </w:style>
  <w:style w:type="character" w:customStyle="1" w:styleId="83">
    <w:name w:val="font101"/>
    <w:basedOn w:val="35"/>
    <w:qFormat/>
    <w:uiPriority w:val="0"/>
    <w:rPr>
      <w:rFonts w:hint="eastAsia" w:ascii="宋体" w:hAnsi="宋体" w:eastAsia="宋体" w:cs="宋体"/>
      <w:color w:val="000000"/>
      <w:sz w:val="24"/>
      <w:szCs w:val="24"/>
      <w:u w:val="none"/>
    </w:rPr>
  </w:style>
  <w:style w:type="character" w:customStyle="1" w:styleId="84">
    <w:name w:val="font112"/>
    <w:basedOn w:val="35"/>
    <w:qFormat/>
    <w:uiPriority w:val="0"/>
    <w:rPr>
      <w:rFonts w:hint="eastAsia" w:ascii="宋体" w:hAnsi="宋体" w:eastAsia="宋体" w:cs="宋体"/>
      <w:b/>
      <w:color w:val="000000"/>
      <w:sz w:val="24"/>
      <w:szCs w:val="24"/>
      <w:u w:val="none"/>
    </w:rPr>
  </w:style>
  <w:style w:type="character" w:customStyle="1" w:styleId="85">
    <w:name w:val="font41"/>
    <w:basedOn w:val="35"/>
    <w:qFormat/>
    <w:uiPriority w:val="0"/>
    <w:rPr>
      <w:rFonts w:hint="eastAsia" w:ascii="宋体" w:hAnsi="宋体" w:eastAsia="宋体" w:cs="宋体"/>
      <w:color w:val="000000"/>
      <w:sz w:val="22"/>
      <w:szCs w:val="22"/>
      <w:u w:val="none"/>
    </w:rPr>
  </w:style>
  <w:style w:type="character" w:customStyle="1" w:styleId="86">
    <w:name w:val="font51"/>
    <w:basedOn w:val="35"/>
    <w:qFormat/>
    <w:uiPriority w:val="0"/>
    <w:rPr>
      <w:rFonts w:hint="eastAsia" w:ascii="宋体" w:hAnsi="宋体" w:eastAsia="宋体" w:cs="宋体"/>
      <w:color w:val="000000"/>
      <w:sz w:val="22"/>
      <w:szCs w:val="22"/>
      <w:u w:val="none"/>
    </w:rPr>
  </w:style>
  <w:style w:type="paragraph" w:styleId="8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F0D5FA-0F11-4098-AC45-1DA60331832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1346</Words>
  <Characters>7678</Characters>
  <Lines>63</Lines>
  <Paragraphs>18</Paragraphs>
  <TotalTime>0</TotalTime>
  <ScaleCrop>false</ScaleCrop>
  <LinksUpToDate>false</LinksUpToDate>
  <CharactersWithSpaces>9006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2019-06-21T01:32:00Z</dcterms:created>
  <dc:creator>lwx</dc:creator>
  <cp:lastModifiedBy>Administrator</cp:lastModifiedBy>
  <cp:lastPrinted>2020-04-29T05:49:00Z</cp:lastPrinted>
  <dcterms:modified xsi:type="dcterms:W3CDTF">2020-05-28T07:08:27Z</dcterms:modified>
  <dc:title>中华人民共和国</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