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spacing w:before="0" w:after="0" w:line="360" w:lineRule="auto"/>
        <w:jc w:val="left"/>
        <w:rPr>
          <w:rFonts w:hint="eastAsia"/>
          <w:b/>
          <w:bCs/>
          <w:sz w:val="32"/>
          <w:szCs w:val="32"/>
          <w:highlight w:val="none"/>
          <w:lang w:eastAsia="zh-CN"/>
        </w:rPr>
      </w:pPr>
      <w:bookmarkStart w:id="23" w:name="_GoBack"/>
      <w:bookmarkEnd w:id="23"/>
      <w:r>
        <w:rPr>
          <w:rFonts w:hint="eastAsia"/>
          <w:b/>
          <w:bCs/>
          <w:sz w:val="32"/>
          <w:szCs w:val="32"/>
          <w:highlight w:val="none"/>
          <w:lang w:eastAsia="zh-CN"/>
        </w:rPr>
        <w:t>附</w:t>
      </w:r>
      <w:r>
        <w:rPr>
          <w:rFonts w:hint="eastAsia"/>
          <w:b/>
          <w:bCs/>
          <w:sz w:val="32"/>
          <w:szCs w:val="32"/>
          <w:highlight w:val="none"/>
          <w:lang w:val="en-US" w:eastAsia="zh-CN"/>
        </w:rPr>
        <w:t>1</w:t>
      </w:r>
      <w:r>
        <w:rPr>
          <w:rFonts w:hint="eastAsia"/>
          <w:b/>
          <w:bCs/>
          <w:sz w:val="32"/>
          <w:szCs w:val="32"/>
          <w:highlight w:val="none"/>
          <w:lang w:eastAsia="zh-CN"/>
        </w:rPr>
        <w:t>：资格审查条件</w:t>
      </w:r>
    </w:p>
    <w:p>
      <w:pPr>
        <w:widowControl/>
        <w:spacing w:line="276" w:lineRule="auto"/>
        <w:jc w:val="left"/>
        <w:rPr>
          <w:rFonts w:ascii="宋体" w:hAnsi="宋体" w:cs="Times New Roman"/>
          <w:b/>
          <w:bCs/>
          <w:color w:val="auto"/>
          <w:sz w:val="24"/>
          <w:szCs w:val="24"/>
          <w:highlight w:val="none"/>
        </w:rPr>
      </w:pPr>
      <w:bookmarkStart w:id="0" w:name="_Toc4541"/>
      <w:r>
        <w:rPr>
          <w:rFonts w:hint="eastAsia" w:ascii="宋体" w:hAnsi="宋体" w:cs="Times New Roman"/>
          <w:b/>
          <w:bCs/>
          <w:color w:val="auto"/>
          <w:sz w:val="24"/>
          <w:szCs w:val="24"/>
          <w:highlight w:val="none"/>
        </w:rPr>
        <w:t>投标人须知前附表附件</w:t>
      </w:r>
      <w:bookmarkEnd w:id="0"/>
    </w:p>
    <w:p>
      <w:pPr>
        <w:widowControl/>
        <w:spacing w:line="276" w:lineRule="auto"/>
        <w:jc w:val="center"/>
        <w:rPr>
          <w:rFonts w:ascii="宋体" w:hAnsi="宋体"/>
          <w:color w:val="auto"/>
          <w:szCs w:val="21"/>
          <w:highlight w:val="none"/>
        </w:rPr>
      </w:pPr>
      <w:r>
        <w:rPr>
          <w:rFonts w:ascii="宋体" w:hAnsi="宋体"/>
          <w:b/>
          <w:bCs/>
          <w:color w:val="auto"/>
          <w:sz w:val="24"/>
          <w:szCs w:val="24"/>
          <w:highlight w:val="none"/>
        </w:rPr>
        <w:t>附录1  资质条件</w:t>
      </w:r>
    </w:p>
    <w:tbl>
      <w:tblPr>
        <w:tblStyle w:val="34"/>
        <w:tblW w:w="10365"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365" w:type="dxa"/>
            <w:vAlign w:val="center"/>
          </w:tcPr>
          <w:p>
            <w:pPr>
              <w:widowControl/>
              <w:spacing w:line="276" w:lineRule="auto"/>
              <w:jc w:val="center"/>
              <w:rPr>
                <w:rFonts w:ascii="宋体" w:hAnsi="宋体"/>
                <w:color w:val="auto"/>
                <w:szCs w:val="21"/>
                <w:highlight w:val="none"/>
              </w:rPr>
            </w:pPr>
            <w:r>
              <w:rPr>
                <w:rFonts w:ascii="宋体" w:hAnsi="宋体"/>
                <w:color w:val="auto"/>
                <w:szCs w:val="21"/>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5" w:type="dxa"/>
          </w:tcPr>
          <w:p>
            <w:pPr>
              <w:autoSpaceDE w:val="0"/>
              <w:autoSpaceDN w:val="0"/>
              <w:adjustRightInd w:val="0"/>
              <w:spacing w:line="440" w:lineRule="exact"/>
              <w:ind w:firstLine="220" w:firstLineChars="100"/>
              <w:jc w:val="left"/>
              <w:rPr>
                <w:rFonts w:hint="eastAsia" w:ascii="宋体" w:hAnsi="宋体" w:cs="宋体"/>
                <w:b/>
                <w:bCs/>
                <w:color w:val="auto"/>
                <w:sz w:val="22"/>
                <w:szCs w:val="22"/>
                <w:highlight w:val="none"/>
                <w:lang w:eastAsia="zh-CN"/>
              </w:rPr>
            </w:pPr>
            <w:r>
              <w:rPr>
                <w:rFonts w:hint="eastAsia" w:ascii="宋体" w:hAnsi="宋体" w:cs="宋体"/>
                <w:color w:val="auto"/>
                <w:sz w:val="22"/>
                <w:szCs w:val="22"/>
                <w:highlight w:val="none"/>
                <w:lang w:val="en-US" w:eastAsia="zh-CN"/>
              </w:rPr>
              <w:t>1、投标人应为</w:t>
            </w:r>
            <w:r>
              <w:rPr>
                <w:rFonts w:hint="eastAsia" w:ascii="宋体" w:hAnsi="宋体" w:cs="宋体"/>
                <w:color w:val="auto"/>
                <w:sz w:val="22"/>
                <w:szCs w:val="22"/>
                <w:highlight w:val="none"/>
              </w:rPr>
              <w:t>具有独立法人资格的制造商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具有合法的经营资格，持有</w:t>
            </w:r>
            <w:r>
              <w:rPr>
                <w:rFonts w:hint="eastAsia" w:ascii="宋体" w:hAnsi="宋体" w:cs="宋体"/>
                <w:color w:val="auto"/>
                <w:sz w:val="22"/>
                <w:szCs w:val="22"/>
                <w:highlight w:val="none"/>
              </w:rPr>
              <w:t>有效的营业执照</w:t>
            </w:r>
            <w:r>
              <w:rPr>
                <w:rFonts w:hint="eastAsia" w:ascii="宋体" w:hAnsi="宋体" w:cs="宋体"/>
                <w:color w:val="auto"/>
                <w:sz w:val="22"/>
                <w:szCs w:val="22"/>
                <w:highlight w:val="none"/>
                <w:lang w:eastAsia="zh-CN"/>
              </w:rPr>
              <w:t>。</w:t>
            </w:r>
            <w:r>
              <w:rPr>
                <w:rFonts w:hint="eastAsia" w:ascii="宋体" w:hAnsi="宋体" w:cs="宋体"/>
                <w:b/>
                <w:bCs/>
                <w:color w:val="auto"/>
                <w:sz w:val="22"/>
                <w:szCs w:val="22"/>
                <w:highlight w:val="none"/>
                <w:lang w:val="en-US" w:eastAsia="zh-CN"/>
              </w:rPr>
              <w:t>具体要求：</w:t>
            </w:r>
            <w:r>
              <w:rPr>
                <w:rFonts w:hint="eastAsia" w:ascii="宋体" w:hAnsi="宋体" w:cs="宋体"/>
                <w:b/>
                <w:bCs/>
                <w:color w:val="auto"/>
                <w:sz w:val="22"/>
                <w:szCs w:val="22"/>
                <w:highlight w:val="none"/>
              </w:rPr>
              <w:t>提供有效的营业执照和组织机构代码证的复印件（按照“三证合一”或“五证合一”登记制度进行登记的，可仅提供营业执照复印件</w:t>
            </w:r>
            <w:r>
              <w:rPr>
                <w:rFonts w:hint="eastAsia" w:ascii="宋体" w:hAnsi="宋体" w:cs="宋体"/>
                <w:b/>
                <w:bCs/>
                <w:color w:val="auto"/>
                <w:sz w:val="22"/>
                <w:szCs w:val="22"/>
                <w:highlight w:val="none"/>
                <w:lang w:eastAsia="zh-CN"/>
              </w:rPr>
              <w:t>）；</w:t>
            </w:r>
          </w:p>
          <w:p>
            <w:pPr>
              <w:autoSpaceDE w:val="0"/>
              <w:autoSpaceDN w:val="0"/>
              <w:adjustRightInd w:val="0"/>
              <w:spacing w:line="440" w:lineRule="exact"/>
              <w:ind w:firstLine="220" w:firstLineChars="100"/>
              <w:jc w:val="left"/>
              <w:rPr>
                <w:rFonts w:hint="default" w:ascii="宋体" w:hAnsi="宋体" w:cs="宋体"/>
                <w:b/>
                <w:bCs/>
                <w:color w:val="auto"/>
                <w:sz w:val="22"/>
                <w:szCs w:val="22"/>
                <w:highlight w:val="none"/>
                <w:lang w:val="en-US" w:eastAsia="zh-CN"/>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具有有效的</w:t>
            </w:r>
            <w:r>
              <w:rPr>
                <w:rFonts w:hint="eastAsia" w:ascii="宋体" w:hAnsi="宋体" w:cs="宋体"/>
                <w:color w:val="auto"/>
                <w:sz w:val="22"/>
                <w:szCs w:val="22"/>
                <w:highlight w:val="none"/>
                <w:lang w:eastAsia="zh-CN"/>
              </w:rPr>
              <w:t>ISO9001</w:t>
            </w:r>
            <w:r>
              <w:rPr>
                <w:rFonts w:hint="eastAsia" w:ascii="宋体" w:hAnsi="宋体" w:cs="宋体"/>
                <w:color w:val="auto"/>
                <w:sz w:val="22"/>
                <w:szCs w:val="22"/>
                <w:highlight w:val="none"/>
              </w:rPr>
              <w:t>质量管理体系认证（认证范围覆盖波形梁护栏板或波形梁护栏立柱）</w:t>
            </w:r>
            <w:r>
              <w:rPr>
                <w:rFonts w:hint="eastAsia" w:ascii="宋体" w:hAnsi="宋体" w:cs="宋体"/>
                <w:color w:val="auto"/>
                <w:sz w:val="22"/>
                <w:szCs w:val="22"/>
                <w:highlight w:val="none"/>
                <w:lang w:eastAsia="zh-CN"/>
              </w:rPr>
              <w:t>。</w:t>
            </w:r>
            <w:r>
              <w:rPr>
                <w:rFonts w:hint="eastAsia" w:ascii="宋体" w:hAnsi="宋体" w:cs="宋体"/>
                <w:b/>
                <w:bCs/>
                <w:color w:val="auto"/>
                <w:sz w:val="22"/>
                <w:szCs w:val="22"/>
                <w:highlight w:val="none"/>
                <w:lang w:val="en-US" w:eastAsia="zh-CN"/>
              </w:rPr>
              <w:t>具体要求：提供相应的</w:t>
            </w:r>
            <w:r>
              <w:rPr>
                <w:rFonts w:hint="eastAsia" w:ascii="宋体" w:hAnsi="宋体" w:cs="宋体"/>
                <w:b/>
                <w:bCs/>
                <w:color w:val="auto"/>
                <w:sz w:val="22"/>
                <w:szCs w:val="22"/>
                <w:highlight w:val="none"/>
                <w:lang w:eastAsia="zh-CN"/>
              </w:rPr>
              <w:t>ISO9001</w:t>
            </w:r>
            <w:r>
              <w:rPr>
                <w:rFonts w:hint="eastAsia" w:ascii="宋体" w:hAnsi="宋体" w:cs="宋体"/>
                <w:b/>
                <w:bCs/>
                <w:color w:val="auto"/>
                <w:sz w:val="22"/>
                <w:szCs w:val="22"/>
                <w:highlight w:val="none"/>
              </w:rPr>
              <w:t>质量管理体系认证</w:t>
            </w:r>
            <w:r>
              <w:rPr>
                <w:rFonts w:hint="eastAsia" w:ascii="宋体" w:hAnsi="宋体" w:cs="宋体"/>
                <w:b/>
                <w:bCs/>
                <w:color w:val="auto"/>
                <w:sz w:val="22"/>
                <w:szCs w:val="22"/>
                <w:highlight w:val="none"/>
                <w:lang w:val="en-US" w:eastAsia="zh-CN"/>
              </w:rPr>
              <w:t>证书复印件；</w:t>
            </w:r>
          </w:p>
          <w:p>
            <w:pPr>
              <w:autoSpaceDE w:val="0"/>
              <w:autoSpaceDN w:val="0"/>
              <w:adjustRightInd w:val="0"/>
              <w:spacing w:line="440" w:lineRule="exact"/>
              <w:ind w:firstLine="220" w:firstLineChars="100"/>
              <w:jc w:val="lef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3、具有国家交通安全设施质量监督检测中心颁发的）、有效期内的《工厂检验合格证书》（产品范围包括波形梁护栏）。</w:t>
            </w:r>
            <w:r>
              <w:rPr>
                <w:rFonts w:hint="eastAsia" w:ascii="宋体" w:hAnsi="宋体" w:cs="宋体"/>
                <w:b/>
                <w:bCs/>
                <w:color w:val="auto"/>
                <w:sz w:val="22"/>
                <w:szCs w:val="22"/>
                <w:highlight w:val="none"/>
                <w:lang w:val="en-US" w:eastAsia="zh-CN"/>
              </w:rPr>
              <w:t>具体要求：提供工厂检验合格证书复印件；</w:t>
            </w:r>
          </w:p>
          <w:p>
            <w:pPr>
              <w:autoSpaceDE w:val="0"/>
              <w:autoSpaceDN w:val="0"/>
              <w:adjustRightInd w:val="0"/>
              <w:spacing w:line="440" w:lineRule="exact"/>
              <w:ind w:firstLine="220" w:firstLineChars="100"/>
              <w:jc w:val="left"/>
              <w:rPr>
                <w:color w:val="auto"/>
                <w:highlight w:val="none"/>
              </w:rPr>
            </w:pPr>
            <w:r>
              <w:rPr>
                <w:rFonts w:hint="eastAsia" w:ascii="宋体" w:hAnsi="宋体" w:cs="宋体"/>
                <w:color w:val="auto"/>
                <w:sz w:val="22"/>
                <w:szCs w:val="22"/>
                <w:highlight w:val="none"/>
                <w:lang w:val="en-US" w:eastAsia="zh-CN"/>
              </w:rPr>
              <w:t>4、需提供自2018年1月1日至投标截止之日，具有相应检测资质的第三方检测机构出具的任意规格的投标产品（波形梁护栏板或波形梁护栏立柱）检测报告；同时检测机构具有有效的试验检测综合甲级资质、具有计量行政管理部门颁发的有效计量认证证书（CMA）</w:t>
            </w:r>
            <w:r>
              <w:rPr>
                <w:rFonts w:hint="eastAsia" w:ascii="宋体" w:hAnsi="宋体" w:cs="宋体"/>
                <w:color w:val="auto"/>
                <w:sz w:val="22"/>
                <w:szCs w:val="22"/>
                <w:highlight w:val="none"/>
              </w:rPr>
              <w:t>。</w:t>
            </w:r>
            <w:r>
              <w:rPr>
                <w:rFonts w:hint="eastAsia" w:ascii="宋体" w:hAnsi="宋体" w:cs="宋体"/>
                <w:b/>
                <w:bCs/>
                <w:color w:val="auto"/>
                <w:sz w:val="22"/>
                <w:szCs w:val="22"/>
                <w:highlight w:val="none"/>
                <w:lang w:val="en-US" w:eastAsia="zh-CN"/>
              </w:rPr>
              <w:t>具体要求：提供2018年1月1日至投标截止之日期间，具有相应检测资质的第三方检测机构出具的任意规格的投标产品（波形梁护栏板或波形梁护栏立柱）检测报告，同时提供检测机构相应资质证书及计量认证证书（CMA）复印件。</w:t>
            </w:r>
          </w:p>
        </w:tc>
      </w:tr>
    </w:tbl>
    <w:p>
      <w:pPr>
        <w:spacing w:line="360" w:lineRule="auto"/>
        <w:rPr>
          <w:rFonts w:ascii="宋体" w:hAnsi="宋体" w:cs="仿宋"/>
          <w:color w:val="auto"/>
          <w:szCs w:val="21"/>
          <w:highlight w:val="none"/>
        </w:rPr>
      </w:pPr>
      <w:r>
        <w:rPr>
          <w:rFonts w:hint="eastAsia" w:ascii="宋体" w:hAnsi="宋体" w:cs="仿宋"/>
          <w:color w:val="auto"/>
          <w:szCs w:val="21"/>
          <w:highlight w:val="none"/>
        </w:rPr>
        <w:t>注：1.投标人应附有效企业营业执照、</w:t>
      </w:r>
      <w:r>
        <w:rPr>
          <w:rFonts w:hint="eastAsia" w:ascii="宋体" w:hAnsi="宋体" w:cs="宋体"/>
          <w:color w:val="auto"/>
          <w:sz w:val="22"/>
          <w:highlight w:val="none"/>
          <w:lang w:eastAsia="zh-CN"/>
        </w:rPr>
        <w:t>ISO9001</w:t>
      </w:r>
      <w:r>
        <w:rPr>
          <w:rFonts w:ascii="宋体" w:hAnsi="宋体" w:cs="仿宋"/>
          <w:color w:val="auto"/>
          <w:szCs w:val="21"/>
          <w:highlight w:val="none"/>
        </w:rPr>
        <w:t>质量管理体系认证</w:t>
      </w:r>
      <w:r>
        <w:rPr>
          <w:rFonts w:hint="eastAsia" w:ascii="宋体" w:hAnsi="宋体" w:cs="仿宋"/>
          <w:color w:val="auto"/>
          <w:szCs w:val="21"/>
          <w:highlight w:val="none"/>
        </w:rPr>
        <w:t>证书</w:t>
      </w:r>
      <w:r>
        <w:rPr>
          <w:rFonts w:hint="eastAsia"/>
          <w:color w:val="auto"/>
          <w:highlight w:val="none"/>
        </w:rPr>
        <w:t>、</w:t>
      </w:r>
      <w:r>
        <w:rPr>
          <w:rFonts w:hint="eastAsia" w:cs="宋体" w:asciiTheme="minorEastAsia" w:hAnsiTheme="minorEastAsia"/>
          <w:color w:val="auto"/>
          <w:kern w:val="0"/>
          <w:szCs w:val="21"/>
          <w:highlight w:val="none"/>
        </w:rPr>
        <w:t>工厂检验合格证书、</w:t>
      </w:r>
      <w:r>
        <w:rPr>
          <w:rFonts w:hint="eastAsia" w:cs="宋体" w:asciiTheme="minorEastAsia" w:hAnsiTheme="minorEastAsia"/>
          <w:color w:val="auto"/>
          <w:kern w:val="0"/>
          <w:szCs w:val="21"/>
          <w:highlight w:val="none"/>
          <w:lang w:val="en-US" w:eastAsia="zh-CN"/>
        </w:rPr>
        <w:t>检测</w:t>
      </w:r>
      <w:r>
        <w:rPr>
          <w:rFonts w:hint="eastAsia" w:cs="宋体" w:asciiTheme="minorEastAsia" w:hAnsiTheme="minorEastAsia"/>
          <w:color w:val="auto"/>
          <w:kern w:val="0"/>
          <w:szCs w:val="21"/>
          <w:highlight w:val="none"/>
        </w:rPr>
        <w:t>报告、</w:t>
      </w:r>
      <w:r>
        <w:rPr>
          <w:rFonts w:hint="eastAsia"/>
          <w:color w:val="auto"/>
          <w:highlight w:val="none"/>
        </w:rPr>
        <w:t>检测机构资质证书以及</w:t>
      </w:r>
      <w:r>
        <w:rPr>
          <w:rFonts w:hint="eastAsia" w:cs="宋体" w:asciiTheme="minorEastAsia" w:hAnsiTheme="minorEastAsia"/>
          <w:color w:val="auto"/>
          <w:kern w:val="0"/>
          <w:szCs w:val="21"/>
          <w:highlight w:val="none"/>
        </w:rPr>
        <w:t>计量认证证书（CMA）</w:t>
      </w:r>
      <w:r>
        <w:rPr>
          <w:rFonts w:hint="eastAsia" w:cs="宋体" w:asciiTheme="minorEastAsia" w:hAnsiTheme="minorEastAsia"/>
          <w:color w:val="auto"/>
          <w:kern w:val="0"/>
          <w:szCs w:val="21"/>
          <w:highlight w:val="none"/>
          <w:lang w:val="en-US" w:eastAsia="zh-CN"/>
        </w:rPr>
        <w:t>或</w:t>
      </w:r>
      <w:r>
        <w:rPr>
          <w:rFonts w:hint="eastAsia" w:cs="宋体" w:asciiTheme="minorEastAsia" w:hAnsiTheme="minorEastAsia"/>
          <w:color w:val="auto"/>
          <w:kern w:val="0"/>
          <w:szCs w:val="21"/>
          <w:highlight w:val="none"/>
        </w:rPr>
        <w:t>其他相关证明资料</w:t>
      </w:r>
      <w:r>
        <w:rPr>
          <w:rFonts w:hint="eastAsia" w:ascii="宋体" w:hAnsi="宋体" w:cs="仿宋"/>
          <w:color w:val="auto"/>
          <w:szCs w:val="21"/>
          <w:highlight w:val="none"/>
        </w:rPr>
        <w:t>复印件均需加盖投标单位公章。</w:t>
      </w:r>
    </w:p>
    <w:p>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2.资质条件所填表格具体见第六章第五款中《基本情况表》</w:t>
      </w:r>
    </w:p>
    <w:p>
      <w:pPr>
        <w:rPr>
          <w:rFonts w:ascii="宋体" w:hAnsi="宋体" w:cs="仿宋"/>
          <w:color w:val="auto"/>
          <w:sz w:val="24"/>
          <w:szCs w:val="24"/>
          <w:highlight w:val="none"/>
        </w:rPr>
      </w:pPr>
    </w:p>
    <w:p>
      <w:pPr>
        <w:widowControl/>
        <w:spacing w:line="276" w:lineRule="auto"/>
        <w:jc w:val="center"/>
        <w:rPr>
          <w:rFonts w:ascii="宋体" w:hAnsi="宋体"/>
          <w:b/>
          <w:bCs/>
          <w:color w:val="auto"/>
          <w:sz w:val="24"/>
          <w:szCs w:val="24"/>
          <w:highlight w:val="none"/>
        </w:rPr>
      </w:pPr>
      <w:r>
        <w:rPr>
          <w:rFonts w:ascii="宋体" w:hAnsi="宋体"/>
          <w:b/>
          <w:bCs/>
          <w:color w:val="auto"/>
          <w:sz w:val="24"/>
          <w:szCs w:val="24"/>
          <w:highlight w:val="none"/>
        </w:rPr>
        <w:t>附录</w:t>
      </w:r>
      <w:r>
        <w:rPr>
          <w:rFonts w:hint="eastAsia" w:ascii="宋体" w:hAnsi="宋体"/>
          <w:b/>
          <w:bCs/>
          <w:color w:val="auto"/>
          <w:sz w:val="24"/>
          <w:szCs w:val="24"/>
          <w:highlight w:val="none"/>
        </w:rPr>
        <w:t>2财务</w:t>
      </w:r>
      <w:r>
        <w:rPr>
          <w:rFonts w:ascii="宋体" w:hAnsi="宋体"/>
          <w:b/>
          <w:bCs/>
          <w:color w:val="auto"/>
          <w:sz w:val="24"/>
          <w:szCs w:val="24"/>
          <w:highlight w:val="none"/>
        </w:rPr>
        <w:t>要求</w:t>
      </w:r>
    </w:p>
    <w:p>
      <w:pPr>
        <w:widowControl/>
        <w:spacing w:line="276" w:lineRule="auto"/>
        <w:jc w:val="center"/>
        <w:rPr>
          <w:rFonts w:ascii="宋体" w:hAnsi="宋体"/>
          <w:b/>
          <w:bCs/>
          <w:color w:val="auto"/>
          <w:sz w:val="24"/>
          <w:szCs w:val="24"/>
          <w:highlight w:val="none"/>
        </w:rPr>
      </w:pPr>
    </w:p>
    <w:tbl>
      <w:tblPr>
        <w:tblStyle w:val="34"/>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675" w:type="dxa"/>
            <w:vAlign w:val="center"/>
          </w:tcPr>
          <w:p>
            <w:pPr>
              <w:autoSpaceDE w:val="0"/>
              <w:autoSpaceDN w:val="0"/>
              <w:adjustRightInd w:val="0"/>
              <w:jc w:val="center"/>
              <w:rPr>
                <w:rFonts w:ascii="宋体" w:hAnsi="宋体" w:cs="仿宋"/>
                <w:color w:val="auto"/>
                <w:sz w:val="24"/>
                <w:szCs w:val="24"/>
                <w:highlight w:val="none"/>
              </w:rPr>
            </w:pPr>
            <w:r>
              <w:rPr>
                <w:rFonts w:hint="eastAsia" w:cs="宋体" w:asciiTheme="minorEastAsia" w:hAnsiTheme="minorEastAsia"/>
                <w:b/>
                <w:color w:val="auto"/>
                <w:kern w:val="0"/>
                <w:sz w:val="24"/>
                <w:szCs w:val="24"/>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9675" w:type="dxa"/>
            <w:tcBorders>
              <w:bottom w:val="single" w:color="000000" w:sz="4" w:space="0"/>
            </w:tcBorders>
            <w:vAlign w:val="center"/>
          </w:tcPr>
          <w:p>
            <w:pPr>
              <w:spacing w:line="360" w:lineRule="auto"/>
              <w:rPr>
                <w:rFonts w:ascii="宋体" w:hAnsi="宋体" w:cs="仿宋"/>
                <w:color w:val="auto"/>
                <w:sz w:val="24"/>
                <w:szCs w:val="24"/>
                <w:highlight w:val="none"/>
              </w:rPr>
            </w:pPr>
            <w:r>
              <w:rPr>
                <w:rFonts w:hint="eastAsia" w:ascii="宋体" w:hAnsi="宋体" w:eastAsia="宋体" w:cs="宋体"/>
                <w:color w:val="auto"/>
                <w:sz w:val="22"/>
                <w:szCs w:val="22"/>
                <w:highlight w:val="none"/>
              </w:rPr>
              <w:t>提供近三年（2017年至2019年）经审计的财务报表，若投标人由于成立日期（以营业执照中成立日期为准）的原因，无法提供近三年（2017年至2019年）中相应年份的财务报表，则投标人需提供自成立之日起的所有年份经审计的财务报表且所提供的财务报表应满足资格审查条件；2019年资金流动比率（流动资产/流动负债×100%）大于1。</w:t>
            </w:r>
          </w:p>
        </w:tc>
      </w:tr>
    </w:tbl>
    <w:p>
      <w:pPr>
        <w:pStyle w:val="89"/>
        <w:widowControl/>
        <w:spacing w:line="276" w:lineRule="auto"/>
        <w:ind w:firstLine="0" w:firstLineChars="0"/>
        <w:rPr>
          <w:rFonts w:ascii="宋体" w:hAnsi="宋体" w:cs="仿宋"/>
          <w:color w:val="auto"/>
          <w:szCs w:val="21"/>
          <w:highlight w:val="none"/>
        </w:rPr>
      </w:pPr>
      <w:r>
        <w:rPr>
          <w:rFonts w:hint="eastAsia" w:ascii="宋体" w:hAnsi="宋体" w:cs="仿宋"/>
          <w:color w:val="auto"/>
          <w:szCs w:val="21"/>
          <w:highlight w:val="none"/>
        </w:rPr>
        <w:t>注：投标人应附（2017年-2019年）年度经会计师事务所或审计机构审计的财务会计报表，包括资产负债表、现金流量表、利润表和财务情况说明书的复印件，所有资料均需加盖投标单位公章。</w:t>
      </w:r>
    </w:p>
    <w:p>
      <w:pPr>
        <w:widowControl/>
        <w:spacing w:before="120" w:beforeLines="50" w:line="276" w:lineRule="auto"/>
        <w:jc w:val="center"/>
        <w:rPr>
          <w:rFonts w:ascii="宋体" w:hAnsi="宋体"/>
          <w:b/>
          <w:bCs/>
          <w:color w:val="auto"/>
          <w:sz w:val="24"/>
          <w:szCs w:val="24"/>
          <w:highlight w:val="none"/>
        </w:rPr>
      </w:pPr>
      <w:r>
        <w:rPr>
          <w:rFonts w:hint="eastAsia" w:ascii="宋体" w:hAnsi="宋体"/>
          <w:b/>
          <w:bCs/>
          <w:color w:val="auto"/>
          <w:sz w:val="24"/>
          <w:szCs w:val="24"/>
          <w:highlight w:val="none"/>
        </w:rPr>
        <w:t>附录3: 业绩要求</w:t>
      </w:r>
    </w:p>
    <w:tbl>
      <w:tblPr>
        <w:tblStyle w:val="35"/>
        <w:tblpPr w:leftFromText="180" w:rightFromText="180" w:vertAnchor="text" w:horzAnchor="page" w:tblpXSpec="center" w:tblpY="352"/>
        <w:tblOverlap w:val="never"/>
        <w:tblW w:w="960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5" w:hRule="atLeast"/>
          <w:jc w:val="center"/>
        </w:trPr>
        <w:tc>
          <w:tcPr>
            <w:tcW w:w="9600" w:type="dxa"/>
            <w:vAlign w:val="center"/>
          </w:tcPr>
          <w:p>
            <w:pPr>
              <w:autoSpaceDE w:val="0"/>
              <w:autoSpaceDN w:val="0"/>
              <w:adjustRightInd w:val="0"/>
              <w:jc w:val="center"/>
              <w:rPr>
                <w:rFonts w:cs="宋体" w:asciiTheme="minorEastAsia" w:hAnsiTheme="minorEastAsia"/>
                <w:color w:val="auto"/>
                <w:kern w:val="0"/>
                <w:sz w:val="24"/>
                <w:szCs w:val="24"/>
                <w:highlight w:val="none"/>
              </w:rPr>
            </w:pPr>
            <w:r>
              <w:rPr>
                <w:rFonts w:hint="eastAsia" w:cs="宋体" w:asciiTheme="minorEastAsia" w:hAnsiTheme="minorEastAsia"/>
                <w:b/>
                <w:color w:val="auto"/>
                <w:kern w:val="0"/>
                <w:sz w:val="24"/>
                <w:szCs w:val="24"/>
                <w:highlight w:val="none"/>
              </w:rPr>
              <w:t>业绩要求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2" w:hRule="atLeast"/>
          <w:jc w:val="center"/>
        </w:trPr>
        <w:tc>
          <w:tcPr>
            <w:tcW w:w="9600" w:type="dxa"/>
            <w:vAlign w:val="center"/>
          </w:tcPr>
          <w:p>
            <w:pPr>
              <w:autoSpaceDE w:val="0"/>
              <w:autoSpaceDN w:val="0"/>
              <w:adjustRightInd w:val="0"/>
              <w:spacing w:line="360" w:lineRule="auto"/>
              <w:jc w:val="left"/>
              <w:rPr>
                <w:rFonts w:cs="宋体" w:asciiTheme="minorEastAsia" w:hAnsiTheme="minorEastAsia"/>
                <w:color w:val="auto"/>
                <w:kern w:val="0"/>
                <w:sz w:val="24"/>
                <w:szCs w:val="24"/>
                <w:highlight w:val="none"/>
              </w:rPr>
            </w:pPr>
            <w:r>
              <w:rPr>
                <w:rFonts w:hint="eastAsia" w:cs="宋体" w:asciiTheme="minorEastAsia" w:hAnsiTheme="minorEastAsia"/>
                <w:color w:val="auto"/>
                <w:sz w:val="22"/>
                <w:szCs w:val="22"/>
                <w:highlight w:val="none"/>
              </w:rPr>
              <w:t>本项目对业绩不做强制性要求。</w:t>
            </w:r>
          </w:p>
        </w:tc>
      </w:tr>
    </w:tbl>
    <w:p>
      <w:pPr>
        <w:widowControl/>
        <w:spacing w:line="276" w:lineRule="auto"/>
        <w:jc w:val="center"/>
        <w:rPr>
          <w:rFonts w:hint="eastAsia" w:ascii="宋体" w:hAnsi="宋体"/>
          <w:b/>
          <w:bCs/>
          <w:color w:val="auto"/>
          <w:sz w:val="24"/>
          <w:szCs w:val="24"/>
          <w:highlight w:val="none"/>
        </w:rPr>
      </w:pPr>
    </w:p>
    <w:p>
      <w:pPr>
        <w:widowControl/>
        <w:spacing w:line="276" w:lineRule="auto"/>
        <w:jc w:val="center"/>
        <w:rPr>
          <w:rFonts w:ascii="宋体" w:hAnsi="宋体"/>
          <w:b/>
          <w:bCs/>
          <w:color w:val="auto"/>
          <w:sz w:val="24"/>
          <w:szCs w:val="24"/>
          <w:highlight w:val="none"/>
        </w:rPr>
      </w:pPr>
      <w:r>
        <w:rPr>
          <w:rFonts w:hint="eastAsia" w:ascii="宋体" w:hAnsi="宋体"/>
          <w:b/>
          <w:bCs/>
          <w:color w:val="auto"/>
          <w:sz w:val="24"/>
          <w:szCs w:val="24"/>
          <w:highlight w:val="none"/>
        </w:rPr>
        <w:t>附录4: 信誉要求</w:t>
      </w:r>
    </w:p>
    <w:tbl>
      <w:tblPr>
        <w:tblStyle w:val="35"/>
        <w:tblpPr w:leftFromText="180" w:rightFromText="180" w:vertAnchor="text" w:horzAnchor="page" w:tblpXSpec="center" w:tblpY="352"/>
        <w:tblOverlap w:val="never"/>
        <w:tblW w:w="977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jc w:val="center"/>
        </w:trPr>
        <w:tc>
          <w:tcPr>
            <w:tcW w:w="9779" w:type="dxa"/>
            <w:vAlign w:val="center"/>
          </w:tcPr>
          <w:p>
            <w:pPr>
              <w:autoSpaceDE w:val="0"/>
              <w:autoSpaceDN w:val="0"/>
              <w:adjustRightInd w:val="0"/>
              <w:jc w:val="center"/>
              <w:rPr>
                <w:rFonts w:cs="宋体" w:asciiTheme="minorEastAsia" w:hAnsiTheme="minorEastAsia"/>
                <w:color w:val="auto"/>
                <w:kern w:val="0"/>
                <w:sz w:val="24"/>
                <w:szCs w:val="24"/>
                <w:highlight w:val="none"/>
              </w:rPr>
            </w:pPr>
            <w:r>
              <w:rPr>
                <w:rFonts w:hint="eastAsia" w:cs="宋体" w:asciiTheme="minorEastAsia" w:hAnsiTheme="minorEastAsia"/>
                <w:b/>
                <w:color w:val="auto"/>
                <w:kern w:val="0"/>
                <w:sz w:val="24"/>
                <w:szCs w:val="24"/>
                <w:highlight w:val="none"/>
              </w:rPr>
              <w:t>信誉要求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67" w:hRule="atLeast"/>
          <w:jc w:val="center"/>
        </w:trPr>
        <w:tc>
          <w:tcPr>
            <w:tcW w:w="9779" w:type="dxa"/>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（1）在国家企业信用信息公示系统（www.gsxt.gov.cn）中被列入严重违法失信企业名单的投标人，不得参加投标；</w:t>
            </w:r>
            <w:r>
              <w:rPr>
                <w:rFonts w:hint="eastAsia" w:ascii="Times New Roman" w:hAnsi="Times New Roman"/>
                <w:color w:val="auto"/>
                <w:sz w:val="22"/>
                <w:szCs w:val="22"/>
                <w:highlight w:val="none"/>
              </w:rPr>
              <w:t>（须提供网站查询结果截图）</w:t>
            </w:r>
          </w:p>
          <w:p>
            <w:pPr>
              <w:spacing w:line="360" w:lineRule="auto"/>
              <w:rPr>
                <w:rFonts w:ascii="Times New Roman" w:hAnsi="Times New Roman"/>
                <w:color w:val="auto"/>
                <w:sz w:val="22"/>
                <w:szCs w:val="22"/>
                <w:highlight w:val="none"/>
              </w:rPr>
            </w:pPr>
            <w:r>
              <w:rPr>
                <w:rFonts w:hint="eastAsia" w:ascii="宋体" w:hAnsi="宋体" w:cs="宋体"/>
                <w:color w:val="auto"/>
                <w:sz w:val="22"/>
                <w:szCs w:val="22"/>
                <w:highlight w:val="none"/>
              </w:rPr>
              <w:t>（2）在“信用中国”网站（www.creditchina.gov.cn）中被列入失信被执行人名单的投标人，不得参加投标。</w:t>
            </w:r>
            <w:r>
              <w:rPr>
                <w:rFonts w:hint="eastAsia" w:ascii="Times New Roman" w:hAnsi="Times New Roman"/>
                <w:color w:val="auto"/>
                <w:sz w:val="22"/>
                <w:szCs w:val="22"/>
                <w:highlight w:val="none"/>
              </w:rPr>
              <w:t>（须提供网站查询结果截图）</w:t>
            </w:r>
          </w:p>
          <w:p>
            <w:pPr>
              <w:spacing w:line="360" w:lineRule="auto"/>
              <w:rPr>
                <w:color w:val="auto"/>
                <w:highlight w:val="none"/>
              </w:rPr>
            </w:pPr>
            <w:r>
              <w:rPr>
                <w:rFonts w:hint="eastAsia" w:ascii="宋体" w:hAnsi="宋体" w:cs="宋体"/>
                <w:color w:val="auto"/>
                <w:sz w:val="22"/>
                <w:szCs w:val="22"/>
                <w:highlight w:val="none"/>
              </w:rPr>
              <w:t>（3）近三年内（2017年至今）未发生合同供货履约方面或产品质量方面的诉讼或仲裁案件。（须提供中国裁判文书网（www.wenshu.com/）查询结果截图）</w:t>
            </w:r>
          </w:p>
        </w:tc>
      </w:tr>
    </w:tbl>
    <w:p>
      <w:pPr>
        <w:spacing w:line="360" w:lineRule="auto"/>
        <w:rPr>
          <w:rFonts w:hint="eastAsia"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注：信誉要求截图资料均需加盖投标单位公章。</w:t>
      </w:r>
    </w:p>
    <w:p>
      <w:pPr>
        <w:widowControl/>
        <w:spacing w:line="276" w:lineRule="auto"/>
        <w:jc w:val="center"/>
        <w:rPr>
          <w:rFonts w:ascii="宋体" w:hAnsi="宋体"/>
          <w:b/>
          <w:bCs/>
          <w:color w:val="auto"/>
          <w:sz w:val="24"/>
          <w:szCs w:val="24"/>
          <w:highlight w:val="none"/>
        </w:rPr>
      </w:pPr>
    </w:p>
    <w:p>
      <w:pPr>
        <w:jc w:val="center"/>
        <w:rPr>
          <w:rFonts w:ascii="宋体" w:hAnsi="宋体"/>
          <w:b/>
          <w:bCs/>
          <w:color w:val="auto"/>
          <w:sz w:val="24"/>
          <w:szCs w:val="24"/>
          <w:highlight w:val="none"/>
        </w:rPr>
      </w:pPr>
      <w:r>
        <w:rPr>
          <w:rFonts w:hint="eastAsia" w:ascii="宋体" w:hAnsi="宋体"/>
          <w:b/>
          <w:bCs/>
          <w:color w:val="auto"/>
          <w:sz w:val="24"/>
          <w:szCs w:val="24"/>
          <w:highlight w:val="none"/>
        </w:rPr>
        <w:t>附录5: 其他要求</w:t>
      </w:r>
    </w:p>
    <w:tbl>
      <w:tblPr>
        <w:tblStyle w:val="35"/>
        <w:tblpPr w:leftFromText="180" w:rightFromText="180" w:vertAnchor="text" w:horzAnchor="page" w:tblpXSpec="center" w:tblpY="352"/>
        <w:tblOverlap w:val="never"/>
        <w:tblW w:w="981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810" w:type="dxa"/>
            <w:vAlign w:val="center"/>
          </w:tcPr>
          <w:p>
            <w:pPr>
              <w:autoSpaceDE w:val="0"/>
              <w:autoSpaceDN w:val="0"/>
              <w:adjustRightInd w:val="0"/>
              <w:jc w:val="center"/>
              <w:rPr>
                <w:rFonts w:cs="宋体" w:asciiTheme="minorEastAsia" w:hAnsiTheme="minorEastAsia"/>
                <w:color w:val="auto"/>
                <w:kern w:val="0"/>
                <w:sz w:val="24"/>
                <w:szCs w:val="24"/>
                <w:highlight w:val="none"/>
              </w:rPr>
            </w:pPr>
            <w:r>
              <w:rPr>
                <w:rFonts w:hint="eastAsia" w:cs="宋体" w:asciiTheme="minorEastAsia" w:hAnsiTheme="minorEastAsia"/>
                <w:b/>
                <w:color w:val="auto"/>
                <w:kern w:val="0"/>
                <w:sz w:val="24"/>
                <w:szCs w:val="24"/>
                <w:highlight w:val="none"/>
              </w:rPr>
              <w:t>其他要求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8" w:hRule="atLeast"/>
          <w:jc w:val="center"/>
        </w:trPr>
        <w:tc>
          <w:tcPr>
            <w:tcW w:w="9810" w:type="dxa"/>
            <w:vAlign w:val="center"/>
          </w:tcPr>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 与招标人存在利害关系可能影响招标公正性的法人、其他组织或者个人，不得参加投标。投标单位负责人为同一人或者存在控股、管理关系的不同单位，不得同时参加投标，否则相关投标均无效。</w:t>
            </w:r>
          </w:p>
          <w:p>
            <w:pPr>
              <w:spacing w:line="360" w:lineRule="auto"/>
              <w:rPr>
                <w:rFonts w:hint="eastAsia"/>
                <w:color w:val="auto"/>
                <w:highlight w:val="none"/>
                <w:lang w:val="en-US" w:eastAsia="zh-CN"/>
              </w:rPr>
            </w:pPr>
            <w:r>
              <w:rPr>
                <w:rFonts w:hint="eastAsia" w:ascii="宋体" w:hAnsi="宋体" w:cs="宋体"/>
                <w:color w:val="auto"/>
                <w:sz w:val="22"/>
                <w:szCs w:val="22"/>
                <w:highlight w:val="none"/>
              </w:rPr>
              <w:t>（2） 本次招标采取资格后审方式，不允许分包和转包。</w:t>
            </w:r>
          </w:p>
        </w:tc>
      </w:tr>
    </w:tbl>
    <w:p>
      <w:pPr>
        <w:pStyle w:val="2"/>
        <w:rPr>
          <w:highlight w:val="none"/>
        </w:rPr>
      </w:pPr>
    </w:p>
    <w:p>
      <w:pPr>
        <w:widowControl/>
        <w:spacing w:line="360" w:lineRule="auto"/>
        <w:jc w:val="left"/>
        <w:rPr>
          <w:rFonts w:ascii="Times New Roman" w:hAnsi="Times New Roman"/>
          <w:highlight w:val="none"/>
        </w:rPr>
      </w:pPr>
      <w:bookmarkStart w:id="1" w:name="_Toc26816"/>
      <w:bookmarkStart w:id="2" w:name="_Toc492288387"/>
      <w:r>
        <w:rPr>
          <w:rFonts w:ascii="Times New Roman" w:hAnsi="Times New Roman"/>
          <w:highlight w:val="none"/>
        </w:rPr>
        <w:br w:type="page"/>
      </w:r>
    </w:p>
    <w:bookmarkEnd w:id="1"/>
    <w:bookmarkEnd w:id="2"/>
    <w:p>
      <w:pPr>
        <w:pStyle w:val="3"/>
        <w:spacing w:before="0" w:after="0" w:line="360" w:lineRule="auto"/>
        <w:jc w:val="left"/>
        <w:rPr>
          <w:b/>
          <w:bCs/>
          <w:sz w:val="32"/>
          <w:szCs w:val="32"/>
          <w:highlight w:val="none"/>
        </w:rPr>
      </w:pPr>
      <w:bookmarkStart w:id="3" w:name="_Toc7778"/>
      <w:bookmarkStart w:id="4" w:name="_Toc509308306"/>
      <w:bookmarkStart w:id="5" w:name="_Toc511393323"/>
      <w:r>
        <w:rPr>
          <w:rFonts w:hint="eastAsia"/>
          <w:b/>
          <w:bCs/>
          <w:sz w:val="32"/>
          <w:szCs w:val="32"/>
          <w:highlight w:val="none"/>
          <w:lang w:eastAsia="zh-CN"/>
        </w:rPr>
        <w:t>附件</w:t>
      </w:r>
      <w:r>
        <w:rPr>
          <w:rFonts w:hint="eastAsia"/>
          <w:b/>
          <w:bCs/>
          <w:sz w:val="32"/>
          <w:szCs w:val="32"/>
          <w:highlight w:val="none"/>
          <w:lang w:val="en-US" w:eastAsia="zh-CN"/>
        </w:rPr>
        <w:t>2：</w:t>
      </w:r>
      <w:r>
        <w:rPr>
          <w:rFonts w:hint="eastAsia"/>
          <w:b/>
          <w:bCs/>
          <w:sz w:val="32"/>
          <w:szCs w:val="32"/>
          <w:highlight w:val="none"/>
        </w:rPr>
        <w:t>评标办法</w:t>
      </w:r>
      <w:bookmarkEnd w:id="3"/>
    </w:p>
    <w:p>
      <w:pPr>
        <w:pStyle w:val="4"/>
        <w:spacing w:before="0" w:after="0" w:line="360" w:lineRule="auto"/>
        <w:jc w:val="center"/>
        <w:rPr>
          <w:rFonts w:hint="eastAsia" w:ascii="黑体" w:hAnsi="黑体" w:cs="黑体"/>
          <w:b w:val="0"/>
          <w:sz w:val="28"/>
          <w:szCs w:val="28"/>
          <w:highlight w:val="none"/>
        </w:rPr>
      </w:pPr>
      <w:bookmarkStart w:id="6" w:name="_Toc17906"/>
      <w:r>
        <w:rPr>
          <w:rFonts w:hint="eastAsia"/>
          <w:b w:val="0"/>
          <w:sz w:val="32"/>
          <w:szCs w:val="32"/>
          <w:highlight w:val="none"/>
        </w:rPr>
        <w:t>评标</w:t>
      </w:r>
      <w:r>
        <w:rPr>
          <w:rFonts w:hint="eastAsia" w:cs="Times New Roman"/>
          <w:b w:val="0"/>
          <w:sz w:val="32"/>
          <w:szCs w:val="32"/>
          <w:highlight w:val="none"/>
        </w:rPr>
        <w:t>办法（综合评估法）</w:t>
      </w:r>
    </w:p>
    <w:bookmarkEnd w:id="4"/>
    <w:bookmarkEnd w:id="5"/>
    <w:bookmarkEnd w:id="6"/>
    <w:p>
      <w:pPr>
        <w:pStyle w:val="5"/>
        <w:spacing w:before="0" w:after="0" w:line="360" w:lineRule="auto"/>
        <w:ind w:firstLine="137"/>
        <w:jc w:val="center"/>
        <w:rPr>
          <w:rFonts w:hAnsi="黑体" w:cs="黑体"/>
          <w:color w:val="auto"/>
          <w:szCs w:val="28"/>
          <w:highlight w:val="none"/>
        </w:rPr>
      </w:pPr>
      <w:bookmarkStart w:id="7" w:name="_Toc24363"/>
      <w:bookmarkStart w:id="8" w:name="_Toc511393324"/>
      <w:r>
        <w:rPr>
          <w:rFonts w:hint="eastAsia" w:hAnsi="黑体" w:cs="黑体"/>
          <w:color w:val="auto"/>
          <w:szCs w:val="28"/>
          <w:highlight w:val="none"/>
        </w:rPr>
        <w:t>评标办法前附表</w:t>
      </w:r>
      <w:bookmarkEnd w:id="7"/>
    </w:p>
    <w:p>
      <w:pPr>
        <w:ind w:firstLine="420" w:firstLineChars="200"/>
        <w:rPr>
          <w:rFonts w:ascii="黑体" w:hAnsi="黑体" w:eastAsia="黑体" w:cs="黑体"/>
          <w:color w:val="auto"/>
          <w:highlight w:val="none"/>
        </w:rPr>
      </w:pPr>
      <w:r>
        <w:rPr>
          <w:rFonts w:hint="eastAsia" w:ascii="黑体" w:hAnsi="黑体" w:eastAsia="黑体" w:cs="黑体"/>
          <w:color w:val="auto"/>
          <w:highlight w:val="none"/>
        </w:rPr>
        <w:t>本次招标将所有资格审查标准、否决投标情形以及评标标准方法等在此集中，未集中的其他内容均不得作为重大偏差、否决投标或评标依据。</w:t>
      </w:r>
    </w:p>
    <w:tbl>
      <w:tblPr>
        <w:tblStyle w:val="34"/>
        <w:tblW w:w="107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2"/>
        <w:gridCol w:w="1030"/>
        <w:gridCol w:w="1527"/>
        <w:gridCol w:w="7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2"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highlight w:val="none"/>
              </w:rPr>
            </w:pPr>
            <w:r>
              <w:rPr>
                <w:rFonts w:hint="eastAsia" w:ascii="Times New Roman" w:hAnsi="Times New Roman"/>
                <w:b/>
                <w:highlight w:val="none"/>
              </w:rPr>
              <w:t>条款号</w:t>
            </w:r>
          </w:p>
        </w:tc>
        <w:tc>
          <w:tcPr>
            <w:tcW w:w="15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highlight w:val="none"/>
              </w:rPr>
            </w:pPr>
            <w:r>
              <w:rPr>
                <w:rFonts w:hint="eastAsia" w:ascii="Times New Roman" w:hAnsi="Times New Roman"/>
                <w:b/>
                <w:highlight w:val="none"/>
              </w:rPr>
              <w:t>评审因素</w:t>
            </w:r>
          </w:p>
        </w:tc>
        <w:tc>
          <w:tcPr>
            <w:tcW w:w="7380" w:type="dxa"/>
            <w:tcBorders>
              <w:top w:val="single" w:color="auto" w:sz="4" w:space="0"/>
              <w:left w:val="single" w:color="auto" w:sz="4" w:space="0"/>
              <w:bottom w:val="single" w:color="auto" w:sz="4" w:space="0"/>
            </w:tcBorders>
            <w:vAlign w:val="center"/>
          </w:tcPr>
          <w:p>
            <w:pPr>
              <w:spacing w:line="440" w:lineRule="exact"/>
              <w:jc w:val="center"/>
              <w:rPr>
                <w:rFonts w:ascii="Times New Roman" w:hAnsi="Times New Roman"/>
                <w:b/>
                <w:highlight w:val="none"/>
              </w:rPr>
            </w:pPr>
            <w:r>
              <w:rPr>
                <w:rFonts w:hint="eastAsia" w:ascii="Times New Roman" w:hAnsi="Times New Roman"/>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jc w:val="center"/>
        </w:trPr>
        <w:tc>
          <w:tcPr>
            <w:tcW w:w="772" w:type="dxa"/>
            <w:vMerge w:val="restart"/>
            <w:tcBorders>
              <w:top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1</w:t>
            </w:r>
          </w:p>
        </w:tc>
        <w:tc>
          <w:tcPr>
            <w:tcW w:w="103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评标方法</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highlight w:val="none"/>
              </w:rPr>
            </w:pPr>
            <w:r>
              <w:rPr>
                <w:rFonts w:hint="eastAsia" w:ascii="Times New Roman" w:hAnsi="Times New Roman"/>
                <w:highlight w:val="none"/>
              </w:rPr>
              <w:t>中标候选人排序方法</w:t>
            </w:r>
          </w:p>
        </w:tc>
        <w:tc>
          <w:tcPr>
            <w:tcW w:w="7380"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highlight w:val="none"/>
              </w:rPr>
            </w:pPr>
            <w:r>
              <w:rPr>
                <w:rFonts w:ascii="Times New Roman" w:hAnsi="Times New Roman"/>
                <w:highlight w:val="none"/>
              </w:rPr>
              <w:t>评标委员会将按照综合评审得分由高到的低顺序推荐中标候选人，推荐排序第一名的投标人为第一中标候选人，推荐排序第二、三名的投标人分别为第二、三中标候选人。综合评分相等时，以投标报价低的优先；投标报价也相等的，以技术得分高的优先；如果技术得分也相等，以类似项目业绩累计金额之和高的排名靠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9" w:hRule="atLeast"/>
          <w:jc w:val="center"/>
        </w:trPr>
        <w:tc>
          <w:tcPr>
            <w:tcW w:w="772" w:type="dxa"/>
            <w:vMerge w:val="continue"/>
            <w:tcBorders>
              <w:bottom w:val="single" w:color="auto" w:sz="4" w:space="0"/>
              <w:right w:val="single" w:color="auto" w:sz="4" w:space="0"/>
            </w:tcBorders>
            <w:vAlign w:val="center"/>
          </w:tcPr>
          <w:p>
            <w:pPr>
              <w:spacing w:line="440" w:lineRule="exact"/>
              <w:jc w:val="center"/>
              <w:rPr>
                <w:rFonts w:ascii="Times New Roman" w:hAnsi="Times New Roman"/>
                <w:highlight w:val="none"/>
              </w:rPr>
            </w:pPr>
          </w:p>
        </w:tc>
        <w:tc>
          <w:tcPr>
            <w:tcW w:w="103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highlight w:val="none"/>
              </w:rPr>
            </w:pPr>
            <w:r>
              <w:rPr>
                <w:rFonts w:hint="eastAsia" w:ascii="Times New Roman" w:hAnsi="Times New Roman"/>
                <w:highlight w:val="none"/>
              </w:rPr>
              <w:t>评标程序</w:t>
            </w:r>
          </w:p>
        </w:tc>
        <w:tc>
          <w:tcPr>
            <w:tcW w:w="7380"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highlight w:val="none"/>
              </w:rPr>
            </w:pPr>
            <w:r>
              <w:rPr>
                <w:rFonts w:hint="eastAsia" w:ascii="Times New Roman" w:hAnsi="Times New Roman"/>
                <w:highlight w:val="none"/>
              </w:rPr>
              <w:t>第一个信封形式评审：见2.1.1款。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highlight w:val="none"/>
              </w:rPr>
            </w:pPr>
            <w:r>
              <w:rPr>
                <w:rFonts w:hint="eastAsia" w:ascii="Times New Roman" w:hAnsi="Times New Roman"/>
                <w:highlight w:val="none"/>
              </w:rPr>
              <w:t>第一个信封资格评审：见2.1.2款。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highlight w:val="none"/>
              </w:rPr>
            </w:pPr>
            <w:r>
              <w:rPr>
                <w:rFonts w:hint="eastAsia" w:ascii="Times New Roman" w:hAnsi="Times New Roman"/>
                <w:highlight w:val="none"/>
              </w:rPr>
              <w:t>第一个信封响应性评审：见2.1.3款。</w:t>
            </w:r>
          </w:p>
          <w:p>
            <w:pPr>
              <w:keepNext w:val="0"/>
              <w:keepLines w:val="0"/>
              <w:pageBreakBefore w:val="0"/>
              <w:widowControl w:val="0"/>
              <w:kinsoku/>
              <w:wordWrap/>
              <w:overflowPunct/>
              <w:topLinePunct w:val="0"/>
              <w:autoSpaceDE/>
              <w:autoSpaceDN/>
              <w:bidi w:val="0"/>
              <w:adjustRightInd/>
              <w:snapToGrid/>
              <w:spacing w:line="400" w:lineRule="exact"/>
              <w:ind w:left="2520" w:hanging="2520" w:hangingChars="1200"/>
              <w:jc w:val="left"/>
              <w:textAlignment w:val="auto"/>
              <w:rPr>
                <w:rFonts w:ascii="Times New Roman" w:hAnsi="Times New Roman"/>
                <w:highlight w:val="none"/>
              </w:rPr>
            </w:pPr>
            <w:r>
              <w:rPr>
                <w:rFonts w:hint="eastAsia" w:ascii="Times New Roman" w:hAnsi="Times New Roman"/>
                <w:highlight w:val="none"/>
              </w:rPr>
              <w:t>第一个信封详细评审：见2.2.4（1）、2.2.4（2）、2.2.4（4）款。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highlight w:val="none"/>
              </w:rPr>
            </w:pPr>
            <w:r>
              <w:rPr>
                <w:rFonts w:hint="eastAsia" w:ascii="Times New Roman" w:hAnsi="Times New Roman"/>
                <w:highlight w:val="none"/>
              </w:rPr>
              <w:t>第二个信封开标：对通过投标文件第一个信封（商务及技术文件）评审的投标文件第二个信封（报价文件）进行开标。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highlight w:val="none"/>
              </w:rPr>
            </w:pPr>
            <w:r>
              <w:rPr>
                <w:rFonts w:hint="eastAsia" w:ascii="Times New Roman" w:hAnsi="Times New Roman"/>
                <w:highlight w:val="none"/>
              </w:rPr>
              <w:t>第二个信封形式评审：见2.1.1款。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highlight w:val="none"/>
              </w:rPr>
            </w:pPr>
            <w:r>
              <w:rPr>
                <w:rFonts w:hint="eastAsia" w:ascii="Times New Roman" w:hAnsi="Times New Roman"/>
                <w:highlight w:val="none"/>
              </w:rPr>
              <w:t>第二个信封详细评审：见2.2.4（3）款。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highlight w:val="none"/>
              </w:rPr>
            </w:pPr>
            <w:r>
              <w:rPr>
                <w:rFonts w:hint="eastAsia" w:ascii="Times New Roman" w:hAnsi="Times New Roman"/>
                <w:highlight w:val="none"/>
              </w:rPr>
              <w:t>综合得分排序并推荐中标候选人。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6" w:hRule="atLeast"/>
          <w:jc w:val="center"/>
        </w:trPr>
        <w:tc>
          <w:tcPr>
            <w:tcW w:w="772" w:type="dxa"/>
            <w:vMerge w:val="restart"/>
            <w:tcBorders>
              <w:top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2.1.1</w:t>
            </w:r>
          </w:p>
        </w:tc>
        <w:tc>
          <w:tcPr>
            <w:tcW w:w="1030" w:type="dxa"/>
            <w:vMerge w:val="restart"/>
            <w:tcBorders>
              <w:top w:val="single" w:color="auto" w:sz="4" w:space="0"/>
              <w:left w:val="single" w:color="auto" w:sz="4" w:space="0"/>
              <w:right w:val="single" w:color="auto" w:sz="4" w:space="0"/>
            </w:tcBorders>
            <w:vAlign w:val="center"/>
          </w:tcPr>
          <w:p>
            <w:pPr>
              <w:spacing w:line="380" w:lineRule="atLeast"/>
              <w:rPr>
                <w:rFonts w:ascii="Times New Roman" w:hAnsi="Times New Roman"/>
                <w:highlight w:val="none"/>
              </w:rPr>
            </w:pPr>
            <w:r>
              <w:rPr>
                <w:rFonts w:hint="eastAsia" w:ascii="Times New Roman" w:hAnsi="Times New Roman"/>
                <w:strike w:val="0"/>
                <w:dstrike w:val="0"/>
                <w:color w:val="auto"/>
                <w:highlight w:val="none"/>
              </w:rPr>
              <w:t>第一个信封（商务及</w:t>
            </w:r>
            <w:r>
              <w:rPr>
                <w:rFonts w:ascii="Times New Roman" w:hAnsi="Times New Roman"/>
                <w:strike w:val="0"/>
                <w:dstrike w:val="0"/>
                <w:color w:val="auto"/>
                <w:highlight w:val="none"/>
              </w:rPr>
              <w:t>技术文件</w:t>
            </w:r>
            <w:r>
              <w:rPr>
                <w:rFonts w:hint="eastAsia" w:ascii="Times New Roman" w:hAnsi="Times New Roman"/>
                <w:strike w:val="0"/>
                <w:dstrike w:val="0"/>
                <w:color w:val="auto"/>
                <w:highlight w:val="none"/>
              </w:rPr>
              <w:t>）</w:t>
            </w:r>
            <w:r>
              <w:rPr>
                <w:rFonts w:hint="eastAsia" w:ascii="Times New Roman" w:hAnsi="Times New Roman"/>
                <w:highlight w:val="none"/>
              </w:rPr>
              <w:t>形式评审标准</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highlight w:val="none"/>
              </w:rPr>
            </w:pPr>
            <w:r>
              <w:rPr>
                <w:rFonts w:hint="eastAsia" w:ascii="Times New Roman" w:hAnsi="Times New Roman"/>
                <w:highlight w:val="none"/>
              </w:rPr>
              <w:t>投标人名称</w:t>
            </w:r>
          </w:p>
        </w:tc>
        <w:tc>
          <w:tcPr>
            <w:tcW w:w="738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highlight w:val="none"/>
              </w:rPr>
            </w:pPr>
            <w:r>
              <w:rPr>
                <w:rFonts w:hint="eastAsia" w:ascii="Times New Roman" w:hAnsi="Times New Roman"/>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66" w:hRule="atLeast"/>
          <w:jc w:val="center"/>
        </w:trPr>
        <w:tc>
          <w:tcPr>
            <w:tcW w:w="772" w:type="dxa"/>
            <w:vMerge w:val="continue"/>
            <w:tcBorders>
              <w:right w:val="single" w:color="auto" w:sz="4" w:space="0"/>
            </w:tcBorders>
            <w:vAlign w:val="center"/>
          </w:tcPr>
          <w:p>
            <w:pPr>
              <w:rPr>
                <w:rFonts w:ascii="Times New Roman" w:hAnsi="Times New Roman"/>
                <w:highlight w:val="none"/>
              </w:rPr>
            </w:pPr>
          </w:p>
        </w:tc>
        <w:tc>
          <w:tcPr>
            <w:tcW w:w="1030" w:type="dxa"/>
            <w:vMerge w:val="continue"/>
            <w:tcBorders>
              <w:left w:val="single" w:color="auto" w:sz="4" w:space="0"/>
              <w:right w:val="single" w:color="auto" w:sz="4" w:space="0"/>
            </w:tcBorders>
            <w:vAlign w:val="center"/>
          </w:tcPr>
          <w:p>
            <w:pPr>
              <w:rPr>
                <w:rFonts w:ascii="Times New Roman" w:hAnsi="Times New Roman"/>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highlight w:val="none"/>
                <w:lang w:eastAsia="zh-CN"/>
              </w:rPr>
            </w:pPr>
            <w:r>
              <w:rPr>
                <w:rFonts w:hint="eastAsia"/>
                <w:highlight w:val="none"/>
                <w:lang w:eastAsia="zh-CN"/>
              </w:rPr>
              <w:t>投标文件签字及盖章</w:t>
            </w:r>
          </w:p>
        </w:tc>
        <w:tc>
          <w:tcPr>
            <w:tcW w:w="7380" w:type="dxa"/>
            <w:tcBorders>
              <w:top w:val="single" w:color="auto" w:sz="4" w:space="0"/>
              <w:left w:val="single" w:color="auto" w:sz="4" w:space="0"/>
              <w:bottom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Times New Roman" w:hAnsi="Times New Roman"/>
                <w:highlight w:val="none"/>
              </w:rPr>
            </w:pPr>
            <w:r>
              <w:rPr>
                <w:rFonts w:hint="eastAsia" w:ascii="Times New Roman" w:hAnsi="Times New Roman"/>
                <w:highlight w:val="none"/>
              </w:rPr>
              <w:t>投标文件中法定代表人或其授权代理人签署姓名齐全，符合招标文件规定；</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Times New Roman" w:hAnsi="Times New Roman"/>
                <w:highlight w:val="none"/>
              </w:rPr>
            </w:pPr>
            <w:r>
              <w:rPr>
                <w:rFonts w:hint="eastAsia" w:ascii="Times New Roman" w:hAnsi="Times New Roman"/>
                <w:highlight w:val="none"/>
              </w:rPr>
              <w:t>投标文件第一个信封（商务及技术文件）：招标文件中投标文件格式指定要求签字盖章位置处须由投标人的法定代表人或其委托代理人签署并盖单位公章，不得使用签名章或其它电子制版签名代替，单位公章不得使用单位其他专用章代替</w:t>
            </w:r>
            <w:r>
              <w:rPr>
                <w:rFonts w:hint="eastAsia" w:ascii="Times New Roman" w:hAnsi="Times New Roman"/>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highlight w:val="none"/>
              </w:rPr>
            </w:pPr>
            <w:r>
              <w:rPr>
                <w:rFonts w:hint="eastAsia" w:ascii="Times New Roman" w:hAnsi="Times New Roman"/>
                <w:highlight w:val="none"/>
                <w:lang w:val="en-US" w:eastAsia="zh-CN"/>
              </w:rPr>
              <w:t>3、</w:t>
            </w:r>
            <w:r>
              <w:rPr>
                <w:rFonts w:hint="eastAsia" w:ascii="Times New Roman" w:hAnsi="Times New Roman"/>
                <w:highlight w:val="none"/>
              </w:rPr>
              <w:t>投标文件中的任何改动之处应加盖单位公章或由投标人的法定代表人或其委托代理人签字确认。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highlight w:val="none"/>
                <w:lang w:eastAsia="zh-CN"/>
              </w:rPr>
            </w:pPr>
            <w:r>
              <w:rPr>
                <w:rFonts w:hint="eastAsia" w:ascii="Times New Roman" w:hAnsi="Times New Roman"/>
                <w:highlight w:val="none"/>
                <w:lang w:val="en-US" w:eastAsia="zh-CN"/>
              </w:rPr>
              <w:t>4、</w:t>
            </w:r>
            <w:r>
              <w:rPr>
                <w:rFonts w:hint="eastAsia" w:ascii="Times New Roman" w:hAnsi="Times New Roman"/>
                <w:highlight w:val="none"/>
              </w:rPr>
              <w:t>由法定代表人签字的，应附法定代表人身份证明，由代理人签字的，应附授权委托书，身份证明或授权委托书应符合第六章</w:t>
            </w:r>
            <w:r>
              <w:rPr>
                <w:rFonts w:ascii="Times New Roman" w:hAnsi="Times New Roman"/>
                <w:highlight w:val="none"/>
              </w:rPr>
              <w:t>“</w:t>
            </w:r>
            <w:r>
              <w:rPr>
                <w:rFonts w:hint="eastAsia" w:ascii="Times New Roman" w:hAnsi="Times New Roman"/>
                <w:highlight w:val="none"/>
              </w:rPr>
              <w:t>投标文件格式</w:t>
            </w:r>
            <w:r>
              <w:rPr>
                <w:rFonts w:ascii="Times New Roman" w:hAnsi="Times New Roman"/>
                <w:highlight w:val="none"/>
              </w:rPr>
              <w:t>”</w:t>
            </w:r>
            <w:r>
              <w:rPr>
                <w:rFonts w:hint="eastAsia" w:ascii="Times New Roman" w:hAnsi="Times New Roman"/>
                <w:highlight w:val="none"/>
              </w:rPr>
              <w:t>的规定</w:t>
            </w:r>
            <w:r>
              <w:rPr>
                <w:rFonts w:hint="eastAsia" w:ascii="Times New Roman" w:hAnsi="Times New Roman"/>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2" w:type="dxa"/>
            <w:vMerge w:val="continue"/>
            <w:tcBorders>
              <w:right w:val="single" w:color="auto" w:sz="4" w:space="0"/>
            </w:tcBorders>
            <w:vAlign w:val="center"/>
          </w:tcPr>
          <w:p>
            <w:pPr>
              <w:rPr>
                <w:rFonts w:ascii="Times New Roman" w:hAnsi="Times New Roman"/>
                <w:highlight w:val="none"/>
              </w:rPr>
            </w:pPr>
          </w:p>
        </w:tc>
        <w:tc>
          <w:tcPr>
            <w:tcW w:w="1030" w:type="dxa"/>
            <w:vMerge w:val="continue"/>
            <w:tcBorders>
              <w:left w:val="single" w:color="auto" w:sz="4" w:space="0"/>
              <w:right w:val="single" w:color="auto" w:sz="4" w:space="0"/>
            </w:tcBorders>
            <w:vAlign w:val="center"/>
          </w:tcPr>
          <w:p>
            <w:pPr>
              <w:rPr>
                <w:rFonts w:ascii="Times New Roman" w:hAnsi="Times New Roman"/>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highlight w:val="none"/>
              </w:rPr>
            </w:pPr>
            <w:r>
              <w:rPr>
                <w:rFonts w:hint="eastAsia" w:ascii="Times New Roman" w:hAnsi="Times New Roman"/>
                <w:highlight w:val="none"/>
              </w:rPr>
              <w:t>投标文件格式</w:t>
            </w:r>
          </w:p>
        </w:tc>
        <w:tc>
          <w:tcPr>
            <w:tcW w:w="7380" w:type="dxa"/>
            <w:tcBorders>
              <w:top w:val="single" w:color="auto" w:sz="4" w:space="0"/>
              <w:left w:val="single" w:color="auto" w:sz="4" w:space="0"/>
              <w:bottom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before="85" w:line="400" w:lineRule="exact"/>
              <w:ind w:right="134" w:rightChars="64" w:firstLine="210" w:firstLineChars="100"/>
              <w:textAlignment w:val="auto"/>
              <w:rPr>
                <w:rFonts w:hint="eastAsia" w:ascii="Times New Roman" w:hAnsi="Times New Roman" w:eastAsia="宋体"/>
                <w:highlight w:val="none"/>
                <w:lang w:eastAsia="zh-CN"/>
              </w:rPr>
            </w:pPr>
            <w:r>
              <w:rPr>
                <w:rFonts w:hint="eastAsia" w:ascii="Times New Roman" w:hAnsi="Times New Roman"/>
                <w:highlight w:val="none"/>
              </w:rPr>
              <w:t>符合第六章</w:t>
            </w:r>
            <w:r>
              <w:rPr>
                <w:rFonts w:ascii="Times New Roman" w:hAnsi="Times New Roman"/>
                <w:highlight w:val="none"/>
              </w:rPr>
              <w:t>“</w:t>
            </w:r>
            <w:r>
              <w:rPr>
                <w:rFonts w:hint="eastAsia" w:ascii="Times New Roman" w:hAnsi="Times New Roman"/>
                <w:highlight w:val="none"/>
              </w:rPr>
              <w:t>投标文件格式</w:t>
            </w:r>
            <w:r>
              <w:rPr>
                <w:rFonts w:ascii="Times New Roman" w:hAnsi="Times New Roman"/>
                <w:highlight w:val="none"/>
              </w:rPr>
              <w:t>”</w:t>
            </w:r>
            <w:r>
              <w:rPr>
                <w:rFonts w:hint="eastAsia" w:ascii="Times New Roman" w:hAnsi="Times New Roman"/>
                <w:highlight w:val="none"/>
              </w:rPr>
              <w:t>的规定</w:t>
            </w:r>
            <w:r>
              <w:rPr>
                <w:rFonts w:hint="eastAsia" w:ascii="Times New Roman" w:hAnsi="Times New Roman"/>
                <w:highlight w:val="none"/>
                <w:lang w:eastAsia="zh-CN"/>
              </w:rPr>
              <w:t>。</w:t>
            </w:r>
            <w:r>
              <w:rPr>
                <w:rFonts w:hint="eastAsia" w:ascii="宋体" w:hAnsi="宋体" w:eastAsia="宋体" w:cs="宋体"/>
                <w:color w:val="auto"/>
                <w:spacing w:val="-3"/>
                <w:sz w:val="21"/>
                <w:szCs w:val="21"/>
                <w:highlight w:val="none"/>
                <w:shd w:val="clear" w:color="auto" w:fill="auto"/>
                <w:lang w:eastAsia="zh-CN"/>
              </w:rPr>
              <w:t>投标文件按照招标文件规定的格式、内容填写，字迹清晰可辨</w:t>
            </w:r>
            <w:r>
              <w:rPr>
                <w:rFonts w:hint="eastAsia" w:ascii="宋体" w:hAnsi="宋体" w:cs="宋体"/>
                <w:color w:val="auto"/>
                <w:spacing w:val="-3"/>
                <w:sz w:val="21"/>
                <w:szCs w:val="21"/>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5" w:hRule="atLeast"/>
          <w:jc w:val="center"/>
        </w:trPr>
        <w:tc>
          <w:tcPr>
            <w:tcW w:w="772" w:type="dxa"/>
            <w:vMerge w:val="continue"/>
            <w:tcBorders>
              <w:right w:val="single" w:color="auto" w:sz="4" w:space="0"/>
            </w:tcBorders>
            <w:vAlign w:val="center"/>
          </w:tcPr>
          <w:p>
            <w:pPr>
              <w:rPr>
                <w:rFonts w:ascii="Times New Roman" w:hAnsi="Times New Roman"/>
                <w:highlight w:val="none"/>
              </w:rPr>
            </w:pPr>
          </w:p>
        </w:tc>
        <w:tc>
          <w:tcPr>
            <w:tcW w:w="1030" w:type="dxa"/>
            <w:vMerge w:val="continue"/>
            <w:tcBorders>
              <w:left w:val="single" w:color="auto" w:sz="4" w:space="0"/>
              <w:right w:val="single" w:color="auto" w:sz="4" w:space="0"/>
            </w:tcBorders>
            <w:vAlign w:val="center"/>
          </w:tcPr>
          <w:p>
            <w:pPr>
              <w:rPr>
                <w:rFonts w:ascii="Times New Roman" w:hAnsi="Times New Roman"/>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highlight w:val="none"/>
              </w:rPr>
            </w:pPr>
            <w:r>
              <w:rPr>
                <w:rFonts w:hint="eastAsia" w:ascii="Times New Roman" w:hAnsi="Times New Roman"/>
                <w:highlight w:val="none"/>
              </w:rPr>
              <w:t>联合体投标人</w:t>
            </w:r>
          </w:p>
        </w:tc>
        <w:tc>
          <w:tcPr>
            <w:tcW w:w="738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highlight w:val="none"/>
              </w:rPr>
            </w:pPr>
            <w:r>
              <w:rPr>
                <w:rFonts w:hint="eastAsia" w:ascii="Times New Roman" w:hAnsi="Times New Roman"/>
                <w:highlight w:val="none"/>
              </w:rPr>
              <w:t>投标人未以联合体形式参与本项目投标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jc w:val="center"/>
        </w:trPr>
        <w:tc>
          <w:tcPr>
            <w:tcW w:w="772" w:type="dxa"/>
            <w:vMerge w:val="continue"/>
            <w:tcBorders>
              <w:right w:val="single" w:color="auto" w:sz="4" w:space="0"/>
            </w:tcBorders>
            <w:vAlign w:val="center"/>
          </w:tcPr>
          <w:p>
            <w:pPr>
              <w:rPr>
                <w:rFonts w:ascii="Times New Roman" w:hAnsi="Times New Roman"/>
                <w:highlight w:val="none"/>
              </w:rPr>
            </w:pPr>
          </w:p>
        </w:tc>
        <w:tc>
          <w:tcPr>
            <w:tcW w:w="1030" w:type="dxa"/>
            <w:vMerge w:val="continue"/>
            <w:tcBorders>
              <w:left w:val="single" w:color="auto" w:sz="4" w:space="0"/>
              <w:bottom w:val="single" w:color="auto" w:sz="4" w:space="0"/>
              <w:right w:val="single" w:color="auto" w:sz="4" w:space="0"/>
            </w:tcBorders>
            <w:vAlign w:val="center"/>
          </w:tcPr>
          <w:p>
            <w:pPr>
              <w:rPr>
                <w:rFonts w:ascii="Times New Roman" w:hAnsi="Times New Roman"/>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highlight w:val="none"/>
              </w:rPr>
            </w:pPr>
            <w:r>
              <w:rPr>
                <w:rFonts w:hint="eastAsia" w:ascii="Times New Roman" w:hAnsi="Times New Roman"/>
                <w:highlight w:val="none"/>
              </w:rPr>
              <w:t>备选投标方案</w:t>
            </w:r>
          </w:p>
        </w:tc>
        <w:tc>
          <w:tcPr>
            <w:tcW w:w="738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highlight w:val="none"/>
              </w:rPr>
            </w:pPr>
            <w:r>
              <w:rPr>
                <w:rFonts w:hint="eastAsia" w:ascii="Times New Roman" w:hAnsi="Times New Roman"/>
                <w:highlight w:val="none"/>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772" w:type="dxa"/>
            <w:vMerge w:val="restart"/>
            <w:tcBorders>
              <w:right w:val="single" w:color="auto" w:sz="4" w:space="0"/>
            </w:tcBorders>
            <w:vAlign w:val="center"/>
          </w:tcPr>
          <w:p>
            <w:pPr>
              <w:jc w:val="center"/>
              <w:rPr>
                <w:rFonts w:ascii="Times New Roman" w:hAnsi="Times New Roman"/>
                <w:highlight w:val="none"/>
              </w:rPr>
            </w:pPr>
            <w:r>
              <w:rPr>
                <w:rFonts w:ascii="Times New Roman" w:hAnsi="Times New Roman"/>
                <w:highlight w:val="none"/>
              </w:rPr>
              <w:t>2.1.1</w:t>
            </w:r>
          </w:p>
          <w:p>
            <w:pPr>
              <w:jc w:val="center"/>
              <w:rPr>
                <w:rFonts w:ascii="Times New Roman" w:hAnsi="Times New Roman"/>
                <w:highlight w:val="none"/>
              </w:rPr>
            </w:pPr>
            <w:r>
              <w:rPr>
                <w:rFonts w:hint="eastAsia" w:ascii="Times New Roman" w:hAnsi="Times New Roman"/>
                <w:highlight w:val="none"/>
              </w:rPr>
              <w:t>（续）</w:t>
            </w:r>
          </w:p>
        </w:tc>
        <w:tc>
          <w:tcPr>
            <w:tcW w:w="10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none"/>
              </w:rPr>
            </w:pPr>
            <w:r>
              <w:rPr>
                <w:rFonts w:ascii="Times New Roman" w:hAnsi="Times New Roman"/>
                <w:highlight w:val="none"/>
              </w:rPr>
              <w:t>第</w:t>
            </w:r>
            <w:r>
              <w:rPr>
                <w:rFonts w:hint="eastAsia" w:ascii="Times New Roman" w:hAnsi="Times New Roman"/>
                <w:highlight w:val="none"/>
              </w:rPr>
              <w:t>二</w:t>
            </w:r>
            <w:r>
              <w:rPr>
                <w:rFonts w:ascii="Times New Roman" w:hAnsi="Times New Roman"/>
                <w:highlight w:val="none"/>
              </w:rPr>
              <w:t>个信封</w:t>
            </w:r>
            <w:r>
              <w:rPr>
                <w:rFonts w:hint="eastAsia" w:ascii="Times New Roman" w:hAnsi="Times New Roman"/>
                <w:highlight w:val="none"/>
              </w:rPr>
              <w:t>（报价文件）形式评审标准</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highlight w:val="none"/>
              </w:rPr>
            </w:pPr>
            <w:r>
              <w:rPr>
                <w:rFonts w:hint="eastAsia" w:ascii="Times New Roman" w:hAnsi="Times New Roman"/>
                <w:highlight w:val="none"/>
              </w:rPr>
              <w:t>投标文件格式</w:t>
            </w:r>
          </w:p>
        </w:tc>
        <w:tc>
          <w:tcPr>
            <w:tcW w:w="738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highlight w:val="none"/>
                <w:lang w:eastAsia="zh-CN"/>
              </w:rPr>
            </w:pPr>
            <w:r>
              <w:rPr>
                <w:rFonts w:hint="eastAsia" w:ascii="Times New Roman" w:hAnsi="Times New Roman"/>
                <w:highlight w:val="none"/>
              </w:rPr>
              <w:t>符合第六章</w:t>
            </w:r>
            <w:r>
              <w:rPr>
                <w:rFonts w:ascii="Times New Roman" w:hAnsi="Times New Roman"/>
                <w:highlight w:val="none"/>
              </w:rPr>
              <w:t>“</w:t>
            </w:r>
            <w:r>
              <w:rPr>
                <w:rFonts w:hint="eastAsia" w:ascii="Times New Roman" w:hAnsi="Times New Roman"/>
                <w:highlight w:val="none"/>
              </w:rPr>
              <w:t>投标文件格式</w:t>
            </w:r>
            <w:r>
              <w:rPr>
                <w:rFonts w:ascii="Times New Roman" w:hAnsi="Times New Roman"/>
                <w:highlight w:val="none"/>
              </w:rPr>
              <w:t>”中</w:t>
            </w:r>
            <w:r>
              <w:rPr>
                <w:rFonts w:hint="eastAsia" w:ascii="Times New Roman" w:hAnsi="Times New Roman"/>
                <w:highlight w:val="none"/>
              </w:rPr>
              <w:t>“</w:t>
            </w:r>
            <w:r>
              <w:rPr>
                <w:rFonts w:ascii="Times New Roman" w:hAnsi="Times New Roman"/>
                <w:highlight w:val="none"/>
              </w:rPr>
              <w:t>报价文件</w:t>
            </w:r>
            <w:r>
              <w:rPr>
                <w:rFonts w:hint="eastAsia" w:ascii="Times New Roman" w:hAnsi="Times New Roman"/>
                <w:highlight w:val="none"/>
              </w:rPr>
              <w:t>”的规定</w:t>
            </w:r>
            <w:r>
              <w:rPr>
                <w:rFonts w:hint="eastAsia" w:ascii="Times New Roman" w:hAnsi="Times New Roman"/>
                <w:highlight w:val="none"/>
                <w:lang w:eastAsia="zh-CN"/>
              </w:rPr>
              <w:t>，投标文件按照招标文件规定的格式、内容填写，字迹清晰可辨。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0" w:hRule="atLeast"/>
          <w:jc w:val="center"/>
        </w:trPr>
        <w:tc>
          <w:tcPr>
            <w:tcW w:w="772" w:type="dxa"/>
            <w:vMerge w:val="continue"/>
            <w:tcBorders>
              <w:right w:val="single" w:color="auto" w:sz="4" w:space="0"/>
            </w:tcBorders>
          </w:tcPr>
          <w:p>
            <w:pPr>
              <w:rPr>
                <w:rFonts w:ascii="Times New Roman" w:hAnsi="Times New Roman"/>
                <w:highlight w:val="none"/>
              </w:rPr>
            </w:pPr>
          </w:p>
        </w:tc>
        <w:tc>
          <w:tcPr>
            <w:tcW w:w="1030" w:type="dxa"/>
            <w:vMerge w:val="continue"/>
            <w:tcBorders>
              <w:top w:val="single" w:color="auto" w:sz="4" w:space="0"/>
              <w:left w:val="single" w:color="auto" w:sz="4" w:space="0"/>
              <w:right w:val="single" w:color="auto" w:sz="4" w:space="0"/>
            </w:tcBorders>
          </w:tcPr>
          <w:p>
            <w:pPr>
              <w:rPr>
                <w:rFonts w:ascii="Times New Roman" w:hAnsi="Times New Roman"/>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sz w:val="18"/>
                <w:szCs w:val="18"/>
                <w:highlight w:val="none"/>
              </w:rPr>
            </w:pPr>
            <w:r>
              <w:rPr>
                <w:rFonts w:hint="eastAsia"/>
                <w:lang w:eastAsia="zh-CN"/>
              </w:rPr>
              <w:t>投标文件签字及盖章</w:t>
            </w:r>
          </w:p>
        </w:tc>
        <w:tc>
          <w:tcPr>
            <w:tcW w:w="7380" w:type="dxa"/>
            <w:tcBorders>
              <w:top w:val="single" w:color="auto" w:sz="4" w:space="0"/>
              <w:left w:val="single" w:color="auto" w:sz="4" w:space="0"/>
              <w:bottom w:val="single" w:color="auto" w:sz="4" w:space="0"/>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Times New Roman" w:hAnsi="Times New Roman"/>
                <w:highlight w:val="none"/>
              </w:rPr>
            </w:pPr>
            <w:r>
              <w:rPr>
                <w:rFonts w:hint="eastAsia" w:ascii="Times New Roman" w:hAnsi="Times New Roman"/>
                <w:highlight w:val="none"/>
              </w:rPr>
              <w:t>投标文件第二个信封（投标报价文件）：招标文件中投标文件格式指定要求签字盖章位置处须由投标人的法定代表人或其委托代理人签署并盖单位公章，不得使用签名章或其它电子制版签名代替，单位公章不得使用单位其他专用章代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宋体"/>
                <w:highlight w:val="none"/>
                <w:lang w:eastAsia="zh-CN"/>
              </w:rPr>
            </w:pPr>
            <w:r>
              <w:rPr>
                <w:rFonts w:hint="eastAsia" w:ascii="Times New Roman" w:hAnsi="Times New Roman"/>
                <w:highlight w:val="none"/>
                <w:lang w:val="en-US" w:eastAsia="zh-CN"/>
              </w:rPr>
              <w:t>2、</w:t>
            </w:r>
            <w:r>
              <w:rPr>
                <w:rFonts w:hint="eastAsia" w:ascii="Times New Roman" w:hAnsi="Times New Roman"/>
                <w:highlight w:val="none"/>
              </w:rPr>
              <w:t>由法定代表人签字的，应附法定代表人身份证明，由代理人签字的，应附授权委托书，身份证明或授权委托书应符合第六章</w:t>
            </w:r>
            <w:r>
              <w:rPr>
                <w:rFonts w:ascii="Times New Roman" w:hAnsi="Times New Roman"/>
                <w:highlight w:val="none"/>
              </w:rPr>
              <w:t>“</w:t>
            </w:r>
            <w:r>
              <w:rPr>
                <w:rFonts w:hint="eastAsia" w:ascii="Times New Roman" w:hAnsi="Times New Roman"/>
                <w:highlight w:val="none"/>
              </w:rPr>
              <w:t>投标文件格式</w:t>
            </w:r>
            <w:r>
              <w:rPr>
                <w:rFonts w:ascii="Times New Roman" w:hAnsi="Times New Roman"/>
                <w:highlight w:val="none"/>
              </w:rPr>
              <w:t>”</w:t>
            </w:r>
            <w:r>
              <w:rPr>
                <w:rFonts w:hint="eastAsia" w:ascii="Times New Roman" w:hAnsi="Times New Roman"/>
                <w:highlight w:val="none"/>
              </w:rPr>
              <w:t>的规定</w:t>
            </w:r>
            <w:r>
              <w:rPr>
                <w:rFonts w:hint="eastAsia" w:ascii="Times New Roman" w:hAnsi="Times New Roman"/>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772" w:type="dxa"/>
            <w:vMerge w:val="continue"/>
            <w:tcBorders>
              <w:right w:val="single" w:color="auto" w:sz="4" w:space="0"/>
            </w:tcBorders>
          </w:tcPr>
          <w:p>
            <w:pPr>
              <w:rPr>
                <w:rFonts w:ascii="Times New Roman" w:hAnsi="Times New Roman"/>
                <w:highlight w:val="none"/>
              </w:rPr>
            </w:pPr>
          </w:p>
        </w:tc>
        <w:tc>
          <w:tcPr>
            <w:tcW w:w="1030" w:type="dxa"/>
            <w:vMerge w:val="continue"/>
            <w:tcBorders>
              <w:left w:val="single" w:color="auto" w:sz="4" w:space="0"/>
              <w:right w:val="single" w:color="auto" w:sz="4" w:space="0"/>
            </w:tcBorders>
          </w:tcPr>
          <w:p>
            <w:pPr>
              <w:rPr>
                <w:rFonts w:ascii="Times New Roman" w:hAnsi="Times New Roman"/>
                <w:highlight w:val="none"/>
              </w:rPr>
            </w:pPr>
          </w:p>
        </w:tc>
        <w:tc>
          <w:tcPr>
            <w:tcW w:w="152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sz w:val="18"/>
                <w:szCs w:val="18"/>
                <w:highlight w:val="none"/>
              </w:rPr>
            </w:pPr>
            <w:r>
              <w:rPr>
                <w:rFonts w:hint="eastAsia" w:ascii="Times New Roman" w:hAnsi="Times New Roman"/>
                <w:highlight w:val="none"/>
              </w:rPr>
              <w:t>投标报价</w:t>
            </w:r>
          </w:p>
        </w:tc>
        <w:tc>
          <w:tcPr>
            <w:tcW w:w="7380"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highlight w:val="none"/>
              </w:rPr>
            </w:pPr>
            <w:r>
              <w:rPr>
                <w:rFonts w:hint="eastAsia" w:ascii="Times New Roman" w:hAnsi="Times New Roman"/>
                <w:highlight w:val="none"/>
              </w:rPr>
              <w:t>符合第二章</w:t>
            </w:r>
            <w:r>
              <w:rPr>
                <w:rFonts w:ascii="Times New Roman" w:hAnsi="Times New Roman"/>
                <w:highlight w:val="none"/>
              </w:rPr>
              <w:t>“</w:t>
            </w:r>
            <w:r>
              <w:rPr>
                <w:rFonts w:hint="eastAsia" w:ascii="Times New Roman" w:hAnsi="Times New Roman"/>
                <w:highlight w:val="none"/>
              </w:rPr>
              <w:t>投标人须知</w:t>
            </w:r>
            <w:r>
              <w:rPr>
                <w:rFonts w:ascii="Times New Roman" w:hAnsi="Times New Roman"/>
                <w:highlight w:val="none"/>
              </w:rPr>
              <w:t>”</w:t>
            </w:r>
            <w:r>
              <w:rPr>
                <w:rFonts w:hint="eastAsia" w:ascii="Times New Roman" w:hAnsi="Times New Roman"/>
                <w:highlight w:val="none"/>
              </w:rPr>
              <w:t>第</w:t>
            </w:r>
            <w:r>
              <w:rPr>
                <w:rFonts w:ascii="Times New Roman" w:hAnsi="Times New Roman"/>
                <w:highlight w:val="none"/>
              </w:rPr>
              <w:t>3.2</w:t>
            </w:r>
            <w:r>
              <w:rPr>
                <w:rFonts w:hint="eastAsia" w:ascii="Times New Roman" w:hAnsi="Times New Roman"/>
                <w:highlight w:val="none"/>
              </w:rPr>
              <w:t>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772"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2.1.2</w:t>
            </w:r>
          </w:p>
        </w:tc>
        <w:tc>
          <w:tcPr>
            <w:tcW w:w="103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资格评审标准</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highlight w:val="none"/>
              </w:rPr>
            </w:pPr>
            <w:r>
              <w:rPr>
                <w:rFonts w:hint="eastAsia" w:ascii="Times New Roman" w:hAnsi="Times New Roman"/>
                <w:highlight w:val="none"/>
              </w:rPr>
              <w:t>营业执照</w:t>
            </w:r>
          </w:p>
        </w:tc>
        <w:tc>
          <w:tcPr>
            <w:tcW w:w="738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highlight w:val="none"/>
              </w:rPr>
            </w:pPr>
            <w:r>
              <w:rPr>
                <w:rFonts w:hint="eastAsia" w:ascii="Times New Roman" w:hAnsi="Times New Roman"/>
                <w:highlight w:val="none"/>
              </w:rPr>
              <w:t>符合第二章</w:t>
            </w:r>
            <w:r>
              <w:rPr>
                <w:rFonts w:ascii="Times New Roman" w:hAnsi="Times New Roman"/>
                <w:highlight w:val="none"/>
              </w:rPr>
              <w:t>“</w:t>
            </w:r>
            <w:r>
              <w:rPr>
                <w:rFonts w:hint="eastAsia" w:ascii="Times New Roman" w:hAnsi="Times New Roman"/>
                <w:highlight w:val="none"/>
              </w:rPr>
              <w:t>投标人须知</w:t>
            </w:r>
            <w:r>
              <w:rPr>
                <w:rFonts w:ascii="Times New Roman" w:hAnsi="Times New Roman"/>
                <w:highlight w:val="none"/>
              </w:rPr>
              <w:t>”</w:t>
            </w:r>
            <w:r>
              <w:rPr>
                <w:rFonts w:hint="eastAsia" w:ascii="Times New Roman" w:hAnsi="Times New Roman"/>
                <w:highlight w:val="none"/>
              </w:rPr>
              <w:t>第</w:t>
            </w:r>
            <w:r>
              <w:rPr>
                <w:rFonts w:ascii="Times New Roman" w:hAnsi="Times New Roman"/>
                <w:highlight w:val="none"/>
              </w:rPr>
              <w:t>3.5.1</w:t>
            </w:r>
            <w:r>
              <w:rPr>
                <w:rFonts w:hint="eastAsia" w:ascii="Times New Roman" w:hAnsi="Times New Roman"/>
                <w:highlight w:val="none"/>
              </w:rPr>
              <w:t>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jc w:val="center"/>
        </w:trPr>
        <w:tc>
          <w:tcPr>
            <w:tcW w:w="772" w:type="dxa"/>
            <w:vMerge w:val="continue"/>
            <w:tcBorders>
              <w:top w:val="single" w:color="auto" w:sz="4" w:space="0"/>
              <w:bottom w:val="single" w:color="auto" w:sz="4" w:space="0"/>
              <w:right w:val="single" w:color="auto" w:sz="4" w:space="0"/>
            </w:tcBorders>
            <w:vAlign w:val="center"/>
          </w:tcPr>
          <w:p>
            <w:pPr>
              <w:rPr>
                <w:rFonts w:ascii="Times New Roman" w:hAnsi="Times New Roman"/>
                <w:highlight w:val="none"/>
              </w:rPr>
            </w:pP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highlight w:val="none"/>
              </w:rPr>
            </w:pPr>
            <w:r>
              <w:rPr>
                <w:rFonts w:hint="eastAsia" w:ascii="Times New Roman" w:hAnsi="Times New Roman"/>
                <w:highlight w:val="none"/>
              </w:rPr>
              <w:t>资质要求</w:t>
            </w:r>
          </w:p>
        </w:tc>
        <w:tc>
          <w:tcPr>
            <w:tcW w:w="738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highlight w:val="none"/>
              </w:rPr>
            </w:pPr>
            <w:r>
              <w:rPr>
                <w:rFonts w:hint="eastAsia" w:ascii="Times New Roman" w:hAnsi="Times New Roman"/>
                <w:highlight w:val="none"/>
              </w:rPr>
              <w:t>符合第二章</w:t>
            </w:r>
            <w:r>
              <w:rPr>
                <w:rFonts w:ascii="Times New Roman" w:hAnsi="Times New Roman"/>
                <w:highlight w:val="none"/>
              </w:rPr>
              <w:t>“</w:t>
            </w:r>
            <w:r>
              <w:rPr>
                <w:rFonts w:hint="eastAsia" w:ascii="Times New Roman" w:hAnsi="Times New Roman"/>
                <w:highlight w:val="none"/>
              </w:rPr>
              <w:t>投标人须知</w:t>
            </w:r>
            <w:r>
              <w:rPr>
                <w:rFonts w:ascii="Times New Roman" w:hAnsi="Times New Roman"/>
                <w:highlight w:val="none"/>
              </w:rPr>
              <w:t>”</w:t>
            </w:r>
            <w:r>
              <w:rPr>
                <w:rFonts w:hint="eastAsia" w:ascii="Times New Roman" w:hAnsi="Times New Roman"/>
                <w:highlight w:val="none"/>
              </w:rPr>
              <w:t>第</w:t>
            </w:r>
            <w:r>
              <w:rPr>
                <w:rFonts w:ascii="Times New Roman" w:hAnsi="Times New Roman"/>
                <w:highlight w:val="none"/>
              </w:rPr>
              <w:t>1.4.1</w:t>
            </w:r>
            <w:r>
              <w:rPr>
                <w:rFonts w:hint="eastAsia" w:ascii="Times New Roman" w:hAnsi="Times New Roman"/>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772" w:type="dxa"/>
            <w:vMerge w:val="continue"/>
            <w:tcBorders>
              <w:top w:val="single" w:color="auto" w:sz="4" w:space="0"/>
              <w:bottom w:val="single" w:color="auto" w:sz="4" w:space="0"/>
              <w:right w:val="single" w:color="auto" w:sz="4" w:space="0"/>
            </w:tcBorders>
            <w:vAlign w:val="center"/>
          </w:tcPr>
          <w:p>
            <w:pPr>
              <w:rPr>
                <w:rFonts w:ascii="Times New Roman" w:hAnsi="Times New Roman"/>
                <w:highlight w:val="none"/>
              </w:rPr>
            </w:pP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highlight w:val="none"/>
              </w:rPr>
            </w:pPr>
            <w:r>
              <w:rPr>
                <w:rFonts w:hint="eastAsia" w:ascii="Times New Roman" w:hAnsi="Times New Roman"/>
                <w:highlight w:val="none"/>
              </w:rPr>
              <w:t>财务要求</w:t>
            </w:r>
          </w:p>
        </w:tc>
        <w:tc>
          <w:tcPr>
            <w:tcW w:w="738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highlight w:val="none"/>
              </w:rPr>
            </w:pPr>
            <w:r>
              <w:rPr>
                <w:rFonts w:hint="eastAsia" w:ascii="Times New Roman" w:hAnsi="Times New Roman"/>
                <w:highlight w:val="none"/>
              </w:rPr>
              <w:t>符合第二章</w:t>
            </w:r>
            <w:r>
              <w:rPr>
                <w:rFonts w:ascii="Times New Roman" w:hAnsi="Times New Roman"/>
                <w:highlight w:val="none"/>
              </w:rPr>
              <w:t>“</w:t>
            </w:r>
            <w:r>
              <w:rPr>
                <w:rFonts w:hint="eastAsia" w:ascii="Times New Roman" w:hAnsi="Times New Roman"/>
                <w:highlight w:val="none"/>
              </w:rPr>
              <w:t>投标人须知</w:t>
            </w:r>
            <w:r>
              <w:rPr>
                <w:rFonts w:ascii="Times New Roman" w:hAnsi="Times New Roman"/>
                <w:highlight w:val="none"/>
              </w:rPr>
              <w:t>”</w:t>
            </w:r>
            <w:r>
              <w:rPr>
                <w:rFonts w:hint="eastAsia" w:ascii="Times New Roman" w:hAnsi="Times New Roman"/>
                <w:highlight w:val="none"/>
              </w:rPr>
              <w:t>第</w:t>
            </w:r>
            <w:r>
              <w:rPr>
                <w:rFonts w:ascii="Times New Roman" w:hAnsi="Times New Roman"/>
                <w:highlight w:val="none"/>
              </w:rPr>
              <w:t>1.4.1</w:t>
            </w:r>
            <w:r>
              <w:rPr>
                <w:rFonts w:hint="eastAsia" w:ascii="Times New Roman" w:hAnsi="Times New Roman"/>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772" w:type="dxa"/>
            <w:vMerge w:val="continue"/>
            <w:tcBorders>
              <w:top w:val="single" w:color="auto" w:sz="4" w:space="0"/>
              <w:bottom w:val="single" w:color="auto" w:sz="4" w:space="0"/>
              <w:right w:val="single" w:color="auto" w:sz="4" w:space="0"/>
            </w:tcBorders>
            <w:vAlign w:val="center"/>
          </w:tcPr>
          <w:p>
            <w:pPr>
              <w:rPr>
                <w:rFonts w:ascii="Times New Roman" w:hAnsi="Times New Roman"/>
                <w:highlight w:val="none"/>
              </w:rPr>
            </w:pP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highlight w:val="none"/>
              </w:rPr>
            </w:pPr>
            <w:r>
              <w:rPr>
                <w:rFonts w:hint="eastAsia" w:ascii="Times New Roman" w:hAnsi="Times New Roman"/>
                <w:highlight w:val="none"/>
              </w:rPr>
              <w:t>业绩要求</w:t>
            </w:r>
          </w:p>
        </w:tc>
        <w:tc>
          <w:tcPr>
            <w:tcW w:w="738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highlight w:val="none"/>
              </w:rPr>
            </w:pPr>
            <w:r>
              <w:rPr>
                <w:rFonts w:hint="eastAsia" w:ascii="Times New Roman" w:hAnsi="Times New Roman"/>
                <w:highlight w:val="none"/>
              </w:rPr>
              <w:t>符合第二章</w:t>
            </w:r>
            <w:r>
              <w:rPr>
                <w:rFonts w:ascii="Times New Roman" w:hAnsi="Times New Roman"/>
                <w:highlight w:val="none"/>
              </w:rPr>
              <w:t>“</w:t>
            </w:r>
            <w:r>
              <w:rPr>
                <w:rFonts w:hint="eastAsia" w:ascii="Times New Roman" w:hAnsi="Times New Roman"/>
                <w:highlight w:val="none"/>
              </w:rPr>
              <w:t>投标人须知</w:t>
            </w:r>
            <w:r>
              <w:rPr>
                <w:rFonts w:ascii="Times New Roman" w:hAnsi="Times New Roman"/>
                <w:highlight w:val="none"/>
              </w:rPr>
              <w:t>”</w:t>
            </w:r>
            <w:r>
              <w:rPr>
                <w:rFonts w:hint="eastAsia" w:ascii="Times New Roman" w:hAnsi="Times New Roman"/>
                <w:highlight w:val="none"/>
              </w:rPr>
              <w:t>第</w:t>
            </w:r>
            <w:r>
              <w:rPr>
                <w:rFonts w:ascii="Times New Roman" w:hAnsi="Times New Roman"/>
                <w:highlight w:val="none"/>
              </w:rPr>
              <w:t>1.4.1</w:t>
            </w:r>
            <w:r>
              <w:rPr>
                <w:rFonts w:hint="eastAsia" w:ascii="Times New Roman" w:hAnsi="Times New Roman"/>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1" w:hRule="atLeast"/>
          <w:jc w:val="center"/>
        </w:trPr>
        <w:tc>
          <w:tcPr>
            <w:tcW w:w="772" w:type="dxa"/>
            <w:vMerge w:val="continue"/>
            <w:tcBorders>
              <w:top w:val="single" w:color="auto" w:sz="4" w:space="0"/>
              <w:bottom w:val="single" w:color="auto" w:sz="4" w:space="0"/>
              <w:right w:val="single" w:color="auto" w:sz="4" w:space="0"/>
            </w:tcBorders>
            <w:vAlign w:val="center"/>
          </w:tcPr>
          <w:p>
            <w:pPr>
              <w:rPr>
                <w:rFonts w:ascii="Times New Roman" w:hAnsi="Times New Roman"/>
                <w:highlight w:val="none"/>
              </w:rPr>
            </w:pP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highlight w:val="none"/>
              </w:rPr>
            </w:pPr>
            <w:r>
              <w:rPr>
                <w:rFonts w:hint="eastAsia" w:ascii="Times New Roman" w:hAnsi="Times New Roman"/>
                <w:highlight w:val="none"/>
              </w:rPr>
              <w:t>其他要求</w:t>
            </w:r>
          </w:p>
        </w:tc>
        <w:tc>
          <w:tcPr>
            <w:tcW w:w="738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highlight w:val="none"/>
              </w:rPr>
            </w:pPr>
            <w:r>
              <w:rPr>
                <w:rFonts w:hint="eastAsia" w:ascii="Times New Roman" w:hAnsi="Times New Roman"/>
                <w:highlight w:val="none"/>
              </w:rPr>
              <w:t>符合第二章</w:t>
            </w:r>
            <w:r>
              <w:rPr>
                <w:rFonts w:ascii="Times New Roman" w:hAnsi="Times New Roman"/>
                <w:highlight w:val="none"/>
              </w:rPr>
              <w:t>“</w:t>
            </w:r>
            <w:r>
              <w:rPr>
                <w:rFonts w:hint="eastAsia" w:ascii="Times New Roman" w:hAnsi="Times New Roman"/>
                <w:highlight w:val="none"/>
              </w:rPr>
              <w:t>投标人须知</w:t>
            </w:r>
            <w:r>
              <w:rPr>
                <w:rFonts w:ascii="Times New Roman" w:hAnsi="Times New Roman"/>
                <w:highlight w:val="none"/>
              </w:rPr>
              <w:t>”</w:t>
            </w:r>
            <w:r>
              <w:rPr>
                <w:rFonts w:hint="eastAsia" w:ascii="Times New Roman" w:hAnsi="Times New Roman"/>
                <w:highlight w:val="none"/>
              </w:rPr>
              <w:t>第</w:t>
            </w:r>
            <w:r>
              <w:rPr>
                <w:rFonts w:ascii="Times New Roman" w:hAnsi="Times New Roman"/>
                <w:highlight w:val="none"/>
              </w:rPr>
              <w:t>1.4.1</w:t>
            </w:r>
            <w:r>
              <w:rPr>
                <w:rFonts w:hint="eastAsia" w:ascii="Times New Roman" w:hAnsi="Times New Roman"/>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2" w:type="dxa"/>
            <w:vMerge w:val="continue"/>
            <w:tcBorders>
              <w:top w:val="single" w:color="auto" w:sz="4" w:space="0"/>
              <w:bottom w:val="single" w:color="auto" w:sz="4" w:space="0"/>
              <w:right w:val="single" w:color="auto" w:sz="4" w:space="0"/>
            </w:tcBorders>
            <w:vAlign w:val="center"/>
          </w:tcPr>
          <w:p>
            <w:pPr>
              <w:rPr>
                <w:rFonts w:ascii="Times New Roman" w:hAnsi="Times New Roman"/>
                <w:highlight w:val="none"/>
              </w:rPr>
            </w:pP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highlight w:val="none"/>
              </w:rPr>
            </w:pPr>
            <w:r>
              <w:rPr>
                <w:rFonts w:hint="eastAsia" w:ascii="Times New Roman" w:hAnsi="Times New Roman"/>
                <w:highlight w:val="none"/>
              </w:rPr>
              <w:t>不存在禁止投标的情形</w:t>
            </w:r>
          </w:p>
        </w:tc>
        <w:tc>
          <w:tcPr>
            <w:tcW w:w="738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highlight w:val="none"/>
              </w:rPr>
            </w:pPr>
            <w:r>
              <w:rPr>
                <w:rFonts w:hint="eastAsia" w:ascii="Times New Roman" w:hAnsi="Times New Roman"/>
                <w:highlight w:val="none"/>
              </w:rPr>
              <w:t>不存在第二章</w:t>
            </w:r>
            <w:r>
              <w:rPr>
                <w:rFonts w:ascii="Times New Roman" w:hAnsi="Times New Roman"/>
                <w:highlight w:val="none"/>
              </w:rPr>
              <w:t>“</w:t>
            </w:r>
            <w:r>
              <w:rPr>
                <w:rFonts w:hint="eastAsia" w:ascii="Times New Roman" w:hAnsi="Times New Roman"/>
                <w:highlight w:val="none"/>
              </w:rPr>
              <w:t>投标人须知</w:t>
            </w:r>
            <w:r>
              <w:rPr>
                <w:rFonts w:ascii="Times New Roman" w:hAnsi="Times New Roman"/>
                <w:highlight w:val="none"/>
              </w:rPr>
              <w:t>”</w:t>
            </w:r>
            <w:r>
              <w:rPr>
                <w:rFonts w:hint="eastAsia" w:ascii="Times New Roman" w:hAnsi="Times New Roman"/>
                <w:highlight w:val="none"/>
              </w:rPr>
              <w:t>第</w:t>
            </w:r>
            <w:r>
              <w:rPr>
                <w:rFonts w:ascii="Times New Roman" w:hAnsi="Times New Roman"/>
                <w:highlight w:val="none"/>
              </w:rPr>
              <w:t>1.4.3</w:t>
            </w:r>
            <w:r>
              <w:rPr>
                <w:rFonts w:hint="eastAsia" w:ascii="Times New Roman" w:hAnsi="Times New Roman"/>
                <w:highlight w:val="none"/>
              </w:rPr>
              <w:t>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2"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2.1.3</w:t>
            </w:r>
          </w:p>
        </w:tc>
        <w:tc>
          <w:tcPr>
            <w:tcW w:w="103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第一个信封（商务及</w:t>
            </w:r>
            <w:r>
              <w:rPr>
                <w:rFonts w:ascii="Times New Roman" w:hAnsi="Times New Roman"/>
                <w:highlight w:val="none"/>
              </w:rPr>
              <w:t>技术文件</w:t>
            </w:r>
            <w:r>
              <w:rPr>
                <w:rFonts w:hint="eastAsia" w:ascii="Times New Roman" w:hAnsi="Times New Roman"/>
                <w:highlight w:val="none"/>
              </w:rPr>
              <w:t>）响应性评审标准</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highlight w:val="none"/>
              </w:rPr>
            </w:pPr>
            <w:r>
              <w:rPr>
                <w:rFonts w:hint="eastAsia" w:ascii="Times New Roman" w:hAnsi="Times New Roman"/>
                <w:highlight w:val="none"/>
              </w:rPr>
              <w:t>投标内容</w:t>
            </w:r>
          </w:p>
        </w:tc>
        <w:tc>
          <w:tcPr>
            <w:tcW w:w="738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highlight w:val="none"/>
              </w:rPr>
            </w:pPr>
            <w:r>
              <w:rPr>
                <w:rFonts w:hint="eastAsia" w:ascii="Times New Roman" w:hAnsi="Times New Roman"/>
                <w:highlight w:val="none"/>
              </w:rPr>
              <w:t>符合第二章</w:t>
            </w:r>
            <w:r>
              <w:rPr>
                <w:rFonts w:ascii="Times New Roman" w:hAnsi="Times New Roman"/>
                <w:highlight w:val="none"/>
              </w:rPr>
              <w:t>“</w:t>
            </w:r>
            <w:r>
              <w:rPr>
                <w:rFonts w:hint="eastAsia" w:ascii="Times New Roman" w:hAnsi="Times New Roman"/>
                <w:highlight w:val="none"/>
              </w:rPr>
              <w:t>投标人须知</w:t>
            </w:r>
            <w:r>
              <w:rPr>
                <w:rFonts w:ascii="Times New Roman" w:hAnsi="Times New Roman"/>
                <w:highlight w:val="none"/>
              </w:rPr>
              <w:t>”</w:t>
            </w:r>
            <w:r>
              <w:rPr>
                <w:rFonts w:hint="eastAsia" w:ascii="Times New Roman" w:hAnsi="Times New Roman"/>
                <w:highlight w:val="none"/>
              </w:rPr>
              <w:t>第</w:t>
            </w:r>
            <w:r>
              <w:rPr>
                <w:rFonts w:ascii="Times New Roman" w:hAnsi="Times New Roman"/>
                <w:highlight w:val="none"/>
              </w:rPr>
              <w:t>1.3.1</w:t>
            </w:r>
            <w:r>
              <w:rPr>
                <w:rFonts w:hint="eastAsia" w:ascii="Times New Roman" w:hAnsi="Times New Roman"/>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2"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highlight w:val="none"/>
              </w:rPr>
            </w:pPr>
            <w:r>
              <w:rPr>
                <w:rFonts w:hint="eastAsia" w:ascii="Times New Roman" w:hAnsi="Times New Roman"/>
                <w:highlight w:val="none"/>
              </w:rPr>
              <w:t>交货期</w:t>
            </w:r>
          </w:p>
        </w:tc>
        <w:tc>
          <w:tcPr>
            <w:tcW w:w="738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highlight w:val="none"/>
              </w:rPr>
            </w:pPr>
            <w:r>
              <w:rPr>
                <w:rFonts w:hint="eastAsia" w:ascii="Times New Roman" w:hAnsi="Times New Roman"/>
                <w:highlight w:val="none"/>
              </w:rPr>
              <w:t>符合第二章</w:t>
            </w:r>
            <w:r>
              <w:rPr>
                <w:rFonts w:ascii="Times New Roman" w:hAnsi="Times New Roman"/>
                <w:highlight w:val="none"/>
              </w:rPr>
              <w:t>“</w:t>
            </w:r>
            <w:r>
              <w:rPr>
                <w:rFonts w:hint="eastAsia" w:ascii="Times New Roman" w:hAnsi="Times New Roman"/>
                <w:highlight w:val="none"/>
              </w:rPr>
              <w:t>投标人须知</w:t>
            </w:r>
            <w:r>
              <w:rPr>
                <w:rFonts w:ascii="Times New Roman" w:hAnsi="Times New Roman"/>
                <w:highlight w:val="none"/>
              </w:rPr>
              <w:t>”</w:t>
            </w:r>
            <w:r>
              <w:rPr>
                <w:rFonts w:hint="eastAsia" w:ascii="Times New Roman" w:hAnsi="Times New Roman"/>
                <w:highlight w:val="none"/>
              </w:rPr>
              <w:t>第</w:t>
            </w:r>
            <w:r>
              <w:rPr>
                <w:rFonts w:ascii="Times New Roman" w:hAnsi="Times New Roman"/>
                <w:highlight w:val="none"/>
              </w:rPr>
              <w:t>1.3.2</w:t>
            </w:r>
            <w:r>
              <w:rPr>
                <w:rFonts w:hint="eastAsia" w:ascii="Times New Roman" w:hAnsi="Times New Roman"/>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2"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highlight w:val="none"/>
              </w:rPr>
            </w:pPr>
            <w:r>
              <w:rPr>
                <w:rFonts w:hint="eastAsia" w:ascii="Times New Roman" w:hAnsi="Times New Roman"/>
                <w:highlight w:val="none"/>
              </w:rPr>
              <w:t>交货地点</w:t>
            </w:r>
          </w:p>
        </w:tc>
        <w:tc>
          <w:tcPr>
            <w:tcW w:w="738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highlight w:val="none"/>
              </w:rPr>
            </w:pPr>
            <w:r>
              <w:rPr>
                <w:rFonts w:hint="eastAsia" w:ascii="Times New Roman" w:hAnsi="Times New Roman"/>
                <w:highlight w:val="none"/>
              </w:rPr>
              <w:t>符合第二章</w:t>
            </w:r>
            <w:r>
              <w:rPr>
                <w:rFonts w:ascii="Times New Roman" w:hAnsi="Times New Roman"/>
                <w:highlight w:val="none"/>
              </w:rPr>
              <w:t>“</w:t>
            </w:r>
            <w:r>
              <w:rPr>
                <w:rFonts w:hint="eastAsia" w:ascii="Times New Roman" w:hAnsi="Times New Roman"/>
                <w:highlight w:val="none"/>
              </w:rPr>
              <w:t>投标人须知</w:t>
            </w:r>
            <w:r>
              <w:rPr>
                <w:rFonts w:ascii="Times New Roman" w:hAnsi="Times New Roman"/>
                <w:highlight w:val="none"/>
              </w:rPr>
              <w:t>”</w:t>
            </w:r>
            <w:r>
              <w:rPr>
                <w:rFonts w:hint="eastAsia" w:ascii="Times New Roman" w:hAnsi="Times New Roman"/>
                <w:highlight w:val="none"/>
              </w:rPr>
              <w:t>第</w:t>
            </w:r>
            <w:r>
              <w:rPr>
                <w:rFonts w:ascii="Times New Roman" w:hAnsi="Times New Roman"/>
                <w:highlight w:val="none"/>
              </w:rPr>
              <w:t>1.3.3</w:t>
            </w:r>
            <w:r>
              <w:rPr>
                <w:rFonts w:hint="eastAsia" w:ascii="Times New Roman" w:hAnsi="Times New Roman"/>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2"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highlight w:val="none"/>
              </w:rPr>
            </w:pPr>
            <w:r>
              <w:rPr>
                <w:rFonts w:hint="eastAsia" w:ascii="Times New Roman" w:hAnsi="Times New Roman"/>
                <w:highlight w:val="none"/>
              </w:rPr>
              <w:t>技术性能指标</w:t>
            </w:r>
          </w:p>
        </w:tc>
        <w:tc>
          <w:tcPr>
            <w:tcW w:w="738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highlight w:val="none"/>
              </w:rPr>
            </w:pPr>
            <w:r>
              <w:rPr>
                <w:rFonts w:hint="eastAsia" w:ascii="Times New Roman" w:hAnsi="Times New Roman"/>
                <w:highlight w:val="none"/>
              </w:rPr>
              <w:t>符合第二章</w:t>
            </w:r>
            <w:r>
              <w:rPr>
                <w:rFonts w:ascii="Times New Roman" w:hAnsi="Times New Roman"/>
                <w:highlight w:val="none"/>
              </w:rPr>
              <w:t>“</w:t>
            </w:r>
            <w:r>
              <w:rPr>
                <w:rFonts w:hint="eastAsia" w:ascii="Times New Roman" w:hAnsi="Times New Roman"/>
                <w:highlight w:val="none"/>
              </w:rPr>
              <w:t>投标人须知</w:t>
            </w:r>
            <w:r>
              <w:rPr>
                <w:rFonts w:ascii="Times New Roman" w:hAnsi="Times New Roman"/>
                <w:highlight w:val="none"/>
              </w:rPr>
              <w:t>”</w:t>
            </w:r>
            <w:r>
              <w:rPr>
                <w:rFonts w:hint="eastAsia" w:ascii="Times New Roman" w:hAnsi="Times New Roman"/>
                <w:highlight w:val="none"/>
              </w:rPr>
              <w:t>第</w:t>
            </w:r>
            <w:r>
              <w:rPr>
                <w:rFonts w:ascii="Times New Roman" w:hAnsi="Times New Roman"/>
                <w:highlight w:val="none"/>
              </w:rPr>
              <w:t>1.3.4</w:t>
            </w:r>
            <w:r>
              <w:rPr>
                <w:rFonts w:hint="eastAsia" w:ascii="Times New Roman" w:hAnsi="Times New Roman"/>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2" w:type="dxa"/>
            <w:vMerge w:val="continue"/>
            <w:tcBorders>
              <w:top w:val="single" w:color="auto" w:sz="4" w:space="0"/>
              <w:bottom w:val="single" w:color="auto" w:sz="4" w:space="0"/>
              <w:right w:val="single" w:color="auto" w:sz="4" w:space="0"/>
            </w:tcBorders>
            <w:vAlign w:val="center"/>
          </w:tcPr>
          <w:p>
            <w:pPr>
              <w:rPr>
                <w:rFonts w:ascii="Times New Roman" w:hAnsi="Times New Roman"/>
                <w:highlight w:val="none"/>
              </w:rPr>
            </w:pP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highlight w:val="none"/>
              </w:rPr>
            </w:pPr>
          </w:p>
        </w:tc>
        <w:tc>
          <w:tcPr>
            <w:tcW w:w="15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highlight w:val="none"/>
              </w:rPr>
            </w:pPr>
            <w:r>
              <w:rPr>
                <w:rFonts w:hint="eastAsia" w:ascii="Times New Roman" w:hAnsi="Times New Roman"/>
                <w:highlight w:val="none"/>
              </w:rPr>
              <w:t>投标有效期</w:t>
            </w:r>
          </w:p>
        </w:tc>
        <w:tc>
          <w:tcPr>
            <w:tcW w:w="7380"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highlight w:val="none"/>
              </w:rPr>
            </w:pPr>
            <w:r>
              <w:rPr>
                <w:rFonts w:hint="eastAsia" w:ascii="Times New Roman" w:hAnsi="Times New Roman"/>
                <w:highlight w:val="none"/>
              </w:rPr>
              <w:t>符合第二章</w:t>
            </w:r>
            <w:r>
              <w:rPr>
                <w:rFonts w:ascii="Times New Roman" w:hAnsi="Times New Roman"/>
                <w:highlight w:val="none"/>
              </w:rPr>
              <w:t>“</w:t>
            </w:r>
            <w:r>
              <w:rPr>
                <w:rFonts w:hint="eastAsia" w:ascii="Times New Roman" w:hAnsi="Times New Roman"/>
                <w:highlight w:val="none"/>
              </w:rPr>
              <w:t>投标人须知</w:t>
            </w:r>
            <w:r>
              <w:rPr>
                <w:rFonts w:ascii="Times New Roman" w:hAnsi="Times New Roman"/>
                <w:highlight w:val="none"/>
              </w:rPr>
              <w:t>”</w:t>
            </w:r>
            <w:r>
              <w:rPr>
                <w:rFonts w:hint="eastAsia" w:ascii="Times New Roman" w:hAnsi="Times New Roman"/>
                <w:highlight w:val="none"/>
              </w:rPr>
              <w:t>第</w:t>
            </w:r>
            <w:r>
              <w:rPr>
                <w:rFonts w:ascii="Times New Roman" w:hAnsi="Times New Roman"/>
                <w:highlight w:val="none"/>
              </w:rPr>
              <w:t>3.3.1</w:t>
            </w:r>
            <w:r>
              <w:rPr>
                <w:rFonts w:hint="eastAsia" w:ascii="Times New Roman" w:hAnsi="Times New Roman"/>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2" w:type="dxa"/>
            <w:vMerge w:val="continue"/>
            <w:tcBorders>
              <w:top w:val="single" w:color="auto" w:sz="4" w:space="0"/>
              <w:bottom w:val="single" w:color="auto" w:sz="4" w:space="0"/>
              <w:right w:val="single" w:color="auto" w:sz="4" w:space="0"/>
            </w:tcBorders>
            <w:vAlign w:val="center"/>
          </w:tcPr>
          <w:p>
            <w:pPr>
              <w:rPr>
                <w:rFonts w:ascii="Times New Roman" w:hAnsi="Times New Roman"/>
                <w:highlight w:val="none"/>
              </w:rPr>
            </w:pP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highlight w:val="none"/>
              </w:rPr>
            </w:pPr>
          </w:p>
        </w:tc>
        <w:tc>
          <w:tcPr>
            <w:tcW w:w="15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highlight w:val="none"/>
              </w:rPr>
            </w:pPr>
            <w:r>
              <w:rPr>
                <w:rFonts w:hint="eastAsia" w:ascii="Times New Roman" w:hAnsi="Times New Roman"/>
                <w:highlight w:val="none"/>
              </w:rPr>
              <w:t>投标保证金</w:t>
            </w:r>
          </w:p>
        </w:tc>
        <w:tc>
          <w:tcPr>
            <w:tcW w:w="7380"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highlight w:val="none"/>
              </w:rPr>
            </w:pPr>
            <w:r>
              <w:rPr>
                <w:rFonts w:hint="eastAsia" w:ascii="Times New Roman" w:hAnsi="Times New Roman"/>
                <w:highlight w:val="none"/>
              </w:rPr>
              <w:t>符合第二章</w:t>
            </w:r>
            <w:r>
              <w:rPr>
                <w:rFonts w:ascii="Times New Roman" w:hAnsi="Times New Roman"/>
                <w:highlight w:val="none"/>
              </w:rPr>
              <w:t>“</w:t>
            </w:r>
            <w:r>
              <w:rPr>
                <w:rFonts w:hint="eastAsia" w:ascii="Times New Roman" w:hAnsi="Times New Roman"/>
                <w:highlight w:val="none"/>
              </w:rPr>
              <w:t>投标人须知</w:t>
            </w:r>
            <w:r>
              <w:rPr>
                <w:rFonts w:ascii="Times New Roman" w:hAnsi="Times New Roman"/>
                <w:highlight w:val="none"/>
              </w:rPr>
              <w:t>”</w:t>
            </w:r>
            <w:r>
              <w:rPr>
                <w:rFonts w:hint="eastAsia" w:ascii="Times New Roman" w:hAnsi="Times New Roman"/>
                <w:highlight w:val="none"/>
              </w:rPr>
              <w:t>第</w:t>
            </w:r>
            <w:r>
              <w:rPr>
                <w:rFonts w:ascii="Times New Roman" w:hAnsi="Times New Roman"/>
                <w:highlight w:val="none"/>
              </w:rPr>
              <w:t>3.4.1</w:t>
            </w:r>
            <w:r>
              <w:rPr>
                <w:rFonts w:hint="eastAsia" w:ascii="Times New Roman" w:hAnsi="Times New Roman"/>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72" w:type="dxa"/>
            <w:vMerge w:val="continue"/>
            <w:tcBorders>
              <w:top w:val="single" w:color="auto" w:sz="4" w:space="0"/>
              <w:bottom w:val="single" w:color="auto" w:sz="4" w:space="0"/>
              <w:right w:val="single" w:color="auto" w:sz="4" w:space="0"/>
            </w:tcBorders>
            <w:vAlign w:val="center"/>
          </w:tcPr>
          <w:p>
            <w:pPr>
              <w:rPr>
                <w:rFonts w:ascii="Times New Roman" w:hAnsi="Times New Roman"/>
                <w:highlight w:val="none"/>
              </w:rPr>
            </w:pP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highlight w:val="none"/>
              </w:rPr>
            </w:pPr>
          </w:p>
        </w:tc>
        <w:tc>
          <w:tcPr>
            <w:tcW w:w="15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highlight w:val="none"/>
              </w:rPr>
            </w:pPr>
            <w:r>
              <w:rPr>
                <w:rFonts w:hint="eastAsia" w:ascii="Times New Roman" w:hAnsi="Times New Roman"/>
                <w:highlight w:val="none"/>
              </w:rPr>
              <w:t>权利义务</w:t>
            </w:r>
          </w:p>
        </w:tc>
        <w:tc>
          <w:tcPr>
            <w:tcW w:w="7380"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highlight w:val="none"/>
                <w:lang w:eastAsia="zh-CN"/>
              </w:rPr>
            </w:pPr>
            <w:r>
              <w:rPr>
                <w:rFonts w:hint="eastAsia" w:ascii="Times New Roman" w:hAnsi="Times New Roman"/>
                <w:highlight w:val="none"/>
              </w:rPr>
              <w:t>符合第二章</w:t>
            </w:r>
            <w:r>
              <w:rPr>
                <w:rFonts w:ascii="Times New Roman" w:hAnsi="Times New Roman"/>
                <w:highlight w:val="none"/>
              </w:rPr>
              <w:t>“</w:t>
            </w:r>
            <w:r>
              <w:rPr>
                <w:rFonts w:hint="eastAsia" w:ascii="Times New Roman" w:hAnsi="Times New Roman"/>
                <w:highlight w:val="none"/>
              </w:rPr>
              <w:t>投标人须知</w:t>
            </w:r>
            <w:r>
              <w:rPr>
                <w:rFonts w:ascii="Times New Roman" w:hAnsi="Times New Roman"/>
                <w:highlight w:val="none"/>
              </w:rPr>
              <w:t>”</w:t>
            </w:r>
            <w:r>
              <w:rPr>
                <w:rFonts w:hint="eastAsia" w:ascii="Times New Roman" w:hAnsi="Times New Roman"/>
                <w:highlight w:val="none"/>
              </w:rPr>
              <w:t>第</w:t>
            </w:r>
            <w:r>
              <w:rPr>
                <w:rFonts w:ascii="Times New Roman" w:hAnsi="Times New Roman"/>
                <w:highlight w:val="none"/>
              </w:rPr>
              <w:t>1.11.1</w:t>
            </w:r>
            <w:r>
              <w:rPr>
                <w:rFonts w:hint="eastAsia" w:ascii="Times New Roman" w:hAnsi="Times New Roman"/>
                <w:highlight w:val="none"/>
              </w:rPr>
              <w:t>项规定和第四章</w:t>
            </w:r>
            <w:r>
              <w:rPr>
                <w:rFonts w:ascii="Times New Roman" w:hAnsi="Times New Roman"/>
                <w:highlight w:val="none"/>
              </w:rPr>
              <w:t>“</w:t>
            </w:r>
            <w:r>
              <w:rPr>
                <w:rFonts w:hint="eastAsia" w:ascii="Times New Roman" w:hAnsi="Times New Roman"/>
                <w:highlight w:val="none"/>
              </w:rPr>
              <w:t>合同条款及格式</w:t>
            </w:r>
            <w:r>
              <w:rPr>
                <w:rFonts w:ascii="Times New Roman" w:hAnsi="Times New Roman"/>
                <w:highlight w:val="none"/>
              </w:rPr>
              <w:t>”</w:t>
            </w:r>
            <w:r>
              <w:rPr>
                <w:rFonts w:hint="eastAsia" w:ascii="Times New Roman" w:hAnsi="Times New Roman"/>
                <w:highlight w:val="none"/>
              </w:rPr>
              <w:t>中的实质性要求和条件</w:t>
            </w:r>
            <w:r>
              <w:rPr>
                <w:rFonts w:hint="eastAsia" w:ascii="Times New Roman" w:hAnsi="Times New Roman"/>
                <w:highlight w:val="none"/>
                <w:lang w:eastAsia="zh-CN"/>
              </w:rPr>
              <w:t>。</w:t>
            </w:r>
          </w:p>
        </w:tc>
      </w:tr>
    </w:tbl>
    <w:p>
      <w:pPr>
        <w:rPr>
          <w:rFonts w:ascii="宋体" w:hAnsi="宋体" w:cs="宋体"/>
          <w:color w:val="auto"/>
          <w:szCs w:val="21"/>
          <w:highlight w:val="none"/>
        </w:rPr>
      </w:pPr>
    </w:p>
    <w:p>
      <w:pPr>
        <w:rPr>
          <w:color w:val="auto"/>
          <w:highlight w:val="none"/>
        </w:rPr>
      </w:pPr>
      <w:r>
        <w:rPr>
          <w:color w:val="auto"/>
          <w:highlight w:val="none"/>
        </w:rPr>
        <w:br w:type="page"/>
      </w:r>
    </w:p>
    <w:tbl>
      <w:tblPr>
        <w:tblStyle w:val="34"/>
        <w:tblW w:w="104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3"/>
        <w:gridCol w:w="1080"/>
        <w:gridCol w:w="1644"/>
        <w:gridCol w:w="6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33" w:type="dxa"/>
            <w:gridSpan w:val="2"/>
            <w:tcBorders>
              <w:top w:val="single" w:color="auto" w:sz="4" w:space="0"/>
              <w:bottom w:val="single" w:color="auto" w:sz="4" w:space="0"/>
              <w:right w:val="single" w:color="auto" w:sz="4" w:space="0"/>
            </w:tcBorders>
            <w:vAlign w:val="center"/>
          </w:tcPr>
          <w:p>
            <w:pPr>
              <w:spacing w:line="360" w:lineRule="exact"/>
              <w:jc w:val="center"/>
              <w:rPr>
                <w:rFonts w:ascii="Times New Roman" w:hAnsi="Times New Roman"/>
                <w:b/>
                <w:highlight w:val="none"/>
              </w:rPr>
            </w:pPr>
            <w:r>
              <w:rPr>
                <w:rFonts w:hint="eastAsia" w:ascii="Times New Roman" w:hAnsi="Times New Roman"/>
                <w:b/>
                <w:highlight w:val="none"/>
              </w:rPr>
              <w:t>条款号</w:t>
            </w:r>
          </w:p>
        </w:tc>
        <w:tc>
          <w:tcPr>
            <w:tcW w:w="16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b/>
                <w:highlight w:val="none"/>
              </w:rPr>
            </w:pPr>
            <w:r>
              <w:rPr>
                <w:rFonts w:hint="eastAsia" w:ascii="Times New Roman" w:hAnsi="Times New Roman"/>
                <w:b/>
                <w:highlight w:val="none"/>
              </w:rPr>
              <w:t>条款内容</w:t>
            </w:r>
          </w:p>
        </w:tc>
        <w:tc>
          <w:tcPr>
            <w:tcW w:w="6840" w:type="dxa"/>
            <w:tcBorders>
              <w:top w:val="single" w:color="auto" w:sz="4" w:space="0"/>
              <w:left w:val="single" w:color="auto" w:sz="4" w:space="0"/>
              <w:bottom w:val="single" w:color="auto" w:sz="4" w:space="0"/>
            </w:tcBorders>
            <w:vAlign w:val="center"/>
          </w:tcPr>
          <w:p>
            <w:pPr>
              <w:spacing w:line="360" w:lineRule="exact"/>
              <w:jc w:val="center"/>
              <w:rPr>
                <w:rFonts w:ascii="Times New Roman" w:hAnsi="Times New Roman"/>
                <w:b/>
                <w:highlight w:val="none"/>
              </w:rPr>
            </w:pPr>
            <w:r>
              <w:rPr>
                <w:rFonts w:hint="eastAsia" w:ascii="Times New Roman" w:hAnsi="Times New Roman"/>
                <w:b/>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5" w:hRule="atLeast"/>
          <w:jc w:val="center"/>
        </w:trPr>
        <w:tc>
          <w:tcPr>
            <w:tcW w:w="1933"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napToGrid/>
              <w:spacing w:line="400" w:lineRule="exact"/>
              <w:jc w:val="center"/>
              <w:rPr>
                <w:rFonts w:ascii="Times New Roman" w:hAnsi="Times New Roman"/>
                <w:bCs/>
                <w:highlight w:val="none"/>
              </w:rPr>
            </w:pPr>
            <w:r>
              <w:rPr>
                <w:rFonts w:hint="eastAsia" w:ascii="Times New Roman" w:hAnsi="Times New Roman"/>
                <w:bCs/>
                <w:highlight w:val="none"/>
              </w:rPr>
              <w:t>2.2.1</w:t>
            </w:r>
          </w:p>
        </w:tc>
        <w:tc>
          <w:tcPr>
            <w:tcW w:w="1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napToGrid/>
              <w:spacing w:line="400" w:lineRule="exact"/>
              <w:jc w:val="center"/>
              <w:rPr>
                <w:rFonts w:ascii="Times New Roman" w:hAnsi="Times New Roman"/>
                <w:bCs/>
                <w:highlight w:val="none"/>
              </w:rPr>
            </w:pPr>
            <w:r>
              <w:rPr>
                <w:rFonts w:hint="eastAsia" w:ascii="Times New Roman" w:hAnsi="Times New Roman"/>
                <w:bCs/>
                <w:highlight w:val="none"/>
              </w:rPr>
              <w:t>分值构成</w:t>
            </w:r>
          </w:p>
          <w:p>
            <w:pPr>
              <w:keepNext w:val="0"/>
              <w:keepLines w:val="0"/>
              <w:pageBreakBefore w:val="0"/>
              <w:kinsoku/>
              <w:wordWrap/>
              <w:overflowPunct/>
              <w:topLinePunct w:val="0"/>
              <w:autoSpaceDN/>
              <w:bidi w:val="0"/>
              <w:snapToGrid/>
              <w:spacing w:line="400" w:lineRule="exact"/>
              <w:jc w:val="center"/>
              <w:rPr>
                <w:rFonts w:ascii="Times New Roman" w:hAnsi="Times New Roman"/>
                <w:bCs/>
                <w:highlight w:val="none"/>
              </w:rPr>
            </w:pPr>
            <w:r>
              <w:rPr>
                <w:rFonts w:hint="eastAsia" w:ascii="Times New Roman" w:hAnsi="Times New Roman"/>
                <w:b/>
                <w:highlight w:val="none"/>
              </w:rPr>
              <w:t>（总分100分）</w:t>
            </w:r>
          </w:p>
        </w:tc>
        <w:tc>
          <w:tcPr>
            <w:tcW w:w="684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N/>
              <w:bidi w:val="0"/>
              <w:adjustRightInd w:val="0"/>
              <w:snapToGrid/>
              <w:spacing w:line="400" w:lineRule="exact"/>
              <w:textAlignment w:val="baseline"/>
              <w:rPr>
                <w:rFonts w:hAnsi="宋体"/>
                <w:b/>
                <w:szCs w:val="21"/>
                <w:highlight w:val="none"/>
              </w:rPr>
            </w:pPr>
            <w:r>
              <w:rPr>
                <w:rFonts w:hint="eastAsia" w:hAnsi="宋体"/>
                <w:b/>
                <w:szCs w:val="21"/>
                <w:highlight w:val="none"/>
              </w:rPr>
              <w:t>第一信封（商务及技术文件）评分分值构成：</w:t>
            </w:r>
          </w:p>
          <w:p>
            <w:pPr>
              <w:keepNext w:val="0"/>
              <w:keepLines w:val="0"/>
              <w:pageBreakBefore w:val="0"/>
              <w:kinsoku/>
              <w:wordWrap/>
              <w:overflowPunct/>
              <w:topLinePunct w:val="0"/>
              <w:autoSpaceDN/>
              <w:bidi w:val="0"/>
              <w:snapToGrid/>
              <w:spacing w:line="400" w:lineRule="exact"/>
              <w:ind w:firstLine="420" w:firstLineChars="200"/>
              <w:rPr>
                <w:highlight w:val="none"/>
              </w:rPr>
            </w:pPr>
            <w:r>
              <w:rPr>
                <w:rFonts w:hint="eastAsia"/>
                <w:highlight w:val="none"/>
              </w:rPr>
              <w:t>商务部分：</w:t>
            </w:r>
            <w:r>
              <w:rPr>
                <w:rFonts w:hint="eastAsia"/>
                <w:highlight w:val="none"/>
                <w:u w:val="single"/>
              </w:rPr>
              <w:t xml:space="preserve"> 1</w:t>
            </w:r>
            <w:r>
              <w:rPr>
                <w:rFonts w:hint="eastAsia"/>
                <w:highlight w:val="none"/>
                <w:u w:val="single"/>
                <w:lang w:val="en-US" w:eastAsia="zh-CN"/>
              </w:rPr>
              <w:t>8</w:t>
            </w:r>
            <w:r>
              <w:rPr>
                <w:rFonts w:hint="eastAsia"/>
                <w:highlight w:val="none"/>
                <w:u w:val="single"/>
              </w:rPr>
              <w:t xml:space="preserve"> </w:t>
            </w:r>
            <w:r>
              <w:rPr>
                <w:rFonts w:hint="eastAsia"/>
                <w:highlight w:val="none"/>
              </w:rPr>
              <w:t>分</w:t>
            </w:r>
          </w:p>
          <w:p>
            <w:pPr>
              <w:keepNext w:val="0"/>
              <w:keepLines w:val="0"/>
              <w:pageBreakBefore w:val="0"/>
              <w:kinsoku/>
              <w:wordWrap/>
              <w:overflowPunct/>
              <w:topLinePunct w:val="0"/>
              <w:autoSpaceDN/>
              <w:bidi w:val="0"/>
              <w:snapToGrid/>
              <w:spacing w:line="400" w:lineRule="exact"/>
              <w:ind w:firstLine="420" w:firstLineChars="200"/>
              <w:rPr>
                <w:highlight w:val="none"/>
              </w:rPr>
            </w:pPr>
            <w:r>
              <w:rPr>
                <w:rFonts w:hint="eastAsia"/>
                <w:highlight w:val="none"/>
              </w:rPr>
              <w:t>技术部分：</w:t>
            </w:r>
            <w:r>
              <w:rPr>
                <w:rFonts w:hint="eastAsia"/>
                <w:highlight w:val="none"/>
                <w:u w:val="single"/>
              </w:rPr>
              <w:t xml:space="preserve"> </w:t>
            </w:r>
            <w:r>
              <w:rPr>
                <w:rFonts w:hint="eastAsia" w:ascii="Calibri" w:hAnsi="Calibri" w:eastAsia="宋体" w:cs="Times New Roman"/>
                <w:kern w:val="2"/>
                <w:sz w:val="21"/>
                <w:szCs w:val="22"/>
                <w:highlight w:val="none"/>
                <w:u w:val="single"/>
                <w:lang w:val="en-US" w:eastAsia="zh-CN" w:bidi="ar-SA"/>
              </w:rPr>
              <w:t xml:space="preserve"> </w:t>
            </w:r>
            <w:r>
              <w:rPr>
                <w:rFonts w:hint="eastAsia" w:cs="Times New Roman"/>
                <w:kern w:val="2"/>
                <w:sz w:val="21"/>
                <w:szCs w:val="22"/>
                <w:highlight w:val="none"/>
                <w:u w:val="single"/>
                <w:lang w:val="en-US" w:eastAsia="zh-CN" w:bidi="ar-SA"/>
              </w:rPr>
              <w:t>2</w:t>
            </w:r>
            <w:r>
              <w:rPr>
                <w:rFonts w:hint="eastAsia" w:ascii="Calibri" w:hAnsi="Calibri" w:eastAsia="宋体" w:cs="Times New Roman"/>
                <w:kern w:val="2"/>
                <w:sz w:val="21"/>
                <w:szCs w:val="22"/>
                <w:highlight w:val="none"/>
                <w:u w:val="single"/>
                <w:lang w:val="en-US" w:eastAsia="zh-CN" w:bidi="ar-SA"/>
              </w:rPr>
              <w:t xml:space="preserve">  </w:t>
            </w:r>
            <w:r>
              <w:rPr>
                <w:rFonts w:hint="eastAsia"/>
                <w:highlight w:val="none"/>
              </w:rPr>
              <w:t>分</w:t>
            </w:r>
          </w:p>
          <w:p>
            <w:pPr>
              <w:keepNext w:val="0"/>
              <w:keepLines w:val="0"/>
              <w:pageBreakBefore w:val="0"/>
              <w:kinsoku/>
              <w:wordWrap/>
              <w:overflowPunct/>
              <w:topLinePunct w:val="0"/>
              <w:autoSpaceDN/>
              <w:bidi w:val="0"/>
              <w:snapToGrid/>
              <w:spacing w:line="400" w:lineRule="exact"/>
              <w:ind w:firstLine="420" w:firstLineChars="200"/>
              <w:rPr>
                <w:highlight w:val="none"/>
              </w:rPr>
            </w:pPr>
            <w:r>
              <w:rPr>
                <w:rFonts w:hint="eastAsia"/>
                <w:highlight w:val="none"/>
              </w:rPr>
              <w:t>其他评分因素：</w:t>
            </w:r>
            <w:r>
              <w:rPr>
                <w:rFonts w:hint="eastAsia"/>
                <w:highlight w:val="none"/>
                <w:u w:val="single"/>
              </w:rPr>
              <w:t xml:space="preserve">  </w:t>
            </w:r>
            <w:r>
              <w:rPr>
                <w:rFonts w:hint="eastAsia" w:ascii="Calibri" w:hAnsi="Calibri" w:eastAsia="宋体" w:cs="Times New Roman"/>
                <w:kern w:val="2"/>
                <w:sz w:val="21"/>
                <w:szCs w:val="22"/>
                <w:highlight w:val="none"/>
                <w:u w:val="single"/>
                <w:lang w:val="en-US" w:eastAsia="zh-CN" w:bidi="ar-SA"/>
              </w:rPr>
              <w:t xml:space="preserve">0  </w:t>
            </w:r>
            <w:r>
              <w:rPr>
                <w:rFonts w:hint="eastAsia"/>
                <w:highlight w:val="none"/>
              </w:rPr>
              <w:t>分（如有）</w:t>
            </w:r>
          </w:p>
          <w:p>
            <w:pPr>
              <w:keepNext w:val="0"/>
              <w:keepLines w:val="0"/>
              <w:pageBreakBefore w:val="0"/>
              <w:kinsoku/>
              <w:wordWrap/>
              <w:overflowPunct/>
              <w:topLinePunct w:val="0"/>
              <w:autoSpaceDN/>
              <w:bidi w:val="0"/>
              <w:adjustRightInd w:val="0"/>
              <w:snapToGrid/>
              <w:spacing w:line="400" w:lineRule="exact"/>
              <w:textAlignment w:val="baseline"/>
              <w:rPr>
                <w:rFonts w:hAnsi="宋体"/>
                <w:b/>
                <w:szCs w:val="21"/>
                <w:highlight w:val="none"/>
              </w:rPr>
            </w:pPr>
            <w:r>
              <w:rPr>
                <w:rFonts w:hint="eastAsia" w:hAnsi="宋体"/>
                <w:b/>
                <w:szCs w:val="21"/>
                <w:highlight w:val="none"/>
              </w:rPr>
              <w:t>第二个信封（报价文件</w:t>
            </w:r>
            <w:r>
              <w:rPr>
                <w:rFonts w:hAnsi="宋体"/>
                <w:b/>
                <w:szCs w:val="21"/>
                <w:highlight w:val="none"/>
              </w:rPr>
              <w:t>）</w:t>
            </w:r>
            <w:r>
              <w:rPr>
                <w:rFonts w:hint="eastAsia" w:hAnsi="宋体"/>
                <w:b/>
                <w:szCs w:val="21"/>
                <w:highlight w:val="none"/>
              </w:rPr>
              <w:t>评分标准构成：</w:t>
            </w:r>
          </w:p>
          <w:p>
            <w:pPr>
              <w:pStyle w:val="2"/>
              <w:keepNext w:val="0"/>
              <w:keepLines w:val="0"/>
              <w:pageBreakBefore w:val="0"/>
              <w:kinsoku/>
              <w:wordWrap/>
              <w:overflowPunct/>
              <w:topLinePunct w:val="0"/>
              <w:autoSpaceDN/>
              <w:bidi w:val="0"/>
              <w:snapToGrid/>
              <w:spacing w:line="400" w:lineRule="exact"/>
              <w:rPr>
                <w:rFonts w:hint="eastAsia" w:hAnsi="宋体"/>
                <w:szCs w:val="21"/>
                <w:highlight w:val="none"/>
              </w:rPr>
            </w:pPr>
            <w:r>
              <w:rPr>
                <w:rFonts w:hint="eastAsia"/>
                <w:sz w:val="21"/>
                <w:highlight w:val="none"/>
              </w:rPr>
              <w:t>评标价</w:t>
            </w:r>
            <w:r>
              <w:rPr>
                <w:rFonts w:hint="eastAsia" w:hAnsi="宋体"/>
                <w:szCs w:val="21"/>
                <w:highlight w:val="none"/>
              </w:rPr>
              <w:t>：</w:t>
            </w:r>
            <w:r>
              <w:rPr>
                <w:rFonts w:hint="eastAsia" w:hAnsi="宋体"/>
                <w:szCs w:val="21"/>
                <w:highlight w:val="none"/>
                <w:u w:val="single"/>
              </w:rPr>
              <w:t xml:space="preserve">  </w:t>
            </w:r>
            <w:r>
              <w:rPr>
                <w:rFonts w:hint="eastAsia" w:cs="Times New Roman"/>
                <w:kern w:val="2"/>
                <w:sz w:val="21"/>
                <w:szCs w:val="22"/>
                <w:highlight w:val="none"/>
                <w:u w:val="single"/>
                <w:lang w:val="en-US" w:eastAsia="zh-CN" w:bidi="ar-SA"/>
              </w:rPr>
              <w:t>80</w:t>
            </w:r>
            <w:r>
              <w:rPr>
                <w:rFonts w:hint="eastAsia" w:ascii="Calibri" w:hAnsi="Calibri" w:eastAsia="宋体" w:cs="Times New Roman"/>
                <w:kern w:val="2"/>
                <w:sz w:val="21"/>
                <w:szCs w:val="22"/>
                <w:highlight w:val="none"/>
                <w:u w:val="single"/>
                <w:lang w:val="en-US" w:eastAsia="zh-CN" w:bidi="ar-SA"/>
              </w:rPr>
              <w:t xml:space="preserve"> </w:t>
            </w:r>
            <w:r>
              <w:rPr>
                <w:rFonts w:hint="eastAsia" w:hAnsi="宋体"/>
                <w:szCs w:val="21"/>
                <w:highlight w:val="none"/>
                <w:u w:val="single"/>
              </w:rPr>
              <w:t xml:space="preserve"> </w:t>
            </w:r>
            <w:r>
              <w:rPr>
                <w:rFonts w:hint="eastAsia" w:hAnsi="宋体"/>
                <w:szCs w:val="21"/>
                <w:highlight w:val="none"/>
              </w:rPr>
              <w:t>分</w:t>
            </w:r>
          </w:p>
          <w:p>
            <w:pPr>
              <w:keepNext w:val="0"/>
              <w:keepLines w:val="0"/>
              <w:pageBreakBefore w:val="0"/>
              <w:kinsoku/>
              <w:wordWrap/>
              <w:overflowPunct/>
              <w:topLinePunct w:val="0"/>
              <w:autoSpaceDN/>
              <w:bidi w:val="0"/>
              <w:snapToGrid/>
              <w:spacing w:line="400" w:lineRule="exact"/>
              <w:ind w:firstLine="422" w:firstLineChars="200"/>
              <w:jc w:val="left"/>
              <w:rPr>
                <w:rFonts w:hint="eastAsia"/>
                <w:b/>
                <w:bCs/>
                <w:lang w:eastAsia="zh-CN"/>
              </w:rPr>
            </w:pPr>
          </w:p>
          <w:p>
            <w:pPr>
              <w:keepNext w:val="0"/>
              <w:keepLines w:val="0"/>
              <w:pageBreakBefore w:val="0"/>
              <w:kinsoku/>
              <w:wordWrap/>
              <w:overflowPunct/>
              <w:topLinePunct w:val="0"/>
              <w:autoSpaceDN/>
              <w:bidi w:val="0"/>
              <w:snapToGrid/>
              <w:spacing w:line="400" w:lineRule="exact"/>
              <w:ind w:firstLine="422" w:firstLineChars="200"/>
              <w:jc w:val="left"/>
              <w:rPr>
                <w:rFonts w:hint="eastAsia" w:hAnsi="宋体"/>
                <w:szCs w:val="21"/>
                <w:highlight w:val="none"/>
              </w:rPr>
            </w:pPr>
            <w:r>
              <w:rPr>
                <w:rFonts w:hint="eastAsia"/>
                <w:b/>
                <w:bCs/>
                <w:lang w:eastAsia="zh-CN"/>
              </w:rPr>
              <w:t>本项目由评标委员会按照上述规定，独立评分并签名，各评审因素（除商务部分和评标价外）得分一般不得低于其满分的60%，评标委员会成员对某一项评分因素的评分低于权重分值60%的，应在评标报告中做出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5" w:hRule="atLeast"/>
          <w:jc w:val="center"/>
        </w:trPr>
        <w:tc>
          <w:tcPr>
            <w:tcW w:w="1933"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napToGrid/>
              <w:spacing w:line="400" w:lineRule="exact"/>
              <w:jc w:val="center"/>
              <w:rPr>
                <w:rFonts w:ascii="Times New Roman" w:hAnsi="Times New Roman"/>
                <w:bCs/>
                <w:highlight w:val="none"/>
              </w:rPr>
            </w:pPr>
            <w:r>
              <w:rPr>
                <w:rFonts w:hint="eastAsia" w:ascii="Times New Roman" w:hAnsi="Times New Roman"/>
                <w:bCs/>
                <w:highlight w:val="none"/>
              </w:rPr>
              <w:t>2.2.2</w:t>
            </w:r>
          </w:p>
        </w:tc>
        <w:tc>
          <w:tcPr>
            <w:tcW w:w="1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napToGrid/>
              <w:spacing w:line="400" w:lineRule="exact"/>
              <w:jc w:val="center"/>
              <w:rPr>
                <w:rFonts w:ascii="Times New Roman" w:hAnsi="Times New Roman"/>
                <w:color w:val="auto"/>
                <w:highlight w:val="none"/>
              </w:rPr>
            </w:pPr>
            <w:r>
              <w:rPr>
                <w:rFonts w:hint="eastAsia" w:ascii="Times New Roman" w:hAnsi="Times New Roman"/>
                <w:color w:val="auto"/>
                <w:highlight w:val="none"/>
              </w:rPr>
              <w:t>评标基准价计算方式</w:t>
            </w:r>
          </w:p>
        </w:tc>
        <w:tc>
          <w:tcPr>
            <w:tcW w:w="684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N/>
              <w:bidi w:val="0"/>
              <w:snapToGrid/>
              <w:spacing w:line="400" w:lineRule="exact"/>
              <w:rPr>
                <w:rFonts w:ascii="Times New Roman" w:hAnsi="宋体"/>
                <w:b/>
                <w:bCs/>
                <w:color w:val="auto"/>
                <w:szCs w:val="21"/>
                <w:highlight w:val="none"/>
              </w:rPr>
            </w:pPr>
            <w:r>
              <w:rPr>
                <w:rFonts w:hint="eastAsia" w:ascii="Times New Roman" w:hAnsi="宋体"/>
                <w:b/>
                <w:bCs/>
                <w:color w:val="auto"/>
                <w:szCs w:val="21"/>
                <w:highlight w:val="none"/>
              </w:rPr>
              <w:t>评标基准价的计算：</w:t>
            </w:r>
          </w:p>
          <w:p>
            <w:pPr>
              <w:keepNext w:val="0"/>
              <w:keepLines w:val="0"/>
              <w:pageBreakBefore w:val="0"/>
              <w:kinsoku/>
              <w:wordWrap/>
              <w:overflowPunct/>
              <w:topLinePunct w:val="0"/>
              <w:autoSpaceDN/>
              <w:bidi w:val="0"/>
              <w:snapToGrid/>
              <w:spacing w:line="400" w:lineRule="exact"/>
              <w:ind w:left="141" w:leftChars="67" w:firstLine="312"/>
              <w:rPr>
                <w:rFonts w:ascii="Times New Roman" w:hAnsi="宋体"/>
                <w:color w:val="auto"/>
                <w:szCs w:val="21"/>
                <w:highlight w:val="none"/>
              </w:rPr>
            </w:pPr>
            <w:r>
              <w:rPr>
                <w:rFonts w:hint="eastAsia" w:ascii="Times New Roman" w:hAnsi="宋体"/>
                <w:color w:val="auto"/>
                <w:szCs w:val="21"/>
                <w:highlight w:val="none"/>
              </w:rPr>
              <w:t>在第二个信封（报价文件）开标现场，招标人将当场计算并宣布评标基准价。</w:t>
            </w:r>
          </w:p>
          <w:p>
            <w:pPr>
              <w:keepNext w:val="0"/>
              <w:keepLines w:val="0"/>
              <w:pageBreakBefore w:val="0"/>
              <w:kinsoku/>
              <w:wordWrap/>
              <w:overflowPunct/>
              <w:topLinePunct w:val="0"/>
              <w:autoSpaceDN/>
              <w:bidi w:val="0"/>
              <w:snapToGrid/>
              <w:spacing w:line="400" w:lineRule="exact"/>
              <w:ind w:left="141" w:leftChars="67" w:firstLine="312"/>
              <w:rPr>
                <w:rFonts w:ascii="Times New Roman" w:hAnsi="宋体"/>
                <w:b/>
                <w:bCs/>
                <w:color w:val="auto"/>
                <w:szCs w:val="21"/>
                <w:highlight w:val="none"/>
              </w:rPr>
            </w:pPr>
            <w:r>
              <w:rPr>
                <w:rFonts w:hint="eastAsia" w:ascii="Times New Roman" w:hAnsi="宋体"/>
                <w:b/>
                <w:bCs/>
                <w:color w:val="auto"/>
                <w:szCs w:val="21"/>
                <w:highlight w:val="none"/>
              </w:rPr>
              <w:t>（1）评标价的确定：</w:t>
            </w:r>
          </w:p>
          <w:p>
            <w:pPr>
              <w:keepNext w:val="0"/>
              <w:keepLines w:val="0"/>
              <w:pageBreakBefore w:val="0"/>
              <w:kinsoku/>
              <w:wordWrap/>
              <w:overflowPunct/>
              <w:topLinePunct w:val="0"/>
              <w:autoSpaceDN/>
              <w:bidi w:val="0"/>
              <w:snapToGrid/>
              <w:spacing w:line="400" w:lineRule="exact"/>
              <w:ind w:left="141" w:leftChars="67" w:firstLine="312"/>
              <w:rPr>
                <w:rFonts w:ascii="Times New Roman" w:hAnsi="宋体"/>
                <w:color w:val="auto"/>
                <w:szCs w:val="21"/>
                <w:highlight w:val="none"/>
              </w:rPr>
            </w:pPr>
            <w:r>
              <w:rPr>
                <w:rFonts w:hint="eastAsia" w:ascii="Times New Roman" w:hAnsi="宋体"/>
                <w:color w:val="auto"/>
                <w:szCs w:val="21"/>
                <w:highlight w:val="none"/>
              </w:rPr>
              <w:t>评标价=投标函文字报价</w:t>
            </w:r>
          </w:p>
          <w:p>
            <w:pPr>
              <w:keepNext w:val="0"/>
              <w:keepLines w:val="0"/>
              <w:pageBreakBefore w:val="0"/>
              <w:widowControl/>
              <w:kinsoku/>
              <w:wordWrap/>
              <w:overflowPunct/>
              <w:topLinePunct w:val="0"/>
              <w:autoSpaceDE w:val="0"/>
              <w:autoSpaceDN/>
              <w:bidi w:val="0"/>
              <w:snapToGrid/>
              <w:spacing w:line="400" w:lineRule="exact"/>
              <w:ind w:firstLine="442" w:firstLineChars="200"/>
              <w:jc w:val="left"/>
              <w:rPr>
                <w:rFonts w:hint="eastAsia" w:ascii="宋体" w:hAnsi="宋体" w:cs="Times New Roman"/>
                <w:b/>
                <w:bCs/>
                <w:color w:val="auto"/>
                <w:sz w:val="22"/>
                <w:highlight w:val="none"/>
                <w:lang w:val="en-US" w:eastAsia="zh-CN"/>
              </w:rPr>
            </w:pPr>
            <w:r>
              <w:rPr>
                <w:rFonts w:hint="eastAsia" w:ascii="宋体" w:hAnsi="宋体" w:cs="Times New Roman"/>
                <w:b/>
                <w:bCs/>
                <w:color w:val="auto"/>
                <w:sz w:val="22"/>
                <w:highlight w:val="none"/>
                <w:lang w:val="en-US" w:eastAsia="zh-CN"/>
              </w:rPr>
              <w:t>（2）评标基准价的确定</w:t>
            </w:r>
          </w:p>
          <w:p>
            <w:pPr>
              <w:keepNext w:val="0"/>
              <w:keepLines w:val="0"/>
              <w:pageBreakBefore w:val="0"/>
              <w:widowControl/>
              <w:kinsoku/>
              <w:wordWrap/>
              <w:overflowPunct/>
              <w:topLinePunct w:val="0"/>
              <w:autoSpaceDE w:val="0"/>
              <w:autoSpaceDN/>
              <w:bidi w:val="0"/>
              <w:snapToGrid/>
              <w:spacing w:line="400" w:lineRule="exact"/>
              <w:ind w:firstLine="440" w:firstLineChars="200"/>
              <w:jc w:val="left"/>
              <w:rPr>
                <w:rFonts w:hint="default" w:ascii="宋体" w:hAnsi="宋体" w:cs="Times New Roman"/>
                <w:color w:val="auto"/>
                <w:sz w:val="22"/>
                <w:highlight w:val="none"/>
                <w:lang w:val="en-US" w:eastAsia="zh-CN"/>
              </w:rPr>
            </w:pPr>
            <w:r>
              <w:rPr>
                <w:rFonts w:hint="eastAsia" w:ascii="宋体" w:hAnsi="宋体" w:cs="Times New Roman"/>
                <w:color w:val="auto"/>
                <w:sz w:val="22"/>
                <w:highlight w:val="none"/>
                <w:lang w:val="en-US" w:eastAsia="zh-CN"/>
              </w:rPr>
              <w:t>评标基准价=有效的最低投标报价</w:t>
            </w:r>
          </w:p>
          <w:p>
            <w:pPr>
              <w:keepNext w:val="0"/>
              <w:keepLines w:val="0"/>
              <w:pageBreakBefore w:val="0"/>
              <w:widowControl/>
              <w:kinsoku/>
              <w:wordWrap/>
              <w:overflowPunct/>
              <w:topLinePunct w:val="0"/>
              <w:autoSpaceDE w:val="0"/>
              <w:autoSpaceDN/>
              <w:bidi w:val="0"/>
              <w:snapToGrid/>
              <w:spacing w:line="400" w:lineRule="exact"/>
              <w:ind w:firstLine="440" w:firstLineChars="200"/>
              <w:jc w:val="left"/>
              <w:rPr>
                <w:rFonts w:ascii="Times New Roman" w:hAnsi="Times New Roman"/>
                <w:bCs/>
                <w:color w:val="auto"/>
                <w:highlight w:val="none"/>
              </w:rPr>
            </w:pPr>
            <w:r>
              <w:rPr>
                <w:rFonts w:hint="eastAsia" w:ascii="宋体" w:hAnsi="宋体" w:cs="Times New Roman"/>
                <w:color w:val="auto"/>
                <w:sz w:val="22"/>
                <w:highlight w:val="none"/>
                <w:lang w:val="en-US" w:eastAsia="zh-CN"/>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jc w:val="center"/>
        </w:trPr>
        <w:tc>
          <w:tcPr>
            <w:tcW w:w="1933"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napToGrid/>
              <w:spacing w:line="400" w:lineRule="exact"/>
              <w:jc w:val="center"/>
              <w:rPr>
                <w:rFonts w:ascii="Times New Roman" w:hAnsi="Times New Roman"/>
                <w:bCs/>
                <w:highlight w:val="none"/>
              </w:rPr>
            </w:pPr>
            <w:r>
              <w:rPr>
                <w:rFonts w:hint="eastAsia" w:ascii="Times New Roman" w:hAnsi="Times New Roman"/>
                <w:bCs/>
                <w:highlight w:val="none"/>
              </w:rPr>
              <w:t>2.2.3</w:t>
            </w:r>
          </w:p>
        </w:tc>
        <w:tc>
          <w:tcPr>
            <w:tcW w:w="1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napToGrid/>
              <w:spacing w:line="400" w:lineRule="exact"/>
              <w:jc w:val="center"/>
              <w:rPr>
                <w:rFonts w:ascii="Times New Roman" w:hAnsi="Times New Roman"/>
                <w:color w:val="auto"/>
                <w:highlight w:val="none"/>
              </w:rPr>
            </w:pPr>
            <w:r>
              <w:rPr>
                <w:rFonts w:hint="eastAsia" w:ascii="Times New Roman" w:hAnsi="Times New Roman"/>
                <w:color w:val="auto"/>
                <w:highlight w:val="none"/>
              </w:rPr>
              <w:t>投标报价的偏差率计算公式</w:t>
            </w:r>
          </w:p>
        </w:tc>
        <w:tc>
          <w:tcPr>
            <w:tcW w:w="684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N/>
              <w:bidi w:val="0"/>
              <w:snapToGrid/>
              <w:spacing w:line="400" w:lineRule="exact"/>
              <w:rPr>
                <w:rFonts w:hAnsi="宋体"/>
                <w:color w:val="auto"/>
                <w:szCs w:val="21"/>
                <w:highlight w:val="none"/>
              </w:rPr>
            </w:pPr>
            <w:r>
              <w:rPr>
                <w:rFonts w:hint="eastAsia" w:hAnsi="宋体"/>
                <w:color w:val="auto"/>
                <w:szCs w:val="21"/>
                <w:highlight w:val="none"/>
              </w:rPr>
              <w:t>偏差率=100%×｜（投标人评标价-评标基准价）︱/评标基准价</w:t>
            </w:r>
          </w:p>
          <w:p>
            <w:pPr>
              <w:keepNext w:val="0"/>
              <w:keepLines w:val="0"/>
              <w:pageBreakBefore w:val="0"/>
              <w:kinsoku/>
              <w:wordWrap/>
              <w:overflowPunct/>
              <w:topLinePunct w:val="0"/>
              <w:autoSpaceDN/>
              <w:bidi w:val="0"/>
              <w:snapToGrid/>
              <w:spacing w:line="400" w:lineRule="exact"/>
              <w:jc w:val="center"/>
              <w:rPr>
                <w:rFonts w:ascii="Times New Roman" w:hAnsi="Times New Roman"/>
                <w:bCs/>
                <w:color w:val="auto"/>
                <w:highlight w:val="none"/>
              </w:rPr>
            </w:pPr>
            <w:r>
              <w:rPr>
                <w:rFonts w:hint="eastAsia" w:hAnsi="宋体"/>
                <w:color w:val="auto"/>
                <w:szCs w:val="21"/>
                <w:highlight w:val="none"/>
              </w:rPr>
              <w:t>偏差率保留两位小数。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1933"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napToGrid/>
              <w:spacing w:line="400" w:lineRule="exact"/>
              <w:jc w:val="center"/>
              <w:rPr>
                <w:rFonts w:ascii="Times New Roman" w:hAnsi="Times New Roman"/>
                <w:b/>
                <w:highlight w:val="none"/>
              </w:rPr>
            </w:pPr>
            <w:r>
              <w:rPr>
                <w:rFonts w:hint="eastAsia" w:ascii="Times New Roman" w:hAnsi="Times New Roman"/>
                <w:b/>
                <w:highlight w:val="none"/>
              </w:rPr>
              <w:t>条款号</w:t>
            </w:r>
          </w:p>
        </w:tc>
        <w:tc>
          <w:tcPr>
            <w:tcW w:w="1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napToGrid/>
              <w:spacing w:line="400" w:lineRule="exact"/>
              <w:jc w:val="center"/>
              <w:rPr>
                <w:rFonts w:hint="eastAsia" w:ascii="Times New Roman" w:hAnsi="Times New Roman"/>
                <w:b/>
                <w:color w:val="auto"/>
                <w:highlight w:val="none"/>
              </w:rPr>
            </w:pPr>
            <w:r>
              <w:rPr>
                <w:rFonts w:hint="eastAsia" w:ascii="Times New Roman" w:hAnsi="Times New Roman"/>
                <w:b/>
                <w:color w:val="auto"/>
                <w:highlight w:val="none"/>
              </w:rPr>
              <w:t>评分因素</w:t>
            </w:r>
          </w:p>
          <w:p>
            <w:pPr>
              <w:keepNext w:val="0"/>
              <w:keepLines w:val="0"/>
              <w:pageBreakBefore w:val="0"/>
              <w:kinsoku/>
              <w:wordWrap/>
              <w:overflowPunct/>
              <w:topLinePunct w:val="0"/>
              <w:autoSpaceDN/>
              <w:bidi w:val="0"/>
              <w:snapToGrid/>
              <w:spacing w:line="400" w:lineRule="exact"/>
              <w:jc w:val="center"/>
              <w:rPr>
                <w:rFonts w:ascii="Times New Roman" w:hAnsi="Times New Roman"/>
                <w:b/>
                <w:color w:val="auto"/>
                <w:highlight w:val="none"/>
              </w:rPr>
            </w:pPr>
            <w:r>
              <w:rPr>
                <w:rFonts w:hint="eastAsia" w:ascii="Times New Roman" w:hAnsi="Times New Roman"/>
                <w:b/>
                <w:color w:val="auto"/>
                <w:highlight w:val="none"/>
              </w:rPr>
              <w:t>（偏差率）</w:t>
            </w:r>
          </w:p>
        </w:tc>
        <w:tc>
          <w:tcPr>
            <w:tcW w:w="684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N/>
              <w:bidi w:val="0"/>
              <w:snapToGrid/>
              <w:spacing w:line="400" w:lineRule="exact"/>
              <w:jc w:val="center"/>
              <w:rPr>
                <w:rFonts w:ascii="Times New Roman" w:hAnsi="Times New Roman"/>
                <w:b/>
                <w:color w:val="auto"/>
                <w:highlight w:val="none"/>
              </w:rPr>
            </w:pPr>
            <w:r>
              <w:rPr>
                <w:rFonts w:hint="eastAsia" w:ascii="Times New Roman" w:hAnsi="Times New Roman"/>
                <w:b/>
                <w:color w:val="auto"/>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0" w:hRule="atLeast"/>
          <w:jc w:val="center"/>
        </w:trPr>
        <w:tc>
          <w:tcPr>
            <w:tcW w:w="853"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N/>
              <w:bidi w:val="0"/>
              <w:snapToGrid/>
              <w:spacing w:line="400" w:lineRule="exact"/>
              <w:jc w:val="center"/>
              <w:rPr>
                <w:rFonts w:ascii="Times New Roman" w:hAnsi="Times New Roman"/>
                <w:highlight w:val="none"/>
              </w:rPr>
            </w:pPr>
            <w:r>
              <w:rPr>
                <w:rFonts w:ascii="Times New Roman" w:hAnsi="Times New Roman"/>
                <w:highlight w:val="none"/>
              </w:rPr>
              <w:t>2.2.4</w:t>
            </w:r>
            <w:r>
              <w:rPr>
                <w:rFonts w:hint="eastAsia" w:ascii="Times New Roman" w:hAnsi="Times New Roman"/>
                <w:highlight w:val="none"/>
              </w:rPr>
              <w:t>（</w:t>
            </w:r>
            <w:r>
              <w:rPr>
                <w:rFonts w:ascii="Times New Roman" w:hAnsi="Times New Roman"/>
                <w:highlight w:val="none"/>
              </w:rPr>
              <w:t>1</w:t>
            </w:r>
            <w:r>
              <w:rPr>
                <w:rFonts w:hint="eastAsia" w:ascii="Times New Roman" w:hAnsi="Times New Roman"/>
                <w:highlight w:val="none"/>
              </w:rPr>
              <w:t>）</w:t>
            </w:r>
          </w:p>
        </w:tc>
        <w:tc>
          <w:tcPr>
            <w:tcW w:w="108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N/>
              <w:bidi w:val="0"/>
              <w:snapToGrid/>
              <w:spacing w:line="400" w:lineRule="exact"/>
              <w:jc w:val="center"/>
              <w:rPr>
                <w:rFonts w:ascii="Times New Roman" w:hAnsi="Times New Roman"/>
                <w:highlight w:val="none"/>
              </w:rPr>
            </w:pPr>
            <w:r>
              <w:rPr>
                <w:rFonts w:hint="eastAsia" w:ascii="Times New Roman" w:hAnsi="Times New Roman"/>
                <w:highlight w:val="none"/>
              </w:rPr>
              <w:t>商务评分标准</w:t>
            </w:r>
          </w:p>
        </w:tc>
        <w:tc>
          <w:tcPr>
            <w:tcW w:w="1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snapToGrid/>
              <w:spacing w:line="400" w:lineRule="exact"/>
              <w:jc w:val="left"/>
              <w:rPr>
                <w:rFonts w:hint="eastAsia" w:ascii="宋体" w:hAnsi="宋体" w:cs="Times New Roman"/>
                <w:color w:val="auto"/>
                <w:sz w:val="22"/>
                <w:highlight w:val="none"/>
                <w:lang w:val="en-US" w:eastAsia="zh-CN"/>
              </w:rPr>
            </w:pPr>
            <w:r>
              <w:rPr>
                <w:rFonts w:hint="eastAsia" w:ascii="宋体" w:hAnsi="宋体" w:cs="Times New Roman"/>
                <w:color w:val="auto"/>
                <w:sz w:val="22"/>
                <w:highlight w:val="none"/>
                <w:lang w:val="en-US" w:eastAsia="zh-CN"/>
              </w:rPr>
              <w:t>供货业绩</w:t>
            </w:r>
          </w:p>
          <w:p>
            <w:pPr>
              <w:keepNext w:val="0"/>
              <w:keepLines w:val="0"/>
              <w:pageBreakBefore w:val="0"/>
              <w:widowControl/>
              <w:kinsoku/>
              <w:wordWrap/>
              <w:overflowPunct/>
              <w:topLinePunct w:val="0"/>
              <w:autoSpaceDE w:val="0"/>
              <w:autoSpaceDN/>
              <w:bidi w:val="0"/>
              <w:snapToGrid/>
              <w:spacing w:line="400" w:lineRule="exact"/>
              <w:jc w:val="left"/>
              <w:rPr>
                <w:rFonts w:hint="eastAsia" w:ascii="宋体" w:hAnsi="宋体" w:cs="Times New Roman"/>
                <w:color w:val="auto"/>
                <w:sz w:val="22"/>
                <w:highlight w:val="none"/>
                <w:lang w:val="en-US" w:eastAsia="zh-CN"/>
              </w:rPr>
            </w:pPr>
            <w:r>
              <w:rPr>
                <w:rFonts w:hint="eastAsia" w:ascii="宋体" w:hAnsi="宋体" w:cs="Times New Roman"/>
                <w:color w:val="auto"/>
                <w:sz w:val="22"/>
                <w:highlight w:val="none"/>
                <w:lang w:val="en-US" w:eastAsia="zh-CN"/>
              </w:rPr>
              <w:t>（10分）</w:t>
            </w:r>
          </w:p>
        </w:tc>
        <w:tc>
          <w:tcPr>
            <w:tcW w:w="6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val="0"/>
              <w:autoSpaceDN/>
              <w:bidi w:val="0"/>
              <w:snapToGrid/>
              <w:spacing w:line="400" w:lineRule="exact"/>
              <w:jc w:val="left"/>
              <w:rPr>
                <w:rFonts w:hint="eastAsia" w:ascii="宋体" w:hAnsi="宋体" w:cs="Times New Roman"/>
                <w:color w:val="auto"/>
                <w:sz w:val="22"/>
                <w:highlight w:val="none"/>
                <w:lang w:val="en-US" w:eastAsia="zh-CN"/>
              </w:rPr>
            </w:pPr>
            <w:r>
              <w:rPr>
                <w:rFonts w:hint="eastAsia" w:ascii="宋体" w:hAnsi="宋体" w:cs="Times New Roman"/>
                <w:color w:val="auto"/>
                <w:sz w:val="22"/>
                <w:highlight w:val="none"/>
                <w:lang w:val="en-US" w:eastAsia="zh-CN"/>
              </w:rPr>
              <w:t>近三年（2017年1月1日至投标文件递交截至时间）每完成一个高速公路波形梁供货项目，且单项合同金额大于等于3000万元的加1分，最高加10分。业绩认定以签订的合同协议书复印件作为证明材料，认定时间周期为2017年1月1日至投标文件递交截止时间。2020年1月1日之后签订的合同若已经完成供货，还应补充用户单位出具的相关证明，以证明已经完成了上述合同的波形梁供应，否则业绩不予认可。合同协议书或者用户单位出具的相关证明中未明确表述合同金额的，投标人应当提供注明有合同金额的中标通知书或由业主单位出具的注明有合同金额的证明材料或者相关发票复印件予以补充，否则业绩将不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3"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N/>
              <w:bidi w:val="0"/>
              <w:snapToGrid/>
              <w:spacing w:line="400" w:lineRule="exact"/>
              <w:jc w:val="center"/>
              <w:rPr>
                <w:rFonts w:ascii="Times New Roman" w:hAnsi="Times New Roman"/>
                <w:highlight w:val="none"/>
              </w:rPr>
            </w:pPr>
          </w:p>
        </w:tc>
        <w:tc>
          <w:tcPr>
            <w:tcW w:w="108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napToGrid/>
              <w:spacing w:line="400" w:lineRule="exact"/>
              <w:jc w:val="center"/>
              <w:rPr>
                <w:rFonts w:hint="eastAsia" w:ascii="Times New Roman" w:hAnsi="Times New Roman"/>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snapToGrid/>
              <w:spacing w:line="400" w:lineRule="exact"/>
              <w:jc w:val="center"/>
              <w:rPr>
                <w:rFonts w:hint="eastAsia" w:ascii="宋体" w:hAnsi="宋体" w:cs="Times New Roman"/>
                <w:color w:val="auto"/>
                <w:sz w:val="22"/>
                <w:highlight w:val="none"/>
                <w:lang w:val="en-US" w:eastAsia="zh-CN"/>
              </w:rPr>
            </w:pPr>
            <w:r>
              <w:rPr>
                <w:rFonts w:hint="eastAsia" w:ascii="宋体" w:hAnsi="宋体" w:cs="Times New Roman"/>
                <w:color w:val="auto"/>
                <w:sz w:val="22"/>
                <w:highlight w:val="none"/>
                <w:lang w:val="en-US" w:eastAsia="zh-CN"/>
              </w:rPr>
              <w:t>生产保障能力（8分）</w:t>
            </w:r>
          </w:p>
        </w:tc>
        <w:tc>
          <w:tcPr>
            <w:tcW w:w="6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val="0"/>
              <w:autoSpaceDN/>
              <w:bidi w:val="0"/>
              <w:snapToGrid/>
              <w:spacing w:line="400" w:lineRule="exact"/>
              <w:jc w:val="left"/>
              <w:rPr>
                <w:rFonts w:hint="eastAsia" w:ascii="宋体" w:hAnsi="宋体" w:cs="Times New Roman"/>
                <w:color w:val="auto"/>
                <w:sz w:val="22"/>
                <w:highlight w:val="none"/>
                <w:lang w:val="en-US" w:eastAsia="zh-CN"/>
              </w:rPr>
            </w:pPr>
            <w:r>
              <w:rPr>
                <w:rFonts w:hint="eastAsia" w:ascii="宋体" w:hAnsi="宋体" w:cs="Times New Roman"/>
                <w:color w:val="auto"/>
                <w:sz w:val="22"/>
                <w:highlight w:val="none"/>
                <w:lang w:val="en-US" w:eastAsia="zh-CN"/>
              </w:rPr>
              <w:t>生产商要求拥有（纵剪、成型、镀锌三位一体）生产线3条，得基本分1分；每增加1条生产线得1分，最多加5分；共计8分；需提供生产线相关发票扫描件作为证明材料，未提供证明材料的不予加分。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5" w:hRule="atLeast"/>
          <w:jc w:val="center"/>
        </w:trPr>
        <w:tc>
          <w:tcPr>
            <w:tcW w:w="853"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napToGrid/>
              <w:spacing w:line="400" w:lineRule="exact"/>
              <w:jc w:val="center"/>
              <w:rPr>
                <w:rFonts w:ascii="Times New Roman" w:hAnsi="Times New Roman"/>
                <w:highlight w:val="none"/>
              </w:rPr>
            </w:pPr>
            <w:r>
              <w:rPr>
                <w:rFonts w:ascii="Times New Roman" w:hAnsi="Times New Roman"/>
                <w:highlight w:val="none"/>
              </w:rPr>
              <w:t>2.2.4</w:t>
            </w:r>
            <w:r>
              <w:rPr>
                <w:rFonts w:hint="eastAsia" w:ascii="Times New Roman" w:hAnsi="Times New Roman"/>
                <w:highlight w:val="none"/>
              </w:rPr>
              <w:t>（2）</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napToGrid/>
              <w:spacing w:line="400" w:lineRule="exact"/>
              <w:jc w:val="center"/>
              <w:rPr>
                <w:rFonts w:ascii="Times New Roman" w:hAnsi="Times New Roman"/>
                <w:highlight w:val="none"/>
              </w:rPr>
            </w:pPr>
            <w:r>
              <w:rPr>
                <w:rFonts w:hint="eastAsia" w:ascii="Times New Roman" w:hAnsi="Times New Roman"/>
                <w:highlight w:val="none"/>
              </w:rPr>
              <w:t>技术评分标准</w:t>
            </w:r>
          </w:p>
        </w:tc>
        <w:tc>
          <w:tcPr>
            <w:tcW w:w="164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autoSpaceDN/>
              <w:bidi w:val="0"/>
              <w:snapToGrid/>
              <w:spacing w:line="400" w:lineRule="exact"/>
              <w:jc w:val="center"/>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供应保障能力</w:t>
            </w:r>
          </w:p>
        </w:tc>
        <w:tc>
          <w:tcPr>
            <w:tcW w:w="684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N/>
              <w:bidi w:val="0"/>
              <w:snapToGrid/>
              <w:spacing w:line="360" w:lineRule="auto"/>
              <w:jc w:val="left"/>
              <w:rPr>
                <w:rFonts w:hint="eastAsia" w:eastAsia="宋体"/>
                <w:color w:val="auto"/>
                <w:highlight w:val="none"/>
                <w:lang w:val="en-US" w:eastAsia="zh-CN"/>
              </w:rPr>
            </w:pPr>
            <w:r>
              <w:rPr>
                <w:rFonts w:hint="eastAsia"/>
                <w:color w:val="auto"/>
                <w:highlight w:val="none"/>
                <w:lang w:val="en-US" w:eastAsia="zh-CN"/>
              </w:rPr>
              <w:t>①供货保证，承诺接到买方书面通知后在最短的合理时间内将货物送达买方指定的施工现场，并有详细、可靠的保证措施，对临时急需的少量货物能短时间送达施工现场，产品质量保证及承诺详细可靠，并承诺保证喷涂后的产品运至工地完好无损。②承诺若买方设计或数量变更能保证及时供货并且保证措施可靠。③其它优惠措施。同时投标人应对上述三个方面的措施提供具体实施方案，按4个等级评定：很好得1.8</w:t>
            </w:r>
            <w:r>
              <w:rPr>
                <w:rFonts w:hint="default"/>
                <w:color w:val="auto"/>
                <w:highlight w:val="none"/>
                <w:lang w:val="en-US" w:eastAsia="zh-CN"/>
              </w:rPr>
              <w:t>~</w:t>
            </w:r>
            <w:r>
              <w:rPr>
                <w:rFonts w:hint="eastAsia"/>
                <w:color w:val="auto"/>
                <w:highlight w:val="none"/>
                <w:lang w:val="en-US" w:eastAsia="zh-CN"/>
              </w:rPr>
              <w:t>2分，较好得1.6</w:t>
            </w:r>
            <w:r>
              <w:rPr>
                <w:rFonts w:hint="default"/>
                <w:color w:val="auto"/>
                <w:highlight w:val="none"/>
                <w:lang w:val="en-US" w:eastAsia="zh-CN"/>
              </w:rPr>
              <w:t>~</w:t>
            </w:r>
            <w:r>
              <w:rPr>
                <w:rFonts w:hint="eastAsia"/>
                <w:color w:val="auto"/>
                <w:highlight w:val="none"/>
                <w:lang w:val="en-US" w:eastAsia="zh-CN"/>
              </w:rPr>
              <w:t>1.8分，一般得1.4</w:t>
            </w:r>
            <w:r>
              <w:rPr>
                <w:rFonts w:hint="default"/>
                <w:color w:val="auto"/>
                <w:highlight w:val="none"/>
                <w:lang w:val="en-US" w:eastAsia="zh-CN"/>
              </w:rPr>
              <w:t>~</w:t>
            </w:r>
            <w:r>
              <w:rPr>
                <w:rFonts w:hint="eastAsia"/>
                <w:color w:val="auto"/>
                <w:highlight w:val="none"/>
                <w:lang w:val="en-US" w:eastAsia="zh-CN"/>
              </w:rPr>
              <w:t>1.6分，较差得1.2</w:t>
            </w:r>
            <w:r>
              <w:rPr>
                <w:rFonts w:hint="default"/>
                <w:color w:val="auto"/>
                <w:highlight w:val="none"/>
                <w:lang w:val="en-US" w:eastAsia="zh-CN"/>
              </w:rPr>
              <w:t>~</w:t>
            </w:r>
            <w:r>
              <w:rPr>
                <w:rFonts w:hint="eastAsia"/>
                <w:color w:val="auto"/>
                <w:highlight w:val="none"/>
                <w:lang w:val="en-US" w:eastAsia="zh-CN"/>
              </w:rPr>
              <w:t>1.4分。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5" w:hRule="atLeast"/>
          <w:jc w:val="center"/>
        </w:trPr>
        <w:tc>
          <w:tcPr>
            <w:tcW w:w="853" w:type="dxa"/>
            <w:tcBorders>
              <w:top w:val="single" w:color="auto" w:sz="4" w:space="0"/>
              <w:right w:val="single" w:color="auto" w:sz="4" w:space="0"/>
            </w:tcBorders>
            <w:vAlign w:val="center"/>
          </w:tcPr>
          <w:p>
            <w:pPr>
              <w:keepNext w:val="0"/>
              <w:keepLines w:val="0"/>
              <w:pageBreakBefore w:val="0"/>
              <w:kinsoku/>
              <w:wordWrap/>
              <w:overflowPunct/>
              <w:topLinePunct w:val="0"/>
              <w:autoSpaceDN/>
              <w:bidi w:val="0"/>
              <w:snapToGrid/>
              <w:spacing w:line="400" w:lineRule="exact"/>
              <w:jc w:val="center"/>
              <w:rPr>
                <w:rFonts w:ascii="Times New Roman" w:hAnsi="Times New Roman"/>
                <w:highlight w:val="none"/>
              </w:rPr>
            </w:pPr>
            <w:r>
              <w:rPr>
                <w:rFonts w:hint="eastAsia" w:ascii="Times New Roman" w:hAnsi="Times New Roman"/>
                <w:highlight w:val="none"/>
              </w:rPr>
              <w:t>2.2.4</w:t>
            </w:r>
          </w:p>
          <w:p>
            <w:pPr>
              <w:keepNext w:val="0"/>
              <w:keepLines w:val="0"/>
              <w:pageBreakBefore w:val="0"/>
              <w:kinsoku/>
              <w:wordWrap/>
              <w:overflowPunct/>
              <w:topLinePunct w:val="0"/>
              <w:autoSpaceDN/>
              <w:bidi w:val="0"/>
              <w:snapToGrid/>
              <w:spacing w:line="400" w:lineRule="exact"/>
              <w:jc w:val="center"/>
              <w:rPr>
                <w:rFonts w:ascii="Times New Roman" w:hAnsi="Times New Roman"/>
                <w:highlight w:val="none"/>
              </w:rPr>
            </w:pPr>
            <w:r>
              <w:rPr>
                <w:rFonts w:hint="eastAsia" w:ascii="Times New Roman" w:hAnsi="Times New Roman"/>
                <w:highlight w:val="none"/>
              </w:rPr>
              <w:t>（3）</w:t>
            </w:r>
          </w:p>
        </w:tc>
        <w:tc>
          <w:tcPr>
            <w:tcW w:w="1080" w:type="dxa"/>
            <w:tcBorders>
              <w:top w:val="single" w:color="auto" w:sz="4" w:space="0"/>
              <w:right w:val="single" w:color="auto" w:sz="4" w:space="0"/>
            </w:tcBorders>
            <w:vAlign w:val="center"/>
          </w:tcPr>
          <w:p>
            <w:pPr>
              <w:keepNext w:val="0"/>
              <w:keepLines w:val="0"/>
              <w:pageBreakBefore w:val="0"/>
              <w:kinsoku/>
              <w:wordWrap/>
              <w:overflowPunct/>
              <w:topLinePunct w:val="0"/>
              <w:autoSpaceDN/>
              <w:bidi w:val="0"/>
              <w:snapToGrid/>
              <w:spacing w:line="400" w:lineRule="exact"/>
              <w:jc w:val="center"/>
              <w:rPr>
                <w:rFonts w:ascii="Times New Roman" w:hAnsi="Times New Roman"/>
                <w:highlight w:val="none"/>
              </w:rPr>
            </w:pPr>
            <w:r>
              <w:rPr>
                <w:rFonts w:hint="eastAsia" w:ascii="Times New Roman" w:hAnsi="Times New Roman"/>
                <w:highlight w:val="none"/>
              </w:rPr>
              <w:t>投标报价评分标准</w:t>
            </w:r>
          </w:p>
        </w:tc>
        <w:tc>
          <w:tcPr>
            <w:tcW w:w="1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napToGrid/>
              <w:spacing w:line="400" w:lineRule="exact"/>
              <w:jc w:val="center"/>
              <w:rPr>
                <w:rFonts w:ascii="Times New Roman" w:hAnsi="Times New Roman"/>
                <w:color w:val="auto"/>
                <w:highlight w:val="none"/>
              </w:rPr>
            </w:pPr>
            <w:r>
              <w:rPr>
                <w:rFonts w:hint="eastAsia" w:ascii="Times New Roman" w:hAnsi="Times New Roman"/>
                <w:color w:val="auto"/>
                <w:highlight w:val="none"/>
              </w:rPr>
              <w:t>评标报价得分计算</w:t>
            </w:r>
          </w:p>
        </w:tc>
        <w:tc>
          <w:tcPr>
            <w:tcW w:w="6840" w:type="dxa"/>
            <w:tcBorders>
              <w:top w:val="single" w:color="auto" w:sz="4" w:space="0"/>
              <w:left w:val="single" w:color="auto" w:sz="4" w:space="0"/>
              <w:bottom w:val="single" w:color="auto" w:sz="4" w:space="0"/>
            </w:tcBorders>
            <w:vAlign w:val="center"/>
          </w:tcPr>
          <w:p>
            <w:pPr>
              <w:keepNext w:val="0"/>
              <w:keepLines w:val="0"/>
              <w:pageBreakBefore w:val="0"/>
              <w:numPr>
                <w:ilvl w:val="255"/>
                <w:numId w:val="0"/>
              </w:numPr>
              <w:kinsoku/>
              <w:wordWrap/>
              <w:overflowPunct/>
              <w:topLinePunct w:val="0"/>
              <w:autoSpaceDN/>
              <w:bidi w:val="0"/>
              <w:snapToGrid/>
              <w:spacing w:line="400" w:lineRule="exact"/>
              <w:jc w:val="left"/>
              <w:rPr>
                <w:rFonts w:ascii="Times New Roman" w:hAnsi="Times New Roman"/>
                <w:color w:val="auto"/>
                <w:highlight w:val="none"/>
              </w:rPr>
            </w:pPr>
            <w:r>
              <w:rPr>
                <w:rFonts w:hint="eastAsia" w:ascii="Times New Roman" w:hAnsi="Times New Roman"/>
                <w:color w:val="auto"/>
                <w:highlight w:val="none"/>
              </w:rPr>
              <w:t>当投标人评标价等于评标基准价</w:t>
            </w:r>
            <w:r>
              <w:rPr>
                <w:rFonts w:ascii="Times New Roman" w:hAnsi="Times New Roman"/>
                <w:color w:val="auto"/>
                <w:highlight w:val="none"/>
              </w:rPr>
              <w:t>D</w:t>
            </w:r>
            <w:r>
              <w:rPr>
                <w:rFonts w:hint="eastAsia" w:ascii="Times New Roman" w:hAnsi="Times New Roman"/>
                <w:color w:val="auto"/>
                <w:highlight w:val="none"/>
              </w:rPr>
              <w:t>时得满分</w:t>
            </w:r>
            <w:r>
              <w:rPr>
                <w:rFonts w:ascii="Times New Roman" w:hAnsi="Times New Roman"/>
                <w:color w:val="auto"/>
                <w:highlight w:val="none"/>
              </w:rPr>
              <w:t>(</w:t>
            </w:r>
            <w:r>
              <w:rPr>
                <w:rFonts w:hint="eastAsia"/>
                <w:color w:val="auto"/>
                <w:highlight w:val="none"/>
                <w:lang w:val="en-US" w:eastAsia="zh-CN"/>
              </w:rPr>
              <w:t>80</w:t>
            </w:r>
            <w:r>
              <w:rPr>
                <w:rFonts w:hint="eastAsia" w:ascii="Times New Roman" w:hAnsi="Times New Roman"/>
                <w:color w:val="auto"/>
                <w:highlight w:val="none"/>
              </w:rPr>
              <w:t>分</w:t>
            </w:r>
            <w:r>
              <w:rPr>
                <w:rFonts w:ascii="Times New Roman" w:hAnsi="Times New Roman"/>
                <w:color w:val="auto"/>
                <w:highlight w:val="none"/>
              </w:rPr>
              <w:t>)</w:t>
            </w:r>
            <w:r>
              <w:rPr>
                <w:rFonts w:hint="eastAsia" w:ascii="Times New Roman" w:hAnsi="Times New Roman"/>
                <w:color w:val="auto"/>
                <w:highlight w:val="none"/>
              </w:rPr>
              <w:t>，每高于</w:t>
            </w:r>
            <w:r>
              <w:rPr>
                <w:rFonts w:ascii="Times New Roman" w:hAnsi="Times New Roman"/>
                <w:color w:val="auto"/>
                <w:highlight w:val="none"/>
              </w:rPr>
              <w:t>D</w:t>
            </w:r>
            <w:r>
              <w:rPr>
                <w:rFonts w:hint="eastAsia" w:ascii="Times New Roman" w:hAnsi="Times New Roman"/>
                <w:color w:val="auto"/>
                <w:highlight w:val="none"/>
              </w:rPr>
              <w:t>一个百分点扣</w:t>
            </w:r>
            <w:r>
              <w:rPr>
                <w:rFonts w:hint="eastAsia"/>
                <w:color w:val="auto"/>
                <w:highlight w:val="none"/>
                <w:lang w:val="en-US" w:eastAsia="zh-CN"/>
              </w:rPr>
              <w:t>0.2</w:t>
            </w:r>
            <w:r>
              <w:rPr>
                <w:rFonts w:hint="eastAsia"/>
                <w:color w:val="auto"/>
                <w:highlight w:val="none"/>
                <w:lang w:eastAsia="zh-CN"/>
              </w:rPr>
              <w:t>分</w:t>
            </w:r>
            <w:r>
              <w:rPr>
                <w:rFonts w:hint="eastAsia" w:ascii="Times New Roman" w:hAnsi="Times New Roman"/>
                <w:color w:val="auto"/>
                <w:highlight w:val="none"/>
              </w:rPr>
              <w:t>，中间值按比例内插。</w:t>
            </w:r>
          </w:p>
          <w:p>
            <w:pPr>
              <w:keepNext w:val="0"/>
              <w:keepLines w:val="0"/>
              <w:pageBreakBefore w:val="0"/>
              <w:numPr>
                <w:ilvl w:val="255"/>
                <w:numId w:val="0"/>
              </w:numPr>
              <w:kinsoku/>
              <w:wordWrap/>
              <w:overflowPunct/>
              <w:topLinePunct w:val="0"/>
              <w:autoSpaceDN/>
              <w:bidi w:val="0"/>
              <w:snapToGrid/>
              <w:spacing w:line="400" w:lineRule="exact"/>
              <w:jc w:val="left"/>
              <w:rPr>
                <w:rFonts w:ascii="Times New Roman" w:hAnsi="Times New Roman"/>
                <w:color w:val="auto"/>
                <w:highlight w:val="none"/>
              </w:rPr>
            </w:pPr>
            <w:r>
              <w:rPr>
                <w:rFonts w:hint="eastAsia" w:ascii="Times New Roman" w:hAnsi="Times New Roman"/>
                <w:color w:val="auto"/>
                <w:highlight w:val="none"/>
              </w:rPr>
              <w:t>用公式表示如下：</w:t>
            </w:r>
          </w:p>
          <w:p>
            <w:pPr>
              <w:keepNext w:val="0"/>
              <w:keepLines w:val="0"/>
              <w:pageBreakBefore w:val="0"/>
              <w:numPr>
                <w:ilvl w:val="255"/>
                <w:numId w:val="0"/>
              </w:numPr>
              <w:kinsoku/>
              <w:wordWrap/>
              <w:overflowPunct/>
              <w:topLinePunct w:val="0"/>
              <w:autoSpaceDN/>
              <w:bidi w:val="0"/>
              <w:snapToGrid/>
              <w:spacing w:line="400" w:lineRule="exact"/>
              <w:jc w:val="left"/>
              <w:rPr>
                <w:rFonts w:ascii="Times New Roman" w:hAnsi="Times New Roman"/>
                <w:color w:val="auto"/>
                <w:highlight w:val="none"/>
              </w:rPr>
            </w:pPr>
            <w:r>
              <w:rPr>
                <w:color w:val="auto"/>
                <w:highlight w:val="none"/>
              </w:rPr>
              <w:pict>
                <v:shape id="_x0000_s2051" o:spid="_x0000_s2051" o:spt="75" type="#_x0000_t75" style="position:absolute;left:0pt;margin-left:40.3pt;margin-top:11.65pt;height:29.55pt;width:140.95pt;mso-wrap-distance-bottom:0pt;mso-wrap-distance-top:0pt;z-index:251659264;mso-width-relative:page;mso-height-relative:page;" o:ole="t" filled="f" o:preferrelative="t" stroked="f" coordsize="21600,21600">
                  <v:path/>
                  <v:fill on="f" focussize="0,0"/>
                  <v:stroke on="f" joinstyle="miter"/>
                  <v:imagedata r:id="rId7" o:title=""/>
                  <o:lock v:ext="edit" aspectratio="t"/>
                  <w10:wrap type="topAndBottom"/>
                </v:shape>
                <o:OLEObject Type="Embed" ProgID="Equation.3" ShapeID="_x0000_s2051" DrawAspect="Content" ObjectID="_1468075725" r:id="rId6">
                  <o:LockedField>false</o:LockedField>
                </o:OLEObject>
              </w:pict>
            </w:r>
            <w:r>
              <w:rPr>
                <w:rFonts w:hint="eastAsia" w:ascii="Times New Roman" w:hAnsi="Times New Roman"/>
                <w:color w:val="auto"/>
                <w:highlight w:val="none"/>
              </w:rPr>
              <w:t>式中：</w:t>
            </w:r>
            <w:r>
              <w:rPr>
                <w:rFonts w:ascii="Times New Roman" w:hAnsi="Times New Roman"/>
                <w:color w:val="auto"/>
                <w:highlight w:val="none"/>
              </w:rPr>
              <w:t>F1=</w:t>
            </w:r>
            <w:r>
              <w:rPr>
                <w:rFonts w:hint="eastAsia" w:ascii="Times New Roman" w:hAnsi="Times New Roman"/>
                <w:color w:val="auto"/>
                <w:highlight w:val="none"/>
              </w:rPr>
              <w:t>评标价得分；</w:t>
            </w:r>
          </w:p>
          <w:p>
            <w:pPr>
              <w:keepNext w:val="0"/>
              <w:keepLines w:val="0"/>
              <w:pageBreakBefore w:val="0"/>
              <w:numPr>
                <w:ilvl w:val="255"/>
                <w:numId w:val="0"/>
              </w:numPr>
              <w:kinsoku/>
              <w:wordWrap/>
              <w:overflowPunct/>
              <w:topLinePunct w:val="0"/>
              <w:autoSpaceDN/>
              <w:bidi w:val="0"/>
              <w:snapToGrid/>
              <w:spacing w:line="400" w:lineRule="exact"/>
              <w:jc w:val="left"/>
              <w:rPr>
                <w:rFonts w:hint="eastAsia" w:ascii="Times New Roman" w:hAnsi="Times New Roman"/>
                <w:color w:val="auto"/>
                <w:highlight w:val="none"/>
              </w:rPr>
            </w:pPr>
            <w:r>
              <w:rPr>
                <w:rFonts w:ascii="Times New Roman" w:hAnsi="Times New Roman"/>
                <w:color w:val="auto"/>
                <w:highlight w:val="none"/>
              </w:rPr>
              <w:t>F</w:t>
            </w:r>
            <w:r>
              <w:rPr>
                <w:rFonts w:hint="eastAsia" w:ascii="Times New Roman" w:hAnsi="Times New Roman"/>
                <w:color w:val="auto"/>
                <w:highlight w:val="none"/>
              </w:rPr>
              <w:t>=</w:t>
            </w:r>
            <w:r>
              <w:rPr>
                <w:rFonts w:hint="eastAsia" w:ascii="Times New Roman" w:hAnsi="Times New Roman"/>
                <w:color w:val="auto"/>
                <w:highlight w:val="none"/>
                <w:lang w:val="en-US" w:eastAsia="zh-CN"/>
              </w:rPr>
              <w:t>8</w:t>
            </w:r>
            <w:r>
              <w:rPr>
                <w:rFonts w:hint="eastAsia" w:ascii="Times New Roman" w:hAnsi="Times New Roman"/>
                <w:color w:val="auto"/>
                <w:highlight w:val="none"/>
              </w:rPr>
              <w:t>0；</w:t>
            </w:r>
          </w:p>
          <w:p>
            <w:pPr>
              <w:keepNext w:val="0"/>
              <w:keepLines w:val="0"/>
              <w:pageBreakBefore w:val="0"/>
              <w:numPr>
                <w:ilvl w:val="255"/>
                <w:numId w:val="0"/>
              </w:numPr>
              <w:kinsoku/>
              <w:wordWrap/>
              <w:overflowPunct/>
              <w:topLinePunct w:val="0"/>
              <w:autoSpaceDN/>
              <w:bidi w:val="0"/>
              <w:snapToGrid/>
              <w:spacing w:line="400" w:lineRule="exact"/>
              <w:jc w:val="left"/>
              <w:rPr>
                <w:rFonts w:hint="eastAsia" w:ascii="Times New Roman" w:hAnsi="Times New Roman"/>
                <w:color w:val="auto"/>
                <w:highlight w:val="none"/>
              </w:rPr>
            </w:pPr>
            <w:r>
              <w:rPr>
                <w:rFonts w:hint="eastAsia" w:ascii="Times New Roman" w:hAnsi="Times New Roman"/>
                <w:color w:val="auto"/>
                <w:highlight w:val="none"/>
              </w:rPr>
              <w:t>D1=投标人评标价；</w:t>
            </w:r>
          </w:p>
          <w:p>
            <w:pPr>
              <w:keepNext w:val="0"/>
              <w:keepLines w:val="0"/>
              <w:pageBreakBefore w:val="0"/>
              <w:numPr>
                <w:ilvl w:val="255"/>
                <w:numId w:val="0"/>
              </w:numPr>
              <w:kinsoku/>
              <w:wordWrap/>
              <w:overflowPunct/>
              <w:topLinePunct w:val="0"/>
              <w:autoSpaceDN/>
              <w:bidi w:val="0"/>
              <w:snapToGrid/>
              <w:spacing w:line="400" w:lineRule="exact"/>
              <w:jc w:val="left"/>
              <w:rPr>
                <w:rFonts w:hint="eastAsia" w:ascii="Times New Roman" w:hAnsi="Times New Roman" w:eastAsia="宋体"/>
                <w:color w:val="auto"/>
                <w:highlight w:val="none"/>
                <w:lang w:eastAsia="zh-CN"/>
              </w:rPr>
            </w:pPr>
            <w:r>
              <w:rPr>
                <w:rFonts w:hint="eastAsia" w:ascii="Times New Roman" w:hAnsi="Times New Roman"/>
                <w:color w:val="auto"/>
                <w:highlight w:val="none"/>
              </w:rPr>
              <w:t>D=评标基准价</w:t>
            </w:r>
            <w:r>
              <w:rPr>
                <w:rFonts w:hint="eastAsia" w:ascii="Times New Roman" w:hAnsi="Times New Roman"/>
                <w:color w:val="auto"/>
                <w:highlight w:val="none"/>
                <w:lang w:eastAsia="zh-CN"/>
              </w:rPr>
              <w:t>；</w:t>
            </w:r>
          </w:p>
          <w:p>
            <w:pPr>
              <w:keepNext w:val="0"/>
              <w:keepLines w:val="0"/>
              <w:pageBreakBefore w:val="0"/>
              <w:numPr>
                <w:ilvl w:val="255"/>
                <w:numId w:val="0"/>
              </w:numPr>
              <w:kinsoku/>
              <w:wordWrap/>
              <w:overflowPunct/>
              <w:topLinePunct w:val="0"/>
              <w:autoSpaceDN/>
              <w:bidi w:val="0"/>
              <w:snapToGrid/>
              <w:spacing w:line="400" w:lineRule="exact"/>
              <w:jc w:val="left"/>
              <w:rPr>
                <w:rFonts w:hint="eastAsia" w:ascii="Times New Roman" w:hAnsi="Times New Roman"/>
                <w:color w:val="auto"/>
                <w:highlight w:val="none"/>
              </w:rPr>
            </w:pPr>
            <w:r>
              <w:rPr>
                <w:rFonts w:hint="eastAsia" w:ascii="Times New Roman" w:hAnsi="Times New Roman"/>
                <w:color w:val="auto"/>
                <w:highlight w:val="none"/>
              </w:rPr>
              <w:t>E=</w:t>
            </w:r>
            <w:r>
              <w:rPr>
                <w:rFonts w:hint="eastAsia" w:ascii="Times New Roman" w:hAnsi="Times New Roman"/>
                <w:color w:val="auto"/>
                <w:highlight w:val="none"/>
                <w:lang w:val="en-US" w:eastAsia="zh-CN"/>
              </w:rPr>
              <w:t>0.2；</w:t>
            </w:r>
          </w:p>
          <w:p>
            <w:pPr>
              <w:keepNext w:val="0"/>
              <w:keepLines w:val="0"/>
              <w:pageBreakBefore w:val="0"/>
              <w:kinsoku/>
              <w:wordWrap/>
              <w:overflowPunct/>
              <w:topLinePunct w:val="0"/>
              <w:autoSpaceDN/>
              <w:bidi w:val="0"/>
              <w:snapToGrid/>
              <w:spacing w:line="400" w:lineRule="exact"/>
              <w:jc w:val="left"/>
              <w:rPr>
                <w:rFonts w:ascii="Times New Roman" w:hAnsi="Times New Roman"/>
                <w:color w:val="auto"/>
                <w:highlight w:val="none"/>
              </w:rPr>
            </w:pPr>
            <w:r>
              <w:rPr>
                <w:rFonts w:hint="eastAsia" w:ascii="Times New Roman" w:hAnsi="Times New Roman"/>
                <w:color w:val="auto"/>
                <w:highlight w:val="none"/>
              </w:rPr>
              <w:t>评标价得分最低为0分。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853"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napToGrid/>
              <w:spacing w:line="400" w:lineRule="exact"/>
              <w:jc w:val="center"/>
              <w:rPr>
                <w:rFonts w:ascii="Times New Roman" w:hAnsi="Times New Roman"/>
                <w:highlight w:val="none"/>
              </w:rPr>
            </w:pPr>
            <w:r>
              <w:rPr>
                <w:rFonts w:hint="eastAsia" w:ascii="Times New Roman" w:hAnsi="Times New Roman"/>
                <w:highlight w:val="none"/>
              </w:rPr>
              <w:t>2.2.4</w:t>
            </w:r>
          </w:p>
          <w:p>
            <w:pPr>
              <w:keepNext w:val="0"/>
              <w:keepLines w:val="0"/>
              <w:pageBreakBefore w:val="0"/>
              <w:kinsoku/>
              <w:wordWrap/>
              <w:overflowPunct/>
              <w:topLinePunct w:val="0"/>
              <w:autoSpaceDN/>
              <w:bidi w:val="0"/>
              <w:snapToGrid/>
              <w:spacing w:line="400" w:lineRule="exact"/>
              <w:jc w:val="center"/>
              <w:rPr>
                <w:rFonts w:ascii="Times New Roman" w:hAnsi="Times New Roman"/>
                <w:highlight w:val="none"/>
              </w:rPr>
            </w:pPr>
            <w:r>
              <w:rPr>
                <w:rFonts w:hint="eastAsia" w:ascii="Times New Roman" w:hAnsi="Times New Roman"/>
                <w:highlight w:val="none"/>
              </w:rPr>
              <w:t>（4）</w:t>
            </w:r>
          </w:p>
        </w:tc>
        <w:tc>
          <w:tcPr>
            <w:tcW w:w="108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napToGrid/>
              <w:spacing w:line="400" w:lineRule="exact"/>
              <w:jc w:val="center"/>
              <w:rPr>
                <w:rFonts w:ascii="Times New Roman" w:hAnsi="Times New Roman"/>
                <w:highlight w:val="none"/>
              </w:rPr>
            </w:pPr>
            <w:r>
              <w:rPr>
                <w:rFonts w:hint="eastAsia" w:ascii="Times New Roman" w:hAnsi="Times New Roman"/>
                <w:highlight w:val="none"/>
              </w:rPr>
              <w:t>其他因素评分标准</w:t>
            </w:r>
          </w:p>
        </w:tc>
        <w:tc>
          <w:tcPr>
            <w:tcW w:w="1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napToGrid/>
              <w:spacing w:line="400" w:lineRule="exact"/>
              <w:jc w:val="center"/>
              <w:rPr>
                <w:highlight w:val="none"/>
              </w:rPr>
            </w:pPr>
            <w:r>
              <w:rPr>
                <w:rFonts w:ascii="Times New Roman" w:hAnsi="Times New Roman"/>
                <w:highlight w:val="none"/>
              </w:rPr>
              <w:t>/</w:t>
            </w:r>
          </w:p>
        </w:tc>
        <w:tc>
          <w:tcPr>
            <w:tcW w:w="684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N/>
              <w:bidi w:val="0"/>
              <w:snapToGrid/>
              <w:spacing w:line="400" w:lineRule="exact"/>
              <w:jc w:val="center"/>
              <w:rPr>
                <w:rFonts w:cs="宋体" w:asciiTheme="minorEastAsia" w:hAnsiTheme="minorEastAsia"/>
                <w:szCs w:val="21"/>
                <w:highlight w:val="none"/>
              </w:rPr>
            </w:pPr>
            <w:r>
              <w:rPr>
                <w:rFonts w:ascii="Times New Roman" w:hAnsi="Times New Roman"/>
                <w:highlight w:val="none"/>
              </w:rPr>
              <w:t>/</w:t>
            </w:r>
          </w:p>
        </w:tc>
      </w:tr>
    </w:tbl>
    <w:p>
      <w:pPr>
        <w:pStyle w:val="2"/>
      </w:pPr>
    </w:p>
    <w:p>
      <w:pPr>
        <w:widowControl/>
        <w:jc w:val="left"/>
        <w:rPr>
          <w:rFonts w:ascii="Times New Roman" w:hAnsi="Times New Roman"/>
          <w:color w:val="auto"/>
          <w:highlight w:val="none"/>
        </w:rPr>
        <w:sectPr>
          <w:footerReference r:id="rId3" w:type="default"/>
          <w:pgSz w:w="12240" w:h="15840"/>
          <w:pgMar w:top="1157" w:right="1293" w:bottom="1157" w:left="1293" w:header="720" w:footer="720" w:gutter="0"/>
          <w:cols w:space="0" w:num="1"/>
          <w:docGrid w:linePitch="285" w:charSpace="0"/>
        </w:sectPr>
      </w:pPr>
      <w:r>
        <w:rPr>
          <w:rFonts w:ascii="Times New Roman" w:hAnsi="Times New Roman"/>
          <w:color w:val="auto"/>
          <w:highlight w:val="none"/>
        </w:rPr>
        <w:br w:type="page"/>
      </w:r>
    </w:p>
    <w:p>
      <w:pPr>
        <w:pStyle w:val="5"/>
        <w:spacing w:before="240" w:after="0" w:line="360" w:lineRule="auto"/>
        <w:ind w:firstLine="138"/>
        <w:rPr>
          <w:rFonts w:ascii="Times New Roman" w:hAnsi="Times New Roman"/>
          <w:b/>
          <w:bCs/>
          <w:color w:val="auto"/>
          <w:highlight w:val="none"/>
        </w:rPr>
      </w:pPr>
      <w:bookmarkStart w:id="9" w:name="_Toc492288461"/>
      <w:bookmarkStart w:id="10" w:name="_Toc31660"/>
      <w:bookmarkStart w:id="11" w:name="_Toc492288450"/>
      <w:r>
        <w:rPr>
          <w:rFonts w:ascii="Times New Roman" w:hAnsi="Times New Roman"/>
          <w:b/>
          <w:bCs/>
          <w:color w:val="auto"/>
          <w:highlight w:val="none"/>
        </w:rPr>
        <w:t>1. 评标方法</w:t>
      </w:r>
      <w:bookmarkEnd w:id="9"/>
      <w:bookmarkEnd w:id="10"/>
    </w:p>
    <w:p>
      <w:pPr>
        <w:spacing w:line="360" w:lineRule="auto"/>
        <w:ind w:firstLine="440" w:firstLineChars="200"/>
        <w:rPr>
          <w:rFonts w:ascii="宋体" w:hAnsi="宋体" w:cs="宋体"/>
          <w:color w:val="auto"/>
          <w:sz w:val="22"/>
          <w:highlight w:val="none"/>
        </w:rPr>
      </w:pPr>
      <w:bookmarkStart w:id="12" w:name="_Toc492288462"/>
      <w:r>
        <w:rPr>
          <w:rFonts w:hint="eastAsia" w:ascii="宋体" w:hAnsi="宋体" w:cs="宋体"/>
          <w:color w:val="auto"/>
          <w:sz w:val="22"/>
          <w:highlight w:val="none"/>
        </w:rPr>
        <w:t>本次评标采用综合评估法。评标委员会对满足招标文件实质性要求的投标文件，按照本章第2.2款规定的评分标准进行打分，并按得分由高到低的顺序推荐中标候选人，或根据招标人授权直接确定中标人，但投标报价低于其成本的除外。综合评分相等时，以投标报价低的优先；投标报价也相等的，以技术得分高的优先；如果技术得分也相等，按照投标办法前附表的规定确定中标候选人顺序。</w:t>
      </w:r>
    </w:p>
    <w:p>
      <w:pPr>
        <w:pStyle w:val="5"/>
        <w:spacing w:before="240" w:after="0" w:line="360" w:lineRule="auto"/>
        <w:ind w:firstLine="138"/>
        <w:rPr>
          <w:rFonts w:ascii="Times New Roman" w:hAnsi="Times New Roman"/>
          <w:b/>
          <w:bCs/>
          <w:color w:val="auto"/>
          <w:highlight w:val="none"/>
        </w:rPr>
      </w:pPr>
      <w:bookmarkStart w:id="13" w:name="_Toc138"/>
      <w:r>
        <w:rPr>
          <w:rFonts w:ascii="Times New Roman" w:hAnsi="Times New Roman"/>
          <w:b/>
          <w:bCs/>
          <w:color w:val="auto"/>
          <w:highlight w:val="none"/>
        </w:rPr>
        <w:t>2. 评审标准</w:t>
      </w:r>
      <w:bookmarkEnd w:id="12"/>
      <w:bookmarkEnd w:id="13"/>
    </w:p>
    <w:p>
      <w:pPr>
        <w:pStyle w:val="6"/>
        <w:spacing w:before="250" w:after="10" w:line="360" w:lineRule="auto"/>
        <w:ind w:firstLine="137"/>
        <w:rPr>
          <w:rFonts w:ascii="Times New Roman" w:hAnsi="Times New Roman"/>
          <w:color w:val="auto"/>
          <w:highlight w:val="none"/>
        </w:rPr>
      </w:pPr>
      <w:bookmarkStart w:id="14" w:name="_Toc492288464"/>
      <w:r>
        <w:rPr>
          <w:rFonts w:ascii="Times New Roman" w:hAnsi="Times New Roman"/>
          <w:color w:val="auto"/>
          <w:highlight w:val="none"/>
        </w:rPr>
        <w:t xml:space="preserve">2.2 </w:t>
      </w:r>
      <w:r>
        <w:rPr>
          <w:rFonts w:hint="eastAsia" w:ascii="Times New Roman" w:hAnsi="Times New Roman"/>
          <w:color w:val="auto"/>
          <w:highlight w:val="none"/>
        </w:rPr>
        <w:t>详细评审标准</w:t>
      </w:r>
      <w:bookmarkEnd w:id="14"/>
    </w:p>
    <w:p>
      <w:pPr>
        <w:spacing w:line="360" w:lineRule="auto"/>
        <w:ind w:firstLine="440" w:firstLineChars="200"/>
        <w:rPr>
          <w:rFonts w:ascii="宋体" w:hAnsi="宋体" w:cs="宋体"/>
          <w:color w:val="auto"/>
          <w:sz w:val="22"/>
          <w:highlight w:val="none"/>
        </w:rPr>
      </w:pPr>
      <w:bookmarkStart w:id="15" w:name="_Toc492288465"/>
      <w:r>
        <w:rPr>
          <w:rFonts w:hint="eastAsia" w:ascii="宋体" w:hAnsi="宋体" w:cs="宋体"/>
          <w:color w:val="auto"/>
          <w:sz w:val="22"/>
          <w:highlight w:val="none"/>
        </w:rPr>
        <w:t>2.2.1 分值构成</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⑴ 商务部分：见评标办法前附表；</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⑵ 技术部分：见评标办法前附表；</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⑶ 投标报价：见评标办法前附表；</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⑷ 其他评分因素：见评标办法前附表。</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2.2.2 评标基准价计算</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评标基准价计算方法：见评标办法前附表。</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2.2.3 投标报价的偏差率计算</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投标报价的偏差率计算公式：见评标办法前附表。</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2.2.4 评分标准</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⑴ 商务部分：见评标办法前附表；</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⑵ 技术部分：见评标办法前附表；</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⑶ 投标报价：见评标办法前附表；</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⑷ 其他评分因素：见评标办法前附表。</w:t>
      </w:r>
    </w:p>
    <w:p>
      <w:pPr>
        <w:pStyle w:val="5"/>
        <w:spacing w:before="240" w:after="0" w:line="360" w:lineRule="auto"/>
        <w:ind w:firstLine="138"/>
        <w:rPr>
          <w:rFonts w:ascii="Times New Roman" w:hAnsi="Times New Roman"/>
          <w:b/>
          <w:bCs/>
          <w:color w:val="auto"/>
          <w:highlight w:val="none"/>
        </w:rPr>
      </w:pPr>
      <w:bookmarkStart w:id="16" w:name="_Toc3260"/>
      <w:r>
        <w:rPr>
          <w:rFonts w:ascii="Times New Roman" w:hAnsi="Times New Roman"/>
          <w:b/>
          <w:bCs/>
          <w:color w:val="auto"/>
          <w:highlight w:val="none"/>
        </w:rPr>
        <w:t>3. 评标程序</w:t>
      </w:r>
      <w:bookmarkEnd w:id="15"/>
      <w:bookmarkEnd w:id="16"/>
    </w:p>
    <w:p>
      <w:pPr>
        <w:pStyle w:val="6"/>
        <w:spacing w:before="250" w:after="10" w:line="360" w:lineRule="auto"/>
        <w:ind w:firstLine="137"/>
        <w:rPr>
          <w:rFonts w:ascii="Times New Roman" w:hAnsi="Times New Roman"/>
          <w:color w:val="auto"/>
          <w:highlight w:val="none"/>
        </w:rPr>
      </w:pPr>
      <w:bookmarkStart w:id="17" w:name="_Toc492288463"/>
      <w:bookmarkStart w:id="18" w:name="_Toc492288466"/>
      <w:r>
        <w:rPr>
          <w:rFonts w:ascii="Times New Roman" w:hAnsi="Times New Roman"/>
          <w:color w:val="auto"/>
          <w:highlight w:val="none"/>
        </w:rPr>
        <w:t>2.1 初步评审标准</w:t>
      </w:r>
      <w:bookmarkEnd w:id="17"/>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2.1.1 形式评审标准：见评标办法前附表。</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2.1.2 资格评审标准：见评标办法前附表。</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2.1.3 响应性评审标准：见评标办法前附表。</w:t>
      </w:r>
    </w:p>
    <w:p>
      <w:pPr>
        <w:pStyle w:val="6"/>
        <w:spacing w:before="250" w:after="10" w:line="360" w:lineRule="auto"/>
        <w:ind w:firstLine="137"/>
        <w:rPr>
          <w:rFonts w:ascii="Times New Roman" w:hAnsi="Times New Roman"/>
          <w:color w:val="auto"/>
          <w:highlight w:val="none"/>
        </w:rPr>
      </w:pPr>
      <w:r>
        <w:rPr>
          <w:rFonts w:ascii="Times New Roman" w:hAnsi="Times New Roman"/>
          <w:color w:val="auto"/>
          <w:highlight w:val="none"/>
        </w:rPr>
        <w:t>3.1 初步评审</w:t>
      </w:r>
      <w:bookmarkEnd w:id="18"/>
    </w:p>
    <w:p>
      <w:pPr>
        <w:spacing w:line="360" w:lineRule="auto"/>
        <w:ind w:firstLine="442" w:firstLineChars="200"/>
        <w:rPr>
          <w:rFonts w:ascii="宋体" w:hAnsi="宋体" w:cs="宋体"/>
          <w:b/>
          <w:bCs/>
          <w:color w:val="auto"/>
          <w:sz w:val="22"/>
          <w:highlight w:val="none"/>
        </w:rPr>
      </w:pPr>
      <w:bookmarkStart w:id="19" w:name="_Toc492288467"/>
      <w:r>
        <w:rPr>
          <w:rFonts w:hint="eastAsia" w:ascii="宋体" w:hAnsi="宋体" w:cs="宋体"/>
          <w:b/>
          <w:bCs/>
          <w:color w:val="auto"/>
          <w:sz w:val="22"/>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360" w:lineRule="auto"/>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3.1.2 投标人有以下情形之一的，评标委员会应当否决其投标：</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（1）投标文件没有对招标文件的实质性要求和条件作出响应或者对招标文件的偏差超出招标文件规定的偏差范围或最高项数；</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（2）有串通投标、弄虚作假、行贿等违法行为。</w:t>
      </w:r>
    </w:p>
    <w:p>
      <w:pPr>
        <w:spacing w:line="360" w:lineRule="auto"/>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3.1.3 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（1）投标文件中的大写金额与小写金额不一致的，以大写金额为准；</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（2）总价金额与单价金额不一致的，以单价金额为准，但单价金额小数点有明显错误的除外；</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（3）投标报价为各分项报价金额之和，投标报价与分项报价的合价不一致的，应以各分项合价累计数为准，修正投标报价；</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（4）如果分项报价中存在缺漏项，则视为缺漏项价格已包含在其他分项报价之中。</w:t>
      </w:r>
    </w:p>
    <w:p>
      <w:pPr>
        <w:pStyle w:val="6"/>
        <w:spacing w:before="250" w:after="10" w:line="360" w:lineRule="auto"/>
        <w:ind w:firstLine="137"/>
        <w:rPr>
          <w:rFonts w:ascii="Times New Roman" w:hAnsi="Times New Roman"/>
          <w:color w:val="auto"/>
          <w:highlight w:val="none"/>
        </w:rPr>
      </w:pPr>
      <w:r>
        <w:rPr>
          <w:rFonts w:ascii="Times New Roman" w:hAnsi="Times New Roman"/>
          <w:color w:val="auto"/>
          <w:highlight w:val="none"/>
        </w:rPr>
        <w:t xml:space="preserve">3.2 </w:t>
      </w:r>
      <w:r>
        <w:rPr>
          <w:rFonts w:hint="eastAsia" w:ascii="Times New Roman" w:hAnsi="Times New Roman"/>
          <w:color w:val="auto"/>
          <w:highlight w:val="none"/>
        </w:rPr>
        <w:t>详细评审</w:t>
      </w:r>
      <w:bookmarkEnd w:id="19"/>
    </w:p>
    <w:p>
      <w:pPr>
        <w:spacing w:line="360" w:lineRule="auto"/>
        <w:ind w:firstLine="440" w:firstLineChars="200"/>
        <w:rPr>
          <w:rFonts w:ascii="宋体" w:hAnsi="宋体" w:cs="宋体"/>
          <w:color w:val="auto"/>
          <w:sz w:val="22"/>
          <w:highlight w:val="none"/>
        </w:rPr>
      </w:pPr>
      <w:bookmarkStart w:id="20" w:name="_Toc492288468"/>
      <w:r>
        <w:rPr>
          <w:rFonts w:hint="eastAsia" w:ascii="宋体" w:hAnsi="宋体" w:cs="宋体"/>
          <w:color w:val="auto"/>
          <w:sz w:val="22"/>
          <w:highlight w:val="none"/>
        </w:rPr>
        <w:t>3.2.1 评标委员会按本章第2</w:t>
      </w:r>
      <w:bookmarkStart w:id="21" w:name="_Toc5752"/>
      <w:r>
        <w:rPr>
          <w:rFonts w:hint="eastAsia" w:ascii="宋体" w:hAnsi="宋体" w:cs="宋体"/>
          <w:color w:val="auto"/>
          <w:sz w:val="22"/>
          <w:highlight w:val="none"/>
        </w:rPr>
        <w:t>.2款规定的量化因素和分值进行打分，并计算出综合评估得分</w:t>
      </w:r>
      <w:bookmarkEnd w:id="21"/>
      <w:r>
        <w:rPr>
          <w:rFonts w:hint="eastAsia" w:ascii="宋体" w:hAnsi="宋体" w:cs="宋体"/>
          <w:color w:val="auto"/>
          <w:sz w:val="22"/>
          <w:highlight w:val="none"/>
        </w:rPr>
        <w:t>。</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⑴ 按本章第2.2.4(1)目规定的评审因素和分值对商务部分计算出得分A；</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⑵ 按本章第2.2.4(2)目规定的评审因素和分值对技术部分计算出得分B；</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⑶ 按本章第2.2.4(3)目规定的评审因素和分值对投标报价计算出得分C；</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⑷ 按本章第2.2.4(4)目规定的评审因素和分值对其他部分计算出得分D。</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3.2.2 评分分值计算保留小数点后两位，小数点后第三位“四舍五入”。</w:t>
      </w:r>
    </w:p>
    <w:p>
      <w:pPr>
        <w:spacing w:line="360" w:lineRule="auto"/>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3.2.3 投标人得分=A+B+C+D。</w:t>
      </w:r>
    </w:p>
    <w:p>
      <w:pPr>
        <w:spacing w:line="360" w:lineRule="auto"/>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6"/>
        <w:spacing w:before="250" w:after="10" w:line="360" w:lineRule="auto"/>
        <w:ind w:firstLine="137"/>
        <w:rPr>
          <w:rFonts w:ascii="Times New Roman" w:hAnsi="Times New Roman"/>
          <w:color w:val="auto"/>
          <w:highlight w:val="none"/>
        </w:rPr>
      </w:pPr>
      <w:r>
        <w:rPr>
          <w:rFonts w:ascii="Times New Roman" w:hAnsi="Times New Roman"/>
          <w:color w:val="auto"/>
          <w:highlight w:val="none"/>
        </w:rPr>
        <w:t>3.3 投标文件的澄清</w:t>
      </w:r>
      <w:bookmarkEnd w:id="20"/>
    </w:p>
    <w:p>
      <w:pPr>
        <w:spacing w:line="360" w:lineRule="auto"/>
        <w:ind w:firstLine="440" w:firstLineChars="200"/>
        <w:rPr>
          <w:rFonts w:ascii="宋体" w:hAnsi="宋体" w:cs="宋体"/>
          <w:color w:val="auto"/>
          <w:sz w:val="22"/>
          <w:highlight w:val="none"/>
        </w:rPr>
      </w:pPr>
      <w:bookmarkStart w:id="22" w:name="_Toc492288469"/>
      <w:r>
        <w:rPr>
          <w:rFonts w:hint="eastAsia" w:ascii="宋体" w:hAnsi="宋体" w:cs="宋体"/>
          <w:color w:val="auto"/>
          <w:sz w:val="22"/>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3.3.2 澄清、说明或补正不得超出投标文件的范围且不得改变投标文件的实质性内容，并构成投标文件的组成部分。</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3.3.3 评标委员会对投标人提交的澄清、说明或补正有疑问的，可以要求投标人进一步澄清、说明或补正，直至满足评标委员会的要求。</w:t>
      </w:r>
    </w:p>
    <w:p>
      <w:pPr>
        <w:pStyle w:val="6"/>
        <w:spacing w:before="250" w:after="10" w:line="360" w:lineRule="auto"/>
        <w:ind w:firstLine="137"/>
        <w:rPr>
          <w:rFonts w:ascii="Times New Roman" w:hAnsi="Times New Roman"/>
          <w:color w:val="auto"/>
          <w:highlight w:val="none"/>
        </w:rPr>
      </w:pPr>
      <w:r>
        <w:rPr>
          <w:rFonts w:ascii="Times New Roman" w:hAnsi="Times New Roman"/>
          <w:color w:val="auto"/>
          <w:highlight w:val="none"/>
        </w:rPr>
        <w:t>3.4 评标结果</w:t>
      </w:r>
      <w:bookmarkEnd w:id="22"/>
    </w:p>
    <w:bookmarkEnd w:id="11"/>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3.4.1 除第二章“投标人须知”前附表授权直接确定中标人外，评标委员会按照得分由高到低的顺序推荐中标候选人，并标明排序。</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3.4.2 评标委员会完成评标后，应当向招标人提交书面评标报告和中标候选人名单。</w:t>
      </w:r>
    </w:p>
    <w:p>
      <w:pPr>
        <w:rPr>
          <w:sz w:val="32"/>
          <w:szCs w:val="32"/>
          <w:highlight w:val="none"/>
        </w:rPr>
      </w:pPr>
    </w:p>
    <w:bookmarkEnd w:id="8"/>
    <w:p>
      <w:pPr>
        <w:autoSpaceDE w:val="0"/>
        <w:autoSpaceDN w:val="0"/>
        <w:adjustRightInd w:val="0"/>
        <w:snapToGrid w:val="0"/>
        <w:spacing w:beforeLines="50" w:afterLines="80" w:line="240" w:lineRule="atLeast"/>
        <w:ind w:left="315" w:leftChars="150" w:firstLine="3465" w:firstLineChars="1650"/>
        <w:jc w:val="right"/>
        <w:rPr>
          <w:rFonts w:asciiTheme="minorEastAsia" w:hAnsiTheme="minorEastAsia" w:eastAsiaTheme="minorEastAsia" w:cstheme="minorEastAsia"/>
          <w:szCs w:val="20"/>
          <w:highlight w:val="none"/>
        </w:rPr>
      </w:pPr>
    </w:p>
    <w:sectPr>
      <w:footerReference r:id="rId4" w:type="default"/>
      <w:pgSz w:w="12240" w:h="15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_x0000_s3076" o:spid="_x0000_s307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PIyMI2+AQAAZAMAAA4AAAAAAAAAAQAgAAAAIgEAAGRycy9lMm9Eb2MueG1sUEsF&#10;BgAAAAAGAAYAWQEAAFIFAAAAAA==&#10;">
          <v:path/>
          <v:fill on="f" focussize="0,0"/>
          <v:stroke on="f" weight="1.25pt" joinstyle="miter"/>
          <v:imagedata o:title=""/>
          <o:lock v:ext="edit"/>
          <v:textbox inset="0mm,0mm,0mm,0mm" style="mso-fit-shape-to-text:t;">
            <w:txbxContent>
              <w:p>
                <w:pPr>
                  <w:pStyle w:val="21"/>
                </w:pPr>
                <w:r>
                  <w:fldChar w:fldCharType="begin"/>
                </w:r>
                <w:r>
                  <w:instrText xml:space="preserve"> PAGE  \* MERGEFORMAT </w:instrText>
                </w:r>
                <w:r>
                  <w:fldChar w:fldCharType="separate"/>
                </w:r>
                <w:r>
                  <w:t>104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10" o:spid="_x0000_s307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PIyMI2+AQAAZAMAAA4AAAAAAAAAAQAgAAAAIgEAAGRycy9lMm9Eb2MueG1sUEsF&#10;BgAAAAAGAAYAWQEAAFIFAAAAAA==&#10;">
          <v:path/>
          <v:fill on="f" focussize="0,0"/>
          <v:stroke on="f" weight="1.25pt" joinstyle="miter"/>
          <v:imagedata o:title=""/>
          <o:lock v:ext="edit"/>
          <v:textbox inset="0mm,0mm,0mm,0mm" style="mso-fit-shape-to-text:t;">
            <w:txbxContent>
              <w:p>
                <w:pPr>
                  <w:pStyle w:val="21"/>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41550C"/>
    <w:multiLevelType w:val="singleLevel"/>
    <w:tmpl w:val="EE41550C"/>
    <w:lvl w:ilvl="0" w:tentative="0">
      <w:start w:val="1"/>
      <w:numFmt w:val="decimal"/>
      <w:suff w:val="nothing"/>
      <w:lvlText w:val="%1、"/>
      <w:lvlJc w:val="left"/>
    </w:lvl>
  </w:abstractNum>
  <w:abstractNum w:abstractNumId="1">
    <w:nsid w:val="5F6BF271"/>
    <w:multiLevelType w:val="singleLevel"/>
    <w:tmpl w:val="5F6BF27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04"/>
    <w:rsid w:val="00000DA4"/>
    <w:rsid w:val="00002A60"/>
    <w:rsid w:val="00003280"/>
    <w:rsid w:val="00003391"/>
    <w:rsid w:val="00004603"/>
    <w:rsid w:val="00005A75"/>
    <w:rsid w:val="0000636E"/>
    <w:rsid w:val="00007112"/>
    <w:rsid w:val="00007319"/>
    <w:rsid w:val="000073BA"/>
    <w:rsid w:val="000079D2"/>
    <w:rsid w:val="00010193"/>
    <w:rsid w:val="000106AE"/>
    <w:rsid w:val="00010714"/>
    <w:rsid w:val="00010B53"/>
    <w:rsid w:val="00010F58"/>
    <w:rsid w:val="00011049"/>
    <w:rsid w:val="000122C9"/>
    <w:rsid w:val="0001230C"/>
    <w:rsid w:val="00012360"/>
    <w:rsid w:val="00012703"/>
    <w:rsid w:val="00012757"/>
    <w:rsid w:val="0001294E"/>
    <w:rsid w:val="00013135"/>
    <w:rsid w:val="0001485E"/>
    <w:rsid w:val="00015240"/>
    <w:rsid w:val="000168F9"/>
    <w:rsid w:val="00016D19"/>
    <w:rsid w:val="00017DE5"/>
    <w:rsid w:val="00020713"/>
    <w:rsid w:val="0002193F"/>
    <w:rsid w:val="00021BFE"/>
    <w:rsid w:val="00021E85"/>
    <w:rsid w:val="00022245"/>
    <w:rsid w:val="00023637"/>
    <w:rsid w:val="0002369F"/>
    <w:rsid w:val="00023EE7"/>
    <w:rsid w:val="00024918"/>
    <w:rsid w:val="000250D6"/>
    <w:rsid w:val="00025ACC"/>
    <w:rsid w:val="00025EC4"/>
    <w:rsid w:val="00026171"/>
    <w:rsid w:val="0002671A"/>
    <w:rsid w:val="00026C33"/>
    <w:rsid w:val="000303E1"/>
    <w:rsid w:val="000304C4"/>
    <w:rsid w:val="00033DFA"/>
    <w:rsid w:val="000344E0"/>
    <w:rsid w:val="000351AE"/>
    <w:rsid w:val="000353F3"/>
    <w:rsid w:val="0003545E"/>
    <w:rsid w:val="000357BD"/>
    <w:rsid w:val="000361D8"/>
    <w:rsid w:val="000377CD"/>
    <w:rsid w:val="000401D0"/>
    <w:rsid w:val="0004046A"/>
    <w:rsid w:val="00041641"/>
    <w:rsid w:val="00041BB7"/>
    <w:rsid w:val="00041E78"/>
    <w:rsid w:val="00041F67"/>
    <w:rsid w:val="0004288C"/>
    <w:rsid w:val="00042D2B"/>
    <w:rsid w:val="00043778"/>
    <w:rsid w:val="00043D7C"/>
    <w:rsid w:val="000441B4"/>
    <w:rsid w:val="0004433B"/>
    <w:rsid w:val="000455DE"/>
    <w:rsid w:val="00045EE6"/>
    <w:rsid w:val="00045EEE"/>
    <w:rsid w:val="00046A35"/>
    <w:rsid w:val="00046E7C"/>
    <w:rsid w:val="000472EC"/>
    <w:rsid w:val="00050C6F"/>
    <w:rsid w:val="00050FC8"/>
    <w:rsid w:val="00051294"/>
    <w:rsid w:val="0005154E"/>
    <w:rsid w:val="00051589"/>
    <w:rsid w:val="00051A25"/>
    <w:rsid w:val="00051E22"/>
    <w:rsid w:val="0005271B"/>
    <w:rsid w:val="0005333E"/>
    <w:rsid w:val="00055D60"/>
    <w:rsid w:val="000569CD"/>
    <w:rsid w:val="00057886"/>
    <w:rsid w:val="00060501"/>
    <w:rsid w:val="00060846"/>
    <w:rsid w:val="000610A3"/>
    <w:rsid w:val="00061C38"/>
    <w:rsid w:val="00061CA7"/>
    <w:rsid w:val="00062AC6"/>
    <w:rsid w:val="00063102"/>
    <w:rsid w:val="00064949"/>
    <w:rsid w:val="00064F48"/>
    <w:rsid w:val="00065076"/>
    <w:rsid w:val="00065FD2"/>
    <w:rsid w:val="00067035"/>
    <w:rsid w:val="00067569"/>
    <w:rsid w:val="000675EF"/>
    <w:rsid w:val="00067C4B"/>
    <w:rsid w:val="00067FC0"/>
    <w:rsid w:val="0007032B"/>
    <w:rsid w:val="00071AE8"/>
    <w:rsid w:val="00071FA8"/>
    <w:rsid w:val="00072086"/>
    <w:rsid w:val="0007266A"/>
    <w:rsid w:val="00072B08"/>
    <w:rsid w:val="00073C17"/>
    <w:rsid w:val="0007464C"/>
    <w:rsid w:val="00075A67"/>
    <w:rsid w:val="00075C42"/>
    <w:rsid w:val="00077168"/>
    <w:rsid w:val="00077284"/>
    <w:rsid w:val="00080214"/>
    <w:rsid w:val="000809AA"/>
    <w:rsid w:val="00080BDB"/>
    <w:rsid w:val="0008132B"/>
    <w:rsid w:val="00081360"/>
    <w:rsid w:val="0008253E"/>
    <w:rsid w:val="00082893"/>
    <w:rsid w:val="000851B1"/>
    <w:rsid w:val="00087480"/>
    <w:rsid w:val="00087A33"/>
    <w:rsid w:val="00090ADA"/>
    <w:rsid w:val="00091967"/>
    <w:rsid w:val="0009198C"/>
    <w:rsid w:val="00091CE4"/>
    <w:rsid w:val="00093AC9"/>
    <w:rsid w:val="00093C05"/>
    <w:rsid w:val="000943B0"/>
    <w:rsid w:val="00094C66"/>
    <w:rsid w:val="00095868"/>
    <w:rsid w:val="00096324"/>
    <w:rsid w:val="000963A9"/>
    <w:rsid w:val="000A04A3"/>
    <w:rsid w:val="000A14E8"/>
    <w:rsid w:val="000A1752"/>
    <w:rsid w:val="000A19BC"/>
    <w:rsid w:val="000A287B"/>
    <w:rsid w:val="000A3FC5"/>
    <w:rsid w:val="000A4194"/>
    <w:rsid w:val="000A5C0E"/>
    <w:rsid w:val="000A5C81"/>
    <w:rsid w:val="000A6612"/>
    <w:rsid w:val="000A76B3"/>
    <w:rsid w:val="000B0B8E"/>
    <w:rsid w:val="000B196F"/>
    <w:rsid w:val="000B2879"/>
    <w:rsid w:val="000B2CD1"/>
    <w:rsid w:val="000B3437"/>
    <w:rsid w:val="000B394D"/>
    <w:rsid w:val="000B4A78"/>
    <w:rsid w:val="000B4D44"/>
    <w:rsid w:val="000B621C"/>
    <w:rsid w:val="000B65E2"/>
    <w:rsid w:val="000B6CAA"/>
    <w:rsid w:val="000B6CF6"/>
    <w:rsid w:val="000C0018"/>
    <w:rsid w:val="000C00CE"/>
    <w:rsid w:val="000C0220"/>
    <w:rsid w:val="000C096E"/>
    <w:rsid w:val="000C13D7"/>
    <w:rsid w:val="000C15E1"/>
    <w:rsid w:val="000C1A9B"/>
    <w:rsid w:val="000C2AB5"/>
    <w:rsid w:val="000C36D2"/>
    <w:rsid w:val="000C4710"/>
    <w:rsid w:val="000C50FC"/>
    <w:rsid w:val="000C5A27"/>
    <w:rsid w:val="000C5C86"/>
    <w:rsid w:val="000D043D"/>
    <w:rsid w:val="000D1B87"/>
    <w:rsid w:val="000D2001"/>
    <w:rsid w:val="000D255C"/>
    <w:rsid w:val="000D4336"/>
    <w:rsid w:val="000D46E5"/>
    <w:rsid w:val="000D49B4"/>
    <w:rsid w:val="000D4E08"/>
    <w:rsid w:val="000D4FED"/>
    <w:rsid w:val="000D54E7"/>
    <w:rsid w:val="000D5F2B"/>
    <w:rsid w:val="000E006A"/>
    <w:rsid w:val="000E00B7"/>
    <w:rsid w:val="000E08CB"/>
    <w:rsid w:val="000E3468"/>
    <w:rsid w:val="000E3A69"/>
    <w:rsid w:val="000E40F1"/>
    <w:rsid w:val="000E4A2F"/>
    <w:rsid w:val="000E4C26"/>
    <w:rsid w:val="000E559D"/>
    <w:rsid w:val="000E5673"/>
    <w:rsid w:val="000E6B29"/>
    <w:rsid w:val="000E78B7"/>
    <w:rsid w:val="000E78C9"/>
    <w:rsid w:val="000F13A1"/>
    <w:rsid w:val="000F2186"/>
    <w:rsid w:val="000F2A12"/>
    <w:rsid w:val="000F2ECC"/>
    <w:rsid w:val="000F38AF"/>
    <w:rsid w:val="000F3F82"/>
    <w:rsid w:val="000F5770"/>
    <w:rsid w:val="000F6666"/>
    <w:rsid w:val="000F6746"/>
    <w:rsid w:val="000F7535"/>
    <w:rsid w:val="000F7AB0"/>
    <w:rsid w:val="0010091C"/>
    <w:rsid w:val="001011FC"/>
    <w:rsid w:val="00101526"/>
    <w:rsid w:val="0010173D"/>
    <w:rsid w:val="0010247F"/>
    <w:rsid w:val="001024D1"/>
    <w:rsid w:val="00102618"/>
    <w:rsid w:val="00103060"/>
    <w:rsid w:val="0010342E"/>
    <w:rsid w:val="00103E21"/>
    <w:rsid w:val="00103E9E"/>
    <w:rsid w:val="0010495B"/>
    <w:rsid w:val="00105114"/>
    <w:rsid w:val="00105423"/>
    <w:rsid w:val="00105CE2"/>
    <w:rsid w:val="00106B9A"/>
    <w:rsid w:val="00111106"/>
    <w:rsid w:val="001119B6"/>
    <w:rsid w:val="001125E2"/>
    <w:rsid w:val="0011333F"/>
    <w:rsid w:val="0011340A"/>
    <w:rsid w:val="00113431"/>
    <w:rsid w:val="00113FB7"/>
    <w:rsid w:val="0011470D"/>
    <w:rsid w:val="0011476C"/>
    <w:rsid w:val="001147FB"/>
    <w:rsid w:val="00114EFC"/>
    <w:rsid w:val="00115124"/>
    <w:rsid w:val="00115848"/>
    <w:rsid w:val="00115B48"/>
    <w:rsid w:val="00115DF0"/>
    <w:rsid w:val="001161B2"/>
    <w:rsid w:val="00116F13"/>
    <w:rsid w:val="00117A3C"/>
    <w:rsid w:val="00117B50"/>
    <w:rsid w:val="00117CBA"/>
    <w:rsid w:val="00117F0F"/>
    <w:rsid w:val="00120D57"/>
    <w:rsid w:val="001212E3"/>
    <w:rsid w:val="001242FE"/>
    <w:rsid w:val="00124CFA"/>
    <w:rsid w:val="0012584B"/>
    <w:rsid w:val="00125A52"/>
    <w:rsid w:val="00130C82"/>
    <w:rsid w:val="0013146C"/>
    <w:rsid w:val="00135A55"/>
    <w:rsid w:val="00136C79"/>
    <w:rsid w:val="00140392"/>
    <w:rsid w:val="00140445"/>
    <w:rsid w:val="0014098E"/>
    <w:rsid w:val="00141482"/>
    <w:rsid w:val="00141C51"/>
    <w:rsid w:val="0014217B"/>
    <w:rsid w:val="00142D25"/>
    <w:rsid w:val="0014316B"/>
    <w:rsid w:val="0014399F"/>
    <w:rsid w:val="001446A6"/>
    <w:rsid w:val="00145008"/>
    <w:rsid w:val="00145B5D"/>
    <w:rsid w:val="00145F18"/>
    <w:rsid w:val="001470C1"/>
    <w:rsid w:val="001506A1"/>
    <w:rsid w:val="001514FC"/>
    <w:rsid w:val="00151921"/>
    <w:rsid w:val="00151B73"/>
    <w:rsid w:val="00151BB4"/>
    <w:rsid w:val="00151C42"/>
    <w:rsid w:val="001528CC"/>
    <w:rsid w:val="001530C6"/>
    <w:rsid w:val="00153643"/>
    <w:rsid w:val="00153968"/>
    <w:rsid w:val="00153AA1"/>
    <w:rsid w:val="00153B32"/>
    <w:rsid w:val="0015532D"/>
    <w:rsid w:val="001559C9"/>
    <w:rsid w:val="00155E7B"/>
    <w:rsid w:val="0015624B"/>
    <w:rsid w:val="00156643"/>
    <w:rsid w:val="00156CEB"/>
    <w:rsid w:val="00157778"/>
    <w:rsid w:val="0016040A"/>
    <w:rsid w:val="001613DD"/>
    <w:rsid w:val="00161846"/>
    <w:rsid w:val="00163D72"/>
    <w:rsid w:val="0016419C"/>
    <w:rsid w:val="00164606"/>
    <w:rsid w:val="0016464A"/>
    <w:rsid w:val="001658EF"/>
    <w:rsid w:val="00166B95"/>
    <w:rsid w:val="001676EC"/>
    <w:rsid w:val="001700F3"/>
    <w:rsid w:val="00171515"/>
    <w:rsid w:val="00171FE0"/>
    <w:rsid w:val="00172A27"/>
    <w:rsid w:val="00172D49"/>
    <w:rsid w:val="00173360"/>
    <w:rsid w:val="001735B4"/>
    <w:rsid w:val="00173CA3"/>
    <w:rsid w:val="00173F48"/>
    <w:rsid w:val="00174389"/>
    <w:rsid w:val="001748A3"/>
    <w:rsid w:val="001749E2"/>
    <w:rsid w:val="001749E3"/>
    <w:rsid w:val="00175569"/>
    <w:rsid w:val="00175F7A"/>
    <w:rsid w:val="0017696E"/>
    <w:rsid w:val="00176A3E"/>
    <w:rsid w:val="00180A66"/>
    <w:rsid w:val="00180F94"/>
    <w:rsid w:val="00181243"/>
    <w:rsid w:val="00181EE3"/>
    <w:rsid w:val="00182A3A"/>
    <w:rsid w:val="00182B11"/>
    <w:rsid w:val="00182D8B"/>
    <w:rsid w:val="00183B4A"/>
    <w:rsid w:val="0018412E"/>
    <w:rsid w:val="0018419A"/>
    <w:rsid w:val="00184393"/>
    <w:rsid w:val="00184EE1"/>
    <w:rsid w:val="00186976"/>
    <w:rsid w:val="001915B6"/>
    <w:rsid w:val="0019253E"/>
    <w:rsid w:val="00192831"/>
    <w:rsid w:val="0019285F"/>
    <w:rsid w:val="001928FE"/>
    <w:rsid w:val="00192979"/>
    <w:rsid w:val="001937BA"/>
    <w:rsid w:val="00193C1D"/>
    <w:rsid w:val="00195B64"/>
    <w:rsid w:val="00195D5C"/>
    <w:rsid w:val="0019654F"/>
    <w:rsid w:val="00196869"/>
    <w:rsid w:val="001971E0"/>
    <w:rsid w:val="0019743B"/>
    <w:rsid w:val="001974DF"/>
    <w:rsid w:val="00197AD8"/>
    <w:rsid w:val="00197C0D"/>
    <w:rsid w:val="001A093D"/>
    <w:rsid w:val="001A0CCF"/>
    <w:rsid w:val="001A1E44"/>
    <w:rsid w:val="001A20CE"/>
    <w:rsid w:val="001A2B51"/>
    <w:rsid w:val="001A2E05"/>
    <w:rsid w:val="001A3259"/>
    <w:rsid w:val="001A3290"/>
    <w:rsid w:val="001A4491"/>
    <w:rsid w:val="001A4684"/>
    <w:rsid w:val="001A47FA"/>
    <w:rsid w:val="001A4A6A"/>
    <w:rsid w:val="001A5168"/>
    <w:rsid w:val="001A5C8E"/>
    <w:rsid w:val="001A607F"/>
    <w:rsid w:val="001A6336"/>
    <w:rsid w:val="001A6C80"/>
    <w:rsid w:val="001A756D"/>
    <w:rsid w:val="001B022E"/>
    <w:rsid w:val="001B0D89"/>
    <w:rsid w:val="001B17B4"/>
    <w:rsid w:val="001B1987"/>
    <w:rsid w:val="001B2AC0"/>
    <w:rsid w:val="001B401E"/>
    <w:rsid w:val="001B4A66"/>
    <w:rsid w:val="001B5089"/>
    <w:rsid w:val="001B563E"/>
    <w:rsid w:val="001B5C90"/>
    <w:rsid w:val="001B5F75"/>
    <w:rsid w:val="001B7BB3"/>
    <w:rsid w:val="001B7FEF"/>
    <w:rsid w:val="001C0785"/>
    <w:rsid w:val="001C08D4"/>
    <w:rsid w:val="001C0A54"/>
    <w:rsid w:val="001C11EA"/>
    <w:rsid w:val="001C205B"/>
    <w:rsid w:val="001C240A"/>
    <w:rsid w:val="001C2F99"/>
    <w:rsid w:val="001C30C7"/>
    <w:rsid w:val="001C38D5"/>
    <w:rsid w:val="001C3CF8"/>
    <w:rsid w:val="001C4008"/>
    <w:rsid w:val="001C48B0"/>
    <w:rsid w:val="001C6230"/>
    <w:rsid w:val="001C7358"/>
    <w:rsid w:val="001D1E0F"/>
    <w:rsid w:val="001D46D2"/>
    <w:rsid w:val="001D4A29"/>
    <w:rsid w:val="001D4A7D"/>
    <w:rsid w:val="001D5075"/>
    <w:rsid w:val="001D6B42"/>
    <w:rsid w:val="001D7FD9"/>
    <w:rsid w:val="001E0915"/>
    <w:rsid w:val="001E0AA3"/>
    <w:rsid w:val="001E0BCB"/>
    <w:rsid w:val="001E1433"/>
    <w:rsid w:val="001E15BD"/>
    <w:rsid w:val="001E2544"/>
    <w:rsid w:val="001E2A73"/>
    <w:rsid w:val="001E2D03"/>
    <w:rsid w:val="001E3048"/>
    <w:rsid w:val="001E3BD0"/>
    <w:rsid w:val="001E4660"/>
    <w:rsid w:val="001E4C22"/>
    <w:rsid w:val="001E5607"/>
    <w:rsid w:val="001E6637"/>
    <w:rsid w:val="001E721A"/>
    <w:rsid w:val="001E774A"/>
    <w:rsid w:val="001E7BAC"/>
    <w:rsid w:val="001F2019"/>
    <w:rsid w:val="001F2208"/>
    <w:rsid w:val="001F37E0"/>
    <w:rsid w:val="001F3868"/>
    <w:rsid w:val="001F3B75"/>
    <w:rsid w:val="001F4134"/>
    <w:rsid w:val="001F42A2"/>
    <w:rsid w:val="001F45C6"/>
    <w:rsid w:val="001F45EE"/>
    <w:rsid w:val="001F4850"/>
    <w:rsid w:val="001F4A3D"/>
    <w:rsid w:val="001F4EAC"/>
    <w:rsid w:val="001F5634"/>
    <w:rsid w:val="001F6F2E"/>
    <w:rsid w:val="00200CC2"/>
    <w:rsid w:val="002042BA"/>
    <w:rsid w:val="002043E2"/>
    <w:rsid w:val="002044C2"/>
    <w:rsid w:val="00204A5C"/>
    <w:rsid w:val="00204C69"/>
    <w:rsid w:val="00206EAA"/>
    <w:rsid w:val="00207A0B"/>
    <w:rsid w:val="00207CCA"/>
    <w:rsid w:val="00207D2B"/>
    <w:rsid w:val="00210246"/>
    <w:rsid w:val="00212600"/>
    <w:rsid w:val="00212A53"/>
    <w:rsid w:val="00212FD4"/>
    <w:rsid w:val="0021322F"/>
    <w:rsid w:val="002132D6"/>
    <w:rsid w:val="00213B90"/>
    <w:rsid w:val="002159A3"/>
    <w:rsid w:val="00215AF0"/>
    <w:rsid w:val="00215E0E"/>
    <w:rsid w:val="00217AB9"/>
    <w:rsid w:val="00217EDB"/>
    <w:rsid w:val="002204FC"/>
    <w:rsid w:val="002207B9"/>
    <w:rsid w:val="002229E2"/>
    <w:rsid w:val="0022434B"/>
    <w:rsid w:val="002246C3"/>
    <w:rsid w:val="002249F6"/>
    <w:rsid w:val="00225421"/>
    <w:rsid w:val="002256F6"/>
    <w:rsid w:val="002269CE"/>
    <w:rsid w:val="00226C85"/>
    <w:rsid w:val="0023033B"/>
    <w:rsid w:val="0023185B"/>
    <w:rsid w:val="00231A63"/>
    <w:rsid w:val="00231EB5"/>
    <w:rsid w:val="00232B10"/>
    <w:rsid w:val="00232D76"/>
    <w:rsid w:val="00232E78"/>
    <w:rsid w:val="0023423F"/>
    <w:rsid w:val="002346AC"/>
    <w:rsid w:val="002359A9"/>
    <w:rsid w:val="00235ABA"/>
    <w:rsid w:val="00235EFD"/>
    <w:rsid w:val="00235F20"/>
    <w:rsid w:val="00236570"/>
    <w:rsid w:val="00236A7D"/>
    <w:rsid w:val="00236E57"/>
    <w:rsid w:val="00236FEA"/>
    <w:rsid w:val="002373AE"/>
    <w:rsid w:val="00237422"/>
    <w:rsid w:val="00237B0E"/>
    <w:rsid w:val="00237ED1"/>
    <w:rsid w:val="002400A4"/>
    <w:rsid w:val="00240884"/>
    <w:rsid w:val="0024176E"/>
    <w:rsid w:val="00242296"/>
    <w:rsid w:val="002430C2"/>
    <w:rsid w:val="00245556"/>
    <w:rsid w:val="00245CB9"/>
    <w:rsid w:val="002469F9"/>
    <w:rsid w:val="00246EB2"/>
    <w:rsid w:val="0025013A"/>
    <w:rsid w:val="0025020A"/>
    <w:rsid w:val="00251109"/>
    <w:rsid w:val="00251261"/>
    <w:rsid w:val="00251A49"/>
    <w:rsid w:val="00252B57"/>
    <w:rsid w:val="00253000"/>
    <w:rsid w:val="002535BE"/>
    <w:rsid w:val="0025460A"/>
    <w:rsid w:val="00255D0D"/>
    <w:rsid w:val="00256B65"/>
    <w:rsid w:val="0025790C"/>
    <w:rsid w:val="00260650"/>
    <w:rsid w:val="00260A53"/>
    <w:rsid w:val="00260B7B"/>
    <w:rsid w:val="00260C77"/>
    <w:rsid w:val="00261352"/>
    <w:rsid w:val="00261497"/>
    <w:rsid w:val="002628B9"/>
    <w:rsid w:val="00263947"/>
    <w:rsid w:val="00263AD9"/>
    <w:rsid w:val="00263D4A"/>
    <w:rsid w:val="00263DFC"/>
    <w:rsid w:val="00263F0B"/>
    <w:rsid w:val="00264CBF"/>
    <w:rsid w:val="00264CEC"/>
    <w:rsid w:val="00264D92"/>
    <w:rsid w:val="00264EB1"/>
    <w:rsid w:val="00265ED8"/>
    <w:rsid w:val="00266BD1"/>
    <w:rsid w:val="00266D8B"/>
    <w:rsid w:val="00267ED4"/>
    <w:rsid w:val="002711A8"/>
    <w:rsid w:val="002718DC"/>
    <w:rsid w:val="00271E8C"/>
    <w:rsid w:val="0027396F"/>
    <w:rsid w:val="00274470"/>
    <w:rsid w:val="0027477B"/>
    <w:rsid w:val="00274EEA"/>
    <w:rsid w:val="0027657E"/>
    <w:rsid w:val="00276C71"/>
    <w:rsid w:val="002773E4"/>
    <w:rsid w:val="0027764B"/>
    <w:rsid w:val="002777F2"/>
    <w:rsid w:val="0027795C"/>
    <w:rsid w:val="00280097"/>
    <w:rsid w:val="00281526"/>
    <w:rsid w:val="00281776"/>
    <w:rsid w:val="00282FB1"/>
    <w:rsid w:val="00283751"/>
    <w:rsid w:val="00283C71"/>
    <w:rsid w:val="0028521D"/>
    <w:rsid w:val="00285406"/>
    <w:rsid w:val="00286C1A"/>
    <w:rsid w:val="00287861"/>
    <w:rsid w:val="00287DCA"/>
    <w:rsid w:val="00291906"/>
    <w:rsid w:val="0029242E"/>
    <w:rsid w:val="002931BF"/>
    <w:rsid w:val="00294E8B"/>
    <w:rsid w:val="00294F57"/>
    <w:rsid w:val="00295701"/>
    <w:rsid w:val="002967DE"/>
    <w:rsid w:val="00296A9A"/>
    <w:rsid w:val="00296B26"/>
    <w:rsid w:val="00296F95"/>
    <w:rsid w:val="00297388"/>
    <w:rsid w:val="002977D2"/>
    <w:rsid w:val="00297A3C"/>
    <w:rsid w:val="00297C37"/>
    <w:rsid w:val="002A0896"/>
    <w:rsid w:val="002A0D01"/>
    <w:rsid w:val="002A1981"/>
    <w:rsid w:val="002A294E"/>
    <w:rsid w:val="002A30AD"/>
    <w:rsid w:val="002A30F7"/>
    <w:rsid w:val="002A33AB"/>
    <w:rsid w:val="002A550F"/>
    <w:rsid w:val="002A552C"/>
    <w:rsid w:val="002A65ED"/>
    <w:rsid w:val="002A662F"/>
    <w:rsid w:val="002A7A82"/>
    <w:rsid w:val="002B1B6F"/>
    <w:rsid w:val="002B2271"/>
    <w:rsid w:val="002B2E71"/>
    <w:rsid w:val="002B30A2"/>
    <w:rsid w:val="002B3632"/>
    <w:rsid w:val="002B3D9F"/>
    <w:rsid w:val="002B3E86"/>
    <w:rsid w:val="002B545F"/>
    <w:rsid w:val="002B5F92"/>
    <w:rsid w:val="002B75DB"/>
    <w:rsid w:val="002B7B53"/>
    <w:rsid w:val="002C0940"/>
    <w:rsid w:val="002C0C29"/>
    <w:rsid w:val="002C0FE4"/>
    <w:rsid w:val="002C290B"/>
    <w:rsid w:val="002C303B"/>
    <w:rsid w:val="002C4FCD"/>
    <w:rsid w:val="002C5BB1"/>
    <w:rsid w:val="002C688F"/>
    <w:rsid w:val="002C7667"/>
    <w:rsid w:val="002C7B9B"/>
    <w:rsid w:val="002D1134"/>
    <w:rsid w:val="002D13F4"/>
    <w:rsid w:val="002D2B90"/>
    <w:rsid w:val="002D2D02"/>
    <w:rsid w:val="002D68DF"/>
    <w:rsid w:val="002D6F32"/>
    <w:rsid w:val="002E0130"/>
    <w:rsid w:val="002E08A0"/>
    <w:rsid w:val="002E15A0"/>
    <w:rsid w:val="002E1C1E"/>
    <w:rsid w:val="002E1DAC"/>
    <w:rsid w:val="002E21C7"/>
    <w:rsid w:val="002E2A9F"/>
    <w:rsid w:val="002E302F"/>
    <w:rsid w:val="002E39C2"/>
    <w:rsid w:val="002E47F1"/>
    <w:rsid w:val="002E4B16"/>
    <w:rsid w:val="002E5B16"/>
    <w:rsid w:val="002E602B"/>
    <w:rsid w:val="002E6880"/>
    <w:rsid w:val="002E6D05"/>
    <w:rsid w:val="002F0277"/>
    <w:rsid w:val="002F0E3A"/>
    <w:rsid w:val="002F31CE"/>
    <w:rsid w:val="002F3E2F"/>
    <w:rsid w:val="002F462F"/>
    <w:rsid w:val="002F4E05"/>
    <w:rsid w:val="002F506C"/>
    <w:rsid w:val="002F5A91"/>
    <w:rsid w:val="002F5E60"/>
    <w:rsid w:val="002F6FC1"/>
    <w:rsid w:val="002F72A0"/>
    <w:rsid w:val="0030003A"/>
    <w:rsid w:val="00301043"/>
    <w:rsid w:val="003016D5"/>
    <w:rsid w:val="00302C36"/>
    <w:rsid w:val="0030315A"/>
    <w:rsid w:val="0030386A"/>
    <w:rsid w:val="00303961"/>
    <w:rsid w:val="0030427B"/>
    <w:rsid w:val="00304F44"/>
    <w:rsid w:val="0030504E"/>
    <w:rsid w:val="003055F6"/>
    <w:rsid w:val="00307A20"/>
    <w:rsid w:val="00307FA0"/>
    <w:rsid w:val="00310C17"/>
    <w:rsid w:val="00310DA4"/>
    <w:rsid w:val="00311009"/>
    <w:rsid w:val="00311023"/>
    <w:rsid w:val="00311324"/>
    <w:rsid w:val="00311BB4"/>
    <w:rsid w:val="003122C4"/>
    <w:rsid w:val="00312975"/>
    <w:rsid w:val="00312A1B"/>
    <w:rsid w:val="00313E92"/>
    <w:rsid w:val="003140A3"/>
    <w:rsid w:val="00314103"/>
    <w:rsid w:val="00314C76"/>
    <w:rsid w:val="00314F16"/>
    <w:rsid w:val="00315F3C"/>
    <w:rsid w:val="003160FE"/>
    <w:rsid w:val="00316DA2"/>
    <w:rsid w:val="00317145"/>
    <w:rsid w:val="00317712"/>
    <w:rsid w:val="0032031D"/>
    <w:rsid w:val="003203C0"/>
    <w:rsid w:val="00320B99"/>
    <w:rsid w:val="00320FB0"/>
    <w:rsid w:val="003214A4"/>
    <w:rsid w:val="00321647"/>
    <w:rsid w:val="00321989"/>
    <w:rsid w:val="003225E8"/>
    <w:rsid w:val="0032347B"/>
    <w:rsid w:val="00323C5C"/>
    <w:rsid w:val="00323E39"/>
    <w:rsid w:val="0032433C"/>
    <w:rsid w:val="003243EC"/>
    <w:rsid w:val="00324596"/>
    <w:rsid w:val="00324678"/>
    <w:rsid w:val="003247CD"/>
    <w:rsid w:val="0032515F"/>
    <w:rsid w:val="00325A86"/>
    <w:rsid w:val="00325C2D"/>
    <w:rsid w:val="00326829"/>
    <w:rsid w:val="00326C66"/>
    <w:rsid w:val="003273ED"/>
    <w:rsid w:val="003278B0"/>
    <w:rsid w:val="00330268"/>
    <w:rsid w:val="00330FF8"/>
    <w:rsid w:val="00333E3A"/>
    <w:rsid w:val="0033468A"/>
    <w:rsid w:val="00336026"/>
    <w:rsid w:val="003362AD"/>
    <w:rsid w:val="0033761D"/>
    <w:rsid w:val="00337CAE"/>
    <w:rsid w:val="00337CD2"/>
    <w:rsid w:val="00340078"/>
    <w:rsid w:val="00340DC0"/>
    <w:rsid w:val="00340FBF"/>
    <w:rsid w:val="003412FC"/>
    <w:rsid w:val="00341B5C"/>
    <w:rsid w:val="00342688"/>
    <w:rsid w:val="00343393"/>
    <w:rsid w:val="00343E8A"/>
    <w:rsid w:val="0034401F"/>
    <w:rsid w:val="0034440E"/>
    <w:rsid w:val="00345F24"/>
    <w:rsid w:val="003463A4"/>
    <w:rsid w:val="0034667A"/>
    <w:rsid w:val="00346854"/>
    <w:rsid w:val="00346AD1"/>
    <w:rsid w:val="00347899"/>
    <w:rsid w:val="00347E04"/>
    <w:rsid w:val="003518D6"/>
    <w:rsid w:val="00351B7A"/>
    <w:rsid w:val="00352502"/>
    <w:rsid w:val="00352D40"/>
    <w:rsid w:val="0035311D"/>
    <w:rsid w:val="00353EDF"/>
    <w:rsid w:val="00354B7A"/>
    <w:rsid w:val="0035548A"/>
    <w:rsid w:val="0035617B"/>
    <w:rsid w:val="00356B8B"/>
    <w:rsid w:val="00357129"/>
    <w:rsid w:val="003577D2"/>
    <w:rsid w:val="0035796F"/>
    <w:rsid w:val="00362806"/>
    <w:rsid w:val="00362ABF"/>
    <w:rsid w:val="00362DE1"/>
    <w:rsid w:val="00363966"/>
    <w:rsid w:val="00364E0F"/>
    <w:rsid w:val="003651B7"/>
    <w:rsid w:val="00365F22"/>
    <w:rsid w:val="00366379"/>
    <w:rsid w:val="00367631"/>
    <w:rsid w:val="003708B8"/>
    <w:rsid w:val="003741B0"/>
    <w:rsid w:val="00374F29"/>
    <w:rsid w:val="00375261"/>
    <w:rsid w:val="00375B83"/>
    <w:rsid w:val="00375C63"/>
    <w:rsid w:val="00376453"/>
    <w:rsid w:val="00377069"/>
    <w:rsid w:val="00377102"/>
    <w:rsid w:val="00377A13"/>
    <w:rsid w:val="00380691"/>
    <w:rsid w:val="003816B1"/>
    <w:rsid w:val="0038240C"/>
    <w:rsid w:val="00382F35"/>
    <w:rsid w:val="00383045"/>
    <w:rsid w:val="0038359A"/>
    <w:rsid w:val="00386712"/>
    <w:rsid w:val="00387996"/>
    <w:rsid w:val="00390194"/>
    <w:rsid w:val="003915C0"/>
    <w:rsid w:val="00391E66"/>
    <w:rsid w:val="00391F03"/>
    <w:rsid w:val="00392768"/>
    <w:rsid w:val="0039277B"/>
    <w:rsid w:val="00392C90"/>
    <w:rsid w:val="003944C8"/>
    <w:rsid w:val="003947A1"/>
    <w:rsid w:val="00394ACB"/>
    <w:rsid w:val="00394E50"/>
    <w:rsid w:val="003976FF"/>
    <w:rsid w:val="003A2368"/>
    <w:rsid w:val="003A3D25"/>
    <w:rsid w:val="003A4201"/>
    <w:rsid w:val="003A4A10"/>
    <w:rsid w:val="003A55F0"/>
    <w:rsid w:val="003A5B10"/>
    <w:rsid w:val="003A5D0A"/>
    <w:rsid w:val="003A5D8C"/>
    <w:rsid w:val="003A5E92"/>
    <w:rsid w:val="003A609E"/>
    <w:rsid w:val="003A62A3"/>
    <w:rsid w:val="003A6418"/>
    <w:rsid w:val="003A6775"/>
    <w:rsid w:val="003A76C4"/>
    <w:rsid w:val="003A76CF"/>
    <w:rsid w:val="003B0216"/>
    <w:rsid w:val="003B12DE"/>
    <w:rsid w:val="003B1FEE"/>
    <w:rsid w:val="003B20A1"/>
    <w:rsid w:val="003B3719"/>
    <w:rsid w:val="003B41C4"/>
    <w:rsid w:val="003B427A"/>
    <w:rsid w:val="003B67F7"/>
    <w:rsid w:val="003B7663"/>
    <w:rsid w:val="003B76E1"/>
    <w:rsid w:val="003B7B9A"/>
    <w:rsid w:val="003C0D7D"/>
    <w:rsid w:val="003C271A"/>
    <w:rsid w:val="003C3469"/>
    <w:rsid w:val="003C4858"/>
    <w:rsid w:val="003C5BB3"/>
    <w:rsid w:val="003C663D"/>
    <w:rsid w:val="003C7B8A"/>
    <w:rsid w:val="003D1170"/>
    <w:rsid w:val="003D1B8E"/>
    <w:rsid w:val="003D1C1D"/>
    <w:rsid w:val="003D1ED0"/>
    <w:rsid w:val="003D25CE"/>
    <w:rsid w:val="003D2AB2"/>
    <w:rsid w:val="003D2D72"/>
    <w:rsid w:val="003D31F3"/>
    <w:rsid w:val="003D332B"/>
    <w:rsid w:val="003D36EE"/>
    <w:rsid w:val="003D3858"/>
    <w:rsid w:val="003D3A98"/>
    <w:rsid w:val="003D4DF8"/>
    <w:rsid w:val="003D515C"/>
    <w:rsid w:val="003D52C4"/>
    <w:rsid w:val="003D57D5"/>
    <w:rsid w:val="003D6341"/>
    <w:rsid w:val="003D6B76"/>
    <w:rsid w:val="003D6E0A"/>
    <w:rsid w:val="003D7D64"/>
    <w:rsid w:val="003E1712"/>
    <w:rsid w:val="003E3079"/>
    <w:rsid w:val="003E4497"/>
    <w:rsid w:val="003E453A"/>
    <w:rsid w:val="003E4FAA"/>
    <w:rsid w:val="003E5A25"/>
    <w:rsid w:val="003E5A72"/>
    <w:rsid w:val="003E644A"/>
    <w:rsid w:val="003E7111"/>
    <w:rsid w:val="003E7136"/>
    <w:rsid w:val="003E744C"/>
    <w:rsid w:val="003F1CDB"/>
    <w:rsid w:val="003F3518"/>
    <w:rsid w:val="003F38B0"/>
    <w:rsid w:val="003F3A39"/>
    <w:rsid w:val="003F3B55"/>
    <w:rsid w:val="003F41B1"/>
    <w:rsid w:val="003F504F"/>
    <w:rsid w:val="003F519A"/>
    <w:rsid w:val="003F59D9"/>
    <w:rsid w:val="003F5B69"/>
    <w:rsid w:val="003F5F72"/>
    <w:rsid w:val="003F74C7"/>
    <w:rsid w:val="004028DD"/>
    <w:rsid w:val="00403115"/>
    <w:rsid w:val="0040347C"/>
    <w:rsid w:val="00403934"/>
    <w:rsid w:val="0040452D"/>
    <w:rsid w:val="00405337"/>
    <w:rsid w:val="00406FBA"/>
    <w:rsid w:val="00406FF2"/>
    <w:rsid w:val="00410449"/>
    <w:rsid w:val="004105EF"/>
    <w:rsid w:val="004107EF"/>
    <w:rsid w:val="004125A8"/>
    <w:rsid w:val="00413A55"/>
    <w:rsid w:val="004152E4"/>
    <w:rsid w:val="00415A1A"/>
    <w:rsid w:val="00415B25"/>
    <w:rsid w:val="00416576"/>
    <w:rsid w:val="00417BF5"/>
    <w:rsid w:val="0042093D"/>
    <w:rsid w:val="00422468"/>
    <w:rsid w:val="00422823"/>
    <w:rsid w:val="004228B9"/>
    <w:rsid w:val="004230A9"/>
    <w:rsid w:val="0042326A"/>
    <w:rsid w:val="00423F96"/>
    <w:rsid w:val="00425AE3"/>
    <w:rsid w:val="0042619D"/>
    <w:rsid w:val="00427E81"/>
    <w:rsid w:val="00430583"/>
    <w:rsid w:val="00430C39"/>
    <w:rsid w:val="004317F1"/>
    <w:rsid w:val="00431EC6"/>
    <w:rsid w:val="00431F4F"/>
    <w:rsid w:val="0043351E"/>
    <w:rsid w:val="0043356A"/>
    <w:rsid w:val="00433676"/>
    <w:rsid w:val="004336A4"/>
    <w:rsid w:val="00434250"/>
    <w:rsid w:val="00434DC2"/>
    <w:rsid w:val="00434E49"/>
    <w:rsid w:val="00434E80"/>
    <w:rsid w:val="00434F09"/>
    <w:rsid w:val="00435A4A"/>
    <w:rsid w:val="00436504"/>
    <w:rsid w:val="0043655D"/>
    <w:rsid w:val="00436C0E"/>
    <w:rsid w:val="004405C7"/>
    <w:rsid w:val="00441308"/>
    <w:rsid w:val="00441D39"/>
    <w:rsid w:val="00442421"/>
    <w:rsid w:val="0044250A"/>
    <w:rsid w:val="00442AF8"/>
    <w:rsid w:val="0044514A"/>
    <w:rsid w:val="004454AE"/>
    <w:rsid w:val="00445B0D"/>
    <w:rsid w:val="00446A37"/>
    <w:rsid w:val="00447587"/>
    <w:rsid w:val="00447628"/>
    <w:rsid w:val="00447E59"/>
    <w:rsid w:val="00450418"/>
    <w:rsid w:val="00450D56"/>
    <w:rsid w:val="00450DB7"/>
    <w:rsid w:val="00452702"/>
    <w:rsid w:val="00453295"/>
    <w:rsid w:val="00453A7D"/>
    <w:rsid w:val="00453EBB"/>
    <w:rsid w:val="004542F6"/>
    <w:rsid w:val="00455745"/>
    <w:rsid w:val="004574C8"/>
    <w:rsid w:val="004579D9"/>
    <w:rsid w:val="00457DC2"/>
    <w:rsid w:val="00461D9C"/>
    <w:rsid w:val="00462645"/>
    <w:rsid w:val="004634D7"/>
    <w:rsid w:val="00465030"/>
    <w:rsid w:val="00465378"/>
    <w:rsid w:val="00471516"/>
    <w:rsid w:val="004716DF"/>
    <w:rsid w:val="00472DA0"/>
    <w:rsid w:val="004730E1"/>
    <w:rsid w:val="004733D3"/>
    <w:rsid w:val="004743B2"/>
    <w:rsid w:val="004750F2"/>
    <w:rsid w:val="00475110"/>
    <w:rsid w:val="004771A1"/>
    <w:rsid w:val="00477E1E"/>
    <w:rsid w:val="00480807"/>
    <w:rsid w:val="00480C06"/>
    <w:rsid w:val="004825BA"/>
    <w:rsid w:val="004834C0"/>
    <w:rsid w:val="00483672"/>
    <w:rsid w:val="00486461"/>
    <w:rsid w:val="00486CA0"/>
    <w:rsid w:val="00486E1F"/>
    <w:rsid w:val="00487315"/>
    <w:rsid w:val="00487CF7"/>
    <w:rsid w:val="00490332"/>
    <w:rsid w:val="00491BAA"/>
    <w:rsid w:val="00493F43"/>
    <w:rsid w:val="00494624"/>
    <w:rsid w:val="0049469B"/>
    <w:rsid w:val="00495001"/>
    <w:rsid w:val="0049574A"/>
    <w:rsid w:val="00495E5D"/>
    <w:rsid w:val="00495E67"/>
    <w:rsid w:val="00495EDD"/>
    <w:rsid w:val="004961B5"/>
    <w:rsid w:val="0049627B"/>
    <w:rsid w:val="004967B1"/>
    <w:rsid w:val="004A0C05"/>
    <w:rsid w:val="004A0F7F"/>
    <w:rsid w:val="004A112E"/>
    <w:rsid w:val="004A241E"/>
    <w:rsid w:val="004A27AF"/>
    <w:rsid w:val="004A2E91"/>
    <w:rsid w:val="004A3844"/>
    <w:rsid w:val="004A4618"/>
    <w:rsid w:val="004A4732"/>
    <w:rsid w:val="004A494E"/>
    <w:rsid w:val="004A4981"/>
    <w:rsid w:val="004A4A49"/>
    <w:rsid w:val="004A564D"/>
    <w:rsid w:val="004A5FF2"/>
    <w:rsid w:val="004A76F2"/>
    <w:rsid w:val="004B094A"/>
    <w:rsid w:val="004B1477"/>
    <w:rsid w:val="004B1553"/>
    <w:rsid w:val="004B1C1A"/>
    <w:rsid w:val="004B2DD2"/>
    <w:rsid w:val="004B3390"/>
    <w:rsid w:val="004B33CD"/>
    <w:rsid w:val="004B3F48"/>
    <w:rsid w:val="004B4376"/>
    <w:rsid w:val="004B51E3"/>
    <w:rsid w:val="004B54E7"/>
    <w:rsid w:val="004B6ED7"/>
    <w:rsid w:val="004B75C3"/>
    <w:rsid w:val="004C1565"/>
    <w:rsid w:val="004C16FA"/>
    <w:rsid w:val="004C3849"/>
    <w:rsid w:val="004C4833"/>
    <w:rsid w:val="004C56EB"/>
    <w:rsid w:val="004C5DC1"/>
    <w:rsid w:val="004C6ACE"/>
    <w:rsid w:val="004C6F28"/>
    <w:rsid w:val="004D0B42"/>
    <w:rsid w:val="004D1209"/>
    <w:rsid w:val="004D2286"/>
    <w:rsid w:val="004D22BB"/>
    <w:rsid w:val="004D274B"/>
    <w:rsid w:val="004D3D95"/>
    <w:rsid w:val="004D4247"/>
    <w:rsid w:val="004D621C"/>
    <w:rsid w:val="004D62DE"/>
    <w:rsid w:val="004D636A"/>
    <w:rsid w:val="004D654C"/>
    <w:rsid w:val="004D683E"/>
    <w:rsid w:val="004D6CA2"/>
    <w:rsid w:val="004D6F33"/>
    <w:rsid w:val="004D7222"/>
    <w:rsid w:val="004D7237"/>
    <w:rsid w:val="004D794D"/>
    <w:rsid w:val="004D7AA7"/>
    <w:rsid w:val="004D7FCB"/>
    <w:rsid w:val="004E0C05"/>
    <w:rsid w:val="004E1BCC"/>
    <w:rsid w:val="004E1C19"/>
    <w:rsid w:val="004E1D75"/>
    <w:rsid w:val="004E2439"/>
    <w:rsid w:val="004E2C6A"/>
    <w:rsid w:val="004E3364"/>
    <w:rsid w:val="004E3473"/>
    <w:rsid w:val="004E3832"/>
    <w:rsid w:val="004E3953"/>
    <w:rsid w:val="004E3E31"/>
    <w:rsid w:val="004E3E76"/>
    <w:rsid w:val="004E4AE8"/>
    <w:rsid w:val="004E4D3C"/>
    <w:rsid w:val="004E60E0"/>
    <w:rsid w:val="004E621B"/>
    <w:rsid w:val="004E7DB3"/>
    <w:rsid w:val="004F0521"/>
    <w:rsid w:val="004F0B28"/>
    <w:rsid w:val="004F0C8A"/>
    <w:rsid w:val="004F1425"/>
    <w:rsid w:val="004F156F"/>
    <w:rsid w:val="004F1BB7"/>
    <w:rsid w:val="004F2250"/>
    <w:rsid w:val="004F2322"/>
    <w:rsid w:val="004F2CD9"/>
    <w:rsid w:val="004F3309"/>
    <w:rsid w:val="004F37D1"/>
    <w:rsid w:val="004F3A77"/>
    <w:rsid w:val="004F468F"/>
    <w:rsid w:val="004F4CCA"/>
    <w:rsid w:val="004F4F44"/>
    <w:rsid w:val="00501608"/>
    <w:rsid w:val="0050185B"/>
    <w:rsid w:val="005024DA"/>
    <w:rsid w:val="005034E3"/>
    <w:rsid w:val="005047CD"/>
    <w:rsid w:val="00506636"/>
    <w:rsid w:val="0050703B"/>
    <w:rsid w:val="0050739A"/>
    <w:rsid w:val="005076D5"/>
    <w:rsid w:val="005100DC"/>
    <w:rsid w:val="00510A2F"/>
    <w:rsid w:val="00510BEA"/>
    <w:rsid w:val="00510E61"/>
    <w:rsid w:val="00511660"/>
    <w:rsid w:val="00512A0D"/>
    <w:rsid w:val="00513F69"/>
    <w:rsid w:val="00514A1D"/>
    <w:rsid w:val="00515CEE"/>
    <w:rsid w:val="00516A06"/>
    <w:rsid w:val="00516E04"/>
    <w:rsid w:val="00517542"/>
    <w:rsid w:val="00517B10"/>
    <w:rsid w:val="00517CCE"/>
    <w:rsid w:val="00517E13"/>
    <w:rsid w:val="0052194C"/>
    <w:rsid w:val="005229A0"/>
    <w:rsid w:val="00522D50"/>
    <w:rsid w:val="0052368B"/>
    <w:rsid w:val="00523990"/>
    <w:rsid w:val="00523A83"/>
    <w:rsid w:val="00523C59"/>
    <w:rsid w:val="00523F6F"/>
    <w:rsid w:val="0052483D"/>
    <w:rsid w:val="0052517F"/>
    <w:rsid w:val="005251E7"/>
    <w:rsid w:val="00526A25"/>
    <w:rsid w:val="005275D1"/>
    <w:rsid w:val="00527C55"/>
    <w:rsid w:val="00527D92"/>
    <w:rsid w:val="0053000C"/>
    <w:rsid w:val="00530380"/>
    <w:rsid w:val="00531255"/>
    <w:rsid w:val="00531A42"/>
    <w:rsid w:val="00531B26"/>
    <w:rsid w:val="00531BAF"/>
    <w:rsid w:val="00531C76"/>
    <w:rsid w:val="00531E9D"/>
    <w:rsid w:val="0053632A"/>
    <w:rsid w:val="0053661C"/>
    <w:rsid w:val="0053663D"/>
    <w:rsid w:val="00537306"/>
    <w:rsid w:val="00537781"/>
    <w:rsid w:val="00537D91"/>
    <w:rsid w:val="005409DB"/>
    <w:rsid w:val="005409E0"/>
    <w:rsid w:val="005412A3"/>
    <w:rsid w:val="00541B00"/>
    <w:rsid w:val="00542AA9"/>
    <w:rsid w:val="00542C62"/>
    <w:rsid w:val="00542F68"/>
    <w:rsid w:val="00543556"/>
    <w:rsid w:val="00543F5F"/>
    <w:rsid w:val="00545698"/>
    <w:rsid w:val="00546149"/>
    <w:rsid w:val="0054630F"/>
    <w:rsid w:val="0054680C"/>
    <w:rsid w:val="0054730C"/>
    <w:rsid w:val="00547315"/>
    <w:rsid w:val="005522DE"/>
    <w:rsid w:val="00552D78"/>
    <w:rsid w:val="00553065"/>
    <w:rsid w:val="00554E9D"/>
    <w:rsid w:val="00555089"/>
    <w:rsid w:val="00555949"/>
    <w:rsid w:val="005561EF"/>
    <w:rsid w:val="005565F1"/>
    <w:rsid w:val="00557D41"/>
    <w:rsid w:val="00557F78"/>
    <w:rsid w:val="00562259"/>
    <w:rsid w:val="005629BB"/>
    <w:rsid w:val="00562E92"/>
    <w:rsid w:val="00563703"/>
    <w:rsid w:val="0056399D"/>
    <w:rsid w:val="005655BD"/>
    <w:rsid w:val="00565E11"/>
    <w:rsid w:val="005661E1"/>
    <w:rsid w:val="005703EE"/>
    <w:rsid w:val="00571501"/>
    <w:rsid w:val="005722A1"/>
    <w:rsid w:val="0057253E"/>
    <w:rsid w:val="00572A4A"/>
    <w:rsid w:val="00572E88"/>
    <w:rsid w:val="00572F59"/>
    <w:rsid w:val="00573746"/>
    <w:rsid w:val="00573B46"/>
    <w:rsid w:val="00573C8F"/>
    <w:rsid w:val="00574712"/>
    <w:rsid w:val="00574871"/>
    <w:rsid w:val="005748C7"/>
    <w:rsid w:val="005767F5"/>
    <w:rsid w:val="00576C5E"/>
    <w:rsid w:val="00577020"/>
    <w:rsid w:val="00577307"/>
    <w:rsid w:val="00577C17"/>
    <w:rsid w:val="005804CC"/>
    <w:rsid w:val="005808D8"/>
    <w:rsid w:val="00580957"/>
    <w:rsid w:val="005817BC"/>
    <w:rsid w:val="005818B8"/>
    <w:rsid w:val="00582297"/>
    <w:rsid w:val="005824FB"/>
    <w:rsid w:val="00582542"/>
    <w:rsid w:val="00582549"/>
    <w:rsid w:val="00582D8A"/>
    <w:rsid w:val="005830FA"/>
    <w:rsid w:val="00583AAA"/>
    <w:rsid w:val="005848AB"/>
    <w:rsid w:val="00584CA3"/>
    <w:rsid w:val="005852E8"/>
    <w:rsid w:val="005856BA"/>
    <w:rsid w:val="00586955"/>
    <w:rsid w:val="00586C1D"/>
    <w:rsid w:val="005870EB"/>
    <w:rsid w:val="00591ACA"/>
    <w:rsid w:val="0059216D"/>
    <w:rsid w:val="00592DCF"/>
    <w:rsid w:val="00592FD2"/>
    <w:rsid w:val="00593024"/>
    <w:rsid w:val="005940BA"/>
    <w:rsid w:val="005948FF"/>
    <w:rsid w:val="005955BA"/>
    <w:rsid w:val="00596575"/>
    <w:rsid w:val="00596A6F"/>
    <w:rsid w:val="00597DB4"/>
    <w:rsid w:val="005A025B"/>
    <w:rsid w:val="005A0B59"/>
    <w:rsid w:val="005A1284"/>
    <w:rsid w:val="005A12E3"/>
    <w:rsid w:val="005A245A"/>
    <w:rsid w:val="005A2C7B"/>
    <w:rsid w:val="005A326F"/>
    <w:rsid w:val="005A3602"/>
    <w:rsid w:val="005A4C11"/>
    <w:rsid w:val="005B0F9A"/>
    <w:rsid w:val="005B109E"/>
    <w:rsid w:val="005B1A42"/>
    <w:rsid w:val="005B1B50"/>
    <w:rsid w:val="005B3BBE"/>
    <w:rsid w:val="005B3F6C"/>
    <w:rsid w:val="005B4DB1"/>
    <w:rsid w:val="005B6CE1"/>
    <w:rsid w:val="005B7198"/>
    <w:rsid w:val="005B77A6"/>
    <w:rsid w:val="005C11DC"/>
    <w:rsid w:val="005C11FB"/>
    <w:rsid w:val="005C162E"/>
    <w:rsid w:val="005C1B9F"/>
    <w:rsid w:val="005C1E96"/>
    <w:rsid w:val="005C22BC"/>
    <w:rsid w:val="005C3912"/>
    <w:rsid w:val="005C3AB0"/>
    <w:rsid w:val="005C417A"/>
    <w:rsid w:val="005C5C40"/>
    <w:rsid w:val="005C6436"/>
    <w:rsid w:val="005D0210"/>
    <w:rsid w:val="005D0731"/>
    <w:rsid w:val="005D0C8B"/>
    <w:rsid w:val="005D0D95"/>
    <w:rsid w:val="005D0F65"/>
    <w:rsid w:val="005D181C"/>
    <w:rsid w:val="005D1866"/>
    <w:rsid w:val="005D1CA8"/>
    <w:rsid w:val="005D22FC"/>
    <w:rsid w:val="005D2435"/>
    <w:rsid w:val="005D26A4"/>
    <w:rsid w:val="005D27C6"/>
    <w:rsid w:val="005D3D41"/>
    <w:rsid w:val="005D4EBA"/>
    <w:rsid w:val="005D5015"/>
    <w:rsid w:val="005D5322"/>
    <w:rsid w:val="005D598D"/>
    <w:rsid w:val="005D736F"/>
    <w:rsid w:val="005D7421"/>
    <w:rsid w:val="005D7958"/>
    <w:rsid w:val="005E04AF"/>
    <w:rsid w:val="005E12C5"/>
    <w:rsid w:val="005E1540"/>
    <w:rsid w:val="005E24FE"/>
    <w:rsid w:val="005E2C68"/>
    <w:rsid w:val="005E3E4F"/>
    <w:rsid w:val="005E427D"/>
    <w:rsid w:val="005E48C0"/>
    <w:rsid w:val="005E4F70"/>
    <w:rsid w:val="005E51E8"/>
    <w:rsid w:val="005E60EB"/>
    <w:rsid w:val="005E74A8"/>
    <w:rsid w:val="005E7CE8"/>
    <w:rsid w:val="005F0BC1"/>
    <w:rsid w:val="005F13D4"/>
    <w:rsid w:val="005F162E"/>
    <w:rsid w:val="005F16C3"/>
    <w:rsid w:val="005F1739"/>
    <w:rsid w:val="005F2A1E"/>
    <w:rsid w:val="005F328B"/>
    <w:rsid w:val="005F378D"/>
    <w:rsid w:val="005F4163"/>
    <w:rsid w:val="005F5878"/>
    <w:rsid w:val="005F6B5A"/>
    <w:rsid w:val="005F723D"/>
    <w:rsid w:val="005F74F3"/>
    <w:rsid w:val="005F75C6"/>
    <w:rsid w:val="005F7995"/>
    <w:rsid w:val="00600500"/>
    <w:rsid w:val="0060092D"/>
    <w:rsid w:val="00601372"/>
    <w:rsid w:val="00601632"/>
    <w:rsid w:val="00603B57"/>
    <w:rsid w:val="006041C3"/>
    <w:rsid w:val="006052FC"/>
    <w:rsid w:val="006054D7"/>
    <w:rsid w:val="006058F8"/>
    <w:rsid w:val="00605A28"/>
    <w:rsid w:val="00605E5D"/>
    <w:rsid w:val="00605E6E"/>
    <w:rsid w:val="00610BBF"/>
    <w:rsid w:val="0061255E"/>
    <w:rsid w:val="0061346C"/>
    <w:rsid w:val="006134D9"/>
    <w:rsid w:val="00613FB5"/>
    <w:rsid w:val="00614E98"/>
    <w:rsid w:val="0061562C"/>
    <w:rsid w:val="006158FE"/>
    <w:rsid w:val="00615972"/>
    <w:rsid w:val="00616E72"/>
    <w:rsid w:val="0062082A"/>
    <w:rsid w:val="00620ACF"/>
    <w:rsid w:val="006216A6"/>
    <w:rsid w:val="00621E00"/>
    <w:rsid w:val="00622538"/>
    <w:rsid w:val="0062295C"/>
    <w:rsid w:val="00623AD2"/>
    <w:rsid w:val="00624591"/>
    <w:rsid w:val="00625DB8"/>
    <w:rsid w:val="0062699E"/>
    <w:rsid w:val="00626E0B"/>
    <w:rsid w:val="00627277"/>
    <w:rsid w:val="0062739D"/>
    <w:rsid w:val="00631C30"/>
    <w:rsid w:val="00631D13"/>
    <w:rsid w:val="006323B2"/>
    <w:rsid w:val="00632B51"/>
    <w:rsid w:val="00632CD8"/>
    <w:rsid w:val="00633021"/>
    <w:rsid w:val="0063454C"/>
    <w:rsid w:val="00635358"/>
    <w:rsid w:val="00636962"/>
    <w:rsid w:val="00637781"/>
    <w:rsid w:val="00637A8C"/>
    <w:rsid w:val="00637C9F"/>
    <w:rsid w:val="00640199"/>
    <w:rsid w:val="00641920"/>
    <w:rsid w:val="006429C8"/>
    <w:rsid w:val="00642ADE"/>
    <w:rsid w:val="0064334D"/>
    <w:rsid w:val="0064390A"/>
    <w:rsid w:val="006447C5"/>
    <w:rsid w:val="00644C71"/>
    <w:rsid w:val="0064564F"/>
    <w:rsid w:val="006462FA"/>
    <w:rsid w:val="00646ED3"/>
    <w:rsid w:val="0065093C"/>
    <w:rsid w:val="00652AA7"/>
    <w:rsid w:val="00657AE0"/>
    <w:rsid w:val="00660EBB"/>
    <w:rsid w:val="00663721"/>
    <w:rsid w:val="00663CC5"/>
    <w:rsid w:val="006648F3"/>
    <w:rsid w:val="0066507A"/>
    <w:rsid w:val="00665C10"/>
    <w:rsid w:val="006669BE"/>
    <w:rsid w:val="006700F7"/>
    <w:rsid w:val="006701CF"/>
    <w:rsid w:val="00670660"/>
    <w:rsid w:val="00670CF3"/>
    <w:rsid w:val="00672034"/>
    <w:rsid w:val="00672A66"/>
    <w:rsid w:val="006732BE"/>
    <w:rsid w:val="00674BF8"/>
    <w:rsid w:val="00675C9A"/>
    <w:rsid w:val="006764F6"/>
    <w:rsid w:val="0067701A"/>
    <w:rsid w:val="0067745D"/>
    <w:rsid w:val="0067764B"/>
    <w:rsid w:val="00680940"/>
    <w:rsid w:val="006817AA"/>
    <w:rsid w:val="006838E2"/>
    <w:rsid w:val="00684D69"/>
    <w:rsid w:val="006864A4"/>
    <w:rsid w:val="006866EB"/>
    <w:rsid w:val="00686AF3"/>
    <w:rsid w:val="00686E84"/>
    <w:rsid w:val="00687163"/>
    <w:rsid w:val="0068740B"/>
    <w:rsid w:val="00687C7A"/>
    <w:rsid w:val="00690D8F"/>
    <w:rsid w:val="006913E5"/>
    <w:rsid w:val="0069163F"/>
    <w:rsid w:val="006928F3"/>
    <w:rsid w:val="00692B5F"/>
    <w:rsid w:val="00692CC7"/>
    <w:rsid w:val="006936B3"/>
    <w:rsid w:val="00693E98"/>
    <w:rsid w:val="00694873"/>
    <w:rsid w:val="006952F5"/>
    <w:rsid w:val="00695C69"/>
    <w:rsid w:val="00695F48"/>
    <w:rsid w:val="00695FA9"/>
    <w:rsid w:val="006A1006"/>
    <w:rsid w:val="006A16DC"/>
    <w:rsid w:val="006A2E04"/>
    <w:rsid w:val="006A2F51"/>
    <w:rsid w:val="006A350C"/>
    <w:rsid w:val="006A4243"/>
    <w:rsid w:val="006A4483"/>
    <w:rsid w:val="006A4B85"/>
    <w:rsid w:val="006A5596"/>
    <w:rsid w:val="006A70BB"/>
    <w:rsid w:val="006A76A2"/>
    <w:rsid w:val="006B13E5"/>
    <w:rsid w:val="006B1470"/>
    <w:rsid w:val="006B1818"/>
    <w:rsid w:val="006B19A2"/>
    <w:rsid w:val="006B247E"/>
    <w:rsid w:val="006B268E"/>
    <w:rsid w:val="006B2C54"/>
    <w:rsid w:val="006B317B"/>
    <w:rsid w:val="006B4620"/>
    <w:rsid w:val="006B580B"/>
    <w:rsid w:val="006B58FD"/>
    <w:rsid w:val="006B65FC"/>
    <w:rsid w:val="006B6DE3"/>
    <w:rsid w:val="006B7463"/>
    <w:rsid w:val="006B7FEF"/>
    <w:rsid w:val="006C02E3"/>
    <w:rsid w:val="006C0924"/>
    <w:rsid w:val="006C0B48"/>
    <w:rsid w:val="006C162A"/>
    <w:rsid w:val="006C17D8"/>
    <w:rsid w:val="006C1B42"/>
    <w:rsid w:val="006C1BEE"/>
    <w:rsid w:val="006C2E6E"/>
    <w:rsid w:val="006C30E2"/>
    <w:rsid w:val="006C4434"/>
    <w:rsid w:val="006C5170"/>
    <w:rsid w:val="006C5416"/>
    <w:rsid w:val="006C56C9"/>
    <w:rsid w:val="006C5FE2"/>
    <w:rsid w:val="006C6BE5"/>
    <w:rsid w:val="006C6D9C"/>
    <w:rsid w:val="006C7603"/>
    <w:rsid w:val="006C7636"/>
    <w:rsid w:val="006D05E4"/>
    <w:rsid w:val="006D0B21"/>
    <w:rsid w:val="006D144F"/>
    <w:rsid w:val="006D1BA3"/>
    <w:rsid w:val="006D2A0D"/>
    <w:rsid w:val="006D2CC6"/>
    <w:rsid w:val="006D2FD4"/>
    <w:rsid w:val="006D389E"/>
    <w:rsid w:val="006D410A"/>
    <w:rsid w:val="006D4270"/>
    <w:rsid w:val="006D4C2A"/>
    <w:rsid w:val="006D567B"/>
    <w:rsid w:val="006D6D79"/>
    <w:rsid w:val="006D71DE"/>
    <w:rsid w:val="006D77BE"/>
    <w:rsid w:val="006D7D2A"/>
    <w:rsid w:val="006E0B76"/>
    <w:rsid w:val="006E12EF"/>
    <w:rsid w:val="006E1445"/>
    <w:rsid w:val="006E1A78"/>
    <w:rsid w:val="006E1CF0"/>
    <w:rsid w:val="006E241C"/>
    <w:rsid w:val="006E2EB3"/>
    <w:rsid w:val="006E318B"/>
    <w:rsid w:val="006E3737"/>
    <w:rsid w:val="006E3EAB"/>
    <w:rsid w:val="006E4B2A"/>
    <w:rsid w:val="006E521B"/>
    <w:rsid w:val="006E55E0"/>
    <w:rsid w:val="006E5AC6"/>
    <w:rsid w:val="006E611E"/>
    <w:rsid w:val="006E65DA"/>
    <w:rsid w:val="006E6FB8"/>
    <w:rsid w:val="006E7782"/>
    <w:rsid w:val="006E7A79"/>
    <w:rsid w:val="006F01D5"/>
    <w:rsid w:val="006F0505"/>
    <w:rsid w:val="006F0C5D"/>
    <w:rsid w:val="006F1891"/>
    <w:rsid w:val="006F30B4"/>
    <w:rsid w:val="006F37F2"/>
    <w:rsid w:val="006F3939"/>
    <w:rsid w:val="006F4607"/>
    <w:rsid w:val="006F46C3"/>
    <w:rsid w:val="006F5186"/>
    <w:rsid w:val="006F60F4"/>
    <w:rsid w:val="006F6E12"/>
    <w:rsid w:val="006F7A83"/>
    <w:rsid w:val="00700298"/>
    <w:rsid w:val="00700515"/>
    <w:rsid w:val="00700AEA"/>
    <w:rsid w:val="007011ED"/>
    <w:rsid w:val="00701A84"/>
    <w:rsid w:val="00702F0C"/>
    <w:rsid w:val="00703816"/>
    <w:rsid w:val="00705859"/>
    <w:rsid w:val="007058F5"/>
    <w:rsid w:val="00706041"/>
    <w:rsid w:val="00706332"/>
    <w:rsid w:val="00707240"/>
    <w:rsid w:val="0071088F"/>
    <w:rsid w:val="00710FC5"/>
    <w:rsid w:val="00711AAD"/>
    <w:rsid w:val="007123AF"/>
    <w:rsid w:val="00712A96"/>
    <w:rsid w:val="00712AB0"/>
    <w:rsid w:val="00714E01"/>
    <w:rsid w:val="00716073"/>
    <w:rsid w:val="007166F9"/>
    <w:rsid w:val="00716A3F"/>
    <w:rsid w:val="00720704"/>
    <w:rsid w:val="00721056"/>
    <w:rsid w:val="00721CA8"/>
    <w:rsid w:val="00721DDF"/>
    <w:rsid w:val="00722A70"/>
    <w:rsid w:val="00723378"/>
    <w:rsid w:val="00723AEF"/>
    <w:rsid w:val="00724044"/>
    <w:rsid w:val="00724B96"/>
    <w:rsid w:val="0072589E"/>
    <w:rsid w:val="00725C94"/>
    <w:rsid w:val="00726A6C"/>
    <w:rsid w:val="00726B23"/>
    <w:rsid w:val="00726DB7"/>
    <w:rsid w:val="007274AC"/>
    <w:rsid w:val="00727E09"/>
    <w:rsid w:val="00727E29"/>
    <w:rsid w:val="0073090E"/>
    <w:rsid w:val="00730C9F"/>
    <w:rsid w:val="00730F19"/>
    <w:rsid w:val="007328CE"/>
    <w:rsid w:val="00732A79"/>
    <w:rsid w:val="00733083"/>
    <w:rsid w:val="00735916"/>
    <w:rsid w:val="00736851"/>
    <w:rsid w:val="00737428"/>
    <w:rsid w:val="00740A9B"/>
    <w:rsid w:val="00741456"/>
    <w:rsid w:val="0074152B"/>
    <w:rsid w:val="007425FE"/>
    <w:rsid w:val="00742B21"/>
    <w:rsid w:val="0074323B"/>
    <w:rsid w:val="00743E21"/>
    <w:rsid w:val="00744246"/>
    <w:rsid w:val="00744312"/>
    <w:rsid w:val="00744517"/>
    <w:rsid w:val="00745371"/>
    <w:rsid w:val="0074577D"/>
    <w:rsid w:val="007469C9"/>
    <w:rsid w:val="00747796"/>
    <w:rsid w:val="00747815"/>
    <w:rsid w:val="00750137"/>
    <w:rsid w:val="0075115C"/>
    <w:rsid w:val="00752FAB"/>
    <w:rsid w:val="00754096"/>
    <w:rsid w:val="00754DCB"/>
    <w:rsid w:val="00755157"/>
    <w:rsid w:val="00757A8B"/>
    <w:rsid w:val="00757CCD"/>
    <w:rsid w:val="0076094B"/>
    <w:rsid w:val="0076188A"/>
    <w:rsid w:val="0076228A"/>
    <w:rsid w:val="00762418"/>
    <w:rsid w:val="00762C99"/>
    <w:rsid w:val="007635B5"/>
    <w:rsid w:val="00763D23"/>
    <w:rsid w:val="007642BC"/>
    <w:rsid w:val="00764AD3"/>
    <w:rsid w:val="00764B65"/>
    <w:rsid w:val="00764CF3"/>
    <w:rsid w:val="00765089"/>
    <w:rsid w:val="00765A88"/>
    <w:rsid w:val="00766147"/>
    <w:rsid w:val="007662BD"/>
    <w:rsid w:val="00766DD4"/>
    <w:rsid w:val="00767CE1"/>
    <w:rsid w:val="00770518"/>
    <w:rsid w:val="00770C01"/>
    <w:rsid w:val="007724D2"/>
    <w:rsid w:val="00772765"/>
    <w:rsid w:val="007727A0"/>
    <w:rsid w:val="00772E30"/>
    <w:rsid w:val="0077300E"/>
    <w:rsid w:val="0077333E"/>
    <w:rsid w:val="007740A7"/>
    <w:rsid w:val="00775383"/>
    <w:rsid w:val="00775882"/>
    <w:rsid w:val="007769FC"/>
    <w:rsid w:val="00780470"/>
    <w:rsid w:val="00780F2F"/>
    <w:rsid w:val="00782F7F"/>
    <w:rsid w:val="00784293"/>
    <w:rsid w:val="0078434A"/>
    <w:rsid w:val="00785ACD"/>
    <w:rsid w:val="00786D21"/>
    <w:rsid w:val="00786E28"/>
    <w:rsid w:val="00787137"/>
    <w:rsid w:val="007872BA"/>
    <w:rsid w:val="007875F2"/>
    <w:rsid w:val="00787D65"/>
    <w:rsid w:val="00790A94"/>
    <w:rsid w:val="00790DE9"/>
    <w:rsid w:val="007911B2"/>
    <w:rsid w:val="00791686"/>
    <w:rsid w:val="0079170A"/>
    <w:rsid w:val="00792F89"/>
    <w:rsid w:val="007939B5"/>
    <w:rsid w:val="0079432D"/>
    <w:rsid w:val="00795AC3"/>
    <w:rsid w:val="0079653A"/>
    <w:rsid w:val="007969B4"/>
    <w:rsid w:val="00797321"/>
    <w:rsid w:val="00797ACE"/>
    <w:rsid w:val="007A012B"/>
    <w:rsid w:val="007A08F7"/>
    <w:rsid w:val="007A108D"/>
    <w:rsid w:val="007A1285"/>
    <w:rsid w:val="007A1E5B"/>
    <w:rsid w:val="007A2435"/>
    <w:rsid w:val="007A2E3A"/>
    <w:rsid w:val="007A2F7F"/>
    <w:rsid w:val="007A2FFD"/>
    <w:rsid w:val="007A36C9"/>
    <w:rsid w:val="007A3C01"/>
    <w:rsid w:val="007A4013"/>
    <w:rsid w:val="007A4581"/>
    <w:rsid w:val="007A5188"/>
    <w:rsid w:val="007A57DE"/>
    <w:rsid w:val="007A5A05"/>
    <w:rsid w:val="007A6512"/>
    <w:rsid w:val="007A67FD"/>
    <w:rsid w:val="007A6961"/>
    <w:rsid w:val="007A6A8B"/>
    <w:rsid w:val="007A6DC5"/>
    <w:rsid w:val="007A7615"/>
    <w:rsid w:val="007A7C22"/>
    <w:rsid w:val="007B0144"/>
    <w:rsid w:val="007B03FA"/>
    <w:rsid w:val="007B093C"/>
    <w:rsid w:val="007B177A"/>
    <w:rsid w:val="007B17DB"/>
    <w:rsid w:val="007B214A"/>
    <w:rsid w:val="007B25EA"/>
    <w:rsid w:val="007B300E"/>
    <w:rsid w:val="007B3D71"/>
    <w:rsid w:val="007B411C"/>
    <w:rsid w:val="007B451E"/>
    <w:rsid w:val="007B5194"/>
    <w:rsid w:val="007B51E7"/>
    <w:rsid w:val="007B5213"/>
    <w:rsid w:val="007B5FED"/>
    <w:rsid w:val="007B63EB"/>
    <w:rsid w:val="007B7DDF"/>
    <w:rsid w:val="007C0417"/>
    <w:rsid w:val="007C0DE9"/>
    <w:rsid w:val="007C0DEE"/>
    <w:rsid w:val="007C1FD0"/>
    <w:rsid w:val="007C2538"/>
    <w:rsid w:val="007C292F"/>
    <w:rsid w:val="007C4959"/>
    <w:rsid w:val="007C4EC6"/>
    <w:rsid w:val="007C6880"/>
    <w:rsid w:val="007C6B22"/>
    <w:rsid w:val="007C6C24"/>
    <w:rsid w:val="007C71D7"/>
    <w:rsid w:val="007C76E1"/>
    <w:rsid w:val="007D04C0"/>
    <w:rsid w:val="007D07A2"/>
    <w:rsid w:val="007D16DC"/>
    <w:rsid w:val="007D1E26"/>
    <w:rsid w:val="007D27AC"/>
    <w:rsid w:val="007D29C2"/>
    <w:rsid w:val="007D29E5"/>
    <w:rsid w:val="007D3555"/>
    <w:rsid w:val="007D3AAE"/>
    <w:rsid w:val="007D4C26"/>
    <w:rsid w:val="007D52D4"/>
    <w:rsid w:val="007D5CBB"/>
    <w:rsid w:val="007D6572"/>
    <w:rsid w:val="007D6E72"/>
    <w:rsid w:val="007E0563"/>
    <w:rsid w:val="007E2F3F"/>
    <w:rsid w:val="007E3073"/>
    <w:rsid w:val="007E331A"/>
    <w:rsid w:val="007E3EC2"/>
    <w:rsid w:val="007E58A7"/>
    <w:rsid w:val="007E5B19"/>
    <w:rsid w:val="007E6590"/>
    <w:rsid w:val="007E78FD"/>
    <w:rsid w:val="007E79C9"/>
    <w:rsid w:val="007F0916"/>
    <w:rsid w:val="007F19CB"/>
    <w:rsid w:val="007F23FE"/>
    <w:rsid w:val="007F24FF"/>
    <w:rsid w:val="007F2C97"/>
    <w:rsid w:val="007F2D92"/>
    <w:rsid w:val="007F33A5"/>
    <w:rsid w:val="007F364E"/>
    <w:rsid w:val="007F3773"/>
    <w:rsid w:val="007F5096"/>
    <w:rsid w:val="007F5359"/>
    <w:rsid w:val="007F561C"/>
    <w:rsid w:val="007F5BDE"/>
    <w:rsid w:val="007F5E71"/>
    <w:rsid w:val="007F6A96"/>
    <w:rsid w:val="007F7682"/>
    <w:rsid w:val="007F7CC6"/>
    <w:rsid w:val="00800AA1"/>
    <w:rsid w:val="00800ABF"/>
    <w:rsid w:val="008016DA"/>
    <w:rsid w:val="00802B3E"/>
    <w:rsid w:val="00802C50"/>
    <w:rsid w:val="0080337C"/>
    <w:rsid w:val="00803888"/>
    <w:rsid w:val="00803D1B"/>
    <w:rsid w:val="00804212"/>
    <w:rsid w:val="00804854"/>
    <w:rsid w:val="00804DFD"/>
    <w:rsid w:val="00805D01"/>
    <w:rsid w:val="00811710"/>
    <w:rsid w:val="00811DCC"/>
    <w:rsid w:val="00811EEB"/>
    <w:rsid w:val="00813C00"/>
    <w:rsid w:val="0081434E"/>
    <w:rsid w:val="00814372"/>
    <w:rsid w:val="00814456"/>
    <w:rsid w:val="00814ACE"/>
    <w:rsid w:val="00814CE9"/>
    <w:rsid w:val="008150BB"/>
    <w:rsid w:val="00815154"/>
    <w:rsid w:val="00815921"/>
    <w:rsid w:val="00815BD1"/>
    <w:rsid w:val="00815F38"/>
    <w:rsid w:val="0082122C"/>
    <w:rsid w:val="00821C95"/>
    <w:rsid w:val="00821E8E"/>
    <w:rsid w:val="008222D4"/>
    <w:rsid w:val="00822B05"/>
    <w:rsid w:val="00822C61"/>
    <w:rsid w:val="0082300E"/>
    <w:rsid w:val="00823971"/>
    <w:rsid w:val="008256CE"/>
    <w:rsid w:val="008256EF"/>
    <w:rsid w:val="0082595F"/>
    <w:rsid w:val="00825F53"/>
    <w:rsid w:val="008261CA"/>
    <w:rsid w:val="00826534"/>
    <w:rsid w:val="0082695B"/>
    <w:rsid w:val="00826C28"/>
    <w:rsid w:val="00830B21"/>
    <w:rsid w:val="00830B2C"/>
    <w:rsid w:val="00831B22"/>
    <w:rsid w:val="008321D1"/>
    <w:rsid w:val="00833491"/>
    <w:rsid w:val="00833AB7"/>
    <w:rsid w:val="00833E5B"/>
    <w:rsid w:val="00834750"/>
    <w:rsid w:val="00835658"/>
    <w:rsid w:val="00835A5E"/>
    <w:rsid w:val="00835E16"/>
    <w:rsid w:val="0083774C"/>
    <w:rsid w:val="00837CCA"/>
    <w:rsid w:val="00837D10"/>
    <w:rsid w:val="008405DF"/>
    <w:rsid w:val="00841718"/>
    <w:rsid w:val="00841E6D"/>
    <w:rsid w:val="00842210"/>
    <w:rsid w:val="00842723"/>
    <w:rsid w:val="00842D0A"/>
    <w:rsid w:val="00843663"/>
    <w:rsid w:val="00843B88"/>
    <w:rsid w:val="00843D26"/>
    <w:rsid w:val="00844017"/>
    <w:rsid w:val="008444F0"/>
    <w:rsid w:val="00844D54"/>
    <w:rsid w:val="00845B48"/>
    <w:rsid w:val="00845B57"/>
    <w:rsid w:val="0084602F"/>
    <w:rsid w:val="008460A6"/>
    <w:rsid w:val="0084700D"/>
    <w:rsid w:val="00847755"/>
    <w:rsid w:val="00851107"/>
    <w:rsid w:val="008512F9"/>
    <w:rsid w:val="0085193C"/>
    <w:rsid w:val="00851E8D"/>
    <w:rsid w:val="00851EC7"/>
    <w:rsid w:val="00851FB3"/>
    <w:rsid w:val="00852454"/>
    <w:rsid w:val="0085267C"/>
    <w:rsid w:val="00853A02"/>
    <w:rsid w:val="008555F3"/>
    <w:rsid w:val="0085592A"/>
    <w:rsid w:val="008567AE"/>
    <w:rsid w:val="00856897"/>
    <w:rsid w:val="00857965"/>
    <w:rsid w:val="008602E0"/>
    <w:rsid w:val="00860DD6"/>
    <w:rsid w:val="00861119"/>
    <w:rsid w:val="00861146"/>
    <w:rsid w:val="00862054"/>
    <w:rsid w:val="008625DD"/>
    <w:rsid w:val="00862F2B"/>
    <w:rsid w:val="008631DC"/>
    <w:rsid w:val="008631FE"/>
    <w:rsid w:val="00863238"/>
    <w:rsid w:val="008634A5"/>
    <w:rsid w:val="00863607"/>
    <w:rsid w:val="00863A03"/>
    <w:rsid w:val="00864D6D"/>
    <w:rsid w:val="00865948"/>
    <w:rsid w:val="00865A18"/>
    <w:rsid w:val="00865AA4"/>
    <w:rsid w:val="00870196"/>
    <w:rsid w:val="00870C29"/>
    <w:rsid w:val="00873586"/>
    <w:rsid w:val="00874417"/>
    <w:rsid w:val="00874F32"/>
    <w:rsid w:val="008751FD"/>
    <w:rsid w:val="00875C0E"/>
    <w:rsid w:val="0087656A"/>
    <w:rsid w:val="0087786C"/>
    <w:rsid w:val="00877B50"/>
    <w:rsid w:val="00880C4E"/>
    <w:rsid w:val="0088108E"/>
    <w:rsid w:val="00881439"/>
    <w:rsid w:val="0088159C"/>
    <w:rsid w:val="0088212A"/>
    <w:rsid w:val="00882631"/>
    <w:rsid w:val="00882F90"/>
    <w:rsid w:val="00883002"/>
    <w:rsid w:val="00883899"/>
    <w:rsid w:val="00883B2E"/>
    <w:rsid w:val="00884003"/>
    <w:rsid w:val="0088451C"/>
    <w:rsid w:val="00884568"/>
    <w:rsid w:val="00885C03"/>
    <w:rsid w:val="00886969"/>
    <w:rsid w:val="00886BF2"/>
    <w:rsid w:val="00886D39"/>
    <w:rsid w:val="00887412"/>
    <w:rsid w:val="00887890"/>
    <w:rsid w:val="00887C3F"/>
    <w:rsid w:val="00887E57"/>
    <w:rsid w:val="00890165"/>
    <w:rsid w:val="00896185"/>
    <w:rsid w:val="008965DE"/>
    <w:rsid w:val="00896DA9"/>
    <w:rsid w:val="00897259"/>
    <w:rsid w:val="00897743"/>
    <w:rsid w:val="008A0C3A"/>
    <w:rsid w:val="008A0C4A"/>
    <w:rsid w:val="008A15D3"/>
    <w:rsid w:val="008A1FAB"/>
    <w:rsid w:val="008A2254"/>
    <w:rsid w:val="008A3340"/>
    <w:rsid w:val="008A3781"/>
    <w:rsid w:val="008A3945"/>
    <w:rsid w:val="008A4249"/>
    <w:rsid w:val="008A4B01"/>
    <w:rsid w:val="008A4C9A"/>
    <w:rsid w:val="008A4F8A"/>
    <w:rsid w:val="008A622C"/>
    <w:rsid w:val="008A6265"/>
    <w:rsid w:val="008A6599"/>
    <w:rsid w:val="008A6CB2"/>
    <w:rsid w:val="008B013C"/>
    <w:rsid w:val="008B098B"/>
    <w:rsid w:val="008B18FD"/>
    <w:rsid w:val="008B1A29"/>
    <w:rsid w:val="008B236F"/>
    <w:rsid w:val="008B30BB"/>
    <w:rsid w:val="008B3D0A"/>
    <w:rsid w:val="008B3F4C"/>
    <w:rsid w:val="008B46C9"/>
    <w:rsid w:val="008B4958"/>
    <w:rsid w:val="008B65EE"/>
    <w:rsid w:val="008C00A1"/>
    <w:rsid w:val="008C063E"/>
    <w:rsid w:val="008C071D"/>
    <w:rsid w:val="008C10FA"/>
    <w:rsid w:val="008C1A6B"/>
    <w:rsid w:val="008C24C8"/>
    <w:rsid w:val="008C2F06"/>
    <w:rsid w:val="008C4D93"/>
    <w:rsid w:val="008C5578"/>
    <w:rsid w:val="008C6F6B"/>
    <w:rsid w:val="008C751D"/>
    <w:rsid w:val="008C78A2"/>
    <w:rsid w:val="008D085E"/>
    <w:rsid w:val="008D0EA5"/>
    <w:rsid w:val="008D1879"/>
    <w:rsid w:val="008D2B4F"/>
    <w:rsid w:val="008D49CD"/>
    <w:rsid w:val="008D5567"/>
    <w:rsid w:val="008D70C7"/>
    <w:rsid w:val="008D719D"/>
    <w:rsid w:val="008D7A59"/>
    <w:rsid w:val="008D7E81"/>
    <w:rsid w:val="008E18CB"/>
    <w:rsid w:val="008E26FF"/>
    <w:rsid w:val="008E2781"/>
    <w:rsid w:val="008E2CA5"/>
    <w:rsid w:val="008E2F28"/>
    <w:rsid w:val="008E35BB"/>
    <w:rsid w:val="008E3802"/>
    <w:rsid w:val="008E38C4"/>
    <w:rsid w:val="008E3A41"/>
    <w:rsid w:val="008E4412"/>
    <w:rsid w:val="008E4EE0"/>
    <w:rsid w:val="008E7E3F"/>
    <w:rsid w:val="008E7E96"/>
    <w:rsid w:val="008F0293"/>
    <w:rsid w:val="008F1130"/>
    <w:rsid w:val="008F2A48"/>
    <w:rsid w:val="008F2DB6"/>
    <w:rsid w:val="008F527B"/>
    <w:rsid w:val="008F5859"/>
    <w:rsid w:val="008F5CCA"/>
    <w:rsid w:val="008F67B9"/>
    <w:rsid w:val="008F6A76"/>
    <w:rsid w:val="008F78BF"/>
    <w:rsid w:val="009005E4"/>
    <w:rsid w:val="00900D51"/>
    <w:rsid w:val="0090152F"/>
    <w:rsid w:val="00901A6B"/>
    <w:rsid w:val="00902228"/>
    <w:rsid w:val="009025CE"/>
    <w:rsid w:val="009026A8"/>
    <w:rsid w:val="00902AC4"/>
    <w:rsid w:val="0090509F"/>
    <w:rsid w:val="00905AE6"/>
    <w:rsid w:val="00906F08"/>
    <w:rsid w:val="0090794E"/>
    <w:rsid w:val="009102B1"/>
    <w:rsid w:val="0091046D"/>
    <w:rsid w:val="0091072D"/>
    <w:rsid w:val="009113E1"/>
    <w:rsid w:val="00911CD1"/>
    <w:rsid w:val="00912137"/>
    <w:rsid w:val="00912DC1"/>
    <w:rsid w:val="00913533"/>
    <w:rsid w:val="00913849"/>
    <w:rsid w:val="00913DA9"/>
    <w:rsid w:val="0091494B"/>
    <w:rsid w:val="00914F5F"/>
    <w:rsid w:val="009153E0"/>
    <w:rsid w:val="0091565C"/>
    <w:rsid w:val="0091578B"/>
    <w:rsid w:val="00915B0B"/>
    <w:rsid w:val="00915BD0"/>
    <w:rsid w:val="00915FBE"/>
    <w:rsid w:val="009165B6"/>
    <w:rsid w:val="00916D76"/>
    <w:rsid w:val="00917017"/>
    <w:rsid w:val="0091764F"/>
    <w:rsid w:val="00917E11"/>
    <w:rsid w:val="0092068C"/>
    <w:rsid w:val="009208E8"/>
    <w:rsid w:val="00922D1D"/>
    <w:rsid w:val="009238C8"/>
    <w:rsid w:val="00923EE6"/>
    <w:rsid w:val="00924995"/>
    <w:rsid w:val="0092577B"/>
    <w:rsid w:val="00926831"/>
    <w:rsid w:val="00927C06"/>
    <w:rsid w:val="00930A2F"/>
    <w:rsid w:val="00931478"/>
    <w:rsid w:val="009325E4"/>
    <w:rsid w:val="00933069"/>
    <w:rsid w:val="009335B6"/>
    <w:rsid w:val="009335B8"/>
    <w:rsid w:val="00934D2B"/>
    <w:rsid w:val="009361C0"/>
    <w:rsid w:val="0093627E"/>
    <w:rsid w:val="00936564"/>
    <w:rsid w:val="00936581"/>
    <w:rsid w:val="00936753"/>
    <w:rsid w:val="00936DCF"/>
    <w:rsid w:val="00936FBB"/>
    <w:rsid w:val="00937163"/>
    <w:rsid w:val="009376E6"/>
    <w:rsid w:val="00940826"/>
    <w:rsid w:val="009418FB"/>
    <w:rsid w:val="00941A9C"/>
    <w:rsid w:val="00941D7F"/>
    <w:rsid w:val="00942082"/>
    <w:rsid w:val="00942FF5"/>
    <w:rsid w:val="009434A8"/>
    <w:rsid w:val="00943B39"/>
    <w:rsid w:val="00943F58"/>
    <w:rsid w:val="0094443B"/>
    <w:rsid w:val="0094479F"/>
    <w:rsid w:val="009466CF"/>
    <w:rsid w:val="00947325"/>
    <w:rsid w:val="009475DF"/>
    <w:rsid w:val="0094784E"/>
    <w:rsid w:val="00947882"/>
    <w:rsid w:val="0094793B"/>
    <w:rsid w:val="009500EF"/>
    <w:rsid w:val="009515A1"/>
    <w:rsid w:val="00951E49"/>
    <w:rsid w:val="00951E8D"/>
    <w:rsid w:val="009538FA"/>
    <w:rsid w:val="00953D79"/>
    <w:rsid w:val="00953FC7"/>
    <w:rsid w:val="009550FC"/>
    <w:rsid w:val="00955C4D"/>
    <w:rsid w:val="009562F3"/>
    <w:rsid w:val="00956336"/>
    <w:rsid w:val="00956684"/>
    <w:rsid w:val="00957429"/>
    <w:rsid w:val="00957B35"/>
    <w:rsid w:val="00957C87"/>
    <w:rsid w:val="00957F2D"/>
    <w:rsid w:val="00957FD8"/>
    <w:rsid w:val="0096197F"/>
    <w:rsid w:val="00962493"/>
    <w:rsid w:val="00962606"/>
    <w:rsid w:val="0096341D"/>
    <w:rsid w:val="0096390A"/>
    <w:rsid w:val="00963F5C"/>
    <w:rsid w:val="00964108"/>
    <w:rsid w:val="00964882"/>
    <w:rsid w:val="0096512C"/>
    <w:rsid w:val="009672FF"/>
    <w:rsid w:val="009678EF"/>
    <w:rsid w:val="00967A68"/>
    <w:rsid w:val="00967C66"/>
    <w:rsid w:val="00970114"/>
    <w:rsid w:val="009703B1"/>
    <w:rsid w:val="00970E5D"/>
    <w:rsid w:val="0097185D"/>
    <w:rsid w:val="00971AC4"/>
    <w:rsid w:val="00972023"/>
    <w:rsid w:val="00972737"/>
    <w:rsid w:val="00972D10"/>
    <w:rsid w:val="009731BE"/>
    <w:rsid w:val="00974C4F"/>
    <w:rsid w:val="00975526"/>
    <w:rsid w:val="00975C1B"/>
    <w:rsid w:val="00976123"/>
    <w:rsid w:val="00976894"/>
    <w:rsid w:val="009775BC"/>
    <w:rsid w:val="00977A85"/>
    <w:rsid w:val="0098013A"/>
    <w:rsid w:val="0098095B"/>
    <w:rsid w:val="00980CE5"/>
    <w:rsid w:val="00980F1C"/>
    <w:rsid w:val="00980F3E"/>
    <w:rsid w:val="00981293"/>
    <w:rsid w:val="009816BB"/>
    <w:rsid w:val="00982277"/>
    <w:rsid w:val="0098269A"/>
    <w:rsid w:val="00982DD6"/>
    <w:rsid w:val="0098401B"/>
    <w:rsid w:val="00984168"/>
    <w:rsid w:val="00984443"/>
    <w:rsid w:val="009844FD"/>
    <w:rsid w:val="0098473F"/>
    <w:rsid w:val="00984A03"/>
    <w:rsid w:val="00984B7E"/>
    <w:rsid w:val="009853F8"/>
    <w:rsid w:val="0098604D"/>
    <w:rsid w:val="00986130"/>
    <w:rsid w:val="00986DC3"/>
    <w:rsid w:val="00987385"/>
    <w:rsid w:val="009875FE"/>
    <w:rsid w:val="00987946"/>
    <w:rsid w:val="00987DAB"/>
    <w:rsid w:val="00990C32"/>
    <w:rsid w:val="00990F03"/>
    <w:rsid w:val="009910AA"/>
    <w:rsid w:val="009914DB"/>
    <w:rsid w:val="00991BD8"/>
    <w:rsid w:val="00991D9F"/>
    <w:rsid w:val="009921A8"/>
    <w:rsid w:val="00992ECC"/>
    <w:rsid w:val="00993CE9"/>
    <w:rsid w:val="00993DD3"/>
    <w:rsid w:val="0099453C"/>
    <w:rsid w:val="00994998"/>
    <w:rsid w:val="00994F30"/>
    <w:rsid w:val="00995232"/>
    <w:rsid w:val="00996086"/>
    <w:rsid w:val="00996A73"/>
    <w:rsid w:val="0099765D"/>
    <w:rsid w:val="009A026F"/>
    <w:rsid w:val="009A0B62"/>
    <w:rsid w:val="009A149C"/>
    <w:rsid w:val="009A21F7"/>
    <w:rsid w:val="009A2798"/>
    <w:rsid w:val="009A2806"/>
    <w:rsid w:val="009A4937"/>
    <w:rsid w:val="009A4C63"/>
    <w:rsid w:val="009A59A6"/>
    <w:rsid w:val="009A6828"/>
    <w:rsid w:val="009A7610"/>
    <w:rsid w:val="009B0025"/>
    <w:rsid w:val="009B115E"/>
    <w:rsid w:val="009B1ADF"/>
    <w:rsid w:val="009B2213"/>
    <w:rsid w:val="009B499F"/>
    <w:rsid w:val="009B54E6"/>
    <w:rsid w:val="009B5ED2"/>
    <w:rsid w:val="009B6435"/>
    <w:rsid w:val="009B6704"/>
    <w:rsid w:val="009B6FDF"/>
    <w:rsid w:val="009B7296"/>
    <w:rsid w:val="009C119D"/>
    <w:rsid w:val="009C221B"/>
    <w:rsid w:val="009C229D"/>
    <w:rsid w:val="009C42F0"/>
    <w:rsid w:val="009C45DA"/>
    <w:rsid w:val="009C4707"/>
    <w:rsid w:val="009C5D2B"/>
    <w:rsid w:val="009C663E"/>
    <w:rsid w:val="009C7340"/>
    <w:rsid w:val="009C7EC7"/>
    <w:rsid w:val="009C7EDE"/>
    <w:rsid w:val="009D0A6C"/>
    <w:rsid w:val="009D1D84"/>
    <w:rsid w:val="009D23D5"/>
    <w:rsid w:val="009D34B8"/>
    <w:rsid w:val="009D3584"/>
    <w:rsid w:val="009D44BD"/>
    <w:rsid w:val="009D47BD"/>
    <w:rsid w:val="009D4F5F"/>
    <w:rsid w:val="009D58EA"/>
    <w:rsid w:val="009D5C8F"/>
    <w:rsid w:val="009D5FF8"/>
    <w:rsid w:val="009D6E9B"/>
    <w:rsid w:val="009D708F"/>
    <w:rsid w:val="009E07D0"/>
    <w:rsid w:val="009E08C8"/>
    <w:rsid w:val="009E0A63"/>
    <w:rsid w:val="009E27A9"/>
    <w:rsid w:val="009E280D"/>
    <w:rsid w:val="009E2BA2"/>
    <w:rsid w:val="009E3F33"/>
    <w:rsid w:val="009E4CA3"/>
    <w:rsid w:val="009E50B5"/>
    <w:rsid w:val="009E582C"/>
    <w:rsid w:val="009E70B1"/>
    <w:rsid w:val="009E776E"/>
    <w:rsid w:val="009E7786"/>
    <w:rsid w:val="009E77CE"/>
    <w:rsid w:val="009F13DB"/>
    <w:rsid w:val="009F1AC6"/>
    <w:rsid w:val="009F1FF8"/>
    <w:rsid w:val="009F29C5"/>
    <w:rsid w:val="009F2E16"/>
    <w:rsid w:val="009F3B8E"/>
    <w:rsid w:val="009F3D52"/>
    <w:rsid w:val="009F3DEC"/>
    <w:rsid w:val="009F46DE"/>
    <w:rsid w:val="009F4ABD"/>
    <w:rsid w:val="009F5A4E"/>
    <w:rsid w:val="009F6685"/>
    <w:rsid w:val="009F7053"/>
    <w:rsid w:val="009F7563"/>
    <w:rsid w:val="00A00218"/>
    <w:rsid w:val="00A01041"/>
    <w:rsid w:val="00A0126D"/>
    <w:rsid w:val="00A013E6"/>
    <w:rsid w:val="00A01F88"/>
    <w:rsid w:val="00A024C2"/>
    <w:rsid w:val="00A02955"/>
    <w:rsid w:val="00A04543"/>
    <w:rsid w:val="00A059CF"/>
    <w:rsid w:val="00A067E3"/>
    <w:rsid w:val="00A06CC2"/>
    <w:rsid w:val="00A0727D"/>
    <w:rsid w:val="00A07D52"/>
    <w:rsid w:val="00A108BD"/>
    <w:rsid w:val="00A1267A"/>
    <w:rsid w:val="00A12938"/>
    <w:rsid w:val="00A12C7F"/>
    <w:rsid w:val="00A13CF8"/>
    <w:rsid w:val="00A13DDB"/>
    <w:rsid w:val="00A14CB0"/>
    <w:rsid w:val="00A15C2B"/>
    <w:rsid w:val="00A15C43"/>
    <w:rsid w:val="00A161A9"/>
    <w:rsid w:val="00A16B61"/>
    <w:rsid w:val="00A16DE2"/>
    <w:rsid w:val="00A1723B"/>
    <w:rsid w:val="00A20549"/>
    <w:rsid w:val="00A2083E"/>
    <w:rsid w:val="00A20C87"/>
    <w:rsid w:val="00A214E6"/>
    <w:rsid w:val="00A21599"/>
    <w:rsid w:val="00A22F71"/>
    <w:rsid w:val="00A233CF"/>
    <w:rsid w:val="00A236AA"/>
    <w:rsid w:val="00A239C4"/>
    <w:rsid w:val="00A24AE5"/>
    <w:rsid w:val="00A24F30"/>
    <w:rsid w:val="00A2583C"/>
    <w:rsid w:val="00A258DA"/>
    <w:rsid w:val="00A2591A"/>
    <w:rsid w:val="00A259CD"/>
    <w:rsid w:val="00A27AD2"/>
    <w:rsid w:val="00A31EAB"/>
    <w:rsid w:val="00A31FBE"/>
    <w:rsid w:val="00A32B8C"/>
    <w:rsid w:val="00A34902"/>
    <w:rsid w:val="00A35036"/>
    <w:rsid w:val="00A35754"/>
    <w:rsid w:val="00A35BC2"/>
    <w:rsid w:val="00A3743C"/>
    <w:rsid w:val="00A400B5"/>
    <w:rsid w:val="00A404C4"/>
    <w:rsid w:val="00A40E4C"/>
    <w:rsid w:val="00A41C01"/>
    <w:rsid w:val="00A41FB8"/>
    <w:rsid w:val="00A4210A"/>
    <w:rsid w:val="00A429B7"/>
    <w:rsid w:val="00A434EB"/>
    <w:rsid w:val="00A43591"/>
    <w:rsid w:val="00A43E24"/>
    <w:rsid w:val="00A443E0"/>
    <w:rsid w:val="00A447F6"/>
    <w:rsid w:val="00A44E3A"/>
    <w:rsid w:val="00A44EA9"/>
    <w:rsid w:val="00A4568D"/>
    <w:rsid w:val="00A45FD7"/>
    <w:rsid w:val="00A47A1B"/>
    <w:rsid w:val="00A50918"/>
    <w:rsid w:val="00A50DCD"/>
    <w:rsid w:val="00A50EF9"/>
    <w:rsid w:val="00A5190C"/>
    <w:rsid w:val="00A51D94"/>
    <w:rsid w:val="00A52A21"/>
    <w:rsid w:val="00A52AE6"/>
    <w:rsid w:val="00A52D7B"/>
    <w:rsid w:val="00A53DA3"/>
    <w:rsid w:val="00A55781"/>
    <w:rsid w:val="00A5581D"/>
    <w:rsid w:val="00A564B5"/>
    <w:rsid w:val="00A57967"/>
    <w:rsid w:val="00A57C50"/>
    <w:rsid w:val="00A57F9E"/>
    <w:rsid w:val="00A60096"/>
    <w:rsid w:val="00A6053D"/>
    <w:rsid w:val="00A6263B"/>
    <w:rsid w:val="00A62BBB"/>
    <w:rsid w:val="00A63017"/>
    <w:rsid w:val="00A6413D"/>
    <w:rsid w:val="00A644DB"/>
    <w:rsid w:val="00A64CFB"/>
    <w:rsid w:val="00A65340"/>
    <w:rsid w:val="00A65886"/>
    <w:rsid w:val="00A660F9"/>
    <w:rsid w:val="00A6626A"/>
    <w:rsid w:val="00A66830"/>
    <w:rsid w:val="00A66BBA"/>
    <w:rsid w:val="00A67921"/>
    <w:rsid w:val="00A67F0D"/>
    <w:rsid w:val="00A70836"/>
    <w:rsid w:val="00A7108D"/>
    <w:rsid w:val="00A71821"/>
    <w:rsid w:val="00A721D2"/>
    <w:rsid w:val="00A737BC"/>
    <w:rsid w:val="00A73D25"/>
    <w:rsid w:val="00A7425C"/>
    <w:rsid w:val="00A74673"/>
    <w:rsid w:val="00A74956"/>
    <w:rsid w:val="00A74BC0"/>
    <w:rsid w:val="00A75AAB"/>
    <w:rsid w:val="00A766FA"/>
    <w:rsid w:val="00A7782C"/>
    <w:rsid w:val="00A77C2A"/>
    <w:rsid w:val="00A8279C"/>
    <w:rsid w:val="00A82D90"/>
    <w:rsid w:val="00A8366F"/>
    <w:rsid w:val="00A83927"/>
    <w:rsid w:val="00A83ACD"/>
    <w:rsid w:val="00A8494D"/>
    <w:rsid w:val="00A8514D"/>
    <w:rsid w:val="00A851D7"/>
    <w:rsid w:val="00A86BC1"/>
    <w:rsid w:val="00A870AA"/>
    <w:rsid w:val="00A90140"/>
    <w:rsid w:val="00A90355"/>
    <w:rsid w:val="00A909F4"/>
    <w:rsid w:val="00A90E1F"/>
    <w:rsid w:val="00A90FFC"/>
    <w:rsid w:val="00A91E43"/>
    <w:rsid w:val="00A91F10"/>
    <w:rsid w:val="00A926A2"/>
    <w:rsid w:val="00A93CEE"/>
    <w:rsid w:val="00A95DBF"/>
    <w:rsid w:val="00A96619"/>
    <w:rsid w:val="00A96B22"/>
    <w:rsid w:val="00A96DDC"/>
    <w:rsid w:val="00A97BEC"/>
    <w:rsid w:val="00A97CE7"/>
    <w:rsid w:val="00A97ECB"/>
    <w:rsid w:val="00AA0011"/>
    <w:rsid w:val="00AA1BE6"/>
    <w:rsid w:val="00AA2824"/>
    <w:rsid w:val="00AA2C0C"/>
    <w:rsid w:val="00AA45C8"/>
    <w:rsid w:val="00AA46D7"/>
    <w:rsid w:val="00AA5425"/>
    <w:rsid w:val="00AA5687"/>
    <w:rsid w:val="00AA7077"/>
    <w:rsid w:val="00AA77E6"/>
    <w:rsid w:val="00AA794D"/>
    <w:rsid w:val="00AB002F"/>
    <w:rsid w:val="00AB0DE8"/>
    <w:rsid w:val="00AB17E1"/>
    <w:rsid w:val="00AB1F86"/>
    <w:rsid w:val="00AB2246"/>
    <w:rsid w:val="00AB22FD"/>
    <w:rsid w:val="00AB249C"/>
    <w:rsid w:val="00AB3141"/>
    <w:rsid w:val="00AB42F1"/>
    <w:rsid w:val="00AB4F2B"/>
    <w:rsid w:val="00AB51E4"/>
    <w:rsid w:val="00AB5E86"/>
    <w:rsid w:val="00AB5EF7"/>
    <w:rsid w:val="00AB609D"/>
    <w:rsid w:val="00AB66B8"/>
    <w:rsid w:val="00AB6A03"/>
    <w:rsid w:val="00AB6A64"/>
    <w:rsid w:val="00AB6E75"/>
    <w:rsid w:val="00AB734C"/>
    <w:rsid w:val="00AB73A0"/>
    <w:rsid w:val="00AB7B1B"/>
    <w:rsid w:val="00AC085A"/>
    <w:rsid w:val="00AC0F25"/>
    <w:rsid w:val="00AC0F26"/>
    <w:rsid w:val="00AC0F87"/>
    <w:rsid w:val="00AC21AA"/>
    <w:rsid w:val="00AC21FA"/>
    <w:rsid w:val="00AC2268"/>
    <w:rsid w:val="00AC27AF"/>
    <w:rsid w:val="00AC3D28"/>
    <w:rsid w:val="00AC4605"/>
    <w:rsid w:val="00AC5E3B"/>
    <w:rsid w:val="00AC6023"/>
    <w:rsid w:val="00AC69EA"/>
    <w:rsid w:val="00AC6DA1"/>
    <w:rsid w:val="00AC7CC0"/>
    <w:rsid w:val="00AD0BA3"/>
    <w:rsid w:val="00AD0FAA"/>
    <w:rsid w:val="00AD1F93"/>
    <w:rsid w:val="00AD2354"/>
    <w:rsid w:val="00AD2889"/>
    <w:rsid w:val="00AD31D4"/>
    <w:rsid w:val="00AD4A55"/>
    <w:rsid w:val="00AD4BA0"/>
    <w:rsid w:val="00AD51AC"/>
    <w:rsid w:val="00AD551F"/>
    <w:rsid w:val="00AD5960"/>
    <w:rsid w:val="00AD5F0A"/>
    <w:rsid w:val="00AD634D"/>
    <w:rsid w:val="00AD6678"/>
    <w:rsid w:val="00AD66BA"/>
    <w:rsid w:val="00AD7372"/>
    <w:rsid w:val="00AD75D8"/>
    <w:rsid w:val="00AD7CAC"/>
    <w:rsid w:val="00AD7DE4"/>
    <w:rsid w:val="00AE05DD"/>
    <w:rsid w:val="00AE0928"/>
    <w:rsid w:val="00AE0E48"/>
    <w:rsid w:val="00AE17D6"/>
    <w:rsid w:val="00AE17E6"/>
    <w:rsid w:val="00AE3D01"/>
    <w:rsid w:val="00AE4030"/>
    <w:rsid w:val="00AE4289"/>
    <w:rsid w:val="00AE4FC4"/>
    <w:rsid w:val="00AE514B"/>
    <w:rsid w:val="00AE5260"/>
    <w:rsid w:val="00AE5378"/>
    <w:rsid w:val="00AE5853"/>
    <w:rsid w:val="00AE5C90"/>
    <w:rsid w:val="00AE5CF7"/>
    <w:rsid w:val="00AE5F5F"/>
    <w:rsid w:val="00AE67B6"/>
    <w:rsid w:val="00AE6DD0"/>
    <w:rsid w:val="00AE7D5E"/>
    <w:rsid w:val="00AF08A4"/>
    <w:rsid w:val="00AF28B2"/>
    <w:rsid w:val="00AF29DB"/>
    <w:rsid w:val="00AF3442"/>
    <w:rsid w:val="00AF379B"/>
    <w:rsid w:val="00AF3FCC"/>
    <w:rsid w:val="00AF4434"/>
    <w:rsid w:val="00AF49A0"/>
    <w:rsid w:val="00AF5D13"/>
    <w:rsid w:val="00AF5D40"/>
    <w:rsid w:val="00AF6684"/>
    <w:rsid w:val="00AF7453"/>
    <w:rsid w:val="00AF7CFA"/>
    <w:rsid w:val="00B00215"/>
    <w:rsid w:val="00B021E1"/>
    <w:rsid w:val="00B02D9D"/>
    <w:rsid w:val="00B032FB"/>
    <w:rsid w:val="00B04A89"/>
    <w:rsid w:val="00B05EB7"/>
    <w:rsid w:val="00B06359"/>
    <w:rsid w:val="00B0641E"/>
    <w:rsid w:val="00B066FD"/>
    <w:rsid w:val="00B07805"/>
    <w:rsid w:val="00B078A6"/>
    <w:rsid w:val="00B10CFC"/>
    <w:rsid w:val="00B12671"/>
    <w:rsid w:val="00B1435B"/>
    <w:rsid w:val="00B15327"/>
    <w:rsid w:val="00B153E1"/>
    <w:rsid w:val="00B1618D"/>
    <w:rsid w:val="00B16219"/>
    <w:rsid w:val="00B1690E"/>
    <w:rsid w:val="00B16ADE"/>
    <w:rsid w:val="00B16EF6"/>
    <w:rsid w:val="00B17226"/>
    <w:rsid w:val="00B1739F"/>
    <w:rsid w:val="00B173D0"/>
    <w:rsid w:val="00B1766F"/>
    <w:rsid w:val="00B17914"/>
    <w:rsid w:val="00B17FFC"/>
    <w:rsid w:val="00B20435"/>
    <w:rsid w:val="00B21442"/>
    <w:rsid w:val="00B2193F"/>
    <w:rsid w:val="00B21D4A"/>
    <w:rsid w:val="00B254D4"/>
    <w:rsid w:val="00B26540"/>
    <w:rsid w:val="00B279FC"/>
    <w:rsid w:val="00B27A66"/>
    <w:rsid w:val="00B30AFC"/>
    <w:rsid w:val="00B30D0B"/>
    <w:rsid w:val="00B31581"/>
    <w:rsid w:val="00B31D1D"/>
    <w:rsid w:val="00B322BC"/>
    <w:rsid w:val="00B32974"/>
    <w:rsid w:val="00B333E0"/>
    <w:rsid w:val="00B336CC"/>
    <w:rsid w:val="00B33BC4"/>
    <w:rsid w:val="00B34169"/>
    <w:rsid w:val="00B34B02"/>
    <w:rsid w:val="00B35847"/>
    <w:rsid w:val="00B40DB4"/>
    <w:rsid w:val="00B411A7"/>
    <w:rsid w:val="00B41560"/>
    <w:rsid w:val="00B41EB8"/>
    <w:rsid w:val="00B42281"/>
    <w:rsid w:val="00B4266B"/>
    <w:rsid w:val="00B42DA3"/>
    <w:rsid w:val="00B43078"/>
    <w:rsid w:val="00B43529"/>
    <w:rsid w:val="00B43F53"/>
    <w:rsid w:val="00B441A3"/>
    <w:rsid w:val="00B45828"/>
    <w:rsid w:val="00B4788F"/>
    <w:rsid w:val="00B508B3"/>
    <w:rsid w:val="00B50C7A"/>
    <w:rsid w:val="00B51492"/>
    <w:rsid w:val="00B51807"/>
    <w:rsid w:val="00B51D11"/>
    <w:rsid w:val="00B51D4F"/>
    <w:rsid w:val="00B52304"/>
    <w:rsid w:val="00B52A28"/>
    <w:rsid w:val="00B5303C"/>
    <w:rsid w:val="00B53365"/>
    <w:rsid w:val="00B53796"/>
    <w:rsid w:val="00B537AA"/>
    <w:rsid w:val="00B54826"/>
    <w:rsid w:val="00B54BEC"/>
    <w:rsid w:val="00B550CA"/>
    <w:rsid w:val="00B5520C"/>
    <w:rsid w:val="00B55DA5"/>
    <w:rsid w:val="00B568D1"/>
    <w:rsid w:val="00B56F9E"/>
    <w:rsid w:val="00B5771D"/>
    <w:rsid w:val="00B57C5F"/>
    <w:rsid w:val="00B57EC9"/>
    <w:rsid w:val="00B60194"/>
    <w:rsid w:val="00B6040F"/>
    <w:rsid w:val="00B60D18"/>
    <w:rsid w:val="00B617E0"/>
    <w:rsid w:val="00B61EB9"/>
    <w:rsid w:val="00B62042"/>
    <w:rsid w:val="00B62720"/>
    <w:rsid w:val="00B6277D"/>
    <w:rsid w:val="00B637BC"/>
    <w:rsid w:val="00B646D1"/>
    <w:rsid w:val="00B651E9"/>
    <w:rsid w:val="00B65934"/>
    <w:rsid w:val="00B660DE"/>
    <w:rsid w:val="00B66376"/>
    <w:rsid w:val="00B66E4B"/>
    <w:rsid w:val="00B70AB4"/>
    <w:rsid w:val="00B7131C"/>
    <w:rsid w:val="00B71A72"/>
    <w:rsid w:val="00B71BE9"/>
    <w:rsid w:val="00B73F7B"/>
    <w:rsid w:val="00B7445A"/>
    <w:rsid w:val="00B7522B"/>
    <w:rsid w:val="00B75C96"/>
    <w:rsid w:val="00B76101"/>
    <w:rsid w:val="00B7681D"/>
    <w:rsid w:val="00B770F9"/>
    <w:rsid w:val="00B8004F"/>
    <w:rsid w:val="00B809E0"/>
    <w:rsid w:val="00B80AF2"/>
    <w:rsid w:val="00B813FD"/>
    <w:rsid w:val="00B816AB"/>
    <w:rsid w:val="00B82CF7"/>
    <w:rsid w:val="00B82E6C"/>
    <w:rsid w:val="00B82F5B"/>
    <w:rsid w:val="00B83509"/>
    <w:rsid w:val="00B83B9D"/>
    <w:rsid w:val="00B83E5B"/>
    <w:rsid w:val="00B840FF"/>
    <w:rsid w:val="00B8418F"/>
    <w:rsid w:val="00B84F9E"/>
    <w:rsid w:val="00B85061"/>
    <w:rsid w:val="00B850F5"/>
    <w:rsid w:val="00B852D2"/>
    <w:rsid w:val="00B855A7"/>
    <w:rsid w:val="00B85D28"/>
    <w:rsid w:val="00B86DD4"/>
    <w:rsid w:val="00B87EEA"/>
    <w:rsid w:val="00B923D8"/>
    <w:rsid w:val="00B924CB"/>
    <w:rsid w:val="00B92C99"/>
    <w:rsid w:val="00B93F02"/>
    <w:rsid w:val="00B94755"/>
    <w:rsid w:val="00B94E35"/>
    <w:rsid w:val="00B95506"/>
    <w:rsid w:val="00B957FA"/>
    <w:rsid w:val="00B958ED"/>
    <w:rsid w:val="00B959EE"/>
    <w:rsid w:val="00B96183"/>
    <w:rsid w:val="00B96566"/>
    <w:rsid w:val="00B9660E"/>
    <w:rsid w:val="00B96B30"/>
    <w:rsid w:val="00B972DB"/>
    <w:rsid w:val="00B974C5"/>
    <w:rsid w:val="00B97BFE"/>
    <w:rsid w:val="00BA0114"/>
    <w:rsid w:val="00BA0BF9"/>
    <w:rsid w:val="00BA0EAC"/>
    <w:rsid w:val="00BA1742"/>
    <w:rsid w:val="00BA3C84"/>
    <w:rsid w:val="00BA65A2"/>
    <w:rsid w:val="00BA6A1E"/>
    <w:rsid w:val="00BA779B"/>
    <w:rsid w:val="00BB14E3"/>
    <w:rsid w:val="00BB1B28"/>
    <w:rsid w:val="00BB2113"/>
    <w:rsid w:val="00BB2810"/>
    <w:rsid w:val="00BB2AE2"/>
    <w:rsid w:val="00BB2CB8"/>
    <w:rsid w:val="00BB36C1"/>
    <w:rsid w:val="00BB4C82"/>
    <w:rsid w:val="00BB4F87"/>
    <w:rsid w:val="00BB53A5"/>
    <w:rsid w:val="00BB6955"/>
    <w:rsid w:val="00BB7076"/>
    <w:rsid w:val="00BC15E9"/>
    <w:rsid w:val="00BC31D7"/>
    <w:rsid w:val="00BC5E6E"/>
    <w:rsid w:val="00BC75B2"/>
    <w:rsid w:val="00BC7BDB"/>
    <w:rsid w:val="00BD0888"/>
    <w:rsid w:val="00BD1995"/>
    <w:rsid w:val="00BD1D6B"/>
    <w:rsid w:val="00BD2382"/>
    <w:rsid w:val="00BD3133"/>
    <w:rsid w:val="00BD38A7"/>
    <w:rsid w:val="00BD4AAF"/>
    <w:rsid w:val="00BD4C88"/>
    <w:rsid w:val="00BD4CB1"/>
    <w:rsid w:val="00BD5685"/>
    <w:rsid w:val="00BD58EC"/>
    <w:rsid w:val="00BD60AA"/>
    <w:rsid w:val="00BD6C25"/>
    <w:rsid w:val="00BD6C5E"/>
    <w:rsid w:val="00BD6EA6"/>
    <w:rsid w:val="00BD7122"/>
    <w:rsid w:val="00BD7A92"/>
    <w:rsid w:val="00BD7FC2"/>
    <w:rsid w:val="00BE05C4"/>
    <w:rsid w:val="00BE1A34"/>
    <w:rsid w:val="00BE1F7A"/>
    <w:rsid w:val="00BE2617"/>
    <w:rsid w:val="00BE2855"/>
    <w:rsid w:val="00BE2B6E"/>
    <w:rsid w:val="00BE350E"/>
    <w:rsid w:val="00BE390D"/>
    <w:rsid w:val="00BE3B13"/>
    <w:rsid w:val="00BE4B78"/>
    <w:rsid w:val="00BE52A0"/>
    <w:rsid w:val="00BE53BD"/>
    <w:rsid w:val="00BE6327"/>
    <w:rsid w:val="00BE66D1"/>
    <w:rsid w:val="00BF0BD6"/>
    <w:rsid w:val="00BF1233"/>
    <w:rsid w:val="00BF1F32"/>
    <w:rsid w:val="00BF208A"/>
    <w:rsid w:val="00BF28F3"/>
    <w:rsid w:val="00BF3112"/>
    <w:rsid w:val="00BF34B8"/>
    <w:rsid w:val="00BF3798"/>
    <w:rsid w:val="00BF3E93"/>
    <w:rsid w:val="00BF44DB"/>
    <w:rsid w:val="00BF5015"/>
    <w:rsid w:val="00BF7CA8"/>
    <w:rsid w:val="00BF7E40"/>
    <w:rsid w:val="00C000E6"/>
    <w:rsid w:val="00C006B7"/>
    <w:rsid w:val="00C00B94"/>
    <w:rsid w:val="00C0422F"/>
    <w:rsid w:val="00C04722"/>
    <w:rsid w:val="00C05748"/>
    <w:rsid w:val="00C06037"/>
    <w:rsid w:val="00C070F9"/>
    <w:rsid w:val="00C10A53"/>
    <w:rsid w:val="00C11B1A"/>
    <w:rsid w:val="00C13846"/>
    <w:rsid w:val="00C1439C"/>
    <w:rsid w:val="00C149A0"/>
    <w:rsid w:val="00C1546E"/>
    <w:rsid w:val="00C1558A"/>
    <w:rsid w:val="00C15616"/>
    <w:rsid w:val="00C1625D"/>
    <w:rsid w:val="00C16E65"/>
    <w:rsid w:val="00C17AFB"/>
    <w:rsid w:val="00C20F46"/>
    <w:rsid w:val="00C21F81"/>
    <w:rsid w:val="00C2256D"/>
    <w:rsid w:val="00C22D19"/>
    <w:rsid w:val="00C2334D"/>
    <w:rsid w:val="00C24125"/>
    <w:rsid w:val="00C24380"/>
    <w:rsid w:val="00C24C12"/>
    <w:rsid w:val="00C251FD"/>
    <w:rsid w:val="00C256BD"/>
    <w:rsid w:val="00C25A48"/>
    <w:rsid w:val="00C25E0D"/>
    <w:rsid w:val="00C30A03"/>
    <w:rsid w:val="00C31E7A"/>
    <w:rsid w:val="00C323E4"/>
    <w:rsid w:val="00C326BD"/>
    <w:rsid w:val="00C337B6"/>
    <w:rsid w:val="00C34477"/>
    <w:rsid w:val="00C345C7"/>
    <w:rsid w:val="00C34CA7"/>
    <w:rsid w:val="00C40007"/>
    <w:rsid w:val="00C40038"/>
    <w:rsid w:val="00C409F2"/>
    <w:rsid w:val="00C40EFF"/>
    <w:rsid w:val="00C4193D"/>
    <w:rsid w:val="00C4232E"/>
    <w:rsid w:val="00C426BD"/>
    <w:rsid w:val="00C4456E"/>
    <w:rsid w:val="00C45963"/>
    <w:rsid w:val="00C463A8"/>
    <w:rsid w:val="00C4680D"/>
    <w:rsid w:val="00C47ED3"/>
    <w:rsid w:val="00C50131"/>
    <w:rsid w:val="00C50AD8"/>
    <w:rsid w:val="00C50F27"/>
    <w:rsid w:val="00C511A1"/>
    <w:rsid w:val="00C528BD"/>
    <w:rsid w:val="00C53B52"/>
    <w:rsid w:val="00C5487F"/>
    <w:rsid w:val="00C54E43"/>
    <w:rsid w:val="00C557A1"/>
    <w:rsid w:val="00C55D14"/>
    <w:rsid w:val="00C56162"/>
    <w:rsid w:val="00C561A1"/>
    <w:rsid w:val="00C56918"/>
    <w:rsid w:val="00C56F51"/>
    <w:rsid w:val="00C57185"/>
    <w:rsid w:val="00C576DE"/>
    <w:rsid w:val="00C57B73"/>
    <w:rsid w:val="00C60374"/>
    <w:rsid w:val="00C6130C"/>
    <w:rsid w:val="00C61548"/>
    <w:rsid w:val="00C61701"/>
    <w:rsid w:val="00C62708"/>
    <w:rsid w:val="00C6366A"/>
    <w:rsid w:val="00C637E3"/>
    <w:rsid w:val="00C63EB2"/>
    <w:rsid w:val="00C64E3C"/>
    <w:rsid w:val="00C65F10"/>
    <w:rsid w:val="00C676F4"/>
    <w:rsid w:val="00C678D6"/>
    <w:rsid w:val="00C6791F"/>
    <w:rsid w:val="00C7016A"/>
    <w:rsid w:val="00C707EC"/>
    <w:rsid w:val="00C70EEE"/>
    <w:rsid w:val="00C71D80"/>
    <w:rsid w:val="00C721CA"/>
    <w:rsid w:val="00C72795"/>
    <w:rsid w:val="00C72E98"/>
    <w:rsid w:val="00C7395E"/>
    <w:rsid w:val="00C73C94"/>
    <w:rsid w:val="00C74CE6"/>
    <w:rsid w:val="00C750F1"/>
    <w:rsid w:val="00C758AF"/>
    <w:rsid w:val="00C75B4A"/>
    <w:rsid w:val="00C75D0D"/>
    <w:rsid w:val="00C76C7A"/>
    <w:rsid w:val="00C77592"/>
    <w:rsid w:val="00C775F0"/>
    <w:rsid w:val="00C77CB0"/>
    <w:rsid w:val="00C77D07"/>
    <w:rsid w:val="00C80C46"/>
    <w:rsid w:val="00C810A3"/>
    <w:rsid w:val="00C81564"/>
    <w:rsid w:val="00C81A99"/>
    <w:rsid w:val="00C83350"/>
    <w:rsid w:val="00C8379B"/>
    <w:rsid w:val="00C83AF4"/>
    <w:rsid w:val="00C8459E"/>
    <w:rsid w:val="00C852FD"/>
    <w:rsid w:val="00C859BA"/>
    <w:rsid w:val="00C86157"/>
    <w:rsid w:val="00C86D8D"/>
    <w:rsid w:val="00C871D3"/>
    <w:rsid w:val="00C874F5"/>
    <w:rsid w:val="00C876C7"/>
    <w:rsid w:val="00C9053D"/>
    <w:rsid w:val="00C91259"/>
    <w:rsid w:val="00C91853"/>
    <w:rsid w:val="00C9312C"/>
    <w:rsid w:val="00C932D4"/>
    <w:rsid w:val="00C939BC"/>
    <w:rsid w:val="00C94DD2"/>
    <w:rsid w:val="00C9519E"/>
    <w:rsid w:val="00C95698"/>
    <w:rsid w:val="00C9635E"/>
    <w:rsid w:val="00C97B27"/>
    <w:rsid w:val="00CA0BBE"/>
    <w:rsid w:val="00CA0F82"/>
    <w:rsid w:val="00CA434E"/>
    <w:rsid w:val="00CA4FF7"/>
    <w:rsid w:val="00CA54D2"/>
    <w:rsid w:val="00CA6451"/>
    <w:rsid w:val="00CB019F"/>
    <w:rsid w:val="00CB036B"/>
    <w:rsid w:val="00CB2000"/>
    <w:rsid w:val="00CB20A3"/>
    <w:rsid w:val="00CB3419"/>
    <w:rsid w:val="00CB39B1"/>
    <w:rsid w:val="00CB45B1"/>
    <w:rsid w:val="00CB4A45"/>
    <w:rsid w:val="00CB52CE"/>
    <w:rsid w:val="00CB5375"/>
    <w:rsid w:val="00CB621C"/>
    <w:rsid w:val="00CB6952"/>
    <w:rsid w:val="00CB6D8A"/>
    <w:rsid w:val="00CB6EAF"/>
    <w:rsid w:val="00CC02F2"/>
    <w:rsid w:val="00CC0DF2"/>
    <w:rsid w:val="00CC136B"/>
    <w:rsid w:val="00CC13CF"/>
    <w:rsid w:val="00CC20D2"/>
    <w:rsid w:val="00CC25B6"/>
    <w:rsid w:val="00CC2DBD"/>
    <w:rsid w:val="00CC3554"/>
    <w:rsid w:val="00CC3A27"/>
    <w:rsid w:val="00CC3B9F"/>
    <w:rsid w:val="00CC3ED5"/>
    <w:rsid w:val="00CC659F"/>
    <w:rsid w:val="00CC69FA"/>
    <w:rsid w:val="00CC6B34"/>
    <w:rsid w:val="00CC6E40"/>
    <w:rsid w:val="00CC7127"/>
    <w:rsid w:val="00CC7B72"/>
    <w:rsid w:val="00CC7BF1"/>
    <w:rsid w:val="00CD0867"/>
    <w:rsid w:val="00CD09B4"/>
    <w:rsid w:val="00CD25D8"/>
    <w:rsid w:val="00CD2841"/>
    <w:rsid w:val="00CD2EF6"/>
    <w:rsid w:val="00CD3597"/>
    <w:rsid w:val="00CD37E9"/>
    <w:rsid w:val="00CD6641"/>
    <w:rsid w:val="00CD6EE8"/>
    <w:rsid w:val="00CD7133"/>
    <w:rsid w:val="00CD7773"/>
    <w:rsid w:val="00CE0246"/>
    <w:rsid w:val="00CE07F7"/>
    <w:rsid w:val="00CE0BBB"/>
    <w:rsid w:val="00CE13AE"/>
    <w:rsid w:val="00CE156A"/>
    <w:rsid w:val="00CE3284"/>
    <w:rsid w:val="00CE33AF"/>
    <w:rsid w:val="00CE3855"/>
    <w:rsid w:val="00CE4E78"/>
    <w:rsid w:val="00CE5F59"/>
    <w:rsid w:val="00CE691B"/>
    <w:rsid w:val="00CE6D0A"/>
    <w:rsid w:val="00CE6DB8"/>
    <w:rsid w:val="00CE6F25"/>
    <w:rsid w:val="00CE7437"/>
    <w:rsid w:val="00CE78B9"/>
    <w:rsid w:val="00CF0D6F"/>
    <w:rsid w:val="00CF166E"/>
    <w:rsid w:val="00CF1742"/>
    <w:rsid w:val="00CF1DBB"/>
    <w:rsid w:val="00CF3526"/>
    <w:rsid w:val="00CF3971"/>
    <w:rsid w:val="00CF4351"/>
    <w:rsid w:val="00CF48A1"/>
    <w:rsid w:val="00CF5CD9"/>
    <w:rsid w:val="00CF6231"/>
    <w:rsid w:val="00CF67F1"/>
    <w:rsid w:val="00CF7AB2"/>
    <w:rsid w:val="00D004DE"/>
    <w:rsid w:val="00D01B7A"/>
    <w:rsid w:val="00D01E73"/>
    <w:rsid w:val="00D02959"/>
    <w:rsid w:val="00D02CEC"/>
    <w:rsid w:val="00D030F7"/>
    <w:rsid w:val="00D0314D"/>
    <w:rsid w:val="00D03D5D"/>
    <w:rsid w:val="00D03FC4"/>
    <w:rsid w:val="00D0412D"/>
    <w:rsid w:val="00D041C5"/>
    <w:rsid w:val="00D0481A"/>
    <w:rsid w:val="00D05110"/>
    <w:rsid w:val="00D05125"/>
    <w:rsid w:val="00D05C94"/>
    <w:rsid w:val="00D05F0E"/>
    <w:rsid w:val="00D06A95"/>
    <w:rsid w:val="00D06F38"/>
    <w:rsid w:val="00D0778D"/>
    <w:rsid w:val="00D10ABF"/>
    <w:rsid w:val="00D1181B"/>
    <w:rsid w:val="00D12040"/>
    <w:rsid w:val="00D13D87"/>
    <w:rsid w:val="00D13DA8"/>
    <w:rsid w:val="00D13EC9"/>
    <w:rsid w:val="00D15890"/>
    <w:rsid w:val="00D159B2"/>
    <w:rsid w:val="00D15B4E"/>
    <w:rsid w:val="00D16EFB"/>
    <w:rsid w:val="00D177D1"/>
    <w:rsid w:val="00D179F8"/>
    <w:rsid w:val="00D2059C"/>
    <w:rsid w:val="00D213FD"/>
    <w:rsid w:val="00D220DF"/>
    <w:rsid w:val="00D227F0"/>
    <w:rsid w:val="00D233C2"/>
    <w:rsid w:val="00D23BF7"/>
    <w:rsid w:val="00D2503E"/>
    <w:rsid w:val="00D25085"/>
    <w:rsid w:val="00D2665C"/>
    <w:rsid w:val="00D267E9"/>
    <w:rsid w:val="00D27215"/>
    <w:rsid w:val="00D27C32"/>
    <w:rsid w:val="00D30C7E"/>
    <w:rsid w:val="00D31041"/>
    <w:rsid w:val="00D31A22"/>
    <w:rsid w:val="00D31FA1"/>
    <w:rsid w:val="00D32035"/>
    <w:rsid w:val="00D32CD6"/>
    <w:rsid w:val="00D33584"/>
    <w:rsid w:val="00D33E6D"/>
    <w:rsid w:val="00D355AF"/>
    <w:rsid w:val="00D357B5"/>
    <w:rsid w:val="00D36440"/>
    <w:rsid w:val="00D3719D"/>
    <w:rsid w:val="00D37677"/>
    <w:rsid w:val="00D40634"/>
    <w:rsid w:val="00D41566"/>
    <w:rsid w:val="00D4185E"/>
    <w:rsid w:val="00D41D64"/>
    <w:rsid w:val="00D41F1D"/>
    <w:rsid w:val="00D424F4"/>
    <w:rsid w:val="00D4683D"/>
    <w:rsid w:val="00D50E3E"/>
    <w:rsid w:val="00D51375"/>
    <w:rsid w:val="00D52299"/>
    <w:rsid w:val="00D52E1E"/>
    <w:rsid w:val="00D552BE"/>
    <w:rsid w:val="00D55D5A"/>
    <w:rsid w:val="00D55E79"/>
    <w:rsid w:val="00D57B6D"/>
    <w:rsid w:val="00D600B5"/>
    <w:rsid w:val="00D61E00"/>
    <w:rsid w:val="00D62BE8"/>
    <w:rsid w:val="00D639E2"/>
    <w:rsid w:val="00D63E9A"/>
    <w:rsid w:val="00D64A2D"/>
    <w:rsid w:val="00D65028"/>
    <w:rsid w:val="00D666AF"/>
    <w:rsid w:val="00D66EF9"/>
    <w:rsid w:val="00D66F82"/>
    <w:rsid w:val="00D703CC"/>
    <w:rsid w:val="00D70B9C"/>
    <w:rsid w:val="00D71236"/>
    <w:rsid w:val="00D71AF2"/>
    <w:rsid w:val="00D722C5"/>
    <w:rsid w:val="00D72E62"/>
    <w:rsid w:val="00D73671"/>
    <w:rsid w:val="00D7370D"/>
    <w:rsid w:val="00D74914"/>
    <w:rsid w:val="00D74C71"/>
    <w:rsid w:val="00D75D8B"/>
    <w:rsid w:val="00D76110"/>
    <w:rsid w:val="00D765FC"/>
    <w:rsid w:val="00D77424"/>
    <w:rsid w:val="00D77428"/>
    <w:rsid w:val="00D774D2"/>
    <w:rsid w:val="00D821B8"/>
    <w:rsid w:val="00D8264B"/>
    <w:rsid w:val="00D82AFC"/>
    <w:rsid w:val="00D83715"/>
    <w:rsid w:val="00D8437D"/>
    <w:rsid w:val="00D861DB"/>
    <w:rsid w:val="00D9028D"/>
    <w:rsid w:val="00D90527"/>
    <w:rsid w:val="00D908D9"/>
    <w:rsid w:val="00D90BB6"/>
    <w:rsid w:val="00D90DA1"/>
    <w:rsid w:val="00D91DBD"/>
    <w:rsid w:val="00D91F21"/>
    <w:rsid w:val="00D935CD"/>
    <w:rsid w:val="00D9367F"/>
    <w:rsid w:val="00D939FA"/>
    <w:rsid w:val="00D94273"/>
    <w:rsid w:val="00D944A0"/>
    <w:rsid w:val="00D946E9"/>
    <w:rsid w:val="00D949BF"/>
    <w:rsid w:val="00D94BA0"/>
    <w:rsid w:val="00D958ED"/>
    <w:rsid w:val="00D960EA"/>
    <w:rsid w:val="00D96E7B"/>
    <w:rsid w:val="00D97C3D"/>
    <w:rsid w:val="00D97FC3"/>
    <w:rsid w:val="00DA0E56"/>
    <w:rsid w:val="00DA2836"/>
    <w:rsid w:val="00DA3DAB"/>
    <w:rsid w:val="00DA3F9B"/>
    <w:rsid w:val="00DA6626"/>
    <w:rsid w:val="00DA6789"/>
    <w:rsid w:val="00DA6B18"/>
    <w:rsid w:val="00DA7B30"/>
    <w:rsid w:val="00DA7EB6"/>
    <w:rsid w:val="00DA7FAF"/>
    <w:rsid w:val="00DB0191"/>
    <w:rsid w:val="00DB01EA"/>
    <w:rsid w:val="00DB1008"/>
    <w:rsid w:val="00DB14B0"/>
    <w:rsid w:val="00DB192B"/>
    <w:rsid w:val="00DB24F4"/>
    <w:rsid w:val="00DB2502"/>
    <w:rsid w:val="00DB3E81"/>
    <w:rsid w:val="00DB45CC"/>
    <w:rsid w:val="00DB5027"/>
    <w:rsid w:val="00DB6372"/>
    <w:rsid w:val="00DB7D30"/>
    <w:rsid w:val="00DB7E41"/>
    <w:rsid w:val="00DC06AC"/>
    <w:rsid w:val="00DC0818"/>
    <w:rsid w:val="00DC1421"/>
    <w:rsid w:val="00DC1615"/>
    <w:rsid w:val="00DC1BF6"/>
    <w:rsid w:val="00DC2545"/>
    <w:rsid w:val="00DC2970"/>
    <w:rsid w:val="00DC2FDC"/>
    <w:rsid w:val="00DC3691"/>
    <w:rsid w:val="00DC3A4D"/>
    <w:rsid w:val="00DC4447"/>
    <w:rsid w:val="00DC4FA6"/>
    <w:rsid w:val="00DC500F"/>
    <w:rsid w:val="00DC64BC"/>
    <w:rsid w:val="00DC6A6A"/>
    <w:rsid w:val="00DC6F06"/>
    <w:rsid w:val="00DC76AE"/>
    <w:rsid w:val="00DD0DDE"/>
    <w:rsid w:val="00DD0E54"/>
    <w:rsid w:val="00DD230C"/>
    <w:rsid w:val="00DD2358"/>
    <w:rsid w:val="00DD3069"/>
    <w:rsid w:val="00DD4278"/>
    <w:rsid w:val="00DD5335"/>
    <w:rsid w:val="00DD5DA4"/>
    <w:rsid w:val="00DD5E4D"/>
    <w:rsid w:val="00DD6091"/>
    <w:rsid w:val="00DD6937"/>
    <w:rsid w:val="00DD7949"/>
    <w:rsid w:val="00DD7DFB"/>
    <w:rsid w:val="00DE005D"/>
    <w:rsid w:val="00DE0C34"/>
    <w:rsid w:val="00DE1C3E"/>
    <w:rsid w:val="00DE1CEF"/>
    <w:rsid w:val="00DE2DF3"/>
    <w:rsid w:val="00DE33CB"/>
    <w:rsid w:val="00DE381D"/>
    <w:rsid w:val="00DE3B31"/>
    <w:rsid w:val="00DE495D"/>
    <w:rsid w:val="00DE5767"/>
    <w:rsid w:val="00DE7014"/>
    <w:rsid w:val="00DE772B"/>
    <w:rsid w:val="00DE799C"/>
    <w:rsid w:val="00DE7C53"/>
    <w:rsid w:val="00DF00CB"/>
    <w:rsid w:val="00DF0DA8"/>
    <w:rsid w:val="00DF14B9"/>
    <w:rsid w:val="00DF1C26"/>
    <w:rsid w:val="00DF320B"/>
    <w:rsid w:val="00DF42FA"/>
    <w:rsid w:val="00DF52FA"/>
    <w:rsid w:val="00DF57E4"/>
    <w:rsid w:val="00DF619F"/>
    <w:rsid w:val="00DF6C28"/>
    <w:rsid w:val="00DF7180"/>
    <w:rsid w:val="00E00B48"/>
    <w:rsid w:val="00E02417"/>
    <w:rsid w:val="00E0275E"/>
    <w:rsid w:val="00E02D0D"/>
    <w:rsid w:val="00E030EE"/>
    <w:rsid w:val="00E04835"/>
    <w:rsid w:val="00E0546C"/>
    <w:rsid w:val="00E056A0"/>
    <w:rsid w:val="00E05A88"/>
    <w:rsid w:val="00E065C3"/>
    <w:rsid w:val="00E07CC4"/>
    <w:rsid w:val="00E108C3"/>
    <w:rsid w:val="00E111E4"/>
    <w:rsid w:val="00E118DA"/>
    <w:rsid w:val="00E11F03"/>
    <w:rsid w:val="00E120B6"/>
    <w:rsid w:val="00E120B9"/>
    <w:rsid w:val="00E12C28"/>
    <w:rsid w:val="00E13758"/>
    <w:rsid w:val="00E148F3"/>
    <w:rsid w:val="00E14A15"/>
    <w:rsid w:val="00E14C04"/>
    <w:rsid w:val="00E151DA"/>
    <w:rsid w:val="00E15382"/>
    <w:rsid w:val="00E1641F"/>
    <w:rsid w:val="00E176D4"/>
    <w:rsid w:val="00E20162"/>
    <w:rsid w:val="00E20944"/>
    <w:rsid w:val="00E20A71"/>
    <w:rsid w:val="00E20FD1"/>
    <w:rsid w:val="00E22BC2"/>
    <w:rsid w:val="00E22CC3"/>
    <w:rsid w:val="00E238A2"/>
    <w:rsid w:val="00E2480D"/>
    <w:rsid w:val="00E24D4D"/>
    <w:rsid w:val="00E25AF1"/>
    <w:rsid w:val="00E301FB"/>
    <w:rsid w:val="00E31C6F"/>
    <w:rsid w:val="00E3243B"/>
    <w:rsid w:val="00E32F88"/>
    <w:rsid w:val="00E332E7"/>
    <w:rsid w:val="00E335D8"/>
    <w:rsid w:val="00E33707"/>
    <w:rsid w:val="00E33E82"/>
    <w:rsid w:val="00E34005"/>
    <w:rsid w:val="00E34170"/>
    <w:rsid w:val="00E34749"/>
    <w:rsid w:val="00E34B45"/>
    <w:rsid w:val="00E35020"/>
    <w:rsid w:val="00E36DD4"/>
    <w:rsid w:val="00E37205"/>
    <w:rsid w:val="00E374A2"/>
    <w:rsid w:val="00E40799"/>
    <w:rsid w:val="00E41022"/>
    <w:rsid w:val="00E412E6"/>
    <w:rsid w:val="00E413AB"/>
    <w:rsid w:val="00E41810"/>
    <w:rsid w:val="00E425D5"/>
    <w:rsid w:val="00E43274"/>
    <w:rsid w:val="00E44DE2"/>
    <w:rsid w:val="00E45B05"/>
    <w:rsid w:val="00E45EC3"/>
    <w:rsid w:val="00E4665E"/>
    <w:rsid w:val="00E47A8B"/>
    <w:rsid w:val="00E47E75"/>
    <w:rsid w:val="00E50989"/>
    <w:rsid w:val="00E50C29"/>
    <w:rsid w:val="00E5113F"/>
    <w:rsid w:val="00E51E7B"/>
    <w:rsid w:val="00E5292C"/>
    <w:rsid w:val="00E52D87"/>
    <w:rsid w:val="00E537E0"/>
    <w:rsid w:val="00E53F38"/>
    <w:rsid w:val="00E54BFD"/>
    <w:rsid w:val="00E54CE3"/>
    <w:rsid w:val="00E54DEB"/>
    <w:rsid w:val="00E54E4B"/>
    <w:rsid w:val="00E55455"/>
    <w:rsid w:val="00E556FF"/>
    <w:rsid w:val="00E557F3"/>
    <w:rsid w:val="00E55FB7"/>
    <w:rsid w:val="00E561C6"/>
    <w:rsid w:val="00E5715B"/>
    <w:rsid w:val="00E60407"/>
    <w:rsid w:val="00E6060D"/>
    <w:rsid w:val="00E607A4"/>
    <w:rsid w:val="00E60838"/>
    <w:rsid w:val="00E60994"/>
    <w:rsid w:val="00E615B5"/>
    <w:rsid w:val="00E6162D"/>
    <w:rsid w:val="00E636C1"/>
    <w:rsid w:val="00E64469"/>
    <w:rsid w:val="00E64629"/>
    <w:rsid w:val="00E64E59"/>
    <w:rsid w:val="00E64E71"/>
    <w:rsid w:val="00E651B3"/>
    <w:rsid w:val="00E65837"/>
    <w:rsid w:val="00E65BCF"/>
    <w:rsid w:val="00E66BCC"/>
    <w:rsid w:val="00E671D4"/>
    <w:rsid w:val="00E6779E"/>
    <w:rsid w:val="00E70204"/>
    <w:rsid w:val="00E71D45"/>
    <w:rsid w:val="00E71D8C"/>
    <w:rsid w:val="00E72FD4"/>
    <w:rsid w:val="00E73E35"/>
    <w:rsid w:val="00E74E2A"/>
    <w:rsid w:val="00E76A43"/>
    <w:rsid w:val="00E77A90"/>
    <w:rsid w:val="00E807BA"/>
    <w:rsid w:val="00E80F7E"/>
    <w:rsid w:val="00E810CA"/>
    <w:rsid w:val="00E8164C"/>
    <w:rsid w:val="00E81A4C"/>
    <w:rsid w:val="00E82B5F"/>
    <w:rsid w:val="00E836BD"/>
    <w:rsid w:val="00E83902"/>
    <w:rsid w:val="00E83F3E"/>
    <w:rsid w:val="00E85643"/>
    <w:rsid w:val="00E85BCF"/>
    <w:rsid w:val="00E87049"/>
    <w:rsid w:val="00E87DA6"/>
    <w:rsid w:val="00E90341"/>
    <w:rsid w:val="00E90D94"/>
    <w:rsid w:val="00E90E76"/>
    <w:rsid w:val="00E928A8"/>
    <w:rsid w:val="00E92918"/>
    <w:rsid w:val="00E92D87"/>
    <w:rsid w:val="00E93C61"/>
    <w:rsid w:val="00E94AB2"/>
    <w:rsid w:val="00E95194"/>
    <w:rsid w:val="00E96A44"/>
    <w:rsid w:val="00E96F65"/>
    <w:rsid w:val="00E97DCD"/>
    <w:rsid w:val="00EA19C3"/>
    <w:rsid w:val="00EA2682"/>
    <w:rsid w:val="00EA3286"/>
    <w:rsid w:val="00EA458B"/>
    <w:rsid w:val="00EA5BBB"/>
    <w:rsid w:val="00EA662E"/>
    <w:rsid w:val="00EA7740"/>
    <w:rsid w:val="00EA7BA7"/>
    <w:rsid w:val="00EB08C4"/>
    <w:rsid w:val="00EB10A7"/>
    <w:rsid w:val="00EB16A0"/>
    <w:rsid w:val="00EB2328"/>
    <w:rsid w:val="00EB48A2"/>
    <w:rsid w:val="00EB48F5"/>
    <w:rsid w:val="00EB4BDD"/>
    <w:rsid w:val="00EB593C"/>
    <w:rsid w:val="00EB60A1"/>
    <w:rsid w:val="00EB6DE7"/>
    <w:rsid w:val="00EB6FB6"/>
    <w:rsid w:val="00EB71F5"/>
    <w:rsid w:val="00EB72D3"/>
    <w:rsid w:val="00EC04D7"/>
    <w:rsid w:val="00EC0FE2"/>
    <w:rsid w:val="00EC1662"/>
    <w:rsid w:val="00EC1AE2"/>
    <w:rsid w:val="00EC3AF9"/>
    <w:rsid w:val="00EC5066"/>
    <w:rsid w:val="00EC5934"/>
    <w:rsid w:val="00ED0140"/>
    <w:rsid w:val="00ED18F6"/>
    <w:rsid w:val="00ED1AAE"/>
    <w:rsid w:val="00ED1C35"/>
    <w:rsid w:val="00ED1CE4"/>
    <w:rsid w:val="00ED1DA5"/>
    <w:rsid w:val="00ED4442"/>
    <w:rsid w:val="00ED53F9"/>
    <w:rsid w:val="00ED694A"/>
    <w:rsid w:val="00ED6DCD"/>
    <w:rsid w:val="00ED76D9"/>
    <w:rsid w:val="00ED7B3F"/>
    <w:rsid w:val="00EE016D"/>
    <w:rsid w:val="00EE187F"/>
    <w:rsid w:val="00EE1F02"/>
    <w:rsid w:val="00EE3343"/>
    <w:rsid w:val="00EE3365"/>
    <w:rsid w:val="00EE586B"/>
    <w:rsid w:val="00EE5CD5"/>
    <w:rsid w:val="00EE693B"/>
    <w:rsid w:val="00EE6CCD"/>
    <w:rsid w:val="00EE7000"/>
    <w:rsid w:val="00EE7B13"/>
    <w:rsid w:val="00EF0EB1"/>
    <w:rsid w:val="00EF2AEB"/>
    <w:rsid w:val="00EF3E61"/>
    <w:rsid w:val="00EF3EA3"/>
    <w:rsid w:val="00EF48CD"/>
    <w:rsid w:val="00EF6291"/>
    <w:rsid w:val="00EF6928"/>
    <w:rsid w:val="00EF7390"/>
    <w:rsid w:val="00EF7865"/>
    <w:rsid w:val="00EF7BD7"/>
    <w:rsid w:val="00F00217"/>
    <w:rsid w:val="00F0053A"/>
    <w:rsid w:val="00F02886"/>
    <w:rsid w:val="00F02DB0"/>
    <w:rsid w:val="00F02F51"/>
    <w:rsid w:val="00F031B9"/>
    <w:rsid w:val="00F03E28"/>
    <w:rsid w:val="00F050C1"/>
    <w:rsid w:val="00F052A4"/>
    <w:rsid w:val="00F05DE3"/>
    <w:rsid w:val="00F060A4"/>
    <w:rsid w:val="00F06124"/>
    <w:rsid w:val="00F064C5"/>
    <w:rsid w:val="00F070BB"/>
    <w:rsid w:val="00F072D0"/>
    <w:rsid w:val="00F07523"/>
    <w:rsid w:val="00F10EB8"/>
    <w:rsid w:val="00F11D9A"/>
    <w:rsid w:val="00F12B79"/>
    <w:rsid w:val="00F12C40"/>
    <w:rsid w:val="00F12E12"/>
    <w:rsid w:val="00F132D8"/>
    <w:rsid w:val="00F14C40"/>
    <w:rsid w:val="00F15CE2"/>
    <w:rsid w:val="00F16B10"/>
    <w:rsid w:val="00F16E9A"/>
    <w:rsid w:val="00F20948"/>
    <w:rsid w:val="00F21292"/>
    <w:rsid w:val="00F22336"/>
    <w:rsid w:val="00F2268A"/>
    <w:rsid w:val="00F231AB"/>
    <w:rsid w:val="00F23F0A"/>
    <w:rsid w:val="00F24BB1"/>
    <w:rsid w:val="00F25BD2"/>
    <w:rsid w:val="00F26E33"/>
    <w:rsid w:val="00F304EE"/>
    <w:rsid w:val="00F31887"/>
    <w:rsid w:val="00F32A1A"/>
    <w:rsid w:val="00F3476E"/>
    <w:rsid w:val="00F34D21"/>
    <w:rsid w:val="00F34DEF"/>
    <w:rsid w:val="00F353C8"/>
    <w:rsid w:val="00F35671"/>
    <w:rsid w:val="00F35FA0"/>
    <w:rsid w:val="00F366DA"/>
    <w:rsid w:val="00F36AA2"/>
    <w:rsid w:val="00F3711C"/>
    <w:rsid w:val="00F3729B"/>
    <w:rsid w:val="00F37772"/>
    <w:rsid w:val="00F400C4"/>
    <w:rsid w:val="00F40A43"/>
    <w:rsid w:val="00F40F15"/>
    <w:rsid w:val="00F41480"/>
    <w:rsid w:val="00F41611"/>
    <w:rsid w:val="00F416E5"/>
    <w:rsid w:val="00F41874"/>
    <w:rsid w:val="00F41E90"/>
    <w:rsid w:val="00F42C3E"/>
    <w:rsid w:val="00F437AF"/>
    <w:rsid w:val="00F44131"/>
    <w:rsid w:val="00F44964"/>
    <w:rsid w:val="00F45ADD"/>
    <w:rsid w:val="00F46FA6"/>
    <w:rsid w:val="00F4710F"/>
    <w:rsid w:val="00F47286"/>
    <w:rsid w:val="00F47CDB"/>
    <w:rsid w:val="00F505B2"/>
    <w:rsid w:val="00F508D7"/>
    <w:rsid w:val="00F51566"/>
    <w:rsid w:val="00F535AE"/>
    <w:rsid w:val="00F53A81"/>
    <w:rsid w:val="00F55581"/>
    <w:rsid w:val="00F5687D"/>
    <w:rsid w:val="00F5793F"/>
    <w:rsid w:val="00F57D8D"/>
    <w:rsid w:val="00F6029D"/>
    <w:rsid w:val="00F609C3"/>
    <w:rsid w:val="00F60AEA"/>
    <w:rsid w:val="00F60B5B"/>
    <w:rsid w:val="00F60E88"/>
    <w:rsid w:val="00F617B7"/>
    <w:rsid w:val="00F61F4F"/>
    <w:rsid w:val="00F625AF"/>
    <w:rsid w:val="00F62DA5"/>
    <w:rsid w:val="00F63F20"/>
    <w:rsid w:val="00F66E61"/>
    <w:rsid w:val="00F67871"/>
    <w:rsid w:val="00F67F72"/>
    <w:rsid w:val="00F710A3"/>
    <w:rsid w:val="00F716FC"/>
    <w:rsid w:val="00F72C06"/>
    <w:rsid w:val="00F730EB"/>
    <w:rsid w:val="00F7323C"/>
    <w:rsid w:val="00F73B29"/>
    <w:rsid w:val="00F73ED7"/>
    <w:rsid w:val="00F73F59"/>
    <w:rsid w:val="00F74B08"/>
    <w:rsid w:val="00F750EC"/>
    <w:rsid w:val="00F757F6"/>
    <w:rsid w:val="00F7626C"/>
    <w:rsid w:val="00F7768E"/>
    <w:rsid w:val="00F77F89"/>
    <w:rsid w:val="00F80D1C"/>
    <w:rsid w:val="00F81141"/>
    <w:rsid w:val="00F8210E"/>
    <w:rsid w:val="00F823B7"/>
    <w:rsid w:val="00F824F7"/>
    <w:rsid w:val="00F82B69"/>
    <w:rsid w:val="00F8331E"/>
    <w:rsid w:val="00F83C96"/>
    <w:rsid w:val="00F83CEC"/>
    <w:rsid w:val="00F8448F"/>
    <w:rsid w:val="00F846A2"/>
    <w:rsid w:val="00F84A95"/>
    <w:rsid w:val="00F84AA7"/>
    <w:rsid w:val="00F84F7E"/>
    <w:rsid w:val="00F86321"/>
    <w:rsid w:val="00F867F7"/>
    <w:rsid w:val="00F90437"/>
    <w:rsid w:val="00F9095E"/>
    <w:rsid w:val="00F91188"/>
    <w:rsid w:val="00F94CCB"/>
    <w:rsid w:val="00F9546C"/>
    <w:rsid w:val="00F96CF9"/>
    <w:rsid w:val="00F97745"/>
    <w:rsid w:val="00F97949"/>
    <w:rsid w:val="00F97B52"/>
    <w:rsid w:val="00F97B72"/>
    <w:rsid w:val="00FA0F06"/>
    <w:rsid w:val="00FA1089"/>
    <w:rsid w:val="00FA10A8"/>
    <w:rsid w:val="00FA1427"/>
    <w:rsid w:val="00FA1785"/>
    <w:rsid w:val="00FA36FC"/>
    <w:rsid w:val="00FA3A3A"/>
    <w:rsid w:val="00FA45BA"/>
    <w:rsid w:val="00FA4B03"/>
    <w:rsid w:val="00FA5296"/>
    <w:rsid w:val="00FA534D"/>
    <w:rsid w:val="00FA7446"/>
    <w:rsid w:val="00FB0E57"/>
    <w:rsid w:val="00FB1F93"/>
    <w:rsid w:val="00FB2383"/>
    <w:rsid w:val="00FB24DB"/>
    <w:rsid w:val="00FB3DEE"/>
    <w:rsid w:val="00FB4213"/>
    <w:rsid w:val="00FB48DF"/>
    <w:rsid w:val="00FB5673"/>
    <w:rsid w:val="00FB5972"/>
    <w:rsid w:val="00FB632F"/>
    <w:rsid w:val="00FB65DC"/>
    <w:rsid w:val="00FB7388"/>
    <w:rsid w:val="00FB75CF"/>
    <w:rsid w:val="00FC0514"/>
    <w:rsid w:val="00FC07D0"/>
    <w:rsid w:val="00FC093F"/>
    <w:rsid w:val="00FC0CF1"/>
    <w:rsid w:val="00FC16C7"/>
    <w:rsid w:val="00FC2CB4"/>
    <w:rsid w:val="00FC3129"/>
    <w:rsid w:val="00FC3256"/>
    <w:rsid w:val="00FC37E1"/>
    <w:rsid w:val="00FC3BAF"/>
    <w:rsid w:val="00FC3E7D"/>
    <w:rsid w:val="00FC40DC"/>
    <w:rsid w:val="00FC485B"/>
    <w:rsid w:val="00FC578F"/>
    <w:rsid w:val="00FC5824"/>
    <w:rsid w:val="00FC58A3"/>
    <w:rsid w:val="00FC5AE7"/>
    <w:rsid w:val="00FC5D22"/>
    <w:rsid w:val="00FC5EAA"/>
    <w:rsid w:val="00FC7E05"/>
    <w:rsid w:val="00FD01BA"/>
    <w:rsid w:val="00FD0CA5"/>
    <w:rsid w:val="00FD1549"/>
    <w:rsid w:val="00FD16E7"/>
    <w:rsid w:val="00FD21DC"/>
    <w:rsid w:val="00FD25D2"/>
    <w:rsid w:val="00FD2B70"/>
    <w:rsid w:val="00FD3658"/>
    <w:rsid w:val="00FD378A"/>
    <w:rsid w:val="00FD3931"/>
    <w:rsid w:val="00FD3B36"/>
    <w:rsid w:val="00FD3CD9"/>
    <w:rsid w:val="00FD4012"/>
    <w:rsid w:val="00FD51B5"/>
    <w:rsid w:val="00FD71D1"/>
    <w:rsid w:val="00FD7C02"/>
    <w:rsid w:val="00FE13D2"/>
    <w:rsid w:val="00FE15CB"/>
    <w:rsid w:val="00FE1AB8"/>
    <w:rsid w:val="00FE20F3"/>
    <w:rsid w:val="00FE4D45"/>
    <w:rsid w:val="00FE4D85"/>
    <w:rsid w:val="00FE5259"/>
    <w:rsid w:val="00FE52DB"/>
    <w:rsid w:val="00FE5DE8"/>
    <w:rsid w:val="00FE6604"/>
    <w:rsid w:val="00FE6C66"/>
    <w:rsid w:val="00FE7775"/>
    <w:rsid w:val="00FE7C52"/>
    <w:rsid w:val="00FF0CDE"/>
    <w:rsid w:val="00FF1719"/>
    <w:rsid w:val="00FF2469"/>
    <w:rsid w:val="00FF4F25"/>
    <w:rsid w:val="00FF5079"/>
    <w:rsid w:val="00FF50FB"/>
    <w:rsid w:val="00FF5135"/>
    <w:rsid w:val="00FF5238"/>
    <w:rsid w:val="00FF5CB1"/>
    <w:rsid w:val="00FF6594"/>
    <w:rsid w:val="00FF6B57"/>
    <w:rsid w:val="00FF7679"/>
    <w:rsid w:val="00FF7B73"/>
    <w:rsid w:val="0105204F"/>
    <w:rsid w:val="010A4CF1"/>
    <w:rsid w:val="010A7799"/>
    <w:rsid w:val="011646BB"/>
    <w:rsid w:val="01287E63"/>
    <w:rsid w:val="012D1180"/>
    <w:rsid w:val="0130386F"/>
    <w:rsid w:val="0134795E"/>
    <w:rsid w:val="01366391"/>
    <w:rsid w:val="01452C17"/>
    <w:rsid w:val="01490C7C"/>
    <w:rsid w:val="015D0CDB"/>
    <w:rsid w:val="01654224"/>
    <w:rsid w:val="01654D38"/>
    <w:rsid w:val="016A207E"/>
    <w:rsid w:val="016A54AA"/>
    <w:rsid w:val="017005D8"/>
    <w:rsid w:val="017A187E"/>
    <w:rsid w:val="01853D3C"/>
    <w:rsid w:val="01895BDD"/>
    <w:rsid w:val="01935D13"/>
    <w:rsid w:val="01A36E68"/>
    <w:rsid w:val="01A44729"/>
    <w:rsid w:val="01A944D8"/>
    <w:rsid w:val="01BA41FB"/>
    <w:rsid w:val="01CE3772"/>
    <w:rsid w:val="01F22834"/>
    <w:rsid w:val="0211148D"/>
    <w:rsid w:val="02381C19"/>
    <w:rsid w:val="02402AFC"/>
    <w:rsid w:val="027766C5"/>
    <w:rsid w:val="027F1A99"/>
    <w:rsid w:val="02850B59"/>
    <w:rsid w:val="028C119D"/>
    <w:rsid w:val="02992134"/>
    <w:rsid w:val="029C0C55"/>
    <w:rsid w:val="02AE02CA"/>
    <w:rsid w:val="02BD1D06"/>
    <w:rsid w:val="02BF7895"/>
    <w:rsid w:val="02CC262C"/>
    <w:rsid w:val="02F077BA"/>
    <w:rsid w:val="02FA790A"/>
    <w:rsid w:val="02FE2969"/>
    <w:rsid w:val="031A2C2C"/>
    <w:rsid w:val="033934A0"/>
    <w:rsid w:val="03407B6C"/>
    <w:rsid w:val="0362532C"/>
    <w:rsid w:val="03722409"/>
    <w:rsid w:val="03782FA2"/>
    <w:rsid w:val="037B6B73"/>
    <w:rsid w:val="037F540D"/>
    <w:rsid w:val="03830189"/>
    <w:rsid w:val="038474C0"/>
    <w:rsid w:val="03873EE7"/>
    <w:rsid w:val="03995836"/>
    <w:rsid w:val="039A6866"/>
    <w:rsid w:val="039D21C2"/>
    <w:rsid w:val="03AA414C"/>
    <w:rsid w:val="03B25EB4"/>
    <w:rsid w:val="03C05AA8"/>
    <w:rsid w:val="03CA13C6"/>
    <w:rsid w:val="03D148CA"/>
    <w:rsid w:val="03F622F4"/>
    <w:rsid w:val="03FD64EB"/>
    <w:rsid w:val="04146E1B"/>
    <w:rsid w:val="04153C40"/>
    <w:rsid w:val="0415652F"/>
    <w:rsid w:val="0424655B"/>
    <w:rsid w:val="04265C21"/>
    <w:rsid w:val="04327EAE"/>
    <w:rsid w:val="043335FE"/>
    <w:rsid w:val="04472229"/>
    <w:rsid w:val="04547E44"/>
    <w:rsid w:val="045B08C7"/>
    <w:rsid w:val="04753473"/>
    <w:rsid w:val="048C7DD7"/>
    <w:rsid w:val="04985FBC"/>
    <w:rsid w:val="04B16684"/>
    <w:rsid w:val="04C30157"/>
    <w:rsid w:val="04D91DA7"/>
    <w:rsid w:val="04DA5A67"/>
    <w:rsid w:val="04E335F0"/>
    <w:rsid w:val="04EF71AE"/>
    <w:rsid w:val="04FD3416"/>
    <w:rsid w:val="04FF3A5C"/>
    <w:rsid w:val="05555019"/>
    <w:rsid w:val="055B4CCC"/>
    <w:rsid w:val="056230DA"/>
    <w:rsid w:val="0563147F"/>
    <w:rsid w:val="057639E0"/>
    <w:rsid w:val="05A41987"/>
    <w:rsid w:val="05AE5255"/>
    <w:rsid w:val="05AF25D4"/>
    <w:rsid w:val="05C31D0B"/>
    <w:rsid w:val="05E238CF"/>
    <w:rsid w:val="05FA1F42"/>
    <w:rsid w:val="060B3AA6"/>
    <w:rsid w:val="061F2827"/>
    <w:rsid w:val="06220123"/>
    <w:rsid w:val="06294ED3"/>
    <w:rsid w:val="063630F5"/>
    <w:rsid w:val="063931A9"/>
    <w:rsid w:val="06486E7C"/>
    <w:rsid w:val="064E562D"/>
    <w:rsid w:val="064F13DD"/>
    <w:rsid w:val="06526AAF"/>
    <w:rsid w:val="065A1398"/>
    <w:rsid w:val="065D0829"/>
    <w:rsid w:val="066344F5"/>
    <w:rsid w:val="066E6C90"/>
    <w:rsid w:val="067F7B86"/>
    <w:rsid w:val="06881029"/>
    <w:rsid w:val="069E0CAC"/>
    <w:rsid w:val="06A040A9"/>
    <w:rsid w:val="06AB16DC"/>
    <w:rsid w:val="06B048C4"/>
    <w:rsid w:val="06B24CC6"/>
    <w:rsid w:val="06BC364F"/>
    <w:rsid w:val="06C30F48"/>
    <w:rsid w:val="06C4750C"/>
    <w:rsid w:val="06C82AF2"/>
    <w:rsid w:val="06E71786"/>
    <w:rsid w:val="06F40EE7"/>
    <w:rsid w:val="07093EA4"/>
    <w:rsid w:val="0747163E"/>
    <w:rsid w:val="075137F5"/>
    <w:rsid w:val="075E39CA"/>
    <w:rsid w:val="077B5846"/>
    <w:rsid w:val="07844959"/>
    <w:rsid w:val="078D07BF"/>
    <w:rsid w:val="07A573BE"/>
    <w:rsid w:val="07BC1429"/>
    <w:rsid w:val="07BE0CD7"/>
    <w:rsid w:val="07C30CCB"/>
    <w:rsid w:val="07C551D3"/>
    <w:rsid w:val="07CE0247"/>
    <w:rsid w:val="07D25347"/>
    <w:rsid w:val="07D34EEF"/>
    <w:rsid w:val="07D56159"/>
    <w:rsid w:val="07E94D9A"/>
    <w:rsid w:val="07ED2727"/>
    <w:rsid w:val="07F847E3"/>
    <w:rsid w:val="08050C43"/>
    <w:rsid w:val="08085FFE"/>
    <w:rsid w:val="08117DF0"/>
    <w:rsid w:val="081F7559"/>
    <w:rsid w:val="082C48EE"/>
    <w:rsid w:val="0832617F"/>
    <w:rsid w:val="0856481B"/>
    <w:rsid w:val="08585252"/>
    <w:rsid w:val="08655A05"/>
    <w:rsid w:val="08833A7D"/>
    <w:rsid w:val="088821D1"/>
    <w:rsid w:val="08961269"/>
    <w:rsid w:val="089C09DB"/>
    <w:rsid w:val="089E5FF9"/>
    <w:rsid w:val="08CF0B64"/>
    <w:rsid w:val="08D21D20"/>
    <w:rsid w:val="08DA1922"/>
    <w:rsid w:val="08F85F28"/>
    <w:rsid w:val="09091431"/>
    <w:rsid w:val="090B661E"/>
    <w:rsid w:val="091911A2"/>
    <w:rsid w:val="091C0FDB"/>
    <w:rsid w:val="09232B1E"/>
    <w:rsid w:val="095B6FAE"/>
    <w:rsid w:val="096B15AD"/>
    <w:rsid w:val="097823FA"/>
    <w:rsid w:val="098925EC"/>
    <w:rsid w:val="098C4758"/>
    <w:rsid w:val="098C50DF"/>
    <w:rsid w:val="09955FF6"/>
    <w:rsid w:val="09A00262"/>
    <w:rsid w:val="09B42E93"/>
    <w:rsid w:val="09C642B8"/>
    <w:rsid w:val="09CA371A"/>
    <w:rsid w:val="09F93078"/>
    <w:rsid w:val="0A207423"/>
    <w:rsid w:val="0A242A87"/>
    <w:rsid w:val="0A271FB9"/>
    <w:rsid w:val="0A2756B9"/>
    <w:rsid w:val="0A3C20D9"/>
    <w:rsid w:val="0A491D92"/>
    <w:rsid w:val="0A6038F7"/>
    <w:rsid w:val="0A640EF1"/>
    <w:rsid w:val="0A784680"/>
    <w:rsid w:val="0A977124"/>
    <w:rsid w:val="0AB63A1F"/>
    <w:rsid w:val="0AC062DB"/>
    <w:rsid w:val="0AD10421"/>
    <w:rsid w:val="0ADC44D5"/>
    <w:rsid w:val="0AFA6771"/>
    <w:rsid w:val="0B17356A"/>
    <w:rsid w:val="0B3B381D"/>
    <w:rsid w:val="0B50323E"/>
    <w:rsid w:val="0B662553"/>
    <w:rsid w:val="0B6674DF"/>
    <w:rsid w:val="0B6F7F59"/>
    <w:rsid w:val="0B7755E4"/>
    <w:rsid w:val="0BAC3EE8"/>
    <w:rsid w:val="0BE23302"/>
    <w:rsid w:val="0BEB54B9"/>
    <w:rsid w:val="0BFB3E02"/>
    <w:rsid w:val="0C007D5E"/>
    <w:rsid w:val="0C111EBC"/>
    <w:rsid w:val="0C29420A"/>
    <w:rsid w:val="0C296857"/>
    <w:rsid w:val="0C514A70"/>
    <w:rsid w:val="0C8E2977"/>
    <w:rsid w:val="0C943FB6"/>
    <w:rsid w:val="0CAC574D"/>
    <w:rsid w:val="0CBA40C6"/>
    <w:rsid w:val="0CD8119A"/>
    <w:rsid w:val="0CF11101"/>
    <w:rsid w:val="0CF43F44"/>
    <w:rsid w:val="0CFA4BF6"/>
    <w:rsid w:val="0D114784"/>
    <w:rsid w:val="0D305168"/>
    <w:rsid w:val="0D33494D"/>
    <w:rsid w:val="0D3365C9"/>
    <w:rsid w:val="0D3F4932"/>
    <w:rsid w:val="0D4923C5"/>
    <w:rsid w:val="0D655B32"/>
    <w:rsid w:val="0D6A5FC1"/>
    <w:rsid w:val="0D6B1430"/>
    <w:rsid w:val="0D704C78"/>
    <w:rsid w:val="0D965E2B"/>
    <w:rsid w:val="0DA910C4"/>
    <w:rsid w:val="0DB14103"/>
    <w:rsid w:val="0DD47830"/>
    <w:rsid w:val="0DD6099E"/>
    <w:rsid w:val="0DE55954"/>
    <w:rsid w:val="0DF532C2"/>
    <w:rsid w:val="0E06702E"/>
    <w:rsid w:val="0E08467B"/>
    <w:rsid w:val="0E105987"/>
    <w:rsid w:val="0E176680"/>
    <w:rsid w:val="0E194A19"/>
    <w:rsid w:val="0E1D773A"/>
    <w:rsid w:val="0E227EAE"/>
    <w:rsid w:val="0E2A22A3"/>
    <w:rsid w:val="0E385B84"/>
    <w:rsid w:val="0E417E7A"/>
    <w:rsid w:val="0E463C95"/>
    <w:rsid w:val="0E4F56AE"/>
    <w:rsid w:val="0E541253"/>
    <w:rsid w:val="0E582F31"/>
    <w:rsid w:val="0E6C215B"/>
    <w:rsid w:val="0E7D4F08"/>
    <w:rsid w:val="0E806A71"/>
    <w:rsid w:val="0E8909DC"/>
    <w:rsid w:val="0E973A44"/>
    <w:rsid w:val="0EB12CA6"/>
    <w:rsid w:val="0EB624B2"/>
    <w:rsid w:val="0EB675C5"/>
    <w:rsid w:val="0EBC472F"/>
    <w:rsid w:val="0EBF04BF"/>
    <w:rsid w:val="0EDE29BC"/>
    <w:rsid w:val="0EE428C2"/>
    <w:rsid w:val="0EE52A30"/>
    <w:rsid w:val="0EE6529D"/>
    <w:rsid w:val="0EEB4763"/>
    <w:rsid w:val="0EF4038D"/>
    <w:rsid w:val="0F0745A6"/>
    <w:rsid w:val="0F1028CC"/>
    <w:rsid w:val="0F191A3A"/>
    <w:rsid w:val="0F2567D4"/>
    <w:rsid w:val="0F2B312E"/>
    <w:rsid w:val="0F31061F"/>
    <w:rsid w:val="0F34565C"/>
    <w:rsid w:val="0F357A47"/>
    <w:rsid w:val="0F393346"/>
    <w:rsid w:val="0F54470D"/>
    <w:rsid w:val="0F6D588E"/>
    <w:rsid w:val="0F7A02F2"/>
    <w:rsid w:val="0F7A18AD"/>
    <w:rsid w:val="0F8B568E"/>
    <w:rsid w:val="0F973E10"/>
    <w:rsid w:val="0FAC7B65"/>
    <w:rsid w:val="0FAF4537"/>
    <w:rsid w:val="0FB51F38"/>
    <w:rsid w:val="0FB8082D"/>
    <w:rsid w:val="0FB910D3"/>
    <w:rsid w:val="0FBC2E7B"/>
    <w:rsid w:val="0FC33852"/>
    <w:rsid w:val="0FCC6F10"/>
    <w:rsid w:val="0FD57FD8"/>
    <w:rsid w:val="0FED1109"/>
    <w:rsid w:val="0FF17AD8"/>
    <w:rsid w:val="10121A1C"/>
    <w:rsid w:val="1015055C"/>
    <w:rsid w:val="10236BC4"/>
    <w:rsid w:val="102B0E5F"/>
    <w:rsid w:val="102F0D16"/>
    <w:rsid w:val="102F594C"/>
    <w:rsid w:val="10455272"/>
    <w:rsid w:val="105226AA"/>
    <w:rsid w:val="10596396"/>
    <w:rsid w:val="105C1DBF"/>
    <w:rsid w:val="106C4F20"/>
    <w:rsid w:val="106F441B"/>
    <w:rsid w:val="108555F5"/>
    <w:rsid w:val="109F199D"/>
    <w:rsid w:val="10AB7089"/>
    <w:rsid w:val="10DF279C"/>
    <w:rsid w:val="11010D38"/>
    <w:rsid w:val="11275F9C"/>
    <w:rsid w:val="112E3E22"/>
    <w:rsid w:val="113A56BD"/>
    <w:rsid w:val="115148E2"/>
    <w:rsid w:val="115648BE"/>
    <w:rsid w:val="115917B1"/>
    <w:rsid w:val="1188211D"/>
    <w:rsid w:val="119A16F5"/>
    <w:rsid w:val="119F7657"/>
    <w:rsid w:val="11C151EF"/>
    <w:rsid w:val="11CF2132"/>
    <w:rsid w:val="11CF34F6"/>
    <w:rsid w:val="11E44108"/>
    <w:rsid w:val="11F02E0D"/>
    <w:rsid w:val="11F526B2"/>
    <w:rsid w:val="11FF4A28"/>
    <w:rsid w:val="120477AD"/>
    <w:rsid w:val="122A534D"/>
    <w:rsid w:val="122D1A6D"/>
    <w:rsid w:val="122E44E4"/>
    <w:rsid w:val="12376BB3"/>
    <w:rsid w:val="12396AE6"/>
    <w:rsid w:val="12425075"/>
    <w:rsid w:val="124442D0"/>
    <w:rsid w:val="1254194E"/>
    <w:rsid w:val="12615911"/>
    <w:rsid w:val="126C62B3"/>
    <w:rsid w:val="12771BAC"/>
    <w:rsid w:val="12797AFC"/>
    <w:rsid w:val="127B50D1"/>
    <w:rsid w:val="127F2E42"/>
    <w:rsid w:val="127F5AAA"/>
    <w:rsid w:val="128F1CC7"/>
    <w:rsid w:val="12A3099E"/>
    <w:rsid w:val="12AD471A"/>
    <w:rsid w:val="12BD16AA"/>
    <w:rsid w:val="12DC5F7A"/>
    <w:rsid w:val="12E57D38"/>
    <w:rsid w:val="12ED04AB"/>
    <w:rsid w:val="130440AC"/>
    <w:rsid w:val="13361976"/>
    <w:rsid w:val="13363585"/>
    <w:rsid w:val="133F7815"/>
    <w:rsid w:val="13652E88"/>
    <w:rsid w:val="136934BF"/>
    <w:rsid w:val="13752C6A"/>
    <w:rsid w:val="137B3C77"/>
    <w:rsid w:val="137E4A51"/>
    <w:rsid w:val="137F06E4"/>
    <w:rsid w:val="13853288"/>
    <w:rsid w:val="139B649E"/>
    <w:rsid w:val="139E1149"/>
    <w:rsid w:val="13A4227E"/>
    <w:rsid w:val="13B54BF0"/>
    <w:rsid w:val="13E37EB2"/>
    <w:rsid w:val="13E60485"/>
    <w:rsid w:val="14057552"/>
    <w:rsid w:val="140655F5"/>
    <w:rsid w:val="141F4265"/>
    <w:rsid w:val="142F0401"/>
    <w:rsid w:val="143E77CE"/>
    <w:rsid w:val="14504246"/>
    <w:rsid w:val="145F43B5"/>
    <w:rsid w:val="147F36B9"/>
    <w:rsid w:val="149249C5"/>
    <w:rsid w:val="14BE2D2A"/>
    <w:rsid w:val="14C67363"/>
    <w:rsid w:val="14E04F4B"/>
    <w:rsid w:val="14E33BA3"/>
    <w:rsid w:val="14E96AB2"/>
    <w:rsid w:val="14F260E2"/>
    <w:rsid w:val="14FE572B"/>
    <w:rsid w:val="1522788B"/>
    <w:rsid w:val="153B5EFC"/>
    <w:rsid w:val="15520C32"/>
    <w:rsid w:val="156B2AF5"/>
    <w:rsid w:val="1574047B"/>
    <w:rsid w:val="157737C7"/>
    <w:rsid w:val="157C618E"/>
    <w:rsid w:val="1588301A"/>
    <w:rsid w:val="15A24E4B"/>
    <w:rsid w:val="15A436BC"/>
    <w:rsid w:val="15B07332"/>
    <w:rsid w:val="15C21301"/>
    <w:rsid w:val="160666D4"/>
    <w:rsid w:val="1613713C"/>
    <w:rsid w:val="162F2950"/>
    <w:rsid w:val="162F5EF5"/>
    <w:rsid w:val="163537ED"/>
    <w:rsid w:val="165C639A"/>
    <w:rsid w:val="16630D36"/>
    <w:rsid w:val="1664773D"/>
    <w:rsid w:val="1665308F"/>
    <w:rsid w:val="166D3912"/>
    <w:rsid w:val="16A17772"/>
    <w:rsid w:val="16BF145B"/>
    <w:rsid w:val="16C868F1"/>
    <w:rsid w:val="16DC18F9"/>
    <w:rsid w:val="17102BC2"/>
    <w:rsid w:val="171106AB"/>
    <w:rsid w:val="17175BDE"/>
    <w:rsid w:val="171D5E0C"/>
    <w:rsid w:val="17354FBD"/>
    <w:rsid w:val="17503CCA"/>
    <w:rsid w:val="17565BDC"/>
    <w:rsid w:val="17640DCA"/>
    <w:rsid w:val="17765BBC"/>
    <w:rsid w:val="178F0396"/>
    <w:rsid w:val="17974F39"/>
    <w:rsid w:val="179A6621"/>
    <w:rsid w:val="17B133E3"/>
    <w:rsid w:val="17BB3A4F"/>
    <w:rsid w:val="17C50B30"/>
    <w:rsid w:val="17D46774"/>
    <w:rsid w:val="17E77D3A"/>
    <w:rsid w:val="17ED1F47"/>
    <w:rsid w:val="17FB106E"/>
    <w:rsid w:val="180C7E3B"/>
    <w:rsid w:val="1821048B"/>
    <w:rsid w:val="182D508F"/>
    <w:rsid w:val="18335CBE"/>
    <w:rsid w:val="184954F3"/>
    <w:rsid w:val="184D26DA"/>
    <w:rsid w:val="184F6FD7"/>
    <w:rsid w:val="185D0B7B"/>
    <w:rsid w:val="18627A40"/>
    <w:rsid w:val="186B4798"/>
    <w:rsid w:val="18720AE9"/>
    <w:rsid w:val="18736319"/>
    <w:rsid w:val="187E5EC7"/>
    <w:rsid w:val="18813476"/>
    <w:rsid w:val="188678FB"/>
    <w:rsid w:val="188D2397"/>
    <w:rsid w:val="189B5E99"/>
    <w:rsid w:val="18C72CE8"/>
    <w:rsid w:val="18E42D56"/>
    <w:rsid w:val="18E67944"/>
    <w:rsid w:val="18F32945"/>
    <w:rsid w:val="18FE71A5"/>
    <w:rsid w:val="19044FF4"/>
    <w:rsid w:val="190D0A8B"/>
    <w:rsid w:val="190F4E01"/>
    <w:rsid w:val="192558F8"/>
    <w:rsid w:val="192B6783"/>
    <w:rsid w:val="192C2428"/>
    <w:rsid w:val="1937656F"/>
    <w:rsid w:val="193F6A34"/>
    <w:rsid w:val="194A2FFA"/>
    <w:rsid w:val="19612C18"/>
    <w:rsid w:val="19707778"/>
    <w:rsid w:val="197A3BC6"/>
    <w:rsid w:val="197F41DE"/>
    <w:rsid w:val="19911CC9"/>
    <w:rsid w:val="199A53B5"/>
    <w:rsid w:val="199D2042"/>
    <w:rsid w:val="199F2F50"/>
    <w:rsid w:val="19B46701"/>
    <w:rsid w:val="19BF1FC8"/>
    <w:rsid w:val="19C55E55"/>
    <w:rsid w:val="19C7104C"/>
    <w:rsid w:val="19D449EB"/>
    <w:rsid w:val="19DA46F2"/>
    <w:rsid w:val="19F66E3F"/>
    <w:rsid w:val="1A0C6E2E"/>
    <w:rsid w:val="1A185959"/>
    <w:rsid w:val="1A271019"/>
    <w:rsid w:val="1A291A63"/>
    <w:rsid w:val="1A376FF2"/>
    <w:rsid w:val="1A3D2E64"/>
    <w:rsid w:val="1A6B6AC3"/>
    <w:rsid w:val="1A76422C"/>
    <w:rsid w:val="1A7B5928"/>
    <w:rsid w:val="1A8A71CF"/>
    <w:rsid w:val="1A9B1958"/>
    <w:rsid w:val="1AA145AA"/>
    <w:rsid w:val="1AA5384B"/>
    <w:rsid w:val="1AC22EB4"/>
    <w:rsid w:val="1AD41192"/>
    <w:rsid w:val="1ADB5CEF"/>
    <w:rsid w:val="1AE31D32"/>
    <w:rsid w:val="1AE93AD4"/>
    <w:rsid w:val="1B015DAC"/>
    <w:rsid w:val="1B065151"/>
    <w:rsid w:val="1B071AA7"/>
    <w:rsid w:val="1B125C1B"/>
    <w:rsid w:val="1B145F7C"/>
    <w:rsid w:val="1B270518"/>
    <w:rsid w:val="1B2C2C9D"/>
    <w:rsid w:val="1B3F2376"/>
    <w:rsid w:val="1B592D92"/>
    <w:rsid w:val="1B5B7806"/>
    <w:rsid w:val="1B603B06"/>
    <w:rsid w:val="1BA96203"/>
    <w:rsid w:val="1BB51F83"/>
    <w:rsid w:val="1BCF2E6A"/>
    <w:rsid w:val="1BE403C0"/>
    <w:rsid w:val="1BFB364E"/>
    <w:rsid w:val="1BFD6BF9"/>
    <w:rsid w:val="1C4F6392"/>
    <w:rsid w:val="1C6B45F9"/>
    <w:rsid w:val="1C6E6E72"/>
    <w:rsid w:val="1C6F5DB2"/>
    <w:rsid w:val="1C717E13"/>
    <w:rsid w:val="1C742C96"/>
    <w:rsid w:val="1C823E70"/>
    <w:rsid w:val="1C96187F"/>
    <w:rsid w:val="1CA7730F"/>
    <w:rsid w:val="1CB114C5"/>
    <w:rsid w:val="1CB2210B"/>
    <w:rsid w:val="1CB850C9"/>
    <w:rsid w:val="1CBB6184"/>
    <w:rsid w:val="1CD465EE"/>
    <w:rsid w:val="1CD61BD0"/>
    <w:rsid w:val="1CDC1CD0"/>
    <w:rsid w:val="1CE02084"/>
    <w:rsid w:val="1CE05979"/>
    <w:rsid w:val="1CF81B5D"/>
    <w:rsid w:val="1CF830EA"/>
    <w:rsid w:val="1CFA74C4"/>
    <w:rsid w:val="1CFF15DE"/>
    <w:rsid w:val="1D074F20"/>
    <w:rsid w:val="1D0C190B"/>
    <w:rsid w:val="1D121F27"/>
    <w:rsid w:val="1D285480"/>
    <w:rsid w:val="1D32624E"/>
    <w:rsid w:val="1D3D0879"/>
    <w:rsid w:val="1D47024C"/>
    <w:rsid w:val="1D7309C7"/>
    <w:rsid w:val="1D734817"/>
    <w:rsid w:val="1D8F26AC"/>
    <w:rsid w:val="1D92720C"/>
    <w:rsid w:val="1D982370"/>
    <w:rsid w:val="1DAA7BA4"/>
    <w:rsid w:val="1DBD26BF"/>
    <w:rsid w:val="1DC4459F"/>
    <w:rsid w:val="1DCD51FA"/>
    <w:rsid w:val="1DD43574"/>
    <w:rsid w:val="1DD60796"/>
    <w:rsid w:val="1DEF5641"/>
    <w:rsid w:val="1DF50155"/>
    <w:rsid w:val="1E0021EE"/>
    <w:rsid w:val="1E082A3D"/>
    <w:rsid w:val="1E2D5F31"/>
    <w:rsid w:val="1E2E272C"/>
    <w:rsid w:val="1E4731B0"/>
    <w:rsid w:val="1E4A0FA2"/>
    <w:rsid w:val="1E541C85"/>
    <w:rsid w:val="1E555A3F"/>
    <w:rsid w:val="1E6A45DF"/>
    <w:rsid w:val="1E7526F5"/>
    <w:rsid w:val="1E79446E"/>
    <w:rsid w:val="1E7A151A"/>
    <w:rsid w:val="1E8B36D8"/>
    <w:rsid w:val="1E8C7F2D"/>
    <w:rsid w:val="1E8D027A"/>
    <w:rsid w:val="1E9F1308"/>
    <w:rsid w:val="1EA20C11"/>
    <w:rsid w:val="1EA63585"/>
    <w:rsid w:val="1EB02EB3"/>
    <w:rsid w:val="1EC61924"/>
    <w:rsid w:val="1ED634C8"/>
    <w:rsid w:val="1F1A4174"/>
    <w:rsid w:val="1F317F2F"/>
    <w:rsid w:val="1F3A2822"/>
    <w:rsid w:val="1F425C9E"/>
    <w:rsid w:val="1F50437F"/>
    <w:rsid w:val="1F524902"/>
    <w:rsid w:val="1F5E2A42"/>
    <w:rsid w:val="1F6F3F65"/>
    <w:rsid w:val="1F6F600D"/>
    <w:rsid w:val="1F71140C"/>
    <w:rsid w:val="1F77173C"/>
    <w:rsid w:val="1F7806EE"/>
    <w:rsid w:val="1F7E02BC"/>
    <w:rsid w:val="1F882178"/>
    <w:rsid w:val="1F8C2708"/>
    <w:rsid w:val="1F8D46CB"/>
    <w:rsid w:val="1F942583"/>
    <w:rsid w:val="1F9D29A9"/>
    <w:rsid w:val="1F9D3C86"/>
    <w:rsid w:val="1FA60284"/>
    <w:rsid w:val="1FB32DB4"/>
    <w:rsid w:val="1FC01FD0"/>
    <w:rsid w:val="1FE23B5B"/>
    <w:rsid w:val="1FF30913"/>
    <w:rsid w:val="2009574A"/>
    <w:rsid w:val="20177AD7"/>
    <w:rsid w:val="20320805"/>
    <w:rsid w:val="20434F03"/>
    <w:rsid w:val="20522510"/>
    <w:rsid w:val="20572947"/>
    <w:rsid w:val="20586DAA"/>
    <w:rsid w:val="205C7E13"/>
    <w:rsid w:val="2066281A"/>
    <w:rsid w:val="20692DB1"/>
    <w:rsid w:val="206A0061"/>
    <w:rsid w:val="206F77A6"/>
    <w:rsid w:val="207411F6"/>
    <w:rsid w:val="20775BDB"/>
    <w:rsid w:val="20861F0D"/>
    <w:rsid w:val="209337D2"/>
    <w:rsid w:val="2094411D"/>
    <w:rsid w:val="20995A9C"/>
    <w:rsid w:val="209D030A"/>
    <w:rsid w:val="20A26A1A"/>
    <w:rsid w:val="20A6563C"/>
    <w:rsid w:val="20B72F34"/>
    <w:rsid w:val="20CB3765"/>
    <w:rsid w:val="20D308EA"/>
    <w:rsid w:val="20D50D54"/>
    <w:rsid w:val="20DD5754"/>
    <w:rsid w:val="20E174EB"/>
    <w:rsid w:val="210908BB"/>
    <w:rsid w:val="21156916"/>
    <w:rsid w:val="212461E1"/>
    <w:rsid w:val="214128DB"/>
    <w:rsid w:val="21413789"/>
    <w:rsid w:val="214E718E"/>
    <w:rsid w:val="21581320"/>
    <w:rsid w:val="216412D8"/>
    <w:rsid w:val="2165741F"/>
    <w:rsid w:val="217A7C08"/>
    <w:rsid w:val="21885155"/>
    <w:rsid w:val="219A4D3D"/>
    <w:rsid w:val="21A374F2"/>
    <w:rsid w:val="21BB7E33"/>
    <w:rsid w:val="21C6019D"/>
    <w:rsid w:val="21CA5BF7"/>
    <w:rsid w:val="21DA4837"/>
    <w:rsid w:val="21DD7AA4"/>
    <w:rsid w:val="21EA4195"/>
    <w:rsid w:val="21EE6A44"/>
    <w:rsid w:val="21F754E0"/>
    <w:rsid w:val="22042709"/>
    <w:rsid w:val="2210318B"/>
    <w:rsid w:val="22120CBB"/>
    <w:rsid w:val="222609AE"/>
    <w:rsid w:val="222A092A"/>
    <w:rsid w:val="2236112C"/>
    <w:rsid w:val="22381AB4"/>
    <w:rsid w:val="224B44F4"/>
    <w:rsid w:val="224D4190"/>
    <w:rsid w:val="22581266"/>
    <w:rsid w:val="22654DED"/>
    <w:rsid w:val="226B10CB"/>
    <w:rsid w:val="22700E5D"/>
    <w:rsid w:val="227F2B05"/>
    <w:rsid w:val="2282374C"/>
    <w:rsid w:val="22922713"/>
    <w:rsid w:val="22A14429"/>
    <w:rsid w:val="22C10889"/>
    <w:rsid w:val="22C44F27"/>
    <w:rsid w:val="22C55D90"/>
    <w:rsid w:val="22EF6E32"/>
    <w:rsid w:val="22F12297"/>
    <w:rsid w:val="22F9489E"/>
    <w:rsid w:val="22FD0965"/>
    <w:rsid w:val="230C3E8B"/>
    <w:rsid w:val="231471AC"/>
    <w:rsid w:val="231B12B8"/>
    <w:rsid w:val="231D3576"/>
    <w:rsid w:val="23317CBF"/>
    <w:rsid w:val="2346682E"/>
    <w:rsid w:val="23487032"/>
    <w:rsid w:val="234A3CB3"/>
    <w:rsid w:val="235F7E48"/>
    <w:rsid w:val="23663C45"/>
    <w:rsid w:val="2375130F"/>
    <w:rsid w:val="237B0F66"/>
    <w:rsid w:val="23891F29"/>
    <w:rsid w:val="238C7CA0"/>
    <w:rsid w:val="238E4769"/>
    <w:rsid w:val="23AD1C1C"/>
    <w:rsid w:val="23B65744"/>
    <w:rsid w:val="23C921B3"/>
    <w:rsid w:val="23CD0B75"/>
    <w:rsid w:val="23F02710"/>
    <w:rsid w:val="23FC46FC"/>
    <w:rsid w:val="23FE2E85"/>
    <w:rsid w:val="2402031E"/>
    <w:rsid w:val="240A23E7"/>
    <w:rsid w:val="240F7C19"/>
    <w:rsid w:val="24136BB4"/>
    <w:rsid w:val="241A7270"/>
    <w:rsid w:val="243667C3"/>
    <w:rsid w:val="243830FC"/>
    <w:rsid w:val="243F08C6"/>
    <w:rsid w:val="24446EE8"/>
    <w:rsid w:val="245B69E5"/>
    <w:rsid w:val="2486506D"/>
    <w:rsid w:val="24A00064"/>
    <w:rsid w:val="24C414EC"/>
    <w:rsid w:val="24C66DF5"/>
    <w:rsid w:val="24C84D9D"/>
    <w:rsid w:val="24E50C08"/>
    <w:rsid w:val="24E522E7"/>
    <w:rsid w:val="250905CA"/>
    <w:rsid w:val="250A0F54"/>
    <w:rsid w:val="252303E7"/>
    <w:rsid w:val="254657AC"/>
    <w:rsid w:val="255103B3"/>
    <w:rsid w:val="256120B6"/>
    <w:rsid w:val="256373D0"/>
    <w:rsid w:val="25647B31"/>
    <w:rsid w:val="256E2B96"/>
    <w:rsid w:val="257D732D"/>
    <w:rsid w:val="25861A2E"/>
    <w:rsid w:val="258D5F03"/>
    <w:rsid w:val="258E2046"/>
    <w:rsid w:val="25AF5099"/>
    <w:rsid w:val="25BB7E1C"/>
    <w:rsid w:val="25C27A17"/>
    <w:rsid w:val="25C97209"/>
    <w:rsid w:val="25D54B9C"/>
    <w:rsid w:val="25D72535"/>
    <w:rsid w:val="25D8089C"/>
    <w:rsid w:val="25DC312C"/>
    <w:rsid w:val="25E53885"/>
    <w:rsid w:val="26022025"/>
    <w:rsid w:val="26071B14"/>
    <w:rsid w:val="261A2DC4"/>
    <w:rsid w:val="261E546A"/>
    <w:rsid w:val="262867F9"/>
    <w:rsid w:val="2635682F"/>
    <w:rsid w:val="26473064"/>
    <w:rsid w:val="266F4E41"/>
    <w:rsid w:val="267657EC"/>
    <w:rsid w:val="267C53B5"/>
    <w:rsid w:val="268175AF"/>
    <w:rsid w:val="269936E5"/>
    <w:rsid w:val="26A107CB"/>
    <w:rsid w:val="26A63E4F"/>
    <w:rsid w:val="26A849D4"/>
    <w:rsid w:val="26B056BA"/>
    <w:rsid w:val="26B4330A"/>
    <w:rsid w:val="26C7384A"/>
    <w:rsid w:val="26C81C11"/>
    <w:rsid w:val="26CD5B84"/>
    <w:rsid w:val="26D65139"/>
    <w:rsid w:val="26DD6103"/>
    <w:rsid w:val="26DF3000"/>
    <w:rsid w:val="26F64AC0"/>
    <w:rsid w:val="270D005B"/>
    <w:rsid w:val="27252F68"/>
    <w:rsid w:val="27261338"/>
    <w:rsid w:val="277D0E1C"/>
    <w:rsid w:val="279A2512"/>
    <w:rsid w:val="27A125ED"/>
    <w:rsid w:val="27A674A1"/>
    <w:rsid w:val="27B060BE"/>
    <w:rsid w:val="27B3313E"/>
    <w:rsid w:val="27B91DBE"/>
    <w:rsid w:val="27C768DF"/>
    <w:rsid w:val="27DA3026"/>
    <w:rsid w:val="27E86862"/>
    <w:rsid w:val="27F302F1"/>
    <w:rsid w:val="281D45FF"/>
    <w:rsid w:val="28312587"/>
    <w:rsid w:val="283B6BC2"/>
    <w:rsid w:val="283D7D01"/>
    <w:rsid w:val="28441583"/>
    <w:rsid w:val="28670709"/>
    <w:rsid w:val="28851EBF"/>
    <w:rsid w:val="28B00F9C"/>
    <w:rsid w:val="28B62B70"/>
    <w:rsid w:val="28C164F8"/>
    <w:rsid w:val="28E16E2C"/>
    <w:rsid w:val="28E47876"/>
    <w:rsid w:val="28EE7A28"/>
    <w:rsid w:val="28F02100"/>
    <w:rsid w:val="29621CBE"/>
    <w:rsid w:val="2988329A"/>
    <w:rsid w:val="299E5795"/>
    <w:rsid w:val="29A24B74"/>
    <w:rsid w:val="29A373B1"/>
    <w:rsid w:val="29B70933"/>
    <w:rsid w:val="29C165C5"/>
    <w:rsid w:val="29D67D33"/>
    <w:rsid w:val="29FF5558"/>
    <w:rsid w:val="2A05728E"/>
    <w:rsid w:val="2A1E468F"/>
    <w:rsid w:val="2A3A31D8"/>
    <w:rsid w:val="2A3A5929"/>
    <w:rsid w:val="2A486E62"/>
    <w:rsid w:val="2A494C75"/>
    <w:rsid w:val="2A55359D"/>
    <w:rsid w:val="2A631CCA"/>
    <w:rsid w:val="2A6E7914"/>
    <w:rsid w:val="2A73683C"/>
    <w:rsid w:val="2A934276"/>
    <w:rsid w:val="2A9929F4"/>
    <w:rsid w:val="2AB22EEB"/>
    <w:rsid w:val="2ABB1A58"/>
    <w:rsid w:val="2ABE1CF1"/>
    <w:rsid w:val="2AD86CE9"/>
    <w:rsid w:val="2AF81E5A"/>
    <w:rsid w:val="2AFB0F7C"/>
    <w:rsid w:val="2B042ED6"/>
    <w:rsid w:val="2B085109"/>
    <w:rsid w:val="2B135D77"/>
    <w:rsid w:val="2B271352"/>
    <w:rsid w:val="2B2D0E6E"/>
    <w:rsid w:val="2B350AC6"/>
    <w:rsid w:val="2B3F1171"/>
    <w:rsid w:val="2B712699"/>
    <w:rsid w:val="2B7803FE"/>
    <w:rsid w:val="2B784EDA"/>
    <w:rsid w:val="2B865DB5"/>
    <w:rsid w:val="2B881D42"/>
    <w:rsid w:val="2B9B2D8A"/>
    <w:rsid w:val="2BA432D1"/>
    <w:rsid w:val="2BA83407"/>
    <w:rsid w:val="2BAA62BF"/>
    <w:rsid w:val="2BAD75ED"/>
    <w:rsid w:val="2BAD7F9F"/>
    <w:rsid w:val="2BB22949"/>
    <w:rsid w:val="2BC007D2"/>
    <w:rsid w:val="2BD356C0"/>
    <w:rsid w:val="2BDB19E8"/>
    <w:rsid w:val="2BDF0004"/>
    <w:rsid w:val="2BEA79CF"/>
    <w:rsid w:val="2BEE0439"/>
    <w:rsid w:val="2BFE4DEE"/>
    <w:rsid w:val="2C103772"/>
    <w:rsid w:val="2C211A40"/>
    <w:rsid w:val="2C253DD4"/>
    <w:rsid w:val="2C3D3BAC"/>
    <w:rsid w:val="2C4475B2"/>
    <w:rsid w:val="2C5E6A1E"/>
    <w:rsid w:val="2C6967DB"/>
    <w:rsid w:val="2C6B4A45"/>
    <w:rsid w:val="2C7C43B6"/>
    <w:rsid w:val="2CAC7728"/>
    <w:rsid w:val="2CB454B5"/>
    <w:rsid w:val="2CB91EC5"/>
    <w:rsid w:val="2CBC54B5"/>
    <w:rsid w:val="2CBE7FCC"/>
    <w:rsid w:val="2CD4197A"/>
    <w:rsid w:val="2CD858E5"/>
    <w:rsid w:val="2CF76D71"/>
    <w:rsid w:val="2CFB5BB9"/>
    <w:rsid w:val="2D066A02"/>
    <w:rsid w:val="2D131E54"/>
    <w:rsid w:val="2D1428CF"/>
    <w:rsid w:val="2D154B29"/>
    <w:rsid w:val="2D2B08EA"/>
    <w:rsid w:val="2D383471"/>
    <w:rsid w:val="2D426F07"/>
    <w:rsid w:val="2D4F07C8"/>
    <w:rsid w:val="2D5B6981"/>
    <w:rsid w:val="2D6D1208"/>
    <w:rsid w:val="2D6E5679"/>
    <w:rsid w:val="2D807EB8"/>
    <w:rsid w:val="2DA57639"/>
    <w:rsid w:val="2DB32775"/>
    <w:rsid w:val="2DD36B49"/>
    <w:rsid w:val="2DD67712"/>
    <w:rsid w:val="2DD85027"/>
    <w:rsid w:val="2DDC44F1"/>
    <w:rsid w:val="2DEF7C38"/>
    <w:rsid w:val="2DF139B7"/>
    <w:rsid w:val="2DF27B22"/>
    <w:rsid w:val="2DF50597"/>
    <w:rsid w:val="2E07556C"/>
    <w:rsid w:val="2E1072EF"/>
    <w:rsid w:val="2E136C20"/>
    <w:rsid w:val="2E1C6296"/>
    <w:rsid w:val="2E22555E"/>
    <w:rsid w:val="2E2C3749"/>
    <w:rsid w:val="2E2D7123"/>
    <w:rsid w:val="2E2F13F7"/>
    <w:rsid w:val="2E3018AA"/>
    <w:rsid w:val="2E3365E4"/>
    <w:rsid w:val="2E594636"/>
    <w:rsid w:val="2E5D1314"/>
    <w:rsid w:val="2E64168D"/>
    <w:rsid w:val="2E7D721A"/>
    <w:rsid w:val="2E897FB1"/>
    <w:rsid w:val="2E8E59B3"/>
    <w:rsid w:val="2E9C4B61"/>
    <w:rsid w:val="2EA56CB5"/>
    <w:rsid w:val="2EA60FFB"/>
    <w:rsid w:val="2EAA13BF"/>
    <w:rsid w:val="2EAE76D1"/>
    <w:rsid w:val="2EB03306"/>
    <w:rsid w:val="2EC00612"/>
    <w:rsid w:val="2EC94008"/>
    <w:rsid w:val="2ECB7DF6"/>
    <w:rsid w:val="2EDC0B15"/>
    <w:rsid w:val="2EEE7454"/>
    <w:rsid w:val="2EF02CE1"/>
    <w:rsid w:val="2EFB1748"/>
    <w:rsid w:val="2F001736"/>
    <w:rsid w:val="2F107B04"/>
    <w:rsid w:val="2F12267C"/>
    <w:rsid w:val="2F201BF1"/>
    <w:rsid w:val="2F2721CE"/>
    <w:rsid w:val="2F4023DC"/>
    <w:rsid w:val="2F49294B"/>
    <w:rsid w:val="2F650ACD"/>
    <w:rsid w:val="2F683576"/>
    <w:rsid w:val="2F826B8F"/>
    <w:rsid w:val="2F8D25FE"/>
    <w:rsid w:val="2F9F78D6"/>
    <w:rsid w:val="2FA9248D"/>
    <w:rsid w:val="2FAC4963"/>
    <w:rsid w:val="2FDF66AA"/>
    <w:rsid w:val="2FF714DB"/>
    <w:rsid w:val="2FFB1EC7"/>
    <w:rsid w:val="30025C0E"/>
    <w:rsid w:val="300371CD"/>
    <w:rsid w:val="300B1481"/>
    <w:rsid w:val="30175A8E"/>
    <w:rsid w:val="30407B60"/>
    <w:rsid w:val="30517F11"/>
    <w:rsid w:val="306E151C"/>
    <w:rsid w:val="307964E6"/>
    <w:rsid w:val="307B1DD7"/>
    <w:rsid w:val="307F5D93"/>
    <w:rsid w:val="30A720EB"/>
    <w:rsid w:val="30A9724A"/>
    <w:rsid w:val="30AE7BF2"/>
    <w:rsid w:val="30B42AD4"/>
    <w:rsid w:val="30C65F98"/>
    <w:rsid w:val="30C873A7"/>
    <w:rsid w:val="30CF4115"/>
    <w:rsid w:val="30D2103B"/>
    <w:rsid w:val="30E055B8"/>
    <w:rsid w:val="30FE6E14"/>
    <w:rsid w:val="31183FA1"/>
    <w:rsid w:val="3124204D"/>
    <w:rsid w:val="31472444"/>
    <w:rsid w:val="314F22F4"/>
    <w:rsid w:val="31523BD4"/>
    <w:rsid w:val="31540DE1"/>
    <w:rsid w:val="31542FA6"/>
    <w:rsid w:val="31620770"/>
    <w:rsid w:val="316312B9"/>
    <w:rsid w:val="31744474"/>
    <w:rsid w:val="31850370"/>
    <w:rsid w:val="31922F82"/>
    <w:rsid w:val="319A1D52"/>
    <w:rsid w:val="319B6702"/>
    <w:rsid w:val="31A779EB"/>
    <w:rsid w:val="31B56F05"/>
    <w:rsid w:val="31D1101F"/>
    <w:rsid w:val="31E33837"/>
    <w:rsid w:val="31EB416D"/>
    <w:rsid w:val="31EE26DF"/>
    <w:rsid w:val="320F6379"/>
    <w:rsid w:val="321E7A46"/>
    <w:rsid w:val="32532AC4"/>
    <w:rsid w:val="3256423A"/>
    <w:rsid w:val="32620A53"/>
    <w:rsid w:val="328B0802"/>
    <w:rsid w:val="328F0627"/>
    <w:rsid w:val="328F2DA7"/>
    <w:rsid w:val="32A73779"/>
    <w:rsid w:val="32C5043B"/>
    <w:rsid w:val="32D547D4"/>
    <w:rsid w:val="32E73FFB"/>
    <w:rsid w:val="32EF5376"/>
    <w:rsid w:val="3311642B"/>
    <w:rsid w:val="332B4CAB"/>
    <w:rsid w:val="333A262E"/>
    <w:rsid w:val="333D0AFB"/>
    <w:rsid w:val="335B6967"/>
    <w:rsid w:val="335E0755"/>
    <w:rsid w:val="336113AC"/>
    <w:rsid w:val="33651321"/>
    <w:rsid w:val="336C6D80"/>
    <w:rsid w:val="337639C8"/>
    <w:rsid w:val="3381492E"/>
    <w:rsid w:val="338449DA"/>
    <w:rsid w:val="338A4933"/>
    <w:rsid w:val="338A4B3E"/>
    <w:rsid w:val="33AF0611"/>
    <w:rsid w:val="33E71000"/>
    <w:rsid w:val="340112F2"/>
    <w:rsid w:val="340A4DA3"/>
    <w:rsid w:val="34152F1A"/>
    <w:rsid w:val="342D1D49"/>
    <w:rsid w:val="34311068"/>
    <w:rsid w:val="3432741A"/>
    <w:rsid w:val="34327F4F"/>
    <w:rsid w:val="3459785A"/>
    <w:rsid w:val="346825FC"/>
    <w:rsid w:val="34781C65"/>
    <w:rsid w:val="348C3DC8"/>
    <w:rsid w:val="34937526"/>
    <w:rsid w:val="34D021AC"/>
    <w:rsid w:val="34ED1500"/>
    <w:rsid w:val="34F764A5"/>
    <w:rsid w:val="35010A75"/>
    <w:rsid w:val="3509060F"/>
    <w:rsid w:val="35315961"/>
    <w:rsid w:val="353D4EA6"/>
    <w:rsid w:val="353D7B84"/>
    <w:rsid w:val="3541360E"/>
    <w:rsid w:val="354438F1"/>
    <w:rsid w:val="35583982"/>
    <w:rsid w:val="355A75C5"/>
    <w:rsid w:val="35624F71"/>
    <w:rsid w:val="35633FFF"/>
    <w:rsid w:val="356D6C4C"/>
    <w:rsid w:val="357A1911"/>
    <w:rsid w:val="35942A45"/>
    <w:rsid w:val="35B41F70"/>
    <w:rsid w:val="35B5028C"/>
    <w:rsid w:val="35C8084D"/>
    <w:rsid w:val="35CC5054"/>
    <w:rsid w:val="35DD5D72"/>
    <w:rsid w:val="35F278D4"/>
    <w:rsid w:val="36035720"/>
    <w:rsid w:val="36085E3D"/>
    <w:rsid w:val="360F3846"/>
    <w:rsid w:val="36147D7E"/>
    <w:rsid w:val="3632125C"/>
    <w:rsid w:val="36321A9D"/>
    <w:rsid w:val="36334D39"/>
    <w:rsid w:val="36356321"/>
    <w:rsid w:val="363B1CF1"/>
    <w:rsid w:val="363D0B35"/>
    <w:rsid w:val="365C5F8C"/>
    <w:rsid w:val="3664470D"/>
    <w:rsid w:val="36696401"/>
    <w:rsid w:val="366E08E7"/>
    <w:rsid w:val="366F1DCE"/>
    <w:rsid w:val="3676322C"/>
    <w:rsid w:val="368811A7"/>
    <w:rsid w:val="368D15B1"/>
    <w:rsid w:val="36A44AAC"/>
    <w:rsid w:val="36AF7B8C"/>
    <w:rsid w:val="36BB1A91"/>
    <w:rsid w:val="36BE37A8"/>
    <w:rsid w:val="36C43816"/>
    <w:rsid w:val="36C56E01"/>
    <w:rsid w:val="36C8349F"/>
    <w:rsid w:val="36D07867"/>
    <w:rsid w:val="36DF3AB4"/>
    <w:rsid w:val="36E115C0"/>
    <w:rsid w:val="36E54D8C"/>
    <w:rsid w:val="36EA45E4"/>
    <w:rsid w:val="36EA5E2D"/>
    <w:rsid w:val="36ED220F"/>
    <w:rsid w:val="36F13B3A"/>
    <w:rsid w:val="370E7B2D"/>
    <w:rsid w:val="37284525"/>
    <w:rsid w:val="372E44E9"/>
    <w:rsid w:val="3732408F"/>
    <w:rsid w:val="37326FAB"/>
    <w:rsid w:val="37341636"/>
    <w:rsid w:val="373C7550"/>
    <w:rsid w:val="374E50D4"/>
    <w:rsid w:val="37540A26"/>
    <w:rsid w:val="375D1E6E"/>
    <w:rsid w:val="37673734"/>
    <w:rsid w:val="37A01D42"/>
    <w:rsid w:val="37A44AF1"/>
    <w:rsid w:val="37B9761A"/>
    <w:rsid w:val="37BB0B1C"/>
    <w:rsid w:val="37C11A6E"/>
    <w:rsid w:val="37D02C45"/>
    <w:rsid w:val="37D325B4"/>
    <w:rsid w:val="37D446D1"/>
    <w:rsid w:val="37D517F5"/>
    <w:rsid w:val="37DC0EB3"/>
    <w:rsid w:val="37E74CF5"/>
    <w:rsid w:val="37EB5682"/>
    <w:rsid w:val="38077689"/>
    <w:rsid w:val="38082ECE"/>
    <w:rsid w:val="38087BDE"/>
    <w:rsid w:val="381E7FB5"/>
    <w:rsid w:val="38291ED2"/>
    <w:rsid w:val="382F5059"/>
    <w:rsid w:val="38337675"/>
    <w:rsid w:val="3843542A"/>
    <w:rsid w:val="386234C8"/>
    <w:rsid w:val="38684AF3"/>
    <w:rsid w:val="3869288C"/>
    <w:rsid w:val="386B58E8"/>
    <w:rsid w:val="38715858"/>
    <w:rsid w:val="3875018D"/>
    <w:rsid w:val="38815338"/>
    <w:rsid w:val="38A2325E"/>
    <w:rsid w:val="38A561BA"/>
    <w:rsid w:val="38B11DED"/>
    <w:rsid w:val="38BB4677"/>
    <w:rsid w:val="38D215BE"/>
    <w:rsid w:val="38DC243C"/>
    <w:rsid w:val="38DE3647"/>
    <w:rsid w:val="38E0213A"/>
    <w:rsid w:val="38E371D7"/>
    <w:rsid w:val="38F34FAD"/>
    <w:rsid w:val="3901055C"/>
    <w:rsid w:val="390B4165"/>
    <w:rsid w:val="390C5685"/>
    <w:rsid w:val="391772F9"/>
    <w:rsid w:val="39264E57"/>
    <w:rsid w:val="392719AE"/>
    <w:rsid w:val="392A708E"/>
    <w:rsid w:val="39344476"/>
    <w:rsid w:val="39436814"/>
    <w:rsid w:val="394B0FD5"/>
    <w:rsid w:val="39514DB0"/>
    <w:rsid w:val="3959473B"/>
    <w:rsid w:val="39635C08"/>
    <w:rsid w:val="39721A77"/>
    <w:rsid w:val="397B0098"/>
    <w:rsid w:val="397B61B3"/>
    <w:rsid w:val="398D7A19"/>
    <w:rsid w:val="399A363A"/>
    <w:rsid w:val="399E76E5"/>
    <w:rsid w:val="39AB0C57"/>
    <w:rsid w:val="39C07917"/>
    <w:rsid w:val="39CB25C4"/>
    <w:rsid w:val="39CC1FCC"/>
    <w:rsid w:val="39D16C84"/>
    <w:rsid w:val="39D75DC9"/>
    <w:rsid w:val="39E1498A"/>
    <w:rsid w:val="39E527FD"/>
    <w:rsid w:val="39E65D62"/>
    <w:rsid w:val="3A266CAD"/>
    <w:rsid w:val="3A40791E"/>
    <w:rsid w:val="3A4D00B2"/>
    <w:rsid w:val="3A5B7E70"/>
    <w:rsid w:val="3A7E3EEB"/>
    <w:rsid w:val="3AA233D9"/>
    <w:rsid w:val="3AA54FC5"/>
    <w:rsid w:val="3AAD4F64"/>
    <w:rsid w:val="3AAD638B"/>
    <w:rsid w:val="3AAE1648"/>
    <w:rsid w:val="3AC07EE6"/>
    <w:rsid w:val="3AC45692"/>
    <w:rsid w:val="3ACA088E"/>
    <w:rsid w:val="3ACA7508"/>
    <w:rsid w:val="3AD0727A"/>
    <w:rsid w:val="3AD46886"/>
    <w:rsid w:val="3AD631C1"/>
    <w:rsid w:val="3ADA7AFA"/>
    <w:rsid w:val="3AE90D28"/>
    <w:rsid w:val="3AF40CC7"/>
    <w:rsid w:val="3AF54A3E"/>
    <w:rsid w:val="3B0318F4"/>
    <w:rsid w:val="3B12134C"/>
    <w:rsid w:val="3B18568D"/>
    <w:rsid w:val="3B2339AA"/>
    <w:rsid w:val="3B255DA9"/>
    <w:rsid w:val="3B274246"/>
    <w:rsid w:val="3B2E14F0"/>
    <w:rsid w:val="3B2E65FC"/>
    <w:rsid w:val="3B370199"/>
    <w:rsid w:val="3B470946"/>
    <w:rsid w:val="3B542E14"/>
    <w:rsid w:val="3B5571A4"/>
    <w:rsid w:val="3B5747CC"/>
    <w:rsid w:val="3B5876BC"/>
    <w:rsid w:val="3B592D3D"/>
    <w:rsid w:val="3B631759"/>
    <w:rsid w:val="3B6515BB"/>
    <w:rsid w:val="3B675690"/>
    <w:rsid w:val="3B704D5E"/>
    <w:rsid w:val="3B7964A2"/>
    <w:rsid w:val="3B8771F1"/>
    <w:rsid w:val="3B9042B5"/>
    <w:rsid w:val="3B9E2855"/>
    <w:rsid w:val="3BA23E1D"/>
    <w:rsid w:val="3BAC43CB"/>
    <w:rsid w:val="3BBC4E15"/>
    <w:rsid w:val="3BC63CD4"/>
    <w:rsid w:val="3BE130CC"/>
    <w:rsid w:val="3BE4245C"/>
    <w:rsid w:val="3BF47EC4"/>
    <w:rsid w:val="3BF55635"/>
    <w:rsid w:val="3C011E2F"/>
    <w:rsid w:val="3C104C68"/>
    <w:rsid w:val="3C154A7E"/>
    <w:rsid w:val="3C3117ED"/>
    <w:rsid w:val="3C4E4E36"/>
    <w:rsid w:val="3C510BA4"/>
    <w:rsid w:val="3C52699E"/>
    <w:rsid w:val="3C6808CA"/>
    <w:rsid w:val="3C8134DF"/>
    <w:rsid w:val="3C822865"/>
    <w:rsid w:val="3C8578C5"/>
    <w:rsid w:val="3CA255D0"/>
    <w:rsid w:val="3CA74D51"/>
    <w:rsid w:val="3CB70AD5"/>
    <w:rsid w:val="3CDD1A11"/>
    <w:rsid w:val="3CDF57ED"/>
    <w:rsid w:val="3CE42D71"/>
    <w:rsid w:val="3D070255"/>
    <w:rsid w:val="3D081EF5"/>
    <w:rsid w:val="3D2767BE"/>
    <w:rsid w:val="3D3372C1"/>
    <w:rsid w:val="3D350D95"/>
    <w:rsid w:val="3D492140"/>
    <w:rsid w:val="3D504DD3"/>
    <w:rsid w:val="3D561EDF"/>
    <w:rsid w:val="3D784B8E"/>
    <w:rsid w:val="3D7B54E3"/>
    <w:rsid w:val="3D843D78"/>
    <w:rsid w:val="3D8B6045"/>
    <w:rsid w:val="3D8C65B0"/>
    <w:rsid w:val="3D9B71A8"/>
    <w:rsid w:val="3DA43931"/>
    <w:rsid w:val="3DBC4A78"/>
    <w:rsid w:val="3DC13D39"/>
    <w:rsid w:val="3DCA532D"/>
    <w:rsid w:val="3DD82BC0"/>
    <w:rsid w:val="3DDB3AA2"/>
    <w:rsid w:val="3DDD38D5"/>
    <w:rsid w:val="3DEB65EF"/>
    <w:rsid w:val="3DF670AA"/>
    <w:rsid w:val="3DF87D59"/>
    <w:rsid w:val="3E220ADD"/>
    <w:rsid w:val="3E370155"/>
    <w:rsid w:val="3E3C03E6"/>
    <w:rsid w:val="3E6F42F6"/>
    <w:rsid w:val="3E971C48"/>
    <w:rsid w:val="3E9F1DB5"/>
    <w:rsid w:val="3EBE1611"/>
    <w:rsid w:val="3ECF6C39"/>
    <w:rsid w:val="3ED03921"/>
    <w:rsid w:val="3EDF385E"/>
    <w:rsid w:val="3EEF33D1"/>
    <w:rsid w:val="3EF257C9"/>
    <w:rsid w:val="3F0F6BDD"/>
    <w:rsid w:val="3F302632"/>
    <w:rsid w:val="3F387F61"/>
    <w:rsid w:val="3F5841AB"/>
    <w:rsid w:val="3F5C7A64"/>
    <w:rsid w:val="3F6436B7"/>
    <w:rsid w:val="3F652F8E"/>
    <w:rsid w:val="3F671373"/>
    <w:rsid w:val="3F7007F7"/>
    <w:rsid w:val="3F815DC2"/>
    <w:rsid w:val="3F920B36"/>
    <w:rsid w:val="3F996000"/>
    <w:rsid w:val="3FB15300"/>
    <w:rsid w:val="3FBC5FD5"/>
    <w:rsid w:val="3FC64CCC"/>
    <w:rsid w:val="3FF06567"/>
    <w:rsid w:val="3FFD0E11"/>
    <w:rsid w:val="40086CAC"/>
    <w:rsid w:val="400B3674"/>
    <w:rsid w:val="40192F32"/>
    <w:rsid w:val="401B2238"/>
    <w:rsid w:val="402461D2"/>
    <w:rsid w:val="402A02AC"/>
    <w:rsid w:val="402F0649"/>
    <w:rsid w:val="40324D43"/>
    <w:rsid w:val="40332891"/>
    <w:rsid w:val="403D374D"/>
    <w:rsid w:val="404233BE"/>
    <w:rsid w:val="404D30D4"/>
    <w:rsid w:val="405A74E9"/>
    <w:rsid w:val="40760297"/>
    <w:rsid w:val="409E328F"/>
    <w:rsid w:val="40C96FC1"/>
    <w:rsid w:val="40CE720D"/>
    <w:rsid w:val="40D0140B"/>
    <w:rsid w:val="40E14257"/>
    <w:rsid w:val="40F274D3"/>
    <w:rsid w:val="40FB55C0"/>
    <w:rsid w:val="41104951"/>
    <w:rsid w:val="41127CBD"/>
    <w:rsid w:val="41235407"/>
    <w:rsid w:val="41261005"/>
    <w:rsid w:val="412B09FE"/>
    <w:rsid w:val="416C7A4C"/>
    <w:rsid w:val="417206E1"/>
    <w:rsid w:val="41840505"/>
    <w:rsid w:val="418C4844"/>
    <w:rsid w:val="419258A3"/>
    <w:rsid w:val="4199096C"/>
    <w:rsid w:val="41B90B6E"/>
    <w:rsid w:val="41C57C23"/>
    <w:rsid w:val="41D162BC"/>
    <w:rsid w:val="41E502D8"/>
    <w:rsid w:val="41E531A5"/>
    <w:rsid w:val="41FF4B7B"/>
    <w:rsid w:val="420B67C7"/>
    <w:rsid w:val="420E56F6"/>
    <w:rsid w:val="421B2AB4"/>
    <w:rsid w:val="4221736A"/>
    <w:rsid w:val="4236259B"/>
    <w:rsid w:val="42446A5A"/>
    <w:rsid w:val="425014CB"/>
    <w:rsid w:val="426D3895"/>
    <w:rsid w:val="42802E68"/>
    <w:rsid w:val="428925D2"/>
    <w:rsid w:val="428E34C5"/>
    <w:rsid w:val="42AA04A6"/>
    <w:rsid w:val="42BA1740"/>
    <w:rsid w:val="42C42949"/>
    <w:rsid w:val="42CE0254"/>
    <w:rsid w:val="42D4242E"/>
    <w:rsid w:val="42EF3971"/>
    <w:rsid w:val="430B3AC1"/>
    <w:rsid w:val="430B5C83"/>
    <w:rsid w:val="43131587"/>
    <w:rsid w:val="431E245E"/>
    <w:rsid w:val="431F6CFA"/>
    <w:rsid w:val="43222F22"/>
    <w:rsid w:val="43317757"/>
    <w:rsid w:val="43432A31"/>
    <w:rsid w:val="4343482F"/>
    <w:rsid w:val="434863B1"/>
    <w:rsid w:val="434D6866"/>
    <w:rsid w:val="4352623D"/>
    <w:rsid w:val="435B41FB"/>
    <w:rsid w:val="435F4A61"/>
    <w:rsid w:val="43672A72"/>
    <w:rsid w:val="436A1C53"/>
    <w:rsid w:val="436C3630"/>
    <w:rsid w:val="436F4F07"/>
    <w:rsid w:val="43860A70"/>
    <w:rsid w:val="438F6947"/>
    <w:rsid w:val="43AD2430"/>
    <w:rsid w:val="43AF0A5B"/>
    <w:rsid w:val="43BB2CAD"/>
    <w:rsid w:val="43C721CF"/>
    <w:rsid w:val="43D70968"/>
    <w:rsid w:val="43DB3F9C"/>
    <w:rsid w:val="43F25248"/>
    <w:rsid w:val="43FA020D"/>
    <w:rsid w:val="44070500"/>
    <w:rsid w:val="441A71CC"/>
    <w:rsid w:val="441B7499"/>
    <w:rsid w:val="442356CE"/>
    <w:rsid w:val="442704F8"/>
    <w:rsid w:val="44474D7E"/>
    <w:rsid w:val="4453753A"/>
    <w:rsid w:val="4456721D"/>
    <w:rsid w:val="44674A2F"/>
    <w:rsid w:val="447104E8"/>
    <w:rsid w:val="448E043F"/>
    <w:rsid w:val="44912634"/>
    <w:rsid w:val="449C5CA4"/>
    <w:rsid w:val="449F0538"/>
    <w:rsid w:val="44A111C4"/>
    <w:rsid w:val="44C76EC6"/>
    <w:rsid w:val="44CB44E4"/>
    <w:rsid w:val="44CC6571"/>
    <w:rsid w:val="44D07B23"/>
    <w:rsid w:val="44D92B3D"/>
    <w:rsid w:val="44DD6ACC"/>
    <w:rsid w:val="44FB7EBA"/>
    <w:rsid w:val="45192822"/>
    <w:rsid w:val="45481BD4"/>
    <w:rsid w:val="45577864"/>
    <w:rsid w:val="456443EF"/>
    <w:rsid w:val="459E55CC"/>
    <w:rsid w:val="45D104BF"/>
    <w:rsid w:val="45DF5D81"/>
    <w:rsid w:val="45E3031E"/>
    <w:rsid w:val="45E75A7E"/>
    <w:rsid w:val="45F40AFA"/>
    <w:rsid w:val="46061A80"/>
    <w:rsid w:val="46285506"/>
    <w:rsid w:val="462E7CFA"/>
    <w:rsid w:val="46305FDB"/>
    <w:rsid w:val="466F519F"/>
    <w:rsid w:val="46716FC0"/>
    <w:rsid w:val="46775233"/>
    <w:rsid w:val="46803974"/>
    <w:rsid w:val="46882528"/>
    <w:rsid w:val="469C1F91"/>
    <w:rsid w:val="46A533DF"/>
    <w:rsid w:val="46AC195E"/>
    <w:rsid w:val="46B821AC"/>
    <w:rsid w:val="46C13749"/>
    <w:rsid w:val="46D05D8C"/>
    <w:rsid w:val="46ED7B5F"/>
    <w:rsid w:val="47021B93"/>
    <w:rsid w:val="470C103A"/>
    <w:rsid w:val="470F0454"/>
    <w:rsid w:val="47145147"/>
    <w:rsid w:val="471E2302"/>
    <w:rsid w:val="4725155F"/>
    <w:rsid w:val="473E715E"/>
    <w:rsid w:val="473F21CF"/>
    <w:rsid w:val="47511C14"/>
    <w:rsid w:val="47514FA1"/>
    <w:rsid w:val="475342E6"/>
    <w:rsid w:val="47721148"/>
    <w:rsid w:val="47896DBC"/>
    <w:rsid w:val="47900453"/>
    <w:rsid w:val="479A3595"/>
    <w:rsid w:val="47A81431"/>
    <w:rsid w:val="47BF1486"/>
    <w:rsid w:val="47CD3DC1"/>
    <w:rsid w:val="47CE6659"/>
    <w:rsid w:val="47D33BD0"/>
    <w:rsid w:val="47D85013"/>
    <w:rsid w:val="47EB4B85"/>
    <w:rsid w:val="47F23318"/>
    <w:rsid w:val="47F80920"/>
    <w:rsid w:val="48072F06"/>
    <w:rsid w:val="480E0A86"/>
    <w:rsid w:val="48201016"/>
    <w:rsid w:val="48212CD4"/>
    <w:rsid w:val="4844535C"/>
    <w:rsid w:val="48552163"/>
    <w:rsid w:val="485E5789"/>
    <w:rsid w:val="4868338C"/>
    <w:rsid w:val="487533E9"/>
    <w:rsid w:val="487D4008"/>
    <w:rsid w:val="488251DD"/>
    <w:rsid w:val="489876CE"/>
    <w:rsid w:val="48CD44AF"/>
    <w:rsid w:val="48CE7B1F"/>
    <w:rsid w:val="48E80F27"/>
    <w:rsid w:val="48EA7BDA"/>
    <w:rsid w:val="48F238A3"/>
    <w:rsid w:val="490A7582"/>
    <w:rsid w:val="490D006F"/>
    <w:rsid w:val="49105DE5"/>
    <w:rsid w:val="49135481"/>
    <w:rsid w:val="49273722"/>
    <w:rsid w:val="493939E7"/>
    <w:rsid w:val="4940240F"/>
    <w:rsid w:val="49492E29"/>
    <w:rsid w:val="494A51C3"/>
    <w:rsid w:val="494D6A38"/>
    <w:rsid w:val="49576E27"/>
    <w:rsid w:val="496875FC"/>
    <w:rsid w:val="496B2062"/>
    <w:rsid w:val="496B7763"/>
    <w:rsid w:val="49764F55"/>
    <w:rsid w:val="497942BE"/>
    <w:rsid w:val="497B7923"/>
    <w:rsid w:val="49915E9F"/>
    <w:rsid w:val="49A42A8B"/>
    <w:rsid w:val="49DC0E58"/>
    <w:rsid w:val="49E30EAF"/>
    <w:rsid w:val="49F80EB6"/>
    <w:rsid w:val="4A0229FD"/>
    <w:rsid w:val="4A0924D7"/>
    <w:rsid w:val="4A2848EE"/>
    <w:rsid w:val="4A4539F8"/>
    <w:rsid w:val="4A564D31"/>
    <w:rsid w:val="4A57054A"/>
    <w:rsid w:val="4A653ECF"/>
    <w:rsid w:val="4A88539F"/>
    <w:rsid w:val="4A8C1BDE"/>
    <w:rsid w:val="4A977F42"/>
    <w:rsid w:val="4A9B2936"/>
    <w:rsid w:val="4AB1651C"/>
    <w:rsid w:val="4AC37095"/>
    <w:rsid w:val="4AC61F16"/>
    <w:rsid w:val="4AC857E2"/>
    <w:rsid w:val="4AD372B8"/>
    <w:rsid w:val="4AE51E15"/>
    <w:rsid w:val="4AEC6FC9"/>
    <w:rsid w:val="4AFD5D58"/>
    <w:rsid w:val="4B0813C0"/>
    <w:rsid w:val="4B124F29"/>
    <w:rsid w:val="4B1E2DD5"/>
    <w:rsid w:val="4B35225F"/>
    <w:rsid w:val="4B4F378B"/>
    <w:rsid w:val="4B5E6218"/>
    <w:rsid w:val="4B602580"/>
    <w:rsid w:val="4B6255FA"/>
    <w:rsid w:val="4B7356FA"/>
    <w:rsid w:val="4B7E4661"/>
    <w:rsid w:val="4B9251D7"/>
    <w:rsid w:val="4B95065D"/>
    <w:rsid w:val="4BA01507"/>
    <w:rsid w:val="4BA6725C"/>
    <w:rsid w:val="4BB85F6F"/>
    <w:rsid w:val="4BBE15D9"/>
    <w:rsid w:val="4BBE283B"/>
    <w:rsid w:val="4BCB3252"/>
    <w:rsid w:val="4BCF0A34"/>
    <w:rsid w:val="4BD81355"/>
    <w:rsid w:val="4BEE50F5"/>
    <w:rsid w:val="4C036541"/>
    <w:rsid w:val="4C134452"/>
    <w:rsid w:val="4C1836C7"/>
    <w:rsid w:val="4C2C62B0"/>
    <w:rsid w:val="4C39236E"/>
    <w:rsid w:val="4C492442"/>
    <w:rsid w:val="4C5328A3"/>
    <w:rsid w:val="4C597C68"/>
    <w:rsid w:val="4C641E7C"/>
    <w:rsid w:val="4C7317B1"/>
    <w:rsid w:val="4C766058"/>
    <w:rsid w:val="4C775E6B"/>
    <w:rsid w:val="4C7E0D13"/>
    <w:rsid w:val="4C861A70"/>
    <w:rsid w:val="4C8D5834"/>
    <w:rsid w:val="4C982C45"/>
    <w:rsid w:val="4CBE64E8"/>
    <w:rsid w:val="4CBF5DA4"/>
    <w:rsid w:val="4CCC1A81"/>
    <w:rsid w:val="4CD67F84"/>
    <w:rsid w:val="4CFA7F20"/>
    <w:rsid w:val="4CFC36F2"/>
    <w:rsid w:val="4D283FEF"/>
    <w:rsid w:val="4D3B5882"/>
    <w:rsid w:val="4D4669D8"/>
    <w:rsid w:val="4D5209CF"/>
    <w:rsid w:val="4D710D83"/>
    <w:rsid w:val="4D7F5DED"/>
    <w:rsid w:val="4D817BBB"/>
    <w:rsid w:val="4D8631FA"/>
    <w:rsid w:val="4D964B7A"/>
    <w:rsid w:val="4DA943BE"/>
    <w:rsid w:val="4DAA3C2D"/>
    <w:rsid w:val="4DC0387A"/>
    <w:rsid w:val="4DC40FB6"/>
    <w:rsid w:val="4DC52D06"/>
    <w:rsid w:val="4E036327"/>
    <w:rsid w:val="4E1635A6"/>
    <w:rsid w:val="4E1F5716"/>
    <w:rsid w:val="4E205145"/>
    <w:rsid w:val="4E2E5E2E"/>
    <w:rsid w:val="4E303FE5"/>
    <w:rsid w:val="4E356CE9"/>
    <w:rsid w:val="4E3E5F94"/>
    <w:rsid w:val="4E54245F"/>
    <w:rsid w:val="4E5A4901"/>
    <w:rsid w:val="4E5F2F46"/>
    <w:rsid w:val="4E6108D3"/>
    <w:rsid w:val="4E7531D0"/>
    <w:rsid w:val="4E783A44"/>
    <w:rsid w:val="4E8A61D5"/>
    <w:rsid w:val="4E995F9D"/>
    <w:rsid w:val="4EA22BBA"/>
    <w:rsid w:val="4EBE5542"/>
    <w:rsid w:val="4EC4556A"/>
    <w:rsid w:val="4ECF191A"/>
    <w:rsid w:val="4ED10821"/>
    <w:rsid w:val="4EEE3B69"/>
    <w:rsid w:val="4F005E32"/>
    <w:rsid w:val="4F0E76D0"/>
    <w:rsid w:val="4F1A2862"/>
    <w:rsid w:val="4F1A76A7"/>
    <w:rsid w:val="4F246E25"/>
    <w:rsid w:val="4F326020"/>
    <w:rsid w:val="4F3B4477"/>
    <w:rsid w:val="4F4208FB"/>
    <w:rsid w:val="4F533F22"/>
    <w:rsid w:val="4F535D2F"/>
    <w:rsid w:val="4F6111E9"/>
    <w:rsid w:val="4F696B79"/>
    <w:rsid w:val="4F6C6D89"/>
    <w:rsid w:val="4F6E0A59"/>
    <w:rsid w:val="4F6F3884"/>
    <w:rsid w:val="4F7C7A30"/>
    <w:rsid w:val="4F8161C6"/>
    <w:rsid w:val="4F825592"/>
    <w:rsid w:val="4FAF398E"/>
    <w:rsid w:val="4FB72264"/>
    <w:rsid w:val="4FBA50E3"/>
    <w:rsid w:val="4FC21B18"/>
    <w:rsid w:val="4FCC0986"/>
    <w:rsid w:val="4FCE72B3"/>
    <w:rsid w:val="4FD15EEE"/>
    <w:rsid w:val="4FD771C4"/>
    <w:rsid w:val="50046583"/>
    <w:rsid w:val="500B7F97"/>
    <w:rsid w:val="500E7C92"/>
    <w:rsid w:val="5026432D"/>
    <w:rsid w:val="5041489A"/>
    <w:rsid w:val="504D77B1"/>
    <w:rsid w:val="50644BD1"/>
    <w:rsid w:val="50666040"/>
    <w:rsid w:val="50735A71"/>
    <w:rsid w:val="507A7CA7"/>
    <w:rsid w:val="50901E5D"/>
    <w:rsid w:val="50A02C0C"/>
    <w:rsid w:val="50A54F2F"/>
    <w:rsid w:val="50B82D42"/>
    <w:rsid w:val="50BD3518"/>
    <w:rsid w:val="50EC197D"/>
    <w:rsid w:val="50F736D5"/>
    <w:rsid w:val="510B30CC"/>
    <w:rsid w:val="511771F8"/>
    <w:rsid w:val="51277BFA"/>
    <w:rsid w:val="512C1EB6"/>
    <w:rsid w:val="514954BF"/>
    <w:rsid w:val="514C1487"/>
    <w:rsid w:val="514D43CE"/>
    <w:rsid w:val="515C1CF7"/>
    <w:rsid w:val="51703292"/>
    <w:rsid w:val="51735BA5"/>
    <w:rsid w:val="51763A48"/>
    <w:rsid w:val="517F611B"/>
    <w:rsid w:val="5181703A"/>
    <w:rsid w:val="51A81714"/>
    <w:rsid w:val="51B941D0"/>
    <w:rsid w:val="51C2401F"/>
    <w:rsid w:val="51DD275B"/>
    <w:rsid w:val="51DF1DE4"/>
    <w:rsid w:val="51F1506E"/>
    <w:rsid w:val="51FD7B38"/>
    <w:rsid w:val="520233B6"/>
    <w:rsid w:val="520A7ED4"/>
    <w:rsid w:val="521D1D01"/>
    <w:rsid w:val="52281DAD"/>
    <w:rsid w:val="52464DBF"/>
    <w:rsid w:val="524E5192"/>
    <w:rsid w:val="52583898"/>
    <w:rsid w:val="526B1F23"/>
    <w:rsid w:val="526E249D"/>
    <w:rsid w:val="527A5EB0"/>
    <w:rsid w:val="527C5F74"/>
    <w:rsid w:val="527E39DD"/>
    <w:rsid w:val="5282788E"/>
    <w:rsid w:val="52955BC6"/>
    <w:rsid w:val="52966870"/>
    <w:rsid w:val="529F3185"/>
    <w:rsid w:val="52A40C61"/>
    <w:rsid w:val="52A51A94"/>
    <w:rsid w:val="52AD2D05"/>
    <w:rsid w:val="52B57043"/>
    <w:rsid w:val="52B724FF"/>
    <w:rsid w:val="52C149B6"/>
    <w:rsid w:val="52D67F8C"/>
    <w:rsid w:val="52D85BE3"/>
    <w:rsid w:val="52DD4E0A"/>
    <w:rsid w:val="52DF5BA9"/>
    <w:rsid w:val="52E07F3D"/>
    <w:rsid w:val="52FD0418"/>
    <w:rsid w:val="531E7165"/>
    <w:rsid w:val="53202E2B"/>
    <w:rsid w:val="53216C66"/>
    <w:rsid w:val="5345782D"/>
    <w:rsid w:val="53491A70"/>
    <w:rsid w:val="535D3714"/>
    <w:rsid w:val="535E6610"/>
    <w:rsid w:val="535E6C51"/>
    <w:rsid w:val="53683AAF"/>
    <w:rsid w:val="53690694"/>
    <w:rsid w:val="536A39B3"/>
    <w:rsid w:val="53701132"/>
    <w:rsid w:val="53705EA4"/>
    <w:rsid w:val="537B7181"/>
    <w:rsid w:val="53980B31"/>
    <w:rsid w:val="53AB2E62"/>
    <w:rsid w:val="53AC1FC2"/>
    <w:rsid w:val="53BC1915"/>
    <w:rsid w:val="53BE5B33"/>
    <w:rsid w:val="53CB28A1"/>
    <w:rsid w:val="53DB690B"/>
    <w:rsid w:val="53E069AA"/>
    <w:rsid w:val="53E14F0A"/>
    <w:rsid w:val="53E17875"/>
    <w:rsid w:val="53E87501"/>
    <w:rsid w:val="53EB58DB"/>
    <w:rsid w:val="53F746E6"/>
    <w:rsid w:val="53FE0838"/>
    <w:rsid w:val="53FE41F1"/>
    <w:rsid w:val="5403454E"/>
    <w:rsid w:val="540864A9"/>
    <w:rsid w:val="540B3DE5"/>
    <w:rsid w:val="542E05CF"/>
    <w:rsid w:val="545B5348"/>
    <w:rsid w:val="545F47E5"/>
    <w:rsid w:val="54603098"/>
    <w:rsid w:val="54690402"/>
    <w:rsid w:val="54694006"/>
    <w:rsid w:val="546B3311"/>
    <w:rsid w:val="5480065A"/>
    <w:rsid w:val="548007B2"/>
    <w:rsid w:val="548E4E73"/>
    <w:rsid w:val="54B0211D"/>
    <w:rsid w:val="54B4231C"/>
    <w:rsid w:val="54D16FC5"/>
    <w:rsid w:val="54D21AB6"/>
    <w:rsid w:val="54D25037"/>
    <w:rsid w:val="54D37322"/>
    <w:rsid w:val="54DB61D8"/>
    <w:rsid w:val="54E1565C"/>
    <w:rsid w:val="54EF6D18"/>
    <w:rsid w:val="54F977A3"/>
    <w:rsid w:val="54FC6D57"/>
    <w:rsid w:val="55131952"/>
    <w:rsid w:val="55205A94"/>
    <w:rsid w:val="554040D3"/>
    <w:rsid w:val="5546537A"/>
    <w:rsid w:val="554A421D"/>
    <w:rsid w:val="5551073D"/>
    <w:rsid w:val="55521012"/>
    <w:rsid w:val="555421D5"/>
    <w:rsid w:val="55574015"/>
    <w:rsid w:val="556A00CE"/>
    <w:rsid w:val="556F38AF"/>
    <w:rsid w:val="556F44CB"/>
    <w:rsid w:val="557B3369"/>
    <w:rsid w:val="557B3EE4"/>
    <w:rsid w:val="55816E3A"/>
    <w:rsid w:val="55B372AD"/>
    <w:rsid w:val="55B47632"/>
    <w:rsid w:val="55B87026"/>
    <w:rsid w:val="55C52534"/>
    <w:rsid w:val="55D06BF5"/>
    <w:rsid w:val="55D23E45"/>
    <w:rsid w:val="55E21317"/>
    <w:rsid w:val="55F45D9F"/>
    <w:rsid w:val="55F9711D"/>
    <w:rsid w:val="56054BA0"/>
    <w:rsid w:val="56127A8B"/>
    <w:rsid w:val="56162888"/>
    <w:rsid w:val="561F57A2"/>
    <w:rsid w:val="562F01DB"/>
    <w:rsid w:val="5646546F"/>
    <w:rsid w:val="5670446D"/>
    <w:rsid w:val="568842FD"/>
    <w:rsid w:val="56A652FC"/>
    <w:rsid w:val="56B828E1"/>
    <w:rsid w:val="56BF0811"/>
    <w:rsid w:val="56D15AA2"/>
    <w:rsid w:val="56D540F3"/>
    <w:rsid w:val="56D73D03"/>
    <w:rsid w:val="56DE7872"/>
    <w:rsid w:val="56FB1BDC"/>
    <w:rsid w:val="5702577E"/>
    <w:rsid w:val="57043FDA"/>
    <w:rsid w:val="570F71D8"/>
    <w:rsid w:val="571E0EA2"/>
    <w:rsid w:val="57214122"/>
    <w:rsid w:val="574F7B77"/>
    <w:rsid w:val="57554E33"/>
    <w:rsid w:val="57663CEE"/>
    <w:rsid w:val="57685FB4"/>
    <w:rsid w:val="5769768C"/>
    <w:rsid w:val="576F53C3"/>
    <w:rsid w:val="578406AE"/>
    <w:rsid w:val="57942851"/>
    <w:rsid w:val="57B16232"/>
    <w:rsid w:val="57B47590"/>
    <w:rsid w:val="57C149F7"/>
    <w:rsid w:val="57C17A25"/>
    <w:rsid w:val="57D05277"/>
    <w:rsid w:val="57FC0E65"/>
    <w:rsid w:val="58063BB9"/>
    <w:rsid w:val="5811153F"/>
    <w:rsid w:val="58173BFE"/>
    <w:rsid w:val="58286801"/>
    <w:rsid w:val="583E7137"/>
    <w:rsid w:val="585F3B79"/>
    <w:rsid w:val="58681255"/>
    <w:rsid w:val="58695DFB"/>
    <w:rsid w:val="58733547"/>
    <w:rsid w:val="58806FC7"/>
    <w:rsid w:val="58A31200"/>
    <w:rsid w:val="58A5207F"/>
    <w:rsid w:val="58B4353F"/>
    <w:rsid w:val="58B62B49"/>
    <w:rsid w:val="58C44727"/>
    <w:rsid w:val="58D906C6"/>
    <w:rsid w:val="58F52324"/>
    <w:rsid w:val="590404F0"/>
    <w:rsid w:val="590E0FFF"/>
    <w:rsid w:val="59102606"/>
    <w:rsid w:val="591B70F2"/>
    <w:rsid w:val="592226AC"/>
    <w:rsid w:val="593026DF"/>
    <w:rsid w:val="5952398F"/>
    <w:rsid w:val="595F040E"/>
    <w:rsid w:val="5961200B"/>
    <w:rsid w:val="596825BC"/>
    <w:rsid w:val="596A08F7"/>
    <w:rsid w:val="59994E0C"/>
    <w:rsid w:val="59B102A9"/>
    <w:rsid w:val="59C32839"/>
    <w:rsid w:val="59C33D87"/>
    <w:rsid w:val="59C557ED"/>
    <w:rsid w:val="59D85604"/>
    <w:rsid w:val="59DE6260"/>
    <w:rsid w:val="59E57261"/>
    <w:rsid w:val="5A04080C"/>
    <w:rsid w:val="5A117A7F"/>
    <w:rsid w:val="5A2B3AB7"/>
    <w:rsid w:val="5A5440D5"/>
    <w:rsid w:val="5A56373E"/>
    <w:rsid w:val="5A593637"/>
    <w:rsid w:val="5A704A19"/>
    <w:rsid w:val="5A777CC3"/>
    <w:rsid w:val="5A7F1E3F"/>
    <w:rsid w:val="5A8A3CB9"/>
    <w:rsid w:val="5A933B72"/>
    <w:rsid w:val="5A955AD7"/>
    <w:rsid w:val="5A991749"/>
    <w:rsid w:val="5AAD28AC"/>
    <w:rsid w:val="5AB33273"/>
    <w:rsid w:val="5ACF277C"/>
    <w:rsid w:val="5AD51ABF"/>
    <w:rsid w:val="5AE62CCB"/>
    <w:rsid w:val="5AEA7C0A"/>
    <w:rsid w:val="5AF55739"/>
    <w:rsid w:val="5AFD0256"/>
    <w:rsid w:val="5AFF1753"/>
    <w:rsid w:val="5B0A3464"/>
    <w:rsid w:val="5B162ADD"/>
    <w:rsid w:val="5B2E624D"/>
    <w:rsid w:val="5B4E72FB"/>
    <w:rsid w:val="5B8E7034"/>
    <w:rsid w:val="5B9F59A1"/>
    <w:rsid w:val="5BAA6E32"/>
    <w:rsid w:val="5BB43B8D"/>
    <w:rsid w:val="5BB60E12"/>
    <w:rsid w:val="5BBA2BEA"/>
    <w:rsid w:val="5BCF7B32"/>
    <w:rsid w:val="5BD31C93"/>
    <w:rsid w:val="5BD75BAE"/>
    <w:rsid w:val="5BD9700B"/>
    <w:rsid w:val="5BDA578E"/>
    <w:rsid w:val="5BE528E6"/>
    <w:rsid w:val="5BF72634"/>
    <w:rsid w:val="5C0068E1"/>
    <w:rsid w:val="5C1907B6"/>
    <w:rsid w:val="5C3A19DF"/>
    <w:rsid w:val="5C5B37A6"/>
    <w:rsid w:val="5C67393A"/>
    <w:rsid w:val="5C694286"/>
    <w:rsid w:val="5C7B77D2"/>
    <w:rsid w:val="5C8C36EF"/>
    <w:rsid w:val="5C8E2E0C"/>
    <w:rsid w:val="5CA82EA1"/>
    <w:rsid w:val="5CAD5371"/>
    <w:rsid w:val="5CB213C6"/>
    <w:rsid w:val="5CBA4EB2"/>
    <w:rsid w:val="5CC02298"/>
    <w:rsid w:val="5CDC5C34"/>
    <w:rsid w:val="5CEB31EC"/>
    <w:rsid w:val="5CED19E4"/>
    <w:rsid w:val="5CF448DA"/>
    <w:rsid w:val="5CF633B6"/>
    <w:rsid w:val="5D033021"/>
    <w:rsid w:val="5D0A0F52"/>
    <w:rsid w:val="5D0B7A95"/>
    <w:rsid w:val="5D200D52"/>
    <w:rsid w:val="5D202B3D"/>
    <w:rsid w:val="5D5F50A7"/>
    <w:rsid w:val="5D6917CD"/>
    <w:rsid w:val="5D6E1E63"/>
    <w:rsid w:val="5D7A46B0"/>
    <w:rsid w:val="5D856E4D"/>
    <w:rsid w:val="5DB04530"/>
    <w:rsid w:val="5DC049C9"/>
    <w:rsid w:val="5DCA6137"/>
    <w:rsid w:val="5DCB6DDD"/>
    <w:rsid w:val="5DDE6F7D"/>
    <w:rsid w:val="5DF157EA"/>
    <w:rsid w:val="5DF206FB"/>
    <w:rsid w:val="5DF233B1"/>
    <w:rsid w:val="5E07202D"/>
    <w:rsid w:val="5E236E44"/>
    <w:rsid w:val="5E441937"/>
    <w:rsid w:val="5E462952"/>
    <w:rsid w:val="5E496996"/>
    <w:rsid w:val="5E506AB9"/>
    <w:rsid w:val="5E5A2188"/>
    <w:rsid w:val="5E625A89"/>
    <w:rsid w:val="5E6A4E8C"/>
    <w:rsid w:val="5E6C74B7"/>
    <w:rsid w:val="5E721B02"/>
    <w:rsid w:val="5E883185"/>
    <w:rsid w:val="5E952144"/>
    <w:rsid w:val="5E9A0C09"/>
    <w:rsid w:val="5EA616E9"/>
    <w:rsid w:val="5EAC01A8"/>
    <w:rsid w:val="5EBD6DC8"/>
    <w:rsid w:val="5EC030C3"/>
    <w:rsid w:val="5EC66090"/>
    <w:rsid w:val="5F016721"/>
    <w:rsid w:val="5F0473D1"/>
    <w:rsid w:val="5F2314C4"/>
    <w:rsid w:val="5F4C71C7"/>
    <w:rsid w:val="5F52550D"/>
    <w:rsid w:val="5F5D4C1E"/>
    <w:rsid w:val="5F776AC9"/>
    <w:rsid w:val="5F8078FD"/>
    <w:rsid w:val="5F93075F"/>
    <w:rsid w:val="5F9F2CB9"/>
    <w:rsid w:val="5FC47F77"/>
    <w:rsid w:val="5FC62DAE"/>
    <w:rsid w:val="5FCE38E5"/>
    <w:rsid w:val="5FCE419F"/>
    <w:rsid w:val="5FD21935"/>
    <w:rsid w:val="5FEA47F4"/>
    <w:rsid w:val="5FF4739D"/>
    <w:rsid w:val="5FF6327C"/>
    <w:rsid w:val="60024DB3"/>
    <w:rsid w:val="60213331"/>
    <w:rsid w:val="60230515"/>
    <w:rsid w:val="602D0882"/>
    <w:rsid w:val="603D5629"/>
    <w:rsid w:val="605D051E"/>
    <w:rsid w:val="606019A2"/>
    <w:rsid w:val="60644BE3"/>
    <w:rsid w:val="607872C5"/>
    <w:rsid w:val="608463ED"/>
    <w:rsid w:val="60855A19"/>
    <w:rsid w:val="609614A2"/>
    <w:rsid w:val="6099119A"/>
    <w:rsid w:val="609E3B11"/>
    <w:rsid w:val="60A166E3"/>
    <w:rsid w:val="60A33772"/>
    <w:rsid w:val="60AC703E"/>
    <w:rsid w:val="60B11982"/>
    <w:rsid w:val="60DD5848"/>
    <w:rsid w:val="60E1145D"/>
    <w:rsid w:val="60E33BED"/>
    <w:rsid w:val="60F01403"/>
    <w:rsid w:val="60F277A7"/>
    <w:rsid w:val="60FB5343"/>
    <w:rsid w:val="60FB64A3"/>
    <w:rsid w:val="610A3620"/>
    <w:rsid w:val="6112557E"/>
    <w:rsid w:val="611E059C"/>
    <w:rsid w:val="61385200"/>
    <w:rsid w:val="613D3EB0"/>
    <w:rsid w:val="615F2067"/>
    <w:rsid w:val="617E523D"/>
    <w:rsid w:val="618833F2"/>
    <w:rsid w:val="619E250E"/>
    <w:rsid w:val="619F26C9"/>
    <w:rsid w:val="61AA3CC3"/>
    <w:rsid w:val="61BB195C"/>
    <w:rsid w:val="61C3702A"/>
    <w:rsid w:val="61C7433F"/>
    <w:rsid w:val="61D1548C"/>
    <w:rsid w:val="61DA3DE5"/>
    <w:rsid w:val="61E96214"/>
    <w:rsid w:val="61FD3C68"/>
    <w:rsid w:val="6200658F"/>
    <w:rsid w:val="622F4576"/>
    <w:rsid w:val="62326284"/>
    <w:rsid w:val="623D7B69"/>
    <w:rsid w:val="624660BB"/>
    <w:rsid w:val="62564591"/>
    <w:rsid w:val="62601EBE"/>
    <w:rsid w:val="62941E83"/>
    <w:rsid w:val="629F2334"/>
    <w:rsid w:val="62AA3FB7"/>
    <w:rsid w:val="62AF0A98"/>
    <w:rsid w:val="62BB6C55"/>
    <w:rsid w:val="62D00BA8"/>
    <w:rsid w:val="62E5475F"/>
    <w:rsid w:val="62F614A8"/>
    <w:rsid w:val="62FF5788"/>
    <w:rsid w:val="63096493"/>
    <w:rsid w:val="631164C6"/>
    <w:rsid w:val="631B647F"/>
    <w:rsid w:val="63207C6D"/>
    <w:rsid w:val="632C24F2"/>
    <w:rsid w:val="634A7AED"/>
    <w:rsid w:val="635A5483"/>
    <w:rsid w:val="63610F63"/>
    <w:rsid w:val="637A0BD6"/>
    <w:rsid w:val="63800DEA"/>
    <w:rsid w:val="638B1A44"/>
    <w:rsid w:val="6391430B"/>
    <w:rsid w:val="63917188"/>
    <w:rsid w:val="63B37FBE"/>
    <w:rsid w:val="63B410DB"/>
    <w:rsid w:val="63B474CB"/>
    <w:rsid w:val="63B55721"/>
    <w:rsid w:val="63CA08A0"/>
    <w:rsid w:val="63EF3A00"/>
    <w:rsid w:val="63F92DD6"/>
    <w:rsid w:val="6400119C"/>
    <w:rsid w:val="64023DED"/>
    <w:rsid w:val="640405BE"/>
    <w:rsid w:val="64174A37"/>
    <w:rsid w:val="641E53BF"/>
    <w:rsid w:val="64203778"/>
    <w:rsid w:val="6424663C"/>
    <w:rsid w:val="6428722D"/>
    <w:rsid w:val="64316810"/>
    <w:rsid w:val="64374664"/>
    <w:rsid w:val="64484B27"/>
    <w:rsid w:val="64562DD1"/>
    <w:rsid w:val="6467295F"/>
    <w:rsid w:val="646B673D"/>
    <w:rsid w:val="648B7F0C"/>
    <w:rsid w:val="648C29D6"/>
    <w:rsid w:val="64B43454"/>
    <w:rsid w:val="64BB155A"/>
    <w:rsid w:val="64E9106D"/>
    <w:rsid w:val="650B07AA"/>
    <w:rsid w:val="650E677E"/>
    <w:rsid w:val="65135981"/>
    <w:rsid w:val="651F4E13"/>
    <w:rsid w:val="65214371"/>
    <w:rsid w:val="652273EE"/>
    <w:rsid w:val="65385717"/>
    <w:rsid w:val="65425904"/>
    <w:rsid w:val="658A7D36"/>
    <w:rsid w:val="658D380A"/>
    <w:rsid w:val="65B65778"/>
    <w:rsid w:val="65CE27BE"/>
    <w:rsid w:val="65D41D41"/>
    <w:rsid w:val="65DF01D1"/>
    <w:rsid w:val="65E25D4D"/>
    <w:rsid w:val="65E32126"/>
    <w:rsid w:val="65EF7488"/>
    <w:rsid w:val="66037090"/>
    <w:rsid w:val="66046192"/>
    <w:rsid w:val="661A0B2B"/>
    <w:rsid w:val="663C6D1C"/>
    <w:rsid w:val="665A4A8D"/>
    <w:rsid w:val="666B322E"/>
    <w:rsid w:val="668F467F"/>
    <w:rsid w:val="669759AB"/>
    <w:rsid w:val="66AC7C1D"/>
    <w:rsid w:val="66CC2558"/>
    <w:rsid w:val="66D10027"/>
    <w:rsid w:val="66EA01F9"/>
    <w:rsid w:val="66F03981"/>
    <w:rsid w:val="670566DB"/>
    <w:rsid w:val="67135D9E"/>
    <w:rsid w:val="671D77BF"/>
    <w:rsid w:val="6723113B"/>
    <w:rsid w:val="672333A2"/>
    <w:rsid w:val="672A0D8D"/>
    <w:rsid w:val="67332C1F"/>
    <w:rsid w:val="67381AEC"/>
    <w:rsid w:val="67551EB3"/>
    <w:rsid w:val="675B0D69"/>
    <w:rsid w:val="675E7BFC"/>
    <w:rsid w:val="67647D8C"/>
    <w:rsid w:val="678D248F"/>
    <w:rsid w:val="679D65CC"/>
    <w:rsid w:val="67A16729"/>
    <w:rsid w:val="67A86D3E"/>
    <w:rsid w:val="67CB7E23"/>
    <w:rsid w:val="67D31F7A"/>
    <w:rsid w:val="67D32109"/>
    <w:rsid w:val="67D64E10"/>
    <w:rsid w:val="67E822A4"/>
    <w:rsid w:val="67ED64EF"/>
    <w:rsid w:val="67F041A5"/>
    <w:rsid w:val="67F070FC"/>
    <w:rsid w:val="67F54750"/>
    <w:rsid w:val="68004935"/>
    <w:rsid w:val="680510C3"/>
    <w:rsid w:val="68276079"/>
    <w:rsid w:val="68525315"/>
    <w:rsid w:val="685A4E7D"/>
    <w:rsid w:val="68742ACC"/>
    <w:rsid w:val="687B02A4"/>
    <w:rsid w:val="6886429F"/>
    <w:rsid w:val="688F77CF"/>
    <w:rsid w:val="68A3467D"/>
    <w:rsid w:val="68D52803"/>
    <w:rsid w:val="68D531D8"/>
    <w:rsid w:val="68DE7DA7"/>
    <w:rsid w:val="68E328DD"/>
    <w:rsid w:val="68F875EB"/>
    <w:rsid w:val="68FA2097"/>
    <w:rsid w:val="69070D31"/>
    <w:rsid w:val="690B470B"/>
    <w:rsid w:val="692344C7"/>
    <w:rsid w:val="6925710E"/>
    <w:rsid w:val="69293182"/>
    <w:rsid w:val="692E7E56"/>
    <w:rsid w:val="69506469"/>
    <w:rsid w:val="695C54F8"/>
    <w:rsid w:val="698A38F3"/>
    <w:rsid w:val="69991716"/>
    <w:rsid w:val="69A16932"/>
    <w:rsid w:val="69C6408B"/>
    <w:rsid w:val="6A090593"/>
    <w:rsid w:val="6A0F1751"/>
    <w:rsid w:val="6A1574D9"/>
    <w:rsid w:val="6A1B6AFD"/>
    <w:rsid w:val="6A271099"/>
    <w:rsid w:val="6A2E77F6"/>
    <w:rsid w:val="6A384C3D"/>
    <w:rsid w:val="6A3B3484"/>
    <w:rsid w:val="6A5030DD"/>
    <w:rsid w:val="6A525F3C"/>
    <w:rsid w:val="6A817051"/>
    <w:rsid w:val="6A8D25F1"/>
    <w:rsid w:val="6A967344"/>
    <w:rsid w:val="6A9F5521"/>
    <w:rsid w:val="6AA31FF6"/>
    <w:rsid w:val="6AAD2D8F"/>
    <w:rsid w:val="6AB302F9"/>
    <w:rsid w:val="6ACC1264"/>
    <w:rsid w:val="6AF101D6"/>
    <w:rsid w:val="6AF160FE"/>
    <w:rsid w:val="6AFB38EF"/>
    <w:rsid w:val="6B0226CD"/>
    <w:rsid w:val="6B0566E8"/>
    <w:rsid w:val="6B1A7C2A"/>
    <w:rsid w:val="6B25219A"/>
    <w:rsid w:val="6B29029A"/>
    <w:rsid w:val="6B2F7F0E"/>
    <w:rsid w:val="6B3742FD"/>
    <w:rsid w:val="6B3C3460"/>
    <w:rsid w:val="6B6143CA"/>
    <w:rsid w:val="6B6323A4"/>
    <w:rsid w:val="6B6E5043"/>
    <w:rsid w:val="6B792488"/>
    <w:rsid w:val="6B7B1A53"/>
    <w:rsid w:val="6B831E27"/>
    <w:rsid w:val="6B87237C"/>
    <w:rsid w:val="6B927B9A"/>
    <w:rsid w:val="6B9F2911"/>
    <w:rsid w:val="6B9F59C3"/>
    <w:rsid w:val="6BA94EFA"/>
    <w:rsid w:val="6BB33F61"/>
    <w:rsid w:val="6BB878D2"/>
    <w:rsid w:val="6BBF4FCD"/>
    <w:rsid w:val="6BC35246"/>
    <w:rsid w:val="6BC53EA2"/>
    <w:rsid w:val="6BC638B7"/>
    <w:rsid w:val="6BD1751D"/>
    <w:rsid w:val="6BDE3940"/>
    <w:rsid w:val="6BE20E27"/>
    <w:rsid w:val="6BE4244B"/>
    <w:rsid w:val="6BEA6DB2"/>
    <w:rsid w:val="6BF93052"/>
    <w:rsid w:val="6BFE3767"/>
    <w:rsid w:val="6C056194"/>
    <w:rsid w:val="6C0569A8"/>
    <w:rsid w:val="6C063714"/>
    <w:rsid w:val="6C080549"/>
    <w:rsid w:val="6C0F4097"/>
    <w:rsid w:val="6C2C1095"/>
    <w:rsid w:val="6C2E3B74"/>
    <w:rsid w:val="6C333745"/>
    <w:rsid w:val="6C3B1DCD"/>
    <w:rsid w:val="6C48562C"/>
    <w:rsid w:val="6C654008"/>
    <w:rsid w:val="6C75567D"/>
    <w:rsid w:val="6C8D6078"/>
    <w:rsid w:val="6C8E4193"/>
    <w:rsid w:val="6C9707FC"/>
    <w:rsid w:val="6C9D1C55"/>
    <w:rsid w:val="6C9F1D24"/>
    <w:rsid w:val="6C9F6875"/>
    <w:rsid w:val="6CA37327"/>
    <w:rsid w:val="6CAC1FB0"/>
    <w:rsid w:val="6CB0115C"/>
    <w:rsid w:val="6CBC3D21"/>
    <w:rsid w:val="6CC319D4"/>
    <w:rsid w:val="6CCB61E2"/>
    <w:rsid w:val="6CCF5429"/>
    <w:rsid w:val="6CD311BD"/>
    <w:rsid w:val="6CD609FB"/>
    <w:rsid w:val="6CEA5637"/>
    <w:rsid w:val="6CF56224"/>
    <w:rsid w:val="6CF70683"/>
    <w:rsid w:val="6CFA2FF6"/>
    <w:rsid w:val="6D00369F"/>
    <w:rsid w:val="6D25560F"/>
    <w:rsid w:val="6D3200BD"/>
    <w:rsid w:val="6D380CE0"/>
    <w:rsid w:val="6D5105D7"/>
    <w:rsid w:val="6D545CF8"/>
    <w:rsid w:val="6D5C3775"/>
    <w:rsid w:val="6D6B1375"/>
    <w:rsid w:val="6D707A67"/>
    <w:rsid w:val="6D752DC4"/>
    <w:rsid w:val="6D872310"/>
    <w:rsid w:val="6D8A4CBC"/>
    <w:rsid w:val="6D982F34"/>
    <w:rsid w:val="6DA768D8"/>
    <w:rsid w:val="6DB10EEA"/>
    <w:rsid w:val="6DB94208"/>
    <w:rsid w:val="6DC5611D"/>
    <w:rsid w:val="6DD6770B"/>
    <w:rsid w:val="6DE11254"/>
    <w:rsid w:val="6DEC4E88"/>
    <w:rsid w:val="6E1C558D"/>
    <w:rsid w:val="6E1D023E"/>
    <w:rsid w:val="6E3B09D1"/>
    <w:rsid w:val="6E3F1D09"/>
    <w:rsid w:val="6E445AB2"/>
    <w:rsid w:val="6E4D417B"/>
    <w:rsid w:val="6E4F5478"/>
    <w:rsid w:val="6E6617C0"/>
    <w:rsid w:val="6E680685"/>
    <w:rsid w:val="6E7E6C44"/>
    <w:rsid w:val="6E883BA9"/>
    <w:rsid w:val="6EB25564"/>
    <w:rsid w:val="6EB335DF"/>
    <w:rsid w:val="6ECB405A"/>
    <w:rsid w:val="6ED2036B"/>
    <w:rsid w:val="6ED84B1E"/>
    <w:rsid w:val="6EDC58E1"/>
    <w:rsid w:val="6EE238CB"/>
    <w:rsid w:val="6EF22038"/>
    <w:rsid w:val="6EFA6166"/>
    <w:rsid w:val="6F0F5E15"/>
    <w:rsid w:val="6F264C01"/>
    <w:rsid w:val="6F383015"/>
    <w:rsid w:val="6F503AA4"/>
    <w:rsid w:val="6F51777A"/>
    <w:rsid w:val="6F542E66"/>
    <w:rsid w:val="6F69086A"/>
    <w:rsid w:val="6F740825"/>
    <w:rsid w:val="6F771D30"/>
    <w:rsid w:val="6F8D61D6"/>
    <w:rsid w:val="6F924B75"/>
    <w:rsid w:val="6F997BEB"/>
    <w:rsid w:val="6FA1774E"/>
    <w:rsid w:val="6FBA20C4"/>
    <w:rsid w:val="6FBB5DA0"/>
    <w:rsid w:val="6FC949E1"/>
    <w:rsid w:val="70011A16"/>
    <w:rsid w:val="700F41F0"/>
    <w:rsid w:val="7014026E"/>
    <w:rsid w:val="701B0697"/>
    <w:rsid w:val="701C107D"/>
    <w:rsid w:val="70380FCB"/>
    <w:rsid w:val="70450900"/>
    <w:rsid w:val="706E3DB8"/>
    <w:rsid w:val="707A30C6"/>
    <w:rsid w:val="707A3C0E"/>
    <w:rsid w:val="707E7221"/>
    <w:rsid w:val="70895639"/>
    <w:rsid w:val="708A3F78"/>
    <w:rsid w:val="7093557C"/>
    <w:rsid w:val="709553F2"/>
    <w:rsid w:val="70A9452D"/>
    <w:rsid w:val="70C21312"/>
    <w:rsid w:val="70C33341"/>
    <w:rsid w:val="70C536A2"/>
    <w:rsid w:val="70C709E5"/>
    <w:rsid w:val="70CB116A"/>
    <w:rsid w:val="70CC3A0A"/>
    <w:rsid w:val="70CD24AD"/>
    <w:rsid w:val="70D84DD5"/>
    <w:rsid w:val="70E52E28"/>
    <w:rsid w:val="70F074F1"/>
    <w:rsid w:val="710050FB"/>
    <w:rsid w:val="71097DCD"/>
    <w:rsid w:val="712539FA"/>
    <w:rsid w:val="71557AE0"/>
    <w:rsid w:val="71574D4A"/>
    <w:rsid w:val="716455F2"/>
    <w:rsid w:val="716C5717"/>
    <w:rsid w:val="71724F73"/>
    <w:rsid w:val="717B7DE1"/>
    <w:rsid w:val="71831C17"/>
    <w:rsid w:val="71831E00"/>
    <w:rsid w:val="71B1586F"/>
    <w:rsid w:val="71D16377"/>
    <w:rsid w:val="71F32B95"/>
    <w:rsid w:val="71F35C79"/>
    <w:rsid w:val="72147DD3"/>
    <w:rsid w:val="721F45D6"/>
    <w:rsid w:val="72280D66"/>
    <w:rsid w:val="72390CDD"/>
    <w:rsid w:val="724411B6"/>
    <w:rsid w:val="724E0B89"/>
    <w:rsid w:val="724F3CC3"/>
    <w:rsid w:val="72606481"/>
    <w:rsid w:val="727E2ECF"/>
    <w:rsid w:val="729B4A1F"/>
    <w:rsid w:val="72A53DB8"/>
    <w:rsid w:val="72A97BD9"/>
    <w:rsid w:val="72AD231D"/>
    <w:rsid w:val="72B567F3"/>
    <w:rsid w:val="72B664EF"/>
    <w:rsid w:val="72B85FB7"/>
    <w:rsid w:val="72C56C1E"/>
    <w:rsid w:val="72DB6414"/>
    <w:rsid w:val="72DF5903"/>
    <w:rsid w:val="72FC3F59"/>
    <w:rsid w:val="73082C1A"/>
    <w:rsid w:val="730A7577"/>
    <w:rsid w:val="73190C6D"/>
    <w:rsid w:val="7329201D"/>
    <w:rsid w:val="733E3A61"/>
    <w:rsid w:val="73570F37"/>
    <w:rsid w:val="736A7093"/>
    <w:rsid w:val="73783956"/>
    <w:rsid w:val="73786F67"/>
    <w:rsid w:val="73877122"/>
    <w:rsid w:val="738F2573"/>
    <w:rsid w:val="73AC6D59"/>
    <w:rsid w:val="73C13F40"/>
    <w:rsid w:val="73C219C3"/>
    <w:rsid w:val="73CA3701"/>
    <w:rsid w:val="73CE1175"/>
    <w:rsid w:val="73D36A93"/>
    <w:rsid w:val="73D43685"/>
    <w:rsid w:val="73DF1C59"/>
    <w:rsid w:val="73EE36F6"/>
    <w:rsid w:val="73F46F08"/>
    <w:rsid w:val="73F832FC"/>
    <w:rsid w:val="741B2E0B"/>
    <w:rsid w:val="74296716"/>
    <w:rsid w:val="742C1A7A"/>
    <w:rsid w:val="74350814"/>
    <w:rsid w:val="7457120A"/>
    <w:rsid w:val="74572816"/>
    <w:rsid w:val="745B65B4"/>
    <w:rsid w:val="74635CFA"/>
    <w:rsid w:val="74976D32"/>
    <w:rsid w:val="749F0913"/>
    <w:rsid w:val="74C972EB"/>
    <w:rsid w:val="74D813E2"/>
    <w:rsid w:val="74E7411B"/>
    <w:rsid w:val="75176CEB"/>
    <w:rsid w:val="751B7FF0"/>
    <w:rsid w:val="752F130A"/>
    <w:rsid w:val="753230CA"/>
    <w:rsid w:val="753A6EE3"/>
    <w:rsid w:val="75534E81"/>
    <w:rsid w:val="756938C9"/>
    <w:rsid w:val="756B41A6"/>
    <w:rsid w:val="757C1F1B"/>
    <w:rsid w:val="757F379C"/>
    <w:rsid w:val="75801F90"/>
    <w:rsid w:val="758E49F0"/>
    <w:rsid w:val="758E5E80"/>
    <w:rsid w:val="7596008B"/>
    <w:rsid w:val="75A37C6F"/>
    <w:rsid w:val="75A4697E"/>
    <w:rsid w:val="75A76E88"/>
    <w:rsid w:val="75AA445A"/>
    <w:rsid w:val="75B86364"/>
    <w:rsid w:val="75D9316B"/>
    <w:rsid w:val="75E01783"/>
    <w:rsid w:val="75F263D4"/>
    <w:rsid w:val="76027AB3"/>
    <w:rsid w:val="760F2285"/>
    <w:rsid w:val="76144B4D"/>
    <w:rsid w:val="762959D3"/>
    <w:rsid w:val="7634289F"/>
    <w:rsid w:val="76432636"/>
    <w:rsid w:val="76563A5D"/>
    <w:rsid w:val="765740B7"/>
    <w:rsid w:val="765B26D1"/>
    <w:rsid w:val="766F2B31"/>
    <w:rsid w:val="768D3FA5"/>
    <w:rsid w:val="7690140D"/>
    <w:rsid w:val="769A48CA"/>
    <w:rsid w:val="76AF0BFA"/>
    <w:rsid w:val="76BC2B50"/>
    <w:rsid w:val="76BE05D8"/>
    <w:rsid w:val="76CC1D4D"/>
    <w:rsid w:val="76CF121F"/>
    <w:rsid w:val="76D2183E"/>
    <w:rsid w:val="76DA7D3F"/>
    <w:rsid w:val="76E62ABF"/>
    <w:rsid w:val="76EC4481"/>
    <w:rsid w:val="76ED65C6"/>
    <w:rsid w:val="770F4795"/>
    <w:rsid w:val="77152A9A"/>
    <w:rsid w:val="77563DB4"/>
    <w:rsid w:val="77572AD0"/>
    <w:rsid w:val="77675415"/>
    <w:rsid w:val="77686F3F"/>
    <w:rsid w:val="776917EB"/>
    <w:rsid w:val="776C6549"/>
    <w:rsid w:val="777376D1"/>
    <w:rsid w:val="7776219F"/>
    <w:rsid w:val="77865A52"/>
    <w:rsid w:val="77D9553A"/>
    <w:rsid w:val="77E500BB"/>
    <w:rsid w:val="77E65C91"/>
    <w:rsid w:val="77FE0FB7"/>
    <w:rsid w:val="78036453"/>
    <w:rsid w:val="780D7CA3"/>
    <w:rsid w:val="781733B8"/>
    <w:rsid w:val="782069AD"/>
    <w:rsid w:val="782860A7"/>
    <w:rsid w:val="782A44C7"/>
    <w:rsid w:val="786E0D15"/>
    <w:rsid w:val="788317DA"/>
    <w:rsid w:val="78886CAC"/>
    <w:rsid w:val="78A208F2"/>
    <w:rsid w:val="78AA7F1C"/>
    <w:rsid w:val="78AC7A2F"/>
    <w:rsid w:val="78B476BE"/>
    <w:rsid w:val="78BC3C5B"/>
    <w:rsid w:val="78C4254A"/>
    <w:rsid w:val="78CB4D0A"/>
    <w:rsid w:val="78D65FFF"/>
    <w:rsid w:val="78EC2650"/>
    <w:rsid w:val="78FE1293"/>
    <w:rsid w:val="79136A04"/>
    <w:rsid w:val="791E2FBC"/>
    <w:rsid w:val="792242E1"/>
    <w:rsid w:val="792A0880"/>
    <w:rsid w:val="792C2AB9"/>
    <w:rsid w:val="793838BA"/>
    <w:rsid w:val="793E6533"/>
    <w:rsid w:val="795B3E8A"/>
    <w:rsid w:val="795D20E7"/>
    <w:rsid w:val="795E6FC8"/>
    <w:rsid w:val="7983793C"/>
    <w:rsid w:val="798537A2"/>
    <w:rsid w:val="798576DF"/>
    <w:rsid w:val="79903F8D"/>
    <w:rsid w:val="79B16674"/>
    <w:rsid w:val="79B42DFA"/>
    <w:rsid w:val="79BF6CB5"/>
    <w:rsid w:val="79CC43BA"/>
    <w:rsid w:val="79CF02B1"/>
    <w:rsid w:val="79DE43C1"/>
    <w:rsid w:val="79FF50C9"/>
    <w:rsid w:val="7A0433B0"/>
    <w:rsid w:val="7A182198"/>
    <w:rsid w:val="7A2C23BA"/>
    <w:rsid w:val="7A2D4967"/>
    <w:rsid w:val="7A375540"/>
    <w:rsid w:val="7A395035"/>
    <w:rsid w:val="7A656CF7"/>
    <w:rsid w:val="7A6F6B09"/>
    <w:rsid w:val="7A841281"/>
    <w:rsid w:val="7AA5601C"/>
    <w:rsid w:val="7AAA2C2D"/>
    <w:rsid w:val="7ABA6F6C"/>
    <w:rsid w:val="7ABB4BD4"/>
    <w:rsid w:val="7AF07DBC"/>
    <w:rsid w:val="7AF1652E"/>
    <w:rsid w:val="7B0271E2"/>
    <w:rsid w:val="7B04602D"/>
    <w:rsid w:val="7B3A3663"/>
    <w:rsid w:val="7B457A5A"/>
    <w:rsid w:val="7B463B86"/>
    <w:rsid w:val="7B485E4B"/>
    <w:rsid w:val="7B49384B"/>
    <w:rsid w:val="7B49553A"/>
    <w:rsid w:val="7B7361E0"/>
    <w:rsid w:val="7B856E6D"/>
    <w:rsid w:val="7B9568A6"/>
    <w:rsid w:val="7B9B22E3"/>
    <w:rsid w:val="7BBA180D"/>
    <w:rsid w:val="7BCC4B6B"/>
    <w:rsid w:val="7BD46644"/>
    <w:rsid w:val="7BD63840"/>
    <w:rsid w:val="7BD95E2E"/>
    <w:rsid w:val="7BDF060A"/>
    <w:rsid w:val="7C130119"/>
    <w:rsid w:val="7C1521AA"/>
    <w:rsid w:val="7C1B6411"/>
    <w:rsid w:val="7C2C1D8B"/>
    <w:rsid w:val="7C300877"/>
    <w:rsid w:val="7C3C4CF0"/>
    <w:rsid w:val="7C3D384D"/>
    <w:rsid w:val="7C5E1681"/>
    <w:rsid w:val="7C7C34A1"/>
    <w:rsid w:val="7C8268EA"/>
    <w:rsid w:val="7C8D4386"/>
    <w:rsid w:val="7C92077F"/>
    <w:rsid w:val="7C943CAF"/>
    <w:rsid w:val="7C951C3D"/>
    <w:rsid w:val="7CA01185"/>
    <w:rsid w:val="7CAF5BBE"/>
    <w:rsid w:val="7CB12D8B"/>
    <w:rsid w:val="7CDE6687"/>
    <w:rsid w:val="7CEF098E"/>
    <w:rsid w:val="7D18460C"/>
    <w:rsid w:val="7D1A0F5C"/>
    <w:rsid w:val="7D2434EB"/>
    <w:rsid w:val="7D2808FA"/>
    <w:rsid w:val="7D2869C1"/>
    <w:rsid w:val="7D2F73B9"/>
    <w:rsid w:val="7D3038CF"/>
    <w:rsid w:val="7D3B2679"/>
    <w:rsid w:val="7D4F63BF"/>
    <w:rsid w:val="7D630FFC"/>
    <w:rsid w:val="7D65499F"/>
    <w:rsid w:val="7D67532B"/>
    <w:rsid w:val="7D6F6634"/>
    <w:rsid w:val="7D9F0E7A"/>
    <w:rsid w:val="7DB3309C"/>
    <w:rsid w:val="7DB45872"/>
    <w:rsid w:val="7DBB5B3E"/>
    <w:rsid w:val="7DBF187A"/>
    <w:rsid w:val="7DC21589"/>
    <w:rsid w:val="7DC51239"/>
    <w:rsid w:val="7DCC5CDD"/>
    <w:rsid w:val="7DD60EBC"/>
    <w:rsid w:val="7DDC2107"/>
    <w:rsid w:val="7DE021FC"/>
    <w:rsid w:val="7DEE7852"/>
    <w:rsid w:val="7DF2139B"/>
    <w:rsid w:val="7E1808A8"/>
    <w:rsid w:val="7E1E76F9"/>
    <w:rsid w:val="7E266520"/>
    <w:rsid w:val="7E2A06FF"/>
    <w:rsid w:val="7E343D60"/>
    <w:rsid w:val="7E3821BE"/>
    <w:rsid w:val="7E4D201C"/>
    <w:rsid w:val="7E5A4A06"/>
    <w:rsid w:val="7E7C0822"/>
    <w:rsid w:val="7E920DCD"/>
    <w:rsid w:val="7EA03F96"/>
    <w:rsid w:val="7EAC0F14"/>
    <w:rsid w:val="7EB55821"/>
    <w:rsid w:val="7EBB6296"/>
    <w:rsid w:val="7EBF5DD4"/>
    <w:rsid w:val="7ECC6DEA"/>
    <w:rsid w:val="7ED42C91"/>
    <w:rsid w:val="7EDF290B"/>
    <w:rsid w:val="7EE20E77"/>
    <w:rsid w:val="7EEA0F99"/>
    <w:rsid w:val="7EFC2489"/>
    <w:rsid w:val="7F0D16DE"/>
    <w:rsid w:val="7F112FA7"/>
    <w:rsid w:val="7F1F47E8"/>
    <w:rsid w:val="7F2E65FC"/>
    <w:rsid w:val="7F3E1C8A"/>
    <w:rsid w:val="7F435036"/>
    <w:rsid w:val="7F450CBB"/>
    <w:rsid w:val="7F516F9D"/>
    <w:rsid w:val="7F7E653B"/>
    <w:rsid w:val="7F8137D7"/>
    <w:rsid w:val="7F914B6A"/>
    <w:rsid w:val="7F93198A"/>
    <w:rsid w:val="7F9749DB"/>
    <w:rsid w:val="7F9A7E0B"/>
    <w:rsid w:val="7FB11129"/>
    <w:rsid w:val="7FBB38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iPriority="99" w:semiHidden="0"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qFormat="1"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ocked="1"/>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0" w:semiHidden="0" w:name="Document Map"/>
    <w:lsdException w:qFormat="1" w:unhideWhenUsed="0" w:uiPriority="99" w:semiHidden="0" w:name="Plain Text"/>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4"/>
    <w:link w:val="43"/>
    <w:qFormat/>
    <w:uiPriority w:val="99"/>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5"/>
    <w:link w:val="44"/>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link w:val="45"/>
    <w:qFormat/>
    <w:uiPriority w:val="0"/>
    <w:pPr>
      <w:keepNext/>
      <w:keepLines/>
      <w:spacing w:before="260" w:after="260" w:line="412" w:lineRule="auto"/>
      <w:ind w:firstLine="49" w:firstLineChars="49"/>
      <w:outlineLvl w:val="2"/>
    </w:pPr>
    <w:rPr>
      <w:rFonts w:ascii="黑体" w:eastAsia="黑体"/>
      <w:sz w:val="28"/>
      <w:szCs w:val="20"/>
    </w:rPr>
  </w:style>
  <w:style w:type="paragraph" w:styleId="6">
    <w:name w:val="heading 4"/>
    <w:basedOn w:val="1"/>
    <w:next w:val="1"/>
    <w:semiHidden/>
    <w:unhideWhenUsed/>
    <w:qFormat/>
    <w:locked/>
    <w:uiPriority w:val="9"/>
    <w:pPr>
      <w:keepNext/>
      <w:keepLines/>
      <w:spacing w:before="280" w:after="290" w:line="372" w:lineRule="auto"/>
      <w:outlineLvl w:val="3"/>
    </w:pPr>
    <w:rPr>
      <w:rFonts w:ascii="Arial" w:hAnsi="Arial" w:eastAsia="黑体"/>
      <w:b/>
      <w:sz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locked/>
    <w:uiPriority w:val="99"/>
    <w:pPr>
      <w:spacing w:line="440" w:lineRule="atLeast"/>
      <w:ind w:left="360" w:hanging="3"/>
    </w:pPr>
    <w:rPr>
      <w:sz w:val="24"/>
    </w:rPr>
  </w:style>
  <w:style w:type="paragraph" w:styleId="7">
    <w:name w:val="toc 7"/>
    <w:basedOn w:val="1"/>
    <w:next w:val="1"/>
    <w:qFormat/>
    <w:uiPriority w:val="39"/>
    <w:pPr>
      <w:ind w:left="1200" w:leftChars="1200"/>
    </w:pPr>
  </w:style>
  <w:style w:type="paragraph" w:styleId="8">
    <w:name w:val="Normal Indent"/>
    <w:basedOn w:val="1"/>
    <w:link w:val="79"/>
    <w:qFormat/>
    <w:uiPriority w:val="99"/>
    <w:pPr>
      <w:ind w:firstLine="420"/>
    </w:pPr>
  </w:style>
  <w:style w:type="paragraph" w:styleId="9">
    <w:name w:val="Document Map"/>
    <w:basedOn w:val="1"/>
    <w:link w:val="48"/>
    <w:qFormat/>
    <w:uiPriority w:val="0"/>
    <w:rPr>
      <w:rFonts w:ascii="宋体" w:cs="宋体"/>
      <w:sz w:val="18"/>
      <w:szCs w:val="18"/>
    </w:rPr>
  </w:style>
  <w:style w:type="paragraph" w:styleId="10">
    <w:name w:val="annotation text"/>
    <w:basedOn w:val="1"/>
    <w:link w:val="62"/>
    <w:qFormat/>
    <w:uiPriority w:val="99"/>
    <w:pPr>
      <w:jc w:val="left"/>
    </w:pPr>
    <w:rPr>
      <w:rFonts w:ascii="Times New Roman" w:hAnsi="Times New Roman"/>
      <w:szCs w:val="20"/>
    </w:rPr>
  </w:style>
  <w:style w:type="paragraph" w:styleId="11">
    <w:name w:val="Body Text 3"/>
    <w:basedOn w:val="1"/>
    <w:link w:val="49"/>
    <w:qFormat/>
    <w:uiPriority w:val="0"/>
    <w:rPr>
      <w:rFonts w:ascii="宋体"/>
      <w:sz w:val="24"/>
      <w:szCs w:val="20"/>
    </w:rPr>
  </w:style>
  <w:style w:type="paragraph" w:styleId="12">
    <w:name w:val="Body Text"/>
    <w:basedOn w:val="1"/>
    <w:link w:val="69"/>
    <w:unhideWhenUsed/>
    <w:qFormat/>
    <w:locked/>
    <w:uiPriority w:val="99"/>
    <w:pPr>
      <w:spacing w:after="120"/>
    </w:pPr>
  </w:style>
  <w:style w:type="paragraph" w:styleId="13">
    <w:name w:val="Body Text Indent"/>
    <w:basedOn w:val="1"/>
    <w:link w:val="70"/>
    <w:unhideWhenUsed/>
    <w:qFormat/>
    <w:locked/>
    <w:uiPriority w:val="99"/>
    <w:pPr>
      <w:spacing w:after="120"/>
      <w:ind w:left="420" w:leftChars="200"/>
    </w:pPr>
  </w:style>
  <w:style w:type="paragraph" w:styleId="14">
    <w:name w:val="Block Text"/>
    <w:basedOn w:val="1"/>
    <w:qFormat/>
    <w:uiPriority w:val="99"/>
    <w:pPr>
      <w:spacing w:line="520" w:lineRule="atLeast"/>
      <w:ind w:left="266" w:right="156" w:hanging="14"/>
    </w:pPr>
    <w:rPr>
      <w:sz w:val="24"/>
    </w:rPr>
  </w:style>
  <w:style w:type="paragraph" w:styleId="15">
    <w:name w:val="toc 5"/>
    <w:basedOn w:val="1"/>
    <w:next w:val="1"/>
    <w:qFormat/>
    <w:uiPriority w:val="39"/>
    <w:pPr>
      <w:ind w:left="800" w:leftChars="800"/>
    </w:pPr>
  </w:style>
  <w:style w:type="paragraph" w:styleId="16">
    <w:name w:val="toc 3"/>
    <w:basedOn w:val="1"/>
    <w:next w:val="1"/>
    <w:qFormat/>
    <w:uiPriority w:val="39"/>
    <w:pPr>
      <w:ind w:left="400" w:leftChars="400"/>
    </w:pPr>
  </w:style>
  <w:style w:type="paragraph" w:styleId="17">
    <w:name w:val="Plain Text"/>
    <w:basedOn w:val="1"/>
    <w:link w:val="50"/>
    <w:qFormat/>
    <w:uiPriority w:val="99"/>
    <w:rPr>
      <w:rFonts w:ascii="宋体"/>
    </w:rPr>
  </w:style>
  <w:style w:type="paragraph" w:styleId="18">
    <w:name w:val="toc 8"/>
    <w:basedOn w:val="1"/>
    <w:next w:val="1"/>
    <w:qFormat/>
    <w:uiPriority w:val="39"/>
    <w:pPr>
      <w:ind w:left="1400" w:leftChars="1400"/>
    </w:pPr>
  </w:style>
  <w:style w:type="paragraph" w:styleId="19">
    <w:name w:val="Date"/>
    <w:basedOn w:val="1"/>
    <w:next w:val="1"/>
    <w:link w:val="51"/>
    <w:qFormat/>
    <w:uiPriority w:val="99"/>
    <w:pPr>
      <w:ind w:left="2500" w:leftChars="2500"/>
    </w:pPr>
    <w:rPr>
      <w:rFonts w:ascii="Times New Roman" w:hAnsi="Times New Roman"/>
      <w:szCs w:val="20"/>
    </w:rPr>
  </w:style>
  <w:style w:type="paragraph" w:styleId="20">
    <w:name w:val="Balloon Text"/>
    <w:basedOn w:val="1"/>
    <w:link w:val="52"/>
    <w:qFormat/>
    <w:uiPriority w:val="99"/>
    <w:rPr>
      <w:rFonts w:ascii="Times New Roman" w:hAnsi="Times New Roman"/>
      <w:sz w:val="18"/>
      <w:szCs w:val="20"/>
    </w:rPr>
  </w:style>
  <w:style w:type="paragraph" w:styleId="21">
    <w:name w:val="footer"/>
    <w:basedOn w:val="1"/>
    <w:link w:val="53"/>
    <w:qFormat/>
    <w:uiPriority w:val="0"/>
    <w:pPr>
      <w:tabs>
        <w:tab w:val="center" w:pos="4153"/>
        <w:tab w:val="right" w:pos="8306"/>
      </w:tabs>
      <w:snapToGrid w:val="0"/>
      <w:jc w:val="left"/>
    </w:pPr>
    <w:rPr>
      <w:sz w:val="18"/>
    </w:rPr>
  </w:style>
  <w:style w:type="paragraph" w:styleId="22">
    <w:name w:val="header"/>
    <w:basedOn w:val="1"/>
    <w:link w:val="54"/>
    <w:qFormat/>
    <w:uiPriority w:val="99"/>
    <w:pPr>
      <w:tabs>
        <w:tab w:val="center" w:pos="4153"/>
        <w:tab w:val="right" w:pos="8306"/>
      </w:tabs>
      <w:snapToGrid w:val="0"/>
    </w:pPr>
    <w:rPr>
      <w:rFonts w:ascii="Times New Roman" w:hAnsi="Times New Roman"/>
      <w:sz w:val="18"/>
      <w:szCs w:val="20"/>
    </w:rPr>
  </w:style>
  <w:style w:type="paragraph" w:styleId="23">
    <w:name w:val="toc 1"/>
    <w:basedOn w:val="1"/>
    <w:next w:val="1"/>
    <w:qFormat/>
    <w:uiPriority w:val="39"/>
  </w:style>
  <w:style w:type="paragraph" w:styleId="24">
    <w:name w:val="toc 4"/>
    <w:basedOn w:val="1"/>
    <w:next w:val="1"/>
    <w:qFormat/>
    <w:uiPriority w:val="39"/>
    <w:pPr>
      <w:ind w:left="600" w:leftChars="600"/>
    </w:pPr>
  </w:style>
  <w:style w:type="paragraph" w:styleId="25">
    <w:name w:val="toc 6"/>
    <w:basedOn w:val="1"/>
    <w:next w:val="1"/>
    <w:qFormat/>
    <w:uiPriority w:val="39"/>
    <w:pPr>
      <w:ind w:left="1000" w:leftChars="1000"/>
    </w:pPr>
  </w:style>
  <w:style w:type="paragraph" w:styleId="26">
    <w:name w:val="Body Text Indent 3"/>
    <w:basedOn w:val="1"/>
    <w:link w:val="55"/>
    <w:qFormat/>
    <w:uiPriority w:val="99"/>
    <w:pPr>
      <w:spacing w:after="120"/>
      <w:ind w:left="200" w:leftChars="200"/>
    </w:pPr>
    <w:rPr>
      <w:sz w:val="16"/>
      <w:szCs w:val="16"/>
    </w:rPr>
  </w:style>
  <w:style w:type="paragraph" w:styleId="27">
    <w:name w:val="toc 2"/>
    <w:basedOn w:val="1"/>
    <w:next w:val="1"/>
    <w:qFormat/>
    <w:uiPriority w:val="39"/>
    <w:pPr>
      <w:ind w:left="200" w:leftChars="200"/>
    </w:pPr>
  </w:style>
  <w:style w:type="paragraph" w:styleId="28">
    <w:name w:val="toc 9"/>
    <w:basedOn w:val="1"/>
    <w:next w:val="1"/>
    <w:qFormat/>
    <w:uiPriority w:val="39"/>
    <w:pPr>
      <w:ind w:left="1600" w:leftChars="1600"/>
    </w:pPr>
  </w:style>
  <w:style w:type="paragraph" w:styleId="29">
    <w:name w:val="Body Text 2"/>
    <w:basedOn w:val="1"/>
    <w:link w:val="56"/>
    <w:qFormat/>
    <w:uiPriority w:val="99"/>
    <w:pPr>
      <w:spacing w:after="120" w:line="480" w:lineRule="auto"/>
    </w:pPr>
  </w:style>
  <w:style w:type="paragraph" w:styleId="30">
    <w:name w:val="Normal (Web)"/>
    <w:basedOn w:val="1"/>
    <w:unhideWhenUsed/>
    <w:qFormat/>
    <w:locked/>
    <w:uiPriority w:val="99"/>
    <w:rPr>
      <w:rFonts w:ascii="Times New Roman" w:hAnsi="Times New Roman"/>
      <w:sz w:val="24"/>
    </w:rPr>
  </w:style>
  <w:style w:type="paragraph" w:styleId="31">
    <w:name w:val="Title"/>
    <w:basedOn w:val="1"/>
    <w:link w:val="71"/>
    <w:qFormat/>
    <w:locked/>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2">
    <w:name w:val="annotation subject"/>
    <w:basedOn w:val="10"/>
    <w:next w:val="10"/>
    <w:link w:val="47"/>
    <w:qFormat/>
    <w:uiPriority w:val="0"/>
  </w:style>
  <w:style w:type="paragraph" w:styleId="33">
    <w:name w:val="Body Text First Indent"/>
    <w:basedOn w:val="12"/>
    <w:unhideWhenUsed/>
    <w:qFormat/>
    <w:uiPriority w:val="99"/>
    <w:pPr>
      <w:ind w:firstLine="420" w:firstLineChars="100"/>
    </w:p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99"/>
    <w:rPr>
      <w:rFonts w:cs="Times New Roman"/>
      <w:b/>
    </w:rPr>
  </w:style>
  <w:style w:type="character" w:styleId="38">
    <w:name w:val="page number"/>
    <w:basedOn w:val="36"/>
    <w:qFormat/>
    <w:uiPriority w:val="99"/>
    <w:rPr>
      <w:rFonts w:cs="Times New Roman"/>
    </w:rPr>
  </w:style>
  <w:style w:type="character" w:styleId="39">
    <w:name w:val="Emphasis"/>
    <w:basedOn w:val="36"/>
    <w:qFormat/>
    <w:locked/>
    <w:uiPriority w:val="20"/>
    <w:rPr>
      <w:i/>
      <w:iCs/>
    </w:rPr>
  </w:style>
  <w:style w:type="character" w:styleId="40">
    <w:name w:val="Hyperlink"/>
    <w:basedOn w:val="36"/>
    <w:qFormat/>
    <w:uiPriority w:val="99"/>
    <w:rPr>
      <w:rFonts w:cs="Times New Roman"/>
      <w:color w:val="0000FF"/>
      <w:u w:val="single"/>
    </w:rPr>
  </w:style>
  <w:style w:type="character" w:styleId="41">
    <w:name w:val="annotation reference"/>
    <w:basedOn w:val="36"/>
    <w:qFormat/>
    <w:uiPriority w:val="0"/>
    <w:rPr>
      <w:rFonts w:cs="Times New Roman"/>
      <w:sz w:val="21"/>
    </w:rPr>
  </w:style>
  <w:style w:type="paragraph" w:customStyle="1" w:styleId="42">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character" w:customStyle="1" w:styleId="43">
    <w:name w:val="标题 1 Char"/>
    <w:basedOn w:val="36"/>
    <w:link w:val="3"/>
    <w:qFormat/>
    <w:uiPriority w:val="9"/>
    <w:rPr>
      <w:rFonts w:ascii="Calibri" w:hAnsi="Calibri"/>
      <w:b/>
      <w:bCs/>
      <w:kern w:val="44"/>
      <w:sz w:val="44"/>
      <w:szCs w:val="44"/>
    </w:rPr>
  </w:style>
  <w:style w:type="character" w:customStyle="1" w:styleId="44">
    <w:name w:val="标题 2 Char"/>
    <w:basedOn w:val="36"/>
    <w:link w:val="4"/>
    <w:qFormat/>
    <w:uiPriority w:val="0"/>
    <w:rPr>
      <w:rFonts w:asciiTheme="majorHAnsi" w:hAnsiTheme="majorHAnsi" w:eastAsiaTheme="majorEastAsia" w:cstheme="majorBidi"/>
      <w:b/>
      <w:bCs/>
      <w:sz w:val="32"/>
      <w:szCs w:val="32"/>
    </w:rPr>
  </w:style>
  <w:style w:type="character" w:customStyle="1" w:styleId="45">
    <w:name w:val="标题 3 Char"/>
    <w:basedOn w:val="36"/>
    <w:link w:val="5"/>
    <w:semiHidden/>
    <w:qFormat/>
    <w:uiPriority w:val="9"/>
    <w:rPr>
      <w:rFonts w:ascii="Calibri" w:hAnsi="Calibri"/>
      <w:b/>
      <w:bCs/>
      <w:sz w:val="32"/>
      <w:szCs w:val="32"/>
    </w:rPr>
  </w:style>
  <w:style w:type="character" w:customStyle="1" w:styleId="46">
    <w:name w:val="Comment Text Char"/>
    <w:basedOn w:val="36"/>
    <w:qFormat/>
    <w:uiPriority w:val="99"/>
  </w:style>
  <w:style w:type="character" w:customStyle="1" w:styleId="47">
    <w:name w:val="批注主题 Char"/>
    <w:basedOn w:val="46"/>
    <w:link w:val="32"/>
    <w:qFormat/>
    <w:uiPriority w:val="0"/>
    <w:rPr>
      <w:rFonts w:ascii="Calibri" w:hAnsi="Calibri"/>
      <w:b/>
      <w:bCs/>
    </w:rPr>
  </w:style>
  <w:style w:type="character" w:customStyle="1" w:styleId="48">
    <w:name w:val="文档结构图 Char"/>
    <w:basedOn w:val="36"/>
    <w:link w:val="9"/>
    <w:qFormat/>
    <w:uiPriority w:val="0"/>
    <w:rPr>
      <w:sz w:val="0"/>
      <w:szCs w:val="0"/>
    </w:rPr>
  </w:style>
  <w:style w:type="character" w:customStyle="1" w:styleId="49">
    <w:name w:val="正文文本 3 Char"/>
    <w:basedOn w:val="36"/>
    <w:link w:val="11"/>
    <w:qFormat/>
    <w:locked/>
    <w:uiPriority w:val="0"/>
    <w:rPr>
      <w:rFonts w:ascii="宋体" w:hAnsi="Calibri" w:eastAsia="宋体" w:cs="Times New Roman"/>
      <w:kern w:val="2"/>
      <w:sz w:val="24"/>
    </w:rPr>
  </w:style>
  <w:style w:type="character" w:customStyle="1" w:styleId="50">
    <w:name w:val="纯文本 Char"/>
    <w:basedOn w:val="36"/>
    <w:link w:val="17"/>
    <w:semiHidden/>
    <w:qFormat/>
    <w:uiPriority w:val="99"/>
    <w:rPr>
      <w:rFonts w:ascii="宋体" w:hAnsi="Courier New" w:cs="Courier New"/>
      <w:szCs w:val="21"/>
    </w:rPr>
  </w:style>
  <w:style w:type="character" w:customStyle="1" w:styleId="51">
    <w:name w:val="日期 Char"/>
    <w:basedOn w:val="36"/>
    <w:link w:val="19"/>
    <w:semiHidden/>
    <w:qFormat/>
    <w:uiPriority w:val="99"/>
    <w:rPr>
      <w:rFonts w:ascii="Calibri" w:hAnsi="Calibri"/>
    </w:rPr>
  </w:style>
  <w:style w:type="character" w:customStyle="1" w:styleId="52">
    <w:name w:val="批注框文本 Char"/>
    <w:basedOn w:val="36"/>
    <w:link w:val="20"/>
    <w:semiHidden/>
    <w:qFormat/>
    <w:uiPriority w:val="99"/>
    <w:rPr>
      <w:rFonts w:ascii="Calibri" w:hAnsi="Calibri"/>
      <w:sz w:val="0"/>
      <w:szCs w:val="0"/>
    </w:rPr>
  </w:style>
  <w:style w:type="character" w:customStyle="1" w:styleId="53">
    <w:name w:val="页脚 Char"/>
    <w:basedOn w:val="36"/>
    <w:link w:val="21"/>
    <w:qFormat/>
    <w:uiPriority w:val="0"/>
    <w:rPr>
      <w:rFonts w:ascii="Calibri" w:hAnsi="Calibri"/>
      <w:sz w:val="18"/>
      <w:szCs w:val="18"/>
    </w:rPr>
  </w:style>
  <w:style w:type="character" w:customStyle="1" w:styleId="54">
    <w:name w:val="页眉 Char"/>
    <w:basedOn w:val="36"/>
    <w:link w:val="22"/>
    <w:semiHidden/>
    <w:qFormat/>
    <w:uiPriority w:val="99"/>
    <w:rPr>
      <w:rFonts w:ascii="Calibri" w:hAnsi="Calibri"/>
      <w:sz w:val="18"/>
      <w:szCs w:val="18"/>
    </w:rPr>
  </w:style>
  <w:style w:type="character" w:customStyle="1" w:styleId="55">
    <w:name w:val="正文文本缩进 3 Char"/>
    <w:basedOn w:val="36"/>
    <w:link w:val="26"/>
    <w:semiHidden/>
    <w:qFormat/>
    <w:uiPriority w:val="99"/>
    <w:rPr>
      <w:rFonts w:ascii="Calibri" w:hAnsi="Calibri"/>
      <w:sz w:val="16"/>
      <w:szCs w:val="16"/>
    </w:rPr>
  </w:style>
  <w:style w:type="character" w:customStyle="1" w:styleId="56">
    <w:name w:val="正文文本 2 Char"/>
    <w:basedOn w:val="36"/>
    <w:link w:val="29"/>
    <w:semiHidden/>
    <w:qFormat/>
    <w:uiPriority w:val="99"/>
    <w:rPr>
      <w:rFonts w:ascii="Calibri" w:hAnsi="Calibri"/>
    </w:rPr>
  </w:style>
  <w:style w:type="character" w:customStyle="1" w:styleId="57">
    <w:name w:val="style_kwd"/>
    <w:basedOn w:val="36"/>
    <w:qFormat/>
    <w:uiPriority w:val="99"/>
    <w:rPr>
      <w:rFonts w:cs="Times New Roman"/>
    </w:rPr>
  </w:style>
  <w:style w:type="character" w:customStyle="1" w:styleId="58">
    <w:name w:val="批注文字 Char1"/>
    <w:qFormat/>
    <w:uiPriority w:val="99"/>
    <w:rPr>
      <w:rFonts w:ascii="Times New Roman" w:hAnsi="Times New Roman" w:eastAsia="宋体"/>
      <w:sz w:val="20"/>
    </w:rPr>
  </w:style>
  <w:style w:type="paragraph" w:customStyle="1" w:styleId="59">
    <w:name w:val="Revision1"/>
    <w:qFormat/>
    <w:uiPriority w:val="99"/>
    <w:rPr>
      <w:rFonts w:ascii="Times New Roman" w:hAnsi="Times New Roman" w:eastAsia="宋体" w:cs="Times New Roman"/>
      <w:kern w:val="2"/>
      <w:sz w:val="21"/>
      <w:lang w:val="en-US" w:eastAsia="zh-CN" w:bidi="ar-SA"/>
    </w:rPr>
  </w:style>
  <w:style w:type="paragraph" w:customStyle="1" w:styleId="60">
    <w:name w:val="_Style 23"/>
    <w:basedOn w:val="1"/>
    <w:qFormat/>
    <w:uiPriority w:val="99"/>
    <w:pPr>
      <w:widowControl/>
      <w:spacing w:after="160" w:line="240" w:lineRule="exact"/>
      <w:jc w:val="left"/>
    </w:pPr>
  </w:style>
  <w:style w:type="paragraph" w:customStyle="1" w:styleId="61">
    <w:name w:val="TOC Heading1"/>
    <w:basedOn w:val="3"/>
    <w:next w:val="1"/>
    <w:qFormat/>
    <w:uiPriority w:val="99"/>
    <w:pPr>
      <w:widowControl/>
      <w:spacing w:before="480" w:after="0" w:line="276" w:lineRule="auto"/>
      <w:jc w:val="left"/>
      <w:outlineLvl w:val="9"/>
    </w:pPr>
    <w:rPr>
      <w:rFonts w:ascii="Cambria" w:hAnsi="Cambria"/>
      <w:color w:val="365F91"/>
      <w:kern w:val="0"/>
      <w:sz w:val="28"/>
    </w:rPr>
  </w:style>
  <w:style w:type="character" w:customStyle="1" w:styleId="62">
    <w:name w:val="批注文字 Char"/>
    <w:basedOn w:val="36"/>
    <w:link w:val="10"/>
    <w:qFormat/>
    <w:locked/>
    <w:uiPriority w:val="99"/>
    <w:rPr>
      <w:rFonts w:eastAsia="宋体" w:cs="Times New Roman"/>
      <w:kern w:val="2"/>
      <w:sz w:val="21"/>
    </w:rPr>
  </w:style>
  <w:style w:type="character" w:customStyle="1" w:styleId="63">
    <w:name w:val="font161"/>
    <w:qFormat/>
    <w:uiPriority w:val="99"/>
    <w:rPr>
      <w:b/>
      <w:sz w:val="32"/>
    </w:rPr>
  </w:style>
  <w:style w:type="character" w:customStyle="1" w:styleId="64">
    <w:name w:val="15"/>
    <w:qFormat/>
    <w:uiPriority w:val="99"/>
    <w:rPr>
      <w:rFonts w:ascii="Times New Roman" w:hAnsi="Times New Roman"/>
      <w:color w:val="0000FF"/>
      <w:u w:val="single"/>
    </w:rPr>
  </w:style>
  <w:style w:type="paragraph" w:customStyle="1" w:styleId="65">
    <w:name w:val="2"/>
    <w:basedOn w:val="1"/>
    <w:qFormat/>
    <w:uiPriority w:val="99"/>
    <w:pPr>
      <w:spacing w:before="60" w:after="60"/>
      <w:ind w:left="454"/>
    </w:pPr>
    <w:rPr>
      <w:position w:val="5"/>
    </w:rPr>
  </w:style>
  <w:style w:type="paragraph" w:customStyle="1" w:styleId="66">
    <w:name w:val="表格方字"/>
    <w:basedOn w:val="1"/>
    <w:qFormat/>
    <w:uiPriority w:val="99"/>
    <w:pPr>
      <w:spacing w:before="60" w:after="60"/>
      <w:jc w:val="left"/>
    </w:pPr>
  </w:style>
  <w:style w:type="paragraph" w:customStyle="1" w:styleId="67">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68">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character" w:customStyle="1" w:styleId="69">
    <w:name w:val="正文文本 Char"/>
    <w:basedOn w:val="36"/>
    <w:link w:val="12"/>
    <w:qFormat/>
    <w:uiPriority w:val="99"/>
    <w:rPr>
      <w:rFonts w:ascii="Calibri" w:hAnsi="Calibri"/>
      <w:kern w:val="2"/>
      <w:sz w:val="21"/>
      <w:szCs w:val="22"/>
    </w:rPr>
  </w:style>
  <w:style w:type="character" w:customStyle="1" w:styleId="70">
    <w:name w:val="正文文本缩进 Char"/>
    <w:basedOn w:val="36"/>
    <w:link w:val="13"/>
    <w:semiHidden/>
    <w:qFormat/>
    <w:uiPriority w:val="99"/>
    <w:rPr>
      <w:rFonts w:ascii="Calibri" w:hAnsi="Calibri"/>
      <w:kern w:val="2"/>
      <w:sz w:val="21"/>
      <w:szCs w:val="22"/>
    </w:rPr>
  </w:style>
  <w:style w:type="character" w:customStyle="1" w:styleId="71">
    <w:name w:val="标题 Char"/>
    <w:basedOn w:val="36"/>
    <w:link w:val="31"/>
    <w:qFormat/>
    <w:uiPriority w:val="0"/>
    <w:rPr>
      <w:rFonts w:ascii="Arial" w:hAnsi="Arial"/>
      <w:b/>
      <w:sz w:val="32"/>
    </w:rPr>
  </w:style>
  <w:style w:type="paragraph" w:customStyle="1" w:styleId="72">
    <w:name w:val="表文C"/>
    <w:basedOn w:val="1"/>
    <w:qFormat/>
    <w:uiPriority w:val="0"/>
    <w:pPr>
      <w:widowControl/>
      <w:tabs>
        <w:tab w:val="left" w:pos="0"/>
      </w:tabs>
      <w:snapToGrid w:val="0"/>
      <w:spacing w:line="360" w:lineRule="auto"/>
      <w:jc w:val="center"/>
    </w:pPr>
    <w:rPr>
      <w:snapToGrid w:val="0"/>
      <w:kern w:val="0"/>
    </w:rPr>
  </w:style>
  <w:style w:type="paragraph" w:customStyle="1" w:styleId="73">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szCs w:val="22"/>
      <w:lang w:val="en-US" w:eastAsia="zh-CN" w:bidi="ar-SA"/>
    </w:rPr>
  </w:style>
  <w:style w:type="paragraph" w:customStyle="1" w:styleId="74">
    <w:name w:val="表名A"/>
    <w:basedOn w:val="1"/>
    <w:qFormat/>
    <w:uiPriority w:val="99"/>
    <w:pPr>
      <w:widowControl/>
      <w:tabs>
        <w:tab w:val="left" w:pos="0"/>
      </w:tabs>
      <w:snapToGrid w:val="0"/>
      <w:spacing w:beforeLines="80" w:afterLines="20" w:line="360" w:lineRule="auto"/>
      <w:jc w:val="center"/>
    </w:pPr>
    <w:rPr>
      <w:b/>
      <w:snapToGrid w:val="0"/>
      <w:kern w:val="0"/>
    </w:rPr>
  </w:style>
  <w:style w:type="paragraph" w:customStyle="1" w:styleId="7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6">
    <w:name w:val="样式 标题 3 + (中文) 黑体 小四 非加粗 段前: 7.8 磅 段后: 0 磅 行距: 固定值 20 磅"/>
    <w:basedOn w:val="5"/>
    <w:qFormat/>
    <w:uiPriority w:val="0"/>
    <w:pPr>
      <w:spacing w:before="0" w:after="0" w:line="400" w:lineRule="exact"/>
      <w:ind w:firstLine="0" w:firstLineChars="0"/>
    </w:pPr>
    <w:rPr>
      <w:rFonts w:ascii="Times New Roman" w:hAnsi="Times New Roman" w:cs="宋体"/>
      <w:sz w:val="24"/>
    </w:rPr>
  </w:style>
  <w:style w:type="paragraph" w:customStyle="1" w:styleId="77">
    <w:name w:val="列出段落1"/>
    <w:basedOn w:val="1"/>
    <w:unhideWhenUsed/>
    <w:qFormat/>
    <w:uiPriority w:val="99"/>
    <w:pPr>
      <w:ind w:firstLine="420" w:firstLineChars="200"/>
    </w:pPr>
  </w:style>
  <w:style w:type="paragraph" w:customStyle="1" w:styleId="78">
    <w:name w:val="Char"/>
    <w:basedOn w:val="1"/>
    <w:semiHidden/>
    <w:qFormat/>
    <w:uiPriority w:val="0"/>
    <w:pPr>
      <w:spacing w:line="360" w:lineRule="auto"/>
      <w:ind w:firstLine="200" w:firstLineChars="200"/>
    </w:pPr>
    <w:rPr>
      <w:rFonts w:ascii="宋体" w:hAnsi="宋体" w:cs="宋体"/>
      <w:sz w:val="24"/>
      <w:szCs w:val="24"/>
    </w:rPr>
  </w:style>
  <w:style w:type="character" w:customStyle="1" w:styleId="79">
    <w:name w:val="正文缩进 Char"/>
    <w:basedOn w:val="36"/>
    <w:link w:val="8"/>
    <w:qFormat/>
    <w:locked/>
    <w:uiPriority w:val="0"/>
    <w:rPr>
      <w:rFonts w:ascii="Calibri" w:hAnsi="Calibri"/>
      <w:kern w:val="2"/>
      <w:sz w:val="21"/>
      <w:szCs w:val="22"/>
    </w:rPr>
  </w:style>
  <w:style w:type="paragraph" w:customStyle="1" w:styleId="80">
    <w:name w:val="Char1"/>
    <w:basedOn w:val="1"/>
    <w:semiHidden/>
    <w:qFormat/>
    <w:uiPriority w:val="0"/>
    <w:pPr>
      <w:spacing w:line="360" w:lineRule="auto"/>
      <w:ind w:firstLine="200" w:firstLineChars="200"/>
    </w:pPr>
    <w:rPr>
      <w:rFonts w:ascii="宋体" w:hAnsi="宋体" w:cs="宋体"/>
      <w:sz w:val="24"/>
      <w:szCs w:val="24"/>
    </w:rPr>
  </w:style>
  <w:style w:type="paragraph" w:customStyle="1" w:styleId="81">
    <w:name w:val="p0"/>
    <w:basedOn w:val="1"/>
    <w:qFormat/>
    <w:uiPriority w:val="0"/>
    <w:pPr>
      <w:widowControl/>
    </w:pPr>
    <w:rPr>
      <w:rFonts w:cs="宋体"/>
      <w:kern w:val="0"/>
      <w:szCs w:val="21"/>
    </w:rPr>
  </w:style>
  <w:style w:type="paragraph" w:customStyle="1" w:styleId="82">
    <w:name w:val="列表段落1"/>
    <w:basedOn w:val="1"/>
    <w:unhideWhenUsed/>
    <w:qFormat/>
    <w:uiPriority w:val="99"/>
    <w:pPr>
      <w:ind w:firstLine="420" w:firstLineChars="200"/>
    </w:pPr>
  </w:style>
  <w:style w:type="paragraph" w:customStyle="1" w:styleId="83">
    <w:name w:val="列出段落2"/>
    <w:basedOn w:val="1"/>
    <w:unhideWhenUsed/>
    <w:qFormat/>
    <w:uiPriority w:val="99"/>
    <w:pPr>
      <w:ind w:firstLine="420" w:firstLineChars="200"/>
    </w:pPr>
  </w:style>
  <w:style w:type="character" w:customStyle="1" w:styleId="84">
    <w:name w:val="font101"/>
    <w:basedOn w:val="36"/>
    <w:qFormat/>
    <w:uiPriority w:val="0"/>
    <w:rPr>
      <w:rFonts w:hint="eastAsia" w:ascii="宋体" w:hAnsi="宋体" w:eastAsia="宋体" w:cs="宋体"/>
      <w:color w:val="000000"/>
      <w:sz w:val="24"/>
      <w:szCs w:val="24"/>
      <w:u w:val="none"/>
    </w:rPr>
  </w:style>
  <w:style w:type="character" w:customStyle="1" w:styleId="85">
    <w:name w:val="font112"/>
    <w:basedOn w:val="36"/>
    <w:qFormat/>
    <w:uiPriority w:val="0"/>
    <w:rPr>
      <w:rFonts w:hint="eastAsia" w:ascii="宋体" w:hAnsi="宋体" w:eastAsia="宋体" w:cs="宋体"/>
      <w:b/>
      <w:color w:val="000000"/>
      <w:sz w:val="24"/>
      <w:szCs w:val="24"/>
      <w:u w:val="none"/>
    </w:rPr>
  </w:style>
  <w:style w:type="character" w:customStyle="1" w:styleId="86">
    <w:name w:val="font41"/>
    <w:basedOn w:val="36"/>
    <w:qFormat/>
    <w:uiPriority w:val="0"/>
    <w:rPr>
      <w:rFonts w:hint="eastAsia" w:ascii="宋体" w:hAnsi="宋体" w:eastAsia="宋体" w:cs="宋体"/>
      <w:color w:val="000000"/>
      <w:sz w:val="22"/>
      <w:szCs w:val="22"/>
      <w:u w:val="none"/>
    </w:rPr>
  </w:style>
  <w:style w:type="character" w:customStyle="1" w:styleId="87">
    <w:name w:val="font51"/>
    <w:basedOn w:val="36"/>
    <w:qFormat/>
    <w:uiPriority w:val="0"/>
    <w:rPr>
      <w:rFonts w:hint="eastAsia" w:ascii="宋体" w:hAnsi="宋体" w:eastAsia="宋体" w:cs="宋体"/>
      <w:color w:val="000000"/>
      <w:sz w:val="22"/>
      <w:szCs w:val="22"/>
      <w:u w:val="none"/>
    </w:rPr>
  </w:style>
  <w:style w:type="character" w:customStyle="1" w:styleId="88">
    <w:name w:val="font71"/>
    <w:qFormat/>
    <w:uiPriority w:val="0"/>
    <w:rPr>
      <w:rFonts w:hint="eastAsia" w:ascii="宋体" w:hAnsi="宋体" w:eastAsia="宋体" w:cs="宋体"/>
      <w:color w:val="000000"/>
      <w:sz w:val="22"/>
      <w:szCs w:val="22"/>
      <w:u w:val="none"/>
    </w:rPr>
  </w:style>
  <w:style w:type="paragraph" w:styleId="8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6"/>
    <customShpInfo spid="_x0000_s3073"/>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F0D5FA-0F11-4098-AC45-1DA60331832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1346</Words>
  <Characters>7678</Characters>
  <Lines>63</Lines>
  <Paragraphs>18</Paragraphs>
  <TotalTime>1</TotalTime>
  <ScaleCrop>false</ScaleCrop>
  <LinksUpToDate>false</LinksUpToDate>
  <CharactersWithSpaces>9006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2019-06-21T01:32:00Z</dcterms:created>
  <dc:creator>lwx</dc:creator>
  <cp:lastModifiedBy>Administrator</cp:lastModifiedBy>
  <cp:lastPrinted>2020-04-29T05:49:00Z</cp:lastPrinted>
  <dcterms:modified xsi:type="dcterms:W3CDTF">2020-06-22T07:56:14Z</dcterms:modified>
  <dc:title>中华人民共和国</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