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
          <w:lang w:eastAsia="zh-CN"/>
        </w:rPr>
      </w:pPr>
      <w:bookmarkStart w:id="17" w:name="_GoBack"/>
      <w:bookmarkEnd w:id="17"/>
    </w:p>
    <w:p>
      <w:pPr>
        <w:rPr>
          <w:sz w:val="2"/>
          <w:szCs w:val="2"/>
          <w:lang w:eastAsia="zh-CN"/>
        </w:rPr>
      </w:pPr>
    </w:p>
    <w:p>
      <w:pPr>
        <w:pStyle w:val="29"/>
        <w:tabs>
          <w:tab w:val="left" w:pos="2054"/>
        </w:tabs>
        <w:spacing w:before="175"/>
        <w:ind w:left="794"/>
        <w:jc w:val="center"/>
        <w:rPr>
          <w:sz w:val="28"/>
          <w:lang w:eastAsia="zh-CN"/>
        </w:rPr>
      </w:pPr>
      <w:r>
        <w:rPr>
          <w:rFonts w:hint="eastAsia"/>
          <w:sz w:val="28"/>
          <w:lang w:eastAsia="zh-CN"/>
        </w:rPr>
        <w:t>附录</w:t>
      </w:r>
      <w:r>
        <w:rPr>
          <w:sz w:val="28"/>
          <w:lang w:eastAsia="zh-CN"/>
        </w:rPr>
        <w:t xml:space="preserve">1 </w:t>
      </w:r>
      <w:r>
        <w:rPr>
          <w:rFonts w:hint="eastAsia"/>
          <w:sz w:val="28"/>
          <w:lang w:eastAsia="zh-CN"/>
        </w:rPr>
        <w:t>资格条件（资质最低要求）</w:t>
      </w:r>
    </w:p>
    <w:p>
      <w:pPr>
        <w:pStyle w:val="7"/>
        <w:spacing w:before="5"/>
        <w:rPr>
          <w:rFonts w:ascii="新宋体"/>
          <w:b/>
          <w:sz w:val="21"/>
          <w:lang w:eastAsia="zh-CN"/>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jc w:val="center"/>
              <w:rPr>
                <w:rFonts w:cs="Times New Roman"/>
                <w:b/>
                <w:bCs/>
                <w:sz w:val="24"/>
                <w:szCs w:val="24"/>
                <w:lang w:eastAsia="zh-CN"/>
              </w:rPr>
            </w:pPr>
            <w:r>
              <w:rPr>
                <w:rFonts w:hint="eastAsia"/>
                <w:b/>
                <w:bCs/>
                <w:sz w:val="24"/>
                <w:szCs w:val="24"/>
                <w:lang w:eastAsia="zh-CN"/>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spacing w:line="360" w:lineRule="auto"/>
              <w:rPr>
                <w:rFonts w:cs="Times New Roman"/>
                <w:b/>
                <w:bCs/>
                <w:sz w:val="24"/>
                <w:szCs w:val="24"/>
                <w:lang w:eastAsia="zh-CN"/>
              </w:rPr>
            </w:pPr>
          </w:p>
          <w:p>
            <w:pPr>
              <w:spacing w:line="360" w:lineRule="auto"/>
              <w:rPr>
                <w:rFonts w:cs="Times New Roman"/>
                <w:b/>
                <w:bCs/>
                <w:sz w:val="24"/>
                <w:szCs w:val="24"/>
                <w:lang w:eastAsia="zh-CN"/>
              </w:rPr>
            </w:pPr>
          </w:p>
          <w:p>
            <w:pPr>
              <w:spacing w:line="360" w:lineRule="auto"/>
              <w:ind w:firstLine="440" w:firstLineChars="200"/>
              <w:rPr>
                <w:lang w:eastAsia="zh-CN"/>
              </w:rPr>
            </w:pPr>
            <w:r>
              <w:rPr>
                <w:rFonts w:hint="eastAsia"/>
                <w:lang w:eastAsia="zh-CN"/>
              </w:rPr>
              <w:t>1、具备</w:t>
            </w:r>
            <w:r>
              <w:rPr>
                <w:b/>
                <w:bCs/>
                <w:u w:val="single"/>
                <w:lang w:eastAsia="zh-CN"/>
              </w:rPr>
              <w:t>行政主管部门颁发的有效的建筑工程施工总承包</w:t>
            </w:r>
            <w:r>
              <w:rPr>
                <w:rFonts w:hint="eastAsia"/>
                <w:b/>
                <w:bCs/>
                <w:u w:val="single"/>
                <w:lang w:eastAsia="zh-CN"/>
              </w:rPr>
              <w:t>叁</w:t>
            </w:r>
            <w:r>
              <w:rPr>
                <w:b/>
                <w:bCs/>
                <w:u w:val="single"/>
                <w:lang w:eastAsia="zh-CN"/>
              </w:rPr>
              <w:t>级</w:t>
            </w:r>
            <w:r>
              <w:rPr>
                <w:rFonts w:hint="eastAsia"/>
                <w:b/>
                <w:bCs/>
                <w:u w:val="single"/>
                <w:lang w:eastAsia="zh-CN"/>
              </w:rPr>
              <w:t>及</w:t>
            </w:r>
            <w:r>
              <w:rPr>
                <w:b/>
                <w:bCs/>
                <w:u w:val="single"/>
                <w:lang w:eastAsia="zh-CN"/>
              </w:rPr>
              <w:t>以上企业资质</w:t>
            </w:r>
            <w:r>
              <w:rPr>
                <w:rFonts w:hint="eastAsia"/>
                <w:b/>
                <w:bCs/>
                <w:u w:val="single"/>
                <w:lang w:eastAsia="zh-CN"/>
              </w:rPr>
              <w:t>和</w:t>
            </w:r>
            <w:r>
              <w:rPr>
                <w:b/>
                <w:bCs/>
                <w:u w:val="single"/>
                <w:lang w:eastAsia="zh-CN"/>
              </w:rPr>
              <w:t>公路工程施工总承包一级</w:t>
            </w:r>
            <w:r>
              <w:rPr>
                <w:rFonts w:hint="eastAsia"/>
                <w:lang w:eastAsia="zh-CN"/>
              </w:rPr>
              <w:t>及以上资质（资质证书所示内容应清晰可辩，且应在有效期内），评审时须审核加盖投标单位公章及法定代表人印章的资质证书副本复印件）；</w:t>
            </w:r>
          </w:p>
          <w:p>
            <w:pPr>
              <w:spacing w:line="360" w:lineRule="auto"/>
              <w:ind w:firstLine="440" w:firstLineChars="200"/>
              <w:rPr>
                <w:lang w:eastAsia="zh-CN"/>
              </w:rPr>
            </w:pPr>
            <w:r>
              <w:rPr>
                <w:rFonts w:hint="eastAsia"/>
                <w:lang w:eastAsia="zh-CN"/>
              </w:rPr>
              <w:t>2、具备有效的营业执照（营业执照所示内容应清晰可辨），评审时须审核加盖投标单位公章及法定代表人印章的企业营业执照副本复印件；</w:t>
            </w:r>
          </w:p>
          <w:p>
            <w:pPr>
              <w:spacing w:line="360" w:lineRule="auto"/>
              <w:ind w:firstLine="440" w:firstLineChars="200"/>
              <w:rPr>
                <w:lang w:eastAsia="zh-CN"/>
              </w:rPr>
            </w:pPr>
            <w:r>
              <w:rPr>
                <w:lang w:eastAsia="zh-CN"/>
              </w:rPr>
              <w:t>3</w:t>
            </w:r>
            <w:r>
              <w:rPr>
                <w:rFonts w:hint="eastAsia"/>
                <w:lang w:eastAsia="zh-CN"/>
              </w:rPr>
              <w:t>、具备有效的安全生产许可证（安全生产许可证所示内容应清晰可辩，且应在有效期内），评审时须审核加盖投标单位公章及法定代表人印章的安全生产许可证副本复印件；</w:t>
            </w:r>
          </w:p>
          <w:p>
            <w:pPr>
              <w:spacing w:line="360" w:lineRule="auto"/>
              <w:ind w:firstLine="440" w:firstLineChars="200"/>
              <w:rPr>
                <w:rFonts w:cs="Times New Roman"/>
                <w:b/>
                <w:bCs/>
                <w:sz w:val="24"/>
                <w:szCs w:val="24"/>
                <w:lang w:eastAsia="zh-CN"/>
              </w:rPr>
            </w:pPr>
            <w:r>
              <w:rPr>
                <w:rFonts w:hint="eastAsia"/>
                <w:lang w:eastAsia="zh-CN"/>
              </w:rPr>
              <w:t>4、</w:t>
            </w:r>
            <w:r>
              <w:rPr>
                <w:rFonts w:cs="Times New Roman"/>
                <w:lang w:eastAsia="zh-CN"/>
              </w:rPr>
              <w:t>投标人应进入交通运输部“全国公路建设市场信用信息管理系统（http//glxy.mot.gov.cn）”中的公路工程施工资质企业名录</w:t>
            </w:r>
            <w:r>
              <w:rPr>
                <w:rFonts w:hint="eastAsia" w:cs="Times New Roman"/>
                <w:lang w:eastAsia="zh-CN"/>
              </w:rPr>
              <w:t>中</w:t>
            </w:r>
            <w:r>
              <w:rPr>
                <w:rFonts w:cs="Times New Roman"/>
                <w:lang w:eastAsia="zh-CN"/>
              </w:rPr>
              <w:t>，且投标人名称和资质与该名录中的相应企业名称和资质完全一致。</w:t>
            </w:r>
          </w:p>
        </w:tc>
      </w:tr>
    </w:tbl>
    <w:p>
      <w:pPr>
        <w:pStyle w:val="7"/>
        <w:spacing w:before="1"/>
        <w:rPr>
          <w:sz w:val="18"/>
          <w:lang w:eastAsia="zh-CN"/>
        </w:rPr>
      </w:pPr>
    </w:p>
    <w:p>
      <w:pPr>
        <w:pStyle w:val="7"/>
        <w:spacing w:before="1"/>
        <w:rPr>
          <w:sz w:val="18"/>
          <w:lang w:eastAsia="zh-CN"/>
        </w:rPr>
      </w:pPr>
    </w:p>
    <w:p>
      <w:pPr>
        <w:pStyle w:val="7"/>
        <w:spacing w:before="1"/>
        <w:rPr>
          <w:sz w:val="18"/>
          <w:lang w:eastAsia="zh-CN"/>
        </w:rPr>
      </w:pPr>
    </w:p>
    <w:p>
      <w:pPr>
        <w:pStyle w:val="7"/>
        <w:spacing w:before="1"/>
        <w:rPr>
          <w:sz w:val="18"/>
          <w:lang w:eastAsia="zh-CN"/>
        </w:rPr>
      </w:pPr>
    </w:p>
    <w:p>
      <w:pPr>
        <w:pStyle w:val="7"/>
        <w:spacing w:before="1"/>
        <w:rPr>
          <w:sz w:val="18"/>
          <w:lang w:eastAsia="zh-CN"/>
        </w:rPr>
      </w:pPr>
    </w:p>
    <w:p>
      <w:pPr>
        <w:pStyle w:val="29"/>
        <w:spacing w:before="175"/>
        <w:ind w:left="794"/>
        <w:rPr>
          <w:sz w:val="28"/>
          <w:lang w:eastAsia="zh-CN"/>
        </w:rPr>
      </w:pPr>
      <w:r>
        <w:rPr>
          <w:rFonts w:hint="eastAsia"/>
          <w:sz w:val="28"/>
          <w:lang w:eastAsia="zh-CN"/>
        </w:rPr>
        <w:t>附录</w:t>
      </w:r>
      <w:r>
        <w:rPr>
          <w:sz w:val="28"/>
          <w:lang w:eastAsia="zh-CN"/>
        </w:rPr>
        <w:t>2</w:t>
      </w:r>
      <w:r>
        <w:rPr>
          <w:rFonts w:hint="eastAsia"/>
          <w:sz w:val="28"/>
          <w:lang w:eastAsia="zh-CN"/>
        </w:rPr>
        <w:t xml:space="preserve"> 资格条件（财务最低要求）</w:t>
      </w:r>
    </w:p>
    <w:p>
      <w:pPr>
        <w:tabs>
          <w:tab w:val="left" w:pos="3985"/>
        </w:tabs>
        <w:spacing w:line="381" w:lineRule="exact"/>
        <w:ind w:left="2939"/>
        <w:rPr>
          <w:rFonts w:ascii="新宋体" w:eastAsia="新宋体"/>
          <w:b/>
          <w:sz w:val="27"/>
          <w:lang w:eastAsia="zh-CN"/>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jc w:val="center"/>
              <w:rPr>
                <w:rFonts w:cs="Times New Roman"/>
                <w:b/>
                <w:bCs/>
                <w:sz w:val="24"/>
                <w:szCs w:val="24"/>
              </w:rPr>
            </w:pPr>
            <w:r>
              <w:rPr>
                <w:rFonts w:hint="eastAsia"/>
                <w:b/>
                <w:bCs/>
                <w:sz w:val="24"/>
                <w:szCs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8522" w:type="dxa"/>
          </w:tcPr>
          <w:p>
            <w:pPr>
              <w:spacing w:line="400" w:lineRule="exact"/>
              <w:jc w:val="both"/>
              <w:rPr>
                <w:rFonts w:cs="Times New Roman"/>
                <w:lang w:eastAsia="zh-CN"/>
              </w:rPr>
            </w:pPr>
            <w:r>
              <w:rPr>
                <w:rFonts w:hint="eastAsia"/>
                <w:lang w:eastAsia="zh-CN"/>
              </w:rPr>
              <w:t>要求投标人提供2018年度或2019年度会计师事务所出具的审计报告复印件。审计报告包括企业提供的财务报表（含资产负债表、利润表或损益表、现金流量表和财务报表附注）。审计报告应盖有会计师事务所单位章和注册会计师的执业专用章，并附会计师事务所的营业执照及执业证书复印件。</w:t>
            </w:r>
          </w:p>
          <w:p>
            <w:pPr>
              <w:spacing w:line="480" w:lineRule="exact"/>
              <w:rPr>
                <w:rFonts w:cs="Times New Roman"/>
                <w:b/>
                <w:bCs/>
                <w:sz w:val="24"/>
                <w:szCs w:val="24"/>
                <w:lang w:eastAsia="zh-CN"/>
              </w:rPr>
            </w:pPr>
            <w:r>
              <w:rPr>
                <w:rFonts w:hint="eastAsia"/>
                <w:lang w:eastAsia="zh-CN"/>
              </w:rPr>
              <w:t>以上复印件均应加盖投标单位章和法定代表人印章。</w:t>
            </w:r>
          </w:p>
        </w:tc>
      </w:tr>
    </w:tbl>
    <w:p>
      <w:pPr>
        <w:pStyle w:val="7"/>
        <w:rPr>
          <w:sz w:val="20"/>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29"/>
        <w:tabs>
          <w:tab w:val="left" w:pos="2054"/>
        </w:tabs>
        <w:spacing w:before="175"/>
        <w:ind w:left="794"/>
        <w:rPr>
          <w:sz w:val="28"/>
          <w:lang w:eastAsia="zh-CN"/>
        </w:rPr>
      </w:pPr>
      <w:r>
        <w:rPr>
          <w:rFonts w:hint="eastAsia"/>
          <w:sz w:val="28"/>
          <w:lang w:eastAsia="zh-CN"/>
        </w:rPr>
        <w:t>附录</w:t>
      </w:r>
      <w:r>
        <w:rPr>
          <w:sz w:val="28"/>
          <w:lang w:eastAsia="zh-CN"/>
        </w:rPr>
        <w:t>3</w:t>
      </w:r>
      <w:r>
        <w:rPr>
          <w:rFonts w:hint="eastAsia"/>
          <w:sz w:val="28"/>
          <w:lang w:eastAsia="zh-CN"/>
        </w:rPr>
        <w:t xml:space="preserve"> 业绩（不要求）</w:t>
      </w:r>
    </w:p>
    <w:p>
      <w:pPr>
        <w:ind w:left="110"/>
        <w:rPr>
          <w:rFonts w:ascii="新宋体"/>
          <w:sz w:val="20"/>
        </w:rPr>
      </w:pPr>
    </w:p>
    <w:tbl>
      <w:tblPr>
        <w:tblStyle w:val="14"/>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jc w:val="center"/>
              <w:rPr>
                <w:rFonts w:cs="Times New Roman"/>
                <w:b/>
                <w:bCs/>
                <w:sz w:val="24"/>
                <w:szCs w:val="24"/>
              </w:rPr>
            </w:pPr>
            <w:r>
              <w:rPr>
                <w:rFonts w:hint="eastAsia"/>
                <w:b/>
                <w:bCs/>
                <w:spacing w:val="-2"/>
                <w:w w:val="98"/>
                <w:sz w:val="24"/>
                <w:szCs w:val="24"/>
              </w:rPr>
              <w:t>业</w:t>
            </w:r>
            <w:r>
              <w:rPr>
                <w:rFonts w:cs="Times New Roman"/>
                <w:b/>
                <w:bCs/>
                <w:w w:val="98"/>
                <w:sz w:val="24"/>
                <w:szCs w:val="24"/>
              </w:rPr>
              <w:t>  </w:t>
            </w:r>
            <w:r>
              <w:rPr>
                <w:rFonts w:hint="eastAsia"/>
                <w:b/>
                <w:bCs/>
                <w:spacing w:val="-2"/>
                <w:w w:val="98"/>
                <w:sz w:val="24"/>
                <w:szCs w:val="24"/>
              </w:rPr>
              <w:t>绩</w:t>
            </w:r>
            <w:r>
              <w:rPr>
                <w:rFonts w:cs="Times New Roman"/>
                <w:b/>
                <w:bCs/>
                <w:w w:val="98"/>
                <w:sz w:val="24"/>
                <w:szCs w:val="24"/>
              </w:rPr>
              <w:t>  </w:t>
            </w:r>
            <w:r>
              <w:rPr>
                <w:rFonts w:hint="eastAsia"/>
                <w:b/>
                <w:bCs/>
                <w:spacing w:val="-2"/>
                <w:w w:val="98"/>
                <w:sz w:val="24"/>
                <w:szCs w:val="24"/>
              </w:rPr>
              <w:t>要</w:t>
            </w:r>
            <w:r>
              <w:rPr>
                <w:rFonts w:cs="Times New Roman"/>
                <w:b/>
                <w:bCs/>
                <w:w w:val="98"/>
                <w:sz w:val="24"/>
                <w:szCs w:val="24"/>
              </w:rPr>
              <w:t>  </w:t>
            </w:r>
            <w:r>
              <w:rPr>
                <w:rFonts w:hint="eastAsia"/>
                <w:b/>
                <w:bCs/>
                <w:spacing w:val="-2"/>
                <w:w w:val="98"/>
                <w:sz w:val="24"/>
                <w:szCs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522" w:type="dxa"/>
          </w:tcPr>
          <w:p>
            <w:pPr>
              <w:spacing w:line="480" w:lineRule="exact"/>
              <w:rPr>
                <w:rFonts w:cs="Times New Roman"/>
                <w:b/>
                <w:bCs/>
                <w:sz w:val="24"/>
                <w:szCs w:val="24"/>
              </w:rPr>
            </w:pPr>
            <w:r>
              <w:rPr>
                <w:rFonts w:hint="eastAsia"/>
              </w:rPr>
              <w:t>不要求。</w:t>
            </w:r>
          </w:p>
        </w:tc>
      </w:tr>
    </w:tbl>
    <w:p>
      <w:pPr>
        <w:pStyle w:val="7"/>
        <w:spacing w:before="9"/>
        <w:rPr>
          <w:rFonts w:ascii="新宋体"/>
          <w:b/>
          <w:sz w:val="25"/>
        </w:rPr>
      </w:pPr>
    </w:p>
    <w:p>
      <w:pPr>
        <w:pStyle w:val="29"/>
        <w:spacing w:before="175"/>
        <w:ind w:left="794"/>
        <w:rPr>
          <w:sz w:val="28"/>
          <w:lang w:eastAsia="zh-CN"/>
        </w:rPr>
      </w:pPr>
      <w:r>
        <w:rPr>
          <w:rFonts w:hint="eastAsia"/>
          <w:sz w:val="28"/>
          <w:lang w:eastAsia="zh-CN"/>
        </w:rPr>
        <w:t>附录</w:t>
      </w:r>
      <w:r>
        <w:rPr>
          <w:sz w:val="28"/>
          <w:lang w:eastAsia="zh-CN"/>
        </w:rPr>
        <w:t xml:space="preserve">4 </w:t>
      </w:r>
      <w:r>
        <w:rPr>
          <w:rFonts w:hint="eastAsia"/>
          <w:sz w:val="28"/>
          <w:lang w:eastAsia="zh-CN"/>
        </w:rPr>
        <w:t>资格条件（信誉最低要求）</w:t>
      </w:r>
    </w:p>
    <w:p>
      <w:pPr>
        <w:pStyle w:val="7"/>
        <w:rPr>
          <w:rFonts w:ascii="新宋体"/>
          <w:b/>
          <w:sz w:val="20"/>
          <w:lang w:eastAsia="zh-CN"/>
        </w:rPr>
      </w:pPr>
    </w:p>
    <w:p>
      <w:pPr>
        <w:pStyle w:val="7"/>
        <w:rPr>
          <w:rFonts w:ascii="新宋体"/>
          <w:b/>
          <w:sz w:val="20"/>
          <w:lang w:eastAsia="zh-CN"/>
        </w:rPr>
      </w:pPr>
      <w:r>
        <w:rPr>
          <w:sz w:val="22"/>
        </w:rPr>
        <w:pict>
          <v:shape id="文本框 47" o:spid="_x0000_s1026" o:spt="202" type="#_x0000_t202" style="position:absolute;left:0pt;margin-left:75.8pt;margin-top:7pt;height:28.15pt;width:455.75pt;mso-position-horizontal-relative:page;z-index:-251664384;mso-width-relative:page;mso-height-relative:page;" filled="f" coordsize="21600,21600" o:gfxdata="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yJvzWAAAACgEAAA8AAAAAAAAAAQAgAAAAIgAAAGRycy9kb3du&#10;cmV2LnhtbFBLAQIUABQAAAAIAIdO4kBXeLUFAQIAAPMDAAAOAAAAAAAAAAEAIAAAACUBAABkcnMv&#10;ZTJvRG9jLnhtbFBLBQYAAAAABgAGAFkBAACYBQAAAAA=&#10;">
            <v:path/>
            <v:fill on="f" focussize="0,0"/>
            <v:stroke weight="0.48pt" joinstyle="miter"/>
            <v:imagedata o:title=""/>
            <o:lock v:ext="edit"/>
            <v:textbox inset="0mm,0mm,0mm,0mm">
              <w:txbxContent>
                <w:p>
                  <w:pPr>
                    <w:spacing w:before="93"/>
                    <w:ind w:left="3604" w:right="3605"/>
                    <w:jc w:val="center"/>
                    <w:rPr>
                      <w:rFonts w:ascii="新宋体" w:eastAsia="新宋体"/>
                      <w:sz w:val="27"/>
                    </w:rPr>
                  </w:pPr>
                  <w:r>
                    <w:rPr>
                      <w:rFonts w:hint="eastAsia" w:ascii="新宋体" w:eastAsia="新宋体"/>
                      <w:w w:val="95"/>
                      <w:sz w:val="27"/>
                    </w:rPr>
                    <w:t>信誉最低要求</w:t>
                  </w:r>
                </w:p>
              </w:txbxContent>
            </v:textbox>
          </v:shape>
        </w:pict>
      </w:r>
    </w:p>
    <w:p>
      <w:pPr>
        <w:pStyle w:val="7"/>
        <w:spacing w:before="4"/>
        <w:rPr>
          <w:rFonts w:ascii="新宋体"/>
          <w:b/>
          <w:sz w:val="28"/>
          <w:lang w:eastAsia="zh-CN"/>
        </w:rPr>
      </w:pPr>
      <w:r>
        <w:pict>
          <v:shape id="文本框 46" o:spid="_x0000_s1045" o:spt="202" type="#_x0000_t202" style="position:absolute;left:0pt;margin-left:75.8pt;margin-top:20.75pt;height:224.5pt;width:455.75pt;mso-position-horizontal-relative:page;mso-wrap-distance-bottom:0pt;mso-wrap-distance-top:0pt;z-index:251648000;mso-width-relative:page;mso-height-relative:page;" filled="f" coordsize="21600,21600" o:gfxdata="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ZPAX1gAAAAsBAAAPAAAAAAAAAAEAIAAAACIAAABkcnMvZG93&#10;bnJldi54bWxQSwECFAAUAAAACACHTuJA8D+r0AICAADzAwAADgAAAAAAAAABACAAAAAlAQAAZHJz&#10;L2Uyb0RvYy54bWxQSwUGAAAAAAYABgBZAQAAmQUAAAAA&#10;">
            <v:path/>
            <v:fill on="f" focussize="0,0"/>
            <v:stroke weight="0.48pt" joinstyle="miter"/>
            <v:imagedata o:title=""/>
            <o:lock v:ext="edit"/>
            <v:textbox inset="0mm,0mm,0mm,0mm">
              <w:txbxContent>
                <w:p>
                  <w:pPr>
                    <w:pStyle w:val="7"/>
                    <w:spacing w:before="71" w:line="319" w:lineRule="auto"/>
                    <w:ind w:left="103" w:right="-29"/>
                    <w:rPr>
                      <w:lang w:eastAsia="zh-CN"/>
                    </w:rPr>
                  </w:pPr>
                  <w:r>
                    <w:rPr>
                      <w:rFonts w:ascii="Times New Roman" w:eastAsia="Times New Roman"/>
                      <w:lang w:eastAsia="zh-CN"/>
                    </w:rPr>
                    <w:t>1</w:t>
                  </w:r>
                  <w:r>
                    <w:rPr>
                      <w:spacing w:val="-8"/>
                      <w:lang w:eastAsia="zh-CN"/>
                    </w:rPr>
                    <w:t>、投标人承诺：投标人没有受到责令停产、停业的行政处罚或正处于财务被接管、冻结、破产的状态。承诺加盖投标人公章</w:t>
                  </w:r>
                  <w:r>
                    <w:rPr>
                      <w:rFonts w:hint="eastAsia"/>
                      <w:spacing w:val="-8"/>
                      <w:lang w:eastAsia="zh-CN"/>
                    </w:rPr>
                    <w:t>，原件放入投标文件正本</w:t>
                  </w:r>
                  <w:r>
                    <w:rPr>
                      <w:spacing w:val="-8"/>
                      <w:lang w:eastAsia="zh-CN"/>
                    </w:rPr>
                    <w:t>。</w:t>
                  </w:r>
                </w:p>
                <w:p>
                  <w:pPr>
                    <w:pStyle w:val="7"/>
                    <w:spacing w:before="45" w:line="316" w:lineRule="auto"/>
                    <w:ind w:left="103" w:right="100"/>
                    <w:rPr>
                      <w:lang w:eastAsia="zh-CN"/>
                    </w:rPr>
                  </w:pPr>
                  <w:r>
                    <w:rPr>
                      <w:rFonts w:ascii="Times New Roman" w:eastAsia="Times New Roman"/>
                      <w:lang w:eastAsia="zh-CN"/>
                    </w:rPr>
                    <w:t>2</w:t>
                  </w:r>
                  <w:r>
                    <w:rPr>
                      <w:spacing w:val="-8"/>
                      <w:lang w:eastAsia="zh-CN"/>
                    </w:rPr>
                    <w:t>、 投标人承诺：投标人没有涉及正在诉讼的案件，或涉及正在诉讼的案件不会对承担本项目造成影响。承诺加盖投标人公章</w:t>
                  </w:r>
                  <w:r>
                    <w:rPr>
                      <w:rFonts w:hint="eastAsia"/>
                      <w:spacing w:val="-8"/>
                      <w:lang w:eastAsia="zh-CN"/>
                    </w:rPr>
                    <w:t>，原件放入投标文件正本</w:t>
                  </w:r>
                  <w:r>
                    <w:rPr>
                      <w:spacing w:val="-8"/>
                      <w:lang w:eastAsia="zh-CN"/>
                    </w:rPr>
                    <w:t>。</w:t>
                  </w:r>
                </w:p>
                <w:p>
                  <w:pPr>
                    <w:pStyle w:val="7"/>
                    <w:spacing w:before="50" w:line="326" w:lineRule="auto"/>
                    <w:ind w:left="103" w:right="-29"/>
                    <w:rPr>
                      <w:lang w:eastAsia="zh-CN"/>
                    </w:rPr>
                  </w:pPr>
                  <w:r>
                    <w:rPr>
                      <w:rFonts w:ascii="Times New Roman" w:hAnsi="Times New Roman" w:eastAsia="Times New Roman"/>
                      <w:lang w:eastAsia="zh-CN"/>
                    </w:rPr>
                    <w:t>3</w:t>
                  </w:r>
                  <w:r>
                    <w:rPr>
                      <w:spacing w:val="-8"/>
                      <w:lang w:eastAsia="zh-CN"/>
                    </w:rPr>
                    <w:t>、</w:t>
                  </w:r>
                  <w:r>
                    <w:rPr>
                      <w:lang w:eastAsia="zh-CN"/>
                    </w:rPr>
                    <w:t>投标人在“信用中国”网站中未被列入失信被执行人名单。提供“信用中国” 网站</w:t>
                  </w:r>
                  <w:r>
                    <w:fldChar w:fldCharType="begin"/>
                  </w:r>
                  <w:r>
                    <w:instrText xml:space="preserve"> HYPERLINK "http://www.creditchina.gov.cn/" \h </w:instrText>
                  </w:r>
                  <w:r>
                    <w:fldChar w:fldCharType="separate"/>
                  </w:r>
                  <w:r>
                    <w:rPr>
                      <w:rStyle w:val="17"/>
                      <w:lang w:eastAsia="zh-CN"/>
                    </w:rPr>
                    <w:t>（http://www.creditchina.gov.cn/</w:t>
                  </w:r>
                  <w:r>
                    <w:rPr>
                      <w:rStyle w:val="17"/>
                      <w:lang w:eastAsia="zh-CN"/>
                    </w:rPr>
                    <w:fldChar w:fldCharType="end"/>
                  </w:r>
                  <w:r>
                    <w:rPr>
                      <w:lang w:eastAsia="zh-CN"/>
                    </w:rPr>
                    <w:t>）查询记录彩色截图（加盖投标人公章），查询时间为招标文件发出之日至开标前一天的任意时间（网页彩色截图）</w:t>
                  </w:r>
                  <w:r>
                    <w:rPr>
                      <w:rFonts w:hint="eastAsia"/>
                      <w:lang w:eastAsia="zh-CN"/>
                    </w:rPr>
                    <w:t>；查询内容：失信被执行人、下载完整的信用报告）</w:t>
                  </w:r>
                  <w:r>
                    <w:rPr>
                      <w:lang w:eastAsia="zh-CN"/>
                    </w:rPr>
                    <w:t>。</w:t>
                  </w:r>
                </w:p>
                <w:p>
                  <w:pPr>
                    <w:pStyle w:val="7"/>
                    <w:spacing w:before="152" w:line="357" w:lineRule="auto"/>
                    <w:ind w:left="103" w:right="100"/>
                    <w:rPr>
                      <w:lang w:eastAsia="zh-CN"/>
                    </w:rPr>
                  </w:pPr>
                  <w:r>
                    <w:rPr>
                      <w:rFonts w:hint="eastAsia"/>
                      <w:lang w:eastAsia="zh-CN"/>
                    </w:rPr>
                    <w:t>4、投标人最新公布的信用评价结果为</w:t>
                  </w:r>
                  <w:r>
                    <w:rPr>
                      <w:lang w:eastAsia="zh-CN"/>
                    </w:rPr>
                    <w:t xml:space="preserve">C </w:t>
                  </w:r>
                  <w:r>
                    <w:rPr>
                      <w:rFonts w:hint="eastAsia"/>
                      <w:lang w:eastAsia="zh-CN"/>
                    </w:rPr>
                    <w:t>级及以上单位（详见招标公告）</w:t>
                  </w:r>
                </w:p>
              </w:txbxContent>
            </v:textbox>
            <w10:wrap type="topAndBottom"/>
          </v:shape>
        </w:pict>
      </w:r>
    </w:p>
    <w:p>
      <w:pPr>
        <w:pStyle w:val="7"/>
        <w:rPr>
          <w:rFonts w:ascii="新宋体"/>
          <w:b/>
          <w:sz w:val="20"/>
          <w:lang w:eastAsia="zh-CN"/>
        </w:rPr>
      </w:pPr>
    </w:p>
    <w:p>
      <w:pPr>
        <w:rPr>
          <w:rFonts w:ascii="新宋体"/>
          <w:sz w:val="10"/>
          <w:lang w:eastAsia="zh-CN"/>
        </w:rPr>
        <w:sectPr>
          <w:footerReference r:id="rId3" w:type="default"/>
          <w:pgSz w:w="11911" w:h="16838"/>
          <w:pgMar w:top="1480" w:right="1276" w:bottom="1134" w:left="1678" w:header="720" w:footer="1117" w:gutter="0"/>
          <w:cols w:space="0" w:num="1"/>
        </w:sectPr>
      </w:pPr>
    </w:p>
    <w:p>
      <w:pPr>
        <w:pStyle w:val="7"/>
        <w:rPr>
          <w:rFonts w:ascii="新宋体"/>
          <w:b/>
          <w:sz w:val="20"/>
          <w:lang w:eastAsia="zh-CN"/>
        </w:rPr>
      </w:pPr>
    </w:p>
    <w:p>
      <w:pPr>
        <w:pStyle w:val="29"/>
        <w:spacing w:before="175"/>
        <w:ind w:left="794"/>
        <w:rPr>
          <w:sz w:val="28"/>
          <w:lang w:eastAsia="zh-CN"/>
        </w:rPr>
      </w:pPr>
      <w:r>
        <w:rPr>
          <w:rFonts w:hint="eastAsia"/>
          <w:sz w:val="28"/>
          <w:lang w:eastAsia="zh-CN"/>
        </w:rPr>
        <w:t>附录</w:t>
      </w:r>
      <w:r>
        <w:rPr>
          <w:sz w:val="28"/>
          <w:lang w:eastAsia="zh-CN"/>
        </w:rPr>
        <w:t>5</w:t>
      </w:r>
      <w:r>
        <w:rPr>
          <w:rFonts w:hint="eastAsia"/>
          <w:sz w:val="28"/>
          <w:lang w:eastAsia="zh-CN"/>
        </w:rPr>
        <w:t xml:space="preserve"> 资格条件（项目经理和项目总工最低要求）</w:t>
      </w:r>
    </w:p>
    <w:p>
      <w:pPr>
        <w:pStyle w:val="7"/>
        <w:spacing w:before="3"/>
        <w:rPr>
          <w:rFonts w:ascii="新宋体"/>
          <w:b/>
          <w:sz w:val="28"/>
          <w:lang w:eastAsia="zh-CN"/>
        </w:rPr>
      </w:pPr>
    </w:p>
    <w:tbl>
      <w:tblPr>
        <w:tblStyle w:val="19"/>
        <w:tblW w:w="949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817"/>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86" w:type="dxa"/>
          </w:tcPr>
          <w:p>
            <w:pPr>
              <w:pStyle w:val="32"/>
              <w:spacing w:before="39"/>
              <w:ind w:left="242" w:right="234"/>
              <w:jc w:val="center"/>
              <w:rPr>
                <w:rFonts w:ascii="新宋体" w:eastAsia="新宋体"/>
                <w:sz w:val="24"/>
              </w:rPr>
            </w:pPr>
            <w:r>
              <w:rPr>
                <w:rFonts w:hint="eastAsia" w:ascii="新宋体" w:eastAsia="新宋体"/>
                <w:sz w:val="24"/>
              </w:rPr>
              <w:t>人员</w:t>
            </w:r>
          </w:p>
        </w:tc>
        <w:tc>
          <w:tcPr>
            <w:tcW w:w="817" w:type="dxa"/>
          </w:tcPr>
          <w:p>
            <w:pPr>
              <w:pStyle w:val="32"/>
              <w:spacing w:before="39"/>
              <w:ind w:left="148" w:right="139"/>
              <w:jc w:val="center"/>
              <w:rPr>
                <w:rFonts w:ascii="新宋体" w:eastAsia="新宋体"/>
                <w:sz w:val="24"/>
              </w:rPr>
            </w:pPr>
            <w:r>
              <w:rPr>
                <w:rFonts w:hint="eastAsia" w:ascii="新宋体" w:eastAsia="新宋体"/>
                <w:sz w:val="24"/>
              </w:rPr>
              <w:t>数量</w:t>
            </w:r>
          </w:p>
        </w:tc>
        <w:tc>
          <w:tcPr>
            <w:tcW w:w="7195" w:type="dxa"/>
          </w:tcPr>
          <w:p>
            <w:pPr>
              <w:pStyle w:val="32"/>
              <w:spacing w:before="39"/>
              <w:ind w:left="3096" w:right="3088"/>
              <w:jc w:val="center"/>
              <w:rPr>
                <w:rFonts w:ascii="新宋体" w:eastAsia="新宋体"/>
                <w:sz w:val="24"/>
              </w:rPr>
            </w:pPr>
            <w:r>
              <w:rPr>
                <w:rFonts w:hint="eastAsia" w:ascii="新宋体" w:eastAsia="新宋体"/>
                <w:sz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486" w:type="dxa"/>
          </w:tcPr>
          <w:p>
            <w:pPr>
              <w:pStyle w:val="32"/>
              <w:spacing w:before="9"/>
              <w:rPr>
                <w:rFonts w:ascii="新宋体"/>
                <w:b/>
                <w:sz w:val="33"/>
              </w:rPr>
            </w:pPr>
          </w:p>
          <w:p>
            <w:pPr>
              <w:pStyle w:val="32"/>
              <w:ind w:left="242" w:right="234"/>
              <w:jc w:val="center"/>
              <w:rPr>
                <w:rFonts w:ascii="新宋体" w:eastAsia="新宋体"/>
                <w:sz w:val="24"/>
              </w:rPr>
            </w:pPr>
            <w:r>
              <w:rPr>
                <w:rFonts w:hint="eastAsia" w:ascii="新宋体" w:eastAsia="新宋体"/>
                <w:sz w:val="24"/>
              </w:rPr>
              <w:t>项目经理</w:t>
            </w:r>
          </w:p>
        </w:tc>
        <w:tc>
          <w:tcPr>
            <w:tcW w:w="817" w:type="dxa"/>
            <w:vAlign w:val="center"/>
          </w:tcPr>
          <w:p>
            <w:pPr>
              <w:pStyle w:val="32"/>
              <w:ind w:left="9"/>
              <w:jc w:val="center"/>
              <w:rPr>
                <w:rFonts w:ascii="新宋体"/>
                <w:sz w:val="24"/>
              </w:rPr>
            </w:pPr>
            <w:r>
              <w:rPr>
                <w:rFonts w:ascii="新宋体"/>
                <w:sz w:val="24"/>
              </w:rPr>
              <w:t>1</w:t>
            </w:r>
          </w:p>
        </w:tc>
        <w:tc>
          <w:tcPr>
            <w:tcW w:w="7195" w:type="dxa"/>
            <w:vAlign w:val="center"/>
          </w:tcPr>
          <w:p>
            <w:pPr>
              <w:pStyle w:val="32"/>
              <w:spacing w:before="40" w:line="360" w:lineRule="auto"/>
              <w:ind w:left="107"/>
              <w:jc w:val="both"/>
              <w:rPr>
                <w:rFonts w:ascii="新宋体" w:eastAsia="新宋体"/>
                <w:sz w:val="24"/>
                <w:lang w:eastAsia="zh-CN"/>
              </w:rPr>
            </w:pPr>
            <w:r>
              <w:rPr>
                <w:rFonts w:hint="eastAsia" w:ascii="新宋体" w:eastAsia="新宋体"/>
                <w:sz w:val="24"/>
                <w:lang w:eastAsia="zh-CN"/>
              </w:rPr>
              <w:t>持有公路工程专业一级建造师注册证书（注册单位名称应与投标人一致</w:t>
            </w:r>
            <w:r>
              <w:rPr>
                <w:rFonts w:hint="eastAsia" w:ascii="新宋体" w:eastAsia="新宋体"/>
                <w:spacing w:val="-111"/>
                <w:sz w:val="24"/>
                <w:lang w:eastAsia="zh-CN"/>
              </w:rPr>
              <w:t>）</w:t>
            </w:r>
            <w:r>
              <w:rPr>
                <w:rFonts w:hint="eastAsia" w:ascii="新宋体" w:eastAsia="新宋体"/>
                <w:spacing w:val="-12"/>
                <w:sz w:val="24"/>
                <w:lang w:eastAsia="zh-CN"/>
              </w:rPr>
              <w:t>，</w:t>
            </w:r>
            <w:r>
              <w:rPr>
                <w:rFonts w:ascii="新宋体" w:eastAsia="新宋体"/>
                <w:spacing w:val="-6"/>
                <w:sz w:val="24"/>
                <w:lang w:eastAsia="zh-CN"/>
              </w:rPr>
              <w:t>持有</w:t>
            </w:r>
            <w:r>
              <w:rPr>
                <w:rFonts w:ascii="新宋体" w:eastAsia="新宋体"/>
                <w:b/>
                <w:spacing w:val="-6"/>
                <w:sz w:val="24"/>
                <w:lang w:eastAsia="zh-CN"/>
              </w:rPr>
              <w:t>有效</w:t>
            </w:r>
            <w:r>
              <w:rPr>
                <w:rFonts w:ascii="新宋体" w:eastAsia="新宋体"/>
                <w:spacing w:val="-6"/>
                <w:sz w:val="24"/>
                <w:lang w:eastAsia="zh-CN"/>
              </w:rPr>
              <w:t>的安全生产考核合格证书（B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486" w:type="dxa"/>
          </w:tcPr>
          <w:p>
            <w:pPr>
              <w:pStyle w:val="32"/>
              <w:spacing w:before="3"/>
              <w:rPr>
                <w:rFonts w:ascii="新宋体"/>
                <w:b/>
                <w:sz w:val="31"/>
                <w:lang w:eastAsia="zh-CN"/>
              </w:rPr>
            </w:pPr>
          </w:p>
          <w:p>
            <w:pPr>
              <w:pStyle w:val="32"/>
              <w:ind w:left="242" w:right="234"/>
              <w:jc w:val="center"/>
              <w:rPr>
                <w:rFonts w:ascii="新宋体" w:eastAsia="新宋体"/>
                <w:sz w:val="24"/>
              </w:rPr>
            </w:pPr>
            <w:r>
              <w:rPr>
                <w:rFonts w:hint="eastAsia" w:ascii="新宋体" w:eastAsia="新宋体"/>
                <w:sz w:val="24"/>
              </w:rPr>
              <w:t>项目总工</w:t>
            </w:r>
          </w:p>
        </w:tc>
        <w:tc>
          <w:tcPr>
            <w:tcW w:w="817" w:type="dxa"/>
          </w:tcPr>
          <w:p>
            <w:pPr>
              <w:pStyle w:val="32"/>
              <w:spacing w:before="3"/>
              <w:rPr>
                <w:rFonts w:ascii="新宋体"/>
                <w:b/>
                <w:sz w:val="31"/>
              </w:rPr>
            </w:pPr>
          </w:p>
          <w:p>
            <w:pPr>
              <w:pStyle w:val="32"/>
              <w:ind w:left="9"/>
              <w:jc w:val="center"/>
              <w:rPr>
                <w:rFonts w:ascii="新宋体"/>
                <w:sz w:val="24"/>
              </w:rPr>
            </w:pPr>
            <w:r>
              <w:rPr>
                <w:rFonts w:ascii="新宋体"/>
                <w:sz w:val="24"/>
              </w:rPr>
              <w:t>1</w:t>
            </w:r>
          </w:p>
        </w:tc>
        <w:tc>
          <w:tcPr>
            <w:tcW w:w="7195" w:type="dxa"/>
          </w:tcPr>
          <w:p>
            <w:pPr>
              <w:pStyle w:val="32"/>
              <w:spacing w:before="210" w:line="307" w:lineRule="auto"/>
              <w:ind w:left="107" w:right="96"/>
              <w:rPr>
                <w:rFonts w:ascii="新宋体" w:eastAsia="新宋体"/>
                <w:sz w:val="24"/>
                <w:lang w:eastAsia="zh-CN"/>
              </w:rPr>
            </w:pPr>
            <w:r>
              <w:rPr>
                <w:rFonts w:ascii="新宋体" w:eastAsia="新宋体"/>
                <w:spacing w:val="-6"/>
                <w:sz w:val="24"/>
                <w:lang w:eastAsia="zh-CN"/>
              </w:rPr>
              <w:t>公路工程相关专业高级工程师及以上职称，持有</w:t>
            </w:r>
            <w:r>
              <w:rPr>
                <w:rFonts w:ascii="新宋体" w:eastAsia="新宋体"/>
                <w:b/>
                <w:spacing w:val="-6"/>
                <w:sz w:val="24"/>
                <w:lang w:eastAsia="zh-CN"/>
              </w:rPr>
              <w:t>有效</w:t>
            </w:r>
            <w:r>
              <w:rPr>
                <w:rFonts w:ascii="新宋体" w:eastAsia="新宋体"/>
                <w:spacing w:val="-6"/>
                <w:sz w:val="24"/>
                <w:lang w:eastAsia="zh-CN"/>
              </w:rPr>
              <w:t>的安全生产考核合格证书（B 类），</w:t>
            </w:r>
            <w:r>
              <w:rPr>
                <w:rFonts w:hint="eastAsia" w:ascii="新宋体" w:eastAsia="新宋体"/>
                <w:spacing w:val="-6"/>
                <w:sz w:val="24"/>
                <w:lang w:eastAsia="zh-CN"/>
              </w:rPr>
              <w:t>5</w:t>
            </w:r>
            <w:r>
              <w:rPr>
                <w:rFonts w:ascii="新宋体" w:eastAsia="新宋体"/>
                <w:spacing w:val="-6"/>
                <w:sz w:val="24"/>
                <w:lang w:eastAsia="zh-CN"/>
              </w:rPr>
              <w:t>年以上公路工程施工经验</w:t>
            </w:r>
            <w:r>
              <w:rPr>
                <w:rFonts w:hint="eastAsia" w:ascii="新宋体" w:eastAsia="新宋体"/>
                <w:sz w:val="24"/>
                <w:lang w:eastAsia="zh-CN"/>
              </w:rPr>
              <w:t>（投标人出具证明</w:t>
            </w:r>
            <w:r>
              <w:rPr>
                <w:rFonts w:hint="eastAsia" w:ascii="新宋体" w:eastAsia="新宋体"/>
                <w:spacing w:val="-120"/>
                <w:sz w:val="24"/>
                <w:lang w:eastAsia="zh-CN"/>
              </w:rPr>
              <w:t>）</w:t>
            </w:r>
            <w:r>
              <w:rPr>
                <w:rFonts w:ascii="新宋体" w:eastAsia="新宋体"/>
                <w:spacing w:val="-6"/>
                <w:sz w:val="24"/>
                <w:lang w:eastAsia="zh-CN"/>
              </w:rPr>
              <w:t>。</w:t>
            </w:r>
          </w:p>
        </w:tc>
      </w:tr>
    </w:tbl>
    <w:p>
      <w:pPr>
        <w:pStyle w:val="7"/>
        <w:spacing w:before="49"/>
        <w:ind w:left="400"/>
      </w:pPr>
      <w:r>
        <w:t>注：</w:t>
      </w:r>
    </w:p>
    <w:p>
      <w:pPr>
        <w:pStyle w:val="31"/>
        <w:numPr>
          <w:ilvl w:val="0"/>
          <w:numId w:val="1"/>
        </w:numPr>
        <w:tabs>
          <w:tab w:val="left" w:pos="820"/>
          <w:tab w:val="left" w:pos="8931"/>
        </w:tabs>
        <w:spacing w:before="120" w:line="333" w:lineRule="auto"/>
        <w:ind w:right="26" w:hanging="424"/>
        <w:jc w:val="both"/>
        <w:rPr>
          <w:sz w:val="24"/>
          <w:lang w:eastAsia="zh-CN"/>
        </w:rPr>
      </w:pPr>
      <w:r>
        <w:rPr>
          <w:spacing w:val="-2"/>
          <w:sz w:val="24"/>
          <w:lang w:eastAsia="zh-CN"/>
        </w:rPr>
        <w:t>须提供投标人为拟委任的项目经理和项目总工</w:t>
      </w:r>
      <w:r>
        <w:rPr>
          <w:rFonts w:hint="eastAsia" w:ascii="Times New Roman" w:eastAsiaTheme="minorEastAsia"/>
          <w:sz w:val="24"/>
          <w:lang w:eastAsia="zh-CN"/>
        </w:rPr>
        <w:t>近</w:t>
      </w:r>
      <w:r>
        <w:rPr>
          <w:rFonts w:hint="eastAsia"/>
          <w:sz w:val="24"/>
          <w:lang w:eastAsia="zh-CN"/>
        </w:rPr>
        <w:t>半年</w:t>
      </w:r>
      <w:r>
        <w:rPr>
          <w:sz w:val="24"/>
          <w:lang w:eastAsia="zh-CN"/>
        </w:rPr>
        <w:t>的社保缴</w:t>
      </w:r>
      <w:r>
        <w:rPr>
          <w:spacing w:val="-2"/>
          <w:sz w:val="24"/>
          <w:lang w:eastAsia="zh-CN"/>
        </w:rPr>
        <w:t>费证明或其他能够证明参加社保的有效证明材料，无在岗项目承诺</w:t>
      </w:r>
      <w:r>
        <w:rPr>
          <w:spacing w:val="-3"/>
          <w:sz w:val="24"/>
          <w:lang w:eastAsia="zh-CN"/>
        </w:rPr>
        <w:t>（</w:t>
      </w:r>
      <w:r>
        <w:rPr>
          <w:sz w:val="24"/>
          <w:lang w:eastAsia="zh-CN"/>
        </w:rPr>
        <w:t>指目前</w:t>
      </w:r>
      <w:r>
        <w:rPr>
          <w:spacing w:val="-5"/>
          <w:sz w:val="24"/>
          <w:lang w:eastAsia="zh-CN"/>
        </w:rPr>
        <w:t>未在其他项目上任职，或虽在其他项目上任职但本项目中标后能够从该项目撤离</w:t>
      </w:r>
      <w:r>
        <w:rPr>
          <w:spacing w:val="-118"/>
          <w:sz w:val="24"/>
          <w:lang w:eastAsia="zh-CN"/>
        </w:rPr>
        <w:t>）</w:t>
      </w:r>
      <w:r>
        <w:rPr>
          <w:sz w:val="24"/>
          <w:lang w:eastAsia="zh-CN"/>
        </w:rPr>
        <w:t>。社保缴费证明或其他证明材料中的缴费单位应与投标人名称一致。</w:t>
      </w:r>
      <w:r>
        <w:rPr>
          <w:spacing w:val="-3"/>
          <w:sz w:val="24"/>
          <w:lang w:eastAsia="zh-CN"/>
        </w:rPr>
        <w:t>无在岗项目承诺正本中要求原件加盖投标人公章，其余为复印件加盖投标人公章。</w:t>
      </w:r>
    </w:p>
    <w:p>
      <w:pPr>
        <w:pStyle w:val="31"/>
        <w:numPr>
          <w:ilvl w:val="0"/>
          <w:numId w:val="1"/>
        </w:numPr>
        <w:tabs>
          <w:tab w:val="left" w:pos="820"/>
          <w:tab w:val="left" w:pos="8931"/>
        </w:tabs>
        <w:spacing w:before="120" w:line="333" w:lineRule="auto"/>
        <w:ind w:right="26" w:hanging="424"/>
        <w:jc w:val="both"/>
        <w:rPr>
          <w:sz w:val="24"/>
          <w:lang w:eastAsia="zh-CN"/>
        </w:rPr>
      </w:pPr>
      <w:r>
        <w:rPr>
          <w:sz w:val="24"/>
          <w:lang w:eastAsia="zh-CN"/>
        </w:rPr>
        <w:t>提供项目经理和项目总工的身份证（二代身份证应附正、反面</w:t>
      </w:r>
      <w:r>
        <w:rPr>
          <w:spacing w:val="-118"/>
          <w:sz w:val="24"/>
          <w:lang w:eastAsia="zh-CN"/>
        </w:rPr>
        <w:t>）</w:t>
      </w:r>
      <w:r>
        <w:rPr>
          <w:sz w:val="24"/>
          <w:lang w:eastAsia="zh-CN"/>
        </w:rPr>
        <w:t>、职称资格</w:t>
      </w:r>
      <w:r>
        <w:rPr>
          <w:spacing w:val="-3"/>
          <w:sz w:val="24"/>
          <w:lang w:eastAsia="zh-CN"/>
        </w:rPr>
        <w:t>证书以及招标要求的其他相关证书。职称证的单位与投标人单位不一致或未注明单位的，由投标人单位提供劳动合同。</w:t>
      </w:r>
      <w:r>
        <w:rPr>
          <w:spacing w:val="-3"/>
          <w:sz w:val="24"/>
        </w:rPr>
        <w:t>复印件加盖投标人公章。</w:t>
      </w:r>
    </w:p>
    <w:p>
      <w:pPr>
        <w:pStyle w:val="31"/>
        <w:numPr>
          <w:ilvl w:val="0"/>
          <w:numId w:val="1"/>
        </w:numPr>
        <w:tabs>
          <w:tab w:val="left" w:pos="820"/>
          <w:tab w:val="left" w:pos="8931"/>
        </w:tabs>
        <w:spacing w:before="120" w:line="333" w:lineRule="auto"/>
        <w:ind w:right="26" w:hanging="424"/>
        <w:jc w:val="both"/>
        <w:rPr>
          <w:sz w:val="24"/>
          <w:lang w:eastAsia="zh-CN"/>
        </w:rPr>
      </w:pPr>
      <w:r>
        <w:rPr>
          <w:rFonts w:hint="eastAsia"/>
          <w:b/>
          <w:sz w:val="24"/>
          <w:lang w:eastAsia="zh-CN"/>
        </w:rPr>
        <w:t>根据《交通运输部办公厅关于做好公路水运工程施工企业主要负责人和安全生产管理人员考核管理相关工作的通知》（交办安监函〔</w:t>
      </w:r>
      <w:r>
        <w:rPr>
          <w:b/>
          <w:sz w:val="24"/>
          <w:lang w:eastAsia="zh-CN"/>
        </w:rPr>
        <w:t xml:space="preserve"> 2016 〕6 816 号）的规定，项目经理、项目总工提供的安全生产考</w:t>
      </w:r>
      <w:r>
        <w:rPr>
          <w:rFonts w:hint="eastAsia"/>
          <w:b/>
          <w:sz w:val="24"/>
          <w:lang w:eastAsia="zh-CN"/>
        </w:rPr>
        <w:t>核合格证书（</w:t>
      </w:r>
      <w:r>
        <w:rPr>
          <w:b/>
          <w:sz w:val="24"/>
          <w:lang w:eastAsia="zh-CN"/>
        </w:rPr>
        <w:t>B类证书）必须为新证。</w:t>
      </w:r>
    </w:p>
    <w:p>
      <w:pPr>
        <w:pStyle w:val="7"/>
        <w:spacing w:before="12"/>
        <w:rPr>
          <w:sz w:val="17"/>
          <w:lang w:eastAsia="zh-CN"/>
        </w:rPr>
      </w:pPr>
    </w:p>
    <w:p>
      <w:pPr>
        <w:rPr>
          <w:sz w:val="17"/>
          <w:lang w:eastAsia="zh-CN"/>
        </w:rPr>
        <w:sectPr>
          <w:pgSz w:w="11911" w:h="16838"/>
          <w:pgMar w:top="1480" w:right="1276" w:bottom="1134" w:left="1678" w:header="720" w:footer="1117" w:gutter="0"/>
          <w:cols w:space="0" w:num="1"/>
        </w:sectPr>
      </w:pPr>
    </w:p>
    <w:p>
      <w:pPr>
        <w:pStyle w:val="7"/>
        <w:rPr>
          <w:sz w:val="20"/>
          <w:lang w:eastAsia="zh-CN"/>
        </w:rPr>
      </w:pPr>
    </w:p>
    <w:p>
      <w:pPr>
        <w:pStyle w:val="29"/>
        <w:tabs>
          <w:tab w:val="left" w:pos="2054"/>
        </w:tabs>
        <w:spacing w:before="175"/>
        <w:ind w:left="794"/>
        <w:rPr>
          <w:w w:val="95"/>
          <w:lang w:eastAsia="zh-CN"/>
        </w:rPr>
      </w:pPr>
      <w:r>
        <w:rPr>
          <w:sz w:val="28"/>
          <w:lang w:eastAsia="zh-CN"/>
        </w:rPr>
        <w:t>附录</w:t>
      </w:r>
      <w:r>
        <w:rPr>
          <w:rFonts w:hint="eastAsia" w:ascii="黑体" w:eastAsia="黑体"/>
          <w:sz w:val="28"/>
          <w:lang w:eastAsia="zh-CN"/>
        </w:rPr>
        <w:t xml:space="preserve">6 </w:t>
      </w:r>
      <w:r>
        <w:rPr>
          <w:w w:val="95"/>
          <w:lang w:eastAsia="zh-CN"/>
        </w:rPr>
        <w:t>资格审查条件</w:t>
      </w:r>
    </w:p>
    <w:p/>
    <w:tbl>
      <w:tblPr>
        <w:tblStyle w:val="14"/>
        <w:tblW w:w="88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357"/>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spacing w:line="360" w:lineRule="exact"/>
              <w:jc w:val="center"/>
              <w:rPr>
                <w:rFonts w:cs="Times New Roman"/>
                <w:sz w:val="24"/>
                <w:szCs w:val="24"/>
              </w:rPr>
            </w:pPr>
            <w:r>
              <w:rPr>
                <w:rFonts w:hint="eastAsia"/>
                <w:sz w:val="24"/>
                <w:szCs w:val="24"/>
              </w:rPr>
              <w:t>人员</w:t>
            </w:r>
          </w:p>
        </w:tc>
        <w:tc>
          <w:tcPr>
            <w:tcW w:w="1357" w:type="dxa"/>
          </w:tcPr>
          <w:p>
            <w:pPr>
              <w:spacing w:line="360" w:lineRule="exact"/>
              <w:jc w:val="center"/>
              <w:rPr>
                <w:rFonts w:cs="Times New Roman"/>
                <w:sz w:val="24"/>
                <w:szCs w:val="24"/>
              </w:rPr>
            </w:pPr>
            <w:r>
              <w:rPr>
                <w:rFonts w:hint="eastAsia"/>
                <w:sz w:val="24"/>
                <w:szCs w:val="24"/>
              </w:rPr>
              <w:t>数量</w:t>
            </w:r>
          </w:p>
        </w:tc>
        <w:tc>
          <w:tcPr>
            <w:tcW w:w="5731" w:type="dxa"/>
          </w:tcPr>
          <w:p>
            <w:pPr>
              <w:spacing w:line="360" w:lineRule="exact"/>
              <w:jc w:val="center"/>
              <w:rPr>
                <w:rFonts w:cs="Times New Roman"/>
                <w:sz w:val="24"/>
                <w:szCs w:val="24"/>
              </w:rPr>
            </w:pPr>
            <w:r>
              <w:rPr>
                <w:rFonts w:hint="eastAsia"/>
                <w:sz w:val="24"/>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rFonts w:cs="Times New Roman"/>
                <w:sz w:val="24"/>
                <w:szCs w:val="24"/>
              </w:rPr>
            </w:pPr>
            <w:r>
              <w:rPr>
                <w:rFonts w:hint="eastAsia"/>
                <w:sz w:val="24"/>
                <w:szCs w:val="24"/>
              </w:rPr>
              <w:t>施工员</w:t>
            </w:r>
          </w:p>
        </w:tc>
        <w:tc>
          <w:tcPr>
            <w:tcW w:w="1357" w:type="dxa"/>
            <w:vAlign w:val="center"/>
          </w:tcPr>
          <w:p>
            <w:pPr>
              <w:jc w:val="center"/>
              <w:rPr>
                <w:sz w:val="24"/>
                <w:szCs w:val="24"/>
                <w:lang w:eastAsia="zh-CN"/>
              </w:rPr>
            </w:pPr>
            <w:r>
              <w:rPr>
                <w:rFonts w:hint="eastAsia"/>
                <w:sz w:val="24"/>
                <w:szCs w:val="24"/>
                <w:lang w:eastAsia="zh-CN"/>
              </w:rPr>
              <w:t>3</w:t>
            </w:r>
          </w:p>
        </w:tc>
        <w:tc>
          <w:tcPr>
            <w:tcW w:w="5731" w:type="dxa"/>
          </w:tcPr>
          <w:p>
            <w:pPr>
              <w:pStyle w:val="32"/>
              <w:spacing w:before="204"/>
              <w:rPr>
                <w:sz w:val="24"/>
                <w:szCs w:val="24"/>
                <w:lang w:eastAsia="zh-CN"/>
              </w:rPr>
            </w:pPr>
            <w:r>
              <w:rPr>
                <w:rFonts w:hint="eastAsia"/>
                <w:sz w:val="24"/>
                <w:szCs w:val="24"/>
                <w:lang w:eastAsia="zh-CN"/>
              </w:rPr>
              <w:t>持有岗位证书，需提供岗位证书、身份证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rFonts w:cs="Times New Roman"/>
                <w:sz w:val="24"/>
                <w:szCs w:val="24"/>
              </w:rPr>
            </w:pPr>
            <w:r>
              <w:rPr>
                <w:rFonts w:hint="eastAsia"/>
                <w:sz w:val="24"/>
                <w:szCs w:val="24"/>
              </w:rPr>
              <w:t>质检（量）员</w:t>
            </w:r>
          </w:p>
        </w:tc>
        <w:tc>
          <w:tcPr>
            <w:tcW w:w="1357" w:type="dxa"/>
            <w:vAlign w:val="center"/>
          </w:tcPr>
          <w:p>
            <w:pPr>
              <w:jc w:val="center"/>
              <w:rPr>
                <w:sz w:val="24"/>
                <w:szCs w:val="24"/>
              </w:rPr>
            </w:pPr>
            <w:r>
              <w:rPr>
                <w:sz w:val="24"/>
                <w:szCs w:val="24"/>
              </w:rPr>
              <w:t>1</w:t>
            </w:r>
          </w:p>
        </w:tc>
        <w:tc>
          <w:tcPr>
            <w:tcW w:w="5731" w:type="dxa"/>
          </w:tcPr>
          <w:p>
            <w:pPr>
              <w:pStyle w:val="32"/>
              <w:spacing w:before="204"/>
              <w:rPr>
                <w:sz w:val="24"/>
                <w:szCs w:val="24"/>
                <w:lang w:eastAsia="zh-CN"/>
              </w:rPr>
            </w:pPr>
            <w:r>
              <w:rPr>
                <w:rFonts w:hint="eastAsia"/>
                <w:sz w:val="24"/>
                <w:szCs w:val="24"/>
                <w:lang w:eastAsia="zh-CN"/>
              </w:rPr>
              <w:t>持有岗位证书，需提供岗位证书、身份证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rFonts w:cs="Times New Roman"/>
                <w:sz w:val="24"/>
                <w:szCs w:val="24"/>
              </w:rPr>
            </w:pPr>
            <w:r>
              <w:rPr>
                <w:rFonts w:hint="eastAsia"/>
                <w:sz w:val="24"/>
                <w:szCs w:val="24"/>
              </w:rPr>
              <w:t>安全员</w:t>
            </w:r>
          </w:p>
        </w:tc>
        <w:tc>
          <w:tcPr>
            <w:tcW w:w="1357" w:type="dxa"/>
            <w:vAlign w:val="center"/>
          </w:tcPr>
          <w:p>
            <w:pPr>
              <w:jc w:val="center"/>
              <w:rPr>
                <w:sz w:val="24"/>
                <w:szCs w:val="24"/>
              </w:rPr>
            </w:pPr>
            <w:r>
              <w:rPr>
                <w:sz w:val="24"/>
                <w:szCs w:val="24"/>
              </w:rPr>
              <w:t>1</w:t>
            </w:r>
          </w:p>
        </w:tc>
        <w:tc>
          <w:tcPr>
            <w:tcW w:w="5731" w:type="dxa"/>
          </w:tcPr>
          <w:p>
            <w:pPr>
              <w:pStyle w:val="32"/>
              <w:spacing w:line="277" w:lineRule="exact"/>
              <w:ind w:right="125"/>
              <w:jc w:val="both"/>
              <w:rPr>
                <w:rFonts w:ascii="新宋体" w:eastAsia="新宋体"/>
                <w:sz w:val="24"/>
                <w:szCs w:val="24"/>
                <w:lang w:eastAsia="zh-CN"/>
              </w:rPr>
            </w:pPr>
            <w:r>
              <w:rPr>
                <w:rFonts w:hint="eastAsia" w:ascii="新宋体" w:eastAsia="新宋体"/>
                <w:sz w:val="24"/>
                <w:szCs w:val="24"/>
                <w:lang w:eastAsia="zh-CN"/>
              </w:rPr>
              <w:t>持有交通主管部门或建设行政主管部门核发的有效的安全生产考核证书。需提供安考证、身份证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rFonts w:cs="Times New Roman"/>
                <w:sz w:val="24"/>
                <w:szCs w:val="24"/>
              </w:rPr>
            </w:pPr>
            <w:r>
              <w:rPr>
                <w:rFonts w:hint="eastAsia"/>
                <w:sz w:val="24"/>
                <w:szCs w:val="24"/>
              </w:rPr>
              <w:t>材料员</w:t>
            </w:r>
          </w:p>
        </w:tc>
        <w:tc>
          <w:tcPr>
            <w:tcW w:w="1357" w:type="dxa"/>
            <w:vAlign w:val="center"/>
          </w:tcPr>
          <w:p>
            <w:pPr>
              <w:jc w:val="center"/>
              <w:rPr>
                <w:sz w:val="24"/>
                <w:szCs w:val="24"/>
              </w:rPr>
            </w:pPr>
            <w:r>
              <w:rPr>
                <w:sz w:val="24"/>
                <w:szCs w:val="24"/>
              </w:rPr>
              <w:t>1</w:t>
            </w:r>
          </w:p>
        </w:tc>
        <w:tc>
          <w:tcPr>
            <w:tcW w:w="5731" w:type="dxa"/>
          </w:tcPr>
          <w:p>
            <w:pPr>
              <w:pStyle w:val="32"/>
              <w:spacing w:before="202"/>
              <w:rPr>
                <w:sz w:val="24"/>
                <w:szCs w:val="24"/>
                <w:lang w:eastAsia="zh-CN"/>
              </w:rPr>
            </w:pPr>
            <w:r>
              <w:rPr>
                <w:rFonts w:hint="eastAsia"/>
                <w:sz w:val="24"/>
                <w:szCs w:val="24"/>
                <w:lang w:eastAsia="zh-CN"/>
              </w:rPr>
              <w:t>持有岗位证书，需提供岗位证书、身份证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lang w:eastAsia="zh-CN"/>
              </w:rPr>
            </w:pPr>
            <w:r>
              <w:rPr>
                <w:rFonts w:hint="eastAsia"/>
                <w:sz w:val="24"/>
                <w:szCs w:val="24"/>
                <w:lang w:eastAsia="zh-CN"/>
              </w:rPr>
              <w:t>资料员</w:t>
            </w:r>
          </w:p>
        </w:tc>
        <w:tc>
          <w:tcPr>
            <w:tcW w:w="1357" w:type="dxa"/>
            <w:vAlign w:val="center"/>
          </w:tcPr>
          <w:p>
            <w:pPr>
              <w:jc w:val="center"/>
              <w:rPr>
                <w:sz w:val="24"/>
                <w:szCs w:val="24"/>
                <w:lang w:eastAsia="zh-CN"/>
              </w:rPr>
            </w:pPr>
            <w:r>
              <w:rPr>
                <w:rFonts w:hint="eastAsia"/>
                <w:sz w:val="24"/>
                <w:szCs w:val="24"/>
                <w:lang w:eastAsia="zh-CN"/>
              </w:rPr>
              <w:t>1</w:t>
            </w:r>
          </w:p>
        </w:tc>
        <w:tc>
          <w:tcPr>
            <w:tcW w:w="5731" w:type="dxa"/>
          </w:tcPr>
          <w:p>
            <w:pPr>
              <w:pStyle w:val="32"/>
              <w:spacing w:before="202"/>
              <w:rPr>
                <w:sz w:val="24"/>
                <w:szCs w:val="24"/>
                <w:lang w:eastAsia="zh-CN"/>
              </w:rPr>
            </w:pPr>
            <w:r>
              <w:rPr>
                <w:rFonts w:hint="eastAsia"/>
                <w:sz w:val="24"/>
                <w:szCs w:val="24"/>
                <w:lang w:eastAsia="zh-CN"/>
              </w:rPr>
              <w:t>持有岗位证书，需提供岗位证书、身份证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lang w:eastAsia="zh-CN"/>
              </w:rPr>
            </w:pPr>
            <w:r>
              <w:rPr>
                <w:rFonts w:hint="eastAsia"/>
                <w:sz w:val="24"/>
              </w:rPr>
              <w:t>造价员</w:t>
            </w:r>
          </w:p>
        </w:tc>
        <w:tc>
          <w:tcPr>
            <w:tcW w:w="1357" w:type="dxa"/>
            <w:vAlign w:val="center"/>
          </w:tcPr>
          <w:p>
            <w:pPr>
              <w:jc w:val="center"/>
              <w:rPr>
                <w:sz w:val="24"/>
                <w:szCs w:val="24"/>
                <w:lang w:eastAsia="zh-CN"/>
              </w:rPr>
            </w:pPr>
            <w:r>
              <w:rPr>
                <w:rFonts w:hint="eastAsia"/>
                <w:sz w:val="24"/>
                <w:szCs w:val="24"/>
                <w:lang w:eastAsia="zh-CN"/>
              </w:rPr>
              <w:t>1</w:t>
            </w:r>
          </w:p>
        </w:tc>
        <w:tc>
          <w:tcPr>
            <w:tcW w:w="5731" w:type="dxa"/>
          </w:tcPr>
          <w:p>
            <w:pPr>
              <w:pStyle w:val="32"/>
              <w:spacing w:before="202"/>
              <w:rPr>
                <w:sz w:val="24"/>
                <w:szCs w:val="24"/>
                <w:lang w:eastAsia="zh-CN"/>
              </w:rPr>
            </w:pPr>
            <w:r>
              <w:rPr>
                <w:rFonts w:hint="eastAsia"/>
                <w:sz w:val="24"/>
                <w:szCs w:val="24"/>
                <w:lang w:eastAsia="zh-CN"/>
              </w:rPr>
              <w:t>持有岗位证书，需提供岗位证书、身份证</w:t>
            </w:r>
          </w:p>
        </w:tc>
      </w:tr>
    </w:tbl>
    <w:p>
      <w:pPr>
        <w:spacing w:line="360" w:lineRule="exact"/>
        <w:rPr>
          <w:rFonts w:cs="Times New Roman"/>
          <w:lang w:eastAsia="zh-CN"/>
        </w:rPr>
      </w:pPr>
    </w:p>
    <w:p>
      <w:pPr>
        <w:pStyle w:val="7"/>
        <w:spacing w:before="51"/>
        <w:ind w:left="120"/>
        <w:rPr>
          <w:lang w:eastAsia="zh-CN"/>
        </w:rPr>
      </w:pPr>
      <w:r>
        <w:rPr>
          <w:lang w:eastAsia="zh-CN"/>
        </w:rPr>
        <w:t>注：</w:t>
      </w:r>
    </w:p>
    <w:p>
      <w:pPr>
        <w:pStyle w:val="7"/>
        <w:spacing w:before="98" w:line="304" w:lineRule="auto"/>
        <w:ind w:left="120" w:right="618" w:firstLine="480"/>
        <w:jc w:val="both"/>
        <w:rPr>
          <w:lang w:eastAsia="zh-CN"/>
        </w:rPr>
      </w:pPr>
      <w:r>
        <w:rPr>
          <w:rFonts w:ascii="Times New Roman" w:eastAsia="Times New Roman"/>
          <w:lang w:eastAsia="zh-CN"/>
        </w:rPr>
        <w:t>1</w:t>
      </w:r>
      <w:r>
        <w:rPr>
          <w:spacing w:val="-15"/>
          <w:lang w:eastAsia="zh-CN"/>
        </w:rPr>
        <w:t>、须提供投标人为上述人员</w:t>
      </w:r>
      <w:r>
        <w:rPr>
          <w:rFonts w:hint="eastAsia" w:ascii="Times New Roman" w:eastAsiaTheme="minorEastAsia"/>
          <w:lang w:eastAsia="zh-CN"/>
        </w:rPr>
        <w:t>近半年</w:t>
      </w:r>
      <w:r>
        <w:rPr>
          <w:rFonts w:hint="eastAsia"/>
          <w:lang w:eastAsia="zh-CN"/>
        </w:rPr>
        <w:t>的</w:t>
      </w:r>
      <w:r>
        <w:rPr>
          <w:lang w:eastAsia="zh-CN"/>
        </w:rPr>
        <w:t>社保缴费证明或其他能够</w:t>
      </w:r>
      <w:r>
        <w:rPr>
          <w:spacing w:val="-6"/>
          <w:lang w:eastAsia="zh-CN"/>
        </w:rPr>
        <w:t>证明参加社保的有效证明材料及身份证，社保缴费证明或其他证明材料中的缴费单位应与投标人名称一致。</w:t>
      </w:r>
    </w:p>
    <w:p>
      <w:pPr>
        <w:pStyle w:val="7"/>
        <w:spacing w:before="33"/>
        <w:ind w:left="585"/>
        <w:rPr>
          <w:lang w:eastAsia="zh-CN"/>
        </w:rPr>
      </w:pPr>
      <w:r>
        <w:rPr>
          <w:rFonts w:ascii="Times New Roman" w:eastAsia="Times New Roman"/>
          <w:lang w:eastAsia="zh-CN"/>
        </w:rPr>
        <w:t>2</w:t>
      </w:r>
      <w:r>
        <w:rPr>
          <w:lang w:eastAsia="zh-CN"/>
        </w:rPr>
        <w:t>、上述证书、证明复印件加盖投标人公章。</w:t>
      </w:r>
    </w:p>
    <w:p>
      <w:pPr>
        <w:pStyle w:val="7"/>
        <w:spacing w:before="77"/>
        <w:ind w:left="585"/>
        <w:rPr>
          <w:lang w:eastAsia="zh-CN"/>
        </w:rPr>
      </w:pPr>
      <w:r>
        <w:rPr>
          <w:rFonts w:ascii="Times New Roman" w:eastAsia="Times New Roman"/>
          <w:lang w:eastAsia="zh-CN"/>
        </w:rPr>
        <w:t>3</w:t>
      </w:r>
      <w:r>
        <w:rPr>
          <w:lang w:eastAsia="zh-CN"/>
        </w:rPr>
        <w:t>、上岗证或岗位证书不限制专业。</w:t>
      </w:r>
    </w:p>
    <w:p>
      <w:pPr>
        <w:rPr>
          <w:lang w:eastAsia="zh-CN"/>
        </w:rPr>
      </w:pPr>
    </w:p>
    <w:p>
      <w:pPr>
        <w:pStyle w:val="7"/>
        <w:rPr>
          <w:b/>
          <w:sz w:val="20"/>
          <w:lang w:eastAsia="zh-CN"/>
        </w:rPr>
      </w:pPr>
    </w:p>
    <w:p>
      <w:pPr>
        <w:rPr>
          <w:sz w:val="21"/>
          <w:lang w:eastAsia="zh-CN"/>
        </w:rPr>
        <w:sectPr>
          <w:pgSz w:w="11911" w:h="16838"/>
          <w:pgMar w:top="1480" w:right="1276" w:bottom="1134" w:left="1678" w:header="720" w:footer="1117" w:gutter="0"/>
          <w:cols w:space="0" w:num="1"/>
        </w:sectPr>
      </w:pPr>
    </w:p>
    <w:p>
      <w:pPr>
        <w:pStyle w:val="2"/>
        <w:spacing w:line="240" w:lineRule="auto"/>
        <w:jc w:val="center"/>
        <w:rPr>
          <w:sz w:val="36"/>
          <w:szCs w:val="36"/>
          <w:lang w:eastAsia="zh-CN"/>
        </w:rPr>
      </w:pPr>
      <w:bookmarkStart w:id="0" w:name="_Toc39852366"/>
      <w:r>
        <w:rPr>
          <w:sz w:val="36"/>
          <w:szCs w:val="36"/>
          <w:lang w:eastAsia="zh-CN"/>
        </w:rPr>
        <w:t>第三章</w:t>
      </w:r>
      <w:r>
        <w:rPr>
          <w:sz w:val="36"/>
          <w:szCs w:val="36"/>
          <w:lang w:eastAsia="zh-CN"/>
        </w:rPr>
        <w:tab/>
      </w:r>
      <w:r>
        <w:rPr>
          <w:sz w:val="36"/>
          <w:szCs w:val="36"/>
          <w:lang w:eastAsia="zh-CN"/>
        </w:rPr>
        <w:t>评标办法</w:t>
      </w:r>
      <w:bookmarkEnd w:id="0"/>
    </w:p>
    <w:p>
      <w:pPr>
        <w:jc w:val="center"/>
        <w:rPr>
          <w:rFonts w:ascii="黑体" w:eastAsia="黑体"/>
          <w:sz w:val="28"/>
          <w:lang w:eastAsia="zh-CN"/>
        </w:rPr>
      </w:pPr>
      <w:r>
        <w:rPr>
          <w:rFonts w:hint="eastAsia" w:ascii="黑体" w:eastAsia="黑体"/>
          <w:sz w:val="28"/>
          <w:lang w:eastAsia="zh-CN"/>
        </w:rPr>
        <w:t>（合理低价法）</w:t>
      </w:r>
    </w:p>
    <w:p>
      <w:pPr>
        <w:pStyle w:val="7"/>
        <w:spacing w:before="252" w:line="237" w:lineRule="auto"/>
        <w:ind w:left="218" w:right="198" w:firstLine="420"/>
        <w:rPr>
          <w:lang w:eastAsia="zh-CN"/>
        </w:rPr>
      </w:pPr>
      <w:r>
        <w:rPr>
          <w:spacing w:val="-15"/>
          <w:lang w:eastAsia="zh-CN"/>
        </w:rPr>
        <w:t>说明：“评标办法前附表”是对“ 评标办法正文”的补充、细化，“评标办法前附表”与“ 评</w:t>
      </w:r>
      <w:r>
        <w:rPr>
          <w:spacing w:val="-14"/>
          <w:lang w:eastAsia="zh-CN"/>
        </w:rPr>
        <w:t>标办法正文”不一致的以“ 评标办法前附表”为准。</w:t>
      </w:r>
    </w:p>
    <w:p>
      <w:pPr>
        <w:rPr>
          <w:rFonts w:ascii="黑体" w:eastAsia="黑体"/>
          <w:sz w:val="28"/>
          <w:lang w:eastAsia="zh-CN"/>
        </w:rPr>
      </w:pPr>
      <w:bookmarkStart w:id="1" w:name="评标办法前附表"/>
      <w:bookmarkEnd w:id="1"/>
      <w:r>
        <w:rPr>
          <w:rFonts w:hint="eastAsia" w:ascii="黑体" w:eastAsia="黑体"/>
        </w:rPr>
        <w:t>评标办法前附表</w:t>
      </w:r>
    </w:p>
    <w:tbl>
      <w:tblPr>
        <w:tblStyle w:val="19"/>
        <w:tblW w:w="924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9"/>
        <w:gridCol w:w="1631"/>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660" w:type="dxa"/>
            <w:gridSpan w:val="2"/>
          </w:tcPr>
          <w:p>
            <w:pPr>
              <w:pStyle w:val="32"/>
              <w:spacing w:before="54"/>
              <w:ind w:left="1010" w:right="998"/>
              <w:jc w:val="center"/>
              <w:rPr>
                <w:b/>
                <w:sz w:val="21"/>
              </w:rPr>
            </w:pPr>
            <w:r>
              <w:rPr>
                <w:b/>
                <w:w w:val="95"/>
                <w:sz w:val="21"/>
              </w:rPr>
              <w:t>条款号</w:t>
            </w:r>
          </w:p>
        </w:tc>
        <w:tc>
          <w:tcPr>
            <w:tcW w:w="6586" w:type="dxa"/>
          </w:tcPr>
          <w:p>
            <w:pPr>
              <w:pStyle w:val="32"/>
              <w:spacing w:before="54"/>
              <w:ind w:left="2373" w:right="2360"/>
              <w:jc w:val="center"/>
              <w:rPr>
                <w:b/>
                <w:sz w:val="21"/>
              </w:rPr>
            </w:pPr>
            <w:r>
              <w:rPr>
                <w:b/>
                <w:w w:val="95"/>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1029" w:type="dxa"/>
          </w:tcPr>
          <w:p>
            <w:pPr>
              <w:pStyle w:val="32"/>
              <w:rPr>
                <w:rFonts w:ascii="黑体"/>
                <w:sz w:val="24"/>
                <w:szCs w:val="24"/>
              </w:rPr>
            </w:pPr>
          </w:p>
          <w:p>
            <w:pPr>
              <w:pStyle w:val="32"/>
              <w:spacing w:before="1"/>
              <w:rPr>
                <w:rFonts w:ascii="黑体"/>
                <w:sz w:val="24"/>
                <w:szCs w:val="24"/>
              </w:rPr>
            </w:pPr>
          </w:p>
          <w:p>
            <w:pPr>
              <w:pStyle w:val="32"/>
              <w:ind w:left="7"/>
              <w:jc w:val="center"/>
              <w:rPr>
                <w:sz w:val="24"/>
                <w:szCs w:val="24"/>
              </w:rPr>
            </w:pPr>
            <w:r>
              <w:rPr>
                <w:w w:val="99"/>
                <w:sz w:val="24"/>
                <w:szCs w:val="24"/>
              </w:rPr>
              <w:t>1</w:t>
            </w:r>
          </w:p>
        </w:tc>
        <w:tc>
          <w:tcPr>
            <w:tcW w:w="1631" w:type="dxa"/>
          </w:tcPr>
          <w:p>
            <w:pPr>
              <w:pStyle w:val="32"/>
              <w:rPr>
                <w:rFonts w:ascii="黑体"/>
                <w:sz w:val="24"/>
                <w:szCs w:val="24"/>
              </w:rPr>
            </w:pPr>
          </w:p>
          <w:p>
            <w:pPr>
              <w:pStyle w:val="32"/>
              <w:spacing w:before="1"/>
              <w:rPr>
                <w:rFonts w:ascii="黑体"/>
                <w:sz w:val="24"/>
                <w:szCs w:val="24"/>
              </w:rPr>
            </w:pPr>
          </w:p>
          <w:p>
            <w:pPr>
              <w:pStyle w:val="32"/>
              <w:ind w:left="394"/>
              <w:rPr>
                <w:sz w:val="24"/>
                <w:szCs w:val="24"/>
              </w:rPr>
            </w:pPr>
            <w:r>
              <w:rPr>
                <w:w w:val="95"/>
                <w:sz w:val="24"/>
                <w:szCs w:val="24"/>
              </w:rPr>
              <w:t>评标办法</w:t>
            </w:r>
          </w:p>
        </w:tc>
        <w:tc>
          <w:tcPr>
            <w:tcW w:w="6586" w:type="dxa"/>
          </w:tcPr>
          <w:p>
            <w:pPr>
              <w:pStyle w:val="32"/>
              <w:spacing w:line="240" w:lineRule="exact"/>
              <w:ind w:left="107"/>
              <w:rPr>
                <w:sz w:val="24"/>
                <w:szCs w:val="24"/>
                <w:lang w:eastAsia="zh-CN"/>
              </w:rPr>
            </w:pPr>
            <w:r>
              <w:rPr>
                <w:w w:val="95"/>
                <w:sz w:val="24"/>
                <w:szCs w:val="24"/>
                <w:lang w:eastAsia="zh-CN"/>
              </w:rPr>
              <w:t>综合评分相等时，评标委员会依次按照以下优先顺序推荐中标候选人或确定中标人：</w:t>
            </w:r>
          </w:p>
          <w:p>
            <w:pPr>
              <w:pStyle w:val="32"/>
              <w:spacing w:before="63"/>
              <w:ind w:left="107"/>
              <w:rPr>
                <w:sz w:val="24"/>
                <w:szCs w:val="24"/>
                <w:lang w:eastAsia="zh-CN"/>
              </w:rPr>
            </w:pPr>
            <w:r>
              <w:rPr>
                <w:w w:val="95"/>
                <w:sz w:val="24"/>
                <w:szCs w:val="24"/>
                <w:lang w:eastAsia="zh-CN"/>
              </w:rPr>
              <w:t>（1）评标价低的投标人优先；</w:t>
            </w:r>
          </w:p>
          <w:p>
            <w:pPr>
              <w:pStyle w:val="32"/>
              <w:spacing w:before="65"/>
              <w:ind w:left="107"/>
              <w:rPr>
                <w:sz w:val="24"/>
                <w:szCs w:val="24"/>
                <w:lang w:eastAsia="zh-CN"/>
              </w:rPr>
            </w:pPr>
            <w:r>
              <w:rPr>
                <w:w w:val="95"/>
                <w:sz w:val="24"/>
                <w:szCs w:val="24"/>
                <w:lang w:eastAsia="zh-CN"/>
              </w:rPr>
              <w:t>（2）以评标时采用的信用等级较高的的投标人优先；</w:t>
            </w:r>
          </w:p>
          <w:p>
            <w:pPr>
              <w:pStyle w:val="32"/>
              <w:spacing w:before="65"/>
              <w:ind w:left="107"/>
              <w:rPr>
                <w:sz w:val="24"/>
                <w:szCs w:val="24"/>
                <w:lang w:eastAsia="zh-CN"/>
              </w:rPr>
            </w:pPr>
            <w:r>
              <w:rPr>
                <w:w w:val="95"/>
                <w:sz w:val="24"/>
                <w:szCs w:val="24"/>
                <w:lang w:eastAsia="zh-CN"/>
              </w:rPr>
              <w:t>（3）标书款交纳时间较早的优先；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7" w:hRule="atLeast"/>
        </w:trPr>
        <w:tc>
          <w:tcPr>
            <w:tcW w:w="1029" w:type="dxa"/>
          </w:tcPr>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rPr>
                <w:rFonts w:ascii="黑体"/>
                <w:lang w:eastAsia="zh-CN"/>
              </w:rPr>
            </w:pPr>
          </w:p>
          <w:p>
            <w:pPr>
              <w:pStyle w:val="32"/>
              <w:spacing w:before="7"/>
              <w:rPr>
                <w:rFonts w:ascii="黑体"/>
                <w:sz w:val="24"/>
                <w:lang w:eastAsia="zh-CN"/>
              </w:rPr>
            </w:pPr>
          </w:p>
          <w:p>
            <w:pPr>
              <w:pStyle w:val="32"/>
              <w:spacing w:line="241" w:lineRule="exact"/>
              <w:ind w:left="281"/>
              <w:rPr>
                <w:rFonts w:ascii="Arial"/>
                <w:sz w:val="21"/>
              </w:rPr>
            </w:pPr>
            <w:r>
              <w:rPr>
                <w:rFonts w:ascii="Arial"/>
                <w:sz w:val="21"/>
              </w:rPr>
              <w:t>2.1.1</w:t>
            </w:r>
          </w:p>
          <w:p>
            <w:pPr>
              <w:pStyle w:val="32"/>
              <w:spacing w:line="241" w:lineRule="exact"/>
              <w:ind w:left="281"/>
              <w:rPr>
                <w:rFonts w:ascii="Arial"/>
                <w:sz w:val="21"/>
              </w:rPr>
            </w:pPr>
            <w:r>
              <w:rPr>
                <w:rFonts w:ascii="Arial"/>
                <w:sz w:val="21"/>
              </w:rPr>
              <w:t>2.1.3</w:t>
            </w:r>
          </w:p>
        </w:tc>
        <w:tc>
          <w:tcPr>
            <w:tcW w:w="1631" w:type="dxa"/>
          </w:tcPr>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rPr>
                <w:rFonts w:ascii="黑体"/>
                <w:sz w:val="20"/>
                <w:lang w:eastAsia="zh-CN"/>
              </w:rPr>
            </w:pPr>
          </w:p>
          <w:p>
            <w:pPr>
              <w:pStyle w:val="32"/>
              <w:spacing w:before="162" w:line="350" w:lineRule="auto"/>
              <w:ind w:left="185" w:right="175"/>
              <w:rPr>
                <w:sz w:val="21"/>
                <w:lang w:eastAsia="zh-CN"/>
              </w:rPr>
            </w:pPr>
            <w:r>
              <w:rPr>
                <w:w w:val="95"/>
                <w:sz w:val="21"/>
                <w:lang w:eastAsia="zh-CN"/>
              </w:rPr>
              <w:t>形式评审与响应性评审标准</w:t>
            </w:r>
          </w:p>
        </w:tc>
        <w:tc>
          <w:tcPr>
            <w:tcW w:w="6586" w:type="dxa"/>
          </w:tcPr>
          <w:p>
            <w:pPr>
              <w:pStyle w:val="32"/>
              <w:spacing w:before="57"/>
              <w:ind w:left="530"/>
              <w:rPr>
                <w:b/>
                <w:sz w:val="21"/>
                <w:lang w:eastAsia="zh-CN"/>
              </w:rPr>
            </w:pPr>
            <w:r>
              <w:rPr>
                <w:b/>
                <w:sz w:val="21"/>
                <w:lang w:eastAsia="zh-CN"/>
              </w:rPr>
              <w:t>第一个信封（商务及技术文件）评审标准：</w:t>
            </w:r>
          </w:p>
          <w:p>
            <w:pPr>
              <w:pStyle w:val="32"/>
              <w:spacing w:before="85" w:line="297" w:lineRule="auto"/>
              <w:ind w:left="107" w:right="93" w:firstLine="420"/>
              <w:rPr>
                <w:sz w:val="21"/>
                <w:lang w:eastAsia="zh-CN"/>
              </w:rPr>
            </w:pPr>
            <w:r>
              <w:rPr>
                <w:sz w:val="21"/>
                <w:lang w:eastAsia="zh-CN"/>
              </w:rPr>
              <w:t>（</w:t>
            </w:r>
            <w:r>
              <w:rPr>
                <w:rFonts w:ascii="Times New Roman" w:eastAsia="Times New Roman"/>
                <w:sz w:val="21"/>
                <w:lang w:eastAsia="zh-CN"/>
              </w:rPr>
              <w:t>1</w:t>
            </w:r>
            <w:r>
              <w:rPr>
                <w:sz w:val="21"/>
                <w:lang w:eastAsia="zh-CN"/>
              </w:rPr>
              <w:t>）投标文件按照招标文件规定的格式、内容填写，字迹清晰可辨：</w:t>
            </w:r>
          </w:p>
          <w:p>
            <w:pPr>
              <w:pStyle w:val="32"/>
              <w:spacing w:before="34" w:line="297" w:lineRule="auto"/>
              <w:ind w:left="107" w:right="93" w:firstLine="420"/>
              <w:rPr>
                <w:sz w:val="21"/>
                <w:lang w:eastAsia="zh-CN"/>
              </w:rPr>
            </w:pPr>
            <w:r>
              <w:rPr>
                <w:rFonts w:ascii="Times New Roman" w:eastAsia="Times New Roman"/>
                <w:sz w:val="21"/>
                <w:lang w:eastAsia="zh-CN"/>
              </w:rPr>
              <w:t>a.</w:t>
            </w:r>
            <w:r>
              <w:rPr>
                <w:spacing w:val="-15"/>
                <w:sz w:val="21"/>
                <w:lang w:eastAsia="zh-CN"/>
              </w:rPr>
              <w:t>投标函按招标文件规定填报了项目名称、标段号、补遗书编号</w:t>
            </w:r>
            <w:r>
              <w:rPr>
                <w:sz w:val="21"/>
                <w:lang w:eastAsia="zh-CN"/>
              </w:rPr>
              <w:t>（如</w:t>
            </w:r>
            <w:r>
              <w:rPr>
                <w:spacing w:val="-1"/>
                <w:sz w:val="21"/>
                <w:lang w:eastAsia="zh-CN"/>
              </w:rPr>
              <w:t>有</w:t>
            </w:r>
            <w:r>
              <w:rPr>
                <w:spacing w:val="-106"/>
                <w:sz w:val="21"/>
                <w:lang w:eastAsia="zh-CN"/>
              </w:rPr>
              <w:t>）</w:t>
            </w:r>
            <w:r>
              <w:rPr>
                <w:spacing w:val="-3"/>
                <w:sz w:val="21"/>
                <w:lang w:eastAsia="zh-CN"/>
              </w:rPr>
              <w:t>、工期、工程质量要求及安全目标；</w:t>
            </w:r>
          </w:p>
          <w:p>
            <w:pPr>
              <w:pStyle w:val="32"/>
              <w:spacing w:before="34"/>
              <w:ind w:left="528"/>
              <w:rPr>
                <w:sz w:val="21"/>
                <w:lang w:eastAsia="zh-CN"/>
              </w:rPr>
            </w:pPr>
            <w:r>
              <w:rPr>
                <w:rFonts w:ascii="Times New Roman" w:eastAsia="Times New Roman"/>
                <w:sz w:val="21"/>
                <w:lang w:eastAsia="zh-CN"/>
              </w:rPr>
              <w:t>b.</w:t>
            </w:r>
            <w:r>
              <w:rPr>
                <w:sz w:val="21"/>
                <w:lang w:eastAsia="zh-CN"/>
              </w:rPr>
              <w:t>投标函附录的所有数据均符合招标文件规定；</w:t>
            </w:r>
          </w:p>
          <w:p>
            <w:pPr>
              <w:pStyle w:val="32"/>
              <w:spacing w:before="69"/>
              <w:ind w:left="528"/>
              <w:rPr>
                <w:sz w:val="21"/>
                <w:lang w:eastAsia="zh-CN"/>
              </w:rPr>
            </w:pPr>
            <w:r>
              <w:rPr>
                <w:rFonts w:ascii="Times New Roman" w:eastAsia="Times New Roman"/>
                <w:sz w:val="21"/>
                <w:lang w:eastAsia="zh-CN"/>
              </w:rPr>
              <w:t>c.</w:t>
            </w:r>
            <w:r>
              <w:rPr>
                <w:sz w:val="21"/>
                <w:lang w:eastAsia="zh-CN"/>
              </w:rPr>
              <w:t>投标文件组成齐全完整，内容均按规定填写。</w:t>
            </w:r>
          </w:p>
          <w:p>
            <w:pPr>
              <w:pStyle w:val="32"/>
              <w:spacing w:before="69" w:line="297" w:lineRule="auto"/>
              <w:ind w:left="107" w:right="93" w:firstLine="420"/>
              <w:rPr>
                <w:sz w:val="21"/>
                <w:lang w:eastAsia="zh-CN"/>
              </w:rPr>
            </w:pPr>
            <w:r>
              <w:rPr>
                <w:sz w:val="21"/>
                <w:lang w:eastAsia="zh-CN"/>
              </w:rPr>
              <w:t>（</w:t>
            </w:r>
            <w:r>
              <w:rPr>
                <w:rFonts w:ascii="Times New Roman" w:eastAsia="Times New Roman"/>
                <w:sz w:val="21"/>
                <w:lang w:eastAsia="zh-CN"/>
              </w:rPr>
              <w:t>2</w:t>
            </w:r>
            <w:r>
              <w:rPr>
                <w:sz w:val="21"/>
                <w:lang w:eastAsia="zh-CN"/>
              </w:rPr>
              <w:t>）投标文件上法定代表人或其委托代理人的签字、投标人的单位章盖章齐全，符合招标文件规定。</w:t>
            </w:r>
          </w:p>
          <w:p>
            <w:pPr>
              <w:pStyle w:val="32"/>
              <w:spacing w:before="35" w:line="304" w:lineRule="auto"/>
              <w:ind w:left="107" w:right="90" w:firstLine="420"/>
              <w:jc w:val="both"/>
              <w:rPr>
                <w:sz w:val="21"/>
                <w:lang w:eastAsia="zh-CN"/>
              </w:rPr>
            </w:pPr>
            <w:r>
              <w:rPr>
                <w:sz w:val="21"/>
                <w:lang w:eastAsia="zh-CN"/>
              </w:rPr>
              <w:t>（</w:t>
            </w:r>
            <w:r>
              <w:rPr>
                <w:rFonts w:ascii="Times New Roman" w:eastAsia="Times New Roman"/>
                <w:sz w:val="21"/>
                <w:lang w:eastAsia="zh-CN"/>
              </w:rPr>
              <w:t>3</w:t>
            </w:r>
            <w:r>
              <w:rPr>
                <w:sz w:val="21"/>
                <w:lang w:eastAsia="zh-CN"/>
              </w:rPr>
              <w:t>）与申请资格预审时比较，投标人发生合并、分立、破产等重大变化的，仍具备资格预审文件规定的相应资格条件且其投标未影响招标公正性：</w:t>
            </w:r>
          </w:p>
          <w:p>
            <w:pPr>
              <w:pStyle w:val="32"/>
              <w:spacing w:before="28" w:line="297" w:lineRule="auto"/>
              <w:ind w:left="107" w:right="97" w:firstLine="420"/>
              <w:rPr>
                <w:sz w:val="21"/>
                <w:lang w:eastAsia="zh-CN"/>
              </w:rPr>
            </w:pPr>
            <w:r>
              <w:rPr>
                <w:rFonts w:ascii="Times New Roman" w:eastAsia="Times New Roman"/>
                <w:sz w:val="21"/>
                <w:lang w:eastAsia="zh-CN"/>
              </w:rPr>
              <w:t>a.</w:t>
            </w:r>
            <w:r>
              <w:rPr>
                <w:sz w:val="21"/>
                <w:lang w:eastAsia="zh-CN"/>
              </w:rPr>
              <w:t>投标人应提供相关部门的合法批件及企业法人营业执照和资质证书等证件的副本变更记录复印件；</w:t>
            </w:r>
          </w:p>
          <w:p>
            <w:pPr>
              <w:pStyle w:val="32"/>
              <w:spacing w:before="35"/>
              <w:ind w:left="528"/>
              <w:rPr>
                <w:sz w:val="21"/>
                <w:lang w:eastAsia="zh-CN"/>
              </w:rPr>
            </w:pPr>
            <w:r>
              <w:rPr>
                <w:rFonts w:ascii="Times New Roman" w:eastAsia="Times New Roman"/>
                <w:sz w:val="21"/>
                <w:lang w:eastAsia="zh-CN"/>
              </w:rPr>
              <w:t>b.</w:t>
            </w:r>
            <w:r>
              <w:rPr>
                <w:sz w:val="21"/>
                <w:lang w:eastAsia="zh-CN"/>
              </w:rPr>
              <w:t>投标人仍然满足资格预审文件中规定的资格预审条件最低要求</w:t>
            </w:r>
          </w:p>
          <w:p>
            <w:pPr>
              <w:pStyle w:val="32"/>
              <w:spacing w:before="69"/>
              <w:ind w:left="107"/>
              <w:rPr>
                <w:sz w:val="21"/>
                <w:lang w:eastAsia="zh-CN"/>
              </w:rPr>
            </w:pPr>
            <w:r>
              <w:rPr>
                <w:sz w:val="21"/>
                <w:lang w:eastAsia="zh-CN"/>
              </w:rPr>
              <w:t>（</w:t>
            </w:r>
            <w:r>
              <w:rPr>
                <w:spacing w:val="-3"/>
                <w:sz w:val="21"/>
                <w:lang w:eastAsia="zh-CN"/>
              </w:rPr>
              <w:t>资质、业绩、人员、信誉、财务等</w:t>
            </w:r>
            <w:r>
              <w:rPr>
                <w:spacing w:val="-106"/>
                <w:sz w:val="21"/>
                <w:lang w:eastAsia="zh-CN"/>
              </w:rPr>
              <w:t>）</w:t>
            </w:r>
            <w:r>
              <w:rPr>
                <w:sz w:val="21"/>
                <w:lang w:eastAsia="zh-CN"/>
              </w:rPr>
              <w:t>；</w:t>
            </w:r>
          </w:p>
          <w:p>
            <w:pPr>
              <w:pStyle w:val="32"/>
              <w:spacing w:before="84" w:line="297" w:lineRule="auto"/>
              <w:ind w:left="107" w:right="36" w:firstLine="420"/>
              <w:rPr>
                <w:sz w:val="21"/>
                <w:lang w:eastAsia="zh-CN"/>
              </w:rPr>
            </w:pPr>
            <w:r>
              <w:rPr>
                <w:rFonts w:ascii="Times New Roman" w:eastAsia="Times New Roman"/>
                <w:sz w:val="21"/>
                <w:lang w:eastAsia="zh-CN"/>
              </w:rPr>
              <w:t>c.</w:t>
            </w:r>
            <w:r>
              <w:rPr>
                <w:sz w:val="21"/>
                <w:lang w:eastAsia="zh-CN"/>
              </w:rPr>
              <w:t>与所投标段的其他投标人不存在控股、管理关系或单位负责人为同一人的情况；与招标人也不存在利害关系并可能影响招标公正性。</w:t>
            </w:r>
          </w:p>
          <w:p>
            <w:pPr>
              <w:pStyle w:val="32"/>
              <w:spacing w:before="34"/>
              <w:ind w:left="528"/>
              <w:rPr>
                <w:sz w:val="21"/>
                <w:lang w:eastAsia="zh-CN"/>
              </w:rPr>
            </w:pPr>
            <w:r>
              <w:rPr>
                <w:sz w:val="21"/>
                <w:lang w:eastAsia="zh-CN"/>
              </w:rPr>
              <w:t>（</w:t>
            </w:r>
            <w:r>
              <w:rPr>
                <w:rFonts w:ascii="Times New Roman" w:eastAsia="Times New Roman"/>
                <w:sz w:val="21"/>
                <w:lang w:eastAsia="zh-CN"/>
              </w:rPr>
              <w:t>4</w:t>
            </w:r>
            <w:r>
              <w:rPr>
                <w:sz w:val="21"/>
                <w:lang w:eastAsia="zh-CN"/>
              </w:rPr>
              <w:t>）投标人按照招标文件的规定提供了投标保证金：</w:t>
            </w:r>
          </w:p>
          <w:p>
            <w:pPr>
              <w:pStyle w:val="32"/>
              <w:spacing w:before="34"/>
              <w:ind w:left="528"/>
              <w:rPr>
                <w:sz w:val="21"/>
                <w:lang w:eastAsia="zh-CN"/>
              </w:rPr>
            </w:pPr>
            <w:r>
              <w:rPr>
                <w:rFonts w:ascii="Times New Roman" w:eastAsia="Times New Roman"/>
                <w:sz w:val="21"/>
                <w:lang w:eastAsia="zh-CN"/>
              </w:rPr>
              <w:t>a.</w:t>
            </w:r>
            <w:r>
              <w:rPr>
                <w:sz w:val="21"/>
                <w:lang w:eastAsia="zh-CN"/>
              </w:rPr>
              <w:t>投标保证金金额符合招标文件规定的金额，且投标保证金有效期不少于投标有效期；</w:t>
            </w:r>
          </w:p>
          <w:p>
            <w:pPr>
              <w:pStyle w:val="32"/>
              <w:spacing w:before="54" w:line="304" w:lineRule="auto"/>
              <w:ind w:left="108" w:right="90" w:firstLine="420"/>
              <w:jc w:val="both"/>
              <w:rPr>
                <w:sz w:val="21"/>
                <w:lang w:eastAsia="zh-CN"/>
              </w:rPr>
            </w:pPr>
            <w:r>
              <w:rPr>
                <w:rFonts w:ascii="Times New Roman" w:eastAsia="Times New Roman"/>
                <w:sz w:val="21"/>
                <w:lang w:eastAsia="zh-CN"/>
              </w:rPr>
              <w:t>b.</w:t>
            </w:r>
            <w:r>
              <w:rPr>
                <w:spacing w:val="-7"/>
                <w:sz w:val="21"/>
                <w:lang w:eastAsia="zh-CN"/>
              </w:rPr>
              <w:t>若投标保证金采用现金或支票形式提交，投标人应在递交投标文件截止时间之前，将投标保证金由投标人的基本账户转入招标人指定账户；</w:t>
            </w:r>
          </w:p>
          <w:p>
            <w:pPr>
              <w:pStyle w:val="32"/>
              <w:spacing w:before="28" w:line="304" w:lineRule="auto"/>
              <w:ind w:left="108" w:right="90" w:firstLine="384"/>
              <w:jc w:val="both"/>
              <w:rPr>
                <w:sz w:val="21"/>
                <w:lang w:eastAsia="zh-CN"/>
              </w:rPr>
            </w:pPr>
            <w:r>
              <w:rPr>
                <w:rFonts w:ascii="Times New Roman" w:eastAsia="Times New Roman"/>
                <w:sz w:val="21"/>
                <w:lang w:eastAsia="zh-CN"/>
              </w:rPr>
              <w:t>c.</w:t>
            </w:r>
            <w:r>
              <w:rPr>
                <w:spacing w:val="-5"/>
                <w:sz w:val="21"/>
                <w:lang w:eastAsia="zh-CN"/>
              </w:rPr>
              <w:t>若投标保证金采用银行保函形式提交，银行保函的格式、开具保函的银行均满足招标文件要求，且在递交投标文件截止时间之前向招</w:t>
            </w:r>
            <w:r>
              <w:rPr>
                <w:spacing w:val="-4"/>
                <w:sz w:val="21"/>
                <w:lang w:eastAsia="zh-CN"/>
              </w:rPr>
              <w:t>标人提交了银行保函原件。</w:t>
            </w:r>
          </w:p>
          <w:p>
            <w:pPr>
              <w:pStyle w:val="32"/>
              <w:spacing w:before="28" w:line="304" w:lineRule="auto"/>
              <w:ind w:left="108" w:right="90" w:firstLine="384"/>
              <w:jc w:val="both"/>
              <w:rPr>
                <w:sz w:val="21"/>
                <w:lang w:eastAsia="zh-CN"/>
              </w:rPr>
            </w:pPr>
            <w:r>
              <w:rPr>
                <w:sz w:val="21"/>
                <w:lang w:eastAsia="zh-CN"/>
              </w:rPr>
              <w:t>（</w:t>
            </w:r>
            <w:r>
              <w:rPr>
                <w:rFonts w:ascii="Times New Roman" w:eastAsia="Times New Roman"/>
                <w:sz w:val="21"/>
                <w:lang w:eastAsia="zh-CN"/>
              </w:rPr>
              <w:t>5</w:t>
            </w:r>
            <w:r>
              <w:rPr>
                <w:sz w:val="21"/>
                <w:lang w:eastAsia="zh-CN"/>
              </w:rPr>
              <w:t>）投标人法定代表人授权委托代理人签署投标文件的，须提交授权委托书，且授权人和被授权人均在授权委托书上签名，未使用印章、签名章或其他电子制版签名代替。</w:t>
            </w:r>
          </w:p>
          <w:p>
            <w:pPr>
              <w:pStyle w:val="32"/>
              <w:spacing w:before="28" w:line="304" w:lineRule="auto"/>
              <w:ind w:left="108" w:right="-15" w:firstLine="384"/>
              <w:rPr>
                <w:sz w:val="21"/>
                <w:lang w:eastAsia="zh-CN"/>
              </w:rPr>
            </w:pPr>
            <w:r>
              <w:rPr>
                <w:sz w:val="21"/>
                <w:lang w:eastAsia="zh-CN"/>
              </w:rPr>
              <w:t>（</w:t>
            </w:r>
            <w:r>
              <w:rPr>
                <w:rFonts w:ascii="Times New Roman" w:eastAsia="Times New Roman"/>
                <w:sz w:val="21"/>
                <w:lang w:eastAsia="zh-CN"/>
              </w:rPr>
              <w:t>6</w:t>
            </w:r>
            <w:r>
              <w:rPr>
                <w:sz w:val="21"/>
                <w:lang w:eastAsia="zh-CN"/>
              </w:rPr>
              <w:t>）</w:t>
            </w:r>
            <w:r>
              <w:rPr>
                <w:spacing w:val="-2"/>
                <w:sz w:val="21"/>
                <w:lang w:eastAsia="zh-CN"/>
              </w:rPr>
              <w:t>投标人法定代表人亲自签署投标文件的，提供了法定代表人</w:t>
            </w:r>
            <w:r>
              <w:rPr>
                <w:spacing w:val="-5"/>
                <w:sz w:val="21"/>
                <w:lang w:eastAsia="zh-CN"/>
              </w:rPr>
              <w:t>身份证明，且法定代表人在法定代表人身份证明上签名，未使用印章、</w:t>
            </w:r>
            <w:r>
              <w:rPr>
                <w:spacing w:val="-3"/>
                <w:sz w:val="21"/>
                <w:lang w:eastAsia="zh-CN"/>
              </w:rPr>
              <w:t>签名章或其他电子制版签名代替。</w:t>
            </w:r>
          </w:p>
          <w:p>
            <w:pPr>
              <w:pStyle w:val="32"/>
              <w:spacing w:before="28"/>
              <w:ind w:left="492"/>
              <w:rPr>
                <w:sz w:val="21"/>
                <w:lang w:eastAsia="zh-CN"/>
              </w:rPr>
            </w:pPr>
            <w:r>
              <w:rPr>
                <w:sz w:val="21"/>
                <w:lang w:eastAsia="zh-CN"/>
              </w:rPr>
              <w:t>（</w:t>
            </w:r>
            <w:r>
              <w:rPr>
                <w:rFonts w:ascii="Times New Roman" w:eastAsia="Times New Roman"/>
                <w:sz w:val="21"/>
                <w:lang w:eastAsia="zh-CN"/>
              </w:rPr>
              <w:t>7</w:t>
            </w:r>
            <w:r>
              <w:rPr>
                <w:sz w:val="21"/>
                <w:lang w:eastAsia="zh-CN"/>
              </w:rPr>
              <w:t>）投标人以联合体形式投标时，联合体满足招标文件的要求：</w:t>
            </w:r>
          </w:p>
          <w:p>
            <w:pPr>
              <w:pStyle w:val="32"/>
              <w:spacing w:before="69" w:line="297" w:lineRule="auto"/>
              <w:ind w:left="108" w:right="49" w:firstLine="384"/>
              <w:rPr>
                <w:sz w:val="21"/>
                <w:lang w:eastAsia="zh-CN"/>
              </w:rPr>
            </w:pPr>
            <w:r>
              <w:rPr>
                <w:rFonts w:ascii="Times New Roman" w:eastAsia="Times New Roman"/>
                <w:sz w:val="21"/>
                <w:lang w:eastAsia="zh-CN"/>
              </w:rPr>
              <w:t>a.</w:t>
            </w:r>
            <w:r>
              <w:rPr>
                <w:sz w:val="21"/>
                <w:lang w:eastAsia="zh-CN"/>
              </w:rPr>
              <w:t>未进行资格预审的，投标人按照招标文件提供的格式签订了联合体协议书，明确各方承担连带责任，并明确了联合体牵头人；</w:t>
            </w:r>
          </w:p>
          <w:p>
            <w:pPr>
              <w:pStyle w:val="32"/>
              <w:spacing w:before="34" w:line="304" w:lineRule="auto"/>
              <w:ind w:left="108" w:right="90" w:firstLine="384"/>
              <w:jc w:val="both"/>
              <w:rPr>
                <w:sz w:val="21"/>
                <w:lang w:eastAsia="zh-CN"/>
              </w:rPr>
            </w:pPr>
            <w:r>
              <w:rPr>
                <w:rFonts w:ascii="Times New Roman" w:eastAsia="Times New Roman"/>
                <w:sz w:val="21"/>
                <w:lang w:eastAsia="zh-CN"/>
              </w:rPr>
              <w:t>b.</w:t>
            </w:r>
            <w:r>
              <w:rPr>
                <w:spacing w:val="-6"/>
                <w:sz w:val="21"/>
                <w:lang w:eastAsia="zh-CN"/>
              </w:rPr>
              <w:t>已进行资格预审的，投标人提供了资格预审申请文件中所附的联合体协议书复印件，且通过资格预审后的联合体无成员增减或更换的情况。</w:t>
            </w:r>
          </w:p>
          <w:p>
            <w:pPr>
              <w:pStyle w:val="32"/>
              <w:spacing w:before="28" w:line="297" w:lineRule="auto"/>
              <w:ind w:left="108" w:right="48" w:firstLine="384"/>
              <w:rPr>
                <w:sz w:val="21"/>
                <w:lang w:eastAsia="zh-CN"/>
              </w:rPr>
            </w:pPr>
            <w:r>
              <w:rPr>
                <w:sz w:val="21"/>
                <w:lang w:eastAsia="zh-CN"/>
              </w:rPr>
              <w:t>（</w:t>
            </w:r>
            <w:r>
              <w:rPr>
                <w:rFonts w:ascii="Times New Roman" w:hAnsi="Times New Roman" w:eastAsia="Times New Roman"/>
                <w:sz w:val="21"/>
                <w:lang w:eastAsia="zh-CN"/>
              </w:rPr>
              <w:t>8</w:t>
            </w:r>
            <w:r>
              <w:rPr>
                <w:sz w:val="21"/>
                <w:lang w:eastAsia="zh-CN"/>
              </w:rPr>
              <w:t xml:space="preserve">）投标人如有分包计划，符合招标文件第二章“投标人须知” 第 </w:t>
            </w:r>
            <w:r>
              <w:rPr>
                <w:rFonts w:ascii="Times New Roman" w:hAnsi="Times New Roman" w:eastAsia="Times New Roman"/>
                <w:sz w:val="21"/>
                <w:lang w:eastAsia="zh-CN"/>
              </w:rPr>
              <w:t xml:space="preserve">1.11 </w:t>
            </w:r>
            <w:r>
              <w:rPr>
                <w:sz w:val="21"/>
                <w:lang w:eastAsia="zh-CN"/>
              </w:rPr>
              <w:t>款规定，且按招标文件第九章“投标文件格式”的要求填写了</w:t>
            </w:r>
          </w:p>
          <w:p>
            <w:pPr>
              <w:pStyle w:val="32"/>
              <w:spacing w:before="13"/>
              <w:ind w:left="108"/>
              <w:rPr>
                <w:sz w:val="21"/>
                <w:lang w:eastAsia="zh-CN"/>
              </w:rPr>
            </w:pPr>
            <w:r>
              <w:rPr>
                <w:sz w:val="21"/>
                <w:lang w:eastAsia="zh-CN"/>
              </w:rPr>
              <w:t>“拟分包项目情况表”。</w:t>
            </w:r>
          </w:p>
          <w:p>
            <w:pPr>
              <w:pStyle w:val="32"/>
              <w:spacing w:before="84" w:line="297" w:lineRule="auto"/>
              <w:ind w:left="108" w:right="91" w:firstLine="384"/>
              <w:rPr>
                <w:sz w:val="21"/>
                <w:lang w:eastAsia="zh-CN"/>
              </w:rPr>
            </w:pPr>
            <w:r>
              <w:rPr>
                <w:sz w:val="21"/>
                <w:lang w:eastAsia="zh-CN"/>
              </w:rPr>
              <w:t>（</w:t>
            </w:r>
            <w:r>
              <w:rPr>
                <w:rFonts w:ascii="Times New Roman" w:eastAsia="Times New Roman"/>
                <w:sz w:val="21"/>
                <w:lang w:eastAsia="zh-CN"/>
              </w:rPr>
              <w:t>9</w:t>
            </w:r>
            <w:r>
              <w:rPr>
                <w:sz w:val="21"/>
                <w:lang w:eastAsia="zh-CN"/>
              </w:rPr>
              <w:t>）同一投标人未提交两个以上不同的投标文件，但招标文件要求提交备选投标的除外。</w:t>
            </w:r>
          </w:p>
          <w:p>
            <w:pPr>
              <w:pStyle w:val="32"/>
              <w:spacing w:before="34"/>
              <w:ind w:left="492"/>
              <w:rPr>
                <w:sz w:val="21"/>
                <w:lang w:eastAsia="zh-CN"/>
              </w:rPr>
            </w:pPr>
            <w:r>
              <w:rPr>
                <w:sz w:val="21"/>
                <w:lang w:eastAsia="zh-CN"/>
              </w:rPr>
              <w:t>（</w:t>
            </w:r>
            <w:r>
              <w:rPr>
                <w:rFonts w:ascii="Times New Roman" w:eastAsia="Times New Roman"/>
                <w:sz w:val="21"/>
                <w:lang w:eastAsia="zh-CN"/>
              </w:rPr>
              <w:t>10</w:t>
            </w:r>
            <w:r>
              <w:rPr>
                <w:sz w:val="21"/>
                <w:lang w:eastAsia="zh-CN"/>
              </w:rPr>
              <w:t>）投标文件中未出现有关投标报价的内容。</w:t>
            </w:r>
          </w:p>
          <w:p>
            <w:pPr>
              <w:pStyle w:val="32"/>
              <w:spacing w:before="69" w:line="297" w:lineRule="auto"/>
              <w:ind w:left="108" w:right="14" w:firstLine="384"/>
              <w:rPr>
                <w:sz w:val="21"/>
                <w:lang w:eastAsia="zh-CN"/>
              </w:rPr>
            </w:pPr>
            <w:r>
              <w:rPr>
                <w:sz w:val="21"/>
                <w:lang w:eastAsia="zh-CN"/>
              </w:rPr>
              <w:t>（</w:t>
            </w:r>
            <w:r>
              <w:rPr>
                <w:rFonts w:ascii="Times New Roman" w:eastAsia="Times New Roman"/>
                <w:sz w:val="21"/>
                <w:lang w:eastAsia="zh-CN"/>
              </w:rPr>
              <w:t>11</w:t>
            </w:r>
            <w:r>
              <w:rPr>
                <w:sz w:val="21"/>
                <w:lang w:eastAsia="zh-CN"/>
              </w:rPr>
              <w:t>）投标文件载明的招标项目完成期限未超过招标文件规定的时限。</w:t>
            </w:r>
          </w:p>
          <w:p>
            <w:pPr>
              <w:pStyle w:val="32"/>
              <w:spacing w:before="34"/>
              <w:ind w:left="492"/>
              <w:rPr>
                <w:sz w:val="21"/>
                <w:lang w:eastAsia="zh-CN"/>
              </w:rPr>
            </w:pPr>
            <w:r>
              <w:rPr>
                <w:sz w:val="21"/>
                <w:lang w:eastAsia="zh-CN"/>
              </w:rPr>
              <w:t>（</w:t>
            </w:r>
            <w:r>
              <w:rPr>
                <w:rFonts w:ascii="Times New Roman" w:eastAsia="Times New Roman"/>
                <w:sz w:val="21"/>
                <w:lang w:eastAsia="zh-CN"/>
              </w:rPr>
              <w:t>12</w:t>
            </w:r>
            <w:r>
              <w:rPr>
                <w:sz w:val="21"/>
                <w:lang w:eastAsia="zh-CN"/>
              </w:rPr>
              <w:t>）投标文件对招标文件的实质性要求和条件作出响应。</w:t>
            </w:r>
          </w:p>
          <w:p>
            <w:pPr>
              <w:pStyle w:val="32"/>
              <w:spacing w:before="68"/>
              <w:ind w:left="492"/>
              <w:rPr>
                <w:sz w:val="21"/>
                <w:lang w:eastAsia="zh-CN"/>
              </w:rPr>
            </w:pPr>
            <w:r>
              <w:rPr>
                <w:sz w:val="21"/>
                <w:lang w:eastAsia="zh-CN"/>
              </w:rPr>
              <w:t>（</w:t>
            </w:r>
            <w:r>
              <w:rPr>
                <w:rFonts w:ascii="Times New Roman" w:eastAsia="Times New Roman"/>
                <w:sz w:val="21"/>
                <w:lang w:eastAsia="zh-CN"/>
              </w:rPr>
              <w:t>13</w:t>
            </w:r>
            <w:r>
              <w:rPr>
                <w:sz w:val="21"/>
                <w:lang w:eastAsia="zh-CN"/>
              </w:rPr>
              <w:t>）权利义务符合招标文件规定：</w:t>
            </w:r>
          </w:p>
          <w:p>
            <w:pPr>
              <w:pStyle w:val="32"/>
              <w:spacing w:before="68" w:line="297" w:lineRule="auto"/>
              <w:ind w:left="108" w:right="47" w:firstLine="384"/>
              <w:rPr>
                <w:sz w:val="21"/>
                <w:lang w:eastAsia="zh-CN"/>
              </w:rPr>
            </w:pPr>
            <w:r>
              <w:rPr>
                <w:rFonts w:ascii="Times New Roman" w:eastAsia="Times New Roman"/>
                <w:sz w:val="21"/>
                <w:lang w:eastAsia="zh-CN"/>
              </w:rPr>
              <w:t>a.</w:t>
            </w:r>
            <w:r>
              <w:rPr>
                <w:sz w:val="21"/>
                <w:lang w:eastAsia="zh-CN"/>
              </w:rPr>
              <w:t>投标人应接受招标文件规定的风险划分原则，未提出新的风险划分办法；</w:t>
            </w:r>
          </w:p>
          <w:p>
            <w:pPr>
              <w:pStyle w:val="32"/>
              <w:spacing w:before="34"/>
              <w:ind w:left="492"/>
              <w:rPr>
                <w:sz w:val="21"/>
                <w:lang w:eastAsia="zh-CN"/>
              </w:rPr>
            </w:pPr>
            <w:r>
              <w:rPr>
                <w:rFonts w:ascii="Times New Roman" w:eastAsia="Times New Roman"/>
                <w:sz w:val="21"/>
                <w:lang w:eastAsia="zh-CN"/>
              </w:rPr>
              <w:t>b.</w:t>
            </w:r>
            <w:r>
              <w:rPr>
                <w:sz w:val="21"/>
                <w:lang w:eastAsia="zh-CN"/>
              </w:rPr>
              <w:t>投标人未增加发包人的责任范围，或减少投标人义务；</w:t>
            </w:r>
          </w:p>
          <w:p>
            <w:pPr>
              <w:pStyle w:val="32"/>
              <w:spacing w:before="69"/>
              <w:ind w:left="492"/>
              <w:rPr>
                <w:sz w:val="21"/>
                <w:lang w:eastAsia="zh-CN"/>
              </w:rPr>
            </w:pPr>
            <w:r>
              <w:rPr>
                <w:rFonts w:ascii="Times New Roman" w:eastAsia="Times New Roman"/>
                <w:sz w:val="21"/>
                <w:lang w:eastAsia="zh-CN"/>
              </w:rPr>
              <w:t>c.</w:t>
            </w:r>
            <w:r>
              <w:rPr>
                <w:sz w:val="21"/>
                <w:lang w:eastAsia="zh-CN"/>
              </w:rPr>
              <w:t>投标人未提出不同的工程验收、计量、支付办法；</w:t>
            </w:r>
          </w:p>
          <w:p>
            <w:pPr>
              <w:pStyle w:val="32"/>
              <w:spacing w:before="68"/>
              <w:ind w:left="492"/>
              <w:rPr>
                <w:sz w:val="21"/>
                <w:lang w:eastAsia="zh-CN"/>
              </w:rPr>
            </w:pPr>
            <w:r>
              <w:rPr>
                <w:rFonts w:ascii="Times New Roman" w:eastAsia="Times New Roman"/>
                <w:sz w:val="21"/>
                <w:lang w:eastAsia="zh-CN"/>
              </w:rPr>
              <w:t>d.</w:t>
            </w:r>
            <w:r>
              <w:rPr>
                <w:sz w:val="21"/>
                <w:lang w:eastAsia="zh-CN"/>
              </w:rPr>
              <w:t>投标人对合同纠纷、事故处理办法未提出异议；</w:t>
            </w:r>
          </w:p>
          <w:p>
            <w:pPr>
              <w:pStyle w:val="32"/>
              <w:spacing w:before="68"/>
              <w:ind w:left="492"/>
              <w:rPr>
                <w:sz w:val="21"/>
                <w:lang w:eastAsia="zh-CN"/>
              </w:rPr>
            </w:pPr>
            <w:r>
              <w:rPr>
                <w:rFonts w:ascii="Times New Roman" w:eastAsia="Times New Roman"/>
                <w:sz w:val="21"/>
                <w:lang w:eastAsia="zh-CN"/>
              </w:rPr>
              <w:t>e.</w:t>
            </w:r>
            <w:r>
              <w:rPr>
                <w:sz w:val="21"/>
                <w:lang w:eastAsia="zh-CN"/>
              </w:rPr>
              <w:t>投标人在投标活动中无欺诈行为；</w:t>
            </w:r>
          </w:p>
          <w:p>
            <w:pPr>
              <w:pStyle w:val="32"/>
              <w:spacing w:before="34"/>
              <w:ind w:left="528"/>
              <w:rPr>
                <w:sz w:val="21"/>
                <w:lang w:eastAsia="zh-CN"/>
              </w:rPr>
            </w:pPr>
            <w:r>
              <w:rPr>
                <w:rFonts w:ascii="Times New Roman" w:eastAsia="Times New Roman"/>
                <w:sz w:val="21"/>
                <w:lang w:eastAsia="zh-CN"/>
              </w:rPr>
              <w:t>f.</w:t>
            </w:r>
            <w:r>
              <w:rPr>
                <w:sz w:val="21"/>
                <w:lang w:eastAsia="zh-CN"/>
              </w:rPr>
              <w:t>投标人未对合同条款有重要保留。</w:t>
            </w:r>
          </w:p>
          <w:p>
            <w:pPr>
              <w:pStyle w:val="32"/>
              <w:spacing w:before="54" w:line="297" w:lineRule="auto"/>
              <w:ind w:left="108" w:right="90" w:firstLine="384"/>
              <w:rPr>
                <w:sz w:val="21"/>
                <w:lang w:eastAsia="zh-CN"/>
              </w:rPr>
            </w:pPr>
            <w:r>
              <w:rPr>
                <w:sz w:val="21"/>
                <w:lang w:eastAsia="zh-CN"/>
              </w:rPr>
              <w:t>（</w:t>
            </w:r>
            <w:r>
              <w:rPr>
                <w:rFonts w:ascii="Times New Roman" w:hAnsi="Times New Roman" w:eastAsia="Times New Roman"/>
                <w:sz w:val="21"/>
                <w:lang w:eastAsia="zh-CN"/>
              </w:rPr>
              <w:t>14</w:t>
            </w:r>
            <w:r>
              <w:rPr>
                <w:sz w:val="21"/>
                <w:lang w:eastAsia="zh-CN"/>
              </w:rPr>
              <w:t>）投标文件正、副本份数符合招标文件第二章</w:t>
            </w:r>
            <w:r>
              <w:rPr>
                <w:rFonts w:ascii="Times New Roman" w:hAnsi="Times New Roman" w:eastAsia="Times New Roman"/>
                <w:sz w:val="21"/>
                <w:lang w:eastAsia="zh-CN"/>
              </w:rPr>
              <w:t>“</w:t>
            </w:r>
            <w:r>
              <w:rPr>
                <w:sz w:val="21"/>
                <w:lang w:eastAsia="zh-CN"/>
              </w:rPr>
              <w:t>投标人须知</w:t>
            </w:r>
            <w:r>
              <w:rPr>
                <w:rFonts w:ascii="Times New Roman" w:hAnsi="Times New Roman" w:eastAsia="Times New Roman"/>
                <w:sz w:val="21"/>
                <w:lang w:eastAsia="zh-CN"/>
              </w:rPr>
              <w:t xml:space="preserve">” </w:t>
            </w:r>
            <w:r>
              <w:rPr>
                <w:sz w:val="21"/>
                <w:lang w:eastAsia="zh-CN"/>
              </w:rPr>
              <w:t xml:space="preserve">第 </w:t>
            </w:r>
            <w:r>
              <w:rPr>
                <w:rFonts w:ascii="Times New Roman" w:hAnsi="Times New Roman" w:eastAsia="Times New Roman"/>
                <w:sz w:val="21"/>
                <w:lang w:eastAsia="zh-CN"/>
              </w:rPr>
              <w:t xml:space="preserve">3.7.4 </w:t>
            </w:r>
            <w:r>
              <w:rPr>
                <w:sz w:val="21"/>
                <w:lang w:eastAsia="zh-CN"/>
              </w:rPr>
              <w:t>项规定。</w:t>
            </w:r>
          </w:p>
          <w:p>
            <w:pPr>
              <w:pStyle w:val="32"/>
              <w:spacing w:before="71"/>
              <w:ind w:left="492"/>
              <w:rPr>
                <w:rFonts w:ascii="Times New Roman" w:hAnsi="Times New Roman"/>
                <w:sz w:val="21"/>
                <w:lang w:eastAsia="zh-CN"/>
              </w:rPr>
            </w:pPr>
            <w:r>
              <w:rPr>
                <w:rFonts w:ascii="Times New Roman" w:hAnsi="Times New Roman"/>
                <w:sz w:val="21"/>
                <w:lang w:eastAsia="zh-CN"/>
              </w:rPr>
              <w:t>……</w:t>
            </w:r>
          </w:p>
          <w:p>
            <w:pPr>
              <w:pStyle w:val="32"/>
              <w:ind w:left="495"/>
              <w:rPr>
                <w:b/>
                <w:sz w:val="21"/>
                <w:lang w:eastAsia="zh-CN"/>
              </w:rPr>
            </w:pPr>
            <w:r>
              <w:rPr>
                <w:b/>
                <w:sz w:val="21"/>
                <w:lang w:eastAsia="zh-CN"/>
              </w:rPr>
              <w:t>第二个信封（报价文件）评审标准：</w:t>
            </w:r>
          </w:p>
          <w:p>
            <w:pPr>
              <w:pStyle w:val="32"/>
              <w:spacing w:before="85" w:line="297" w:lineRule="auto"/>
              <w:ind w:left="108" w:right="50" w:firstLine="420"/>
              <w:rPr>
                <w:sz w:val="21"/>
                <w:lang w:eastAsia="zh-CN"/>
              </w:rPr>
            </w:pPr>
            <w:r>
              <w:rPr>
                <w:sz w:val="21"/>
                <w:lang w:eastAsia="zh-CN"/>
              </w:rPr>
              <w:t>（</w:t>
            </w:r>
            <w:r>
              <w:rPr>
                <w:rFonts w:ascii="Times New Roman" w:eastAsia="Times New Roman"/>
                <w:sz w:val="21"/>
                <w:lang w:eastAsia="zh-CN"/>
              </w:rPr>
              <w:t>1</w:t>
            </w:r>
            <w:r>
              <w:rPr>
                <w:sz w:val="21"/>
                <w:lang w:eastAsia="zh-CN"/>
              </w:rPr>
              <w:t>）投标文件按照招标文件规定的格式、内容填写，字迹清晰可辨：</w:t>
            </w:r>
          </w:p>
          <w:p>
            <w:pPr>
              <w:pStyle w:val="32"/>
              <w:spacing w:before="34" w:line="297" w:lineRule="auto"/>
              <w:ind w:left="108" w:right="93" w:firstLine="420"/>
              <w:rPr>
                <w:sz w:val="21"/>
                <w:lang w:eastAsia="zh-CN"/>
              </w:rPr>
            </w:pPr>
            <w:r>
              <w:rPr>
                <w:rFonts w:ascii="Times New Roman" w:eastAsia="Times New Roman"/>
                <w:sz w:val="21"/>
                <w:lang w:eastAsia="zh-CN"/>
              </w:rPr>
              <w:t>a.</w:t>
            </w:r>
            <w:r>
              <w:rPr>
                <w:spacing w:val="-15"/>
                <w:sz w:val="21"/>
                <w:lang w:eastAsia="zh-CN"/>
              </w:rPr>
              <w:t>投标函按招标文件规定填报了项目名称、标段号、补遗书编号</w:t>
            </w:r>
            <w:r>
              <w:rPr>
                <w:sz w:val="21"/>
                <w:lang w:eastAsia="zh-CN"/>
              </w:rPr>
              <w:t>（如有</w:t>
            </w:r>
            <w:r>
              <w:rPr>
                <w:spacing w:val="-106"/>
                <w:sz w:val="21"/>
                <w:lang w:eastAsia="zh-CN"/>
              </w:rPr>
              <w:t>）</w:t>
            </w:r>
            <w:r>
              <w:rPr>
                <w:spacing w:val="-2"/>
                <w:sz w:val="21"/>
                <w:lang w:eastAsia="zh-CN"/>
              </w:rPr>
              <w:t>、投标价</w:t>
            </w:r>
            <w:r>
              <w:rPr>
                <w:spacing w:val="-3"/>
                <w:sz w:val="21"/>
                <w:lang w:eastAsia="zh-CN"/>
              </w:rPr>
              <w:t>（包括大写金额和小写金额</w:t>
            </w:r>
            <w:r>
              <w:rPr>
                <w:spacing w:val="-109"/>
                <w:sz w:val="21"/>
                <w:lang w:eastAsia="zh-CN"/>
              </w:rPr>
              <w:t>）</w:t>
            </w:r>
            <w:r>
              <w:rPr>
                <w:sz w:val="21"/>
                <w:lang w:eastAsia="zh-CN"/>
              </w:rPr>
              <w:t>；</w:t>
            </w:r>
          </w:p>
          <w:p>
            <w:pPr>
              <w:pStyle w:val="32"/>
              <w:spacing w:before="34" w:line="297" w:lineRule="auto"/>
              <w:ind w:left="108" w:right="22" w:firstLine="420"/>
              <w:rPr>
                <w:sz w:val="21"/>
                <w:lang w:eastAsia="zh-CN"/>
              </w:rPr>
            </w:pPr>
            <w:r>
              <w:rPr>
                <w:rFonts w:ascii="Times New Roman" w:eastAsia="Times New Roman"/>
                <w:sz w:val="21"/>
                <w:lang w:eastAsia="zh-CN"/>
              </w:rPr>
              <w:t>b.</w:t>
            </w:r>
            <w:r>
              <w:rPr>
                <w:sz w:val="21"/>
                <w:lang w:eastAsia="zh-CN"/>
              </w:rPr>
              <w:t>已标价工程量清单说明文字与招标文件规定一致，未进行实质性修改和删减；</w:t>
            </w:r>
          </w:p>
          <w:p>
            <w:pPr>
              <w:pStyle w:val="32"/>
              <w:spacing w:before="34"/>
              <w:ind w:left="528"/>
              <w:rPr>
                <w:sz w:val="21"/>
                <w:lang w:eastAsia="zh-CN"/>
              </w:rPr>
            </w:pPr>
            <w:r>
              <w:rPr>
                <w:rFonts w:ascii="Times New Roman" w:eastAsia="Times New Roman"/>
                <w:sz w:val="21"/>
                <w:lang w:eastAsia="zh-CN"/>
              </w:rPr>
              <w:t>c.</w:t>
            </w:r>
            <w:r>
              <w:rPr>
                <w:sz w:val="21"/>
                <w:lang w:eastAsia="zh-CN"/>
              </w:rPr>
              <w:t>投标文件组成齐全完整，内容均按规定填写。</w:t>
            </w:r>
          </w:p>
          <w:p>
            <w:pPr>
              <w:pStyle w:val="32"/>
              <w:spacing w:before="69" w:line="297" w:lineRule="auto"/>
              <w:ind w:left="108" w:right="49" w:firstLine="420"/>
              <w:rPr>
                <w:sz w:val="21"/>
                <w:lang w:eastAsia="zh-CN"/>
              </w:rPr>
            </w:pPr>
            <w:r>
              <w:rPr>
                <w:sz w:val="21"/>
                <w:lang w:eastAsia="zh-CN"/>
              </w:rPr>
              <w:t>（</w:t>
            </w:r>
            <w:r>
              <w:rPr>
                <w:rFonts w:ascii="Times New Roman" w:eastAsia="Times New Roman"/>
                <w:sz w:val="21"/>
                <w:lang w:eastAsia="zh-CN"/>
              </w:rPr>
              <w:t>2</w:t>
            </w:r>
            <w:r>
              <w:rPr>
                <w:sz w:val="21"/>
                <w:lang w:eastAsia="zh-CN"/>
              </w:rPr>
              <w:t>）投标文件上法定代表人或其委托代理人的签字、投标人的单位章盖章齐全，符合招标文件规定。</w:t>
            </w:r>
          </w:p>
          <w:p>
            <w:pPr>
              <w:pStyle w:val="32"/>
              <w:spacing w:before="34" w:line="297" w:lineRule="auto"/>
              <w:ind w:left="108" w:right="90" w:firstLine="420"/>
              <w:rPr>
                <w:sz w:val="21"/>
                <w:lang w:eastAsia="zh-CN"/>
              </w:rPr>
            </w:pPr>
            <w:r>
              <w:rPr>
                <w:spacing w:val="-4"/>
                <w:sz w:val="21"/>
                <w:lang w:eastAsia="zh-CN"/>
              </w:rPr>
              <w:t>（</w:t>
            </w:r>
            <w:r>
              <w:rPr>
                <w:rFonts w:ascii="Times New Roman" w:eastAsia="Times New Roman"/>
                <w:spacing w:val="-4"/>
                <w:sz w:val="21"/>
                <w:lang w:eastAsia="zh-CN"/>
              </w:rPr>
              <w:t>3</w:t>
            </w:r>
            <w:r>
              <w:rPr>
                <w:spacing w:val="-4"/>
                <w:sz w:val="21"/>
                <w:lang w:eastAsia="zh-CN"/>
              </w:rPr>
              <w:t>）</w:t>
            </w:r>
            <w:r>
              <w:rPr>
                <w:spacing w:val="-3"/>
                <w:sz w:val="21"/>
                <w:lang w:eastAsia="zh-CN"/>
              </w:rPr>
              <w:t>投标报价或调价函中的报价未超过招标文件设定的最高投标限价（</w:t>
            </w:r>
            <w:r>
              <w:rPr>
                <w:spacing w:val="-2"/>
                <w:sz w:val="21"/>
                <w:lang w:eastAsia="zh-CN"/>
              </w:rPr>
              <w:t>如有</w:t>
            </w:r>
            <w:r>
              <w:rPr>
                <w:spacing w:val="-106"/>
                <w:sz w:val="21"/>
                <w:lang w:eastAsia="zh-CN"/>
              </w:rPr>
              <w:t>）</w:t>
            </w:r>
            <w:r>
              <w:rPr>
                <w:sz w:val="21"/>
                <w:lang w:eastAsia="zh-CN"/>
              </w:rPr>
              <w:t>。</w:t>
            </w:r>
          </w:p>
          <w:p>
            <w:pPr>
              <w:pStyle w:val="32"/>
              <w:spacing w:before="34"/>
              <w:ind w:left="528"/>
              <w:rPr>
                <w:sz w:val="21"/>
                <w:lang w:eastAsia="zh-CN"/>
              </w:rPr>
            </w:pPr>
            <w:r>
              <w:rPr>
                <w:sz w:val="21"/>
                <w:lang w:eastAsia="zh-CN"/>
              </w:rPr>
              <w:t>（</w:t>
            </w:r>
            <w:r>
              <w:rPr>
                <w:rFonts w:ascii="Times New Roman" w:eastAsia="Times New Roman"/>
                <w:sz w:val="21"/>
                <w:lang w:eastAsia="zh-CN"/>
              </w:rPr>
              <w:t>4</w:t>
            </w:r>
            <w:r>
              <w:rPr>
                <w:sz w:val="21"/>
                <w:lang w:eastAsia="zh-CN"/>
              </w:rPr>
              <w:t>）投标报价或调价函中报价的大写金额能够确定具体数值。</w:t>
            </w:r>
          </w:p>
          <w:p>
            <w:pPr>
              <w:pStyle w:val="32"/>
              <w:spacing w:before="69" w:line="297" w:lineRule="auto"/>
              <w:ind w:left="108" w:right="50" w:firstLine="420"/>
              <w:rPr>
                <w:sz w:val="21"/>
                <w:lang w:eastAsia="zh-CN"/>
              </w:rPr>
            </w:pPr>
            <w:r>
              <w:rPr>
                <w:sz w:val="21"/>
                <w:lang w:eastAsia="zh-CN"/>
              </w:rPr>
              <w:t>（</w:t>
            </w:r>
            <w:r>
              <w:rPr>
                <w:rFonts w:ascii="Times New Roman" w:eastAsia="Times New Roman"/>
                <w:sz w:val="21"/>
                <w:lang w:eastAsia="zh-CN"/>
              </w:rPr>
              <w:t>5</w:t>
            </w:r>
            <w:r>
              <w:rPr>
                <w:sz w:val="21"/>
                <w:lang w:eastAsia="zh-CN"/>
              </w:rPr>
              <w:t>）同一投标人未提交两个以上不同的投标报价，但招标文件要求提交备选投标的除外。</w:t>
            </w:r>
          </w:p>
          <w:p>
            <w:pPr>
              <w:pStyle w:val="32"/>
              <w:spacing w:before="34" w:line="297" w:lineRule="auto"/>
              <w:ind w:left="108" w:right="54" w:firstLine="420"/>
              <w:rPr>
                <w:sz w:val="21"/>
                <w:lang w:eastAsia="zh-CN"/>
              </w:rPr>
            </w:pPr>
            <w:r>
              <w:rPr>
                <w:sz w:val="21"/>
                <w:lang w:eastAsia="zh-CN"/>
              </w:rPr>
              <w:t>（</w:t>
            </w:r>
            <w:r>
              <w:rPr>
                <w:rFonts w:ascii="Times New Roman" w:hAnsi="Times New Roman" w:eastAsia="Times New Roman"/>
                <w:sz w:val="21"/>
                <w:lang w:eastAsia="zh-CN"/>
              </w:rPr>
              <w:t>6</w:t>
            </w:r>
            <w:r>
              <w:rPr>
                <w:sz w:val="21"/>
                <w:lang w:eastAsia="zh-CN"/>
              </w:rPr>
              <w:t xml:space="preserve">）投标人若提交调价函，调价函符合招标文件第二章“投标人须知”第 </w:t>
            </w:r>
            <w:r>
              <w:rPr>
                <w:rFonts w:ascii="Times New Roman" w:hAnsi="Times New Roman" w:eastAsia="Times New Roman"/>
                <w:sz w:val="21"/>
                <w:lang w:eastAsia="zh-CN"/>
              </w:rPr>
              <w:t xml:space="preserve">3.2.6 </w:t>
            </w:r>
            <w:r>
              <w:rPr>
                <w:sz w:val="21"/>
                <w:lang w:eastAsia="zh-CN"/>
              </w:rPr>
              <w:t>项要求。</w:t>
            </w:r>
          </w:p>
          <w:p>
            <w:pPr>
              <w:pStyle w:val="32"/>
              <w:spacing w:before="13" w:line="304" w:lineRule="auto"/>
              <w:ind w:left="108" w:right="93" w:firstLine="420"/>
              <w:jc w:val="both"/>
              <w:rPr>
                <w:sz w:val="21"/>
                <w:lang w:eastAsia="zh-CN"/>
              </w:rPr>
            </w:pPr>
            <w:r>
              <w:rPr>
                <w:spacing w:val="-3"/>
                <w:sz w:val="21"/>
                <w:lang w:eastAsia="zh-CN"/>
              </w:rPr>
              <w:t>（</w:t>
            </w:r>
            <w:r>
              <w:rPr>
                <w:rFonts w:ascii="Times New Roman" w:eastAsia="Times New Roman"/>
                <w:spacing w:val="-3"/>
                <w:sz w:val="21"/>
                <w:lang w:eastAsia="zh-CN"/>
              </w:rPr>
              <w:t>7</w:t>
            </w:r>
            <w:r>
              <w:rPr>
                <w:spacing w:val="-3"/>
                <w:sz w:val="21"/>
                <w:lang w:eastAsia="zh-CN"/>
              </w:rPr>
              <w:t>）</w:t>
            </w:r>
            <w:r>
              <w:rPr>
                <w:spacing w:val="-4"/>
                <w:sz w:val="21"/>
                <w:lang w:eastAsia="zh-CN"/>
              </w:rPr>
              <w:t xml:space="preserve">投标人若填写工程量固化清单，填写完毕的工程量固化清单未对工程量固化清单电子文件中的数据、格式和运算定义进行修改； </w:t>
            </w:r>
            <w:r>
              <w:rPr>
                <w:spacing w:val="-3"/>
                <w:sz w:val="21"/>
                <w:lang w:eastAsia="zh-CN"/>
              </w:rPr>
              <w:t>工程量固化清单中的投标报价和投标函大写金额报价一致。</w:t>
            </w:r>
          </w:p>
          <w:p>
            <w:pPr>
              <w:pStyle w:val="32"/>
              <w:spacing w:before="28"/>
              <w:ind w:left="528"/>
              <w:rPr>
                <w:sz w:val="21"/>
                <w:lang w:eastAsia="zh-CN"/>
              </w:rPr>
            </w:pPr>
            <w:r>
              <w:rPr>
                <w:sz w:val="21"/>
                <w:lang w:eastAsia="zh-CN"/>
              </w:rPr>
              <w:t>（</w:t>
            </w:r>
            <w:r>
              <w:rPr>
                <w:rFonts w:ascii="Times New Roman" w:hAnsi="Times New Roman" w:eastAsia="Times New Roman"/>
                <w:sz w:val="21"/>
                <w:lang w:eastAsia="zh-CN"/>
              </w:rPr>
              <w:t>8</w:t>
            </w:r>
            <w:r>
              <w:rPr>
                <w:sz w:val="21"/>
                <w:lang w:eastAsia="zh-CN"/>
              </w:rPr>
              <w:t>）投标文件正、副本份数符合招标文件第二章</w:t>
            </w:r>
            <w:r>
              <w:rPr>
                <w:rFonts w:ascii="Times New Roman" w:hAnsi="Times New Roman" w:eastAsia="Times New Roman"/>
                <w:sz w:val="21"/>
                <w:lang w:eastAsia="zh-CN"/>
              </w:rPr>
              <w:t>“</w:t>
            </w:r>
            <w:r>
              <w:rPr>
                <w:sz w:val="21"/>
                <w:lang w:eastAsia="zh-CN"/>
              </w:rPr>
              <w:t>投标人须知</w:t>
            </w:r>
            <w:r>
              <w:rPr>
                <w:rFonts w:ascii="Times New Roman" w:hAnsi="Times New Roman" w:eastAsia="Times New Roman"/>
                <w:sz w:val="21"/>
                <w:lang w:eastAsia="zh-CN"/>
              </w:rPr>
              <w:t>”</w:t>
            </w:r>
            <w:r>
              <w:rPr>
                <w:sz w:val="21"/>
                <w:lang w:eastAsia="zh-CN"/>
              </w:rPr>
              <w:t>第</w:t>
            </w:r>
          </w:p>
          <w:p>
            <w:pPr>
              <w:pStyle w:val="32"/>
              <w:spacing w:before="68"/>
              <w:ind w:left="108"/>
              <w:rPr>
                <w:sz w:val="21"/>
              </w:rPr>
            </w:pPr>
            <w:r>
              <w:rPr>
                <w:rFonts w:ascii="Times New Roman" w:eastAsia="Times New Roman"/>
                <w:sz w:val="21"/>
              </w:rPr>
              <w:t xml:space="preserve">3.7.4 </w:t>
            </w:r>
            <w:r>
              <w:rPr>
                <w:sz w:val="21"/>
              </w:rPr>
              <w:t>项规定。</w:t>
            </w:r>
          </w:p>
          <w:p>
            <w:pPr>
              <w:pStyle w:val="32"/>
              <w:spacing w:before="34"/>
              <w:ind w:left="528"/>
              <w:rPr>
                <w:sz w:val="21"/>
                <w:lang w:eastAsia="zh-CN"/>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4" w:hRule="atLeast"/>
        </w:trPr>
        <w:tc>
          <w:tcPr>
            <w:tcW w:w="1029" w:type="dxa"/>
            <w:vAlign w:val="center"/>
          </w:tcPr>
          <w:p>
            <w:pPr>
              <w:pStyle w:val="32"/>
              <w:jc w:val="center"/>
              <w:rPr>
                <w:rFonts w:ascii="黑体"/>
                <w:lang w:eastAsia="zh-CN"/>
              </w:rPr>
            </w:pPr>
            <w:r>
              <w:rPr>
                <w:rFonts w:ascii="Times New Roman"/>
                <w:sz w:val="21"/>
              </w:rPr>
              <w:t>2.1.2</w:t>
            </w:r>
          </w:p>
        </w:tc>
        <w:tc>
          <w:tcPr>
            <w:tcW w:w="1631" w:type="dxa"/>
            <w:vAlign w:val="center"/>
          </w:tcPr>
          <w:p>
            <w:pPr>
              <w:pStyle w:val="32"/>
              <w:jc w:val="center"/>
              <w:rPr>
                <w:rFonts w:ascii="黑体"/>
                <w:sz w:val="20"/>
                <w:lang w:eastAsia="zh-CN"/>
              </w:rPr>
            </w:pPr>
            <w:r>
              <w:rPr>
                <w:sz w:val="21"/>
              </w:rPr>
              <w:t>资格评审标准</w:t>
            </w:r>
          </w:p>
        </w:tc>
        <w:tc>
          <w:tcPr>
            <w:tcW w:w="6586" w:type="dxa"/>
            <w:vAlign w:val="center"/>
          </w:tcPr>
          <w:p>
            <w:pPr>
              <w:pStyle w:val="32"/>
              <w:spacing w:before="57"/>
              <w:jc w:val="both"/>
              <w:rPr>
                <w:sz w:val="21"/>
                <w:lang w:eastAsia="zh-CN"/>
              </w:rPr>
            </w:pPr>
            <w:r>
              <w:rPr>
                <w:b/>
                <w:sz w:val="21"/>
                <w:lang w:eastAsia="zh-CN"/>
              </w:rPr>
              <w:t>（</w:t>
            </w:r>
            <w:r>
              <w:rPr>
                <w:sz w:val="21"/>
                <w:lang w:eastAsia="zh-CN"/>
              </w:rPr>
              <w:t>1）投标人具备有效的营业执照、组织机构代码证、资质证书、安全生产许可证和基本账户开户许可证。</w:t>
            </w:r>
          </w:p>
          <w:p>
            <w:pPr>
              <w:pStyle w:val="32"/>
              <w:spacing w:before="57"/>
              <w:jc w:val="both"/>
              <w:rPr>
                <w:sz w:val="21"/>
                <w:lang w:eastAsia="zh-CN"/>
              </w:rPr>
            </w:pPr>
            <w:r>
              <w:rPr>
                <w:sz w:val="21"/>
                <w:lang w:eastAsia="zh-CN"/>
              </w:rPr>
              <w:t>（2）投标人的资质等级符合招标文件规定。</w:t>
            </w:r>
          </w:p>
          <w:p>
            <w:pPr>
              <w:pStyle w:val="32"/>
              <w:spacing w:before="57"/>
              <w:jc w:val="both"/>
              <w:rPr>
                <w:sz w:val="21"/>
                <w:lang w:eastAsia="zh-CN"/>
              </w:rPr>
            </w:pPr>
            <w:r>
              <w:rPr>
                <w:sz w:val="21"/>
                <w:lang w:eastAsia="zh-CN"/>
              </w:rPr>
              <w:t>（3）投标人的财务状况符合招标文件规定。</w:t>
            </w:r>
          </w:p>
          <w:p>
            <w:pPr>
              <w:pStyle w:val="32"/>
              <w:spacing w:before="57"/>
              <w:jc w:val="both"/>
              <w:rPr>
                <w:sz w:val="21"/>
                <w:lang w:eastAsia="zh-CN"/>
              </w:rPr>
            </w:pPr>
            <w:r>
              <w:rPr>
                <w:sz w:val="21"/>
                <w:lang w:eastAsia="zh-CN"/>
              </w:rPr>
              <w:t>（4）投标人的类似项目业绩符合招标文件规定。</w:t>
            </w:r>
          </w:p>
          <w:p>
            <w:pPr>
              <w:pStyle w:val="32"/>
              <w:spacing w:before="57"/>
              <w:jc w:val="both"/>
              <w:rPr>
                <w:sz w:val="21"/>
                <w:lang w:eastAsia="zh-CN"/>
              </w:rPr>
            </w:pPr>
            <w:r>
              <w:rPr>
                <w:sz w:val="21"/>
                <w:lang w:eastAsia="zh-CN"/>
              </w:rPr>
              <w:t>（5）投标人的信誉符合招标文件规定。</w:t>
            </w:r>
          </w:p>
          <w:p>
            <w:pPr>
              <w:pStyle w:val="32"/>
              <w:spacing w:before="57"/>
              <w:jc w:val="both"/>
              <w:rPr>
                <w:sz w:val="21"/>
                <w:lang w:eastAsia="zh-CN"/>
              </w:rPr>
            </w:pPr>
            <w:r>
              <w:rPr>
                <w:sz w:val="21"/>
                <w:lang w:eastAsia="zh-CN"/>
              </w:rPr>
              <w:t>（6）投标人的项目经理和项目总工资格、在岗情况符合招标文件规定。</w:t>
            </w:r>
          </w:p>
          <w:p>
            <w:pPr>
              <w:pStyle w:val="32"/>
              <w:spacing w:before="57"/>
              <w:jc w:val="both"/>
              <w:rPr>
                <w:sz w:val="21"/>
                <w:lang w:eastAsia="zh-CN"/>
              </w:rPr>
            </w:pPr>
            <w:r>
              <w:rPr>
                <w:sz w:val="21"/>
                <w:lang w:eastAsia="zh-CN"/>
              </w:rPr>
              <w:t>（7）投标人的其他要求符合招标文件规定。</w:t>
            </w:r>
          </w:p>
          <w:p>
            <w:pPr>
              <w:pStyle w:val="32"/>
              <w:spacing w:before="57"/>
              <w:jc w:val="both"/>
              <w:rPr>
                <w:sz w:val="21"/>
                <w:lang w:eastAsia="zh-CN"/>
              </w:rPr>
            </w:pPr>
            <w:r>
              <w:rPr>
                <w:sz w:val="21"/>
                <w:lang w:eastAsia="zh-CN"/>
              </w:rPr>
              <w:t>（8）投标人不存在第二章“投标人须知”第 1.4.3 项或第 1.4.4 项规定的任何一种情形。</w:t>
            </w:r>
          </w:p>
          <w:p>
            <w:pPr>
              <w:pStyle w:val="32"/>
              <w:spacing w:before="57"/>
              <w:jc w:val="both"/>
              <w:rPr>
                <w:sz w:val="21"/>
                <w:lang w:eastAsia="zh-CN"/>
              </w:rPr>
            </w:pPr>
            <w:r>
              <w:rPr>
                <w:sz w:val="21"/>
                <w:lang w:eastAsia="zh-CN"/>
              </w:rPr>
              <w:t>（9）投标人符合第二章“投标人须知”第 1.4.5 项规定。</w:t>
            </w:r>
          </w:p>
          <w:p>
            <w:pPr>
              <w:pStyle w:val="32"/>
              <w:spacing w:before="57"/>
              <w:jc w:val="both"/>
              <w:rPr>
                <w:b/>
                <w:sz w:val="21"/>
                <w:lang w:eastAsia="zh-CN"/>
              </w:rPr>
            </w:pPr>
            <w:r>
              <w:rPr>
                <w:sz w:val="21"/>
                <w:lang w:eastAsia="zh-CN"/>
              </w:rPr>
              <w:t>（10）以联合体形式参与投标的，联合体各方均未再以自己名义单独或参加其他联合体在同一标段中投标；独立参与投标的，投标人未同时参加联合体在同一标段中投标。</w:t>
            </w:r>
          </w:p>
        </w:tc>
      </w:tr>
    </w:tbl>
    <w:p>
      <w:pPr>
        <w:pStyle w:val="7"/>
        <w:rPr>
          <w:b/>
          <w:sz w:val="20"/>
          <w:lang w:eastAsia="zh-CN"/>
        </w:rPr>
      </w:pPr>
    </w:p>
    <w:p>
      <w:pPr>
        <w:pStyle w:val="7"/>
        <w:rPr>
          <w:b/>
          <w:sz w:val="20"/>
          <w:lang w:eastAsia="zh-CN"/>
        </w:rPr>
      </w:pPr>
    </w:p>
    <w:p>
      <w:pPr>
        <w:pStyle w:val="7"/>
        <w:spacing w:before="6" w:after="1"/>
        <w:rPr>
          <w:b/>
          <w:sz w:val="10"/>
          <w:lang w:eastAsia="zh-CN"/>
        </w:rPr>
      </w:pPr>
    </w:p>
    <w:p>
      <w:pPr>
        <w:rPr>
          <w:sz w:val="24"/>
          <w:lang w:eastAsia="zh-CN"/>
        </w:rPr>
        <w:sectPr>
          <w:footerReference r:id="rId4" w:type="default"/>
          <w:pgSz w:w="11911" w:h="16838"/>
          <w:pgMar w:top="1480" w:right="1276" w:bottom="1134" w:left="1678" w:header="720" w:footer="1117" w:gutter="0"/>
          <w:cols w:space="0" w:num="1"/>
        </w:sectPr>
      </w:pPr>
    </w:p>
    <w:tbl>
      <w:tblPr>
        <w:tblStyle w:val="15"/>
        <w:tblpPr w:leftFromText="180" w:rightFromText="180" w:vertAnchor="text" w:tblpX="10748" w:tblpY="-325"/>
        <w:tblOverlap w:val="never"/>
        <w:tblW w:w="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34" w:type="dxa"/>
          </w:tcPr>
          <w:p>
            <w:pPr>
              <w:pStyle w:val="7"/>
              <w:jc w:val="both"/>
              <w:rPr>
                <w:b/>
                <w:lang w:eastAsia="zh-CN"/>
              </w:rPr>
            </w:pPr>
          </w:p>
        </w:tc>
      </w:tr>
    </w:tbl>
    <w:p>
      <w:pPr>
        <w:rPr>
          <w:sz w:val="24"/>
          <w:lang w:eastAsia="zh-CN"/>
        </w:rPr>
      </w:pPr>
    </w:p>
    <w:tbl>
      <w:tblPr>
        <w:tblStyle w:val="19"/>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0"/>
        <w:gridCol w:w="1510"/>
        <w:gridCol w:w="5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2030" w:type="dxa"/>
          </w:tcPr>
          <w:p>
            <w:pPr>
              <w:pStyle w:val="32"/>
              <w:spacing w:before="54"/>
              <w:ind w:left="678" w:right="669"/>
              <w:jc w:val="center"/>
              <w:rPr>
                <w:b/>
                <w:sz w:val="21"/>
              </w:rPr>
            </w:pPr>
            <w:r>
              <w:rPr>
                <w:b/>
                <w:sz w:val="21"/>
              </w:rPr>
              <w:t>条款号</w:t>
            </w:r>
          </w:p>
        </w:tc>
        <w:tc>
          <w:tcPr>
            <w:tcW w:w="1510" w:type="dxa"/>
          </w:tcPr>
          <w:p>
            <w:pPr>
              <w:pStyle w:val="32"/>
              <w:spacing w:before="54"/>
              <w:ind w:left="334"/>
              <w:rPr>
                <w:b/>
                <w:sz w:val="21"/>
              </w:rPr>
            </w:pPr>
            <w:r>
              <w:rPr>
                <w:b/>
                <w:sz w:val="21"/>
              </w:rPr>
              <w:t>条款内容</w:t>
            </w:r>
          </w:p>
        </w:tc>
        <w:tc>
          <w:tcPr>
            <w:tcW w:w="5252" w:type="dxa"/>
          </w:tcPr>
          <w:p>
            <w:pPr>
              <w:pStyle w:val="32"/>
              <w:spacing w:before="54"/>
              <w:ind w:left="2109" w:right="2097"/>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2030" w:type="dxa"/>
          </w:tcPr>
          <w:p>
            <w:pPr>
              <w:pStyle w:val="32"/>
              <w:spacing w:before="188"/>
              <w:ind w:left="678" w:right="669"/>
              <w:jc w:val="center"/>
              <w:rPr>
                <w:rFonts w:ascii="Times New Roman"/>
                <w:sz w:val="21"/>
              </w:rPr>
            </w:pPr>
            <w:r>
              <w:rPr>
                <w:rFonts w:ascii="Times New Roman"/>
                <w:sz w:val="21"/>
              </w:rPr>
              <w:t>2.2.1</w:t>
            </w:r>
          </w:p>
        </w:tc>
        <w:tc>
          <w:tcPr>
            <w:tcW w:w="1510" w:type="dxa"/>
            <w:vAlign w:val="center"/>
          </w:tcPr>
          <w:p>
            <w:pPr>
              <w:pStyle w:val="32"/>
              <w:spacing w:before="57"/>
              <w:ind w:right="199"/>
              <w:jc w:val="center"/>
              <w:rPr>
                <w:sz w:val="21"/>
              </w:rPr>
            </w:pPr>
            <w:r>
              <w:rPr>
                <w:sz w:val="21"/>
              </w:rPr>
              <w:t xml:space="preserve">分值构成（总分 </w:t>
            </w:r>
            <w:r>
              <w:rPr>
                <w:rFonts w:ascii="Times New Roman" w:eastAsia="Times New Roman"/>
                <w:sz w:val="21"/>
              </w:rPr>
              <w:t>100</w:t>
            </w:r>
            <w:r>
              <w:rPr>
                <w:sz w:val="21"/>
              </w:rPr>
              <w:t>分）</w:t>
            </w:r>
          </w:p>
        </w:tc>
        <w:tc>
          <w:tcPr>
            <w:tcW w:w="5252" w:type="dxa"/>
            <w:vAlign w:val="center"/>
          </w:tcPr>
          <w:p>
            <w:pPr>
              <w:pStyle w:val="32"/>
              <w:ind w:left="108"/>
              <w:jc w:val="both"/>
              <w:rPr>
                <w:sz w:val="21"/>
                <w:lang w:eastAsia="zh-CN"/>
              </w:rPr>
            </w:pPr>
            <w:r>
              <w:rPr>
                <w:sz w:val="21"/>
                <w:lang w:eastAsia="zh-CN"/>
              </w:rPr>
              <w:t>评标价：</w:t>
            </w:r>
            <w:r>
              <w:rPr>
                <w:rFonts w:ascii="Arial" w:eastAsia="Arial"/>
                <w:sz w:val="21"/>
                <w:lang w:eastAsia="zh-CN"/>
              </w:rPr>
              <w:t xml:space="preserve">98 </w:t>
            </w:r>
            <w:r>
              <w:rPr>
                <w:sz w:val="21"/>
                <w:lang w:eastAsia="zh-CN"/>
              </w:rPr>
              <w:t>分</w:t>
            </w:r>
          </w:p>
          <w:p>
            <w:pPr>
              <w:pStyle w:val="32"/>
              <w:ind w:left="108"/>
              <w:jc w:val="both"/>
              <w:rPr>
                <w:sz w:val="21"/>
                <w:lang w:eastAsia="zh-CN"/>
              </w:rPr>
            </w:pPr>
            <w:r>
              <w:rPr>
                <w:sz w:val="21"/>
                <w:lang w:eastAsia="zh-CN"/>
              </w:rPr>
              <w:t>信用得分：</w:t>
            </w:r>
            <w:r>
              <w:rPr>
                <w:rFonts w:ascii="Arial" w:eastAsia="Arial"/>
                <w:sz w:val="21"/>
                <w:lang w:eastAsia="zh-CN"/>
              </w:rPr>
              <w:t xml:space="preserve">2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0" w:hRule="atLeast"/>
        </w:trPr>
        <w:tc>
          <w:tcPr>
            <w:tcW w:w="2030" w:type="dxa"/>
          </w:tcPr>
          <w:p>
            <w:pPr>
              <w:pStyle w:val="32"/>
              <w:rPr>
                <w:lang w:eastAsia="zh-CN"/>
              </w:rPr>
            </w:pPr>
          </w:p>
          <w:p>
            <w:pPr>
              <w:pStyle w:val="32"/>
              <w:rPr>
                <w:lang w:eastAsia="zh-CN"/>
              </w:rPr>
            </w:pPr>
          </w:p>
          <w:p>
            <w:pPr>
              <w:pStyle w:val="32"/>
              <w:rPr>
                <w:lang w:eastAsia="zh-CN"/>
              </w:rPr>
            </w:pPr>
          </w:p>
          <w:p>
            <w:pPr>
              <w:pStyle w:val="32"/>
              <w:rPr>
                <w:lang w:eastAsia="zh-CN"/>
              </w:rPr>
            </w:pPr>
          </w:p>
          <w:p>
            <w:pPr>
              <w:pStyle w:val="32"/>
              <w:rPr>
                <w:lang w:eastAsia="zh-CN"/>
              </w:rPr>
            </w:pPr>
          </w:p>
          <w:p>
            <w:pPr>
              <w:pStyle w:val="32"/>
              <w:rPr>
                <w:lang w:eastAsia="zh-CN"/>
              </w:rPr>
            </w:pPr>
          </w:p>
          <w:p>
            <w:pPr>
              <w:pStyle w:val="32"/>
              <w:rPr>
                <w:lang w:eastAsia="zh-CN"/>
              </w:rPr>
            </w:pPr>
          </w:p>
          <w:p>
            <w:pPr>
              <w:pStyle w:val="32"/>
              <w:rPr>
                <w:lang w:eastAsia="zh-CN"/>
              </w:rPr>
            </w:pPr>
          </w:p>
          <w:p>
            <w:pPr>
              <w:pStyle w:val="32"/>
              <w:spacing w:before="8"/>
              <w:rPr>
                <w:sz w:val="25"/>
                <w:lang w:eastAsia="zh-CN"/>
              </w:rPr>
            </w:pPr>
          </w:p>
          <w:p>
            <w:pPr>
              <w:pStyle w:val="32"/>
              <w:ind w:left="678" w:right="669"/>
              <w:jc w:val="center"/>
              <w:rPr>
                <w:rFonts w:ascii="Times New Roman"/>
                <w:sz w:val="21"/>
              </w:rPr>
            </w:pPr>
            <w:r>
              <w:rPr>
                <w:rFonts w:ascii="Times New Roman"/>
                <w:sz w:val="21"/>
              </w:rPr>
              <w:t>2.2.2</w:t>
            </w:r>
          </w:p>
        </w:tc>
        <w:tc>
          <w:tcPr>
            <w:tcW w:w="1510" w:type="dxa"/>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5"/>
              <w:rPr>
                <w:sz w:val="23"/>
              </w:rPr>
            </w:pPr>
          </w:p>
          <w:p>
            <w:pPr>
              <w:pStyle w:val="32"/>
              <w:spacing w:line="314" w:lineRule="auto"/>
              <w:ind w:left="439" w:right="110" w:hanging="315"/>
              <w:rPr>
                <w:sz w:val="21"/>
              </w:rPr>
            </w:pPr>
            <w:r>
              <w:rPr>
                <w:sz w:val="21"/>
              </w:rPr>
              <w:t>评标基准价计算方法</w:t>
            </w:r>
          </w:p>
        </w:tc>
        <w:tc>
          <w:tcPr>
            <w:tcW w:w="5252" w:type="dxa"/>
          </w:tcPr>
          <w:p>
            <w:pPr>
              <w:pStyle w:val="32"/>
              <w:spacing w:before="59"/>
              <w:ind w:left="108"/>
              <w:rPr>
                <w:sz w:val="21"/>
                <w:lang w:eastAsia="zh-CN"/>
              </w:rPr>
            </w:pPr>
            <w:r>
              <w:rPr>
                <w:sz w:val="21"/>
                <w:lang w:eastAsia="zh-CN"/>
              </w:rPr>
              <w:t>评标基准价的计算：</w:t>
            </w:r>
          </w:p>
          <w:p>
            <w:pPr>
              <w:pStyle w:val="32"/>
              <w:spacing w:before="84" w:line="314" w:lineRule="auto"/>
              <w:ind w:left="108" w:right="98" w:firstLine="420"/>
              <w:rPr>
                <w:sz w:val="21"/>
                <w:lang w:eastAsia="zh-CN"/>
              </w:rPr>
            </w:pPr>
            <w:r>
              <w:rPr>
                <w:sz w:val="21"/>
                <w:lang w:eastAsia="zh-CN"/>
              </w:rPr>
              <w:t>在开标现场，招标人将当场计算并宣布评标基准价。</w:t>
            </w:r>
          </w:p>
          <w:p>
            <w:pPr>
              <w:pStyle w:val="32"/>
              <w:spacing w:before="19"/>
              <w:ind w:left="528"/>
              <w:rPr>
                <w:sz w:val="21"/>
                <w:lang w:eastAsia="zh-CN"/>
              </w:rPr>
            </w:pPr>
            <w:r>
              <w:rPr>
                <w:sz w:val="21"/>
                <w:lang w:eastAsia="zh-CN"/>
              </w:rPr>
              <w:t>（</w:t>
            </w:r>
            <w:r>
              <w:rPr>
                <w:rFonts w:ascii="Times New Roman" w:eastAsia="Times New Roman"/>
                <w:sz w:val="21"/>
                <w:lang w:eastAsia="zh-CN"/>
              </w:rPr>
              <w:t>1</w:t>
            </w:r>
            <w:r>
              <w:rPr>
                <w:sz w:val="21"/>
                <w:lang w:eastAsia="zh-CN"/>
              </w:rPr>
              <w:t>）评标价的确定：</w:t>
            </w:r>
          </w:p>
          <w:p>
            <w:pPr>
              <w:pStyle w:val="32"/>
              <w:spacing w:before="68"/>
              <w:ind w:left="528"/>
              <w:rPr>
                <w:sz w:val="21"/>
                <w:lang w:eastAsia="zh-CN"/>
              </w:rPr>
            </w:pPr>
            <w:r>
              <w:rPr>
                <w:sz w:val="21"/>
                <w:lang w:eastAsia="zh-CN"/>
              </w:rPr>
              <w:t>评标价＝投标函文字报价</w:t>
            </w:r>
          </w:p>
          <w:p>
            <w:pPr>
              <w:pStyle w:val="32"/>
              <w:spacing w:before="69"/>
              <w:ind w:left="528"/>
              <w:rPr>
                <w:sz w:val="21"/>
                <w:lang w:eastAsia="zh-CN"/>
              </w:rPr>
            </w:pPr>
            <w:r>
              <w:rPr>
                <w:sz w:val="21"/>
                <w:lang w:eastAsia="zh-CN"/>
              </w:rPr>
              <w:t>（</w:t>
            </w:r>
            <w:r>
              <w:rPr>
                <w:rFonts w:ascii="Times New Roman" w:eastAsia="Times New Roman"/>
                <w:sz w:val="21"/>
                <w:lang w:eastAsia="zh-CN"/>
              </w:rPr>
              <w:t>2</w:t>
            </w:r>
            <w:r>
              <w:rPr>
                <w:sz w:val="21"/>
                <w:lang w:eastAsia="zh-CN"/>
              </w:rPr>
              <w:t>）评标价平均值的计算：</w:t>
            </w:r>
          </w:p>
          <w:p>
            <w:pPr>
              <w:pStyle w:val="32"/>
              <w:spacing w:before="26" w:line="360" w:lineRule="exact"/>
              <w:ind w:left="108" w:right="93" w:firstLine="420"/>
              <w:jc w:val="both"/>
              <w:rPr>
                <w:sz w:val="21"/>
                <w:lang w:eastAsia="zh-CN"/>
              </w:rPr>
            </w:pPr>
            <w:r>
              <w:rPr>
                <w:spacing w:val="-11"/>
                <w:sz w:val="21"/>
                <w:lang w:eastAsia="zh-CN"/>
              </w:rPr>
              <w:t xml:space="preserve">除按第二章“投标人须知”第 </w:t>
            </w:r>
            <w:r>
              <w:rPr>
                <w:rFonts w:ascii="Times New Roman" w:hAnsi="Times New Roman" w:eastAsia="Times New Roman"/>
                <w:sz w:val="21"/>
                <w:lang w:eastAsia="zh-CN"/>
              </w:rPr>
              <w:t xml:space="preserve">5.2.4 </w:t>
            </w:r>
            <w:r>
              <w:rPr>
                <w:spacing w:val="-3"/>
                <w:sz w:val="21"/>
                <w:lang w:eastAsia="zh-CN"/>
              </w:rPr>
              <w:t>项规定开标现场被宣布为不进入评标基准价计算的投标报价之外，所有投标人的评标价去掉一个最高值和一个最低值后的算术平均值即为评标价平均值（如果参与评标价平</w:t>
            </w:r>
            <w:r>
              <w:rPr>
                <w:spacing w:val="-4"/>
                <w:sz w:val="21"/>
                <w:lang w:eastAsia="zh-CN"/>
              </w:rPr>
              <w:t xml:space="preserve">均值计算的有效投标人少于 </w:t>
            </w:r>
            <w:r>
              <w:rPr>
                <w:rFonts w:ascii="Times New Roman" w:hAnsi="Times New Roman" w:eastAsia="Times New Roman"/>
                <w:sz w:val="21"/>
                <w:lang w:eastAsia="zh-CN"/>
              </w:rPr>
              <w:t xml:space="preserve">5 </w:t>
            </w:r>
            <w:r>
              <w:rPr>
                <w:spacing w:val="-3"/>
                <w:sz w:val="21"/>
                <w:lang w:eastAsia="zh-CN"/>
              </w:rPr>
              <w:t>家时，则计算评标价平均值时不去掉最高值和最低值</w:t>
            </w:r>
            <w:r>
              <w:rPr>
                <w:spacing w:val="-108"/>
                <w:sz w:val="21"/>
                <w:lang w:eastAsia="zh-CN"/>
              </w:rPr>
              <w:t>）</w:t>
            </w:r>
            <w:r>
              <w:rPr>
                <w:sz w:val="21"/>
                <w:lang w:eastAsia="zh-CN"/>
              </w:rPr>
              <w:t>；</w:t>
            </w:r>
          </w:p>
          <w:p>
            <w:pPr>
              <w:pStyle w:val="32"/>
              <w:spacing w:before="54"/>
              <w:ind w:left="528"/>
              <w:rPr>
                <w:sz w:val="21"/>
                <w:lang w:eastAsia="zh-CN"/>
              </w:rPr>
            </w:pPr>
            <w:r>
              <w:rPr>
                <w:sz w:val="21"/>
                <w:lang w:eastAsia="zh-CN"/>
              </w:rPr>
              <w:t>（</w:t>
            </w:r>
            <w:r>
              <w:rPr>
                <w:rFonts w:ascii="Times New Roman" w:hAnsi="Times New Roman" w:eastAsia="Times New Roman"/>
                <w:sz w:val="21"/>
                <w:lang w:eastAsia="zh-CN"/>
              </w:rPr>
              <w:t>3</w:t>
            </w:r>
            <w:r>
              <w:rPr>
                <w:sz w:val="21"/>
                <w:lang w:eastAsia="zh-CN"/>
              </w:rPr>
              <w:t>）评标基准价的确定：</w:t>
            </w:r>
          </w:p>
          <w:p>
            <w:pPr>
              <w:pStyle w:val="32"/>
              <w:tabs>
                <w:tab w:val="left" w:pos="3550"/>
              </w:tabs>
              <w:spacing w:before="68" w:line="314" w:lineRule="auto"/>
              <w:ind w:left="528" w:right="93"/>
              <w:rPr>
                <w:strike/>
                <w:sz w:val="21"/>
                <w:lang w:eastAsia="zh-CN"/>
              </w:rPr>
            </w:pPr>
            <w:r>
              <w:rPr>
                <w:strike/>
                <w:sz w:val="21"/>
                <w:lang w:eastAsia="zh-CN"/>
              </w:rPr>
              <w:t>方法</w:t>
            </w:r>
            <w:r>
              <w:rPr>
                <w:strike/>
                <w:spacing w:val="-3"/>
                <w:sz w:val="21"/>
                <w:lang w:eastAsia="zh-CN"/>
              </w:rPr>
              <w:t>一</w:t>
            </w:r>
            <w:r>
              <w:rPr>
                <w:strike/>
                <w:sz w:val="21"/>
                <w:lang w:eastAsia="zh-CN"/>
              </w:rPr>
              <w:t>：</w:t>
            </w:r>
            <w:r>
              <w:rPr>
                <w:strike/>
                <w:spacing w:val="-3"/>
                <w:sz w:val="21"/>
                <w:lang w:eastAsia="zh-CN"/>
              </w:rPr>
              <w:t>将</w:t>
            </w:r>
            <w:r>
              <w:rPr>
                <w:strike/>
                <w:sz w:val="21"/>
                <w:lang w:eastAsia="zh-CN"/>
              </w:rPr>
              <w:t>评</w:t>
            </w:r>
            <w:r>
              <w:rPr>
                <w:strike/>
                <w:spacing w:val="-3"/>
                <w:sz w:val="21"/>
                <w:lang w:eastAsia="zh-CN"/>
              </w:rPr>
              <w:t>标</w:t>
            </w:r>
            <w:r>
              <w:rPr>
                <w:strike/>
                <w:sz w:val="21"/>
                <w:lang w:eastAsia="zh-CN"/>
              </w:rPr>
              <w:t>价</w:t>
            </w:r>
            <w:r>
              <w:rPr>
                <w:strike/>
                <w:spacing w:val="-3"/>
                <w:sz w:val="21"/>
                <w:lang w:eastAsia="zh-CN"/>
              </w:rPr>
              <w:t>平</w:t>
            </w:r>
            <w:r>
              <w:rPr>
                <w:strike/>
                <w:sz w:val="21"/>
                <w:lang w:eastAsia="zh-CN"/>
              </w:rPr>
              <w:t>均</w:t>
            </w:r>
            <w:r>
              <w:rPr>
                <w:strike/>
                <w:spacing w:val="-3"/>
                <w:sz w:val="21"/>
                <w:lang w:eastAsia="zh-CN"/>
              </w:rPr>
              <w:t>值</w:t>
            </w:r>
            <w:r>
              <w:rPr>
                <w:strike/>
                <w:sz w:val="21"/>
                <w:lang w:eastAsia="zh-CN"/>
              </w:rPr>
              <w:t>直接</w:t>
            </w:r>
            <w:r>
              <w:rPr>
                <w:strike/>
                <w:spacing w:val="-3"/>
                <w:sz w:val="21"/>
                <w:lang w:eastAsia="zh-CN"/>
              </w:rPr>
              <w:t>作</w:t>
            </w:r>
            <w:r>
              <w:rPr>
                <w:strike/>
                <w:sz w:val="21"/>
                <w:lang w:eastAsia="zh-CN"/>
              </w:rPr>
              <w:t>为</w:t>
            </w:r>
            <w:r>
              <w:rPr>
                <w:strike/>
                <w:spacing w:val="-3"/>
                <w:sz w:val="21"/>
                <w:lang w:eastAsia="zh-CN"/>
              </w:rPr>
              <w:t>评</w:t>
            </w:r>
            <w:r>
              <w:rPr>
                <w:strike/>
                <w:sz w:val="21"/>
                <w:lang w:eastAsia="zh-CN"/>
              </w:rPr>
              <w:t>标</w:t>
            </w:r>
            <w:r>
              <w:rPr>
                <w:strike/>
                <w:spacing w:val="-3"/>
                <w:sz w:val="21"/>
                <w:lang w:eastAsia="zh-CN"/>
              </w:rPr>
              <w:t>基</w:t>
            </w:r>
            <w:r>
              <w:rPr>
                <w:strike/>
                <w:sz w:val="21"/>
                <w:lang w:eastAsia="zh-CN"/>
              </w:rPr>
              <w:t>准</w:t>
            </w:r>
            <w:r>
              <w:rPr>
                <w:strike/>
                <w:spacing w:val="-3"/>
                <w:sz w:val="21"/>
                <w:lang w:eastAsia="zh-CN"/>
              </w:rPr>
              <w:t>价</w:t>
            </w:r>
            <w:r>
              <w:rPr>
                <w:strike/>
                <w:sz w:val="21"/>
                <w:lang w:eastAsia="zh-CN"/>
              </w:rPr>
              <w:t>。</w:t>
            </w:r>
          </w:p>
          <w:p>
            <w:pPr>
              <w:pStyle w:val="32"/>
              <w:tabs>
                <w:tab w:val="left" w:pos="3550"/>
              </w:tabs>
              <w:spacing w:before="68" w:line="314" w:lineRule="auto"/>
              <w:ind w:left="528" w:right="93"/>
              <w:rPr>
                <w:sz w:val="21"/>
                <w:lang w:eastAsia="zh-CN"/>
              </w:rPr>
            </w:pPr>
            <w:r>
              <w:rPr>
                <w:sz w:val="21"/>
                <w:lang w:eastAsia="zh-CN"/>
              </w:rPr>
              <w:t>方法</w:t>
            </w:r>
            <w:r>
              <w:rPr>
                <w:spacing w:val="-3"/>
                <w:sz w:val="21"/>
                <w:lang w:eastAsia="zh-CN"/>
              </w:rPr>
              <w:t>二</w:t>
            </w:r>
            <w:r>
              <w:rPr>
                <w:spacing w:val="-27"/>
                <w:sz w:val="21"/>
                <w:lang w:eastAsia="zh-CN"/>
              </w:rPr>
              <w:t>：</w:t>
            </w:r>
            <w:r>
              <w:rPr>
                <w:spacing w:val="-3"/>
                <w:sz w:val="21"/>
                <w:lang w:eastAsia="zh-CN"/>
              </w:rPr>
              <w:t>将</w:t>
            </w:r>
            <w:r>
              <w:rPr>
                <w:sz w:val="21"/>
                <w:lang w:eastAsia="zh-CN"/>
              </w:rPr>
              <w:t>评</w:t>
            </w:r>
            <w:r>
              <w:rPr>
                <w:spacing w:val="-3"/>
                <w:sz w:val="21"/>
                <w:lang w:eastAsia="zh-CN"/>
              </w:rPr>
              <w:t>标</w:t>
            </w:r>
            <w:r>
              <w:rPr>
                <w:sz w:val="21"/>
                <w:lang w:eastAsia="zh-CN"/>
              </w:rPr>
              <w:t>价</w:t>
            </w:r>
            <w:r>
              <w:rPr>
                <w:spacing w:val="-3"/>
                <w:sz w:val="21"/>
                <w:lang w:eastAsia="zh-CN"/>
              </w:rPr>
              <w:t>平</w:t>
            </w:r>
            <w:r>
              <w:rPr>
                <w:sz w:val="21"/>
                <w:lang w:eastAsia="zh-CN"/>
              </w:rPr>
              <w:t>均</w:t>
            </w:r>
            <w:r>
              <w:rPr>
                <w:spacing w:val="-3"/>
                <w:sz w:val="21"/>
                <w:lang w:eastAsia="zh-CN"/>
              </w:rPr>
              <w:t>值</w:t>
            </w:r>
            <w:r>
              <w:rPr>
                <w:sz w:val="21"/>
                <w:lang w:eastAsia="zh-CN"/>
              </w:rPr>
              <w:t>下浮</w:t>
            </w:r>
            <w:r>
              <w:rPr>
                <w:rFonts w:hint="eastAsia"/>
                <w:sz w:val="21"/>
                <w:u w:val="single"/>
                <w:lang w:eastAsia="zh-CN"/>
              </w:rPr>
              <w:t>5</w:t>
            </w:r>
            <w:r>
              <w:rPr>
                <w:spacing w:val="-15"/>
                <w:sz w:val="21"/>
                <w:lang w:eastAsia="zh-CN"/>
              </w:rPr>
              <w:t>％，</w:t>
            </w:r>
            <w:r>
              <w:rPr>
                <w:spacing w:val="-3"/>
                <w:sz w:val="21"/>
                <w:lang w:eastAsia="zh-CN"/>
              </w:rPr>
              <w:t>作</w:t>
            </w:r>
            <w:r>
              <w:rPr>
                <w:sz w:val="21"/>
                <w:lang w:eastAsia="zh-CN"/>
              </w:rPr>
              <w:t>为</w:t>
            </w:r>
            <w:r>
              <w:rPr>
                <w:spacing w:val="-3"/>
                <w:sz w:val="21"/>
                <w:lang w:eastAsia="zh-CN"/>
              </w:rPr>
              <w:t>评</w:t>
            </w:r>
            <w:r>
              <w:rPr>
                <w:sz w:val="21"/>
                <w:lang w:eastAsia="zh-CN"/>
              </w:rPr>
              <w:t>标基准价。</w:t>
            </w:r>
          </w:p>
          <w:p>
            <w:pPr>
              <w:pStyle w:val="32"/>
              <w:spacing w:before="85" w:line="314" w:lineRule="auto"/>
              <w:ind w:left="108" w:right="97" w:firstLine="420"/>
              <w:jc w:val="both"/>
              <w:rPr>
                <w:strike/>
                <w:sz w:val="21"/>
                <w:lang w:eastAsia="zh-CN"/>
              </w:rPr>
            </w:pPr>
            <w:r>
              <w:rPr>
                <w:strike/>
                <w:sz w:val="21"/>
                <w:lang w:eastAsia="zh-CN"/>
              </w:rPr>
              <w:t>方法三：招标人设置评标基准价系数，由投标人代表现场抽取，评标价平均值乘以现场抽取的评标基准价系数作为评标基准价。</w:t>
            </w:r>
          </w:p>
          <w:p>
            <w:pPr>
              <w:pStyle w:val="32"/>
              <w:spacing w:before="26" w:line="360" w:lineRule="exact"/>
              <w:ind w:left="108" w:right="93" w:firstLine="420"/>
              <w:jc w:val="both"/>
              <w:rPr>
                <w:sz w:val="21"/>
                <w:lang w:eastAsia="zh-CN"/>
              </w:rPr>
            </w:pPr>
            <w:r>
              <w:rPr>
                <w:sz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32"/>
              <w:spacing w:before="26" w:line="360" w:lineRule="exact"/>
              <w:ind w:left="108" w:right="93" w:firstLine="420"/>
              <w:jc w:val="both"/>
              <w:rPr>
                <w:sz w:val="21"/>
                <w:lang w:eastAsia="zh-CN"/>
              </w:rPr>
            </w:pPr>
          </w:p>
        </w:tc>
      </w:tr>
    </w:tbl>
    <w:p>
      <w:pPr>
        <w:spacing w:before="1" w:after="33"/>
        <w:rPr>
          <w:sz w:val="21"/>
          <w:lang w:eastAsia="zh-CN"/>
        </w:rPr>
      </w:pPr>
    </w:p>
    <w:p>
      <w:pPr>
        <w:widowControl/>
        <w:autoSpaceDE/>
        <w:autoSpaceDN/>
        <w:rPr>
          <w:sz w:val="21"/>
          <w:lang w:eastAsia="zh-CN"/>
        </w:rPr>
      </w:pPr>
      <w:r>
        <w:rPr>
          <w:sz w:val="21"/>
          <w:lang w:eastAsia="zh-CN"/>
        </w:rPr>
        <w:br w:type="page"/>
      </w:r>
    </w:p>
    <w:p>
      <w:pPr>
        <w:spacing w:before="1" w:after="33"/>
        <w:rPr>
          <w:sz w:val="21"/>
          <w:lang w:eastAsia="zh-CN"/>
        </w:rPr>
      </w:pPr>
    </w:p>
    <w:tbl>
      <w:tblPr>
        <w:tblStyle w:val="19"/>
        <w:tblW w:w="9075"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2"/>
        <w:gridCol w:w="1517"/>
        <w:gridCol w:w="5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562" w:type="dxa"/>
          </w:tcPr>
          <w:p>
            <w:pPr>
              <w:pStyle w:val="32"/>
              <w:spacing w:before="54"/>
              <w:ind w:right="666"/>
              <w:jc w:val="center"/>
              <w:rPr>
                <w:b/>
                <w:sz w:val="21"/>
              </w:rPr>
            </w:pPr>
            <w:r>
              <w:rPr>
                <w:b/>
                <w:sz w:val="21"/>
              </w:rPr>
              <w:t>条款号</w:t>
            </w:r>
          </w:p>
        </w:tc>
        <w:tc>
          <w:tcPr>
            <w:tcW w:w="1517" w:type="dxa"/>
          </w:tcPr>
          <w:p>
            <w:pPr>
              <w:pStyle w:val="32"/>
              <w:spacing w:before="54"/>
              <w:ind w:left="316" w:right="306"/>
              <w:jc w:val="center"/>
              <w:rPr>
                <w:b/>
                <w:sz w:val="21"/>
              </w:rPr>
            </w:pPr>
            <w:r>
              <w:rPr>
                <w:b/>
                <w:sz w:val="21"/>
              </w:rPr>
              <w:t>条款内容</w:t>
            </w:r>
          </w:p>
        </w:tc>
        <w:tc>
          <w:tcPr>
            <w:tcW w:w="5996" w:type="dxa"/>
          </w:tcPr>
          <w:p>
            <w:pPr>
              <w:pStyle w:val="32"/>
              <w:spacing w:before="54"/>
              <w:ind w:left="2129"/>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562" w:type="dxa"/>
            <w:vAlign w:val="center"/>
          </w:tcPr>
          <w:p>
            <w:pPr>
              <w:pStyle w:val="32"/>
              <w:spacing w:before="173"/>
              <w:ind w:right="661"/>
              <w:jc w:val="center"/>
              <w:rPr>
                <w:rFonts w:ascii="Times New Roman"/>
                <w:sz w:val="21"/>
              </w:rPr>
            </w:pPr>
            <w:r>
              <w:rPr>
                <w:rFonts w:ascii="Times New Roman"/>
                <w:sz w:val="21"/>
              </w:rPr>
              <w:t>2.2.3</w:t>
            </w:r>
          </w:p>
        </w:tc>
        <w:tc>
          <w:tcPr>
            <w:tcW w:w="1517" w:type="dxa"/>
          </w:tcPr>
          <w:p>
            <w:pPr>
              <w:pStyle w:val="32"/>
              <w:spacing w:before="12"/>
              <w:rPr>
                <w:sz w:val="16"/>
                <w:lang w:eastAsia="zh-CN"/>
              </w:rPr>
            </w:pPr>
          </w:p>
          <w:p>
            <w:pPr>
              <w:pStyle w:val="32"/>
              <w:spacing w:line="314" w:lineRule="auto"/>
              <w:ind w:left="233" w:right="115" w:hanging="107"/>
              <w:rPr>
                <w:sz w:val="21"/>
                <w:lang w:eastAsia="zh-CN"/>
              </w:rPr>
            </w:pPr>
            <w:r>
              <w:rPr>
                <w:sz w:val="21"/>
                <w:lang w:eastAsia="zh-CN"/>
              </w:rPr>
              <w:t>评标价的偏差率计算公式</w:t>
            </w:r>
          </w:p>
        </w:tc>
        <w:tc>
          <w:tcPr>
            <w:tcW w:w="5996" w:type="dxa"/>
          </w:tcPr>
          <w:p>
            <w:pPr>
              <w:pStyle w:val="32"/>
              <w:spacing w:before="42" w:line="297" w:lineRule="auto"/>
              <w:ind w:left="108" w:right="95"/>
              <w:rPr>
                <w:sz w:val="21"/>
                <w:lang w:eastAsia="zh-CN"/>
              </w:rPr>
            </w:pPr>
            <w:r>
              <w:rPr>
                <w:sz w:val="21"/>
                <w:lang w:eastAsia="zh-CN"/>
              </w:rPr>
              <w:t>偏差率</w:t>
            </w:r>
            <w:r>
              <w:rPr>
                <w:rFonts w:ascii="Times New Roman" w:hAnsi="Times New Roman" w:eastAsia="Times New Roman"/>
                <w:sz w:val="21"/>
                <w:lang w:eastAsia="zh-CN"/>
              </w:rPr>
              <w:t>=100% ×</w:t>
            </w:r>
            <w:r>
              <w:rPr>
                <w:sz w:val="21"/>
                <w:lang w:eastAsia="zh-CN"/>
              </w:rPr>
              <w:t>（投标人评标价－评标基准价）</w:t>
            </w:r>
            <w:r>
              <w:rPr>
                <w:rFonts w:ascii="Times New Roman" w:hAnsi="Times New Roman" w:eastAsia="Times New Roman"/>
                <w:sz w:val="21"/>
                <w:lang w:eastAsia="zh-CN"/>
              </w:rPr>
              <w:t>/</w:t>
            </w:r>
            <w:r>
              <w:rPr>
                <w:sz w:val="21"/>
                <w:lang w:eastAsia="zh-CN"/>
              </w:rPr>
              <w:t>评标基准价</w:t>
            </w:r>
          </w:p>
          <w:p>
            <w:pPr>
              <w:pStyle w:val="32"/>
              <w:tabs>
                <w:tab w:val="left" w:pos="1579"/>
              </w:tabs>
              <w:spacing w:before="35"/>
              <w:ind w:left="108"/>
              <w:rPr>
                <w:sz w:val="21"/>
              </w:rPr>
            </w:pPr>
            <w:r>
              <w:rPr>
                <w:sz w:val="21"/>
              </w:rPr>
              <w:t>偏差</w:t>
            </w:r>
            <w:r>
              <w:rPr>
                <w:spacing w:val="-3"/>
                <w:sz w:val="21"/>
              </w:rPr>
              <w:t>率</w:t>
            </w:r>
            <w:r>
              <w:rPr>
                <w:sz w:val="21"/>
              </w:rPr>
              <w:t>保留</w:t>
            </w:r>
            <w:r>
              <w:rPr>
                <w:rFonts w:hint="eastAsia"/>
                <w:sz w:val="21"/>
                <w:u w:val="single"/>
                <w:lang w:eastAsia="zh-CN"/>
              </w:rPr>
              <w:t xml:space="preserve">2 </w:t>
            </w:r>
            <w:r>
              <w:rPr>
                <w:sz w:val="21"/>
              </w:rPr>
              <w:t>位</w:t>
            </w:r>
            <w:r>
              <w:rPr>
                <w:spacing w:val="-3"/>
                <w:sz w:val="21"/>
              </w:rPr>
              <w:t>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562" w:type="dxa"/>
            <w:vAlign w:val="center"/>
          </w:tcPr>
          <w:p>
            <w:pPr>
              <w:pStyle w:val="32"/>
              <w:ind w:right="661"/>
              <w:jc w:val="center"/>
              <w:rPr>
                <w:rFonts w:ascii="Times New Roman"/>
                <w:sz w:val="21"/>
                <w:lang w:eastAsia="zh-CN"/>
              </w:rPr>
            </w:pPr>
            <w:r>
              <w:rPr>
                <w:rFonts w:ascii="Times New Roman"/>
                <w:sz w:val="21"/>
              </w:rPr>
              <w:t>2.2.4</w:t>
            </w:r>
            <w:r>
              <w:rPr>
                <w:rFonts w:hint="eastAsia" w:ascii="Times New Roman"/>
                <w:sz w:val="21"/>
                <w:lang w:eastAsia="zh-CN"/>
              </w:rPr>
              <w:t>（1）</w:t>
            </w:r>
          </w:p>
        </w:tc>
        <w:tc>
          <w:tcPr>
            <w:tcW w:w="1517" w:type="dxa"/>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2"/>
              <w:rPr>
                <w:sz w:val="27"/>
              </w:rPr>
            </w:pPr>
          </w:p>
          <w:p>
            <w:pPr>
              <w:pStyle w:val="32"/>
              <w:ind w:left="316" w:right="306"/>
              <w:jc w:val="center"/>
              <w:rPr>
                <w:sz w:val="21"/>
              </w:rPr>
            </w:pPr>
            <w:r>
              <w:rPr>
                <w:sz w:val="21"/>
              </w:rPr>
              <w:t>评标价</w:t>
            </w:r>
            <w:r>
              <w:rPr>
                <w:w w:val="95"/>
                <w:sz w:val="21"/>
              </w:rPr>
              <w:t>（</w:t>
            </w:r>
            <w:r>
              <w:rPr>
                <w:rFonts w:ascii="Arial" w:eastAsia="Arial"/>
                <w:w w:val="95"/>
                <w:sz w:val="21"/>
              </w:rPr>
              <w:t>P0</w:t>
            </w:r>
            <w:r>
              <w:rPr>
                <w:w w:val="95"/>
                <w:sz w:val="21"/>
              </w:rPr>
              <w:t>）</w:t>
            </w:r>
          </w:p>
        </w:tc>
        <w:tc>
          <w:tcPr>
            <w:tcW w:w="5996" w:type="dxa"/>
          </w:tcPr>
          <w:p>
            <w:pPr>
              <w:pStyle w:val="32"/>
              <w:spacing w:before="54"/>
              <w:ind w:left="108"/>
              <w:rPr>
                <w:sz w:val="21"/>
                <w:lang w:eastAsia="zh-CN"/>
              </w:rPr>
            </w:pPr>
            <w:r>
              <w:rPr>
                <w:rFonts w:hint="eastAsia" w:ascii="Times New Roman" w:eastAsiaTheme="minorEastAsia"/>
                <w:sz w:val="21"/>
                <w:lang w:eastAsia="zh-CN"/>
              </w:rPr>
              <w:t>98</w:t>
            </w:r>
            <w:r>
              <w:rPr>
                <w:sz w:val="21"/>
                <w:lang w:eastAsia="zh-CN"/>
              </w:rPr>
              <w:t>分</w:t>
            </w:r>
          </w:p>
          <w:p>
            <w:pPr>
              <w:pStyle w:val="32"/>
              <w:spacing w:before="84" w:line="297" w:lineRule="auto"/>
              <w:ind w:left="108" w:right="94"/>
              <w:rPr>
                <w:sz w:val="21"/>
                <w:lang w:eastAsia="zh-CN"/>
              </w:rPr>
            </w:pPr>
            <w:r>
              <w:rPr>
                <w:sz w:val="21"/>
                <w:lang w:eastAsia="zh-CN"/>
              </w:rPr>
              <w:t>（</w:t>
            </w:r>
            <w:r>
              <w:rPr>
                <w:rFonts w:ascii="Times New Roman" w:hAnsi="Times New Roman" w:eastAsia="Times New Roman"/>
                <w:sz w:val="21"/>
                <w:lang w:eastAsia="zh-CN"/>
              </w:rPr>
              <w:t>1</w:t>
            </w:r>
            <w:r>
              <w:rPr>
                <w:sz w:val="21"/>
                <w:lang w:eastAsia="zh-CN"/>
              </w:rPr>
              <w:t>）如果投标人的评标价</w:t>
            </w:r>
            <w:r>
              <w:rPr>
                <w:rFonts w:ascii="Times New Roman" w:hAnsi="Times New Roman" w:eastAsia="Times New Roman"/>
                <w:sz w:val="21"/>
                <w:lang w:eastAsia="zh-CN"/>
              </w:rPr>
              <w:t>&gt;</w:t>
            </w:r>
            <w:r>
              <w:rPr>
                <w:sz w:val="21"/>
                <w:lang w:eastAsia="zh-CN"/>
              </w:rPr>
              <w:t>评标基准价，则评标价得分＝</w:t>
            </w:r>
            <w:r>
              <w:rPr>
                <w:rFonts w:hint="eastAsia" w:ascii="Times New Roman" w:hAnsi="Times New Roman" w:eastAsiaTheme="minorEastAsia"/>
                <w:sz w:val="21"/>
                <w:lang w:eastAsia="zh-CN"/>
              </w:rPr>
              <w:t>98</w:t>
            </w:r>
            <w:r>
              <w:rPr>
                <w:sz w:val="21"/>
                <w:lang w:eastAsia="zh-CN"/>
              </w:rPr>
              <w:t>－偏差率</w:t>
            </w:r>
            <w:r>
              <w:rPr>
                <w:rFonts w:ascii="Times New Roman" w:hAnsi="Times New Roman" w:eastAsia="Times New Roman"/>
                <w:sz w:val="21"/>
                <w:lang w:eastAsia="zh-CN"/>
              </w:rPr>
              <w:t>×100×E</w:t>
            </w:r>
            <w:r>
              <w:rPr>
                <w:rFonts w:hint="eastAsia" w:ascii="Times New Roman" w:hAnsi="Times New Roman" w:eastAsiaTheme="minorEastAsia"/>
                <w:sz w:val="21"/>
                <w:vertAlign w:val="subscript"/>
                <w:lang w:eastAsia="zh-CN"/>
              </w:rPr>
              <w:t>1</w:t>
            </w:r>
            <w:r>
              <w:rPr>
                <w:sz w:val="21"/>
                <w:lang w:eastAsia="zh-CN"/>
              </w:rPr>
              <w:t>；</w:t>
            </w:r>
          </w:p>
          <w:p>
            <w:pPr>
              <w:pStyle w:val="32"/>
              <w:spacing w:before="13" w:line="297" w:lineRule="auto"/>
              <w:ind w:left="108" w:right="94"/>
              <w:rPr>
                <w:sz w:val="21"/>
                <w:lang w:eastAsia="zh-CN"/>
              </w:rPr>
            </w:pPr>
            <w:r>
              <w:rPr>
                <w:sz w:val="21"/>
                <w:lang w:eastAsia="zh-CN"/>
              </w:rPr>
              <w:t>（</w:t>
            </w:r>
            <w:r>
              <w:rPr>
                <w:rFonts w:ascii="Times New Roman" w:hAnsi="Times New Roman" w:eastAsia="Times New Roman"/>
                <w:sz w:val="21"/>
                <w:lang w:eastAsia="zh-CN"/>
              </w:rPr>
              <w:t>2</w:t>
            </w:r>
            <w:r>
              <w:rPr>
                <w:sz w:val="21"/>
                <w:lang w:eastAsia="zh-CN"/>
              </w:rPr>
              <w:t>）如果投标人的评标价</w:t>
            </w:r>
            <w:r>
              <w:rPr>
                <w:rFonts w:ascii="Times New Roman" w:hAnsi="Times New Roman" w:eastAsia="Times New Roman"/>
                <w:sz w:val="21"/>
                <w:lang w:eastAsia="zh-CN"/>
              </w:rPr>
              <w:t>≤</w:t>
            </w:r>
            <w:r>
              <w:rPr>
                <w:sz w:val="21"/>
                <w:lang w:eastAsia="zh-CN"/>
              </w:rPr>
              <w:t>评标基准价，则评标价得分＝</w:t>
            </w:r>
            <w:r>
              <w:rPr>
                <w:rFonts w:hint="eastAsia" w:ascii="Times New Roman" w:hAnsi="Times New Roman" w:eastAsiaTheme="minorEastAsia"/>
                <w:sz w:val="21"/>
                <w:lang w:eastAsia="zh-CN"/>
              </w:rPr>
              <w:t>98</w:t>
            </w:r>
            <w:r>
              <w:rPr>
                <w:sz w:val="21"/>
                <w:lang w:eastAsia="zh-CN"/>
              </w:rPr>
              <w:t>＋偏差率</w:t>
            </w:r>
            <w:r>
              <w:rPr>
                <w:rFonts w:ascii="Times New Roman" w:hAnsi="Times New Roman" w:eastAsia="Times New Roman"/>
                <w:sz w:val="21"/>
                <w:lang w:eastAsia="zh-CN"/>
              </w:rPr>
              <w:t xml:space="preserve">×100×E </w:t>
            </w:r>
            <w:r>
              <w:rPr>
                <w:rFonts w:ascii="Times New Roman" w:hAnsi="Times New Roman" w:eastAsia="Times New Roman"/>
                <w:sz w:val="21"/>
                <w:vertAlign w:val="subscript"/>
                <w:lang w:eastAsia="zh-CN"/>
              </w:rPr>
              <w:t>2</w:t>
            </w:r>
            <w:r>
              <w:rPr>
                <w:sz w:val="21"/>
                <w:lang w:eastAsia="zh-CN"/>
              </w:rPr>
              <w:t>。</w:t>
            </w:r>
          </w:p>
          <w:p>
            <w:pPr>
              <w:pStyle w:val="32"/>
              <w:spacing w:before="14" w:line="297" w:lineRule="auto"/>
              <w:ind w:left="108" w:right="93"/>
              <w:jc w:val="both"/>
              <w:rPr>
                <w:sz w:val="21"/>
                <w:lang w:eastAsia="zh-CN"/>
              </w:rPr>
            </w:pPr>
            <w:r>
              <w:rPr>
                <w:sz w:val="21"/>
                <w:lang w:eastAsia="zh-CN"/>
              </w:rPr>
              <w:t>其中：</w:t>
            </w:r>
            <w:r>
              <w:rPr>
                <w:rFonts w:ascii="Times New Roman" w:eastAsia="Times New Roman"/>
                <w:sz w:val="21"/>
                <w:lang w:eastAsia="zh-CN"/>
              </w:rPr>
              <w:t>E</w:t>
            </w:r>
            <w:r>
              <w:rPr>
                <w:rFonts w:ascii="Times New Roman" w:eastAsia="Times New Roman"/>
                <w:sz w:val="21"/>
                <w:vertAlign w:val="subscript"/>
                <w:lang w:eastAsia="zh-CN"/>
              </w:rPr>
              <w:t>1</w:t>
            </w:r>
            <w:r>
              <w:rPr>
                <w:sz w:val="21"/>
                <w:lang w:eastAsia="zh-CN"/>
              </w:rPr>
              <w:t>是评标价每高于评标基准价一个百分点的扣分值，</w:t>
            </w:r>
            <w:r>
              <w:rPr>
                <w:rFonts w:ascii="Times New Roman" w:eastAsia="Times New Roman"/>
                <w:sz w:val="21"/>
                <w:lang w:eastAsia="zh-CN"/>
              </w:rPr>
              <w:t>E</w:t>
            </w:r>
            <w:r>
              <w:rPr>
                <w:rFonts w:ascii="Times New Roman" w:eastAsia="Times New Roman"/>
                <w:sz w:val="21"/>
                <w:vertAlign w:val="subscript"/>
                <w:lang w:eastAsia="zh-CN"/>
              </w:rPr>
              <w:t>2</w:t>
            </w:r>
            <w:r>
              <w:rPr>
                <w:sz w:val="21"/>
                <w:lang w:eastAsia="zh-CN"/>
              </w:rPr>
              <w:t>是评标价每低于评标基准价一个百分点的扣分值；招标人可依据招标项目具体特点和实际需要设</w:t>
            </w:r>
          </w:p>
          <w:p>
            <w:pPr>
              <w:pStyle w:val="32"/>
              <w:spacing w:before="34" w:line="285" w:lineRule="exact"/>
              <w:ind w:left="108"/>
              <w:jc w:val="both"/>
              <w:rPr>
                <w:rFonts w:ascii="Times New Roman" w:eastAsiaTheme="minorEastAsia"/>
                <w:sz w:val="21"/>
                <w:vertAlign w:val="subscript"/>
                <w:lang w:eastAsia="zh-CN"/>
              </w:rPr>
            </w:pPr>
            <w:r>
              <w:rPr>
                <w:sz w:val="21"/>
              </w:rPr>
              <w:t xml:space="preserve">置 </w:t>
            </w:r>
            <w:r>
              <w:rPr>
                <w:rFonts w:ascii="Times New Roman" w:eastAsia="Times New Roman"/>
                <w:sz w:val="21"/>
              </w:rPr>
              <w:t>E</w:t>
            </w:r>
            <w:r>
              <w:rPr>
                <w:rFonts w:ascii="Times New Roman" w:eastAsia="Times New Roman"/>
                <w:sz w:val="21"/>
                <w:vertAlign w:val="subscript"/>
              </w:rPr>
              <w:t>1</w:t>
            </w:r>
            <w:r>
              <w:rPr>
                <w:sz w:val="21"/>
              </w:rPr>
              <w:t>、</w:t>
            </w:r>
            <w:r>
              <w:rPr>
                <w:rFonts w:ascii="Times New Roman" w:eastAsia="Times New Roman"/>
                <w:sz w:val="21"/>
              </w:rPr>
              <w:t>E</w:t>
            </w:r>
            <w:r>
              <w:rPr>
                <w:rFonts w:ascii="Times New Roman" w:eastAsia="Times New Roman"/>
                <w:sz w:val="21"/>
                <w:vertAlign w:val="subscript"/>
              </w:rPr>
              <w:t>2</w:t>
            </w:r>
            <w:r>
              <w:rPr>
                <w:sz w:val="21"/>
              </w:rPr>
              <w:t xml:space="preserve">，但 </w:t>
            </w:r>
            <w:r>
              <w:rPr>
                <w:rFonts w:ascii="Times New Roman" w:eastAsia="Times New Roman"/>
                <w:sz w:val="21"/>
              </w:rPr>
              <w:t>E</w:t>
            </w:r>
            <w:r>
              <w:rPr>
                <w:rFonts w:ascii="Times New Roman" w:eastAsia="Times New Roman"/>
                <w:sz w:val="21"/>
                <w:vertAlign w:val="subscript"/>
              </w:rPr>
              <w:t>1</w:t>
            </w:r>
            <w:r>
              <w:rPr>
                <w:sz w:val="21"/>
              </w:rPr>
              <w:t xml:space="preserve">应大于 </w:t>
            </w:r>
            <w:r>
              <w:rPr>
                <w:rFonts w:ascii="Times New Roman" w:eastAsia="Times New Roman"/>
                <w:sz w:val="21"/>
              </w:rPr>
              <w:t>E</w:t>
            </w:r>
            <w:r>
              <w:rPr>
                <w:rFonts w:ascii="Times New Roman" w:eastAsia="Times New Roman"/>
                <w:sz w:val="21"/>
                <w:vertAlign w:val="subscript"/>
              </w:rPr>
              <w:t>2</w:t>
            </w:r>
          </w:p>
          <w:p>
            <w:pPr>
              <w:pStyle w:val="32"/>
              <w:spacing w:before="34" w:line="285" w:lineRule="exact"/>
              <w:ind w:left="108"/>
              <w:jc w:val="both"/>
              <w:rPr>
                <w:rFonts w:ascii="Times New Roman" w:eastAsiaTheme="minorEastAsia"/>
                <w:sz w:val="21"/>
                <w:lang w:eastAsia="zh-CN"/>
              </w:rPr>
            </w:pPr>
            <w:r>
              <w:rPr>
                <w:rFonts w:ascii="Arial" w:eastAsia="Arial"/>
                <w:sz w:val="21"/>
                <w:lang w:eastAsia="zh-CN"/>
              </w:rPr>
              <w:t>E1=1</w:t>
            </w:r>
            <w:r>
              <w:rPr>
                <w:rFonts w:hint="eastAsia" w:ascii="Arial" w:eastAsiaTheme="minorEastAsia"/>
                <w:sz w:val="21"/>
                <w:lang w:eastAsia="zh-CN"/>
              </w:rPr>
              <w:t>，</w:t>
            </w:r>
            <w:r>
              <w:rPr>
                <w:rFonts w:ascii="Arial" w:eastAsia="Arial"/>
                <w:w w:val="95"/>
                <w:sz w:val="21"/>
                <w:lang w:eastAsia="zh-CN"/>
              </w:rPr>
              <w:t>E2=0.5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562" w:type="dxa"/>
            <w:vAlign w:val="center"/>
          </w:tcPr>
          <w:p>
            <w:pPr>
              <w:pStyle w:val="32"/>
              <w:ind w:right="661"/>
              <w:jc w:val="center"/>
              <w:rPr>
                <w:rFonts w:ascii="Times New Roman"/>
                <w:sz w:val="21"/>
                <w:lang w:eastAsia="zh-CN"/>
              </w:rPr>
            </w:pPr>
            <w:r>
              <w:rPr>
                <w:rFonts w:ascii="Times New Roman"/>
                <w:sz w:val="21"/>
              </w:rPr>
              <w:t>2.2.4</w:t>
            </w:r>
            <w:r>
              <w:rPr>
                <w:rFonts w:hint="eastAsia" w:ascii="Times New Roman"/>
                <w:sz w:val="21"/>
                <w:lang w:eastAsia="zh-CN"/>
              </w:rPr>
              <w:t>（2）</w:t>
            </w:r>
          </w:p>
        </w:tc>
        <w:tc>
          <w:tcPr>
            <w:tcW w:w="1517" w:type="dxa"/>
          </w:tcPr>
          <w:p>
            <w:pPr>
              <w:pStyle w:val="32"/>
              <w:rPr>
                <w:sz w:val="20"/>
              </w:rPr>
            </w:pPr>
          </w:p>
          <w:p>
            <w:pPr>
              <w:pStyle w:val="32"/>
              <w:rPr>
                <w:sz w:val="20"/>
              </w:rPr>
            </w:pPr>
          </w:p>
          <w:p>
            <w:pPr>
              <w:pStyle w:val="32"/>
              <w:rPr>
                <w:sz w:val="20"/>
              </w:rPr>
            </w:pPr>
          </w:p>
          <w:p>
            <w:pPr>
              <w:pStyle w:val="32"/>
              <w:rPr>
                <w:sz w:val="20"/>
              </w:rPr>
            </w:pPr>
          </w:p>
          <w:p>
            <w:pPr>
              <w:pStyle w:val="32"/>
              <w:rPr>
                <w:sz w:val="20"/>
              </w:rPr>
            </w:pPr>
          </w:p>
          <w:p>
            <w:pPr>
              <w:pStyle w:val="32"/>
              <w:spacing w:before="12"/>
              <w:rPr>
                <w:sz w:val="27"/>
              </w:rPr>
            </w:pPr>
          </w:p>
          <w:p>
            <w:pPr>
              <w:pStyle w:val="32"/>
              <w:ind w:left="316" w:right="306"/>
              <w:jc w:val="center"/>
              <w:rPr>
                <w:sz w:val="21"/>
              </w:rPr>
            </w:pPr>
            <w:r>
              <w:rPr>
                <w:spacing w:val="-11"/>
                <w:w w:val="95"/>
                <w:sz w:val="21"/>
              </w:rPr>
              <w:t>信用等级</w:t>
            </w:r>
            <w:r>
              <w:rPr>
                <w:w w:val="95"/>
                <w:sz w:val="21"/>
              </w:rPr>
              <w:t>（</w:t>
            </w:r>
            <w:r>
              <w:rPr>
                <w:rFonts w:ascii="Arial" w:eastAsia="Arial"/>
                <w:w w:val="95"/>
                <w:sz w:val="21"/>
              </w:rPr>
              <w:t>G</w:t>
            </w:r>
            <w:r>
              <w:rPr>
                <w:w w:val="95"/>
                <w:sz w:val="21"/>
              </w:rPr>
              <w:t>）</w:t>
            </w:r>
          </w:p>
        </w:tc>
        <w:tc>
          <w:tcPr>
            <w:tcW w:w="5996" w:type="dxa"/>
          </w:tcPr>
          <w:p>
            <w:pPr>
              <w:pStyle w:val="32"/>
              <w:spacing w:before="54"/>
              <w:ind w:left="108"/>
              <w:rPr>
                <w:rFonts w:ascii="Times New Roman" w:eastAsiaTheme="minorEastAsia"/>
                <w:sz w:val="21"/>
                <w:lang w:eastAsia="zh-CN"/>
              </w:rPr>
            </w:pPr>
            <w:r>
              <w:rPr>
                <w:rFonts w:hint="eastAsia" w:ascii="Times New Roman" w:eastAsiaTheme="minorEastAsia"/>
                <w:sz w:val="21"/>
                <w:lang w:eastAsia="zh-CN"/>
              </w:rPr>
              <w:t>2分</w:t>
            </w:r>
          </w:p>
          <w:p>
            <w:pPr>
              <w:pStyle w:val="32"/>
              <w:spacing w:before="54"/>
              <w:ind w:left="108"/>
              <w:rPr>
                <w:w w:val="95"/>
                <w:sz w:val="21"/>
                <w:lang w:eastAsia="zh-CN"/>
              </w:rPr>
            </w:pPr>
            <w:r>
              <w:rPr>
                <w:w w:val="95"/>
                <w:sz w:val="21"/>
                <w:lang w:eastAsia="zh-CN"/>
              </w:rPr>
              <w:t>投标人信用得分按下表取值</w:t>
            </w:r>
          </w:p>
          <w:p>
            <w:pPr>
              <w:pStyle w:val="32"/>
              <w:spacing w:before="54"/>
              <w:ind w:left="108"/>
              <w:rPr>
                <w:rFonts w:ascii="Times New Roman" w:eastAsiaTheme="minorEastAsia"/>
                <w:sz w:val="21"/>
                <w:lang w:eastAsia="zh-CN"/>
              </w:rPr>
            </w:pPr>
          </w:p>
          <w:tbl>
            <w:tblPr>
              <w:tblStyle w:val="19"/>
              <w:tblpPr w:leftFromText="180" w:rightFromText="180" w:vertAnchor="text" w:horzAnchor="margin" w:tblpY="-2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729"/>
              <w:gridCol w:w="746"/>
              <w:gridCol w:w="753"/>
              <w:gridCol w:w="758"/>
              <w:gridCol w:w="760"/>
              <w:gridCol w:w="761"/>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54" w:type="dxa"/>
                  <w:vMerge w:val="restart"/>
                </w:tcPr>
                <w:p>
                  <w:pPr>
                    <w:pStyle w:val="32"/>
                    <w:spacing w:before="73" w:line="237" w:lineRule="auto"/>
                    <w:ind w:left="117" w:right="106"/>
                    <w:jc w:val="both"/>
                    <w:rPr>
                      <w:sz w:val="21"/>
                      <w:lang w:eastAsia="zh-CN"/>
                    </w:rPr>
                  </w:pPr>
                  <w:r>
                    <w:rPr>
                      <w:w w:val="95"/>
                      <w:sz w:val="21"/>
                      <w:lang w:eastAsia="zh-CN"/>
                    </w:rPr>
                    <w:t>最新信用等级</w:t>
                  </w:r>
                </w:p>
              </w:tc>
              <w:tc>
                <w:tcPr>
                  <w:tcW w:w="1475" w:type="dxa"/>
                  <w:gridSpan w:val="2"/>
                </w:tcPr>
                <w:p>
                  <w:pPr>
                    <w:pStyle w:val="32"/>
                    <w:spacing w:before="55"/>
                    <w:ind w:left="612" w:right="603"/>
                    <w:jc w:val="center"/>
                    <w:rPr>
                      <w:sz w:val="21"/>
                      <w:lang w:eastAsia="zh-CN"/>
                    </w:rPr>
                  </w:pPr>
                  <w:r>
                    <w:rPr>
                      <w:sz w:val="21"/>
                      <w:lang w:eastAsia="zh-CN"/>
                    </w:rPr>
                    <w:t>AA</w:t>
                  </w:r>
                </w:p>
              </w:tc>
              <w:tc>
                <w:tcPr>
                  <w:tcW w:w="1511" w:type="dxa"/>
                  <w:gridSpan w:val="2"/>
                </w:tcPr>
                <w:p>
                  <w:pPr>
                    <w:pStyle w:val="32"/>
                    <w:spacing w:before="55"/>
                    <w:ind w:left="9"/>
                    <w:jc w:val="center"/>
                    <w:rPr>
                      <w:sz w:val="21"/>
                      <w:lang w:eastAsia="zh-CN"/>
                    </w:rPr>
                  </w:pPr>
                  <w:r>
                    <w:rPr>
                      <w:w w:val="99"/>
                      <w:sz w:val="21"/>
                      <w:lang w:eastAsia="zh-CN"/>
                    </w:rPr>
                    <w:t>A</w:t>
                  </w:r>
                </w:p>
              </w:tc>
              <w:tc>
                <w:tcPr>
                  <w:tcW w:w="760" w:type="dxa"/>
                </w:tcPr>
                <w:p>
                  <w:pPr>
                    <w:pStyle w:val="32"/>
                    <w:spacing w:before="55"/>
                    <w:ind w:left="8"/>
                    <w:jc w:val="center"/>
                    <w:rPr>
                      <w:sz w:val="21"/>
                      <w:lang w:eastAsia="zh-CN"/>
                    </w:rPr>
                  </w:pPr>
                  <w:r>
                    <w:rPr>
                      <w:w w:val="99"/>
                      <w:sz w:val="21"/>
                      <w:lang w:eastAsia="zh-CN"/>
                    </w:rPr>
                    <w:t>B</w:t>
                  </w:r>
                </w:p>
              </w:tc>
              <w:tc>
                <w:tcPr>
                  <w:tcW w:w="1522" w:type="dxa"/>
                  <w:gridSpan w:val="2"/>
                </w:tcPr>
                <w:p>
                  <w:pPr>
                    <w:pStyle w:val="32"/>
                    <w:spacing w:before="55"/>
                    <w:ind w:left="6"/>
                    <w:jc w:val="center"/>
                    <w:rPr>
                      <w:sz w:val="21"/>
                      <w:lang w:eastAsia="zh-CN"/>
                    </w:rPr>
                  </w:pPr>
                  <w:r>
                    <w:rPr>
                      <w:w w:val="99"/>
                      <w:sz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4" w:type="dxa"/>
                  <w:vMerge w:val="continue"/>
                  <w:tcBorders>
                    <w:top w:val="nil"/>
                  </w:tcBorders>
                </w:tcPr>
                <w:p>
                  <w:pPr>
                    <w:rPr>
                      <w:sz w:val="2"/>
                      <w:szCs w:val="2"/>
                      <w:lang w:eastAsia="zh-CN"/>
                    </w:rPr>
                  </w:pPr>
                </w:p>
              </w:tc>
              <w:tc>
                <w:tcPr>
                  <w:tcW w:w="729" w:type="dxa"/>
                </w:tcPr>
                <w:p>
                  <w:pPr>
                    <w:pStyle w:val="32"/>
                    <w:spacing w:before="3" w:line="272" w:lineRule="exact"/>
                    <w:ind w:left="154" w:right="144"/>
                    <w:rPr>
                      <w:sz w:val="21"/>
                      <w:lang w:eastAsia="zh-CN"/>
                    </w:rPr>
                  </w:pPr>
                  <w:r>
                    <w:rPr>
                      <w:w w:val="95"/>
                      <w:sz w:val="21"/>
                      <w:lang w:eastAsia="zh-CN"/>
                    </w:rPr>
                    <w:t>专业评价</w:t>
                  </w:r>
                </w:p>
              </w:tc>
              <w:tc>
                <w:tcPr>
                  <w:tcW w:w="746" w:type="dxa"/>
                </w:tcPr>
                <w:p>
                  <w:pPr>
                    <w:pStyle w:val="32"/>
                    <w:spacing w:before="3" w:line="272" w:lineRule="exact"/>
                    <w:ind w:left="162" w:right="153"/>
                    <w:rPr>
                      <w:sz w:val="21"/>
                      <w:lang w:eastAsia="zh-CN"/>
                    </w:rPr>
                  </w:pPr>
                  <w:r>
                    <w:rPr>
                      <w:w w:val="95"/>
                      <w:sz w:val="21"/>
                      <w:lang w:eastAsia="zh-CN"/>
                    </w:rPr>
                    <w:t>综合评价</w:t>
                  </w:r>
                </w:p>
              </w:tc>
              <w:tc>
                <w:tcPr>
                  <w:tcW w:w="753" w:type="dxa"/>
                </w:tcPr>
                <w:p>
                  <w:pPr>
                    <w:pStyle w:val="32"/>
                    <w:spacing w:before="3" w:line="272" w:lineRule="exact"/>
                    <w:ind w:left="165" w:right="157"/>
                    <w:rPr>
                      <w:sz w:val="21"/>
                      <w:lang w:eastAsia="zh-CN"/>
                    </w:rPr>
                  </w:pPr>
                  <w:r>
                    <w:rPr>
                      <w:w w:val="95"/>
                      <w:sz w:val="21"/>
                      <w:lang w:eastAsia="zh-CN"/>
                    </w:rPr>
                    <w:t>专业评价</w:t>
                  </w:r>
                </w:p>
              </w:tc>
              <w:tc>
                <w:tcPr>
                  <w:tcW w:w="758" w:type="dxa"/>
                </w:tcPr>
                <w:p>
                  <w:pPr>
                    <w:pStyle w:val="32"/>
                    <w:spacing w:before="3" w:line="272" w:lineRule="exact"/>
                    <w:ind w:left="168" w:right="159"/>
                    <w:rPr>
                      <w:sz w:val="21"/>
                      <w:lang w:eastAsia="zh-CN"/>
                    </w:rPr>
                  </w:pPr>
                  <w:r>
                    <w:rPr>
                      <w:w w:val="95"/>
                      <w:sz w:val="21"/>
                      <w:lang w:eastAsia="zh-CN"/>
                    </w:rPr>
                    <w:t>综合评价</w:t>
                  </w:r>
                </w:p>
              </w:tc>
              <w:tc>
                <w:tcPr>
                  <w:tcW w:w="760" w:type="dxa"/>
                </w:tcPr>
                <w:p>
                  <w:pPr>
                    <w:pStyle w:val="32"/>
                    <w:spacing w:before="112"/>
                    <w:ind w:right="264"/>
                    <w:jc w:val="right"/>
                    <w:rPr>
                      <w:sz w:val="21"/>
                      <w:lang w:eastAsia="zh-CN"/>
                    </w:rPr>
                  </w:pPr>
                  <w:r>
                    <w:rPr>
                      <w:w w:val="99"/>
                      <w:sz w:val="21"/>
                      <w:lang w:eastAsia="zh-CN"/>
                    </w:rPr>
                    <w:t>－</w:t>
                  </w:r>
                </w:p>
              </w:tc>
              <w:tc>
                <w:tcPr>
                  <w:tcW w:w="761" w:type="dxa"/>
                </w:tcPr>
                <w:p>
                  <w:pPr>
                    <w:pStyle w:val="32"/>
                    <w:spacing w:before="3" w:line="272" w:lineRule="exact"/>
                    <w:ind w:left="169" w:right="161"/>
                    <w:rPr>
                      <w:sz w:val="21"/>
                      <w:lang w:eastAsia="zh-CN"/>
                    </w:rPr>
                  </w:pPr>
                  <w:r>
                    <w:rPr>
                      <w:w w:val="95"/>
                      <w:sz w:val="21"/>
                      <w:lang w:eastAsia="zh-CN"/>
                    </w:rPr>
                    <w:t>专业评价</w:t>
                  </w:r>
                </w:p>
              </w:tc>
              <w:tc>
                <w:tcPr>
                  <w:tcW w:w="761" w:type="dxa"/>
                </w:tcPr>
                <w:p>
                  <w:pPr>
                    <w:pStyle w:val="32"/>
                    <w:spacing w:before="3" w:line="272" w:lineRule="exact"/>
                    <w:ind w:left="169" w:right="161"/>
                    <w:rPr>
                      <w:sz w:val="21"/>
                      <w:lang w:eastAsia="zh-CN"/>
                    </w:rPr>
                  </w:pPr>
                  <w:r>
                    <w:rPr>
                      <w:w w:val="95"/>
                      <w:sz w:val="21"/>
                      <w:lang w:eastAsia="zh-CN"/>
                    </w:rPr>
                    <w:t>综合评价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4" w:type="dxa"/>
                </w:tcPr>
                <w:p>
                  <w:pPr>
                    <w:pStyle w:val="32"/>
                    <w:spacing w:before="54"/>
                    <w:ind w:left="117"/>
                    <w:rPr>
                      <w:sz w:val="21"/>
                      <w:lang w:eastAsia="zh-CN"/>
                    </w:rPr>
                  </w:pPr>
                  <w:r>
                    <w:rPr>
                      <w:w w:val="95"/>
                      <w:sz w:val="21"/>
                      <w:lang w:eastAsia="zh-CN"/>
                    </w:rPr>
                    <w:t>取值</w:t>
                  </w:r>
                </w:p>
              </w:tc>
              <w:tc>
                <w:tcPr>
                  <w:tcW w:w="729" w:type="dxa"/>
                </w:tcPr>
                <w:p>
                  <w:pPr>
                    <w:pStyle w:val="32"/>
                    <w:spacing w:before="54"/>
                    <w:ind w:left="154"/>
                    <w:rPr>
                      <w:sz w:val="21"/>
                      <w:lang w:eastAsia="zh-CN"/>
                    </w:rPr>
                  </w:pPr>
                  <w:r>
                    <w:rPr>
                      <w:sz w:val="21"/>
                      <w:lang w:eastAsia="zh-CN"/>
                    </w:rPr>
                    <w:t>+2.0</w:t>
                  </w:r>
                </w:p>
              </w:tc>
              <w:tc>
                <w:tcPr>
                  <w:tcW w:w="746" w:type="dxa"/>
                </w:tcPr>
                <w:p>
                  <w:pPr>
                    <w:pStyle w:val="32"/>
                    <w:spacing w:before="54"/>
                    <w:ind w:left="162"/>
                    <w:rPr>
                      <w:sz w:val="21"/>
                      <w:lang w:eastAsia="zh-CN"/>
                    </w:rPr>
                  </w:pPr>
                  <w:r>
                    <w:rPr>
                      <w:sz w:val="21"/>
                      <w:lang w:eastAsia="zh-CN"/>
                    </w:rPr>
                    <w:t>+1.0</w:t>
                  </w:r>
                </w:p>
              </w:tc>
              <w:tc>
                <w:tcPr>
                  <w:tcW w:w="753" w:type="dxa"/>
                </w:tcPr>
                <w:p>
                  <w:pPr>
                    <w:pStyle w:val="32"/>
                    <w:spacing w:before="54"/>
                    <w:ind w:left="165"/>
                    <w:rPr>
                      <w:sz w:val="21"/>
                      <w:lang w:eastAsia="zh-CN"/>
                    </w:rPr>
                  </w:pPr>
                  <w:r>
                    <w:rPr>
                      <w:sz w:val="21"/>
                      <w:lang w:eastAsia="zh-CN"/>
                    </w:rPr>
                    <w:t>+1.0</w:t>
                  </w:r>
                </w:p>
              </w:tc>
              <w:tc>
                <w:tcPr>
                  <w:tcW w:w="758" w:type="dxa"/>
                </w:tcPr>
                <w:p>
                  <w:pPr>
                    <w:pStyle w:val="32"/>
                    <w:spacing w:before="54"/>
                    <w:ind w:left="168"/>
                    <w:rPr>
                      <w:sz w:val="21"/>
                      <w:lang w:eastAsia="zh-CN"/>
                    </w:rPr>
                  </w:pPr>
                  <w:r>
                    <w:rPr>
                      <w:sz w:val="21"/>
                      <w:lang w:eastAsia="zh-CN"/>
                    </w:rPr>
                    <w:t>+0.5</w:t>
                  </w:r>
                </w:p>
              </w:tc>
              <w:tc>
                <w:tcPr>
                  <w:tcW w:w="760" w:type="dxa"/>
                </w:tcPr>
                <w:p>
                  <w:pPr>
                    <w:pStyle w:val="32"/>
                    <w:spacing w:before="54"/>
                    <w:ind w:right="210"/>
                    <w:jc w:val="right"/>
                    <w:rPr>
                      <w:sz w:val="21"/>
                      <w:lang w:eastAsia="zh-CN"/>
                    </w:rPr>
                  </w:pPr>
                  <w:r>
                    <w:rPr>
                      <w:w w:val="95"/>
                      <w:sz w:val="21"/>
                      <w:lang w:eastAsia="zh-CN"/>
                    </w:rPr>
                    <w:t>0.0</w:t>
                  </w:r>
                </w:p>
              </w:tc>
              <w:tc>
                <w:tcPr>
                  <w:tcW w:w="761" w:type="dxa"/>
                </w:tcPr>
                <w:p>
                  <w:pPr>
                    <w:pStyle w:val="32"/>
                    <w:spacing w:before="54"/>
                    <w:ind w:left="169"/>
                    <w:rPr>
                      <w:sz w:val="21"/>
                      <w:lang w:eastAsia="zh-CN"/>
                    </w:rPr>
                  </w:pPr>
                  <w:r>
                    <w:rPr>
                      <w:sz w:val="21"/>
                      <w:lang w:eastAsia="zh-CN"/>
                    </w:rPr>
                    <w:t>-2.0</w:t>
                  </w:r>
                </w:p>
              </w:tc>
              <w:tc>
                <w:tcPr>
                  <w:tcW w:w="761" w:type="dxa"/>
                </w:tcPr>
                <w:p>
                  <w:pPr>
                    <w:pStyle w:val="32"/>
                    <w:spacing w:before="54"/>
                    <w:ind w:left="169"/>
                    <w:rPr>
                      <w:sz w:val="21"/>
                      <w:lang w:eastAsia="zh-CN"/>
                    </w:rPr>
                  </w:pPr>
                  <w:r>
                    <w:rPr>
                      <w:sz w:val="21"/>
                      <w:lang w:eastAsia="zh-CN"/>
                    </w:rPr>
                    <w:t>-1.0</w:t>
                  </w:r>
                </w:p>
              </w:tc>
            </w:tr>
          </w:tbl>
          <w:p>
            <w:pPr>
              <w:pStyle w:val="32"/>
              <w:spacing w:before="54"/>
              <w:ind w:left="108"/>
              <w:rPr>
                <w:rFonts w:ascii="Times New Roman" w:eastAsiaTheme="minorEastAsia"/>
                <w:b/>
                <w:sz w:val="21"/>
                <w:lang w:eastAsia="zh-CN"/>
              </w:rPr>
            </w:pPr>
            <w:r>
              <w:rPr>
                <w:rFonts w:ascii="Times New Roman" w:eastAsiaTheme="minorEastAsia"/>
                <w:b/>
                <w:sz w:val="21"/>
                <w:lang w:eastAsia="zh-CN"/>
              </w:rPr>
              <w:t>注：</w:t>
            </w:r>
            <w:r>
              <w:rPr>
                <w:rFonts w:hint="eastAsia" w:ascii="Times New Roman" w:eastAsiaTheme="minorEastAsia"/>
                <w:b/>
                <w:sz w:val="21"/>
                <w:lang w:eastAsia="zh-CN"/>
              </w:rPr>
              <w:t>1、</w:t>
            </w:r>
            <w:r>
              <w:rPr>
                <w:rFonts w:ascii="Times New Roman" w:eastAsiaTheme="minorEastAsia"/>
                <w:b/>
                <w:sz w:val="21"/>
                <w:lang w:eastAsia="zh-CN"/>
              </w:rPr>
              <w:t>在引用上表时，非投标专业对应的专业评价视为综合评价。</w:t>
            </w:r>
          </w:p>
          <w:p>
            <w:pPr>
              <w:pStyle w:val="32"/>
              <w:spacing w:before="54"/>
              <w:ind w:left="108" w:leftChars="49" w:firstLine="422" w:firstLineChars="200"/>
              <w:rPr>
                <w:rFonts w:ascii="Times New Roman" w:eastAsiaTheme="minorEastAsia"/>
                <w:sz w:val="21"/>
                <w:lang w:eastAsia="zh-CN"/>
              </w:rPr>
            </w:pPr>
            <w:r>
              <w:rPr>
                <w:rFonts w:ascii="Times New Roman" w:eastAsiaTheme="minorEastAsia"/>
                <w:b/>
                <w:sz w:val="21"/>
                <w:lang w:eastAsia="zh-CN"/>
              </w:rPr>
              <w:t>2</w:t>
            </w:r>
            <w:r>
              <w:rPr>
                <w:rFonts w:hint="eastAsia" w:ascii="Times New Roman" w:eastAsiaTheme="minorEastAsia"/>
                <w:b/>
                <w:sz w:val="21"/>
                <w:lang w:eastAsia="zh-CN"/>
              </w:rPr>
              <w:t>、投标人信用等级的确定详见招标公告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562" w:type="dxa"/>
            <w:vAlign w:val="center"/>
          </w:tcPr>
          <w:p>
            <w:pPr>
              <w:pStyle w:val="32"/>
              <w:ind w:right="661"/>
              <w:jc w:val="center"/>
              <w:rPr>
                <w:rFonts w:ascii="Times New Roman"/>
                <w:sz w:val="21"/>
              </w:rPr>
            </w:pPr>
            <w:r>
              <w:rPr>
                <w:rFonts w:ascii="Times New Roman"/>
                <w:sz w:val="21"/>
              </w:rPr>
              <w:t>2.2.4</w:t>
            </w:r>
            <w:r>
              <w:rPr>
                <w:rFonts w:hint="eastAsia" w:ascii="Times New Roman"/>
                <w:sz w:val="21"/>
                <w:lang w:eastAsia="zh-CN"/>
              </w:rPr>
              <w:t>（3）</w:t>
            </w:r>
          </w:p>
        </w:tc>
        <w:tc>
          <w:tcPr>
            <w:tcW w:w="1517" w:type="dxa"/>
            <w:vAlign w:val="center"/>
          </w:tcPr>
          <w:p>
            <w:pPr>
              <w:pStyle w:val="32"/>
              <w:jc w:val="center"/>
              <w:rPr>
                <w:sz w:val="20"/>
              </w:rPr>
            </w:pPr>
            <w:r>
              <w:rPr>
                <w:sz w:val="20"/>
              </w:rPr>
              <w:t>投标人得分</w:t>
            </w:r>
          </w:p>
          <w:p>
            <w:pPr>
              <w:pStyle w:val="32"/>
              <w:jc w:val="center"/>
              <w:rPr>
                <w:sz w:val="20"/>
              </w:rPr>
            </w:pPr>
            <w:r>
              <w:rPr>
                <w:sz w:val="20"/>
              </w:rPr>
              <w:t>（P）</w:t>
            </w:r>
          </w:p>
        </w:tc>
        <w:tc>
          <w:tcPr>
            <w:tcW w:w="5996" w:type="dxa"/>
          </w:tcPr>
          <w:p>
            <w:pPr>
              <w:pStyle w:val="32"/>
              <w:spacing w:before="54"/>
              <w:ind w:left="108"/>
              <w:rPr>
                <w:rFonts w:ascii="Times New Roman" w:eastAsiaTheme="minorEastAsia"/>
                <w:sz w:val="21"/>
                <w:lang w:eastAsia="zh-CN"/>
              </w:rPr>
            </w:pPr>
            <w:r>
              <w:rPr>
                <w:rFonts w:ascii="Times New Roman" w:eastAsiaTheme="minorEastAsia"/>
                <w:sz w:val="21"/>
                <w:lang w:eastAsia="zh-CN"/>
              </w:rPr>
              <w:t>评标得分（P）为投标人评标价得分（P0）与信用得分（G）之和，即：  投标人得分 P=P0+G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075" w:type="dxa"/>
            <w:gridSpan w:val="3"/>
          </w:tcPr>
          <w:p>
            <w:pPr>
              <w:pStyle w:val="32"/>
              <w:spacing w:before="57"/>
              <w:ind w:left="107"/>
              <w:rPr>
                <w:sz w:val="21"/>
                <w:lang w:eastAsia="zh-CN"/>
              </w:rPr>
            </w:pPr>
            <w:r>
              <w:rPr>
                <w:sz w:val="21"/>
                <w:lang w:eastAsia="zh-CN"/>
              </w:rPr>
              <w:t>需要补充的其他内容：</w:t>
            </w:r>
          </w:p>
          <w:p>
            <w:pPr>
              <w:pStyle w:val="32"/>
              <w:spacing w:before="144" w:line="226" w:lineRule="exact"/>
              <w:ind w:left="107"/>
              <w:rPr>
                <w:rFonts w:ascii="Times New Roman" w:hAnsi="Times New Roman"/>
                <w:sz w:val="21"/>
                <w:lang w:eastAsia="zh-CN"/>
              </w:rPr>
            </w:pPr>
            <w:r>
              <w:rPr>
                <w:rFonts w:ascii="Times New Roman" w:hAnsi="Times New Roman"/>
                <w:sz w:val="21"/>
                <w:lang w:eastAsia="zh-CN"/>
              </w:rPr>
              <w:t>……</w:t>
            </w:r>
          </w:p>
        </w:tc>
      </w:tr>
    </w:tbl>
    <w:p>
      <w:pPr>
        <w:rPr>
          <w:sz w:val="24"/>
          <w:lang w:eastAsia="zh-CN"/>
        </w:rPr>
      </w:pPr>
    </w:p>
    <w:p>
      <w:pPr>
        <w:rPr>
          <w:sz w:val="24"/>
          <w:lang w:eastAsia="zh-CN"/>
        </w:rPr>
      </w:pPr>
    </w:p>
    <w:p>
      <w:pPr>
        <w:rPr>
          <w:sz w:val="24"/>
          <w:lang w:eastAsia="zh-CN"/>
        </w:rPr>
        <w:sectPr>
          <w:pgSz w:w="11911" w:h="16838"/>
          <w:pgMar w:top="1480" w:right="1276" w:bottom="1134" w:left="1678" w:header="720" w:footer="1117" w:gutter="0"/>
          <w:cols w:space="0" w:num="1"/>
        </w:sectPr>
      </w:pPr>
    </w:p>
    <w:p>
      <w:pPr>
        <w:pStyle w:val="27"/>
        <w:numPr>
          <w:ilvl w:val="0"/>
          <w:numId w:val="2"/>
        </w:numPr>
        <w:tabs>
          <w:tab w:val="left" w:pos="543"/>
        </w:tabs>
        <w:spacing w:line="339" w:lineRule="auto"/>
        <w:ind w:hanging="422"/>
        <w:rPr>
          <w:rFonts w:ascii="黑体" w:eastAsia="黑体"/>
        </w:rPr>
      </w:pPr>
      <w:r>
        <w:rPr>
          <w:spacing w:val="-1"/>
          <w:w w:val="95"/>
        </w:rPr>
        <w:t>评标方法</w:t>
      </w:r>
    </w:p>
    <w:p>
      <w:pPr>
        <w:pStyle w:val="7"/>
        <w:spacing w:before="1" w:line="302" w:lineRule="auto"/>
        <w:ind w:left="144" w:right="103" w:firstLine="479"/>
        <w:rPr>
          <w:lang w:eastAsia="zh-CN"/>
        </w:rPr>
      </w:pPr>
      <w:r>
        <w:rPr>
          <w:spacing w:val="-7"/>
          <w:lang w:eastAsia="zh-CN"/>
        </w:rPr>
        <w:t xml:space="preserve">本次评标采用合理低价法。评标委员会对满足招标文件实质性要求的投标文件， </w:t>
      </w:r>
      <w:r>
        <w:rPr>
          <w:spacing w:val="-8"/>
          <w:lang w:eastAsia="zh-CN"/>
        </w:rPr>
        <w:t xml:space="preserve">按照本章第 </w:t>
      </w:r>
      <w:r>
        <w:rPr>
          <w:rFonts w:ascii="Times New Roman" w:eastAsia="Times New Roman"/>
          <w:lang w:eastAsia="zh-CN"/>
        </w:rPr>
        <w:t xml:space="preserve">2.2 </w:t>
      </w:r>
      <w:r>
        <w:rPr>
          <w:lang w:eastAsia="zh-CN"/>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w:t>
      </w:r>
      <w:r>
        <w:rPr>
          <w:spacing w:val="-1"/>
          <w:lang w:eastAsia="zh-CN"/>
        </w:rPr>
        <w:t>中标人。</w:t>
      </w:r>
    </w:p>
    <w:p>
      <w:pPr>
        <w:pStyle w:val="7"/>
        <w:spacing w:before="13"/>
        <w:rPr>
          <w:sz w:val="21"/>
          <w:lang w:eastAsia="zh-CN"/>
        </w:rPr>
      </w:pPr>
    </w:p>
    <w:p>
      <w:pPr>
        <w:pStyle w:val="38"/>
        <w:numPr>
          <w:ilvl w:val="0"/>
          <w:numId w:val="2"/>
        </w:numPr>
        <w:tabs>
          <w:tab w:val="left" w:pos="565"/>
        </w:tabs>
        <w:ind w:firstLineChars="0"/>
        <w:rPr>
          <w:rFonts w:ascii="黑体" w:eastAsia="黑体"/>
          <w:b/>
          <w:sz w:val="28"/>
        </w:rPr>
      </w:pPr>
      <w:bookmarkStart w:id="2" w:name="_bookmark96"/>
      <w:bookmarkEnd w:id="2"/>
      <w:r>
        <w:rPr>
          <w:rFonts w:hint="eastAsia" w:ascii="黑体" w:eastAsia="黑体"/>
          <w:b/>
          <w:sz w:val="28"/>
        </w:rPr>
        <w:t>评审标准</w:t>
      </w:r>
    </w:p>
    <w:p>
      <w:pPr>
        <w:pStyle w:val="38"/>
        <w:numPr>
          <w:ilvl w:val="1"/>
          <w:numId w:val="2"/>
        </w:numPr>
        <w:tabs>
          <w:tab w:val="left" w:pos="625"/>
        </w:tabs>
        <w:spacing w:before="244"/>
        <w:ind w:firstLineChars="0"/>
        <w:rPr>
          <w:rFonts w:ascii="黑体" w:eastAsia="黑体"/>
          <w:sz w:val="24"/>
        </w:rPr>
      </w:pPr>
      <w:bookmarkStart w:id="3" w:name="_bookmark97"/>
      <w:bookmarkEnd w:id="3"/>
      <w:r>
        <w:rPr>
          <w:rFonts w:hint="eastAsia" w:ascii="黑体" w:eastAsia="黑体"/>
          <w:sz w:val="24"/>
        </w:rPr>
        <w:t>初步评审标准</w:t>
      </w:r>
    </w:p>
    <w:p>
      <w:pPr>
        <w:pStyle w:val="7"/>
        <w:spacing w:before="1"/>
        <w:ind w:left="624"/>
        <w:rPr>
          <w:rFonts w:ascii="Times New Roman"/>
        </w:rPr>
      </w:pPr>
      <w:r>
        <w:rPr>
          <w:rFonts w:ascii="Times New Roman"/>
        </w:rPr>
        <w:t>2.1.1</w:t>
      </w:r>
    </w:p>
    <w:p>
      <w:pPr>
        <w:pStyle w:val="7"/>
        <w:spacing w:before="125"/>
        <w:ind w:left="624"/>
        <w:rPr>
          <w:rFonts w:ascii="Times New Roman"/>
        </w:rPr>
      </w:pPr>
      <w:r>
        <w:rPr>
          <w:rFonts w:ascii="Times New Roman"/>
        </w:rPr>
        <w:t>2.1.2</w:t>
      </w:r>
    </w:p>
    <w:p>
      <w:pPr>
        <w:pStyle w:val="7"/>
        <w:spacing w:before="56" w:line="288" w:lineRule="auto"/>
        <w:ind w:left="144" w:right="223" w:firstLine="479"/>
        <w:rPr>
          <w:lang w:eastAsia="zh-CN"/>
        </w:rPr>
      </w:pPr>
      <w:r>
        <w:rPr>
          <w:rFonts w:ascii="Times New Roman" w:hAnsi="Times New Roman" w:eastAsia="Times New Roman"/>
          <w:lang w:eastAsia="zh-CN"/>
        </w:rPr>
        <w:t xml:space="preserve">2.1.2 </w:t>
      </w:r>
      <w:r>
        <w:rPr>
          <w:spacing w:val="-5"/>
          <w:lang w:eastAsia="zh-CN"/>
        </w:rPr>
        <w:t>资格评审标准：见资格预审文件第三章</w:t>
      </w:r>
      <w:r>
        <w:rPr>
          <w:rFonts w:ascii="Times New Roman" w:hAnsi="Times New Roman" w:eastAsia="Times New Roman"/>
          <w:lang w:eastAsia="zh-CN"/>
        </w:rPr>
        <w:t>“</w:t>
      </w:r>
      <w:r>
        <w:rPr>
          <w:lang w:eastAsia="zh-CN"/>
        </w:rPr>
        <w:t>资格审查办法</w:t>
      </w:r>
      <w:r>
        <w:rPr>
          <w:rFonts w:ascii="Times New Roman" w:hAnsi="Times New Roman" w:eastAsia="Times New Roman"/>
          <w:lang w:eastAsia="zh-CN"/>
        </w:rPr>
        <w:t>”</w:t>
      </w:r>
      <w:r>
        <w:rPr>
          <w:spacing w:val="-5"/>
          <w:lang w:eastAsia="zh-CN"/>
        </w:rPr>
        <w:t>详细审查标准</w:t>
      </w:r>
      <w:r>
        <w:rPr>
          <w:lang w:eastAsia="zh-CN"/>
        </w:rPr>
        <w:t>（适用于已进行资格预审的</w:t>
      </w:r>
      <w:r>
        <w:rPr>
          <w:spacing w:val="-120"/>
          <w:lang w:eastAsia="zh-CN"/>
        </w:rPr>
        <w:t>）</w:t>
      </w:r>
      <w:r>
        <w:rPr>
          <w:lang w:eastAsia="zh-CN"/>
        </w:rPr>
        <w:t>。</w:t>
      </w:r>
    </w:p>
    <w:p>
      <w:pPr>
        <w:pStyle w:val="7"/>
        <w:spacing w:before="106"/>
        <w:ind w:left="624"/>
        <w:rPr>
          <w:rFonts w:ascii="Times New Roman"/>
        </w:rPr>
      </w:pPr>
      <w:r>
        <w:rPr>
          <w:rFonts w:ascii="Times New Roman"/>
        </w:rPr>
        <w:t>2.1.3</w:t>
      </w:r>
    </w:p>
    <w:p>
      <w:pPr>
        <w:pStyle w:val="38"/>
        <w:numPr>
          <w:ilvl w:val="1"/>
          <w:numId w:val="2"/>
        </w:numPr>
        <w:tabs>
          <w:tab w:val="left" w:pos="625"/>
        </w:tabs>
        <w:spacing w:before="207"/>
        <w:ind w:firstLineChars="0"/>
        <w:rPr>
          <w:rFonts w:ascii="黑体" w:eastAsia="黑体"/>
          <w:sz w:val="24"/>
        </w:rPr>
      </w:pPr>
      <w:bookmarkStart w:id="4" w:name="_bookmark98"/>
      <w:bookmarkEnd w:id="4"/>
      <w:r>
        <w:rPr>
          <w:rFonts w:hint="eastAsia" w:ascii="黑体" w:eastAsia="黑体"/>
          <w:sz w:val="24"/>
        </w:rPr>
        <w:t>分值构成与评分标准</w:t>
      </w:r>
    </w:p>
    <w:p>
      <w:pPr>
        <w:pStyle w:val="38"/>
        <w:numPr>
          <w:ilvl w:val="2"/>
          <w:numId w:val="2"/>
        </w:numPr>
        <w:tabs>
          <w:tab w:val="left" w:pos="1225"/>
        </w:tabs>
        <w:ind w:firstLineChars="0"/>
        <w:rPr>
          <w:rFonts w:ascii="黑体" w:eastAsia="黑体"/>
          <w:sz w:val="24"/>
        </w:rPr>
      </w:pPr>
      <w:r>
        <w:rPr>
          <w:rFonts w:hint="eastAsia" w:ascii="黑体" w:eastAsia="黑体"/>
          <w:sz w:val="24"/>
        </w:rPr>
        <w:t>分值构成</w:t>
      </w:r>
    </w:p>
    <w:p>
      <w:pPr>
        <w:pStyle w:val="7"/>
        <w:spacing w:before="68"/>
        <w:ind w:left="624"/>
        <w:rPr>
          <w:lang w:eastAsia="zh-CN"/>
        </w:rPr>
      </w:pPr>
      <w:r>
        <w:rPr>
          <w:lang w:eastAsia="zh-CN"/>
        </w:rPr>
        <w:t>评标价：见评标办法前附表。</w:t>
      </w:r>
    </w:p>
    <w:p>
      <w:pPr>
        <w:pStyle w:val="38"/>
        <w:numPr>
          <w:ilvl w:val="2"/>
          <w:numId w:val="2"/>
        </w:numPr>
        <w:tabs>
          <w:tab w:val="left" w:pos="1225"/>
        </w:tabs>
        <w:spacing w:before="86"/>
        <w:ind w:firstLineChars="0"/>
        <w:rPr>
          <w:rFonts w:ascii="黑体" w:eastAsia="黑体"/>
          <w:sz w:val="24"/>
        </w:rPr>
      </w:pPr>
      <w:r>
        <w:rPr>
          <w:rFonts w:hint="eastAsia" w:ascii="黑体" w:eastAsia="黑体"/>
          <w:sz w:val="24"/>
        </w:rPr>
        <w:t>评标基准价计算</w:t>
      </w:r>
    </w:p>
    <w:p>
      <w:pPr>
        <w:pStyle w:val="7"/>
        <w:spacing w:before="65"/>
        <w:ind w:left="624"/>
        <w:rPr>
          <w:lang w:eastAsia="zh-CN"/>
        </w:rPr>
      </w:pPr>
      <w:r>
        <w:rPr>
          <w:lang w:eastAsia="zh-CN"/>
        </w:rPr>
        <w:t>评标基准价计算方法：见评标办法前附表。</w:t>
      </w:r>
    </w:p>
    <w:p>
      <w:pPr>
        <w:pStyle w:val="38"/>
        <w:numPr>
          <w:ilvl w:val="2"/>
          <w:numId w:val="2"/>
        </w:numPr>
        <w:tabs>
          <w:tab w:val="left" w:pos="1225"/>
        </w:tabs>
        <w:spacing w:before="86"/>
        <w:ind w:firstLineChars="0"/>
        <w:rPr>
          <w:rFonts w:ascii="黑体" w:eastAsia="黑体"/>
          <w:sz w:val="24"/>
        </w:rPr>
      </w:pPr>
      <w:r>
        <w:rPr>
          <w:rFonts w:hint="eastAsia" w:ascii="黑体" w:eastAsia="黑体"/>
          <w:sz w:val="24"/>
        </w:rPr>
        <w:t>评标价的偏差率计算</w:t>
      </w:r>
    </w:p>
    <w:p>
      <w:pPr>
        <w:pStyle w:val="7"/>
        <w:spacing w:before="69"/>
        <w:ind w:left="624"/>
        <w:rPr>
          <w:lang w:eastAsia="zh-CN"/>
        </w:rPr>
      </w:pPr>
      <w:r>
        <w:rPr>
          <w:lang w:eastAsia="zh-CN"/>
        </w:rPr>
        <w:t>评标价的偏差率计算公式：见评标办法前附表。</w:t>
      </w:r>
    </w:p>
    <w:p>
      <w:pPr>
        <w:pStyle w:val="38"/>
        <w:numPr>
          <w:ilvl w:val="2"/>
          <w:numId w:val="2"/>
        </w:numPr>
        <w:tabs>
          <w:tab w:val="left" w:pos="1225"/>
        </w:tabs>
        <w:spacing w:before="84"/>
        <w:ind w:firstLineChars="0"/>
        <w:rPr>
          <w:rFonts w:ascii="黑体" w:eastAsia="黑体"/>
          <w:sz w:val="24"/>
        </w:rPr>
      </w:pPr>
      <w:r>
        <w:rPr>
          <w:rFonts w:hint="eastAsia" w:ascii="黑体" w:eastAsia="黑体"/>
          <w:sz w:val="24"/>
        </w:rPr>
        <w:t>评分标准</w:t>
      </w:r>
    </w:p>
    <w:p>
      <w:pPr>
        <w:pStyle w:val="7"/>
        <w:spacing w:before="68"/>
        <w:ind w:left="624"/>
        <w:rPr>
          <w:lang w:eastAsia="zh-CN"/>
        </w:rPr>
      </w:pPr>
      <w:r>
        <w:rPr>
          <w:lang w:eastAsia="zh-CN"/>
        </w:rPr>
        <w:t>评标价评分标准：见评标办法前附表。</w:t>
      </w:r>
    </w:p>
    <w:p>
      <w:pPr>
        <w:pStyle w:val="7"/>
        <w:spacing w:before="11"/>
        <w:rPr>
          <w:sz w:val="26"/>
          <w:lang w:eastAsia="zh-CN"/>
        </w:rPr>
      </w:pPr>
    </w:p>
    <w:p>
      <w:pPr>
        <w:pStyle w:val="38"/>
        <w:numPr>
          <w:ilvl w:val="0"/>
          <w:numId w:val="2"/>
        </w:numPr>
        <w:tabs>
          <w:tab w:val="left" w:pos="565"/>
        </w:tabs>
        <w:ind w:firstLineChars="0"/>
        <w:rPr>
          <w:rFonts w:ascii="黑体" w:eastAsia="黑体"/>
          <w:sz w:val="28"/>
        </w:rPr>
      </w:pPr>
      <w:bookmarkStart w:id="5" w:name="_bookmark99"/>
      <w:bookmarkEnd w:id="5"/>
      <w:r>
        <w:rPr>
          <w:rFonts w:hint="eastAsia" w:ascii="黑体" w:eastAsia="黑体"/>
          <w:sz w:val="28"/>
        </w:rPr>
        <w:t>评标程序</w:t>
      </w:r>
    </w:p>
    <w:p>
      <w:pPr>
        <w:pStyle w:val="38"/>
        <w:numPr>
          <w:ilvl w:val="1"/>
          <w:numId w:val="2"/>
        </w:numPr>
        <w:tabs>
          <w:tab w:val="left" w:pos="625"/>
        </w:tabs>
        <w:spacing w:before="241"/>
        <w:ind w:firstLineChars="0"/>
        <w:rPr>
          <w:rFonts w:ascii="黑体" w:eastAsia="黑体"/>
          <w:sz w:val="24"/>
        </w:rPr>
      </w:pPr>
      <w:bookmarkStart w:id="6" w:name="_bookmark100"/>
      <w:bookmarkEnd w:id="6"/>
      <w:r>
        <w:rPr>
          <w:rFonts w:hint="eastAsia" w:ascii="黑体" w:eastAsia="黑体"/>
          <w:sz w:val="24"/>
        </w:rPr>
        <w:t>第一个信封初步评审</w:t>
      </w:r>
    </w:p>
    <w:p>
      <w:pPr>
        <w:pStyle w:val="38"/>
        <w:numPr>
          <w:ilvl w:val="2"/>
          <w:numId w:val="2"/>
        </w:numPr>
        <w:tabs>
          <w:tab w:val="left" w:pos="1225"/>
        </w:tabs>
        <w:spacing w:line="295" w:lineRule="auto"/>
        <w:ind w:right="222" w:firstLineChars="0"/>
        <w:jc w:val="both"/>
        <w:rPr>
          <w:sz w:val="20"/>
        </w:rPr>
      </w:pPr>
      <w:r>
        <w:rPr>
          <w:sz w:val="24"/>
          <w:lang w:eastAsia="zh-CN"/>
        </w:rPr>
        <w:t>评标委员会可以要求投标人提交第二章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31"/>
          <w:sz w:val="24"/>
          <w:lang w:eastAsia="zh-CN"/>
        </w:rPr>
        <w:t xml:space="preserve">第 </w:t>
      </w:r>
      <w:r>
        <w:rPr>
          <w:rFonts w:ascii="Times New Roman" w:hAnsi="Times New Roman" w:eastAsia="Times New Roman"/>
          <w:sz w:val="24"/>
          <w:lang w:eastAsia="zh-CN"/>
        </w:rPr>
        <w:t>3.5.1</w:t>
      </w:r>
      <w:r>
        <w:rPr>
          <w:spacing w:val="-16"/>
          <w:sz w:val="24"/>
          <w:lang w:eastAsia="zh-CN"/>
        </w:rPr>
        <w:t xml:space="preserve">项至第 </w:t>
      </w:r>
      <w:r>
        <w:rPr>
          <w:rFonts w:ascii="Times New Roman" w:hAnsi="Times New Roman" w:eastAsia="Times New Roman"/>
          <w:sz w:val="24"/>
          <w:lang w:eastAsia="zh-CN"/>
        </w:rPr>
        <w:t xml:space="preserve">3.5.6 </w:t>
      </w:r>
      <w:r>
        <w:rPr>
          <w:spacing w:val="-1"/>
          <w:sz w:val="24"/>
          <w:lang w:eastAsia="zh-CN"/>
        </w:rPr>
        <w:t xml:space="preserve">项规定的有关证明和证件的原件，以便核验。评标委员会依据本章第 </w:t>
      </w:r>
      <w:r>
        <w:rPr>
          <w:rFonts w:ascii="Times New Roman" w:hAnsi="Times New Roman" w:eastAsia="Times New Roman"/>
          <w:sz w:val="24"/>
          <w:lang w:eastAsia="zh-CN"/>
        </w:rPr>
        <w:t>2.1</w:t>
      </w:r>
      <w:r>
        <w:rPr>
          <w:sz w:val="24"/>
          <w:lang w:eastAsia="zh-CN"/>
        </w:rPr>
        <w:t>款规定的标准对投标文件第一个信封（商务及技术文件）进行初步评审。有一项不符合评审</w:t>
      </w:r>
      <w:r>
        <w:rPr>
          <w:spacing w:val="-9"/>
          <w:sz w:val="24"/>
          <w:lang w:eastAsia="zh-CN"/>
        </w:rPr>
        <w:t>标准的，评标委员会应否决其投标。</w:t>
      </w:r>
      <w:r>
        <w:rPr>
          <w:sz w:val="24"/>
        </w:rPr>
        <w:t>（适用于未进行资格预审的）</w:t>
      </w:r>
    </w:p>
    <w:p>
      <w:pPr>
        <w:pStyle w:val="7"/>
        <w:spacing w:before="209" w:line="300" w:lineRule="auto"/>
        <w:ind w:left="144" w:right="102" w:firstLine="479"/>
        <w:jc w:val="both"/>
      </w:pPr>
      <w:r>
        <w:rPr>
          <w:rFonts w:ascii="Times New Roman" w:eastAsia="Times New Roman"/>
          <w:lang w:eastAsia="zh-CN"/>
        </w:rPr>
        <w:t xml:space="preserve">3.1.1 </w:t>
      </w:r>
      <w:r>
        <w:rPr>
          <w:spacing w:val="-6"/>
          <w:lang w:eastAsia="zh-CN"/>
        </w:rPr>
        <w:t xml:space="preserve">评标委员会依据本章第 </w:t>
      </w:r>
      <w:r>
        <w:rPr>
          <w:rFonts w:ascii="Times New Roman" w:eastAsia="Times New Roman"/>
          <w:lang w:eastAsia="zh-CN"/>
        </w:rPr>
        <w:t xml:space="preserve">2.1.1 </w:t>
      </w:r>
      <w:r>
        <w:rPr>
          <w:spacing w:val="-36"/>
          <w:lang w:eastAsia="zh-CN"/>
        </w:rPr>
        <w:t xml:space="preserve">项、第 </w:t>
      </w:r>
      <w:r>
        <w:rPr>
          <w:rFonts w:ascii="Times New Roman" w:eastAsia="Times New Roman"/>
          <w:lang w:eastAsia="zh-CN"/>
        </w:rPr>
        <w:t xml:space="preserve">2.1.3 </w:t>
      </w:r>
      <w:r>
        <w:rPr>
          <w:lang w:eastAsia="zh-CN"/>
        </w:rPr>
        <w:t>项规定的评审标准对投标文件第一个信封（商务及技术文件）进行初步评审。有一项不符合评审标准的，评标委员会应否决其投标。当投标人资格预审申请文件的内容发生重大变化时，评标委员会</w:t>
      </w:r>
      <w:r>
        <w:rPr>
          <w:spacing w:val="-11"/>
          <w:lang w:eastAsia="zh-CN"/>
        </w:rPr>
        <w:t xml:space="preserve">依据本章第 </w:t>
      </w:r>
      <w:r>
        <w:rPr>
          <w:rFonts w:ascii="Times New Roman" w:eastAsia="Times New Roman"/>
          <w:lang w:eastAsia="zh-CN"/>
        </w:rPr>
        <w:t xml:space="preserve">2.1.2 </w:t>
      </w:r>
      <w:r>
        <w:rPr>
          <w:lang w:eastAsia="zh-CN"/>
        </w:rPr>
        <w:t>项规定的标准对其更新资料进行评审</w:t>
      </w:r>
      <w:r>
        <w:rPr>
          <w:spacing w:val="-203"/>
          <w:lang w:eastAsia="zh-CN"/>
        </w:rPr>
        <w:t>。</w:t>
      </w:r>
      <w:r>
        <w:t>（适用于已进行资格预审的）</w:t>
      </w:r>
    </w:p>
    <w:p>
      <w:pPr>
        <w:pStyle w:val="38"/>
        <w:numPr>
          <w:ilvl w:val="1"/>
          <w:numId w:val="2"/>
        </w:numPr>
        <w:tabs>
          <w:tab w:val="left" w:pos="625"/>
        </w:tabs>
        <w:spacing w:before="150"/>
        <w:ind w:firstLineChars="0"/>
        <w:rPr>
          <w:rFonts w:ascii="黑体" w:eastAsia="黑体"/>
          <w:sz w:val="24"/>
        </w:rPr>
      </w:pPr>
      <w:bookmarkStart w:id="7" w:name="_bookmark101"/>
      <w:bookmarkEnd w:id="7"/>
      <w:r>
        <w:rPr>
          <w:rFonts w:hint="eastAsia" w:ascii="黑体" w:eastAsia="黑体"/>
          <w:sz w:val="24"/>
        </w:rPr>
        <w:t>第二个信封开标</w:t>
      </w:r>
    </w:p>
    <w:p>
      <w:pPr>
        <w:pStyle w:val="7"/>
        <w:spacing w:before="12"/>
        <w:rPr>
          <w:rFonts w:ascii="黑体"/>
        </w:rPr>
      </w:pPr>
    </w:p>
    <w:p>
      <w:pPr>
        <w:pStyle w:val="7"/>
        <w:spacing w:line="288" w:lineRule="auto"/>
        <w:ind w:left="144" w:right="224" w:firstLine="479"/>
        <w:jc w:val="both"/>
        <w:rPr>
          <w:lang w:eastAsia="zh-CN"/>
        </w:rPr>
      </w:pPr>
      <w:r>
        <w:rPr>
          <w:spacing w:val="-12"/>
          <w:lang w:eastAsia="zh-CN"/>
        </w:rPr>
        <w:t>第一个信封</w:t>
      </w:r>
      <w:r>
        <w:rPr>
          <w:lang w:eastAsia="zh-CN"/>
        </w:rPr>
        <w:t>（商务及技术文件</w:t>
      </w:r>
      <w:r>
        <w:rPr>
          <w:spacing w:val="-60"/>
          <w:lang w:eastAsia="zh-CN"/>
        </w:rPr>
        <w:t>）</w:t>
      </w:r>
      <w:r>
        <w:rPr>
          <w:spacing w:val="-8"/>
          <w:lang w:eastAsia="zh-CN"/>
        </w:rPr>
        <w:t>评审结束后，招标人将按照第二章</w:t>
      </w:r>
      <w:r>
        <w:rPr>
          <w:rFonts w:ascii="Times New Roman" w:hAnsi="Times New Roman" w:eastAsia="Times New Roman"/>
          <w:lang w:eastAsia="zh-CN"/>
        </w:rPr>
        <w:t>“</w:t>
      </w:r>
      <w:r>
        <w:rPr>
          <w:lang w:eastAsia="zh-CN"/>
        </w:rPr>
        <w:t>投标人须知</w:t>
      </w:r>
      <w:r>
        <w:rPr>
          <w:rFonts w:ascii="Times New Roman" w:hAnsi="Times New Roman" w:eastAsia="Times New Roman"/>
          <w:lang w:eastAsia="zh-CN"/>
        </w:rPr>
        <w:t xml:space="preserve">” </w:t>
      </w:r>
      <w:r>
        <w:rPr>
          <w:spacing w:val="-6"/>
          <w:lang w:eastAsia="zh-CN"/>
        </w:rPr>
        <w:t xml:space="preserve">第 </w:t>
      </w:r>
      <w:r>
        <w:rPr>
          <w:rFonts w:ascii="Times New Roman" w:hAnsi="Times New Roman" w:eastAsia="Times New Roman"/>
          <w:lang w:eastAsia="zh-CN"/>
        </w:rPr>
        <w:t xml:space="preserve">5.1 </w:t>
      </w:r>
      <w:r>
        <w:rPr>
          <w:lang w:eastAsia="zh-CN"/>
        </w:rPr>
        <w:t>款规定的时间和地点对通过投标文件第一个信封（商务及技术文件）评审的</w:t>
      </w:r>
      <w:r>
        <w:rPr>
          <w:spacing w:val="-1"/>
          <w:lang w:eastAsia="zh-CN"/>
        </w:rPr>
        <w:t>投标文件第二个信封</w:t>
      </w:r>
      <w:r>
        <w:rPr>
          <w:lang w:eastAsia="zh-CN"/>
        </w:rPr>
        <w:t>（报价文件）进行开标。</w:t>
      </w:r>
    </w:p>
    <w:p>
      <w:pPr>
        <w:pStyle w:val="38"/>
        <w:numPr>
          <w:ilvl w:val="1"/>
          <w:numId w:val="2"/>
        </w:numPr>
        <w:tabs>
          <w:tab w:val="left" w:pos="625"/>
        </w:tabs>
        <w:spacing w:before="189"/>
        <w:ind w:firstLineChars="0"/>
        <w:rPr>
          <w:rFonts w:ascii="黑体" w:eastAsia="黑体"/>
          <w:sz w:val="24"/>
        </w:rPr>
      </w:pPr>
      <w:bookmarkStart w:id="8" w:name="_bookmark102"/>
      <w:bookmarkEnd w:id="8"/>
      <w:r>
        <w:rPr>
          <w:rFonts w:hint="eastAsia" w:ascii="黑体" w:eastAsia="黑体"/>
          <w:sz w:val="24"/>
        </w:rPr>
        <w:t>第二个信封初步评审</w:t>
      </w:r>
    </w:p>
    <w:p>
      <w:pPr>
        <w:pStyle w:val="7"/>
        <w:spacing w:before="12"/>
        <w:rPr>
          <w:rFonts w:ascii="黑体"/>
        </w:rPr>
      </w:pPr>
    </w:p>
    <w:p>
      <w:pPr>
        <w:pStyle w:val="38"/>
        <w:numPr>
          <w:ilvl w:val="2"/>
          <w:numId w:val="2"/>
        </w:numPr>
        <w:tabs>
          <w:tab w:val="left" w:pos="1225"/>
        </w:tabs>
        <w:spacing w:line="297" w:lineRule="auto"/>
        <w:ind w:left="144" w:right="222" w:firstLine="480" w:firstLineChars="0"/>
        <w:jc w:val="both"/>
        <w:rPr>
          <w:sz w:val="24"/>
          <w:lang w:eastAsia="zh-CN"/>
        </w:rPr>
      </w:pPr>
      <w:r>
        <w:rPr>
          <w:spacing w:val="-6"/>
          <w:sz w:val="24"/>
          <w:lang w:eastAsia="zh-CN"/>
        </w:rPr>
        <w:t xml:space="preserve">评标委员会依据本章第 </w:t>
      </w:r>
      <w:r>
        <w:rPr>
          <w:rFonts w:ascii="Times New Roman" w:eastAsia="Times New Roman"/>
          <w:sz w:val="24"/>
          <w:lang w:eastAsia="zh-CN"/>
        </w:rPr>
        <w:t xml:space="preserve">2.1.1 </w:t>
      </w:r>
      <w:r>
        <w:rPr>
          <w:spacing w:val="-36"/>
          <w:sz w:val="24"/>
          <w:lang w:eastAsia="zh-CN"/>
        </w:rPr>
        <w:t xml:space="preserve">项、第 </w:t>
      </w:r>
      <w:r>
        <w:rPr>
          <w:rFonts w:ascii="Times New Roman" w:eastAsia="Times New Roman"/>
          <w:sz w:val="24"/>
          <w:lang w:eastAsia="zh-CN"/>
        </w:rPr>
        <w:t xml:space="preserve">2.1.3 </w:t>
      </w:r>
      <w:r>
        <w:rPr>
          <w:sz w:val="24"/>
          <w:lang w:eastAsia="zh-CN"/>
        </w:rPr>
        <w:t>项规定的评审标准对投标文件第二个信封（报价文件）进行初步评审。有一项不符合评审标准的，评标委员会应否</w:t>
      </w:r>
      <w:r>
        <w:rPr>
          <w:spacing w:val="-1"/>
          <w:sz w:val="24"/>
          <w:lang w:eastAsia="zh-CN"/>
        </w:rPr>
        <w:t>决其投标。</w:t>
      </w:r>
    </w:p>
    <w:p>
      <w:pPr>
        <w:pStyle w:val="38"/>
        <w:numPr>
          <w:ilvl w:val="2"/>
          <w:numId w:val="2"/>
        </w:numPr>
        <w:tabs>
          <w:tab w:val="left" w:pos="1106"/>
        </w:tabs>
        <w:spacing w:before="29" w:line="297" w:lineRule="auto"/>
        <w:ind w:left="144" w:right="227" w:firstLine="480" w:firstLineChars="0"/>
        <w:jc w:val="both"/>
        <w:rPr>
          <w:sz w:val="24"/>
          <w:lang w:eastAsia="zh-CN"/>
        </w:rPr>
      </w:pPr>
      <w:r>
        <w:rPr>
          <w:sz w:val="24"/>
          <w:lang w:eastAsia="zh-CN"/>
        </w:rPr>
        <w:t>投标报价有算术错误的，评标委员会按以下原则对投标报价进行修正， 修正的价格经投标人书面确认后具有约束力。投标人不接受修正价格的，评标委员会应否决其投标。</w:t>
      </w:r>
    </w:p>
    <w:p>
      <w:pPr>
        <w:pStyle w:val="7"/>
        <w:spacing w:before="29"/>
        <w:ind w:left="624"/>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pPr>
        <w:pStyle w:val="7"/>
        <w:spacing w:before="66" w:line="290" w:lineRule="auto"/>
        <w:ind w:left="144" w:right="141" w:firstLine="479"/>
        <w:jc w:val="both"/>
        <w:rPr>
          <w:lang w:eastAsia="zh-CN"/>
        </w:rPr>
      </w:pPr>
      <w:r>
        <w:rPr>
          <w:lang w:eastAsia="zh-CN"/>
        </w:rPr>
        <w:t>（</w:t>
      </w:r>
      <w:r>
        <w:rPr>
          <w:rFonts w:ascii="Times New Roman" w:eastAsia="Times New Roman"/>
          <w:lang w:eastAsia="zh-CN"/>
        </w:rPr>
        <w:t>2</w:t>
      </w:r>
      <w:r>
        <w:rPr>
          <w:lang w:eastAsia="zh-CN"/>
        </w:rPr>
        <w:t>）总价金额与依据单价计算出的结果不一致的，以单价金额为准修正总价， 但单价金额小数点有明显错误的除外；</w:t>
      </w:r>
    </w:p>
    <w:p>
      <w:pPr>
        <w:pStyle w:val="7"/>
        <w:spacing w:before="36" w:line="288" w:lineRule="auto"/>
        <w:ind w:left="144" w:right="226" w:firstLine="479"/>
        <w:jc w:val="both"/>
        <w:rPr>
          <w:lang w:eastAsia="zh-CN"/>
        </w:rPr>
      </w:pPr>
      <w:r>
        <w:rPr>
          <w:spacing w:val="-10"/>
          <w:lang w:eastAsia="zh-CN"/>
        </w:rPr>
        <w:t>（</w:t>
      </w:r>
      <w:r>
        <w:rPr>
          <w:rFonts w:ascii="Times New Roman" w:eastAsia="Times New Roman"/>
          <w:spacing w:val="-10"/>
          <w:lang w:eastAsia="zh-CN"/>
        </w:rPr>
        <w:t>3</w:t>
      </w:r>
      <w:r>
        <w:rPr>
          <w:spacing w:val="-10"/>
          <w:lang w:eastAsia="zh-CN"/>
        </w:rPr>
        <w:t>）</w:t>
      </w:r>
      <w:r>
        <w:rPr>
          <w:spacing w:val="-4"/>
          <w:lang w:eastAsia="zh-CN"/>
        </w:rPr>
        <w:t>当单价与数量相乘不等于合价时，以单价计算为准，如果单价有明显的小数点位置差错，应以标出的合价为准，同时对单价予以修正；</w:t>
      </w:r>
    </w:p>
    <w:p>
      <w:pPr>
        <w:pStyle w:val="7"/>
        <w:spacing w:before="38" w:line="290" w:lineRule="auto"/>
        <w:ind w:left="144" w:right="226" w:firstLine="479"/>
        <w:jc w:val="both"/>
        <w:rPr>
          <w:lang w:eastAsia="zh-CN"/>
        </w:rPr>
      </w:pPr>
      <w:r>
        <w:rPr>
          <w:spacing w:val="-10"/>
          <w:lang w:eastAsia="zh-CN"/>
        </w:rPr>
        <w:t>（</w:t>
      </w:r>
      <w:r>
        <w:rPr>
          <w:rFonts w:ascii="Times New Roman" w:eastAsia="Times New Roman"/>
          <w:spacing w:val="-10"/>
          <w:lang w:eastAsia="zh-CN"/>
        </w:rPr>
        <w:t>4</w:t>
      </w:r>
      <w:r>
        <w:rPr>
          <w:spacing w:val="-10"/>
          <w:lang w:eastAsia="zh-CN"/>
        </w:rPr>
        <w:t>）</w:t>
      </w:r>
      <w:r>
        <w:rPr>
          <w:spacing w:val="-3"/>
          <w:lang w:eastAsia="zh-CN"/>
        </w:rPr>
        <w:t>当各子目的合价累计不等于总价时，应以各子目合价累计数为准，修正总价。</w:t>
      </w:r>
    </w:p>
    <w:p>
      <w:pPr>
        <w:pStyle w:val="38"/>
        <w:numPr>
          <w:ilvl w:val="2"/>
          <w:numId w:val="2"/>
        </w:numPr>
        <w:tabs>
          <w:tab w:val="left" w:pos="1225"/>
        </w:tabs>
        <w:spacing w:before="33" w:line="297" w:lineRule="auto"/>
        <w:ind w:left="144" w:right="225" w:firstLine="480" w:firstLineChars="0"/>
        <w:jc w:val="both"/>
        <w:rPr>
          <w:sz w:val="24"/>
          <w:lang w:eastAsia="zh-CN"/>
        </w:rPr>
      </w:pPr>
      <w:r>
        <w:rPr>
          <w:spacing w:val="-5"/>
          <w:sz w:val="24"/>
          <w:lang w:eastAsia="zh-CN"/>
        </w:rPr>
        <w:t>工程量清单中的投标报价有其他错误的，评标委员会按以下原则对投标报价进行修正，修正的价格经投标人书面确认后具有约束力。投标人不接受修正价格的，评标委员会应否决其投标。</w:t>
      </w:r>
    </w:p>
    <w:p>
      <w:pPr>
        <w:pStyle w:val="7"/>
        <w:spacing w:before="26" w:line="297" w:lineRule="auto"/>
        <w:ind w:left="144" w:right="106" w:firstLine="479"/>
        <w:rPr>
          <w:lang w:eastAsia="zh-CN"/>
        </w:rPr>
      </w:pPr>
      <w:r>
        <w:rPr>
          <w:lang w:eastAsia="zh-CN"/>
        </w:rPr>
        <w:t>（</w:t>
      </w:r>
      <w:r>
        <w:rPr>
          <w:rFonts w:ascii="Times New Roman" w:eastAsia="Times New Roman"/>
          <w:lang w:eastAsia="zh-CN"/>
        </w:rPr>
        <w:t>1</w:t>
      </w:r>
      <w:r>
        <w:rPr>
          <w:spacing w:val="-104"/>
          <w:lang w:eastAsia="zh-CN"/>
        </w:rPr>
        <w:t>）</w:t>
      </w:r>
      <w:r>
        <w:rPr>
          <w:spacing w:val="-4"/>
          <w:lang w:eastAsia="zh-CN"/>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w:t>
      </w:r>
      <w:r>
        <w:rPr>
          <w:lang w:eastAsia="zh-CN"/>
        </w:rPr>
        <w:t>和总额价之中。</w:t>
      </w:r>
    </w:p>
    <w:p>
      <w:pPr>
        <w:pStyle w:val="7"/>
        <w:spacing w:before="84" w:line="297" w:lineRule="auto"/>
        <w:ind w:left="144" w:right="106" w:firstLine="479"/>
        <w:rPr>
          <w:lang w:eastAsia="zh-CN"/>
        </w:rPr>
      </w:pPr>
      <w:r>
        <w:rPr>
          <w:lang w:eastAsia="zh-CN"/>
        </w:rPr>
        <w:t>（</w:t>
      </w:r>
      <w:r>
        <w:rPr>
          <w:rFonts w:ascii="Times New Roman" w:eastAsia="Times New Roman"/>
          <w:lang w:eastAsia="zh-CN"/>
        </w:rPr>
        <w:t>2</w:t>
      </w:r>
      <w:r>
        <w:rPr>
          <w:spacing w:val="-104"/>
          <w:lang w:eastAsia="zh-CN"/>
        </w:rPr>
        <w:t>）</w:t>
      </w:r>
      <w:r>
        <w:rPr>
          <w:spacing w:val="-4"/>
          <w:lang w:eastAsia="zh-CN"/>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7"/>
        <w:spacing w:before="26" w:line="290" w:lineRule="auto"/>
        <w:ind w:left="144" w:right="145" w:firstLine="479"/>
        <w:rPr>
          <w:lang w:eastAsia="zh-CN"/>
        </w:rPr>
      </w:pPr>
      <w:r>
        <w:rPr>
          <w:lang w:eastAsia="zh-CN"/>
        </w:rPr>
        <w:t>（</w:t>
      </w:r>
      <w:r>
        <w:rPr>
          <w:rFonts w:ascii="Times New Roman" w:eastAsia="Times New Roman"/>
          <w:lang w:eastAsia="zh-CN"/>
        </w:rPr>
        <w:t>3</w:t>
      </w:r>
      <w:r>
        <w:rPr>
          <w:lang w:eastAsia="zh-CN"/>
        </w:rPr>
        <w:t>）当单价与数量的乘积与合价（金额）虽然一致，但投标人修改了该子目的工程数量，则其合价按招标人给定的工程数量乘以投标人所报单价予以修正。</w:t>
      </w:r>
    </w:p>
    <w:p>
      <w:pPr>
        <w:pStyle w:val="38"/>
        <w:numPr>
          <w:ilvl w:val="2"/>
          <w:numId w:val="2"/>
        </w:numPr>
        <w:tabs>
          <w:tab w:val="left" w:pos="1225"/>
        </w:tabs>
        <w:spacing w:before="35" w:line="288" w:lineRule="auto"/>
        <w:ind w:left="144" w:right="227" w:firstLine="480" w:firstLineChars="0"/>
        <w:rPr>
          <w:sz w:val="24"/>
          <w:lang w:eastAsia="zh-CN"/>
        </w:rPr>
      </w:pPr>
      <w:r>
        <w:rPr>
          <w:sz w:val="24"/>
          <w:lang w:eastAsia="zh-CN"/>
        </w:rPr>
        <w:t>修正后的最终投标报价若超过最高投标限价</w:t>
      </w:r>
      <w:r>
        <w:rPr>
          <w:spacing w:val="1"/>
          <w:sz w:val="24"/>
          <w:lang w:eastAsia="zh-CN"/>
        </w:rPr>
        <w:t>（</w:t>
      </w:r>
      <w:r>
        <w:rPr>
          <w:sz w:val="24"/>
          <w:lang w:eastAsia="zh-CN"/>
        </w:rPr>
        <w:t>如有</w:t>
      </w:r>
      <w:r>
        <w:rPr>
          <w:spacing w:val="-120"/>
          <w:sz w:val="24"/>
          <w:lang w:eastAsia="zh-CN"/>
        </w:rPr>
        <w:t>）</w:t>
      </w:r>
      <w:r>
        <w:rPr>
          <w:sz w:val="24"/>
          <w:lang w:eastAsia="zh-CN"/>
        </w:rPr>
        <w:t>，评标委员会应否决其投标。</w:t>
      </w:r>
    </w:p>
    <w:p>
      <w:pPr>
        <w:pStyle w:val="38"/>
        <w:numPr>
          <w:ilvl w:val="2"/>
          <w:numId w:val="2"/>
        </w:numPr>
        <w:tabs>
          <w:tab w:val="left" w:pos="1225"/>
        </w:tabs>
        <w:spacing w:before="38" w:line="290" w:lineRule="auto"/>
        <w:ind w:left="144" w:right="225" w:firstLine="480" w:firstLineChars="0"/>
        <w:rPr>
          <w:sz w:val="24"/>
          <w:lang w:eastAsia="zh-CN"/>
        </w:rPr>
      </w:pPr>
      <w:r>
        <w:rPr>
          <w:spacing w:val="-4"/>
          <w:sz w:val="24"/>
          <w:lang w:eastAsia="zh-CN"/>
        </w:rPr>
        <w:t>修正后的最终投标报价仅作为签订合同的一个依据，不参与评标价得分的计算。</w:t>
      </w:r>
    </w:p>
    <w:p>
      <w:pPr>
        <w:pStyle w:val="38"/>
        <w:numPr>
          <w:ilvl w:val="1"/>
          <w:numId w:val="2"/>
        </w:numPr>
        <w:tabs>
          <w:tab w:val="left" w:pos="625"/>
        </w:tabs>
        <w:spacing w:before="185"/>
        <w:ind w:firstLineChars="0"/>
        <w:rPr>
          <w:rFonts w:ascii="黑体" w:eastAsia="黑体"/>
          <w:sz w:val="24"/>
        </w:rPr>
      </w:pPr>
      <w:bookmarkStart w:id="9" w:name="_bookmark103"/>
      <w:bookmarkEnd w:id="9"/>
      <w:r>
        <w:rPr>
          <w:rFonts w:hint="eastAsia" w:ascii="黑体" w:eastAsia="黑体"/>
          <w:sz w:val="24"/>
        </w:rPr>
        <w:t>第二个信封详细评审</w:t>
      </w:r>
    </w:p>
    <w:p>
      <w:pPr>
        <w:pStyle w:val="7"/>
        <w:spacing w:before="12"/>
        <w:rPr>
          <w:rFonts w:ascii="黑体"/>
        </w:rPr>
      </w:pPr>
    </w:p>
    <w:p>
      <w:pPr>
        <w:pStyle w:val="38"/>
        <w:numPr>
          <w:ilvl w:val="2"/>
          <w:numId w:val="2"/>
        </w:numPr>
        <w:tabs>
          <w:tab w:val="left" w:pos="1225"/>
        </w:tabs>
        <w:spacing w:line="290" w:lineRule="auto"/>
        <w:ind w:left="144" w:right="223" w:firstLine="480" w:firstLineChars="0"/>
        <w:rPr>
          <w:sz w:val="24"/>
          <w:lang w:eastAsia="zh-CN"/>
        </w:rPr>
      </w:pPr>
      <w:r>
        <w:rPr>
          <w:spacing w:val="-6"/>
          <w:sz w:val="24"/>
          <w:lang w:eastAsia="zh-CN"/>
        </w:rPr>
        <w:t xml:space="preserve">评标委员会按本章第 </w:t>
      </w:r>
      <w:r>
        <w:rPr>
          <w:rFonts w:ascii="Times New Roman" w:eastAsia="Times New Roman"/>
          <w:sz w:val="24"/>
          <w:lang w:eastAsia="zh-CN"/>
        </w:rPr>
        <w:t xml:space="preserve">2.2 </w:t>
      </w:r>
      <w:r>
        <w:rPr>
          <w:spacing w:val="-2"/>
          <w:sz w:val="24"/>
          <w:lang w:eastAsia="zh-CN"/>
        </w:rPr>
        <w:t>款规定的量化因素和分值进行打分，并计算出综</w:t>
      </w:r>
      <w:r>
        <w:rPr>
          <w:spacing w:val="-1"/>
          <w:sz w:val="24"/>
          <w:lang w:eastAsia="zh-CN"/>
        </w:rPr>
        <w:t>合评估得分</w:t>
      </w:r>
      <w:r>
        <w:rPr>
          <w:sz w:val="24"/>
          <w:lang w:eastAsia="zh-CN"/>
        </w:rPr>
        <w:t>（即评标价得分</w:t>
      </w:r>
      <w:r>
        <w:rPr>
          <w:spacing w:val="-120"/>
          <w:sz w:val="24"/>
          <w:lang w:eastAsia="zh-CN"/>
        </w:rPr>
        <w:t>）</w:t>
      </w:r>
      <w:r>
        <w:rPr>
          <w:sz w:val="24"/>
          <w:lang w:eastAsia="zh-CN"/>
        </w:rPr>
        <w:t>。</w:t>
      </w:r>
    </w:p>
    <w:p>
      <w:pPr>
        <w:pStyle w:val="38"/>
        <w:numPr>
          <w:ilvl w:val="2"/>
          <w:numId w:val="2"/>
        </w:numPr>
        <w:tabs>
          <w:tab w:val="left" w:pos="1225"/>
        </w:tabs>
        <w:spacing w:before="33"/>
        <w:ind w:left="144" w:firstLine="480" w:firstLineChars="0"/>
        <w:rPr>
          <w:sz w:val="24"/>
          <w:lang w:eastAsia="zh-CN"/>
        </w:rPr>
      </w:pPr>
      <w:r>
        <w:rPr>
          <w:spacing w:val="-1"/>
          <w:sz w:val="24"/>
          <w:lang w:eastAsia="zh-CN"/>
        </w:rPr>
        <w:t>投标人得分分值计算保留小数点后两位，小数点后第三位</w:t>
      </w:r>
      <w:r>
        <w:rPr>
          <w:rFonts w:ascii="Times New Roman" w:hAnsi="Times New Roman" w:eastAsia="Times New Roman"/>
          <w:sz w:val="24"/>
          <w:lang w:eastAsia="zh-CN"/>
        </w:rPr>
        <w:t>“</w:t>
      </w:r>
      <w:r>
        <w:rPr>
          <w:sz w:val="24"/>
          <w:lang w:eastAsia="zh-CN"/>
        </w:rPr>
        <w:t>四舍五入</w:t>
      </w:r>
      <w:r>
        <w:rPr>
          <w:rFonts w:ascii="Times New Roman" w:hAnsi="Times New Roman" w:eastAsia="Times New Roman"/>
          <w:sz w:val="24"/>
          <w:lang w:eastAsia="zh-CN"/>
        </w:rPr>
        <w:t>”</w:t>
      </w:r>
      <w:r>
        <w:rPr>
          <w:sz w:val="24"/>
          <w:lang w:eastAsia="zh-CN"/>
        </w:rPr>
        <w:t>。</w:t>
      </w:r>
    </w:p>
    <w:p>
      <w:pPr>
        <w:pStyle w:val="38"/>
        <w:numPr>
          <w:ilvl w:val="2"/>
          <w:numId w:val="2"/>
        </w:numPr>
        <w:tabs>
          <w:tab w:val="left" w:pos="1225"/>
        </w:tabs>
        <w:spacing w:before="68" w:line="300" w:lineRule="auto"/>
        <w:ind w:left="144" w:right="225" w:firstLine="480" w:firstLineChars="0"/>
        <w:jc w:val="both"/>
        <w:rPr>
          <w:sz w:val="24"/>
          <w:lang w:eastAsia="zh-CN"/>
        </w:rPr>
      </w:pPr>
      <w:r>
        <w:rPr>
          <w:spacing w:val="-4"/>
          <w:sz w:val="24"/>
          <w:lang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w:t>
      </w:r>
      <w:r>
        <w:rPr>
          <w:spacing w:val="-1"/>
          <w:sz w:val="24"/>
          <w:lang w:eastAsia="zh-CN"/>
        </w:rPr>
        <w:t>本报价竞标，并否决其投标。</w:t>
      </w:r>
    </w:p>
    <w:p>
      <w:pPr>
        <w:pStyle w:val="38"/>
        <w:numPr>
          <w:ilvl w:val="1"/>
          <w:numId w:val="2"/>
        </w:numPr>
        <w:tabs>
          <w:tab w:val="left" w:pos="625"/>
        </w:tabs>
        <w:spacing w:before="177"/>
        <w:ind w:firstLineChars="0"/>
        <w:rPr>
          <w:rFonts w:ascii="黑体" w:eastAsia="黑体"/>
          <w:sz w:val="24"/>
          <w:lang w:eastAsia="zh-CN"/>
        </w:rPr>
      </w:pPr>
      <w:bookmarkStart w:id="10" w:name="_bookmark104"/>
      <w:bookmarkEnd w:id="10"/>
      <w:r>
        <w:rPr>
          <w:rFonts w:hint="eastAsia" w:ascii="黑体" w:eastAsia="黑体"/>
          <w:sz w:val="24"/>
          <w:lang w:eastAsia="zh-CN"/>
        </w:rPr>
        <w:t>投标文件相关信息的核查</w:t>
      </w:r>
    </w:p>
    <w:p>
      <w:pPr>
        <w:pStyle w:val="7"/>
        <w:spacing w:before="10"/>
        <w:rPr>
          <w:rFonts w:ascii="黑体"/>
          <w:lang w:eastAsia="zh-CN"/>
        </w:rPr>
      </w:pPr>
    </w:p>
    <w:p>
      <w:pPr>
        <w:pStyle w:val="38"/>
        <w:numPr>
          <w:ilvl w:val="2"/>
          <w:numId w:val="2"/>
        </w:numPr>
        <w:tabs>
          <w:tab w:val="left" w:pos="1225"/>
        </w:tabs>
        <w:spacing w:line="302" w:lineRule="auto"/>
        <w:ind w:left="144" w:right="225" w:firstLine="480" w:firstLineChars="0"/>
        <w:jc w:val="both"/>
        <w:rPr>
          <w:sz w:val="24"/>
          <w:lang w:eastAsia="zh-CN"/>
        </w:rPr>
      </w:pPr>
      <w:r>
        <w:rPr>
          <w:spacing w:val="-9"/>
          <w:sz w:val="24"/>
          <w:lang w:eastAsia="zh-CN"/>
        </w:rPr>
        <w:t>在评标过程中，评标委员会应查询交通运输主管部门“公路建设市场信用</w:t>
      </w:r>
      <w:r>
        <w:rPr>
          <w:spacing w:val="-18"/>
          <w:sz w:val="24"/>
          <w:lang w:eastAsia="zh-CN"/>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38"/>
        <w:numPr>
          <w:ilvl w:val="2"/>
          <w:numId w:val="2"/>
        </w:numPr>
        <w:tabs>
          <w:tab w:val="left" w:pos="1225"/>
        </w:tabs>
        <w:spacing w:before="24" w:line="297" w:lineRule="auto"/>
        <w:ind w:left="144" w:right="225" w:firstLine="480" w:firstLineChars="0"/>
        <w:jc w:val="both"/>
        <w:rPr>
          <w:sz w:val="24"/>
          <w:lang w:eastAsia="zh-CN"/>
        </w:rPr>
      </w:pPr>
      <w:r>
        <w:rPr>
          <w:spacing w:val="-4"/>
          <w:sz w:val="24"/>
          <w:lang w:eastAsia="zh-CN"/>
        </w:rPr>
        <w:t>评标委员会应对在评标过程中发现的投标人与投标人之间、投标人与招标人之间存在的串通投标的情形进行评审和认定。投标人存在串通投标、弄虚作假、</w:t>
      </w:r>
      <w:r>
        <w:rPr>
          <w:spacing w:val="-1"/>
          <w:sz w:val="24"/>
          <w:lang w:eastAsia="zh-CN"/>
        </w:rPr>
        <w:t>行贿等违法行为的，评标委员会应否决其投标。</w:t>
      </w:r>
    </w:p>
    <w:p>
      <w:pPr>
        <w:pStyle w:val="7"/>
        <w:spacing w:before="29"/>
        <w:ind w:left="624"/>
        <w:rPr>
          <w:lang w:eastAsia="zh-CN"/>
        </w:rPr>
      </w:pPr>
      <w:r>
        <w:rPr>
          <w:lang w:eastAsia="zh-CN"/>
        </w:rPr>
        <w:t>（</w:t>
      </w:r>
      <w:r>
        <w:rPr>
          <w:rFonts w:ascii="Times New Roman" w:eastAsia="Times New Roman"/>
          <w:lang w:eastAsia="zh-CN"/>
        </w:rPr>
        <w:t>1</w:t>
      </w:r>
      <w:r>
        <w:rPr>
          <w:lang w:eastAsia="zh-CN"/>
        </w:rPr>
        <w:t>）有下列情形之一的，属于投标人相互串通投标：</w:t>
      </w:r>
    </w:p>
    <w:p>
      <w:pPr>
        <w:pStyle w:val="7"/>
        <w:spacing w:before="66"/>
        <w:ind w:left="624"/>
        <w:rPr>
          <w:lang w:eastAsia="zh-CN"/>
        </w:rPr>
      </w:pPr>
      <w:r>
        <w:rPr>
          <w:rFonts w:ascii="Times New Roman" w:eastAsia="Times New Roman"/>
          <w:lang w:eastAsia="zh-CN"/>
        </w:rPr>
        <w:t>a.</w:t>
      </w:r>
      <w:r>
        <w:rPr>
          <w:lang w:eastAsia="zh-CN"/>
        </w:rPr>
        <w:t>投标人之间协商投标报价等投标文件的实质性内容；</w:t>
      </w:r>
    </w:p>
    <w:p>
      <w:pPr>
        <w:pStyle w:val="7"/>
        <w:spacing w:before="68"/>
        <w:ind w:left="624"/>
        <w:rPr>
          <w:lang w:eastAsia="zh-CN"/>
        </w:rPr>
      </w:pPr>
      <w:r>
        <w:rPr>
          <w:rFonts w:ascii="Times New Roman" w:eastAsia="Times New Roman"/>
          <w:lang w:eastAsia="zh-CN"/>
        </w:rPr>
        <w:t>b.</w:t>
      </w:r>
      <w:r>
        <w:rPr>
          <w:lang w:eastAsia="zh-CN"/>
        </w:rPr>
        <w:t>投标人之间约定中标人；</w:t>
      </w:r>
    </w:p>
    <w:p>
      <w:pPr>
        <w:pStyle w:val="7"/>
        <w:spacing w:before="68"/>
        <w:ind w:left="624"/>
        <w:rPr>
          <w:lang w:eastAsia="zh-CN"/>
        </w:rPr>
      </w:pPr>
      <w:r>
        <w:rPr>
          <w:rFonts w:ascii="Times New Roman" w:eastAsia="Times New Roman"/>
          <w:lang w:eastAsia="zh-CN"/>
        </w:rPr>
        <w:t>c.</w:t>
      </w:r>
      <w:r>
        <w:rPr>
          <w:lang w:eastAsia="zh-CN"/>
        </w:rPr>
        <w:t>投标人之间约定部分投标人放弃投标或中标；</w:t>
      </w:r>
    </w:p>
    <w:p>
      <w:pPr>
        <w:pStyle w:val="7"/>
        <w:spacing w:before="66"/>
        <w:ind w:left="624"/>
        <w:rPr>
          <w:sz w:val="20"/>
          <w:lang w:eastAsia="zh-CN"/>
        </w:rPr>
      </w:pPr>
      <w:r>
        <w:rPr>
          <w:rFonts w:ascii="Times New Roman" w:eastAsia="Times New Roman"/>
          <w:lang w:eastAsia="zh-CN"/>
        </w:rPr>
        <w:t>d.</w:t>
      </w:r>
      <w:r>
        <w:rPr>
          <w:lang w:eastAsia="zh-CN"/>
        </w:rPr>
        <w:t>属于同一集团、协会、商会等组织成员的投标人按照该组织要求协同投标；</w:t>
      </w:r>
    </w:p>
    <w:p>
      <w:pPr>
        <w:pStyle w:val="7"/>
        <w:spacing w:before="209"/>
        <w:ind w:left="624"/>
        <w:rPr>
          <w:lang w:eastAsia="zh-CN"/>
        </w:rPr>
      </w:pPr>
      <w:r>
        <w:rPr>
          <w:rFonts w:ascii="Times New Roman" w:eastAsia="Times New Roman"/>
          <w:lang w:eastAsia="zh-CN"/>
        </w:rPr>
        <w:t>e.</w:t>
      </w:r>
      <w:r>
        <w:rPr>
          <w:lang w:eastAsia="zh-CN"/>
        </w:rPr>
        <w:t>投标人之间为谋取中标或排斥特定投标人而采取的其他联合行动。</w:t>
      </w:r>
    </w:p>
    <w:p>
      <w:pPr>
        <w:pStyle w:val="7"/>
        <w:spacing w:before="65"/>
        <w:ind w:left="624"/>
        <w:rPr>
          <w:lang w:eastAsia="zh-CN"/>
        </w:rPr>
      </w:pPr>
      <w:r>
        <w:rPr>
          <w:lang w:eastAsia="zh-CN"/>
        </w:rPr>
        <w:t>（</w:t>
      </w:r>
      <w:r>
        <w:rPr>
          <w:rFonts w:ascii="Times New Roman" w:eastAsia="Times New Roman"/>
          <w:lang w:eastAsia="zh-CN"/>
        </w:rPr>
        <w:t>2</w:t>
      </w:r>
      <w:r>
        <w:rPr>
          <w:lang w:eastAsia="zh-CN"/>
        </w:rPr>
        <w:t>）有下列情形之一的，视为投标人相互串通投标：</w:t>
      </w:r>
    </w:p>
    <w:p>
      <w:pPr>
        <w:pStyle w:val="7"/>
        <w:spacing w:before="68"/>
        <w:ind w:left="624"/>
        <w:rPr>
          <w:lang w:eastAsia="zh-CN"/>
        </w:rPr>
      </w:pPr>
      <w:r>
        <w:rPr>
          <w:rFonts w:ascii="Times New Roman" w:eastAsia="Times New Roman"/>
          <w:lang w:eastAsia="zh-CN"/>
        </w:rPr>
        <w:t>a.</w:t>
      </w:r>
      <w:r>
        <w:rPr>
          <w:lang w:eastAsia="zh-CN"/>
        </w:rPr>
        <w:t>不同投标人的投标文件由同一单位或个人编制；</w:t>
      </w:r>
    </w:p>
    <w:p>
      <w:pPr>
        <w:pStyle w:val="7"/>
        <w:spacing w:before="68"/>
        <w:ind w:left="624"/>
        <w:rPr>
          <w:lang w:eastAsia="zh-CN"/>
        </w:rPr>
      </w:pPr>
      <w:r>
        <w:rPr>
          <w:rFonts w:ascii="Times New Roman" w:eastAsia="Times New Roman"/>
          <w:lang w:eastAsia="zh-CN"/>
        </w:rPr>
        <w:t>b.</w:t>
      </w:r>
      <w:r>
        <w:rPr>
          <w:lang w:eastAsia="zh-CN"/>
        </w:rPr>
        <w:t>不同投标人委托同一单位或个人办理投标事宜；</w:t>
      </w:r>
    </w:p>
    <w:p>
      <w:pPr>
        <w:pStyle w:val="7"/>
        <w:spacing w:before="65"/>
        <w:ind w:left="624"/>
        <w:rPr>
          <w:lang w:eastAsia="zh-CN"/>
        </w:rPr>
      </w:pPr>
      <w:r>
        <w:rPr>
          <w:rFonts w:ascii="Times New Roman" w:eastAsia="Times New Roman"/>
          <w:lang w:eastAsia="zh-CN"/>
        </w:rPr>
        <w:t>c.</w:t>
      </w:r>
      <w:r>
        <w:rPr>
          <w:lang w:eastAsia="zh-CN"/>
        </w:rPr>
        <w:t>不同投标人的投标文件载明的项目管理成员为同一人；</w:t>
      </w:r>
    </w:p>
    <w:p>
      <w:pPr>
        <w:pStyle w:val="7"/>
        <w:spacing w:before="68"/>
        <w:ind w:left="624"/>
        <w:rPr>
          <w:lang w:eastAsia="zh-CN"/>
        </w:rPr>
      </w:pPr>
      <w:r>
        <w:rPr>
          <w:rFonts w:ascii="Times New Roman" w:eastAsia="Times New Roman"/>
          <w:lang w:eastAsia="zh-CN"/>
        </w:rPr>
        <w:t>d.</w:t>
      </w:r>
      <w:r>
        <w:rPr>
          <w:lang w:eastAsia="zh-CN"/>
        </w:rPr>
        <w:t>不同投标人的投标文件异常一致或投标报价呈规律性差异；</w:t>
      </w:r>
    </w:p>
    <w:p>
      <w:pPr>
        <w:pStyle w:val="7"/>
        <w:spacing w:before="68"/>
        <w:ind w:left="624"/>
        <w:rPr>
          <w:lang w:eastAsia="zh-CN"/>
        </w:rPr>
      </w:pPr>
      <w:r>
        <w:rPr>
          <w:rFonts w:ascii="Times New Roman" w:eastAsia="Times New Roman"/>
          <w:lang w:eastAsia="zh-CN"/>
        </w:rPr>
        <w:t>e.</w:t>
      </w:r>
      <w:r>
        <w:rPr>
          <w:lang w:eastAsia="zh-CN"/>
        </w:rPr>
        <w:t>不同投标人的投标文件相互混装；</w:t>
      </w:r>
    </w:p>
    <w:p>
      <w:pPr>
        <w:pStyle w:val="7"/>
        <w:spacing w:before="66"/>
        <w:ind w:left="624"/>
        <w:rPr>
          <w:lang w:eastAsia="zh-CN"/>
        </w:rPr>
      </w:pPr>
      <w:r>
        <w:rPr>
          <w:rFonts w:ascii="Times New Roman" w:eastAsia="Times New Roman"/>
          <w:lang w:eastAsia="zh-CN"/>
        </w:rPr>
        <w:t>f.</w:t>
      </w:r>
      <w:r>
        <w:rPr>
          <w:lang w:eastAsia="zh-CN"/>
        </w:rPr>
        <w:t>不同投标人的投标保证金从同一单位或个人的账户转出。</w:t>
      </w:r>
    </w:p>
    <w:p>
      <w:pPr>
        <w:pStyle w:val="7"/>
        <w:spacing w:before="68"/>
        <w:ind w:left="624"/>
        <w:rPr>
          <w:lang w:eastAsia="zh-CN"/>
        </w:rPr>
      </w:pPr>
      <w:r>
        <w:rPr>
          <w:lang w:eastAsia="zh-CN"/>
        </w:rPr>
        <w:t>（</w:t>
      </w:r>
      <w:r>
        <w:rPr>
          <w:rFonts w:ascii="Times New Roman" w:eastAsia="Times New Roman"/>
          <w:lang w:eastAsia="zh-CN"/>
        </w:rPr>
        <w:t>3</w:t>
      </w:r>
      <w:r>
        <w:rPr>
          <w:lang w:eastAsia="zh-CN"/>
        </w:rPr>
        <w:t>）有下列情形之一的，属于招标人与投标人串通投标：</w:t>
      </w:r>
    </w:p>
    <w:p>
      <w:pPr>
        <w:pStyle w:val="7"/>
        <w:spacing w:before="68"/>
        <w:ind w:left="624"/>
        <w:rPr>
          <w:rFonts w:ascii="Times New Roman" w:eastAsia="Times New Roman"/>
          <w:lang w:eastAsia="zh-CN"/>
        </w:rPr>
      </w:pPr>
      <w:r>
        <w:rPr>
          <w:rFonts w:ascii="Times New Roman" w:eastAsia="Times New Roman"/>
          <w:lang w:eastAsia="zh-CN"/>
        </w:rPr>
        <w:t>a.</w:t>
      </w:r>
      <w:r>
        <w:rPr>
          <w:lang w:eastAsia="zh-CN"/>
        </w:rPr>
        <w:t>招标人在开标前开启投标文件并将有关信息泄露给其他投标人</w:t>
      </w:r>
      <w:r>
        <w:rPr>
          <w:rFonts w:ascii="Times New Roman" w:eastAsia="Times New Roman"/>
          <w:lang w:eastAsia="zh-CN"/>
        </w:rPr>
        <w:t>;</w:t>
      </w:r>
    </w:p>
    <w:p>
      <w:pPr>
        <w:pStyle w:val="7"/>
        <w:spacing w:before="66"/>
        <w:ind w:left="624"/>
        <w:rPr>
          <w:lang w:eastAsia="zh-CN"/>
        </w:rPr>
      </w:pPr>
      <w:r>
        <w:rPr>
          <w:rFonts w:ascii="Times New Roman" w:eastAsia="Times New Roman"/>
          <w:lang w:eastAsia="zh-CN"/>
        </w:rPr>
        <w:t>b.</w:t>
      </w:r>
      <w:r>
        <w:rPr>
          <w:lang w:eastAsia="zh-CN"/>
        </w:rPr>
        <w:t>招标人直接或间接向投标人泄露标底、评标委员会成员等信息；</w:t>
      </w:r>
    </w:p>
    <w:p>
      <w:pPr>
        <w:pStyle w:val="7"/>
        <w:spacing w:before="68"/>
        <w:ind w:left="624"/>
        <w:rPr>
          <w:lang w:eastAsia="zh-CN"/>
        </w:rPr>
      </w:pPr>
      <w:r>
        <w:rPr>
          <w:rFonts w:ascii="Times New Roman" w:eastAsia="Times New Roman"/>
          <w:lang w:eastAsia="zh-CN"/>
        </w:rPr>
        <w:t>c.</w:t>
      </w:r>
      <w:r>
        <w:rPr>
          <w:lang w:eastAsia="zh-CN"/>
        </w:rPr>
        <w:t>招标人明示或暗示投标人压低或抬高投标报价；</w:t>
      </w:r>
    </w:p>
    <w:p>
      <w:pPr>
        <w:pStyle w:val="7"/>
        <w:spacing w:before="68"/>
        <w:ind w:left="624"/>
        <w:rPr>
          <w:lang w:eastAsia="zh-CN"/>
        </w:rPr>
      </w:pPr>
      <w:r>
        <w:rPr>
          <w:rFonts w:ascii="Times New Roman" w:eastAsia="Times New Roman"/>
          <w:lang w:eastAsia="zh-CN"/>
        </w:rPr>
        <w:t>d.</w:t>
      </w:r>
      <w:r>
        <w:rPr>
          <w:lang w:eastAsia="zh-CN"/>
        </w:rPr>
        <w:t>招标人授意投标人撤换、修改投标文件；</w:t>
      </w:r>
    </w:p>
    <w:p>
      <w:pPr>
        <w:pStyle w:val="7"/>
        <w:spacing w:before="66"/>
        <w:ind w:left="624"/>
        <w:rPr>
          <w:lang w:eastAsia="zh-CN"/>
        </w:rPr>
      </w:pPr>
      <w:r>
        <w:rPr>
          <w:rFonts w:ascii="Times New Roman" w:eastAsia="Times New Roman"/>
          <w:lang w:eastAsia="zh-CN"/>
        </w:rPr>
        <w:t>e.</w:t>
      </w:r>
      <w:r>
        <w:rPr>
          <w:lang w:eastAsia="zh-CN"/>
        </w:rPr>
        <w:t>招标人明示或暗示投标人为特定投标人中标提供方便；</w:t>
      </w:r>
    </w:p>
    <w:p>
      <w:pPr>
        <w:pStyle w:val="7"/>
        <w:spacing w:before="68"/>
        <w:ind w:left="624"/>
        <w:rPr>
          <w:lang w:eastAsia="zh-CN"/>
        </w:rPr>
      </w:pPr>
      <w:r>
        <w:rPr>
          <w:rFonts w:ascii="Times New Roman" w:eastAsia="Times New Roman"/>
          <w:lang w:eastAsia="zh-CN"/>
        </w:rPr>
        <w:t>f.</w:t>
      </w:r>
      <w:r>
        <w:rPr>
          <w:lang w:eastAsia="zh-CN"/>
        </w:rPr>
        <w:t>招标人与投标人为谋求特定投标人中标而采取的其他串通行为。</w:t>
      </w:r>
    </w:p>
    <w:p>
      <w:pPr>
        <w:pStyle w:val="7"/>
        <w:spacing w:before="68"/>
        <w:ind w:left="624"/>
        <w:rPr>
          <w:lang w:eastAsia="zh-CN"/>
        </w:rPr>
      </w:pPr>
      <w:r>
        <w:rPr>
          <w:lang w:eastAsia="zh-CN"/>
        </w:rPr>
        <w:t>（</w:t>
      </w:r>
      <w:r>
        <w:rPr>
          <w:rFonts w:ascii="Times New Roman" w:eastAsia="Times New Roman"/>
          <w:lang w:eastAsia="zh-CN"/>
        </w:rPr>
        <w:t>4</w:t>
      </w:r>
      <w:r>
        <w:rPr>
          <w:lang w:eastAsia="zh-CN"/>
        </w:rPr>
        <w:t>）投标人有下列情形之一的，属于弄虚作假的行为：</w:t>
      </w:r>
    </w:p>
    <w:p>
      <w:pPr>
        <w:pStyle w:val="7"/>
        <w:spacing w:before="65"/>
        <w:ind w:left="624"/>
        <w:rPr>
          <w:lang w:eastAsia="zh-CN"/>
        </w:rPr>
      </w:pPr>
      <w:r>
        <w:rPr>
          <w:rFonts w:ascii="Times New Roman" w:eastAsia="Times New Roman"/>
          <w:lang w:eastAsia="zh-CN"/>
        </w:rPr>
        <w:t>a.</w:t>
      </w:r>
      <w:r>
        <w:rPr>
          <w:lang w:eastAsia="zh-CN"/>
        </w:rPr>
        <w:t>使用通过受让或租借等方式获取的资格、资质证书投标；</w:t>
      </w:r>
    </w:p>
    <w:p>
      <w:pPr>
        <w:pStyle w:val="7"/>
        <w:spacing w:before="68"/>
        <w:ind w:left="624"/>
        <w:rPr>
          <w:lang w:eastAsia="zh-CN"/>
        </w:rPr>
      </w:pPr>
      <w:r>
        <w:rPr>
          <w:rFonts w:ascii="Times New Roman" w:eastAsia="Times New Roman"/>
          <w:lang w:eastAsia="zh-CN"/>
        </w:rPr>
        <w:t>b.</w:t>
      </w:r>
      <w:r>
        <w:rPr>
          <w:lang w:eastAsia="zh-CN"/>
        </w:rPr>
        <w:t>使用伪造、变造的许可证件；</w:t>
      </w:r>
    </w:p>
    <w:p>
      <w:pPr>
        <w:pStyle w:val="7"/>
        <w:spacing w:before="68"/>
        <w:ind w:left="624"/>
        <w:rPr>
          <w:lang w:eastAsia="zh-CN"/>
        </w:rPr>
      </w:pPr>
      <w:r>
        <w:rPr>
          <w:rFonts w:ascii="Times New Roman" w:eastAsia="Times New Roman"/>
          <w:lang w:eastAsia="zh-CN"/>
        </w:rPr>
        <w:t>c.</w:t>
      </w:r>
      <w:r>
        <w:rPr>
          <w:lang w:eastAsia="zh-CN"/>
        </w:rPr>
        <w:t>提供虚假的财务状况或业绩；</w:t>
      </w:r>
    </w:p>
    <w:p>
      <w:pPr>
        <w:pStyle w:val="7"/>
        <w:spacing w:before="65"/>
        <w:ind w:left="624"/>
        <w:rPr>
          <w:lang w:eastAsia="zh-CN"/>
        </w:rPr>
      </w:pPr>
      <w:r>
        <w:rPr>
          <w:rFonts w:ascii="Times New Roman" w:eastAsia="Times New Roman"/>
          <w:lang w:eastAsia="zh-CN"/>
        </w:rPr>
        <w:t>d.</w:t>
      </w:r>
      <w:r>
        <w:rPr>
          <w:lang w:eastAsia="zh-CN"/>
        </w:rPr>
        <w:t>提供虚假的项目负责人或主要技术人员简历、劳动关系证明；</w:t>
      </w:r>
    </w:p>
    <w:p>
      <w:pPr>
        <w:pStyle w:val="7"/>
        <w:spacing w:before="68"/>
        <w:ind w:left="624"/>
        <w:rPr>
          <w:lang w:eastAsia="zh-CN"/>
        </w:rPr>
      </w:pPr>
      <w:r>
        <w:rPr>
          <w:rFonts w:ascii="Times New Roman" w:eastAsia="Times New Roman"/>
          <w:lang w:eastAsia="zh-CN"/>
        </w:rPr>
        <w:t>e.</w:t>
      </w:r>
      <w:r>
        <w:rPr>
          <w:lang w:eastAsia="zh-CN"/>
        </w:rPr>
        <w:t>提供虚假的信用状况；</w:t>
      </w:r>
    </w:p>
    <w:p>
      <w:pPr>
        <w:pStyle w:val="7"/>
        <w:spacing w:before="68"/>
        <w:ind w:left="624"/>
        <w:rPr>
          <w:lang w:eastAsia="zh-CN"/>
        </w:rPr>
      </w:pPr>
      <w:r>
        <w:rPr>
          <w:rFonts w:ascii="Times New Roman" w:eastAsia="Times New Roman"/>
          <w:lang w:eastAsia="zh-CN"/>
        </w:rPr>
        <w:t>f.</w:t>
      </w:r>
      <w:r>
        <w:rPr>
          <w:lang w:eastAsia="zh-CN"/>
        </w:rPr>
        <w:t>其他弄虚作假的行为。</w:t>
      </w:r>
    </w:p>
    <w:p>
      <w:pPr>
        <w:pStyle w:val="7"/>
        <w:spacing w:before="5"/>
        <w:rPr>
          <w:sz w:val="23"/>
          <w:lang w:eastAsia="zh-CN"/>
        </w:rPr>
      </w:pPr>
    </w:p>
    <w:p>
      <w:pPr>
        <w:pStyle w:val="38"/>
        <w:numPr>
          <w:ilvl w:val="1"/>
          <w:numId w:val="2"/>
        </w:numPr>
        <w:tabs>
          <w:tab w:val="left" w:pos="625"/>
        </w:tabs>
        <w:ind w:firstLineChars="0"/>
        <w:rPr>
          <w:rFonts w:ascii="黑体" w:eastAsia="黑体"/>
          <w:sz w:val="24"/>
        </w:rPr>
      </w:pPr>
      <w:bookmarkStart w:id="11" w:name="_bookmark105"/>
      <w:bookmarkEnd w:id="11"/>
      <w:r>
        <w:rPr>
          <w:rFonts w:hint="eastAsia" w:ascii="黑体" w:eastAsia="黑体"/>
          <w:sz w:val="24"/>
        </w:rPr>
        <w:t>投标文件的澄清和说明</w:t>
      </w:r>
    </w:p>
    <w:p>
      <w:pPr>
        <w:pStyle w:val="7"/>
        <w:spacing w:before="12"/>
        <w:rPr>
          <w:rFonts w:ascii="黑体"/>
        </w:rPr>
      </w:pPr>
    </w:p>
    <w:p>
      <w:pPr>
        <w:pStyle w:val="38"/>
        <w:numPr>
          <w:ilvl w:val="2"/>
          <w:numId w:val="2"/>
        </w:numPr>
        <w:tabs>
          <w:tab w:val="left" w:pos="1225"/>
        </w:tabs>
        <w:spacing w:line="300" w:lineRule="auto"/>
        <w:ind w:left="144" w:right="222" w:firstLine="480" w:firstLineChars="0"/>
        <w:jc w:val="both"/>
        <w:rPr>
          <w:sz w:val="24"/>
          <w:lang w:eastAsia="zh-CN"/>
        </w:rPr>
      </w:pPr>
      <w:r>
        <w:rPr>
          <w:spacing w:val="-9"/>
          <w:sz w:val="24"/>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38"/>
        <w:numPr>
          <w:ilvl w:val="2"/>
          <w:numId w:val="2"/>
        </w:numPr>
        <w:tabs>
          <w:tab w:val="left" w:pos="1225"/>
        </w:tabs>
        <w:spacing w:before="26" w:line="288" w:lineRule="auto"/>
        <w:ind w:left="144" w:right="222" w:firstLine="480" w:firstLineChars="0"/>
        <w:rPr>
          <w:sz w:val="24"/>
          <w:lang w:eastAsia="zh-CN"/>
        </w:rPr>
      </w:pPr>
      <w:r>
        <w:rPr>
          <w:spacing w:val="-3"/>
          <w:sz w:val="24"/>
          <w:lang w:eastAsia="zh-CN"/>
        </w:rPr>
        <w:t>澄清和说明不得超出投标文件的范围或改变投标文件的实质性内容</w:t>
      </w:r>
      <w:r>
        <w:rPr>
          <w:sz w:val="24"/>
          <w:lang w:eastAsia="zh-CN"/>
        </w:rPr>
        <w:t>（算术</w:t>
      </w:r>
      <w:r>
        <w:rPr>
          <w:spacing w:val="-1"/>
          <w:sz w:val="24"/>
          <w:lang w:eastAsia="zh-CN"/>
        </w:rPr>
        <w:t>性错误的修正除外</w:t>
      </w:r>
      <w:r>
        <w:rPr>
          <w:spacing w:val="-120"/>
          <w:sz w:val="24"/>
          <w:lang w:eastAsia="zh-CN"/>
        </w:rPr>
        <w:t>）</w:t>
      </w:r>
      <w:r>
        <w:rPr>
          <w:sz w:val="24"/>
          <w:lang w:eastAsia="zh-CN"/>
        </w:rPr>
        <w:t>。投标人的书面澄清、说明属于投标文件的组成部分。</w:t>
      </w:r>
    </w:p>
    <w:p>
      <w:pPr>
        <w:pStyle w:val="38"/>
        <w:numPr>
          <w:ilvl w:val="2"/>
          <w:numId w:val="2"/>
        </w:numPr>
        <w:tabs>
          <w:tab w:val="left" w:pos="1225"/>
        </w:tabs>
        <w:spacing w:before="39" w:line="290" w:lineRule="auto"/>
        <w:ind w:left="144" w:right="103" w:firstLine="480" w:firstLineChars="0"/>
        <w:rPr>
          <w:sz w:val="24"/>
          <w:lang w:eastAsia="zh-CN"/>
        </w:rPr>
      </w:pPr>
      <w:r>
        <w:rPr>
          <w:spacing w:val="-11"/>
          <w:sz w:val="24"/>
          <w:lang w:eastAsia="zh-CN"/>
        </w:rPr>
        <w:t>评标委员会不得暗示或诱导投标人作出澄清、说明，对投标人提交的澄清、说明有疑问的，可以要求投标人进一步澄清或说明，直至满足评标委员会的要求。</w:t>
      </w:r>
    </w:p>
    <w:p>
      <w:pPr>
        <w:pStyle w:val="38"/>
        <w:numPr>
          <w:ilvl w:val="2"/>
          <w:numId w:val="2"/>
        </w:numPr>
        <w:tabs>
          <w:tab w:val="left" w:pos="1225"/>
        </w:tabs>
        <w:spacing w:before="34" w:line="290" w:lineRule="auto"/>
        <w:ind w:left="144" w:right="225" w:firstLine="480" w:firstLineChars="0"/>
        <w:rPr>
          <w:sz w:val="24"/>
          <w:lang w:eastAsia="zh-CN"/>
        </w:rPr>
      </w:pPr>
      <w:r>
        <w:rPr>
          <w:spacing w:val="-3"/>
          <w:sz w:val="24"/>
          <w:lang w:eastAsia="zh-CN"/>
        </w:rPr>
        <w:t>凡超出招标文件规定的或给发包人带来未曾要求的利益的变化、偏差或其他因素在评标时不予考虑。</w:t>
      </w:r>
    </w:p>
    <w:p>
      <w:pPr>
        <w:pStyle w:val="7"/>
        <w:rPr>
          <w:sz w:val="20"/>
          <w:lang w:eastAsia="zh-CN"/>
        </w:rPr>
      </w:pPr>
    </w:p>
    <w:p>
      <w:pPr>
        <w:pStyle w:val="7"/>
        <w:rPr>
          <w:sz w:val="14"/>
          <w:lang w:eastAsia="zh-CN"/>
        </w:rPr>
      </w:pPr>
    </w:p>
    <w:p>
      <w:pPr>
        <w:pStyle w:val="38"/>
        <w:numPr>
          <w:ilvl w:val="1"/>
          <w:numId w:val="2"/>
        </w:numPr>
        <w:tabs>
          <w:tab w:val="left" w:pos="625"/>
        </w:tabs>
        <w:spacing w:before="26"/>
        <w:ind w:firstLineChars="0"/>
        <w:rPr>
          <w:rFonts w:ascii="黑体" w:eastAsia="黑体"/>
          <w:sz w:val="24"/>
        </w:rPr>
      </w:pPr>
      <w:bookmarkStart w:id="12" w:name="_bookmark106"/>
      <w:bookmarkEnd w:id="12"/>
      <w:r>
        <w:rPr>
          <w:rFonts w:hint="eastAsia" w:ascii="黑体" w:eastAsia="黑体"/>
          <w:sz w:val="24"/>
        </w:rPr>
        <w:t>不得否决投标的情形</w:t>
      </w:r>
    </w:p>
    <w:p>
      <w:pPr>
        <w:pStyle w:val="7"/>
        <w:spacing w:before="9"/>
        <w:rPr>
          <w:rFonts w:ascii="黑体"/>
        </w:rPr>
      </w:pPr>
    </w:p>
    <w:p>
      <w:pPr>
        <w:pStyle w:val="7"/>
        <w:spacing w:before="1"/>
        <w:ind w:left="624"/>
        <w:rPr>
          <w:lang w:eastAsia="zh-CN"/>
        </w:rPr>
      </w:pPr>
      <w:r>
        <w:rPr>
          <w:spacing w:val="-9"/>
          <w:lang w:eastAsia="zh-CN"/>
        </w:rPr>
        <w:t xml:space="preserve">投标文件存在第二章“投标人须知”第 </w:t>
      </w:r>
      <w:r>
        <w:rPr>
          <w:rFonts w:ascii="Times New Roman" w:hAnsi="Times New Roman" w:eastAsia="Times New Roman"/>
          <w:lang w:eastAsia="zh-CN"/>
        </w:rPr>
        <w:t xml:space="preserve">1.12.3 </w:t>
      </w:r>
      <w:r>
        <w:rPr>
          <w:spacing w:val="-5"/>
          <w:lang w:eastAsia="zh-CN"/>
        </w:rPr>
        <w:t>项所列情形的，均视为细微偏差，</w:t>
      </w:r>
    </w:p>
    <w:p>
      <w:pPr>
        <w:pStyle w:val="7"/>
        <w:spacing w:before="68" w:line="290" w:lineRule="auto"/>
        <w:ind w:left="144" w:right="174"/>
        <w:rPr>
          <w:lang w:eastAsia="zh-CN"/>
        </w:rPr>
      </w:pPr>
      <w:r>
        <w:rPr>
          <w:lang w:eastAsia="zh-CN"/>
        </w:rPr>
        <w:t xml:space="preserve">评标委员会不得否决投标人的投标，应按照第二章“投标人须知”第 </w:t>
      </w:r>
      <w:r>
        <w:rPr>
          <w:rFonts w:ascii="Times New Roman" w:hAnsi="Times New Roman" w:eastAsia="Times New Roman"/>
          <w:lang w:eastAsia="zh-CN"/>
        </w:rPr>
        <w:t xml:space="preserve">1.12.4 </w:t>
      </w:r>
      <w:r>
        <w:rPr>
          <w:lang w:eastAsia="zh-CN"/>
        </w:rPr>
        <w:t>项规定的原则处理。</w:t>
      </w:r>
    </w:p>
    <w:p>
      <w:pPr>
        <w:pStyle w:val="38"/>
        <w:numPr>
          <w:ilvl w:val="1"/>
          <w:numId w:val="2"/>
        </w:numPr>
        <w:tabs>
          <w:tab w:val="left" w:pos="625"/>
        </w:tabs>
        <w:spacing w:before="184"/>
        <w:ind w:firstLineChars="0"/>
        <w:rPr>
          <w:rFonts w:ascii="黑体" w:eastAsia="黑体"/>
          <w:sz w:val="24"/>
        </w:rPr>
      </w:pPr>
      <w:bookmarkStart w:id="13" w:name="_bookmark107"/>
      <w:bookmarkEnd w:id="13"/>
      <w:r>
        <w:rPr>
          <w:rFonts w:hint="eastAsia" w:ascii="黑体" w:eastAsia="黑体"/>
          <w:sz w:val="24"/>
        </w:rPr>
        <w:t>评标结果</w:t>
      </w:r>
    </w:p>
    <w:p>
      <w:pPr>
        <w:pStyle w:val="7"/>
        <w:spacing w:before="12"/>
        <w:rPr>
          <w:rFonts w:ascii="黑体"/>
        </w:rPr>
      </w:pPr>
    </w:p>
    <w:p>
      <w:pPr>
        <w:pStyle w:val="38"/>
        <w:numPr>
          <w:ilvl w:val="2"/>
          <w:numId w:val="2"/>
        </w:numPr>
        <w:tabs>
          <w:tab w:val="left" w:pos="1225"/>
        </w:tabs>
        <w:spacing w:line="290" w:lineRule="auto"/>
        <w:ind w:left="144" w:right="225" w:firstLine="480" w:firstLineChars="0"/>
        <w:rPr>
          <w:sz w:val="24"/>
          <w:lang w:eastAsia="zh-CN"/>
        </w:rPr>
      </w:pPr>
      <w:r>
        <w:rPr>
          <w:sz w:val="24"/>
          <w:lang w:eastAsia="zh-CN"/>
        </w:rPr>
        <w:t>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5"/>
          <w:sz w:val="24"/>
          <w:lang w:eastAsia="zh-CN"/>
        </w:rPr>
        <w:t>前附表授权直接确定中标人外，评标委员会按照得分由高到低的顺序推荐中标候选人，并标明排序。</w:t>
      </w:r>
    </w:p>
    <w:p>
      <w:pPr>
        <w:pStyle w:val="7"/>
        <w:spacing w:line="339" w:lineRule="auto"/>
        <w:rPr>
          <w:sz w:val="20"/>
          <w:lang w:eastAsia="zh-CN"/>
        </w:rPr>
      </w:pPr>
      <w:r>
        <w:rPr>
          <w:lang w:eastAsia="zh-CN"/>
        </w:rPr>
        <w:t>评标委员会完成评标后，应向招标人提交书面评标报告。</w:t>
      </w:r>
    </w:p>
    <w:p>
      <w:pPr>
        <w:pStyle w:val="7"/>
        <w:spacing w:before="11"/>
        <w:rPr>
          <w:sz w:val="29"/>
          <w:lang w:eastAsia="zh-CN"/>
        </w:rPr>
      </w:pPr>
    </w:p>
    <w:p>
      <w:pPr>
        <w:rPr>
          <w:sz w:val="29"/>
          <w:lang w:eastAsia="zh-CN"/>
        </w:rPr>
        <w:sectPr>
          <w:footerReference r:id="rId5" w:type="default"/>
          <w:pgSz w:w="11911" w:h="16838"/>
          <w:pgMar w:top="1480" w:right="1276" w:bottom="1134" w:left="1678" w:header="720" w:footer="1117" w:gutter="0"/>
          <w:cols w:space="0" w:num="1"/>
        </w:sect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spacing w:line="276" w:lineRule="auto"/>
        <w:ind w:firstLine="228" w:firstLineChars="100"/>
        <w:rPr>
          <w:w w:val="95"/>
          <w:sz w:val="24"/>
          <w:szCs w:val="24"/>
          <w:lang w:eastAsia="zh-CN"/>
        </w:rPr>
      </w:pPr>
      <w:bookmarkStart w:id="14" w:name="_TOC_250002"/>
      <w:bookmarkEnd w:id="14"/>
      <w:bookmarkStart w:id="15" w:name="_TOC_250001"/>
      <w:bookmarkEnd w:id="15"/>
      <w:bookmarkStart w:id="16" w:name="_TOC_250000"/>
      <w:bookmarkEnd w:id="16"/>
    </w:p>
    <w:sectPr>
      <w:footerReference r:id="rId6" w:type="default"/>
      <w:pgSz w:w="11911" w:h="16838"/>
      <w:pgMar w:top="1480" w:right="1276" w:bottom="1134" w:left="1678" w:header="720" w:footer="111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103" o:spid="_x0000_s210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rPr>
        <w:sz w:val="12"/>
      </w:rPr>
      <w:pict>
        <v:shape id="_x0000_s2106" o:spid="_x0000_s210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60</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107" o:spid="_x0000_s210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pStyle w:val="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67</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124" o:spid="_x0000_s2124"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pPr>
                  <w:pStyle w:val="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163</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5F0"/>
    <w:multiLevelType w:val="multilevel"/>
    <w:tmpl w:val="0BAC05F0"/>
    <w:lvl w:ilvl="0" w:tentative="0">
      <w:start w:val="1"/>
      <w:numFmt w:val="decimal"/>
      <w:lvlText w:val="%1."/>
      <w:lvlJc w:val="left"/>
      <w:pPr>
        <w:ind w:left="542" w:hanging="423"/>
      </w:pPr>
      <w:rPr>
        <w:rFonts w:hint="default"/>
        <w:b/>
        <w:bCs/>
        <w:spacing w:val="0"/>
        <w:w w:val="99"/>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200" w:hanging="540"/>
      </w:pPr>
      <w:rPr>
        <w:rFonts w:hint="default"/>
      </w:rPr>
    </w:lvl>
    <w:lvl w:ilvl="4" w:tentative="0">
      <w:start w:val="0"/>
      <w:numFmt w:val="bullet"/>
      <w:lvlText w:val="•"/>
      <w:lvlJc w:val="left"/>
      <w:pPr>
        <w:ind w:left="2251" w:hanging="540"/>
      </w:pPr>
      <w:rPr>
        <w:rFonts w:hint="default"/>
      </w:rPr>
    </w:lvl>
    <w:lvl w:ilvl="5" w:tentative="0">
      <w:start w:val="0"/>
      <w:numFmt w:val="bullet"/>
      <w:lvlText w:val="•"/>
      <w:lvlJc w:val="left"/>
      <w:pPr>
        <w:ind w:left="3302" w:hanging="540"/>
      </w:pPr>
      <w:rPr>
        <w:rFonts w:hint="default"/>
      </w:rPr>
    </w:lvl>
    <w:lvl w:ilvl="6" w:tentative="0">
      <w:start w:val="0"/>
      <w:numFmt w:val="bullet"/>
      <w:lvlText w:val="•"/>
      <w:lvlJc w:val="left"/>
      <w:pPr>
        <w:ind w:left="4354" w:hanging="540"/>
      </w:pPr>
      <w:rPr>
        <w:rFonts w:hint="default"/>
      </w:rPr>
    </w:lvl>
    <w:lvl w:ilvl="7" w:tentative="0">
      <w:start w:val="0"/>
      <w:numFmt w:val="bullet"/>
      <w:lvlText w:val="•"/>
      <w:lvlJc w:val="left"/>
      <w:pPr>
        <w:ind w:left="5405" w:hanging="540"/>
      </w:pPr>
      <w:rPr>
        <w:rFonts w:hint="default"/>
      </w:rPr>
    </w:lvl>
    <w:lvl w:ilvl="8" w:tentative="0">
      <w:start w:val="0"/>
      <w:numFmt w:val="bullet"/>
      <w:lvlText w:val="•"/>
      <w:lvlJc w:val="left"/>
      <w:pPr>
        <w:ind w:left="6457" w:hanging="540"/>
      </w:pPr>
      <w:rPr>
        <w:rFonts w:hint="default"/>
      </w:rPr>
    </w:lvl>
  </w:abstractNum>
  <w:abstractNum w:abstractNumId="1">
    <w:nsid w:val="23854F68"/>
    <w:multiLevelType w:val="multilevel"/>
    <w:tmpl w:val="23854F68"/>
    <w:lvl w:ilvl="0" w:tentative="0">
      <w:start w:val="1"/>
      <w:numFmt w:val="decimal"/>
      <w:lvlText w:val="%1."/>
      <w:lvlJc w:val="left"/>
      <w:pPr>
        <w:ind w:left="824" w:hanging="420"/>
      </w:pPr>
      <w:rPr>
        <w:rFonts w:hint="default" w:ascii="Times New Roman" w:hAnsi="Times New Roman" w:eastAsia="Times New Roman" w:cs="Times New Roman"/>
        <w:spacing w:val="-118"/>
        <w:w w:val="100"/>
        <w:sz w:val="24"/>
        <w:szCs w:val="24"/>
      </w:rPr>
    </w:lvl>
    <w:lvl w:ilvl="1" w:tentative="0">
      <w:start w:val="0"/>
      <w:numFmt w:val="bullet"/>
      <w:lvlText w:val="•"/>
      <w:lvlJc w:val="left"/>
      <w:pPr>
        <w:ind w:left="1712" w:hanging="420"/>
      </w:pPr>
      <w:rPr>
        <w:rFonts w:hint="default"/>
      </w:rPr>
    </w:lvl>
    <w:lvl w:ilvl="2" w:tentative="0">
      <w:start w:val="0"/>
      <w:numFmt w:val="bullet"/>
      <w:lvlText w:val="•"/>
      <w:lvlJc w:val="left"/>
      <w:pPr>
        <w:ind w:left="2604" w:hanging="420"/>
      </w:pPr>
      <w:rPr>
        <w:rFonts w:hint="default"/>
      </w:rPr>
    </w:lvl>
    <w:lvl w:ilvl="3" w:tentative="0">
      <w:start w:val="0"/>
      <w:numFmt w:val="bullet"/>
      <w:lvlText w:val="•"/>
      <w:lvlJc w:val="left"/>
      <w:pPr>
        <w:ind w:left="3496" w:hanging="420"/>
      </w:pPr>
      <w:rPr>
        <w:rFonts w:hint="default"/>
      </w:rPr>
    </w:lvl>
    <w:lvl w:ilvl="4" w:tentative="0">
      <w:start w:val="0"/>
      <w:numFmt w:val="bullet"/>
      <w:lvlText w:val="•"/>
      <w:lvlJc w:val="left"/>
      <w:pPr>
        <w:ind w:left="4388" w:hanging="420"/>
      </w:pPr>
      <w:rPr>
        <w:rFonts w:hint="default"/>
      </w:rPr>
    </w:lvl>
    <w:lvl w:ilvl="5" w:tentative="0">
      <w:start w:val="0"/>
      <w:numFmt w:val="bullet"/>
      <w:lvlText w:val="•"/>
      <w:lvlJc w:val="left"/>
      <w:pPr>
        <w:ind w:left="5280" w:hanging="420"/>
      </w:pPr>
      <w:rPr>
        <w:rFonts w:hint="default"/>
      </w:rPr>
    </w:lvl>
    <w:lvl w:ilvl="6" w:tentative="0">
      <w:start w:val="0"/>
      <w:numFmt w:val="bullet"/>
      <w:lvlText w:val="•"/>
      <w:lvlJc w:val="left"/>
      <w:pPr>
        <w:ind w:left="6172" w:hanging="420"/>
      </w:pPr>
      <w:rPr>
        <w:rFonts w:hint="default"/>
      </w:rPr>
    </w:lvl>
    <w:lvl w:ilvl="7" w:tentative="0">
      <w:start w:val="0"/>
      <w:numFmt w:val="bullet"/>
      <w:lvlText w:val="•"/>
      <w:lvlJc w:val="left"/>
      <w:pPr>
        <w:ind w:left="7064" w:hanging="420"/>
      </w:pPr>
      <w:rPr>
        <w:rFonts w:hint="default"/>
      </w:rPr>
    </w:lvl>
    <w:lvl w:ilvl="8" w:tentative="0">
      <w:start w:val="0"/>
      <w:numFmt w:val="bullet"/>
      <w:lvlText w:val="•"/>
      <w:lvlJc w:val="left"/>
      <w:pPr>
        <w:ind w:left="7956"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C2785B"/>
    <w:rsid w:val="00000B3B"/>
    <w:rsid w:val="00000D7E"/>
    <w:rsid w:val="00000DD4"/>
    <w:rsid w:val="00001628"/>
    <w:rsid w:val="000027AF"/>
    <w:rsid w:val="00005EE8"/>
    <w:rsid w:val="000156DA"/>
    <w:rsid w:val="000170D9"/>
    <w:rsid w:val="00033820"/>
    <w:rsid w:val="00043916"/>
    <w:rsid w:val="00046332"/>
    <w:rsid w:val="00046DE1"/>
    <w:rsid w:val="00052BCD"/>
    <w:rsid w:val="00052FE4"/>
    <w:rsid w:val="00055CD8"/>
    <w:rsid w:val="00056174"/>
    <w:rsid w:val="00066C0A"/>
    <w:rsid w:val="00071EA9"/>
    <w:rsid w:val="0008655D"/>
    <w:rsid w:val="0008797B"/>
    <w:rsid w:val="000B42A6"/>
    <w:rsid w:val="000B4A0B"/>
    <w:rsid w:val="000D7FAB"/>
    <w:rsid w:val="000E40DC"/>
    <w:rsid w:val="000E737F"/>
    <w:rsid w:val="000F486A"/>
    <w:rsid w:val="00120A0F"/>
    <w:rsid w:val="00121B8A"/>
    <w:rsid w:val="00130841"/>
    <w:rsid w:val="00132E65"/>
    <w:rsid w:val="00140E69"/>
    <w:rsid w:val="0014126B"/>
    <w:rsid w:val="00153972"/>
    <w:rsid w:val="00155276"/>
    <w:rsid w:val="00157A83"/>
    <w:rsid w:val="001620E5"/>
    <w:rsid w:val="00192F45"/>
    <w:rsid w:val="001971D0"/>
    <w:rsid w:val="001A3B39"/>
    <w:rsid w:val="001A4234"/>
    <w:rsid w:val="001B482B"/>
    <w:rsid w:val="001B5610"/>
    <w:rsid w:val="001C0C59"/>
    <w:rsid w:val="001C3E8F"/>
    <w:rsid w:val="001D52F5"/>
    <w:rsid w:val="001D563E"/>
    <w:rsid w:val="001E0A80"/>
    <w:rsid w:val="001F52D4"/>
    <w:rsid w:val="0020365E"/>
    <w:rsid w:val="00241AA7"/>
    <w:rsid w:val="0025078B"/>
    <w:rsid w:val="002508C7"/>
    <w:rsid w:val="00253DD1"/>
    <w:rsid w:val="00253FBE"/>
    <w:rsid w:val="00254D1C"/>
    <w:rsid w:val="00264A07"/>
    <w:rsid w:val="00270DCE"/>
    <w:rsid w:val="00272E51"/>
    <w:rsid w:val="00275D3E"/>
    <w:rsid w:val="002769C2"/>
    <w:rsid w:val="00277147"/>
    <w:rsid w:val="0029177A"/>
    <w:rsid w:val="0029182E"/>
    <w:rsid w:val="00292120"/>
    <w:rsid w:val="002A5B67"/>
    <w:rsid w:val="002A61B9"/>
    <w:rsid w:val="002B1FAF"/>
    <w:rsid w:val="002B4DF2"/>
    <w:rsid w:val="002C3A88"/>
    <w:rsid w:val="002C4892"/>
    <w:rsid w:val="002D173F"/>
    <w:rsid w:val="002D26B8"/>
    <w:rsid w:val="002D4FF3"/>
    <w:rsid w:val="002E3FD7"/>
    <w:rsid w:val="002F3A64"/>
    <w:rsid w:val="00300849"/>
    <w:rsid w:val="003075F2"/>
    <w:rsid w:val="0031240A"/>
    <w:rsid w:val="003148F8"/>
    <w:rsid w:val="00325128"/>
    <w:rsid w:val="00354AE7"/>
    <w:rsid w:val="0035786C"/>
    <w:rsid w:val="00375C76"/>
    <w:rsid w:val="00375F02"/>
    <w:rsid w:val="00380C0D"/>
    <w:rsid w:val="00383BDA"/>
    <w:rsid w:val="00384C05"/>
    <w:rsid w:val="00386CA9"/>
    <w:rsid w:val="00392AED"/>
    <w:rsid w:val="00393DA0"/>
    <w:rsid w:val="003A11E1"/>
    <w:rsid w:val="003A313D"/>
    <w:rsid w:val="003B05D4"/>
    <w:rsid w:val="003B74C7"/>
    <w:rsid w:val="003C3958"/>
    <w:rsid w:val="003E07C4"/>
    <w:rsid w:val="003E0DDB"/>
    <w:rsid w:val="003E23D9"/>
    <w:rsid w:val="003E4399"/>
    <w:rsid w:val="003E44A7"/>
    <w:rsid w:val="003E4B5F"/>
    <w:rsid w:val="003F15F9"/>
    <w:rsid w:val="003F3858"/>
    <w:rsid w:val="003F542F"/>
    <w:rsid w:val="0040576C"/>
    <w:rsid w:val="00410A98"/>
    <w:rsid w:val="00412640"/>
    <w:rsid w:val="0041617C"/>
    <w:rsid w:val="00425C24"/>
    <w:rsid w:val="00435752"/>
    <w:rsid w:val="004406DE"/>
    <w:rsid w:val="00455A7B"/>
    <w:rsid w:val="00467532"/>
    <w:rsid w:val="004762E5"/>
    <w:rsid w:val="00484635"/>
    <w:rsid w:val="004862E2"/>
    <w:rsid w:val="004965E0"/>
    <w:rsid w:val="004A17FF"/>
    <w:rsid w:val="004A4804"/>
    <w:rsid w:val="004A7C62"/>
    <w:rsid w:val="004C54FC"/>
    <w:rsid w:val="004D4FAD"/>
    <w:rsid w:val="004E19E4"/>
    <w:rsid w:val="004E39BF"/>
    <w:rsid w:val="004E4535"/>
    <w:rsid w:val="004F19EF"/>
    <w:rsid w:val="004F52EB"/>
    <w:rsid w:val="004F6705"/>
    <w:rsid w:val="00511499"/>
    <w:rsid w:val="005121F5"/>
    <w:rsid w:val="0051317E"/>
    <w:rsid w:val="005139E9"/>
    <w:rsid w:val="00530E67"/>
    <w:rsid w:val="005311B5"/>
    <w:rsid w:val="00541A04"/>
    <w:rsid w:val="00544A4B"/>
    <w:rsid w:val="005521ED"/>
    <w:rsid w:val="00555F75"/>
    <w:rsid w:val="00560CB3"/>
    <w:rsid w:val="00570482"/>
    <w:rsid w:val="00580B4D"/>
    <w:rsid w:val="00597681"/>
    <w:rsid w:val="005A08F8"/>
    <w:rsid w:val="005A1946"/>
    <w:rsid w:val="005A5BB6"/>
    <w:rsid w:val="005B0508"/>
    <w:rsid w:val="005B7B78"/>
    <w:rsid w:val="005C42AB"/>
    <w:rsid w:val="005F01E1"/>
    <w:rsid w:val="005F1DA2"/>
    <w:rsid w:val="005F4575"/>
    <w:rsid w:val="005F718A"/>
    <w:rsid w:val="005F71BD"/>
    <w:rsid w:val="00601899"/>
    <w:rsid w:val="00604861"/>
    <w:rsid w:val="0060595A"/>
    <w:rsid w:val="0061284C"/>
    <w:rsid w:val="00614FD2"/>
    <w:rsid w:val="006178EB"/>
    <w:rsid w:val="00630330"/>
    <w:rsid w:val="00634006"/>
    <w:rsid w:val="00637113"/>
    <w:rsid w:val="0065073D"/>
    <w:rsid w:val="00650F63"/>
    <w:rsid w:val="00651C30"/>
    <w:rsid w:val="00655EC8"/>
    <w:rsid w:val="00656CDE"/>
    <w:rsid w:val="0066410A"/>
    <w:rsid w:val="0067027C"/>
    <w:rsid w:val="00670366"/>
    <w:rsid w:val="00676A2C"/>
    <w:rsid w:val="00683789"/>
    <w:rsid w:val="00685A69"/>
    <w:rsid w:val="006948F3"/>
    <w:rsid w:val="006A4474"/>
    <w:rsid w:val="006A4CC8"/>
    <w:rsid w:val="006B1236"/>
    <w:rsid w:val="006B19FF"/>
    <w:rsid w:val="006B3990"/>
    <w:rsid w:val="006C216D"/>
    <w:rsid w:val="006C4B71"/>
    <w:rsid w:val="006D027C"/>
    <w:rsid w:val="006D1700"/>
    <w:rsid w:val="006E13B1"/>
    <w:rsid w:val="006E35C9"/>
    <w:rsid w:val="006E45E6"/>
    <w:rsid w:val="007152B1"/>
    <w:rsid w:val="00721866"/>
    <w:rsid w:val="007226AD"/>
    <w:rsid w:val="0072590A"/>
    <w:rsid w:val="0073035B"/>
    <w:rsid w:val="007432FB"/>
    <w:rsid w:val="00750AB1"/>
    <w:rsid w:val="007527D7"/>
    <w:rsid w:val="00753184"/>
    <w:rsid w:val="007564D3"/>
    <w:rsid w:val="00764D2D"/>
    <w:rsid w:val="007804A0"/>
    <w:rsid w:val="00780C60"/>
    <w:rsid w:val="007842DF"/>
    <w:rsid w:val="00793148"/>
    <w:rsid w:val="00794AB9"/>
    <w:rsid w:val="00797EBF"/>
    <w:rsid w:val="007B0B6B"/>
    <w:rsid w:val="007B285E"/>
    <w:rsid w:val="007B55F1"/>
    <w:rsid w:val="007B6E31"/>
    <w:rsid w:val="007C1461"/>
    <w:rsid w:val="007D2D7F"/>
    <w:rsid w:val="007D555C"/>
    <w:rsid w:val="007E0EC9"/>
    <w:rsid w:val="007E6722"/>
    <w:rsid w:val="007E7DE6"/>
    <w:rsid w:val="007F5F13"/>
    <w:rsid w:val="007F7609"/>
    <w:rsid w:val="007F7FE2"/>
    <w:rsid w:val="00805CC9"/>
    <w:rsid w:val="008076A0"/>
    <w:rsid w:val="00811834"/>
    <w:rsid w:val="00811E84"/>
    <w:rsid w:val="00814DC3"/>
    <w:rsid w:val="00821529"/>
    <w:rsid w:val="008227B3"/>
    <w:rsid w:val="00827AFF"/>
    <w:rsid w:val="00835B17"/>
    <w:rsid w:val="00835BE6"/>
    <w:rsid w:val="0084200D"/>
    <w:rsid w:val="008469DC"/>
    <w:rsid w:val="00846DAB"/>
    <w:rsid w:val="00850E2A"/>
    <w:rsid w:val="00855E3A"/>
    <w:rsid w:val="0085756F"/>
    <w:rsid w:val="00861FD3"/>
    <w:rsid w:val="0086363F"/>
    <w:rsid w:val="008652D9"/>
    <w:rsid w:val="00866C8F"/>
    <w:rsid w:val="008C6FE4"/>
    <w:rsid w:val="008D1416"/>
    <w:rsid w:val="008D4681"/>
    <w:rsid w:val="008D5C37"/>
    <w:rsid w:val="008D7D2E"/>
    <w:rsid w:val="008F2622"/>
    <w:rsid w:val="008F313C"/>
    <w:rsid w:val="008F65C1"/>
    <w:rsid w:val="00906809"/>
    <w:rsid w:val="00911302"/>
    <w:rsid w:val="00914D30"/>
    <w:rsid w:val="009378F4"/>
    <w:rsid w:val="0094383F"/>
    <w:rsid w:val="009447D8"/>
    <w:rsid w:val="00986F67"/>
    <w:rsid w:val="00990816"/>
    <w:rsid w:val="009942B0"/>
    <w:rsid w:val="009B4F2D"/>
    <w:rsid w:val="009B78E1"/>
    <w:rsid w:val="009C1209"/>
    <w:rsid w:val="009C14A2"/>
    <w:rsid w:val="009C4358"/>
    <w:rsid w:val="009D274F"/>
    <w:rsid w:val="009D5029"/>
    <w:rsid w:val="009D6384"/>
    <w:rsid w:val="009E33FF"/>
    <w:rsid w:val="009F4AC1"/>
    <w:rsid w:val="009F61D7"/>
    <w:rsid w:val="00A00343"/>
    <w:rsid w:val="00A018EF"/>
    <w:rsid w:val="00A06C45"/>
    <w:rsid w:val="00A10273"/>
    <w:rsid w:val="00A24CE7"/>
    <w:rsid w:val="00A42B7B"/>
    <w:rsid w:val="00A46CBA"/>
    <w:rsid w:val="00A556EA"/>
    <w:rsid w:val="00A62B52"/>
    <w:rsid w:val="00A774AD"/>
    <w:rsid w:val="00A871D1"/>
    <w:rsid w:val="00A87A1D"/>
    <w:rsid w:val="00AB3CE1"/>
    <w:rsid w:val="00AB3EE8"/>
    <w:rsid w:val="00AB5EE4"/>
    <w:rsid w:val="00AE27C9"/>
    <w:rsid w:val="00AE2EA6"/>
    <w:rsid w:val="00AE6DA3"/>
    <w:rsid w:val="00AF2BD1"/>
    <w:rsid w:val="00AF2D22"/>
    <w:rsid w:val="00AF36A2"/>
    <w:rsid w:val="00B0292B"/>
    <w:rsid w:val="00B060D2"/>
    <w:rsid w:val="00B12B0F"/>
    <w:rsid w:val="00B12D8E"/>
    <w:rsid w:val="00B12EAB"/>
    <w:rsid w:val="00B137D3"/>
    <w:rsid w:val="00B155B7"/>
    <w:rsid w:val="00B27B4A"/>
    <w:rsid w:val="00B36BBD"/>
    <w:rsid w:val="00B43AEE"/>
    <w:rsid w:val="00B46A09"/>
    <w:rsid w:val="00B4784B"/>
    <w:rsid w:val="00B4798C"/>
    <w:rsid w:val="00B547F8"/>
    <w:rsid w:val="00B55429"/>
    <w:rsid w:val="00B64654"/>
    <w:rsid w:val="00B67224"/>
    <w:rsid w:val="00B72945"/>
    <w:rsid w:val="00B860AF"/>
    <w:rsid w:val="00B905BA"/>
    <w:rsid w:val="00B930C0"/>
    <w:rsid w:val="00BA22F3"/>
    <w:rsid w:val="00BB0956"/>
    <w:rsid w:val="00BB179E"/>
    <w:rsid w:val="00BB2D25"/>
    <w:rsid w:val="00BB4030"/>
    <w:rsid w:val="00BB4B8D"/>
    <w:rsid w:val="00BC2F19"/>
    <w:rsid w:val="00BC4C0B"/>
    <w:rsid w:val="00BD53A6"/>
    <w:rsid w:val="00BE1D59"/>
    <w:rsid w:val="00BE5581"/>
    <w:rsid w:val="00BE5E05"/>
    <w:rsid w:val="00BE6C5A"/>
    <w:rsid w:val="00C019D3"/>
    <w:rsid w:val="00C0654F"/>
    <w:rsid w:val="00C078F5"/>
    <w:rsid w:val="00C1410E"/>
    <w:rsid w:val="00C2785B"/>
    <w:rsid w:val="00C36D82"/>
    <w:rsid w:val="00C463DC"/>
    <w:rsid w:val="00C5115F"/>
    <w:rsid w:val="00C518EA"/>
    <w:rsid w:val="00C52723"/>
    <w:rsid w:val="00C6331F"/>
    <w:rsid w:val="00C71E55"/>
    <w:rsid w:val="00C721EA"/>
    <w:rsid w:val="00CA6DBB"/>
    <w:rsid w:val="00CB3961"/>
    <w:rsid w:val="00CB6C7B"/>
    <w:rsid w:val="00CC5FB4"/>
    <w:rsid w:val="00CE1A90"/>
    <w:rsid w:val="00CF0880"/>
    <w:rsid w:val="00CF19CE"/>
    <w:rsid w:val="00CF570C"/>
    <w:rsid w:val="00D139CC"/>
    <w:rsid w:val="00D17ADE"/>
    <w:rsid w:val="00D24072"/>
    <w:rsid w:val="00D24FA3"/>
    <w:rsid w:val="00D31A68"/>
    <w:rsid w:val="00D349D3"/>
    <w:rsid w:val="00D369A6"/>
    <w:rsid w:val="00D572D8"/>
    <w:rsid w:val="00D85F38"/>
    <w:rsid w:val="00D868DB"/>
    <w:rsid w:val="00D903C4"/>
    <w:rsid w:val="00D90C53"/>
    <w:rsid w:val="00D90DD7"/>
    <w:rsid w:val="00D913C8"/>
    <w:rsid w:val="00DA2B58"/>
    <w:rsid w:val="00DA4AD0"/>
    <w:rsid w:val="00DA55A9"/>
    <w:rsid w:val="00DB2BA3"/>
    <w:rsid w:val="00DB46D9"/>
    <w:rsid w:val="00DB5FBE"/>
    <w:rsid w:val="00DB63D7"/>
    <w:rsid w:val="00DB67BC"/>
    <w:rsid w:val="00DB6EAC"/>
    <w:rsid w:val="00DB78E4"/>
    <w:rsid w:val="00DC3BE7"/>
    <w:rsid w:val="00DD0C0D"/>
    <w:rsid w:val="00DE7819"/>
    <w:rsid w:val="00DF5CCB"/>
    <w:rsid w:val="00E173C8"/>
    <w:rsid w:val="00E201B8"/>
    <w:rsid w:val="00E30CBB"/>
    <w:rsid w:val="00E31BC4"/>
    <w:rsid w:val="00E36986"/>
    <w:rsid w:val="00E438A9"/>
    <w:rsid w:val="00E45FBD"/>
    <w:rsid w:val="00E52EF6"/>
    <w:rsid w:val="00E60462"/>
    <w:rsid w:val="00E65DC1"/>
    <w:rsid w:val="00E66A8C"/>
    <w:rsid w:val="00E90009"/>
    <w:rsid w:val="00E95D5F"/>
    <w:rsid w:val="00EB4CB5"/>
    <w:rsid w:val="00EB4F9A"/>
    <w:rsid w:val="00EC5B6A"/>
    <w:rsid w:val="00EE7291"/>
    <w:rsid w:val="00F02475"/>
    <w:rsid w:val="00F06C7F"/>
    <w:rsid w:val="00F129B6"/>
    <w:rsid w:val="00F2034B"/>
    <w:rsid w:val="00F20D06"/>
    <w:rsid w:val="00F277F6"/>
    <w:rsid w:val="00F3304C"/>
    <w:rsid w:val="00F46257"/>
    <w:rsid w:val="00F7016B"/>
    <w:rsid w:val="00F84A51"/>
    <w:rsid w:val="00F911F4"/>
    <w:rsid w:val="00F92F03"/>
    <w:rsid w:val="00F948E4"/>
    <w:rsid w:val="00FB23F7"/>
    <w:rsid w:val="00FC3705"/>
    <w:rsid w:val="00FE17EA"/>
    <w:rsid w:val="00FE6011"/>
    <w:rsid w:val="00FF140B"/>
    <w:rsid w:val="00FF6F4A"/>
    <w:rsid w:val="027B7AAD"/>
    <w:rsid w:val="059E4CF4"/>
    <w:rsid w:val="09766BEB"/>
    <w:rsid w:val="0DCA3E3F"/>
    <w:rsid w:val="0E552361"/>
    <w:rsid w:val="0F3E3488"/>
    <w:rsid w:val="149413C1"/>
    <w:rsid w:val="174B687D"/>
    <w:rsid w:val="214A7A5E"/>
    <w:rsid w:val="260F4DC6"/>
    <w:rsid w:val="2B285827"/>
    <w:rsid w:val="2BE966AA"/>
    <w:rsid w:val="2C974109"/>
    <w:rsid w:val="2CB57885"/>
    <w:rsid w:val="3380169D"/>
    <w:rsid w:val="3DAF2AAF"/>
    <w:rsid w:val="3E6F6A2A"/>
    <w:rsid w:val="3EEF0008"/>
    <w:rsid w:val="3F1202AC"/>
    <w:rsid w:val="414A4760"/>
    <w:rsid w:val="488427BD"/>
    <w:rsid w:val="4AF37407"/>
    <w:rsid w:val="4C5B7010"/>
    <w:rsid w:val="4E0B2EC4"/>
    <w:rsid w:val="536B7A56"/>
    <w:rsid w:val="5376701B"/>
    <w:rsid w:val="56AB1C42"/>
    <w:rsid w:val="5F291213"/>
    <w:rsid w:val="609463CF"/>
    <w:rsid w:val="65BA3D27"/>
    <w:rsid w:val="6C0955A0"/>
    <w:rsid w:val="6E700A3A"/>
    <w:rsid w:val="6F856FBF"/>
    <w:rsid w:val="738836F4"/>
    <w:rsid w:val="77E44042"/>
    <w:rsid w:val="7BEA0EF8"/>
    <w:rsid w:val="7FB76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unhideWhenUsed/>
    <w:qFormat/>
    <w:uiPriority w:val="9"/>
    <w:pPr>
      <w:keepNext/>
      <w:keepLines/>
      <w:spacing w:before="260" w:after="260" w:line="416" w:lineRule="auto"/>
      <w:jc w:val="center"/>
      <w:outlineLvl w:val="1"/>
    </w:pPr>
    <w:rPr>
      <w:rFonts w:asciiTheme="majorHAnsi" w:hAnsiTheme="majorHAnsi" w:eastAsiaTheme="majorEastAsia" w:cstheme="majorBidi"/>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6"/>
    <w:unhideWhenUsed/>
    <w:qFormat/>
    <w:uiPriority w:val="99"/>
    <w:rPr>
      <w:sz w:val="18"/>
      <w:szCs w:val="18"/>
    </w:rPr>
  </w:style>
  <w:style w:type="paragraph" w:styleId="6">
    <w:name w:val="annotation text"/>
    <w:basedOn w:val="1"/>
    <w:link w:val="40"/>
    <w:semiHidden/>
    <w:unhideWhenUsed/>
    <w:qFormat/>
    <w:uiPriority w:val="99"/>
  </w:style>
  <w:style w:type="paragraph" w:styleId="7">
    <w:name w:val="Body Text"/>
    <w:basedOn w:val="1"/>
    <w:qFormat/>
    <w:uiPriority w:val="1"/>
    <w:rPr>
      <w:sz w:val="24"/>
      <w:szCs w:val="24"/>
    </w:rPr>
  </w:style>
  <w:style w:type="paragraph" w:styleId="8">
    <w:name w:val="Balloon Text"/>
    <w:basedOn w:val="1"/>
    <w:link w:val="35"/>
    <w:unhideWhenUsed/>
    <w:qFormat/>
    <w:uiPriority w:val="99"/>
    <w:rPr>
      <w:sz w:val="18"/>
      <w:szCs w:val="18"/>
    </w:rPr>
  </w:style>
  <w:style w:type="paragraph" w:styleId="9">
    <w:name w:val="footer"/>
    <w:basedOn w:val="1"/>
    <w:link w:val="34"/>
    <w:unhideWhenUsed/>
    <w:qFormat/>
    <w:uiPriority w:val="99"/>
    <w:pPr>
      <w:tabs>
        <w:tab w:val="center" w:pos="4153"/>
        <w:tab w:val="right" w:pos="8306"/>
      </w:tabs>
      <w:snapToGrid w:val="0"/>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Autospacing="1" w:after="100" w:afterAutospacing="1"/>
    </w:pPr>
    <w:rPr>
      <w:sz w:val="24"/>
    </w:rPr>
  </w:style>
  <w:style w:type="paragraph" w:styleId="13">
    <w:name w:val="annotation subject"/>
    <w:basedOn w:val="6"/>
    <w:next w:val="6"/>
    <w:link w:val="41"/>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auto"/>
      <w:u w:val="single"/>
    </w:rPr>
  </w:style>
  <w:style w:type="character" w:styleId="18">
    <w:name w:val="annotation reference"/>
    <w:basedOn w:val="16"/>
    <w:semiHidden/>
    <w:unhideWhenUsed/>
    <w:qFormat/>
    <w:uiPriority w:val="99"/>
    <w:rPr>
      <w:sz w:val="21"/>
      <w:szCs w:val="21"/>
    </w:rPr>
  </w:style>
  <w:style w:type="table" w:customStyle="1" w:styleId="19">
    <w:name w:val="Table Normal"/>
    <w:unhideWhenUsed/>
    <w:qFormat/>
    <w:uiPriority w:val="2"/>
    <w:tblPr>
      <w:tblCellMar>
        <w:top w:w="0" w:type="dxa"/>
        <w:left w:w="0" w:type="dxa"/>
        <w:bottom w:w="0" w:type="dxa"/>
        <w:right w:w="0" w:type="dxa"/>
      </w:tblCellMar>
    </w:tblPr>
  </w:style>
  <w:style w:type="paragraph" w:customStyle="1" w:styleId="20">
    <w:name w:val="TOC 1"/>
    <w:basedOn w:val="1"/>
    <w:qFormat/>
    <w:uiPriority w:val="1"/>
    <w:pPr>
      <w:spacing w:before="329"/>
      <w:ind w:right="420"/>
      <w:jc w:val="center"/>
    </w:pPr>
    <w:rPr>
      <w:b/>
      <w:bCs/>
      <w:sz w:val="30"/>
      <w:szCs w:val="30"/>
    </w:rPr>
  </w:style>
  <w:style w:type="paragraph" w:customStyle="1" w:styleId="21">
    <w:name w:val="TOC 2"/>
    <w:basedOn w:val="1"/>
    <w:qFormat/>
    <w:uiPriority w:val="1"/>
    <w:pPr>
      <w:spacing w:before="229"/>
      <w:ind w:left="360"/>
    </w:pPr>
    <w:rPr>
      <w:sz w:val="24"/>
      <w:szCs w:val="24"/>
    </w:rPr>
  </w:style>
  <w:style w:type="paragraph" w:customStyle="1" w:styleId="22">
    <w:name w:val="Heading 1"/>
    <w:basedOn w:val="1"/>
    <w:qFormat/>
    <w:uiPriority w:val="1"/>
    <w:pPr>
      <w:spacing w:line="540" w:lineRule="exact"/>
      <w:outlineLvl w:val="1"/>
    </w:pPr>
    <w:rPr>
      <w:b/>
      <w:bCs/>
      <w:sz w:val="44"/>
      <w:szCs w:val="44"/>
    </w:rPr>
  </w:style>
  <w:style w:type="paragraph" w:customStyle="1" w:styleId="23">
    <w:name w:val="Heading 2"/>
    <w:basedOn w:val="1"/>
    <w:qFormat/>
    <w:uiPriority w:val="1"/>
    <w:pPr>
      <w:spacing w:line="510" w:lineRule="exact"/>
      <w:outlineLvl w:val="2"/>
    </w:pPr>
    <w:rPr>
      <w:sz w:val="41"/>
      <w:szCs w:val="41"/>
    </w:rPr>
  </w:style>
  <w:style w:type="paragraph" w:customStyle="1" w:styleId="24">
    <w:name w:val="Heading 3"/>
    <w:basedOn w:val="1"/>
    <w:qFormat/>
    <w:uiPriority w:val="1"/>
    <w:pPr>
      <w:ind w:left="120"/>
      <w:outlineLvl w:val="3"/>
    </w:pPr>
    <w:rPr>
      <w:b/>
      <w:bCs/>
      <w:sz w:val="32"/>
      <w:szCs w:val="32"/>
    </w:rPr>
  </w:style>
  <w:style w:type="paragraph" w:customStyle="1" w:styleId="25">
    <w:name w:val="Heading 4"/>
    <w:basedOn w:val="1"/>
    <w:qFormat/>
    <w:uiPriority w:val="1"/>
    <w:pPr>
      <w:spacing w:before="1"/>
      <w:outlineLvl w:val="4"/>
    </w:pPr>
    <w:rPr>
      <w:sz w:val="32"/>
      <w:szCs w:val="32"/>
    </w:rPr>
  </w:style>
  <w:style w:type="paragraph" w:customStyle="1" w:styleId="26">
    <w:name w:val="Heading 5"/>
    <w:basedOn w:val="1"/>
    <w:qFormat/>
    <w:uiPriority w:val="1"/>
    <w:pPr>
      <w:outlineLvl w:val="5"/>
    </w:pPr>
    <w:rPr>
      <w:rFonts w:ascii="黑体" w:hAnsi="黑体" w:eastAsia="黑体" w:cs="黑体"/>
      <w:sz w:val="30"/>
      <w:szCs w:val="30"/>
    </w:rPr>
  </w:style>
  <w:style w:type="paragraph" w:customStyle="1" w:styleId="27">
    <w:name w:val="Heading 6"/>
    <w:basedOn w:val="1"/>
    <w:qFormat/>
    <w:uiPriority w:val="1"/>
    <w:pPr>
      <w:outlineLvl w:val="6"/>
    </w:pPr>
    <w:rPr>
      <w:b/>
      <w:bCs/>
      <w:sz w:val="28"/>
      <w:szCs w:val="28"/>
    </w:rPr>
  </w:style>
  <w:style w:type="paragraph" w:customStyle="1" w:styleId="28">
    <w:name w:val="Heading 7"/>
    <w:basedOn w:val="1"/>
    <w:qFormat/>
    <w:uiPriority w:val="1"/>
    <w:pPr>
      <w:ind w:left="609"/>
      <w:outlineLvl w:val="7"/>
    </w:pPr>
    <w:rPr>
      <w:sz w:val="28"/>
      <w:szCs w:val="28"/>
    </w:rPr>
  </w:style>
  <w:style w:type="paragraph" w:customStyle="1" w:styleId="29">
    <w:name w:val="Heading 8"/>
    <w:basedOn w:val="1"/>
    <w:qFormat/>
    <w:uiPriority w:val="1"/>
    <w:pPr>
      <w:spacing w:before="43"/>
      <w:outlineLvl w:val="8"/>
    </w:pPr>
    <w:rPr>
      <w:b/>
      <w:bCs/>
      <w:sz w:val="27"/>
      <w:szCs w:val="27"/>
    </w:rPr>
  </w:style>
  <w:style w:type="paragraph" w:customStyle="1" w:styleId="30">
    <w:name w:val="Heading 9"/>
    <w:basedOn w:val="1"/>
    <w:qFormat/>
    <w:uiPriority w:val="1"/>
    <w:pPr>
      <w:ind w:left="120"/>
    </w:pPr>
    <w:rPr>
      <w:b/>
      <w:bCs/>
      <w:sz w:val="24"/>
      <w:szCs w:val="24"/>
    </w:rPr>
  </w:style>
  <w:style w:type="paragraph" w:customStyle="1" w:styleId="31">
    <w:name w:val="列出段落1"/>
    <w:basedOn w:val="1"/>
    <w:qFormat/>
    <w:uiPriority w:val="99"/>
    <w:pPr>
      <w:spacing w:before="31"/>
      <w:ind w:left="120" w:firstLine="480"/>
    </w:pPr>
  </w:style>
  <w:style w:type="paragraph" w:customStyle="1" w:styleId="32">
    <w:name w:val="Table Paragraph"/>
    <w:basedOn w:val="1"/>
    <w:qFormat/>
    <w:uiPriority w:val="1"/>
  </w:style>
  <w:style w:type="character" w:customStyle="1" w:styleId="33">
    <w:name w:val="页眉 Char"/>
    <w:basedOn w:val="16"/>
    <w:link w:val="10"/>
    <w:semiHidden/>
    <w:qFormat/>
    <w:uiPriority w:val="99"/>
    <w:rPr>
      <w:rFonts w:ascii="宋体" w:hAnsi="宋体" w:eastAsia="宋体" w:cs="宋体"/>
      <w:sz w:val="18"/>
      <w:szCs w:val="18"/>
    </w:rPr>
  </w:style>
  <w:style w:type="character" w:customStyle="1" w:styleId="34">
    <w:name w:val="页脚 Char"/>
    <w:basedOn w:val="16"/>
    <w:link w:val="9"/>
    <w:semiHidden/>
    <w:qFormat/>
    <w:uiPriority w:val="99"/>
    <w:rPr>
      <w:rFonts w:ascii="宋体" w:hAnsi="宋体" w:eastAsia="宋体" w:cs="宋体"/>
      <w:sz w:val="18"/>
      <w:szCs w:val="18"/>
    </w:rPr>
  </w:style>
  <w:style w:type="character" w:customStyle="1" w:styleId="35">
    <w:name w:val="批注框文本 Char"/>
    <w:basedOn w:val="16"/>
    <w:link w:val="8"/>
    <w:semiHidden/>
    <w:qFormat/>
    <w:uiPriority w:val="99"/>
    <w:rPr>
      <w:rFonts w:ascii="宋体" w:hAnsi="宋体" w:eastAsia="宋体" w:cs="宋体"/>
      <w:sz w:val="18"/>
      <w:szCs w:val="18"/>
    </w:rPr>
  </w:style>
  <w:style w:type="character" w:customStyle="1" w:styleId="36">
    <w:name w:val="文档结构图 Char"/>
    <w:basedOn w:val="16"/>
    <w:link w:val="5"/>
    <w:semiHidden/>
    <w:qFormat/>
    <w:uiPriority w:val="99"/>
    <w:rPr>
      <w:rFonts w:ascii="宋体" w:hAnsi="宋体" w:eastAsia="宋体" w:cs="宋体"/>
      <w:sz w:val="18"/>
      <w:szCs w:val="18"/>
    </w:rPr>
  </w:style>
  <w:style w:type="character" w:customStyle="1" w:styleId="37">
    <w:name w:val="标题 1 Char"/>
    <w:basedOn w:val="16"/>
    <w:link w:val="2"/>
    <w:qFormat/>
    <w:uiPriority w:val="9"/>
    <w:rPr>
      <w:rFonts w:ascii="宋体" w:hAnsi="宋体" w:cs="宋体"/>
      <w:b/>
      <w:bCs/>
      <w:kern w:val="44"/>
      <w:sz w:val="44"/>
      <w:szCs w:val="44"/>
      <w:lang w:eastAsia="en-US"/>
    </w:rPr>
  </w:style>
  <w:style w:type="paragraph" w:styleId="38">
    <w:name w:val="List Paragraph"/>
    <w:basedOn w:val="1"/>
    <w:unhideWhenUsed/>
    <w:qFormat/>
    <w:uiPriority w:val="1"/>
    <w:pPr>
      <w:ind w:firstLine="420" w:firstLineChars="200"/>
    </w:pPr>
  </w:style>
  <w:style w:type="table" w:customStyle="1" w:styleId="39">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0">
    <w:name w:val="批注文字 Char"/>
    <w:basedOn w:val="16"/>
    <w:link w:val="6"/>
    <w:semiHidden/>
    <w:qFormat/>
    <w:uiPriority w:val="99"/>
    <w:rPr>
      <w:rFonts w:ascii="宋体" w:hAnsi="宋体" w:cs="宋体"/>
      <w:sz w:val="22"/>
      <w:szCs w:val="22"/>
      <w:lang w:eastAsia="en-US"/>
    </w:rPr>
  </w:style>
  <w:style w:type="character" w:customStyle="1" w:styleId="41">
    <w:name w:val="批注主题 Char"/>
    <w:basedOn w:val="40"/>
    <w:link w:val="13"/>
    <w:semiHidden/>
    <w:qFormat/>
    <w:uiPriority w:val="99"/>
    <w:rPr>
      <w:b/>
      <w:bCs/>
    </w:rPr>
  </w:style>
  <w:style w:type="character" w:customStyle="1" w:styleId="42">
    <w:name w:val="标题 2 Char"/>
    <w:basedOn w:val="16"/>
    <w:link w:val="3"/>
    <w:qFormat/>
    <w:uiPriority w:val="9"/>
    <w:rPr>
      <w:rFonts w:asciiTheme="majorHAnsi" w:hAnsiTheme="majorHAnsi" w:eastAsiaTheme="majorEastAsia" w:cstheme="majorBidi"/>
      <w:bCs/>
      <w:sz w:val="32"/>
      <w:szCs w:val="32"/>
      <w:lang w:eastAsia="en-US"/>
    </w:rPr>
  </w:style>
  <w:style w:type="character" w:customStyle="1" w:styleId="43">
    <w:name w:val="标题 3 Char"/>
    <w:basedOn w:val="16"/>
    <w:link w:val="4"/>
    <w:qFormat/>
    <w:uiPriority w:val="9"/>
    <w:rPr>
      <w:rFonts w:ascii="宋体" w:hAnsi="宋体" w:cs="宋体"/>
      <w:b/>
      <w:bCs/>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103"/>
    <customShpInfo spid="_x0000_s2106"/>
    <customShpInfo spid="_x0000_s2107"/>
    <customShpInfo spid="_x0000_s2124"/>
    <customShpInfo spid="_x0000_s1026"/>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8C5C3-AAF0-4FDC-9B76-DD88D5CF19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14220</Words>
  <Characters>81058</Characters>
  <Lines>675</Lines>
  <Paragraphs>190</Paragraphs>
  <TotalTime>7</TotalTime>
  <ScaleCrop>false</ScaleCrop>
  <LinksUpToDate>false</LinksUpToDate>
  <CharactersWithSpaces>95088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2019-08-28T12:23:00Z</dcterms:created>
  <dc:creator>admin</dc:creator>
  <cp:lastModifiedBy>程小台</cp:lastModifiedBy>
  <cp:lastPrinted>2020-05-09T15:46:00Z</cp:lastPrinted>
  <dcterms:modified xsi:type="dcterms:W3CDTF">2020-07-22T07:07:32Z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WPS 文字</vt:lpwstr>
  </property>
  <property fmtid="{D5CDD505-2E9C-101B-9397-08002B2CF9AE}" pid="4" name="LastSaved">
    <vt:filetime>2019-08-26T00:00:00Z</vt:filetime>
  </property>
  <property fmtid="{D5CDD505-2E9C-101B-9397-08002B2CF9AE}" pid="5" name="KSOProductBuildVer">
    <vt:lpwstr>2052-11.1.0.9828</vt:lpwstr>
  </property>
</Properties>
</file>