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147" w:leftChars="67" w:firstLine="312"/>
        <w:jc w:val="center"/>
        <w:rPr>
          <w:rFonts w:ascii="宋体" w:hAnsi="宋体"/>
          <w:b/>
          <w:color w:val="auto"/>
          <w:sz w:val="28"/>
          <w:szCs w:val="28"/>
          <w:highlight w:val="none"/>
        </w:rPr>
      </w:pPr>
      <w:bookmarkStart w:id="0" w:name="_Toc196474972"/>
      <w:r>
        <w:rPr>
          <w:rFonts w:hint="eastAsia" w:ascii="宋体" w:hAnsi="宋体"/>
          <w:b/>
          <w:color w:val="auto"/>
          <w:sz w:val="28"/>
          <w:szCs w:val="24"/>
          <w:highlight w:val="none"/>
          <w:lang w:eastAsia="zh-CN"/>
        </w:rPr>
        <w:t>德江（合兴）至余庆高速公路中心试验室招标</w:t>
      </w:r>
      <w:r>
        <w:rPr>
          <w:rFonts w:ascii="宋体" w:hAnsi="宋体"/>
          <w:b/>
          <w:color w:val="auto"/>
          <w:sz w:val="28"/>
          <w:szCs w:val="24"/>
          <w:highlight w:val="none"/>
        </w:rPr>
        <w:t>公告</w:t>
      </w:r>
    </w:p>
    <w:bookmarkEnd w:id="0"/>
    <w:p>
      <w:pPr>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根据《中华人民共和国招标投标法》、《中华人民共和国招标投标法实施条例》等规定，经</w:t>
      </w:r>
      <w:r>
        <w:rPr>
          <w:rFonts w:hint="eastAsia" w:ascii="宋体" w:hAnsi="宋体" w:cs="Arial"/>
          <w:color w:val="auto"/>
          <w:sz w:val="24"/>
          <w:szCs w:val="24"/>
          <w:highlight w:val="none"/>
          <w:u w:val="single"/>
          <w:lang w:val="en-US" w:eastAsia="zh-CN"/>
        </w:rPr>
        <w:t>贵州省发展和改革委员会</w:t>
      </w:r>
      <w:r>
        <w:rPr>
          <w:rFonts w:hint="eastAsia" w:ascii="宋体" w:hAnsi="宋体" w:cs="Arial"/>
          <w:color w:val="auto"/>
          <w:sz w:val="24"/>
          <w:szCs w:val="24"/>
          <w:highlight w:val="none"/>
        </w:rPr>
        <w:t>以</w:t>
      </w:r>
      <w:r>
        <w:rPr>
          <w:rFonts w:hint="eastAsia" w:ascii="宋体" w:hAnsi="宋体" w:cs="Arial"/>
          <w:color w:val="auto"/>
          <w:sz w:val="24"/>
          <w:szCs w:val="24"/>
          <w:highlight w:val="none"/>
          <w:u w:val="single"/>
          <w:lang w:val="en-US" w:eastAsia="zh-CN"/>
        </w:rPr>
        <w:t>黔发改交通〔2020〕665号</w:t>
      </w:r>
      <w:r>
        <w:rPr>
          <w:rFonts w:hint="eastAsia" w:ascii="宋体" w:hAnsi="宋体" w:cs="Arial"/>
          <w:color w:val="auto"/>
          <w:sz w:val="24"/>
          <w:szCs w:val="24"/>
          <w:highlight w:val="none"/>
        </w:rPr>
        <w:t>批准，</w:t>
      </w:r>
      <w:r>
        <w:rPr>
          <w:rFonts w:hint="eastAsia" w:ascii="宋体" w:hAnsi="宋体" w:cs="Arial"/>
          <w:color w:val="auto"/>
          <w:sz w:val="24"/>
          <w:szCs w:val="24"/>
          <w:highlight w:val="none"/>
          <w:lang w:eastAsia="zh-CN"/>
        </w:rPr>
        <w:t>德江（合兴）至余庆高速公路中心试验室</w:t>
      </w:r>
      <w:r>
        <w:rPr>
          <w:rFonts w:hint="eastAsia" w:ascii="宋体" w:hAnsi="宋体" w:cs="Arial"/>
          <w:color w:val="auto"/>
          <w:sz w:val="24"/>
          <w:szCs w:val="24"/>
          <w:highlight w:val="none"/>
        </w:rPr>
        <w:t>已具备招标条件。将进行下列工程建设项目公开招标活动，现将有关事项公告如下：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textAlignment w:val="auto"/>
        <w:outlineLvl w:val="2"/>
        <w:rPr>
          <w:color w:val="auto"/>
          <w:sz w:val="24"/>
          <w:szCs w:val="24"/>
          <w:highlight w:val="none"/>
        </w:rPr>
      </w:pPr>
      <w:bookmarkStart w:id="1" w:name="_Toc330366389"/>
      <w:bookmarkStart w:id="2" w:name="_Toc515517629"/>
      <w:bookmarkStart w:id="3" w:name="_Toc329932151"/>
      <w:bookmarkStart w:id="4" w:name="_Toc442431566"/>
      <w:bookmarkStart w:id="5" w:name="_Toc504690800"/>
      <w:r>
        <w:rPr>
          <w:rFonts w:hint="eastAsia" w:asciiTheme="minorEastAsia" w:hAnsiTheme="minorEastAsia" w:eastAsiaTheme="minorEastAsia" w:cstheme="minorEastAsia"/>
          <w:color w:val="auto"/>
          <w:sz w:val="24"/>
          <w:szCs w:val="24"/>
          <w:highlight w:val="none"/>
        </w:rPr>
        <w:t>项目概况</w:t>
      </w:r>
      <w:bookmarkEnd w:id="1"/>
      <w:bookmarkEnd w:id="2"/>
      <w:bookmarkEnd w:id="3"/>
      <w:bookmarkEnd w:id="4"/>
      <w:bookmarkEnd w:id="5"/>
    </w:p>
    <w:p>
      <w:pPr>
        <w:keepNext w:val="0"/>
        <w:keepLines w:val="0"/>
        <w:pageBreakBefore w:val="0"/>
        <w:widowControl w:val="0"/>
        <w:kinsoku/>
        <w:wordWrap/>
        <w:overflowPunct/>
        <w:topLinePunct w:val="0"/>
        <w:autoSpaceDE/>
        <w:autoSpaceDN/>
        <w:bidi w:val="0"/>
        <w:snapToGrid/>
        <w:spacing w:line="360" w:lineRule="auto"/>
        <w:jc w:val="left"/>
        <w:rPr>
          <w:rFonts w:ascii="宋体" w:hAnsi="宋体" w:cs="Arial"/>
          <w:color w:val="auto"/>
          <w:sz w:val="24"/>
          <w:szCs w:val="24"/>
          <w:highlight w:val="none"/>
        </w:rPr>
      </w:pPr>
      <w:bookmarkStart w:id="6" w:name="OLE_LINK7"/>
      <w:bookmarkStart w:id="7" w:name="OLE_LINK6"/>
      <w:r>
        <w:rPr>
          <w:rFonts w:hint="eastAsia" w:ascii="宋体" w:hAnsi="宋体" w:cs="Arial"/>
          <w:color w:val="auto"/>
          <w:sz w:val="24"/>
          <w:szCs w:val="24"/>
          <w:highlight w:val="none"/>
        </w:rPr>
        <w:t>（一）项目名称：</w:t>
      </w:r>
      <w:r>
        <w:rPr>
          <w:rFonts w:hint="eastAsia" w:ascii="宋体" w:hAnsi="宋体" w:cs="Arial"/>
          <w:color w:val="auto"/>
          <w:sz w:val="24"/>
          <w:szCs w:val="24"/>
          <w:highlight w:val="none"/>
          <w:u w:val="single"/>
          <w:lang w:eastAsia="zh-CN"/>
        </w:rPr>
        <w:t>德江（合兴）至余庆高速公路中心试验室</w:t>
      </w:r>
      <w:r>
        <w:rPr>
          <w:rFonts w:hint="eastAsia" w:ascii="宋体" w:hAnsi="宋体" w:cs="Arial"/>
          <w:color w:val="auto"/>
          <w:sz w:val="24"/>
          <w:szCs w:val="24"/>
          <w:highlight w:val="none"/>
        </w:rPr>
        <w:t>；</w:t>
      </w:r>
    </w:p>
    <w:p>
      <w:pPr>
        <w:keepNext w:val="0"/>
        <w:keepLines w:val="0"/>
        <w:pageBreakBefore w:val="0"/>
        <w:widowControl w:val="0"/>
        <w:kinsoku/>
        <w:wordWrap/>
        <w:overflowPunct/>
        <w:topLinePunct w:val="0"/>
        <w:autoSpaceDE/>
        <w:autoSpaceDN/>
        <w:bidi w:val="0"/>
        <w:snapToGrid/>
        <w:spacing w:line="360" w:lineRule="auto"/>
        <w:jc w:val="left"/>
        <w:rPr>
          <w:rFonts w:ascii="宋体" w:hAnsi="宋体" w:cs="Arial"/>
          <w:color w:val="auto"/>
          <w:sz w:val="24"/>
          <w:szCs w:val="24"/>
          <w:highlight w:val="none"/>
        </w:rPr>
      </w:pPr>
      <w:r>
        <w:rPr>
          <w:rFonts w:hint="eastAsia" w:ascii="宋体" w:hAnsi="宋体" w:cs="Arial"/>
          <w:color w:val="auto"/>
          <w:sz w:val="24"/>
          <w:szCs w:val="24"/>
          <w:highlight w:val="none"/>
        </w:rPr>
        <w:t>（二）项目地点：</w:t>
      </w:r>
      <w:r>
        <w:rPr>
          <w:rFonts w:hint="eastAsia" w:ascii="宋体" w:hAnsi="宋体" w:cs="Arial"/>
          <w:color w:val="auto"/>
          <w:sz w:val="24"/>
          <w:szCs w:val="24"/>
          <w:highlight w:val="none"/>
          <w:u w:val="single"/>
          <w:lang w:eastAsia="zh-CN"/>
        </w:rPr>
        <w:t>贵州省铜仁市、遵义市境内</w:t>
      </w:r>
      <w:r>
        <w:rPr>
          <w:rFonts w:hint="eastAsia" w:ascii="宋体" w:hAnsi="宋体" w:cs="Arial"/>
          <w:color w:val="auto"/>
          <w:sz w:val="24"/>
          <w:szCs w:val="24"/>
          <w:highlight w:val="none"/>
        </w:rPr>
        <w:t>；</w:t>
      </w:r>
    </w:p>
    <w:p>
      <w:pPr>
        <w:keepNext w:val="0"/>
        <w:keepLines w:val="0"/>
        <w:pageBreakBefore w:val="0"/>
        <w:widowControl w:val="0"/>
        <w:kinsoku/>
        <w:wordWrap/>
        <w:overflowPunct/>
        <w:topLinePunct w:val="0"/>
        <w:autoSpaceDE/>
        <w:autoSpaceDN/>
        <w:bidi w:val="0"/>
        <w:snapToGrid/>
        <w:spacing w:line="360" w:lineRule="auto"/>
        <w:jc w:val="left"/>
        <w:rPr>
          <w:rFonts w:ascii="宋体" w:hAnsi="宋体" w:cs="Arial"/>
          <w:color w:val="auto"/>
          <w:sz w:val="24"/>
          <w:szCs w:val="24"/>
          <w:highlight w:val="none"/>
        </w:rPr>
      </w:pPr>
      <w:r>
        <w:rPr>
          <w:rFonts w:hint="eastAsia" w:ascii="宋体" w:hAnsi="宋体" w:cs="Arial"/>
          <w:color w:val="auto"/>
          <w:sz w:val="24"/>
          <w:szCs w:val="24"/>
          <w:highlight w:val="none"/>
        </w:rPr>
        <w:t>（三）项目类别及结构类型：</w:t>
      </w:r>
      <w:r>
        <w:rPr>
          <w:rFonts w:hint="eastAsia" w:ascii="宋体" w:hAnsi="宋体" w:cs="Arial"/>
          <w:color w:val="auto"/>
          <w:sz w:val="24"/>
          <w:szCs w:val="24"/>
          <w:highlight w:val="none"/>
          <w:u w:val="single"/>
        </w:rPr>
        <w:t>公路交通工程</w:t>
      </w:r>
      <w:r>
        <w:rPr>
          <w:rFonts w:hint="eastAsia" w:ascii="宋体" w:hAnsi="宋体" w:cs="Arial"/>
          <w:color w:val="auto"/>
          <w:sz w:val="24"/>
          <w:szCs w:val="24"/>
          <w:highlight w:val="none"/>
        </w:rPr>
        <w:t>；</w:t>
      </w:r>
    </w:p>
    <w:p>
      <w:pPr>
        <w:keepNext w:val="0"/>
        <w:keepLines w:val="0"/>
        <w:pageBreakBefore w:val="0"/>
        <w:widowControl w:val="0"/>
        <w:kinsoku/>
        <w:wordWrap/>
        <w:overflowPunct/>
        <w:topLinePunct w:val="0"/>
        <w:autoSpaceDE/>
        <w:autoSpaceDN/>
        <w:bidi w:val="0"/>
        <w:snapToGrid/>
        <w:spacing w:line="360" w:lineRule="auto"/>
        <w:jc w:val="left"/>
        <w:rPr>
          <w:rFonts w:ascii="宋体" w:hAnsi="宋体" w:cs="Arial"/>
          <w:color w:val="auto"/>
          <w:sz w:val="24"/>
          <w:szCs w:val="24"/>
          <w:highlight w:val="none"/>
        </w:rPr>
      </w:pPr>
      <w:r>
        <w:rPr>
          <w:rFonts w:hint="eastAsia" w:ascii="宋体" w:hAnsi="宋体" w:cs="Arial"/>
          <w:color w:val="auto"/>
          <w:sz w:val="24"/>
          <w:szCs w:val="24"/>
          <w:highlight w:val="none"/>
        </w:rPr>
        <w:t>（四）</w:t>
      </w:r>
      <w:r>
        <w:rPr>
          <w:rFonts w:hint="eastAsia" w:ascii="Arial" w:hAnsi="Arial" w:cs="Arial"/>
          <w:color w:val="auto"/>
          <w:sz w:val="24"/>
          <w:szCs w:val="24"/>
          <w:highlight w:val="none"/>
        </w:rPr>
        <w:t>资金来源及项目投资额：</w:t>
      </w:r>
      <w:r>
        <w:rPr>
          <w:rFonts w:hint="eastAsia" w:ascii="宋体" w:hAnsi="宋体" w:cs="Arial"/>
          <w:color w:val="auto"/>
          <w:sz w:val="24"/>
          <w:szCs w:val="24"/>
          <w:highlight w:val="none"/>
          <w:u w:val="single"/>
        </w:rPr>
        <w:t>银行贷款及自筹，</w:t>
      </w:r>
      <w:r>
        <w:rPr>
          <w:rFonts w:hint="eastAsia" w:ascii="宋体" w:hAnsi="宋体" w:cs="Arial"/>
          <w:color w:val="auto"/>
          <w:sz w:val="24"/>
          <w:szCs w:val="24"/>
          <w:highlight w:val="none"/>
          <w:u w:val="single"/>
          <w:lang w:eastAsia="zh-CN"/>
        </w:rPr>
        <w:t>估算</w:t>
      </w:r>
      <w:r>
        <w:rPr>
          <w:rFonts w:hint="eastAsia" w:ascii="宋体" w:hAnsi="宋体" w:cs="Arial"/>
          <w:color w:val="auto"/>
          <w:sz w:val="24"/>
          <w:szCs w:val="24"/>
          <w:highlight w:val="none"/>
          <w:u w:val="single"/>
        </w:rPr>
        <w:t>金额为</w:t>
      </w:r>
      <w:r>
        <w:rPr>
          <w:rFonts w:hint="eastAsia" w:ascii="宋体" w:hAnsi="宋体" w:cs="Arial"/>
          <w:color w:val="auto"/>
          <w:sz w:val="24"/>
          <w:szCs w:val="24"/>
          <w:highlight w:val="none"/>
          <w:u w:val="single"/>
          <w:lang w:eastAsia="zh-CN"/>
        </w:rPr>
        <w:t>14158193586.00</w:t>
      </w:r>
      <w:r>
        <w:rPr>
          <w:rFonts w:hint="eastAsia" w:ascii="宋体" w:hAnsi="宋体" w:cs="Arial"/>
          <w:color w:val="auto"/>
          <w:sz w:val="24"/>
          <w:szCs w:val="24"/>
          <w:highlight w:val="none"/>
          <w:u w:val="single"/>
        </w:rPr>
        <w:t>元</w:t>
      </w:r>
      <w:r>
        <w:rPr>
          <w:rFonts w:hint="eastAsia" w:ascii="宋体" w:hAnsi="宋体" w:cs="Arial"/>
          <w:color w:val="auto"/>
          <w:sz w:val="24"/>
          <w:szCs w:val="24"/>
          <w:highlight w:val="none"/>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Arial"/>
          <w:color w:val="auto"/>
          <w:sz w:val="24"/>
          <w:szCs w:val="24"/>
          <w:highlight w:val="none"/>
        </w:rPr>
      </w:pPr>
      <w:r>
        <w:rPr>
          <w:rFonts w:hint="eastAsia" w:ascii="宋体" w:hAnsi="宋体" w:cs="Arial"/>
          <w:color w:val="auto"/>
          <w:sz w:val="24"/>
          <w:szCs w:val="24"/>
          <w:highlight w:val="none"/>
        </w:rPr>
        <w:t>（五）服务期：</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宋体" w:hAnsi="宋体" w:cs="Arial"/>
          <w:color w:val="auto"/>
          <w:sz w:val="24"/>
          <w:szCs w:val="24"/>
          <w:highlight w:val="none"/>
          <w:u w:val="single"/>
          <w:lang w:val="en-US" w:eastAsia="zh-CN"/>
        </w:rPr>
      </w:pPr>
      <w:r>
        <w:rPr>
          <w:rFonts w:hint="eastAsia" w:ascii="宋体" w:hAnsi="宋体" w:cs="Arial"/>
          <w:color w:val="auto"/>
          <w:sz w:val="24"/>
          <w:szCs w:val="24"/>
          <w:highlight w:val="none"/>
          <w:u w:val="none"/>
          <w:lang w:val="en-US" w:eastAsia="zh-CN"/>
        </w:rPr>
        <w:t>中心试验室服务期：</w:t>
      </w:r>
      <w:r>
        <w:rPr>
          <w:rFonts w:hint="eastAsia" w:ascii="宋体" w:hAnsi="宋体" w:cs="Arial"/>
          <w:color w:val="auto"/>
          <w:sz w:val="24"/>
          <w:szCs w:val="24"/>
          <w:highlight w:val="none"/>
          <w:u w:val="single"/>
          <w:lang w:val="en-US" w:eastAsia="zh-CN"/>
        </w:rPr>
        <w:t>60个月，其中：施工期（含施工准备期）：36个月；缺陷责任期：24个月。</w:t>
      </w:r>
    </w:p>
    <w:p>
      <w:pPr>
        <w:keepNext w:val="0"/>
        <w:keepLines w:val="0"/>
        <w:pageBreakBefore w:val="0"/>
        <w:widowControl w:val="0"/>
        <w:kinsoku/>
        <w:wordWrap/>
        <w:overflowPunct/>
        <w:topLinePunct w:val="0"/>
        <w:autoSpaceDE/>
        <w:autoSpaceDN/>
        <w:bidi w:val="0"/>
        <w:snapToGrid/>
        <w:spacing w:line="360" w:lineRule="auto"/>
        <w:jc w:val="left"/>
        <w:rPr>
          <w:rFonts w:ascii="宋体" w:hAnsi="宋体" w:cs="Arial"/>
          <w:color w:val="auto"/>
          <w:sz w:val="24"/>
          <w:szCs w:val="24"/>
          <w:highlight w:val="none"/>
        </w:rPr>
      </w:pPr>
      <w:r>
        <w:rPr>
          <w:rFonts w:hint="eastAsia" w:ascii="宋体" w:hAnsi="宋体" w:cs="Arial"/>
          <w:color w:val="auto"/>
          <w:sz w:val="24"/>
          <w:szCs w:val="24"/>
          <w:highlight w:val="none"/>
        </w:rPr>
        <w:t>（六）建设规模</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Arial" w:hAnsi="Arial" w:cs="Arial"/>
          <w:color w:val="auto"/>
          <w:sz w:val="24"/>
          <w:szCs w:val="24"/>
          <w:highlight w:val="none"/>
        </w:rPr>
      </w:pPr>
      <w:r>
        <w:rPr>
          <w:rFonts w:hint="eastAsia" w:ascii="Arial" w:hAnsi="Arial" w:cs="Arial"/>
          <w:color w:val="auto"/>
          <w:sz w:val="24"/>
          <w:szCs w:val="24"/>
          <w:highlight w:val="none"/>
        </w:rPr>
        <w:t>贵州省德江（合兴）至余庆高速是加密规划优化调整路网高速之一，项目实施是对我省黔北地区高速公路网有益补充和完善，是德江、思南县西部乡、凤冈东部、石阡聚凤、余庆等连接安江高速的一条快速通道。</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Arial" w:hAnsi="Arial" w:cs="Arial"/>
          <w:color w:val="auto"/>
          <w:sz w:val="24"/>
          <w:szCs w:val="24"/>
          <w:highlight w:val="none"/>
        </w:rPr>
      </w:pPr>
      <w:r>
        <w:rPr>
          <w:rFonts w:hint="eastAsia" w:ascii="Arial" w:hAnsi="Arial" w:cs="Arial"/>
          <w:color w:val="auto"/>
          <w:sz w:val="24"/>
          <w:szCs w:val="24"/>
          <w:highlight w:val="none"/>
        </w:rPr>
        <w:t>德江（合兴）至余庆高速公路路线起点位于德江县合兴镇与思南东华乡交界处漏青头，起点桩号K0+000，接杭瑞高速设T型互通与沿德高速现状合兴枢纽形成复合式互通立交。路线总体走向由北向南，途经宽坪、亭子坝、杨家坳、青杠坡、合朋溪、长坝后，从干溪子位置K5</w:t>
      </w:r>
      <w:r>
        <w:rPr>
          <w:rFonts w:hint="eastAsia" w:ascii="Arial" w:hAnsi="Arial" w:cs="Arial"/>
          <w:color w:val="auto"/>
          <w:sz w:val="24"/>
          <w:szCs w:val="24"/>
          <w:highlight w:val="none"/>
          <w:lang w:val="en-US" w:eastAsia="zh-CN"/>
        </w:rPr>
        <w:t>2</w:t>
      </w:r>
      <w:r>
        <w:rPr>
          <w:rFonts w:hint="eastAsia" w:ascii="Arial" w:hAnsi="Arial" w:cs="Arial"/>
          <w:color w:val="auto"/>
          <w:sz w:val="24"/>
          <w:szCs w:val="24"/>
          <w:highlight w:val="none"/>
        </w:rPr>
        <w:t>+8</w:t>
      </w:r>
      <w:r>
        <w:rPr>
          <w:rFonts w:hint="eastAsia" w:ascii="Arial" w:hAnsi="Arial" w:cs="Arial"/>
          <w:color w:val="auto"/>
          <w:sz w:val="24"/>
          <w:szCs w:val="24"/>
          <w:highlight w:val="none"/>
          <w:lang w:val="en-US" w:eastAsia="zh-CN"/>
        </w:rPr>
        <w:t>45.5</w:t>
      </w:r>
      <w:r>
        <w:rPr>
          <w:rFonts w:hint="eastAsia" w:ascii="Arial" w:hAnsi="Arial" w:cs="Arial"/>
          <w:color w:val="auto"/>
          <w:sz w:val="24"/>
          <w:szCs w:val="24"/>
          <w:highlight w:val="none"/>
        </w:rPr>
        <w:t>处设置乌江特大桥跨越乌江，至石阡县本庄镇与湄石高速通过采用双喇叭进行交通转换，再向南延伸，经河坝，至余庆县白泥镇小腮梨子树处，与遵余高速设置T形枢纽互通进行连接。线路全长10</w:t>
      </w:r>
      <w:r>
        <w:rPr>
          <w:rFonts w:hint="eastAsia" w:ascii="Arial" w:hAnsi="Arial" w:cs="Arial"/>
          <w:color w:val="auto"/>
          <w:sz w:val="24"/>
          <w:szCs w:val="24"/>
          <w:highlight w:val="none"/>
          <w:lang w:val="en-US" w:eastAsia="zh-CN"/>
        </w:rPr>
        <w:t>4</w:t>
      </w:r>
      <w:r>
        <w:rPr>
          <w:rFonts w:hint="eastAsia" w:ascii="Arial" w:hAnsi="Arial" w:cs="Arial"/>
          <w:color w:val="auto"/>
          <w:sz w:val="24"/>
          <w:szCs w:val="24"/>
          <w:highlight w:val="none"/>
        </w:rPr>
        <w:t>.</w:t>
      </w:r>
      <w:r>
        <w:rPr>
          <w:rFonts w:hint="eastAsia" w:ascii="Arial" w:hAnsi="Arial" w:cs="Arial"/>
          <w:color w:val="auto"/>
          <w:sz w:val="24"/>
          <w:szCs w:val="24"/>
          <w:highlight w:val="none"/>
          <w:lang w:val="en-US" w:eastAsia="zh-CN"/>
        </w:rPr>
        <w:t>4</w:t>
      </w:r>
      <w:r>
        <w:rPr>
          <w:rFonts w:hint="eastAsia" w:ascii="Arial" w:hAnsi="Arial" w:cs="Arial"/>
          <w:color w:val="auto"/>
          <w:sz w:val="24"/>
          <w:szCs w:val="24"/>
          <w:highlight w:val="none"/>
        </w:rPr>
        <w:t>km，</w:t>
      </w:r>
      <w:r>
        <w:rPr>
          <w:rFonts w:hint="eastAsia" w:ascii="Arial" w:hAnsi="Arial" w:cs="Arial"/>
          <w:color w:val="auto"/>
          <w:sz w:val="24"/>
          <w:szCs w:val="24"/>
          <w:highlight w:val="none"/>
          <w:lang w:val="en-US" w:eastAsia="zh-CN"/>
        </w:rPr>
        <w:t>估算</w:t>
      </w:r>
      <w:r>
        <w:rPr>
          <w:rFonts w:hint="eastAsia" w:ascii="Arial" w:hAnsi="Arial" w:cs="Arial"/>
          <w:color w:val="auto"/>
          <w:sz w:val="24"/>
          <w:szCs w:val="24"/>
          <w:highlight w:val="none"/>
        </w:rPr>
        <w:t>总投资</w:t>
      </w:r>
      <w:r>
        <w:rPr>
          <w:rFonts w:hint="eastAsia" w:ascii="Arial" w:hAnsi="Arial" w:cs="Arial"/>
          <w:color w:val="auto"/>
          <w:sz w:val="24"/>
          <w:szCs w:val="24"/>
          <w:highlight w:val="none"/>
          <w:lang w:eastAsia="zh-CN"/>
        </w:rPr>
        <w:t>14158193586.00</w:t>
      </w:r>
      <w:r>
        <w:rPr>
          <w:rFonts w:hint="eastAsia" w:ascii="Arial" w:hAnsi="Arial" w:cs="Arial"/>
          <w:color w:val="auto"/>
          <w:sz w:val="24"/>
          <w:szCs w:val="24"/>
          <w:highlight w:val="none"/>
        </w:rPr>
        <w:t>元。</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Arial" w:hAnsi="Arial" w:cs="Arial"/>
          <w:color w:val="auto"/>
          <w:sz w:val="24"/>
          <w:szCs w:val="24"/>
          <w:highlight w:val="none"/>
        </w:rPr>
      </w:pPr>
      <w:r>
        <w:rPr>
          <w:rFonts w:hint="eastAsia" w:ascii="Arial" w:hAnsi="Arial" w:cs="Arial"/>
          <w:color w:val="auto"/>
          <w:sz w:val="24"/>
          <w:szCs w:val="24"/>
          <w:highlight w:val="none"/>
        </w:rPr>
        <w:t>技术标准为：采用80km/h的设计速度，双向四车道，路基宽25.5m。</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Arial" w:hAnsi="Arial" w:cs="Arial"/>
          <w:color w:val="auto"/>
          <w:sz w:val="24"/>
          <w:szCs w:val="24"/>
          <w:highlight w:val="none"/>
        </w:rPr>
      </w:pPr>
      <w:r>
        <w:rPr>
          <w:rFonts w:hint="eastAsia" w:ascii="Arial" w:hAnsi="Arial" w:cs="Arial"/>
          <w:color w:val="auto"/>
          <w:sz w:val="24"/>
          <w:szCs w:val="24"/>
          <w:highlight w:val="none"/>
        </w:rPr>
        <w:t xml:space="preserve">项目桥隧比35.34%，全线共设置桥梁24997m/79座，其中特大桥2168m/2座，大桥21968m/65座，中桥861m/12座；主线设置隧道11910m/12座，其中长隧道6955m/5座，中隧道4677m/6座，短隧道278m/1座；连接线隧道667m/1座。设置互通式立体交叉9处，另设有服务区2处，停车区2处，收费站7处；填方2548万方，挖方2845万方。连接线长64.79km。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cs="Arial"/>
          <w:color w:val="auto"/>
          <w:sz w:val="24"/>
          <w:szCs w:val="24"/>
          <w:highlight w:val="none"/>
        </w:rPr>
      </w:pPr>
      <w:r>
        <w:rPr>
          <w:rFonts w:hint="eastAsia" w:ascii="Arial" w:hAnsi="Arial" w:cs="Arial"/>
          <w:color w:val="auto"/>
          <w:sz w:val="24"/>
          <w:szCs w:val="24"/>
          <w:highlight w:val="none"/>
        </w:rPr>
        <w:t>关键控制性工程为乌江特大桥（上承式钢管砼拱桥，主跨504m）、巴洛河特大桥、四野屯隧道（长2176m）、小乌江大桥（主跨为70+130*2+70m）。</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招标范围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cs="Arial"/>
          <w:color w:val="auto"/>
          <w:sz w:val="24"/>
          <w:szCs w:val="24"/>
          <w:highlight w:val="none"/>
        </w:rPr>
      </w:pPr>
      <w:r>
        <w:rPr>
          <w:rFonts w:hint="eastAsia" w:ascii="Arial" w:hAnsi="Arial" w:cs="Arial"/>
          <w:color w:val="auto"/>
          <w:sz w:val="24"/>
          <w:szCs w:val="24"/>
          <w:highlight w:val="none"/>
          <w:lang w:eastAsia="zh-CN"/>
        </w:rPr>
        <w:t>本项目招标范围为德江（合兴）至余庆高速公路中心试验室招标，共</w:t>
      </w:r>
      <w:r>
        <w:rPr>
          <w:rFonts w:hint="eastAsia" w:ascii="Arial" w:hAnsi="Arial" w:cs="Arial"/>
          <w:color w:val="auto"/>
          <w:sz w:val="24"/>
          <w:szCs w:val="24"/>
          <w:highlight w:val="none"/>
        </w:rPr>
        <w:t>划分为</w:t>
      </w:r>
      <w:r>
        <w:rPr>
          <w:rFonts w:hint="eastAsia" w:ascii="Arial" w:hAnsi="Arial" w:cs="Arial"/>
          <w:color w:val="auto"/>
          <w:sz w:val="24"/>
          <w:szCs w:val="24"/>
          <w:highlight w:val="none"/>
          <w:lang w:val="en-US" w:eastAsia="zh-CN"/>
        </w:rPr>
        <w:t>3</w:t>
      </w:r>
      <w:r>
        <w:rPr>
          <w:rFonts w:hint="eastAsia" w:ascii="Arial" w:hAnsi="Arial" w:cs="Arial"/>
          <w:color w:val="auto"/>
          <w:sz w:val="24"/>
          <w:szCs w:val="24"/>
          <w:highlight w:val="none"/>
        </w:rPr>
        <w:t>个标段，</w:t>
      </w:r>
      <w:r>
        <w:rPr>
          <w:rFonts w:hint="eastAsia" w:ascii="Arial" w:hAnsi="Arial" w:cs="Arial"/>
          <w:color w:val="auto"/>
          <w:sz w:val="24"/>
          <w:szCs w:val="24"/>
          <w:highlight w:val="none"/>
          <w:lang w:eastAsia="zh-CN"/>
        </w:rPr>
        <w:t>各标段</w:t>
      </w:r>
      <w:r>
        <w:rPr>
          <w:rFonts w:hint="eastAsia" w:ascii="宋体" w:hAnsi="宋体" w:cs="Arial"/>
          <w:color w:val="auto"/>
          <w:sz w:val="24"/>
          <w:szCs w:val="24"/>
          <w:highlight w:val="none"/>
        </w:rPr>
        <w:t>主要工作范围</w:t>
      </w:r>
      <w:r>
        <w:rPr>
          <w:rFonts w:hint="eastAsia" w:ascii="宋体" w:hAnsi="宋体" w:cs="Arial"/>
          <w:color w:val="auto"/>
          <w:sz w:val="24"/>
          <w:szCs w:val="24"/>
          <w:highlight w:val="none"/>
          <w:lang w:eastAsia="zh-CN"/>
        </w:rPr>
        <w:t>详见下表</w:t>
      </w:r>
      <w:r>
        <w:rPr>
          <w:rFonts w:hint="eastAsia" w:ascii="宋体" w:hAnsi="宋体" w:cs="Arial"/>
          <w:color w:val="auto"/>
          <w:sz w:val="24"/>
          <w:szCs w:val="24"/>
          <w:highlight w:val="none"/>
        </w:rPr>
        <w:t>：</w:t>
      </w:r>
    </w:p>
    <w:tbl>
      <w:tblPr>
        <w:tblStyle w:val="12"/>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538"/>
        <w:gridCol w:w="2516"/>
        <w:gridCol w:w="1419"/>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2" w:type="dxa"/>
            <w:noWrap w:val="0"/>
            <w:vAlign w:val="center"/>
          </w:tcPr>
          <w:p>
            <w:pPr>
              <w:pStyle w:val="8"/>
              <w:spacing w:line="240" w:lineRule="auto"/>
              <w:ind w:left="0" w:leftChars="0" w:firstLine="0" w:firstLineChars="0"/>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标段</w:t>
            </w:r>
          </w:p>
        </w:tc>
        <w:tc>
          <w:tcPr>
            <w:tcW w:w="1538" w:type="dxa"/>
            <w:noWrap w:val="0"/>
            <w:vAlign w:val="center"/>
          </w:tcPr>
          <w:p>
            <w:pPr>
              <w:pStyle w:val="8"/>
              <w:spacing w:line="240" w:lineRule="auto"/>
              <w:ind w:left="0" w:leftChars="0" w:firstLine="0" w:firstLineChars="0"/>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对应施工标段</w:t>
            </w:r>
          </w:p>
        </w:tc>
        <w:tc>
          <w:tcPr>
            <w:tcW w:w="2516" w:type="dxa"/>
            <w:noWrap w:val="0"/>
            <w:vAlign w:val="center"/>
          </w:tcPr>
          <w:p>
            <w:pPr>
              <w:pStyle w:val="8"/>
              <w:spacing w:line="240" w:lineRule="auto"/>
              <w:ind w:left="0" w:leftChars="0" w:firstLine="0" w:firstLineChars="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起讫桩号</w:t>
            </w:r>
          </w:p>
        </w:tc>
        <w:tc>
          <w:tcPr>
            <w:tcW w:w="1419" w:type="dxa"/>
            <w:noWrap w:val="0"/>
            <w:vAlign w:val="center"/>
          </w:tcPr>
          <w:p>
            <w:pPr>
              <w:autoSpaceDE/>
              <w:autoSpaceDN/>
              <w:adjustRightInd/>
              <w:spacing w:before="100" w:beforeLines="0" w:afterLines="0" w:line="240" w:lineRule="auto"/>
              <w:ind w:left="0" w:leftChars="0" w:firstLine="0" w:firstLineChars="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里程(km)</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baseline"/>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52" w:type="dxa"/>
            <w:noWrap w:val="0"/>
            <w:vAlign w:val="center"/>
          </w:tcPr>
          <w:p>
            <w:pPr>
              <w:pStyle w:val="8"/>
              <w:keepNext w:val="0"/>
              <w:keepLines w:val="0"/>
              <w:pageBreakBefore w:val="0"/>
              <w:widowControl w:val="0"/>
              <w:kinsoku/>
              <w:wordWrap/>
              <w:overflowPunct/>
              <w:topLinePunct w:val="0"/>
              <w:bidi w:val="0"/>
              <w:adjustRightInd w:val="0"/>
              <w:snapToGrid/>
              <w:spacing w:line="240" w:lineRule="auto"/>
              <w:ind w:left="0" w:leftChars="0" w:firstLine="0" w:firstLineChars="0"/>
              <w:jc w:val="center"/>
              <w:textAlignment w:val="baseline"/>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DYZS-1</w:t>
            </w:r>
          </w:p>
        </w:tc>
        <w:tc>
          <w:tcPr>
            <w:tcW w:w="1538" w:type="dxa"/>
            <w:noWrap w:val="0"/>
            <w:vAlign w:val="center"/>
          </w:tcPr>
          <w:p>
            <w:pPr>
              <w:pStyle w:val="8"/>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土建1、2、3标</w:t>
            </w:r>
          </w:p>
        </w:tc>
        <w:tc>
          <w:tcPr>
            <w:tcW w:w="2516" w:type="dxa"/>
            <w:noWrap w:val="0"/>
            <w:vAlign w:val="center"/>
          </w:tcPr>
          <w:p>
            <w:pPr>
              <w:pStyle w:val="8"/>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K0+</w:t>
            </w:r>
            <w:r>
              <w:rPr>
                <w:rFonts w:hint="default" w:ascii="Times New Roman" w:hAnsi="Times New Roman" w:eastAsia="宋体" w:cs="Times New Roman"/>
                <w:b w:val="0"/>
                <w:bCs w:val="0"/>
                <w:color w:val="auto"/>
                <w:sz w:val="21"/>
                <w:szCs w:val="21"/>
                <w:highlight w:val="none"/>
                <w:lang w:val="en-US" w:eastAsia="zh-CN"/>
              </w:rPr>
              <w:t>000</w:t>
            </w:r>
            <w:r>
              <w:rPr>
                <w:rFonts w:hint="default" w:ascii="Times New Roman" w:hAnsi="Times New Roman" w:eastAsia="宋体" w:cs="Times New Roman"/>
                <w:b w:val="0"/>
                <w:bCs w:val="0"/>
                <w:color w:val="auto"/>
                <w:sz w:val="21"/>
                <w:szCs w:val="21"/>
                <w:highlight w:val="none"/>
              </w:rPr>
              <w:t>~YK29+710/</w:t>
            </w:r>
          </w:p>
          <w:p>
            <w:pPr>
              <w:pStyle w:val="8"/>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rPr>
              <w:t>ZK29+730</w:t>
            </w:r>
            <w:r>
              <w:rPr>
                <w:rFonts w:hint="eastAsia" w:ascii="Times New Roman" w:eastAsia="宋体" w:cs="Times New Roman"/>
                <w:b w:val="0"/>
                <w:bCs w:val="0"/>
                <w:color w:val="auto"/>
                <w:sz w:val="21"/>
                <w:szCs w:val="21"/>
                <w:highlight w:val="none"/>
                <w:lang w:val="en-US" w:eastAsia="zh-CN" w:bidi="ar-SA"/>
              </w:rPr>
              <w:t>（土建工程）</w:t>
            </w:r>
          </w:p>
        </w:tc>
        <w:tc>
          <w:tcPr>
            <w:tcW w:w="1419" w:type="dxa"/>
            <w:noWrap w:val="0"/>
            <w:vAlign w:val="center"/>
          </w:tcPr>
          <w:p>
            <w:pPr>
              <w:pStyle w:val="8"/>
              <w:spacing w:line="240" w:lineRule="auto"/>
              <w:ind w:left="0" w:leftChars="0" w:firstLine="0" w:firstLineChars="0"/>
              <w:jc w:val="center"/>
              <w:rPr>
                <w:rFonts w:hint="default"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29.730</w:t>
            </w:r>
          </w:p>
        </w:tc>
        <w:tc>
          <w:tcPr>
            <w:tcW w:w="3550" w:type="dxa"/>
            <w:noWrap w:val="0"/>
            <w:vAlign w:val="top"/>
          </w:tcPr>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baseline"/>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招标范围内路基、桥涵、隧道、枢纽、互通、排水、防护、边坡绿化等工程的试验检测工作。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52" w:type="dxa"/>
            <w:noWrap w:val="0"/>
            <w:vAlign w:val="center"/>
          </w:tcPr>
          <w:p>
            <w:pPr>
              <w:keepNext w:val="0"/>
              <w:keepLines w:val="0"/>
              <w:pageBreakBefore w:val="0"/>
              <w:widowControl w:val="0"/>
              <w:kinsoku/>
              <w:wordWrap/>
              <w:overflowPunct/>
              <w:topLinePunct w:val="0"/>
              <w:bidi w:val="0"/>
              <w:adjustRightInd w:val="0"/>
              <w:snapToGrid/>
              <w:spacing w:line="240" w:lineRule="auto"/>
              <w:ind w:left="0" w:leftChars="0" w:firstLine="0" w:firstLineChars="0"/>
              <w:jc w:val="center"/>
              <w:textAlignment w:val="baseline"/>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bidi="ar-SA"/>
              </w:rPr>
              <w:t>DYZS</w:t>
            </w:r>
            <w:r>
              <w:rPr>
                <w:rFonts w:hint="eastAsia" w:ascii="宋体" w:hAnsi="宋体" w:eastAsia="宋体" w:cs="宋体"/>
                <w:b w:val="0"/>
                <w:bCs w:val="0"/>
                <w:color w:val="auto"/>
                <w:sz w:val="21"/>
                <w:szCs w:val="21"/>
                <w:highlight w:val="none"/>
                <w:vertAlign w:val="baseline"/>
                <w:lang w:val="en-US" w:eastAsia="zh-CN" w:bidi="ar-SA"/>
              </w:rPr>
              <w:t>-2</w:t>
            </w:r>
          </w:p>
        </w:tc>
        <w:tc>
          <w:tcPr>
            <w:tcW w:w="153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土建</w:t>
            </w:r>
            <w:r>
              <w:rPr>
                <w:rFonts w:hint="eastAsia" w:ascii="宋体" w:hAnsi="宋体" w:cs="宋体"/>
                <w:b w:val="0"/>
                <w:bCs w:val="0"/>
                <w:color w:val="auto"/>
                <w:sz w:val="21"/>
                <w:szCs w:val="21"/>
                <w:highlight w:val="none"/>
                <w:vertAlign w:val="baseline"/>
                <w:lang w:val="en-US" w:eastAsia="zh-CN"/>
              </w:rPr>
              <w:t>4</w:t>
            </w:r>
            <w:r>
              <w:rPr>
                <w:rFonts w:hint="eastAsia" w:ascii="宋体" w:hAnsi="宋体" w:eastAsia="宋体" w:cs="宋体"/>
                <w:b w:val="0"/>
                <w:bCs w:val="0"/>
                <w:color w:val="auto"/>
                <w:sz w:val="21"/>
                <w:szCs w:val="21"/>
                <w:highlight w:val="none"/>
                <w:vertAlign w:val="baseline"/>
                <w:lang w:val="en-US" w:eastAsia="zh-CN"/>
              </w:rPr>
              <w:t>、</w:t>
            </w:r>
            <w:r>
              <w:rPr>
                <w:rFonts w:hint="eastAsia" w:ascii="宋体" w:hAnsi="宋体" w:cs="宋体"/>
                <w:b w:val="0"/>
                <w:bCs w:val="0"/>
                <w:color w:val="auto"/>
                <w:sz w:val="21"/>
                <w:szCs w:val="21"/>
                <w:highlight w:val="none"/>
                <w:vertAlign w:val="baseline"/>
                <w:lang w:val="en-US" w:eastAsia="zh-CN"/>
              </w:rPr>
              <w:t>5、6、7</w:t>
            </w:r>
            <w:r>
              <w:rPr>
                <w:rFonts w:hint="eastAsia" w:ascii="宋体" w:hAnsi="宋体" w:eastAsia="宋体" w:cs="宋体"/>
                <w:b w:val="0"/>
                <w:bCs w:val="0"/>
                <w:color w:val="auto"/>
                <w:sz w:val="21"/>
                <w:szCs w:val="21"/>
                <w:highlight w:val="none"/>
                <w:vertAlign w:val="baseline"/>
                <w:lang w:val="en-US" w:eastAsia="zh-CN"/>
              </w:rPr>
              <w:t>标</w:t>
            </w:r>
          </w:p>
        </w:tc>
        <w:tc>
          <w:tcPr>
            <w:tcW w:w="2516" w:type="dxa"/>
            <w:noWrap w:val="0"/>
            <w:vAlign w:val="center"/>
          </w:tcPr>
          <w:p>
            <w:pPr>
              <w:pStyle w:val="8"/>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YK29+710/</w:t>
            </w:r>
          </w:p>
          <w:p>
            <w:pPr>
              <w:pStyle w:val="8"/>
              <w:spacing w:line="240" w:lineRule="auto"/>
              <w:ind w:left="0" w:leftChars="0" w:firstLine="0" w:firstLineChars="0"/>
              <w:jc w:val="center"/>
              <w:rPr>
                <w:rFonts w:hint="eastAsia" w:asci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ZK29+730</w:t>
            </w:r>
            <w:r>
              <w:rPr>
                <w:rFonts w:hint="default" w:ascii="Times New Roman" w:hAnsi="Times New Roman" w:eastAsia="宋体" w:cs="Times New Roman"/>
                <w:b w:val="0"/>
                <w:bCs w:val="0"/>
                <w:color w:val="auto"/>
                <w:sz w:val="21"/>
                <w:szCs w:val="21"/>
                <w:highlight w:val="none"/>
                <w:lang w:val="en-US" w:eastAsia="zh-CN" w:bidi="ar-SA"/>
              </w:rPr>
              <w:t>~ZK66+053.5/YK66+044.5</w:t>
            </w:r>
            <w:r>
              <w:rPr>
                <w:rFonts w:hint="eastAsia" w:ascii="Times New Roman" w:eastAsia="宋体" w:cs="Times New Roman"/>
                <w:b w:val="0"/>
                <w:bCs w:val="0"/>
                <w:color w:val="auto"/>
                <w:sz w:val="21"/>
                <w:szCs w:val="21"/>
                <w:highlight w:val="none"/>
                <w:lang w:val="en-US" w:eastAsia="zh-CN" w:bidi="ar-SA"/>
              </w:rPr>
              <w:t>（土建工程）、</w:t>
            </w:r>
          </w:p>
          <w:p>
            <w:pPr>
              <w:pStyle w:val="8"/>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rPr>
              <w:t>K0+</w:t>
            </w:r>
            <w:r>
              <w:rPr>
                <w:rFonts w:hint="default" w:ascii="Times New Roman" w:hAnsi="Times New Roman" w:eastAsia="宋体" w:cs="Times New Roman"/>
                <w:b w:val="0"/>
                <w:bCs w:val="0"/>
                <w:color w:val="auto"/>
                <w:sz w:val="21"/>
                <w:szCs w:val="21"/>
                <w:highlight w:val="none"/>
                <w:lang w:val="en-US" w:eastAsia="zh-CN"/>
              </w:rPr>
              <w:t>000</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val="en-US" w:eastAsia="zh-CN" w:bidi="ar-SA"/>
              </w:rPr>
              <w:t>K</w:t>
            </w:r>
            <w:r>
              <w:rPr>
                <w:rFonts w:hint="eastAsia" w:ascii="Times New Roman" w:eastAsia="宋体" w:cs="Times New Roman"/>
                <w:b w:val="0"/>
                <w:bCs w:val="0"/>
                <w:color w:val="auto"/>
                <w:sz w:val="21"/>
                <w:szCs w:val="21"/>
                <w:highlight w:val="none"/>
                <w:lang w:val="en-US" w:eastAsia="zh-CN" w:bidi="ar-SA"/>
              </w:rPr>
              <w:t>103</w:t>
            </w:r>
            <w:r>
              <w:rPr>
                <w:rFonts w:hint="default" w:ascii="Times New Roman" w:hAnsi="Times New Roman" w:eastAsia="宋体" w:cs="Times New Roman"/>
                <w:b w:val="0"/>
                <w:bCs w:val="0"/>
                <w:color w:val="auto"/>
                <w:sz w:val="21"/>
                <w:szCs w:val="21"/>
                <w:highlight w:val="none"/>
                <w:lang w:val="en-US" w:eastAsia="zh-CN" w:bidi="ar-SA"/>
              </w:rPr>
              <w:t>+</w:t>
            </w:r>
            <w:r>
              <w:rPr>
                <w:rFonts w:hint="eastAsia" w:ascii="Times New Roman" w:eastAsia="宋体" w:cs="Times New Roman"/>
                <w:b w:val="0"/>
                <w:bCs w:val="0"/>
                <w:color w:val="auto"/>
                <w:sz w:val="21"/>
                <w:szCs w:val="21"/>
                <w:highlight w:val="none"/>
                <w:lang w:val="en-US" w:eastAsia="zh-CN" w:bidi="ar-SA"/>
              </w:rPr>
              <w:t>800（路面）</w:t>
            </w:r>
          </w:p>
        </w:tc>
        <w:tc>
          <w:tcPr>
            <w:tcW w:w="1419" w:type="dxa"/>
            <w:noWrap w:val="0"/>
            <w:vAlign w:val="center"/>
          </w:tcPr>
          <w:p>
            <w:pPr>
              <w:pStyle w:val="8"/>
              <w:spacing w:line="240" w:lineRule="auto"/>
              <w:ind w:left="0" w:leftChars="0" w:firstLine="0" w:firstLineChars="0"/>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bidi="ar-SA"/>
              </w:rPr>
              <w:t>36.3345</w:t>
            </w:r>
          </w:p>
        </w:tc>
        <w:tc>
          <w:tcPr>
            <w:tcW w:w="3550" w:type="dxa"/>
            <w:noWrap w:val="0"/>
            <w:vAlign w:val="top"/>
          </w:tcPr>
          <w:p>
            <w:pPr>
              <w:pStyle w:val="8"/>
              <w:keepNext w:val="0"/>
              <w:keepLines w:val="0"/>
              <w:pageBreakBefore w:val="0"/>
              <w:widowControl w:val="0"/>
              <w:kinsoku/>
              <w:wordWrap/>
              <w:overflowPunct/>
              <w:topLinePunct w:val="0"/>
              <w:autoSpaceDE w:val="0"/>
              <w:autoSpaceDN w:val="0"/>
              <w:bidi w:val="0"/>
              <w:adjustRightInd w:val="0"/>
              <w:snapToGrid/>
              <w:spacing w:before="157" w:beforeLines="50" w:line="240" w:lineRule="auto"/>
              <w:ind w:left="0" w:leftChars="0" w:firstLine="0" w:firstLineChars="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1、招标范围内路基、桥涵、隧道、枢纽、互通、排水、防护、边坡绿化等工程的试验检测工作。</w:t>
            </w:r>
          </w:p>
          <w:p>
            <w:pPr>
              <w:pStyle w:val="8"/>
              <w:keepNext w:val="0"/>
              <w:keepLines w:val="0"/>
              <w:pageBreakBefore w:val="0"/>
              <w:widowControl w:val="0"/>
              <w:kinsoku/>
              <w:wordWrap/>
              <w:overflowPunct/>
              <w:topLinePunct w:val="0"/>
              <w:autoSpaceDE w:val="0"/>
              <w:autoSpaceDN w:val="0"/>
              <w:bidi w:val="0"/>
              <w:adjustRightInd w:val="0"/>
              <w:snapToGrid/>
              <w:spacing w:before="157" w:beforeLines="50" w:line="240" w:lineRule="auto"/>
              <w:ind w:left="0" w:leftChars="0" w:firstLine="0" w:firstLineChars="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2、项目全线路面工程的试验检测工作。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52" w:type="dxa"/>
            <w:noWrap w:val="0"/>
            <w:vAlign w:val="center"/>
          </w:tcPr>
          <w:p>
            <w:pPr>
              <w:keepNext w:val="0"/>
              <w:keepLines w:val="0"/>
              <w:pageBreakBefore w:val="0"/>
              <w:widowControl w:val="0"/>
              <w:kinsoku/>
              <w:wordWrap/>
              <w:overflowPunct/>
              <w:topLinePunct w:val="0"/>
              <w:bidi w:val="0"/>
              <w:adjustRightInd w:val="0"/>
              <w:snapToGrid/>
              <w:spacing w:line="240" w:lineRule="auto"/>
              <w:ind w:left="0" w:leftChars="0" w:firstLine="0" w:firstLineChars="0"/>
              <w:jc w:val="center"/>
              <w:textAlignment w:val="baseline"/>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bidi="ar-SA"/>
              </w:rPr>
              <w:t>DYZS</w:t>
            </w:r>
            <w:r>
              <w:rPr>
                <w:rFonts w:hint="eastAsia" w:ascii="宋体" w:hAnsi="宋体" w:eastAsia="宋体" w:cs="宋体"/>
                <w:b w:val="0"/>
                <w:bCs w:val="0"/>
                <w:color w:val="auto"/>
                <w:sz w:val="21"/>
                <w:szCs w:val="21"/>
                <w:highlight w:val="none"/>
                <w:vertAlign w:val="baseline"/>
                <w:lang w:val="en-US" w:eastAsia="zh-CN" w:bidi="ar-SA"/>
              </w:rPr>
              <w:t>-3</w:t>
            </w:r>
          </w:p>
        </w:tc>
        <w:tc>
          <w:tcPr>
            <w:tcW w:w="153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土建</w:t>
            </w:r>
            <w:r>
              <w:rPr>
                <w:rFonts w:hint="eastAsia" w:ascii="宋体" w:hAnsi="宋体" w:cs="宋体"/>
                <w:b w:val="0"/>
                <w:bCs w:val="0"/>
                <w:color w:val="auto"/>
                <w:sz w:val="21"/>
                <w:szCs w:val="21"/>
                <w:highlight w:val="none"/>
                <w:vertAlign w:val="baseline"/>
                <w:lang w:val="en-US" w:eastAsia="zh-CN"/>
              </w:rPr>
              <w:t>8</w:t>
            </w:r>
            <w:r>
              <w:rPr>
                <w:rFonts w:hint="eastAsia" w:ascii="宋体" w:hAnsi="宋体" w:eastAsia="宋体" w:cs="宋体"/>
                <w:b w:val="0"/>
                <w:bCs w:val="0"/>
                <w:color w:val="auto"/>
                <w:sz w:val="21"/>
                <w:szCs w:val="21"/>
                <w:highlight w:val="none"/>
                <w:vertAlign w:val="baseline"/>
                <w:lang w:val="en-US" w:eastAsia="zh-CN"/>
              </w:rPr>
              <w:t>、</w:t>
            </w:r>
            <w:r>
              <w:rPr>
                <w:rFonts w:hint="eastAsia" w:ascii="宋体" w:hAnsi="宋体" w:cs="宋体"/>
                <w:b w:val="0"/>
                <w:bCs w:val="0"/>
                <w:color w:val="auto"/>
                <w:sz w:val="21"/>
                <w:szCs w:val="21"/>
                <w:highlight w:val="none"/>
                <w:vertAlign w:val="baseline"/>
                <w:lang w:val="en-US" w:eastAsia="zh-CN"/>
              </w:rPr>
              <w:t>9、10</w:t>
            </w:r>
            <w:r>
              <w:rPr>
                <w:rFonts w:hint="eastAsia" w:ascii="宋体" w:hAnsi="宋体" w:eastAsia="宋体" w:cs="宋体"/>
                <w:b w:val="0"/>
                <w:bCs w:val="0"/>
                <w:color w:val="auto"/>
                <w:sz w:val="21"/>
                <w:szCs w:val="21"/>
                <w:highlight w:val="none"/>
                <w:vertAlign w:val="baseline"/>
                <w:lang w:val="en-US" w:eastAsia="zh-CN"/>
              </w:rPr>
              <w:t>标</w:t>
            </w:r>
          </w:p>
        </w:tc>
        <w:tc>
          <w:tcPr>
            <w:tcW w:w="2516" w:type="dxa"/>
            <w:noWrap w:val="0"/>
            <w:vAlign w:val="center"/>
          </w:tcPr>
          <w:p>
            <w:pPr>
              <w:pStyle w:val="8"/>
              <w:spacing w:line="240" w:lineRule="auto"/>
              <w:ind w:left="0" w:leftChars="0" w:firstLine="0" w:firstLineChars="0"/>
              <w:jc w:val="center"/>
              <w:rPr>
                <w:rFonts w:hint="eastAsia" w:asci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bidi="ar-SA"/>
              </w:rPr>
              <w:t>ZK66+053.5/YK66+044.5~K</w:t>
            </w:r>
            <w:r>
              <w:rPr>
                <w:rFonts w:hint="eastAsia" w:ascii="Times New Roman" w:eastAsia="宋体" w:cs="Times New Roman"/>
                <w:b w:val="0"/>
                <w:bCs w:val="0"/>
                <w:color w:val="auto"/>
                <w:sz w:val="21"/>
                <w:szCs w:val="21"/>
                <w:highlight w:val="none"/>
                <w:lang w:val="en-US" w:eastAsia="zh-CN" w:bidi="ar-SA"/>
              </w:rPr>
              <w:t>103</w:t>
            </w:r>
            <w:r>
              <w:rPr>
                <w:rFonts w:hint="default" w:ascii="Times New Roman" w:hAnsi="Times New Roman" w:eastAsia="宋体" w:cs="Times New Roman"/>
                <w:b w:val="0"/>
                <w:bCs w:val="0"/>
                <w:color w:val="auto"/>
                <w:sz w:val="21"/>
                <w:szCs w:val="21"/>
                <w:highlight w:val="none"/>
                <w:lang w:val="en-US" w:eastAsia="zh-CN" w:bidi="ar-SA"/>
              </w:rPr>
              <w:t>+</w:t>
            </w:r>
            <w:r>
              <w:rPr>
                <w:rFonts w:hint="eastAsia" w:ascii="Times New Roman" w:eastAsia="宋体" w:cs="Times New Roman"/>
                <w:b w:val="0"/>
                <w:bCs w:val="0"/>
                <w:color w:val="auto"/>
                <w:sz w:val="21"/>
                <w:szCs w:val="21"/>
                <w:highlight w:val="none"/>
                <w:lang w:val="en-US" w:eastAsia="zh-CN" w:bidi="ar-SA"/>
              </w:rPr>
              <w:t>800（土建工程）</w:t>
            </w:r>
          </w:p>
          <w:p>
            <w:pPr>
              <w:pStyle w:val="8"/>
              <w:spacing w:line="240" w:lineRule="auto"/>
              <w:ind w:left="0" w:leftChars="0" w:firstLine="0" w:firstLineChars="0"/>
              <w:jc w:val="center"/>
              <w:rPr>
                <w:rFonts w:hint="default" w:asci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K0+</w:t>
            </w:r>
            <w:r>
              <w:rPr>
                <w:rFonts w:hint="default" w:ascii="Times New Roman" w:hAnsi="Times New Roman" w:eastAsia="宋体" w:cs="Times New Roman"/>
                <w:b w:val="0"/>
                <w:bCs w:val="0"/>
                <w:color w:val="auto"/>
                <w:sz w:val="21"/>
                <w:szCs w:val="21"/>
                <w:highlight w:val="none"/>
                <w:lang w:val="en-US" w:eastAsia="zh-CN"/>
              </w:rPr>
              <w:t>000</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val="en-US" w:eastAsia="zh-CN" w:bidi="ar-SA"/>
              </w:rPr>
              <w:t>K</w:t>
            </w:r>
            <w:r>
              <w:rPr>
                <w:rFonts w:hint="eastAsia" w:ascii="Times New Roman" w:eastAsia="宋体" w:cs="Times New Roman"/>
                <w:b w:val="0"/>
                <w:bCs w:val="0"/>
                <w:color w:val="auto"/>
                <w:sz w:val="21"/>
                <w:szCs w:val="21"/>
                <w:highlight w:val="none"/>
                <w:lang w:val="en-US" w:eastAsia="zh-CN" w:bidi="ar-SA"/>
              </w:rPr>
              <w:t>103</w:t>
            </w:r>
            <w:r>
              <w:rPr>
                <w:rFonts w:hint="default" w:ascii="Times New Roman" w:hAnsi="Times New Roman" w:eastAsia="宋体" w:cs="Times New Roman"/>
                <w:b w:val="0"/>
                <w:bCs w:val="0"/>
                <w:color w:val="auto"/>
                <w:sz w:val="21"/>
                <w:szCs w:val="21"/>
                <w:highlight w:val="none"/>
                <w:lang w:val="en-US" w:eastAsia="zh-CN" w:bidi="ar-SA"/>
              </w:rPr>
              <w:t>+</w:t>
            </w:r>
            <w:r>
              <w:rPr>
                <w:rFonts w:hint="eastAsia" w:ascii="Times New Roman" w:eastAsia="宋体" w:cs="Times New Roman"/>
                <w:b w:val="0"/>
                <w:bCs w:val="0"/>
                <w:color w:val="auto"/>
                <w:sz w:val="21"/>
                <w:szCs w:val="21"/>
                <w:highlight w:val="none"/>
                <w:lang w:val="en-US" w:eastAsia="zh-CN" w:bidi="ar-SA"/>
              </w:rPr>
              <w:t>800（房建、机电、交安、景观绿化等附属）</w:t>
            </w:r>
          </w:p>
        </w:tc>
        <w:tc>
          <w:tcPr>
            <w:tcW w:w="1419" w:type="dxa"/>
            <w:noWrap w:val="0"/>
            <w:vAlign w:val="center"/>
          </w:tcPr>
          <w:p>
            <w:pPr>
              <w:pStyle w:val="8"/>
              <w:spacing w:line="240" w:lineRule="auto"/>
              <w:ind w:left="0" w:leftChars="0" w:firstLine="0" w:firstLineChars="0"/>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bidi="ar-SA"/>
              </w:rPr>
              <w:t>37.7465</w:t>
            </w:r>
          </w:p>
        </w:tc>
        <w:tc>
          <w:tcPr>
            <w:tcW w:w="3550" w:type="dxa"/>
            <w:noWrap w:val="0"/>
            <w:vAlign w:val="top"/>
          </w:tcPr>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before="157" w:beforeLines="50" w:line="240" w:lineRule="auto"/>
              <w:ind w:left="0" w:leftChars="0" w:firstLine="0" w:firstLineChars="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招标范围内路基、桥涵、隧道、枢纽、互通、排水、防护、边坡绿化等工程；</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before="157" w:beforeLines="50" w:line="240" w:lineRule="auto"/>
              <w:ind w:left="0" w:leftChars="0" w:firstLine="0" w:firstLineChars="0"/>
              <w:jc w:val="left"/>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lang w:val="en-US" w:eastAsia="zh-CN"/>
              </w:rPr>
              <w:t>项目全线房建、机电、交安、景观绿化等附属工程的试验检测工作。</w:t>
            </w:r>
          </w:p>
        </w:tc>
      </w:tr>
    </w:tbl>
    <w:p>
      <w:pPr>
        <w:pStyle w:val="8"/>
        <w:keepNext w:val="0"/>
        <w:keepLines w:val="0"/>
        <w:pageBreakBefore w:val="0"/>
        <w:widowControl w:val="0"/>
        <w:kinsoku/>
        <w:wordWrap/>
        <w:overflowPunct/>
        <w:topLinePunct w:val="0"/>
        <w:autoSpaceDE w:val="0"/>
        <w:autoSpaceDN w:val="0"/>
        <w:bidi w:val="0"/>
        <w:adjustRightInd w:val="0"/>
        <w:snapToGrid/>
        <w:spacing w:before="157" w:beforeLines="50"/>
        <w:ind w:left="0" w:leftChars="0" w:firstLine="0" w:firstLineChars="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2"/>
          <w:szCs w:val="18"/>
          <w:highlight w:val="none"/>
          <w:lang w:eastAsia="zh-CN"/>
        </w:rPr>
        <w:t>注：</w:t>
      </w:r>
      <w:bookmarkEnd w:id="6"/>
      <w:bookmarkEnd w:id="7"/>
      <w:bookmarkStart w:id="8" w:name="_Toc515517630"/>
      <w:r>
        <w:rPr>
          <w:rFonts w:hint="eastAsia" w:ascii="宋体" w:hAnsi="宋体" w:eastAsia="宋体" w:cs="宋体"/>
          <w:b w:val="0"/>
          <w:bCs w:val="0"/>
          <w:color w:val="auto"/>
          <w:sz w:val="22"/>
          <w:szCs w:val="18"/>
          <w:highlight w:val="none"/>
          <w:lang w:val="en-US" w:eastAsia="zh-CN"/>
        </w:rPr>
        <w:t>本</w:t>
      </w:r>
      <w:r>
        <w:rPr>
          <w:rFonts w:hint="eastAsia" w:ascii="宋体" w:hAnsi="宋体" w:eastAsia="宋体" w:cs="宋体"/>
          <w:b w:val="0"/>
          <w:bCs w:val="0"/>
          <w:color w:val="auto"/>
          <w:sz w:val="21"/>
          <w:szCs w:val="21"/>
          <w:highlight w:val="none"/>
          <w:lang w:val="en-US" w:eastAsia="zh-CN"/>
        </w:rPr>
        <w:t>项目不设置驻监办工地试验室，中心试验室需负责对应的驻监办按规范规定的抽检频率送检的试验检测工作。</w:t>
      </w:r>
    </w:p>
    <w:p>
      <w:pPr>
        <w:pStyle w:val="2"/>
        <w:numPr>
          <w:ilvl w:val="0"/>
          <w:numId w:val="0"/>
        </w:numPr>
        <w:jc w:val="both"/>
        <w:rPr>
          <w:rFonts w:hint="default"/>
          <w:sz w:val="2"/>
          <w:szCs w:val="2"/>
          <w:lang w:val="en-US" w:eastAsia="zh-CN"/>
        </w:rPr>
      </w:pPr>
    </w:p>
    <w:p>
      <w:pPr>
        <w:spacing w:before="120" w:beforeLines="50" w:line="300" w:lineRule="auto"/>
        <w:outlineLvl w:val="2"/>
        <w:rPr>
          <w:rFonts w:ascii="Arial" w:hAnsi="Arial" w:eastAsia="黑体" w:cs="Arial"/>
          <w:color w:val="auto"/>
          <w:sz w:val="24"/>
          <w:szCs w:val="24"/>
          <w:highlight w:val="none"/>
        </w:rPr>
      </w:pPr>
      <w:r>
        <w:rPr>
          <w:rFonts w:hint="eastAsia" w:asciiTheme="minorEastAsia" w:hAnsiTheme="minorEastAsia" w:eastAsiaTheme="minorEastAsia" w:cstheme="minorEastAsia"/>
          <w:color w:val="auto"/>
          <w:sz w:val="24"/>
          <w:szCs w:val="24"/>
          <w:highlight w:val="none"/>
        </w:rPr>
        <w:t>三、投标人资格</w:t>
      </w:r>
      <w:bookmarkEnd w:id="8"/>
    </w:p>
    <w:p>
      <w:pPr>
        <w:adjustRightInd w:val="0"/>
        <w:snapToGrid w:val="0"/>
        <w:spacing w:line="360" w:lineRule="auto"/>
        <w:ind w:firstLine="480" w:firstLineChars="200"/>
        <w:rPr>
          <w:color w:val="auto"/>
          <w:sz w:val="24"/>
          <w:szCs w:val="24"/>
          <w:highlight w:val="none"/>
        </w:rPr>
      </w:pPr>
      <w:bookmarkStart w:id="9" w:name="_Toc442431568"/>
      <w:bookmarkStart w:id="10" w:name="_Toc330366391"/>
      <w:bookmarkStart w:id="11" w:name="_Toc329932153"/>
      <w:bookmarkStart w:id="12" w:name="_Toc504690802"/>
      <w:r>
        <w:rPr>
          <w:rFonts w:hint="eastAsia"/>
          <w:color w:val="auto"/>
          <w:sz w:val="24"/>
          <w:szCs w:val="24"/>
          <w:highlight w:val="none"/>
        </w:rPr>
        <w:t>（一）投标申请人资格要求：</w:t>
      </w:r>
    </w:p>
    <w:p>
      <w:pPr>
        <w:adjustRightInd w:val="0"/>
        <w:snapToGrid w:val="0"/>
        <w:spacing w:line="360" w:lineRule="auto"/>
        <w:ind w:firstLine="480" w:firstLineChars="200"/>
        <w:rPr>
          <w:color w:val="auto"/>
          <w:sz w:val="24"/>
          <w:highlight w:val="none"/>
        </w:rPr>
      </w:pPr>
      <w:r>
        <w:rPr>
          <w:rFonts w:hint="eastAsia"/>
          <w:color w:val="auto"/>
          <w:sz w:val="24"/>
          <w:highlight w:val="none"/>
        </w:rPr>
        <w:t>1、具有独立法人资格的试验检测机构（或其为非独立法人的下属机构或部门的试验检测机构），持有有效的营业执照或事业单位法人证书；</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、具备交通质量监督部门颁发的公路工程试验检测综合类甲级资质，并同时具有有效的的计量认证证书（计量认证证书附表须含相应的内容）</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7"/>
          <w:highlight w:val="none"/>
        </w:rPr>
      </w:pPr>
      <w:r>
        <w:rPr>
          <w:rFonts w:hint="eastAsia" w:ascii="宋体" w:hAnsi="宋体" w:cs="Times New Roman"/>
          <w:color w:val="auto"/>
          <w:sz w:val="24"/>
          <w:szCs w:val="24"/>
          <w:highlight w:val="none"/>
          <w:lang w:val="en-US" w:eastAsia="zh-CN" w:bidi="ar-SA"/>
        </w:rPr>
        <w:t>3</w:t>
      </w:r>
      <w:r>
        <w:rPr>
          <w:rFonts w:hint="eastAsia" w:ascii="宋体" w:hAnsi="宋体" w:eastAsia="宋体" w:cs="Times New Roman"/>
          <w:color w:val="auto"/>
          <w:sz w:val="24"/>
          <w:szCs w:val="24"/>
          <w:highlight w:val="none"/>
          <w:lang w:val="en-US" w:eastAsia="zh-CN" w:bidi="ar-SA"/>
        </w:rPr>
        <w:t>、投标</w:t>
      </w:r>
      <w:r>
        <w:rPr>
          <w:rFonts w:hint="eastAsia" w:ascii="宋体" w:hAnsi="宋体"/>
          <w:color w:val="auto"/>
          <w:sz w:val="24"/>
          <w:szCs w:val="27"/>
          <w:highlight w:val="none"/>
        </w:rPr>
        <w:t>人不得存在下列不良状况或不良信用记录：</w:t>
      </w:r>
    </w:p>
    <w:p>
      <w:pPr>
        <w:spacing w:line="360" w:lineRule="auto"/>
        <w:ind w:firstLine="480" w:firstLineChars="200"/>
        <w:rPr>
          <w:rFonts w:ascii="宋体" w:hAnsi="宋体"/>
          <w:color w:val="auto"/>
          <w:sz w:val="24"/>
          <w:szCs w:val="27"/>
          <w:highlight w:val="none"/>
        </w:rPr>
      </w:pPr>
      <w:r>
        <w:rPr>
          <w:rFonts w:hint="eastAsia" w:ascii="宋体" w:hAnsi="宋体"/>
          <w:color w:val="auto"/>
          <w:sz w:val="24"/>
          <w:szCs w:val="27"/>
          <w:highlight w:val="none"/>
        </w:rPr>
        <w:t>（1）被省级及以上交通运输主管部门取消招标项目所在地的投标资格且处于有效期内；</w:t>
      </w:r>
    </w:p>
    <w:p>
      <w:pPr>
        <w:spacing w:line="360" w:lineRule="auto"/>
        <w:ind w:firstLine="480" w:firstLineChars="200"/>
        <w:rPr>
          <w:rFonts w:ascii="宋体" w:hAnsi="宋体"/>
          <w:color w:val="auto"/>
          <w:sz w:val="24"/>
          <w:szCs w:val="27"/>
          <w:highlight w:val="none"/>
        </w:rPr>
      </w:pPr>
      <w:r>
        <w:rPr>
          <w:rFonts w:hint="eastAsia" w:ascii="宋体" w:hAnsi="宋体"/>
          <w:color w:val="auto"/>
          <w:sz w:val="24"/>
          <w:szCs w:val="27"/>
          <w:highlight w:val="none"/>
        </w:rPr>
        <w:t>（2）被责令停业，暂扣或吊销执照，或吊销资质证书；</w:t>
      </w:r>
    </w:p>
    <w:p>
      <w:pPr>
        <w:spacing w:line="360" w:lineRule="auto"/>
        <w:ind w:firstLine="480" w:firstLineChars="200"/>
        <w:rPr>
          <w:rFonts w:ascii="宋体" w:hAnsi="宋体"/>
          <w:color w:val="auto"/>
          <w:sz w:val="24"/>
          <w:szCs w:val="27"/>
          <w:highlight w:val="none"/>
        </w:rPr>
      </w:pPr>
      <w:r>
        <w:rPr>
          <w:rFonts w:hint="eastAsia" w:ascii="宋体" w:hAnsi="宋体"/>
          <w:color w:val="auto"/>
          <w:sz w:val="24"/>
          <w:szCs w:val="27"/>
          <w:highlight w:val="none"/>
        </w:rPr>
        <w:t>（3）进入清算程序，或被宣告破产，或其他丧失履约能力的情形；</w:t>
      </w:r>
    </w:p>
    <w:p>
      <w:pPr>
        <w:spacing w:line="360" w:lineRule="auto"/>
        <w:ind w:firstLine="480" w:firstLineChars="200"/>
        <w:rPr>
          <w:rFonts w:ascii="宋体" w:hAnsi="宋体"/>
          <w:color w:val="auto"/>
          <w:sz w:val="24"/>
          <w:szCs w:val="27"/>
          <w:highlight w:val="none"/>
        </w:rPr>
      </w:pPr>
      <w:r>
        <w:rPr>
          <w:rFonts w:hint="eastAsia" w:ascii="宋体" w:hAnsi="宋体"/>
          <w:color w:val="auto"/>
          <w:sz w:val="24"/>
          <w:szCs w:val="27"/>
          <w:highlight w:val="none"/>
        </w:rPr>
        <w:t>（4）在国家企业信用信息公示系统（http</w:t>
      </w:r>
      <w:r>
        <w:rPr>
          <w:rFonts w:hint="eastAsia" w:ascii="宋体" w:hAnsi="宋体"/>
          <w:color w:val="auto"/>
          <w:sz w:val="24"/>
          <w:szCs w:val="27"/>
          <w:highlight w:val="none"/>
          <w:lang w:eastAsia="zh-CN"/>
        </w:rPr>
        <w:t>：</w:t>
      </w:r>
      <w:r>
        <w:rPr>
          <w:rFonts w:hint="eastAsia" w:ascii="宋体" w:hAnsi="宋体"/>
          <w:color w:val="auto"/>
          <w:sz w:val="24"/>
          <w:szCs w:val="27"/>
          <w:highlight w:val="none"/>
        </w:rPr>
        <w:t>//www.gsxt.gov.cn/</w:t>
      </w:r>
      <w:r>
        <w:rPr>
          <w:rFonts w:ascii="宋体" w:hAnsi="宋体"/>
          <w:color w:val="auto"/>
          <w:sz w:val="24"/>
          <w:szCs w:val="27"/>
          <w:highlight w:val="none"/>
        </w:rPr>
        <w:t>）</w:t>
      </w:r>
      <w:r>
        <w:rPr>
          <w:rFonts w:hint="eastAsia" w:ascii="宋体" w:hAnsi="宋体"/>
          <w:color w:val="auto"/>
          <w:sz w:val="24"/>
          <w:szCs w:val="27"/>
          <w:highlight w:val="none"/>
        </w:rPr>
        <w:t>中被列入严重违法失信企业名单；</w:t>
      </w:r>
    </w:p>
    <w:p>
      <w:pPr>
        <w:spacing w:line="360" w:lineRule="auto"/>
        <w:ind w:firstLine="480" w:firstLineChars="200"/>
        <w:rPr>
          <w:rFonts w:ascii="宋体" w:hAnsi="宋体"/>
          <w:color w:val="auto"/>
          <w:sz w:val="24"/>
          <w:szCs w:val="27"/>
          <w:highlight w:val="none"/>
        </w:rPr>
      </w:pPr>
      <w:r>
        <w:rPr>
          <w:rFonts w:hint="eastAsia" w:ascii="宋体" w:hAnsi="宋体"/>
          <w:color w:val="auto"/>
          <w:sz w:val="24"/>
          <w:szCs w:val="27"/>
          <w:highlight w:val="none"/>
        </w:rPr>
        <w:t>（5）在“信用中国”网站（http：//www.creditchina.gov.cn/</w:t>
      </w:r>
      <w:r>
        <w:rPr>
          <w:rFonts w:ascii="宋体" w:hAnsi="宋体"/>
          <w:color w:val="auto"/>
          <w:sz w:val="24"/>
          <w:szCs w:val="27"/>
          <w:highlight w:val="none"/>
        </w:rPr>
        <w:t>）</w:t>
      </w:r>
      <w:r>
        <w:rPr>
          <w:rFonts w:hint="eastAsia" w:ascii="宋体" w:hAnsi="宋体"/>
          <w:color w:val="auto"/>
          <w:sz w:val="24"/>
          <w:szCs w:val="27"/>
          <w:highlight w:val="none"/>
        </w:rPr>
        <w:t>中被列入失信被执行人名单；</w:t>
      </w:r>
    </w:p>
    <w:p>
      <w:pPr>
        <w:spacing w:line="360" w:lineRule="auto"/>
        <w:ind w:firstLine="480" w:firstLineChars="200"/>
        <w:rPr>
          <w:rFonts w:ascii="宋体" w:hAnsi="宋体"/>
          <w:strike w:val="0"/>
          <w:dstrike w:val="0"/>
          <w:color w:val="auto"/>
          <w:sz w:val="24"/>
          <w:szCs w:val="27"/>
          <w:highlight w:val="none"/>
        </w:rPr>
      </w:pPr>
      <w:r>
        <w:rPr>
          <w:rFonts w:hint="eastAsia" w:ascii="宋体" w:hAnsi="宋体"/>
          <w:strike w:val="0"/>
          <w:dstrike w:val="0"/>
          <w:color w:val="auto"/>
          <w:sz w:val="24"/>
          <w:szCs w:val="27"/>
          <w:highlight w:val="none"/>
        </w:rPr>
        <w:t>（6）投标人或其法定代表人、拟委任的</w:t>
      </w:r>
      <w:r>
        <w:rPr>
          <w:rFonts w:hint="eastAsia" w:ascii="宋体" w:hAnsi="宋体"/>
          <w:strike w:val="0"/>
          <w:dstrike w:val="0"/>
          <w:color w:val="auto"/>
          <w:sz w:val="24"/>
          <w:szCs w:val="27"/>
          <w:highlight w:val="none"/>
          <w:lang w:eastAsia="zh-CN"/>
        </w:rPr>
        <w:t>中心试验室主任</w:t>
      </w:r>
      <w:r>
        <w:rPr>
          <w:rFonts w:hint="eastAsia" w:ascii="宋体" w:hAnsi="宋体"/>
          <w:strike w:val="0"/>
          <w:dstrike w:val="0"/>
          <w:color w:val="auto"/>
          <w:sz w:val="24"/>
          <w:szCs w:val="27"/>
          <w:highlight w:val="none"/>
        </w:rPr>
        <w:t>在近三年内有行贿犯罪行为的（行贿犯罪行为的认定改至评标结束后，由招标人通过中国裁判文书网对中标候选人进行查询）；</w:t>
      </w:r>
    </w:p>
    <w:p>
      <w:pPr>
        <w:spacing w:line="360" w:lineRule="auto"/>
        <w:ind w:firstLine="480" w:firstLineChars="200"/>
        <w:rPr>
          <w:rFonts w:ascii="宋体" w:hAnsi="宋体"/>
          <w:color w:val="auto"/>
          <w:sz w:val="24"/>
          <w:szCs w:val="27"/>
          <w:highlight w:val="none"/>
        </w:rPr>
      </w:pPr>
      <w:r>
        <w:rPr>
          <w:rFonts w:hint="eastAsia" w:ascii="宋体" w:hAnsi="宋体"/>
          <w:color w:val="auto"/>
          <w:sz w:val="24"/>
          <w:szCs w:val="27"/>
          <w:highlight w:val="none"/>
        </w:rPr>
        <w:t>（7）投标人最近三年内在工程建设领域发生过重大或特别重大安全事故；</w:t>
      </w:r>
    </w:p>
    <w:p>
      <w:pPr>
        <w:spacing w:line="360" w:lineRule="auto"/>
        <w:ind w:firstLine="480" w:firstLineChars="200"/>
        <w:rPr>
          <w:rFonts w:ascii="宋体" w:hAnsi="宋体"/>
          <w:color w:val="auto"/>
          <w:sz w:val="24"/>
          <w:szCs w:val="27"/>
          <w:highlight w:val="none"/>
        </w:rPr>
      </w:pPr>
      <w:r>
        <w:rPr>
          <w:rFonts w:hint="eastAsia" w:ascii="宋体" w:hAnsi="宋体"/>
          <w:color w:val="auto"/>
          <w:sz w:val="24"/>
          <w:szCs w:val="27"/>
          <w:highlight w:val="none"/>
        </w:rPr>
        <w:t>（8）投标人在贵州省建设市场发生过重大违约问题；</w:t>
      </w:r>
    </w:p>
    <w:p>
      <w:pPr>
        <w:spacing w:line="360" w:lineRule="auto"/>
        <w:ind w:firstLine="480" w:firstLineChars="200"/>
        <w:rPr>
          <w:color w:val="auto"/>
          <w:highlight w:val="none"/>
        </w:rPr>
      </w:pPr>
      <w:r>
        <w:rPr>
          <w:rFonts w:hint="eastAsia" w:ascii="宋体" w:hAnsi="宋体"/>
          <w:color w:val="auto"/>
          <w:sz w:val="24"/>
          <w:szCs w:val="27"/>
          <w:highlight w:val="none"/>
        </w:rPr>
        <w:t>（9）投标人最新公布的信用评价结果为D级。</w:t>
      </w:r>
    </w:p>
    <w:p>
      <w:pPr>
        <w:keepNext w:val="0"/>
        <w:keepLines w:val="0"/>
        <w:pageBreakBefore w:val="0"/>
        <w:widowControl w:val="0"/>
        <w:numPr>
          <w:ilvl w:val="0"/>
          <w:numId w:val="3"/>
        </w:numPr>
        <w:kinsoku/>
        <w:wordWrap/>
        <w:overflowPunct/>
        <w:topLinePunct w:val="0"/>
        <w:bidi w:val="0"/>
        <w:adjustRightInd w:val="0"/>
        <w:snapToGrid/>
        <w:spacing w:line="360" w:lineRule="auto"/>
        <w:ind w:firstLine="480" w:firstLineChars="200"/>
        <w:textAlignment w:val="baseline"/>
        <w:rPr>
          <w:rFonts w:hint="eastAsia" w:ascii="宋体" w:hAnsi="宋体" w:eastAsia="宋体" w:cs="宋体"/>
          <w:color w:val="auto"/>
          <w:kern w:val="2"/>
          <w:sz w:val="24"/>
          <w:szCs w:val="22"/>
          <w:highlight w:val="none"/>
          <w:lang w:val="en-US" w:eastAsia="zh-CN" w:bidi="ar-SA"/>
        </w:rPr>
      </w:pPr>
      <w:r>
        <w:rPr>
          <w:rFonts w:hint="eastAsia" w:ascii="宋体" w:hAnsi="宋体"/>
          <w:color w:val="auto"/>
          <w:sz w:val="24"/>
          <w:szCs w:val="24"/>
          <w:highlight w:val="none"/>
        </w:rPr>
        <w:t>项目负责人资格要求：</w:t>
      </w:r>
    </w:p>
    <w:p>
      <w:pPr>
        <w:pStyle w:val="8"/>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both"/>
        <w:textAlignment w:val="baseline"/>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中心试验室主任：具有工程师及以上职称，持有交通运输部质量监督局（站）或交通运输部职业资格中心颁发的试验检测工程师证书或试验检测师，5年以上公路工程试验检测工作经验。</w:t>
      </w:r>
    </w:p>
    <w:p>
      <w:pPr>
        <w:numPr>
          <w:ilvl w:val="0"/>
          <w:numId w:val="3"/>
        </w:numPr>
        <w:spacing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投标人应按标段提出投标申请，投标申请数量按下表规定执行：</w:t>
      </w:r>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1680"/>
        <w:gridCol w:w="1680"/>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b/>
                <w:bCs/>
                <w:color w:val="auto"/>
                <w:highlight w:val="none"/>
                <w:vertAlign w:val="baseline"/>
              </w:rPr>
            </w:pPr>
            <w:r>
              <w:rPr>
                <w:rFonts w:hint="eastAsia" w:ascii="宋体"/>
                <w:b/>
                <w:bCs/>
                <w:color w:val="auto"/>
                <w:sz w:val="21"/>
                <w:highlight w:val="none"/>
              </w:rPr>
              <w:t>投标人最新信用评价等级</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b/>
                <w:bCs/>
                <w:color w:val="auto"/>
                <w:highlight w:val="none"/>
                <w:vertAlign w:val="baseline"/>
              </w:rPr>
            </w:pPr>
            <w:r>
              <w:rPr>
                <w:rFonts w:hint="default" w:ascii="Arial"/>
                <w:b/>
                <w:bCs/>
                <w:color w:val="auto"/>
                <w:sz w:val="21"/>
                <w:highlight w:val="none"/>
              </w:rPr>
              <w:t>AA</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b/>
                <w:bCs/>
                <w:color w:val="auto"/>
                <w:highlight w:val="none"/>
                <w:vertAlign w:val="baseline"/>
              </w:rPr>
            </w:pPr>
            <w:r>
              <w:rPr>
                <w:rFonts w:hint="default" w:ascii="Arial"/>
                <w:b/>
                <w:bCs/>
                <w:color w:val="auto"/>
                <w:sz w:val="21"/>
                <w:highlight w:val="none"/>
              </w:rPr>
              <w:t>A</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b/>
                <w:bCs/>
                <w:color w:val="auto"/>
                <w:highlight w:val="none"/>
                <w:vertAlign w:val="baseline"/>
              </w:rPr>
            </w:pPr>
            <w:r>
              <w:rPr>
                <w:rFonts w:hint="default" w:ascii="Arial"/>
                <w:b/>
                <w:bCs/>
                <w:color w:val="auto"/>
                <w:sz w:val="21"/>
                <w:highlight w:val="none"/>
              </w:rPr>
              <w:t>B</w:t>
            </w:r>
          </w:p>
        </w:tc>
        <w:tc>
          <w:tcPr>
            <w:tcW w:w="1680" w:type="dxa"/>
            <w:noWrap w:val="0"/>
            <w:vAlign w:val="center"/>
          </w:tcPr>
          <w:p>
            <w:pPr>
              <w:pStyle w:val="8"/>
              <w:numPr>
                <w:ilvl w:val="0"/>
                <w:numId w:val="0"/>
              </w:numPr>
              <w:jc w:val="center"/>
              <w:rPr>
                <w:rFonts w:hint="eastAsia" w:eastAsia="仿宋_GB2312"/>
                <w:b/>
                <w:bCs/>
                <w:color w:val="auto"/>
                <w:highlight w:val="none"/>
                <w:vertAlign w:val="baseline"/>
                <w:lang w:val="en-US" w:eastAsia="zh-CN"/>
              </w:rPr>
            </w:pPr>
            <w:r>
              <w:rPr>
                <w:rFonts w:hint="eastAsia" w:ascii="Arial" w:hAnsi="Times New Roman" w:eastAsia="宋体" w:cs="Times New Roman"/>
                <w:b/>
                <w:bCs/>
                <w:color w:val="auto"/>
                <w:sz w:val="21"/>
                <w:szCs w:val="22"/>
                <w:highlight w:val="none"/>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b/>
                <w:bCs/>
                <w:color w:val="auto"/>
                <w:highlight w:val="none"/>
                <w:vertAlign w:val="baseline"/>
              </w:rPr>
            </w:pPr>
            <w:r>
              <w:rPr>
                <w:rFonts w:hint="eastAsia" w:ascii="宋体"/>
                <w:b/>
                <w:bCs/>
                <w:color w:val="auto"/>
                <w:sz w:val="21"/>
                <w:highlight w:val="none"/>
              </w:rPr>
              <w:t>投标人可申请投标标段数量</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rFonts w:hint="eastAsia" w:eastAsia="宋体"/>
                <w:color w:val="auto"/>
                <w:highlight w:val="none"/>
                <w:vertAlign w:val="baseline"/>
                <w:lang w:eastAsia="zh-CN"/>
              </w:rPr>
            </w:pPr>
            <w:r>
              <w:rPr>
                <w:rFonts w:hint="eastAsia" w:ascii="Arial"/>
                <w:color w:val="auto"/>
                <w:sz w:val="21"/>
                <w:highlight w:val="none"/>
                <w:lang w:val="en-US" w:eastAsia="zh-CN"/>
              </w:rPr>
              <w:t>3</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color w:val="auto"/>
                <w:highlight w:val="none"/>
                <w:vertAlign w:val="baseline"/>
              </w:rPr>
            </w:pPr>
            <w:r>
              <w:rPr>
                <w:rFonts w:hint="default" w:ascii="Arial"/>
                <w:color w:val="auto"/>
                <w:sz w:val="21"/>
                <w:highlight w:val="none"/>
              </w:rPr>
              <w:t>2</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color w:val="auto"/>
                <w:highlight w:val="none"/>
                <w:vertAlign w:val="baseline"/>
              </w:rPr>
            </w:pPr>
            <w:r>
              <w:rPr>
                <w:rFonts w:hint="default" w:ascii="Arial"/>
                <w:color w:val="auto"/>
                <w:sz w:val="21"/>
                <w:highlight w:val="none"/>
              </w:rPr>
              <w:t>1</w:t>
            </w:r>
          </w:p>
        </w:tc>
        <w:tc>
          <w:tcPr>
            <w:tcW w:w="1680" w:type="dxa"/>
            <w:noWrap w:val="0"/>
            <w:vAlign w:val="center"/>
          </w:tcPr>
          <w:p>
            <w:pPr>
              <w:pStyle w:val="8"/>
              <w:numPr>
                <w:ilvl w:val="0"/>
                <w:numId w:val="0"/>
              </w:numPr>
              <w:jc w:val="center"/>
              <w:rPr>
                <w:rFonts w:hint="eastAsia" w:ascii="Arial" w:hAnsi="Times New Roman" w:eastAsia="宋体" w:cs="Times New Roman"/>
                <w:color w:val="auto"/>
                <w:sz w:val="21"/>
                <w:szCs w:val="22"/>
                <w:highlight w:val="none"/>
                <w:lang w:val="en-US" w:eastAsia="zh-CN" w:bidi="ar-SA"/>
              </w:rPr>
            </w:pPr>
            <w:r>
              <w:rPr>
                <w:rFonts w:hint="eastAsia" w:ascii="Arial" w:hAnsi="Times New Roman" w:eastAsia="宋体" w:cs="Times New Roman"/>
                <w:color w:val="auto"/>
                <w:sz w:val="21"/>
                <w:szCs w:val="22"/>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b/>
                <w:bCs/>
                <w:color w:val="auto"/>
                <w:highlight w:val="none"/>
                <w:vertAlign w:val="baseline"/>
              </w:rPr>
            </w:pPr>
            <w:r>
              <w:rPr>
                <w:rFonts w:hint="eastAsia" w:ascii="宋体"/>
                <w:b/>
                <w:bCs/>
                <w:color w:val="auto"/>
                <w:sz w:val="21"/>
                <w:highlight w:val="none"/>
              </w:rPr>
              <w:t>投标人可中标标段数量</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rFonts w:hint="eastAsia" w:eastAsia="宋体"/>
                <w:color w:val="auto"/>
                <w:highlight w:val="none"/>
                <w:vertAlign w:val="baseline"/>
                <w:lang w:eastAsia="zh-CN"/>
              </w:rPr>
            </w:pPr>
            <w:r>
              <w:rPr>
                <w:rFonts w:hint="eastAsia" w:ascii="Arial"/>
                <w:color w:val="auto"/>
                <w:sz w:val="21"/>
                <w:highlight w:val="none"/>
                <w:lang w:val="en-US" w:eastAsia="zh-CN"/>
              </w:rPr>
              <w:t>1</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color w:val="auto"/>
                <w:highlight w:val="none"/>
                <w:vertAlign w:val="baseline"/>
              </w:rPr>
            </w:pPr>
            <w:r>
              <w:rPr>
                <w:rFonts w:hint="default" w:ascii="Arial"/>
                <w:color w:val="auto"/>
                <w:sz w:val="21"/>
                <w:highlight w:val="none"/>
              </w:rPr>
              <w:t>1</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color w:val="auto"/>
                <w:highlight w:val="none"/>
                <w:vertAlign w:val="baseline"/>
              </w:rPr>
            </w:pPr>
            <w:r>
              <w:rPr>
                <w:rFonts w:hint="default" w:ascii="Arial"/>
                <w:color w:val="auto"/>
                <w:sz w:val="21"/>
                <w:highlight w:val="none"/>
              </w:rPr>
              <w:t>1</w:t>
            </w:r>
          </w:p>
        </w:tc>
        <w:tc>
          <w:tcPr>
            <w:tcW w:w="1680" w:type="dxa"/>
            <w:noWrap w:val="0"/>
            <w:vAlign w:val="center"/>
          </w:tcPr>
          <w:p>
            <w:pPr>
              <w:pStyle w:val="8"/>
              <w:numPr>
                <w:ilvl w:val="0"/>
                <w:numId w:val="0"/>
              </w:numPr>
              <w:jc w:val="center"/>
              <w:rPr>
                <w:rFonts w:hint="eastAsia" w:ascii="Arial" w:hAnsi="Times New Roman" w:eastAsia="宋体" w:cs="Times New Roman"/>
                <w:color w:val="auto"/>
                <w:sz w:val="21"/>
                <w:szCs w:val="22"/>
                <w:highlight w:val="none"/>
                <w:lang w:val="en-US" w:eastAsia="zh-CN" w:bidi="ar-SA"/>
              </w:rPr>
            </w:pPr>
            <w:r>
              <w:rPr>
                <w:rFonts w:hint="eastAsia" w:ascii="Arial" w:hAnsi="Times New Roman" w:eastAsia="宋体" w:cs="Times New Roman"/>
                <w:color w:val="auto"/>
                <w:sz w:val="21"/>
                <w:szCs w:val="22"/>
                <w:highlight w:val="none"/>
                <w:lang w:val="en-US" w:eastAsia="zh-CN" w:bidi="ar-SA"/>
              </w:rPr>
              <w:t>1</w:t>
            </w:r>
          </w:p>
        </w:tc>
      </w:tr>
    </w:tbl>
    <w:p>
      <w:pPr>
        <w:pStyle w:val="8"/>
        <w:numPr>
          <w:ilvl w:val="0"/>
          <w:numId w:val="0"/>
        </w:numPr>
        <w:ind w:leftChars="200"/>
        <w:rPr>
          <w:color w:val="auto"/>
          <w:highlight w:val="none"/>
        </w:rPr>
      </w:pP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（四）本次招标</w:t>
      </w:r>
      <w:r>
        <w:rPr>
          <w:rFonts w:hint="eastAsia"/>
          <w:color w:val="auto"/>
          <w:sz w:val="24"/>
          <w:szCs w:val="24"/>
          <w:highlight w:val="none"/>
          <w:u w:val="single"/>
        </w:rPr>
        <w:t>不接受</w:t>
      </w:r>
      <w:r>
        <w:rPr>
          <w:rFonts w:hint="eastAsia"/>
          <w:color w:val="auto"/>
          <w:sz w:val="24"/>
          <w:szCs w:val="24"/>
          <w:highlight w:val="none"/>
        </w:rPr>
        <w:t>联合体投标。</w:t>
      </w:r>
    </w:p>
    <w:p>
      <w:pPr>
        <w:adjustRightIn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（五）其他</w:t>
      </w:r>
    </w:p>
    <w:p>
      <w:pPr>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本项目采用资格后审方式。</w:t>
      </w:r>
    </w:p>
    <w:p>
      <w:pPr>
        <w:adjustRightInd/>
        <w:spacing w:line="360" w:lineRule="auto"/>
        <w:ind w:firstLine="480" w:firstLineChars="200"/>
        <w:textAlignment w:val="auto"/>
        <w:rPr>
          <w:rFonts w:hint="eastAsia" w:ascii="宋体" w:hAnsi="宋体" w:cs="Times New Roman"/>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s="Times New Roman"/>
          <w:color w:val="auto"/>
          <w:sz w:val="24"/>
          <w:szCs w:val="24"/>
          <w:highlight w:val="none"/>
        </w:rPr>
        <w:t>对投标人信用等级的认定条件为：投标企业信用等级的最终引用将</w:t>
      </w:r>
      <w:r>
        <w:rPr>
          <w:rFonts w:hint="eastAsia" w:ascii="宋体" w:hAnsi="宋体" w:cs="Times New Roman"/>
          <w:color w:val="auto"/>
          <w:sz w:val="24"/>
          <w:szCs w:val="24"/>
          <w:highlight w:val="none"/>
          <w:lang w:eastAsia="zh-CN"/>
        </w:rPr>
        <w:t>参</w:t>
      </w:r>
      <w:r>
        <w:rPr>
          <w:rFonts w:hint="eastAsia" w:ascii="宋体" w:hAnsi="宋体" w:cs="Times New Roman"/>
          <w:color w:val="auto"/>
          <w:sz w:val="24"/>
          <w:szCs w:val="24"/>
          <w:highlight w:val="none"/>
        </w:rPr>
        <w:t>照《贵州省交通运输厅关于印发《贵州省高速公路设计施工企业信用评价实施细则（试行）》的通知》黔交建设〔2016〕279号文件及《贵州省交通运输厅关于高速公路设计施工企业信用评价结果引用的补充通知》黔交建设〔2016〕291号文件的中有关规定执行，投标人按以下优先顺序使用评价结果：</w:t>
      </w:r>
    </w:p>
    <w:p>
      <w:pPr>
        <w:adjustRightInd/>
        <w:spacing w:line="360" w:lineRule="auto"/>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a、</w:t>
      </w:r>
      <w:r>
        <w:rPr>
          <w:rFonts w:hint="eastAsia" w:ascii="宋体" w:hAnsi="宋体" w:cs="Times New Roman"/>
          <w:color w:val="auto"/>
          <w:sz w:val="24"/>
          <w:szCs w:val="24"/>
          <w:highlight w:val="none"/>
        </w:rPr>
        <w:t>交通运输部的信用评级等级；</w:t>
      </w:r>
      <w:r>
        <w:rPr>
          <w:rFonts w:hint="eastAsia" w:ascii="宋体" w:hAnsi="宋体" w:cs="Times New Roman"/>
          <w:color w:val="auto"/>
          <w:sz w:val="24"/>
          <w:szCs w:val="24"/>
          <w:highlight w:val="none"/>
          <w:lang w:val="en-US" w:eastAsia="zh-CN"/>
        </w:rPr>
        <w:t>b、</w:t>
      </w:r>
      <w:r>
        <w:rPr>
          <w:rFonts w:hint="eastAsia" w:ascii="宋体" w:hAnsi="宋体" w:cs="Times New Roman"/>
          <w:color w:val="auto"/>
          <w:sz w:val="24"/>
          <w:szCs w:val="24"/>
          <w:highlight w:val="none"/>
        </w:rPr>
        <w:t>投标单位注册地交通运输厅（局、委）的信用评价等级</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投标人在注册地交通运输厅（局、委）评价等级结果应填入投标人注册地交通运输厅（局、委）最新公布的评价结果并提供相关查询网址以便招标人进行查询）。</w:t>
      </w:r>
    </w:p>
    <w:p>
      <w:pPr>
        <w:adjustRightInd/>
        <w:spacing w:line="360" w:lineRule="auto"/>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无上述信用评价等级时，其信用评价等级按以下原则确定：</w:t>
      </w:r>
    </w:p>
    <w:p>
      <w:pPr>
        <w:adjustRightInd/>
        <w:spacing w:line="360" w:lineRule="auto"/>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——没有发现不良信用记录的，按A级对待；</w:t>
      </w:r>
    </w:p>
    <w:p>
      <w:pPr>
        <w:adjustRightInd/>
        <w:spacing w:line="360" w:lineRule="auto"/>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——有一般不良记录的，按B级对待；</w:t>
      </w:r>
    </w:p>
    <w:p>
      <w:pPr>
        <w:adjustRightInd/>
        <w:spacing w:line="360" w:lineRule="auto"/>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——仅有1次达到直接定为D级不良记录的，或仅有2次达到直接定为C级不良记录的，按 C 级对待；</w:t>
      </w:r>
    </w:p>
    <w:p>
      <w:pPr>
        <w:adjustRightInd/>
        <w:spacing w:line="360" w:lineRule="auto"/>
        <w:ind w:firstLine="480" w:firstLineChars="200"/>
        <w:textAlignment w:val="auto"/>
        <w:rPr>
          <w:rFonts w:ascii="宋体" w:hAnsi="宋体" w:cs="Arial"/>
          <w:color w:val="auto"/>
          <w:sz w:val="24"/>
          <w:szCs w:val="24"/>
          <w:highlight w:val="none"/>
        </w:rPr>
      </w:pPr>
      <w:r>
        <w:rPr>
          <w:rFonts w:hint="eastAsia" w:ascii="宋体" w:hAnsi="宋体" w:cs="Times New Roman"/>
          <w:color w:val="auto"/>
          <w:sz w:val="24"/>
          <w:szCs w:val="24"/>
          <w:highlight w:val="none"/>
        </w:rPr>
        <w:t>——发生直接定为D级不良记录超过 1 次的，或直接定为 C 级不良记录超过2 次的，或直接定为D、C级不良记录合计 2 次的，按D级对待。</w:t>
      </w:r>
    </w:p>
    <w:p>
      <w:pPr>
        <w:numPr>
          <w:ilvl w:val="0"/>
          <w:numId w:val="4"/>
        </w:numPr>
        <w:spacing w:line="360" w:lineRule="auto"/>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与招标人存在利害关系可能影响招标公正性的单位，不得参加投标。单位负责人为同一人或者存在控股、管理关系的不同单位，不得参加同一标段投标，否则，相关投标均无效。</w:t>
      </w:r>
    </w:p>
    <w:p>
      <w:pPr>
        <w:pStyle w:val="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Arial" w:eastAsiaTheme="minorEastAsia"/>
          <w:color w:val="auto"/>
          <w:sz w:val="24"/>
          <w:szCs w:val="24"/>
          <w:highlight w:val="none"/>
          <w:lang w:val="en-US" w:eastAsia="en-US" w:bidi="ar-SA"/>
        </w:rPr>
      </w:pPr>
      <w:r>
        <w:rPr>
          <w:rFonts w:hint="eastAsia" w:ascii="宋体" w:hAnsi="宋体" w:cs="Arial" w:eastAsiaTheme="minorEastAsia"/>
          <w:color w:val="auto"/>
          <w:sz w:val="24"/>
          <w:szCs w:val="24"/>
          <w:highlight w:val="none"/>
          <w:lang w:val="en-US" w:eastAsia="zh-CN" w:bidi="ar-SA"/>
        </w:rPr>
        <w:t>4、投标人或单位负责人为同一人或者存在控股、管理关系的不同单位的投标人不能在本项目中心试验室与同期招标的监理项目同时被推荐为中标人，若在本项目评标前同期招标的监理项目的中标人已确定，中标人将不再被推荐为本项目的中标候选人。</w:t>
      </w:r>
    </w:p>
    <w:p>
      <w:pPr>
        <w:spacing w:before="120" w:beforeLines="50" w:line="360" w:lineRule="auto"/>
        <w:outlineLvl w:val="2"/>
        <w:rPr>
          <w:rFonts w:hint="eastAsia" w:asciiTheme="minorEastAsia" w:hAnsiTheme="minorEastAsia" w:eastAsiaTheme="minorEastAsia" w:cstheme="minorEastAsia"/>
          <w:b w:val="0"/>
          <w:bCs w:val="0"/>
          <w:color w:val="auto"/>
          <w:sz w:val="24"/>
          <w:szCs w:val="24"/>
          <w:highlight w:val="none"/>
        </w:rPr>
      </w:pPr>
      <w:bookmarkStart w:id="13" w:name="_Toc515517631"/>
      <w:r>
        <w:rPr>
          <w:rFonts w:hint="eastAsia" w:asciiTheme="minorEastAsia" w:hAnsiTheme="minorEastAsia" w:eastAsiaTheme="minorEastAsia" w:cstheme="minorEastAsia"/>
          <w:b w:val="0"/>
          <w:bCs w:val="0"/>
          <w:color w:val="auto"/>
          <w:sz w:val="24"/>
          <w:szCs w:val="24"/>
          <w:highlight w:val="none"/>
        </w:rPr>
        <w:t>四、招标文件的获取</w:t>
      </w:r>
      <w:bookmarkEnd w:id="9"/>
      <w:bookmarkEnd w:id="10"/>
      <w:bookmarkEnd w:id="11"/>
      <w:bookmarkEnd w:id="12"/>
      <w:bookmarkEnd w:id="13"/>
    </w:p>
    <w:p>
      <w:pPr>
        <w:adjustRightInd w:val="0"/>
        <w:snapToGrid w:val="0"/>
        <w:spacing w:line="360" w:lineRule="auto"/>
        <w:ind w:right="-187" w:rightChars="-85" w:firstLine="480" w:firstLineChars="200"/>
        <w:jc w:val="left"/>
        <w:rPr>
          <w:color w:val="auto"/>
          <w:sz w:val="24"/>
          <w:szCs w:val="24"/>
          <w:highlight w:val="none"/>
        </w:rPr>
      </w:pPr>
      <w:bookmarkStart w:id="14" w:name="_Toc329932154"/>
      <w:bookmarkStart w:id="15" w:name="_Toc330366392"/>
      <w:bookmarkStart w:id="16" w:name="_Toc442431569"/>
      <w:bookmarkStart w:id="17" w:name="_Toc515517632"/>
      <w:bookmarkStart w:id="18" w:name="_Toc504690803"/>
      <w:r>
        <w:rPr>
          <w:rFonts w:hint="eastAsia"/>
          <w:color w:val="auto"/>
          <w:sz w:val="24"/>
          <w:szCs w:val="24"/>
          <w:highlight w:val="none"/>
        </w:rPr>
        <w:t>（一） 招标文件可于</w:t>
      </w:r>
      <w:r>
        <w:rPr>
          <w:rFonts w:hint="eastAsia"/>
          <w:color w:val="auto"/>
          <w:sz w:val="24"/>
          <w:szCs w:val="24"/>
          <w:highlight w:val="none"/>
          <w:u w:val="single"/>
          <w:lang w:val="en-US" w:eastAsia="zh-CN"/>
        </w:rPr>
        <w:t>2020-08-29</w:t>
      </w:r>
      <w:r>
        <w:rPr>
          <w:rFonts w:hint="eastAsia"/>
          <w:color w:val="auto"/>
          <w:sz w:val="24"/>
          <w:szCs w:val="24"/>
          <w:highlight w:val="none"/>
        </w:rPr>
        <w:t>至</w:t>
      </w:r>
      <w:r>
        <w:rPr>
          <w:rFonts w:hint="eastAsia"/>
          <w:color w:val="auto"/>
          <w:sz w:val="24"/>
          <w:szCs w:val="24"/>
          <w:highlight w:val="none"/>
          <w:u w:val="single"/>
        </w:rPr>
        <w:t>2020-0</w:t>
      </w:r>
      <w:r>
        <w:rPr>
          <w:rFonts w:hint="eastAsia"/>
          <w:color w:val="auto"/>
          <w:sz w:val="24"/>
          <w:szCs w:val="24"/>
          <w:highlight w:val="none"/>
          <w:u w:val="single"/>
          <w:lang w:val="en-US" w:eastAsia="zh-CN"/>
        </w:rPr>
        <w:t>9</w:t>
      </w:r>
      <w:r>
        <w:rPr>
          <w:rFonts w:hint="eastAsia"/>
          <w:color w:val="auto"/>
          <w:sz w:val="24"/>
          <w:szCs w:val="24"/>
          <w:highlight w:val="none"/>
          <w:u w:val="single"/>
        </w:rPr>
        <w:t>-</w:t>
      </w:r>
      <w:r>
        <w:rPr>
          <w:rFonts w:hint="eastAsia"/>
          <w:color w:val="auto"/>
          <w:sz w:val="24"/>
          <w:szCs w:val="24"/>
          <w:highlight w:val="none"/>
          <w:u w:val="single"/>
          <w:lang w:val="en-US" w:eastAsia="zh-CN"/>
        </w:rPr>
        <w:t>04</w:t>
      </w:r>
      <w:bookmarkStart w:id="33" w:name="_GoBack"/>
      <w:bookmarkEnd w:id="33"/>
      <w:r>
        <w:rPr>
          <w:rFonts w:hint="eastAsia"/>
          <w:color w:val="auto"/>
          <w:sz w:val="24"/>
          <w:szCs w:val="24"/>
          <w:highlight w:val="none"/>
        </w:rPr>
        <w:t>，在</w:t>
      </w:r>
      <w:r>
        <w:rPr>
          <w:rFonts w:hint="eastAsia"/>
          <w:color w:val="auto"/>
          <w:sz w:val="24"/>
          <w:szCs w:val="24"/>
          <w:highlight w:val="none"/>
          <w:lang w:eastAsia="zh-CN"/>
        </w:rPr>
        <w:t>贵州省公共资源交易云</w:t>
      </w:r>
      <w:r>
        <w:rPr>
          <w:rFonts w:hint="eastAsia"/>
          <w:color w:val="auto"/>
          <w:sz w:val="24"/>
          <w:szCs w:val="24"/>
          <w:highlight w:val="none"/>
        </w:rPr>
        <w:t>（http://ggzy.guizhou.gov.cn/)购买下载。</w:t>
      </w:r>
    </w:p>
    <w:p>
      <w:pPr>
        <w:tabs>
          <w:tab w:val="left" w:pos="3780"/>
          <w:tab w:val="left" w:pos="4620"/>
          <w:tab w:val="left" w:pos="5220"/>
          <w:tab w:val="left" w:pos="5740"/>
          <w:tab w:val="left" w:pos="6540"/>
          <w:tab w:val="left" w:pos="7100"/>
          <w:tab w:val="left" w:pos="7260"/>
          <w:tab w:val="left" w:pos="7980"/>
          <w:tab w:val="left" w:pos="8540"/>
        </w:tabs>
        <w:autoSpaceDE w:val="0"/>
        <w:autoSpaceDN w:val="0"/>
        <w:adjustRightInd w:val="0"/>
        <w:snapToGrid w:val="0"/>
        <w:spacing w:line="360" w:lineRule="auto"/>
        <w:ind w:right="66" w:firstLine="420" w:firstLineChars="175"/>
        <w:jc w:val="left"/>
        <w:rPr>
          <w:rFonts w:hint="eastAsia" w:ascii="宋体"/>
          <w:color w:val="auto"/>
          <w:sz w:val="24"/>
          <w:szCs w:val="24"/>
          <w:highlight w:val="none"/>
        </w:rPr>
      </w:pPr>
      <w:r>
        <w:rPr>
          <w:rFonts w:hint="eastAsia"/>
          <w:color w:val="auto"/>
          <w:sz w:val="24"/>
          <w:szCs w:val="24"/>
          <w:highlight w:val="none"/>
        </w:rPr>
        <w:t>（二）</w:t>
      </w:r>
      <w:r>
        <w:rPr>
          <w:rFonts w:hint="eastAsia" w:ascii="宋体"/>
          <w:color w:val="auto"/>
          <w:sz w:val="24"/>
          <w:szCs w:val="24"/>
          <w:highlight w:val="none"/>
        </w:rPr>
        <w:t>招标文件每套售价</w:t>
      </w:r>
      <w:r>
        <w:rPr>
          <w:rFonts w:hint="eastAsia" w:ascii="宋体"/>
          <w:color w:val="auto"/>
          <w:sz w:val="24"/>
          <w:szCs w:val="24"/>
          <w:highlight w:val="none"/>
          <w:u w:val="single"/>
        </w:rPr>
        <w:t>500</w:t>
      </w:r>
      <w:r>
        <w:rPr>
          <w:rFonts w:hint="eastAsia" w:ascii="宋体"/>
          <w:color w:val="auto"/>
          <w:sz w:val="24"/>
          <w:szCs w:val="24"/>
          <w:highlight w:val="none"/>
        </w:rPr>
        <w:t>元、图纸及其他资料每套售价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15</w:t>
      </w:r>
      <w:r>
        <w:rPr>
          <w:rFonts w:hint="eastAsia"/>
          <w:color w:val="auto"/>
          <w:sz w:val="24"/>
          <w:szCs w:val="24"/>
          <w:highlight w:val="none"/>
          <w:u w:val="single"/>
        </w:rPr>
        <w:t xml:space="preserve">00 </w:t>
      </w:r>
      <w:r>
        <w:rPr>
          <w:rFonts w:hint="eastAsia" w:ascii="宋体"/>
          <w:color w:val="auto"/>
          <w:sz w:val="24"/>
          <w:szCs w:val="24"/>
          <w:highlight w:val="none"/>
        </w:rPr>
        <w:t>元。</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五、投标文件的递交</w:t>
      </w:r>
      <w:bookmarkEnd w:id="14"/>
      <w:bookmarkEnd w:id="15"/>
      <w:bookmarkEnd w:id="16"/>
      <w:r>
        <w:rPr>
          <w:rFonts w:hint="eastAsia" w:asciiTheme="minorEastAsia" w:hAnsiTheme="minorEastAsia" w:eastAsiaTheme="minorEastAsia" w:cstheme="minorEastAsia"/>
          <w:color w:val="auto"/>
          <w:sz w:val="24"/>
          <w:szCs w:val="24"/>
          <w:highlight w:val="none"/>
        </w:rPr>
        <w:t>及相关事宜</w:t>
      </w:r>
      <w:bookmarkEnd w:id="17"/>
      <w:bookmarkEnd w:id="18"/>
    </w:p>
    <w:p>
      <w:pPr>
        <w:tabs>
          <w:tab w:val="left" w:pos="2380"/>
          <w:tab w:val="left" w:pos="2620"/>
          <w:tab w:val="left" w:pos="2980"/>
          <w:tab w:val="left" w:pos="3220"/>
          <w:tab w:val="left" w:pos="3580"/>
          <w:tab w:val="left" w:pos="3820"/>
          <w:tab w:val="left" w:pos="4180"/>
          <w:tab w:val="left" w:pos="4420"/>
          <w:tab w:val="left" w:pos="7780"/>
          <w:tab w:val="left" w:pos="8020"/>
        </w:tabs>
        <w:autoSpaceDE w:val="0"/>
        <w:autoSpaceDN w:val="0"/>
        <w:adjustRightInd w:val="0"/>
        <w:snapToGrid w:val="0"/>
        <w:spacing w:line="360" w:lineRule="auto"/>
        <w:ind w:firstLine="424" w:firstLineChars="177"/>
        <w:jc w:val="left"/>
        <w:rPr>
          <w:rFonts w:ascii="宋体" w:hAnsi="宋体"/>
          <w:color w:val="auto"/>
          <w:sz w:val="24"/>
          <w:szCs w:val="24"/>
          <w:highlight w:val="none"/>
        </w:rPr>
      </w:pPr>
      <w:bookmarkStart w:id="19" w:name="_Toc504690804"/>
      <w:bookmarkStart w:id="20" w:name="_Toc329932155"/>
      <w:bookmarkStart w:id="21" w:name="_Toc515517633"/>
      <w:bookmarkStart w:id="22" w:name="_Toc442431570"/>
      <w:bookmarkStart w:id="23" w:name="_Toc330366393"/>
      <w:r>
        <w:rPr>
          <w:rFonts w:hint="eastAsia" w:ascii="宋体" w:hAnsi="宋体"/>
          <w:color w:val="auto"/>
          <w:sz w:val="24"/>
          <w:szCs w:val="24"/>
          <w:highlight w:val="none"/>
        </w:rPr>
        <w:t>（一） 递交投标文件的截止时间为</w:t>
      </w:r>
      <w:r>
        <w:rPr>
          <w:rFonts w:hint="eastAsia"/>
          <w:color w:val="auto"/>
          <w:sz w:val="24"/>
          <w:szCs w:val="24"/>
          <w:highlight w:val="none"/>
          <w:u w:val="single"/>
          <w:lang w:val="en-US" w:eastAsia="zh-CN"/>
        </w:rPr>
        <w:t>2020-09-23 11:00:00</w:t>
      </w:r>
      <w:r>
        <w:rPr>
          <w:rFonts w:hint="eastAsia"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color w:val="auto"/>
          <w:sz w:val="24"/>
          <w:szCs w:val="24"/>
          <w:highlight w:val="none"/>
        </w:rPr>
        <w:t>地点：</w:t>
      </w:r>
      <w:r>
        <w:rPr>
          <w:rFonts w:hint="eastAsia" w:ascii="宋体"/>
          <w:color w:val="auto"/>
          <w:sz w:val="24"/>
          <w:szCs w:val="24"/>
          <w:highlight w:val="none"/>
          <w:u w:val="single"/>
        </w:rPr>
        <w:t>贵州省公共资源交易中心（贵阳市遵义路65号）</w:t>
      </w:r>
      <w:r>
        <w:rPr>
          <w:rFonts w:hint="eastAsia" w:ascii="宋体" w:hAnsi="宋体"/>
          <w:color w:val="auto"/>
          <w:sz w:val="24"/>
          <w:szCs w:val="24"/>
          <w:highlight w:val="none"/>
        </w:rPr>
        <w:t>。</w:t>
      </w:r>
    </w:p>
    <w:p>
      <w:pPr>
        <w:autoSpaceDE w:val="0"/>
        <w:autoSpaceDN w:val="0"/>
        <w:adjustRightInd w:val="0"/>
        <w:snapToGrid w:val="0"/>
        <w:spacing w:line="360" w:lineRule="auto"/>
        <w:ind w:firstLine="424" w:firstLineChars="177"/>
        <w:jc w:val="left"/>
        <w:rPr>
          <w:rFonts w:hint="eastAsia" w:ascii="宋体"/>
          <w:color w:val="auto"/>
          <w:sz w:val="24"/>
          <w:szCs w:val="24"/>
          <w:highlight w:val="none"/>
        </w:rPr>
      </w:pPr>
      <w:r>
        <w:rPr>
          <w:rFonts w:hint="eastAsia"/>
          <w:color w:val="auto"/>
          <w:sz w:val="24"/>
          <w:szCs w:val="24"/>
          <w:highlight w:val="none"/>
        </w:rPr>
        <w:t>（二）</w:t>
      </w:r>
      <w:r>
        <w:rPr>
          <w:rFonts w:hint="eastAsia" w:ascii="宋体"/>
          <w:color w:val="auto"/>
          <w:sz w:val="24"/>
          <w:szCs w:val="24"/>
          <w:highlight w:val="none"/>
        </w:rPr>
        <w:t>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六、发布公告的媒介</w:t>
      </w:r>
      <w:bookmarkEnd w:id="19"/>
      <w:bookmarkEnd w:id="20"/>
      <w:bookmarkEnd w:id="21"/>
      <w:bookmarkEnd w:id="22"/>
      <w:bookmarkEnd w:id="23"/>
    </w:p>
    <w:p>
      <w:pPr>
        <w:spacing w:line="360" w:lineRule="auto"/>
        <w:outlineLvl w:val="2"/>
        <w:rPr>
          <w:rFonts w:hint="eastAsia" w:ascii="宋体" w:hAnsi="宋体"/>
          <w:color w:val="auto"/>
          <w:sz w:val="24"/>
          <w:szCs w:val="24"/>
          <w:highlight w:val="none"/>
        </w:rPr>
      </w:pPr>
      <w:bookmarkStart w:id="24" w:name="_Toc515517634"/>
      <w:bookmarkStart w:id="25" w:name="_Toc504690805"/>
      <w:bookmarkStart w:id="26" w:name="_Toc442431571"/>
      <w:r>
        <w:rPr>
          <w:rFonts w:hint="eastAsia" w:ascii="宋体" w:hAnsi="宋体"/>
          <w:color w:val="auto"/>
          <w:sz w:val="24"/>
          <w:szCs w:val="24"/>
          <w:highlight w:val="none"/>
        </w:rPr>
        <w:t>本次招标公告同时在</w:t>
      </w:r>
      <w:r>
        <w:rPr>
          <w:rFonts w:hint="eastAsia" w:ascii="宋体" w:hAnsi="宋体"/>
          <w:color w:val="auto"/>
          <w:sz w:val="24"/>
          <w:szCs w:val="24"/>
          <w:highlight w:val="none"/>
          <w:u w:val="single"/>
          <w:lang w:eastAsia="zh-CN"/>
        </w:rPr>
        <w:t>贵州省公共资源交易云</w:t>
      </w:r>
      <w:r>
        <w:rPr>
          <w:rFonts w:hint="eastAsia" w:ascii="宋体" w:hAnsi="宋体"/>
          <w:color w:val="auto"/>
          <w:sz w:val="24"/>
          <w:szCs w:val="24"/>
          <w:highlight w:val="none"/>
          <w:u w:val="single"/>
        </w:rPr>
        <w:t>、贵州省招标投标公共服务平台、贵州省</w:t>
      </w:r>
      <w:r>
        <w:rPr>
          <w:rFonts w:hint="eastAsia" w:ascii="宋体" w:hAnsi="宋体"/>
          <w:color w:val="auto"/>
          <w:sz w:val="24"/>
          <w:szCs w:val="24"/>
          <w:highlight w:val="none"/>
          <w:u w:val="single"/>
          <w:lang w:eastAsia="zh-CN"/>
        </w:rPr>
        <w:t>交通运输厅门户</w:t>
      </w:r>
      <w:r>
        <w:rPr>
          <w:rFonts w:hint="eastAsia" w:ascii="宋体" w:hAnsi="宋体"/>
          <w:color w:val="auto"/>
          <w:sz w:val="24"/>
          <w:szCs w:val="24"/>
          <w:highlight w:val="none"/>
          <w:u w:val="single"/>
        </w:rPr>
        <w:t>网站</w:t>
      </w:r>
      <w:r>
        <w:rPr>
          <w:rFonts w:hint="eastAsia" w:ascii="宋体" w:hAnsi="宋体"/>
          <w:color w:val="auto"/>
          <w:sz w:val="24"/>
          <w:szCs w:val="24"/>
          <w:highlight w:val="none"/>
        </w:rPr>
        <w:t>发布。</w:t>
      </w:r>
      <w:bookmarkEnd w:id="24"/>
      <w:bookmarkEnd w:id="25"/>
      <w:bookmarkEnd w:id="26"/>
      <w:bookmarkStart w:id="27" w:name="_Toc442431572"/>
      <w:bookmarkStart w:id="28" w:name="_Toc329932156"/>
      <w:bookmarkStart w:id="29" w:name="_Toc515517635"/>
      <w:bookmarkStart w:id="30" w:name="_Toc330366394"/>
      <w:bookmarkStart w:id="31" w:name="_Toc504690806"/>
    </w:p>
    <w:bookmarkEnd w:id="27"/>
    <w:bookmarkEnd w:id="28"/>
    <w:bookmarkEnd w:id="29"/>
    <w:bookmarkEnd w:id="30"/>
    <w:bookmarkEnd w:id="31"/>
    <w:p>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七、投诉举报的处理</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（一）投标人或者其他利害关系人认为招标投标活动不符合法律、行政法规规定的，可以向招标人提出异议或向交通运输主管部门投诉。投诉书（包括不接受招标人对异议答复的申诉书）应符合下列要求：</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1.投诉书应在公示之日起10日内递交至受理部门；</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2.投诉人必须是所投诉招标投标活动的参与者，或者与投诉项目本次招标活动存在利害关系；</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3.投诉事项具体，并提供有效线索，可以查证；</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投诉书署具投诉人真实姓名、签字和有效联系方式；以法人名义投诉的，投诉书应经法定代表人或授权代理人签字并加盖公章（原件），由代理人办理投诉事务的，应同时提交授权委托书及其公证书（授权委托书应当明确有关委托代理权限和事项）；</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5.投诉相关材料来源合法；</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6.有具体的请求及主张。</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（二）就以下事项提出投诉的，应当先向招标人提出异议，异议答复期间不计算在10日期限内。招标人自受理异议之日起，应暂停投诉事项的招投标程序。</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1.对招标文件条款有异议的；</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2.对开标过程有异议的；</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对中标候选人公示中的以下内容有异议的：中标候选人排序、名称、投标报价，中标候选人在投标文件中承诺的主要人员姓名、个人业绩、相关证书编号，中标候选人在投标文件中填报的项目业绩，被否决投标的投标人名称、否决依据和原因，招标文件规定公示的其他内容。</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对以上事项进行投诉的，应当提交招标人的异议回复意见或已提出异议的证明文件。未按规定提出异议或者未提交已提出异议证明文件的投诉，交通运输厅不予受理。</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对招标文件条款有异议的应当在投标截止时间10日前向招标人提出，否则招标人不予受理；对招标人的答复不接受而向交通运输厅投诉的，应当在投标截止时间2日前提出，否则厅不予受理。</w:t>
      </w:r>
    </w:p>
    <w:p>
      <w:pPr>
        <w:spacing w:line="360" w:lineRule="auto"/>
        <w:ind w:left="480" w:leftChars="218"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招标人受理异议电话：0856-6621967</w:t>
      </w:r>
    </w:p>
    <w:p>
      <w:pPr>
        <w:spacing w:line="360" w:lineRule="auto"/>
        <w:ind w:left="480" w:leftChars="218" w:firstLine="0" w:firstLine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省交通运输厅投诉举报受理部门为建设管理处，电话：0851-85992250</w:t>
      </w:r>
    </w:p>
    <w:p>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八、联系方式</w:t>
      </w:r>
    </w:p>
    <w:tbl>
      <w:tblPr>
        <w:tblStyle w:val="11"/>
        <w:tblW w:w="9460" w:type="dxa"/>
        <w:tblInd w:w="0" w:type="dxa"/>
        <w:tblLayout w:type="fixed"/>
        <w:tblCellMar>
          <w:top w:w="0" w:type="dxa"/>
          <w:left w:w="108" w:type="dxa"/>
          <w:bottom w:w="0" w:type="dxa"/>
          <w:right w:w="108" w:type="dxa"/>
        </w:tblCellMar>
      </w:tblPr>
      <w:tblGrid>
        <w:gridCol w:w="1368"/>
        <w:gridCol w:w="2945"/>
        <w:gridCol w:w="1740"/>
        <w:gridCol w:w="3407"/>
      </w:tblGrid>
      <w:tr>
        <w:tblPrEx>
          <w:tblCellMar>
            <w:top w:w="0" w:type="dxa"/>
            <w:left w:w="108" w:type="dxa"/>
            <w:bottom w:w="0" w:type="dxa"/>
            <w:right w:w="108" w:type="dxa"/>
          </w:tblCellMar>
        </w:tblPrEx>
        <w:trPr>
          <w:trHeight w:val="333" w:hRule="atLeast"/>
        </w:trPr>
        <w:tc>
          <w:tcPr>
            <w:tcW w:w="1368" w:type="dxa"/>
            <w:noWrap w:val="0"/>
            <w:vAlign w:val="center"/>
          </w:tcPr>
          <w:p>
            <w:pPr>
              <w:widowControl/>
              <w:adjustRightInd w:val="0"/>
              <w:snapToGrid w:val="0"/>
              <w:ind w:left="0" w:leftChars="0" w:firstLine="0" w:firstLineChars="0"/>
              <w:rPr>
                <w:rFonts w:ascii="宋体" w:hAnsi="宋体" w:cs="宋体"/>
                <w:color w:val="auto"/>
                <w:kern w:val="22"/>
                <w:sz w:val="24"/>
                <w:szCs w:val="24"/>
                <w:highlight w:val="none"/>
              </w:rPr>
            </w:pPr>
            <w:r>
              <w:rPr>
                <w:rFonts w:hint="eastAsia" w:ascii="宋体" w:hAnsi="宋体" w:cs="宋体"/>
                <w:color w:val="auto"/>
                <w:kern w:val="22"/>
                <w:sz w:val="24"/>
                <w:szCs w:val="24"/>
                <w:highlight w:val="none"/>
              </w:rPr>
              <w:t>招标人：</w:t>
            </w:r>
          </w:p>
        </w:tc>
        <w:tc>
          <w:tcPr>
            <w:tcW w:w="2945" w:type="dxa"/>
            <w:noWrap w:val="0"/>
            <w:vAlign w:val="center"/>
          </w:tcPr>
          <w:p>
            <w:pPr>
              <w:widowControl/>
              <w:adjustRightInd w:val="0"/>
              <w:snapToGrid w:val="0"/>
              <w:spacing w:line="240" w:lineRule="auto"/>
              <w:ind w:left="0" w:leftChars="0" w:firstLine="0" w:firstLineChars="0"/>
              <w:jc w:val="left"/>
              <w:rPr>
                <w:rFonts w:hint="eastAsia" w:ascii="宋体" w:hAnsi="宋体" w:eastAsia="宋体" w:cs="宋体"/>
                <w:color w:val="auto"/>
                <w:kern w:val="22"/>
                <w:sz w:val="24"/>
                <w:szCs w:val="24"/>
                <w:highlight w:val="none"/>
                <w:lang w:eastAsia="zh-CN"/>
              </w:rPr>
            </w:pPr>
            <w:r>
              <w:rPr>
                <w:rFonts w:hint="eastAsia" w:ascii="宋体" w:hAnsi="宋体" w:cs="宋体"/>
                <w:color w:val="auto"/>
                <w:kern w:val="22"/>
                <w:sz w:val="24"/>
                <w:szCs w:val="24"/>
                <w:highlight w:val="none"/>
                <w:lang w:eastAsia="zh-CN"/>
              </w:rPr>
              <w:t>贵州中交德余高速公路有限公司</w:t>
            </w:r>
          </w:p>
        </w:tc>
        <w:tc>
          <w:tcPr>
            <w:tcW w:w="1740" w:type="dxa"/>
            <w:noWrap w:val="0"/>
            <w:vAlign w:val="center"/>
          </w:tcPr>
          <w:p>
            <w:pPr>
              <w:widowControl/>
              <w:ind w:left="0" w:leftChars="0" w:right="-220" w:rightChars="-100" w:firstLine="0" w:firstLineChars="0"/>
              <w:jc w:val="left"/>
              <w:rPr>
                <w:rFonts w:ascii="宋体" w:hAnsi="Calibri" w:cs="宋体"/>
                <w:color w:val="auto"/>
                <w:kern w:val="22"/>
                <w:sz w:val="24"/>
                <w:szCs w:val="24"/>
                <w:highlight w:val="none"/>
              </w:rPr>
            </w:pPr>
            <w:r>
              <w:rPr>
                <w:rFonts w:hint="eastAsia" w:ascii="宋体" w:hAnsi="宋体" w:cs="宋体"/>
                <w:color w:val="auto"/>
                <w:kern w:val="22"/>
                <w:sz w:val="24"/>
                <w:szCs w:val="24"/>
                <w:highlight w:val="none"/>
              </w:rPr>
              <w:t>招标代理单位：</w:t>
            </w:r>
          </w:p>
        </w:tc>
        <w:tc>
          <w:tcPr>
            <w:tcW w:w="3407" w:type="dxa"/>
            <w:noWrap w:val="0"/>
            <w:vAlign w:val="center"/>
          </w:tcPr>
          <w:p>
            <w:pPr>
              <w:widowControl/>
              <w:ind w:left="0" w:leftChars="0" w:firstLine="0" w:firstLineChars="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贵州智聚招标造价咨询有限公司</w:t>
            </w:r>
          </w:p>
        </w:tc>
      </w:tr>
      <w:tr>
        <w:tblPrEx>
          <w:tblCellMar>
            <w:top w:w="0" w:type="dxa"/>
            <w:left w:w="108" w:type="dxa"/>
            <w:bottom w:w="0" w:type="dxa"/>
            <w:right w:w="108" w:type="dxa"/>
          </w:tblCellMar>
        </w:tblPrEx>
        <w:trPr>
          <w:trHeight w:val="920" w:hRule="atLeast"/>
        </w:trPr>
        <w:tc>
          <w:tcPr>
            <w:tcW w:w="1368" w:type="dxa"/>
            <w:noWrap w:val="0"/>
            <w:vAlign w:val="center"/>
          </w:tcPr>
          <w:p>
            <w:pPr>
              <w:widowControl/>
              <w:adjustRightInd w:val="0"/>
              <w:snapToGrid w:val="0"/>
              <w:ind w:left="0" w:leftChars="0" w:firstLine="0" w:firstLineChars="0"/>
              <w:rPr>
                <w:rFonts w:ascii="宋体" w:hAnsi="宋体" w:cs="宋体"/>
                <w:color w:val="auto"/>
                <w:kern w:val="22"/>
                <w:sz w:val="24"/>
                <w:szCs w:val="24"/>
                <w:highlight w:val="none"/>
              </w:rPr>
            </w:pPr>
            <w:r>
              <w:rPr>
                <w:rFonts w:hint="eastAsia" w:ascii="宋体" w:hAnsi="宋体" w:cs="宋体"/>
                <w:color w:val="auto"/>
                <w:kern w:val="22"/>
                <w:sz w:val="24"/>
                <w:szCs w:val="24"/>
                <w:highlight w:val="none"/>
              </w:rPr>
              <w:t>地址：</w:t>
            </w:r>
          </w:p>
        </w:tc>
        <w:tc>
          <w:tcPr>
            <w:tcW w:w="2945" w:type="dxa"/>
            <w:noWrap w:val="0"/>
            <w:vAlign w:val="center"/>
          </w:tcPr>
          <w:p>
            <w:pPr>
              <w:ind w:left="0" w:leftChars="0" w:firstLine="0" w:firstLineChars="0"/>
              <w:rPr>
                <w:rFonts w:ascii="宋体" w:hAnsi="宋体" w:cs="宋体"/>
                <w:color w:val="auto"/>
                <w:kern w:val="22"/>
                <w:sz w:val="24"/>
                <w:szCs w:val="24"/>
                <w:highlight w:val="none"/>
              </w:rPr>
            </w:pPr>
            <w:r>
              <w:rPr>
                <w:rFonts w:hint="eastAsia" w:ascii="宋体" w:hAnsi="宋体" w:cs="宋体"/>
                <w:color w:val="auto"/>
                <w:kern w:val="22"/>
                <w:sz w:val="24"/>
                <w:szCs w:val="24"/>
                <w:highlight w:val="none"/>
                <w:lang w:val="en-US" w:eastAsia="zh-CN"/>
              </w:rPr>
              <w:t>贵州省遵义市余庆县子营路2号</w:t>
            </w:r>
          </w:p>
        </w:tc>
        <w:tc>
          <w:tcPr>
            <w:tcW w:w="1740" w:type="dxa"/>
            <w:noWrap w:val="0"/>
            <w:vAlign w:val="center"/>
          </w:tcPr>
          <w:p>
            <w:pPr>
              <w:widowControl/>
              <w:ind w:left="0" w:leftChars="0" w:right="-110" w:rightChars="-50" w:firstLine="0" w:firstLineChars="0"/>
              <w:rPr>
                <w:rFonts w:ascii="宋体" w:hAnsi="Calibri" w:cs="宋体"/>
                <w:color w:val="auto"/>
                <w:kern w:val="0"/>
                <w:sz w:val="24"/>
                <w:szCs w:val="24"/>
                <w:highlight w:val="none"/>
              </w:rPr>
            </w:pPr>
            <w:r>
              <w:rPr>
                <w:rFonts w:hint="eastAsia" w:ascii="宋体" w:hAnsi="宋体" w:cs="宋体"/>
                <w:color w:val="auto"/>
                <w:kern w:val="0"/>
                <w:sz w:val="24"/>
                <w:szCs w:val="24"/>
                <w:highlight w:val="none"/>
              </w:rPr>
              <w:t>地</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址：</w:t>
            </w:r>
          </w:p>
        </w:tc>
        <w:tc>
          <w:tcPr>
            <w:tcW w:w="3407" w:type="dxa"/>
            <w:noWrap w:val="0"/>
            <w:vAlign w:val="center"/>
          </w:tcPr>
          <w:p>
            <w:pPr>
              <w:widowControl/>
              <w:spacing w:line="240" w:lineRule="auto"/>
              <w:ind w:left="0" w:leftChars="0" w:firstLine="0" w:firstLineChars="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贵阳市南明区花溪大道北段85-2裙楼二楼</w:t>
            </w:r>
          </w:p>
        </w:tc>
      </w:tr>
      <w:tr>
        <w:tblPrEx>
          <w:tblCellMar>
            <w:top w:w="0" w:type="dxa"/>
            <w:left w:w="108" w:type="dxa"/>
            <w:bottom w:w="0" w:type="dxa"/>
            <w:right w:w="108" w:type="dxa"/>
          </w:tblCellMar>
        </w:tblPrEx>
        <w:trPr>
          <w:trHeight w:val="454" w:hRule="atLeast"/>
        </w:trPr>
        <w:tc>
          <w:tcPr>
            <w:tcW w:w="1368" w:type="dxa"/>
            <w:noWrap w:val="0"/>
            <w:vAlign w:val="center"/>
          </w:tcPr>
          <w:p>
            <w:pPr>
              <w:widowControl/>
              <w:adjustRightInd w:val="0"/>
              <w:snapToGrid w:val="0"/>
              <w:ind w:left="0" w:leftChars="0" w:firstLine="0" w:firstLineChars="0"/>
              <w:rPr>
                <w:rFonts w:ascii="宋体" w:hAnsi="宋体" w:cs="宋体"/>
                <w:color w:val="auto"/>
                <w:kern w:val="22"/>
                <w:sz w:val="24"/>
                <w:szCs w:val="24"/>
                <w:highlight w:val="none"/>
              </w:rPr>
            </w:pPr>
            <w:r>
              <w:rPr>
                <w:rFonts w:hint="eastAsia" w:ascii="宋体" w:hAnsi="宋体" w:cs="宋体"/>
                <w:color w:val="auto"/>
                <w:kern w:val="22"/>
                <w:sz w:val="24"/>
                <w:szCs w:val="24"/>
                <w:highlight w:val="none"/>
              </w:rPr>
              <w:t>联</w:t>
            </w:r>
            <w:r>
              <w:rPr>
                <w:rFonts w:ascii="宋体" w:hAnsi="宋体" w:cs="宋体"/>
                <w:color w:val="auto"/>
                <w:kern w:val="22"/>
                <w:sz w:val="24"/>
                <w:szCs w:val="24"/>
                <w:highlight w:val="none"/>
              </w:rPr>
              <w:t xml:space="preserve"> </w:t>
            </w:r>
            <w:r>
              <w:rPr>
                <w:rFonts w:hint="eastAsia" w:ascii="宋体" w:hAnsi="宋体" w:cs="宋体"/>
                <w:color w:val="auto"/>
                <w:kern w:val="22"/>
                <w:sz w:val="24"/>
                <w:szCs w:val="24"/>
                <w:highlight w:val="none"/>
              </w:rPr>
              <w:t>系</w:t>
            </w:r>
            <w:r>
              <w:rPr>
                <w:rFonts w:ascii="宋体" w:hAnsi="宋体" w:cs="宋体"/>
                <w:color w:val="auto"/>
                <w:kern w:val="22"/>
                <w:sz w:val="24"/>
                <w:szCs w:val="24"/>
                <w:highlight w:val="none"/>
              </w:rPr>
              <w:t xml:space="preserve"> </w:t>
            </w:r>
            <w:r>
              <w:rPr>
                <w:rFonts w:hint="eastAsia" w:ascii="宋体" w:hAnsi="宋体" w:cs="宋体"/>
                <w:color w:val="auto"/>
                <w:kern w:val="22"/>
                <w:sz w:val="24"/>
                <w:szCs w:val="24"/>
                <w:highlight w:val="none"/>
              </w:rPr>
              <w:t>人：</w:t>
            </w:r>
          </w:p>
        </w:tc>
        <w:tc>
          <w:tcPr>
            <w:tcW w:w="2945" w:type="dxa"/>
            <w:noWrap w:val="0"/>
            <w:vAlign w:val="center"/>
          </w:tcPr>
          <w:p>
            <w:pPr>
              <w:widowControl/>
              <w:adjustRightInd w:val="0"/>
              <w:snapToGrid w:val="0"/>
              <w:ind w:left="0" w:leftChars="0" w:firstLine="0" w:firstLineChars="0"/>
              <w:rPr>
                <w:rFonts w:hint="eastAsia" w:ascii="宋体" w:hAnsi="宋体" w:eastAsia="宋体" w:cs="宋体"/>
                <w:color w:val="auto"/>
                <w:kern w:val="22"/>
                <w:sz w:val="24"/>
                <w:szCs w:val="24"/>
                <w:highlight w:val="none"/>
                <w:lang w:eastAsia="zh-CN"/>
              </w:rPr>
            </w:pPr>
            <w:r>
              <w:rPr>
                <w:rFonts w:hint="eastAsia" w:ascii="宋体" w:hAnsi="宋体" w:cs="宋体"/>
                <w:color w:val="auto"/>
                <w:kern w:val="22"/>
                <w:sz w:val="24"/>
                <w:szCs w:val="24"/>
                <w:highlight w:val="none"/>
                <w:lang w:eastAsia="zh-CN"/>
              </w:rPr>
              <w:t>周先生</w:t>
            </w:r>
          </w:p>
        </w:tc>
        <w:tc>
          <w:tcPr>
            <w:tcW w:w="1740" w:type="dxa"/>
            <w:noWrap w:val="0"/>
            <w:vAlign w:val="center"/>
          </w:tcPr>
          <w:p>
            <w:pPr>
              <w:widowControl/>
              <w:ind w:left="0" w:leftChars="0" w:right="-110" w:rightChars="-50" w:firstLine="0" w:firstLineChars="0"/>
              <w:rPr>
                <w:rFonts w:ascii="宋体" w:hAnsi="Calibri" w:cs="宋体"/>
                <w:color w:val="auto"/>
                <w:kern w:val="0"/>
                <w:sz w:val="24"/>
                <w:szCs w:val="24"/>
                <w:highlight w:val="none"/>
              </w:rPr>
            </w:pPr>
            <w:r>
              <w:rPr>
                <w:rFonts w:hint="eastAsia" w:ascii="宋体" w:hAnsi="宋体" w:cs="宋体"/>
                <w:color w:val="auto"/>
                <w:kern w:val="0"/>
                <w:sz w:val="24"/>
                <w:szCs w:val="24"/>
                <w:highlight w:val="none"/>
              </w:rPr>
              <w:t>联</w:t>
            </w:r>
            <w:r>
              <w:rPr>
                <w:rFonts w:ascii="Calibri" w:hAnsi="Calibri" w:cs="Calibri"/>
                <w:color w:val="auto"/>
                <w:kern w:val="0"/>
                <w:sz w:val="24"/>
                <w:szCs w:val="24"/>
                <w:highlight w:val="none"/>
              </w:rPr>
              <w:t xml:space="preserve"> </w:t>
            </w:r>
            <w:r>
              <w:rPr>
                <w:rFonts w:hint="eastAsia" w:ascii="宋体" w:hAnsi="宋体" w:cs="宋体"/>
                <w:color w:val="auto"/>
                <w:kern w:val="0"/>
                <w:sz w:val="24"/>
                <w:szCs w:val="24"/>
                <w:highlight w:val="none"/>
              </w:rPr>
              <w:t>系</w:t>
            </w:r>
            <w:r>
              <w:rPr>
                <w:rFonts w:ascii="Calibri" w:hAnsi="Calibri" w:cs="Calibri"/>
                <w:color w:val="auto"/>
                <w:kern w:val="0"/>
                <w:sz w:val="24"/>
                <w:szCs w:val="24"/>
                <w:highlight w:val="none"/>
              </w:rPr>
              <w:t xml:space="preserve"> </w:t>
            </w:r>
            <w:r>
              <w:rPr>
                <w:rFonts w:hint="eastAsia" w:ascii="宋体" w:hAnsi="宋体" w:cs="宋体"/>
                <w:color w:val="auto"/>
                <w:kern w:val="0"/>
                <w:sz w:val="24"/>
                <w:szCs w:val="24"/>
                <w:highlight w:val="none"/>
              </w:rPr>
              <w:t>人：</w:t>
            </w:r>
          </w:p>
        </w:tc>
        <w:tc>
          <w:tcPr>
            <w:tcW w:w="3407" w:type="dxa"/>
            <w:noWrap w:val="0"/>
            <w:vAlign w:val="center"/>
          </w:tcPr>
          <w:p>
            <w:pPr>
              <w:widowControl/>
              <w:ind w:left="0" w:leftChars="0"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吴</w:t>
            </w:r>
            <w:r>
              <w:rPr>
                <w:rFonts w:hint="eastAsia" w:ascii="宋体" w:hAnsi="宋体" w:cs="宋体"/>
                <w:color w:val="auto"/>
                <w:kern w:val="0"/>
                <w:sz w:val="24"/>
                <w:szCs w:val="24"/>
                <w:highlight w:val="none"/>
                <w:lang w:val="en-US" w:eastAsia="zh-CN"/>
              </w:rPr>
              <w:t>天潇</w:t>
            </w:r>
          </w:p>
        </w:tc>
      </w:tr>
      <w:tr>
        <w:tblPrEx>
          <w:tblCellMar>
            <w:top w:w="0" w:type="dxa"/>
            <w:left w:w="108" w:type="dxa"/>
            <w:bottom w:w="0" w:type="dxa"/>
            <w:right w:w="108" w:type="dxa"/>
          </w:tblCellMar>
        </w:tblPrEx>
        <w:trPr>
          <w:trHeight w:val="454" w:hRule="atLeast"/>
        </w:trPr>
        <w:tc>
          <w:tcPr>
            <w:tcW w:w="1368" w:type="dxa"/>
            <w:noWrap w:val="0"/>
            <w:vAlign w:val="center"/>
          </w:tcPr>
          <w:p>
            <w:pPr>
              <w:widowControl/>
              <w:adjustRightInd w:val="0"/>
              <w:snapToGrid w:val="0"/>
              <w:ind w:left="0" w:leftChars="0" w:firstLine="0" w:firstLineChars="0"/>
              <w:rPr>
                <w:rFonts w:ascii="宋体" w:hAnsi="宋体" w:cs="宋体"/>
                <w:color w:val="auto"/>
                <w:kern w:val="22"/>
                <w:sz w:val="24"/>
                <w:szCs w:val="24"/>
                <w:highlight w:val="none"/>
              </w:rPr>
            </w:pPr>
            <w:r>
              <w:rPr>
                <w:rFonts w:hint="eastAsia" w:ascii="宋体" w:hAnsi="宋体" w:cs="宋体"/>
                <w:color w:val="auto"/>
                <w:kern w:val="22"/>
                <w:sz w:val="24"/>
                <w:szCs w:val="24"/>
                <w:highlight w:val="none"/>
              </w:rPr>
              <w:t>电</w:t>
            </w:r>
            <w:r>
              <w:rPr>
                <w:rFonts w:ascii="宋体" w:hAnsi="宋体" w:cs="宋体"/>
                <w:color w:val="auto"/>
                <w:kern w:val="22"/>
                <w:sz w:val="24"/>
                <w:szCs w:val="24"/>
                <w:highlight w:val="none"/>
              </w:rPr>
              <w:t xml:space="preserve">    </w:t>
            </w:r>
            <w:r>
              <w:rPr>
                <w:rFonts w:hint="eastAsia" w:ascii="宋体" w:hAnsi="宋体" w:cs="宋体"/>
                <w:color w:val="auto"/>
                <w:kern w:val="22"/>
                <w:sz w:val="24"/>
                <w:szCs w:val="24"/>
                <w:highlight w:val="none"/>
              </w:rPr>
              <w:t>话：</w:t>
            </w:r>
            <w:r>
              <w:rPr>
                <w:rFonts w:ascii="宋体" w:hAnsi="宋体" w:cs="宋体"/>
                <w:color w:val="auto"/>
                <w:kern w:val="22"/>
                <w:sz w:val="24"/>
                <w:szCs w:val="24"/>
                <w:highlight w:val="none"/>
              </w:rPr>
              <w:t xml:space="preserve"> </w:t>
            </w:r>
          </w:p>
        </w:tc>
        <w:tc>
          <w:tcPr>
            <w:tcW w:w="2945" w:type="dxa"/>
            <w:noWrap w:val="0"/>
            <w:vAlign w:val="center"/>
          </w:tcPr>
          <w:p>
            <w:pPr>
              <w:widowControl/>
              <w:adjustRightInd w:val="0"/>
              <w:snapToGrid w:val="0"/>
              <w:ind w:left="0" w:leftChars="0" w:firstLine="0" w:firstLineChars="0"/>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16602307918</w:t>
            </w:r>
          </w:p>
        </w:tc>
        <w:tc>
          <w:tcPr>
            <w:tcW w:w="1740" w:type="dxa"/>
            <w:noWrap w:val="0"/>
            <w:vAlign w:val="center"/>
          </w:tcPr>
          <w:p>
            <w:pPr>
              <w:widowControl/>
              <w:ind w:left="0" w:leftChars="0" w:right="-110" w:rightChars="-50" w:firstLine="0" w:firstLineChars="0"/>
              <w:rPr>
                <w:rFonts w:ascii="宋体" w:hAnsi="Calibri" w:cs="宋体"/>
                <w:color w:val="auto"/>
                <w:kern w:val="0"/>
                <w:sz w:val="24"/>
                <w:szCs w:val="24"/>
                <w:highlight w:val="none"/>
              </w:rPr>
            </w:pPr>
            <w:r>
              <w:rPr>
                <w:rFonts w:hint="eastAsia" w:ascii="宋体" w:hAnsi="宋体" w:cs="宋体"/>
                <w:color w:val="auto"/>
                <w:kern w:val="0"/>
                <w:sz w:val="24"/>
                <w:szCs w:val="24"/>
                <w:highlight w:val="none"/>
              </w:rPr>
              <w:t>电</w:t>
            </w:r>
            <w:r>
              <w:rPr>
                <w:rFonts w:ascii="Calibri" w:hAnsi="Calibri" w:cs="Calibri"/>
                <w:color w:val="auto"/>
                <w:kern w:val="0"/>
                <w:sz w:val="24"/>
                <w:szCs w:val="24"/>
                <w:highlight w:val="none"/>
              </w:rPr>
              <w:t xml:space="preserve">    </w:t>
            </w:r>
            <w:r>
              <w:rPr>
                <w:rFonts w:hint="eastAsia" w:ascii="宋体" w:hAnsi="宋体" w:cs="宋体"/>
                <w:color w:val="auto"/>
                <w:kern w:val="0"/>
                <w:sz w:val="24"/>
                <w:szCs w:val="24"/>
                <w:highlight w:val="none"/>
              </w:rPr>
              <w:t>话：</w:t>
            </w:r>
          </w:p>
        </w:tc>
        <w:tc>
          <w:tcPr>
            <w:tcW w:w="3407" w:type="dxa"/>
            <w:noWrap w:val="0"/>
            <w:vAlign w:val="center"/>
          </w:tcPr>
          <w:p>
            <w:pPr>
              <w:widowControl/>
              <w:ind w:left="0" w:leftChars="0"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15685781066</w:t>
            </w:r>
          </w:p>
        </w:tc>
      </w:tr>
    </w:tbl>
    <w:p>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九、备注</w:t>
      </w:r>
    </w:p>
    <w:p>
      <w:pPr>
        <w:widowControl/>
        <w:spacing w:line="360" w:lineRule="auto"/>
        <w:ind w:firstLine="420"/>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本公告未尽事宜详见招标文件。</w:t>
      </w:r>
    </w:p>
    <w:p>
      <w:pPr>
        <w:widowControl/>
        <w:spacing w:line="360" w:lineRule="auto"/>
        <w:ind w:firstLine="480"/>
        <w:rPr>
          <w:rFonts w:hint="eastAsia" w:ascii="宋体" w:hAnsi="宋体" w:eastAsia="宋体" w:cs="宋体"/>
          <w:b w:val="0"/>
          <w:bCs w:val="0"/>
          <w:color w:val="auto"/>
          <w:sz w:val="24"/>
          <w:szCs w:val="24"/>
          <w:highlight w:val="none"/>
          <w:lang w:eastAsia="zh-CN"/>
        </w:rPr>
      </w:pPr>
    </w:p>
    <w:p>
      <w:pPr>
        <w:pStyle w:val="8"/>
        <w:ind w:firstLine="5520" w:firstLineChars="23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2020年08月31日</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pPr>
        <w:pStyle w:val="8"/>
        <w:ind w:firstLine="5520" w:firstLineChars="2300"/>
        <w:rPr>
          <w:rFonts w:hint="eastAsia" w:ascii="宋体" w:hAnsi="宋体" w:eastAsia="宋体" w:cs="宋体"/>
          <w:b w:val="0"/>
          <w:bCs w:val="0"/>
          <w:color w:val="auto"/>
          <w:sz w:val="24"/>
          <w:szCs w:val="24"/>
          <w:highlight w:val="none"/>
          <w:lang w:val="en-US" w:eastAsia="zh-CN"/>
        </w:rPr>
      </w:pPr>
    </w:p>
    <w:p>
      <w:pPr>
        <w:numPr>
          <w:ilvl w:val="0"/>
          <w:numId w:val="0"/>
        </w:numPr>
        <w:spacing w:before="142"/>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关键内容</w:t>
      </w:r>
    </w:p>
    <w:p>
      <w:pPr>
        <w:ind w:left="147" w:leftChars="67" w:firstLine="312"/>
        <w:jc w:val="center"/>
        <w:rPr>
          <w:rFonts w:hAnsi="宋体"/>
          <w:b/>
          <w:color w:val="auto"/>
          <w:sz w:val="28"/>
          <w:szCs w:val="28"/>
          <w:highlight w:val="none"/>
        </w:rPr>
      </w:pPr>
      <w:r>
        <w:rPr>
          <w:rFonts w:hAnsi="宋体"/>
          <w:b/>
          <w:color w:val="auto"/>
          <w:sz w:val="28"/>
          <w:szCs w:val="28"/>
          <w:highlight w:val="none"/>
        </w:rPr>
        <w:t>附录1 资格审查条件（资质最低条件）</w:t>
      </w:r>
    </w:p>
    <w:tbl>
      <w:tblPr>
        <w:tblStyle w:val="1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9112" w:type="dxa"/>
            <w:tcBorders>
              <w:top w:val="single" w:color="auto" w:sz="4" w:space="0"/>
            </w:tcBorders>
            <w:noWrap w:val="0"/>
            <w:vAlign w:val="center"/>
          </w:tcPr>
          <w:p>
            <w:pPr>
              <w:spacing w:line="320" w:lineRule="exact"/>
              <w:ind w:left="147" w:leftChars="67" w:firstLine="312"/>
              <w:jc w:val="center"/>
              <w:rPr>
                <w:rFonts w:hAnsi="宋体"/>
                <w:color w:val="auto"/>
                <w:sz w:val="22"/>
                <w:szCs w:val="22"/>
                <w:highlight w:val="none"/>
              </w:rPr>
            </w:pPr>
            <w:r>
              <w:rPr>
                <w:rFonts w:hint="eastAsia" w:hAnsi="宋体"/>
                <w:b/>
                <w:bCs/>
                <w:color w:val="auto"/>
                <w:sz w:val="22"/>
                <w:szCs w:val="22"/>
                <w:highlight w:val="none"/>
              </w:rPr>
              <w:t>企业资质</w:t>
            </w:r>
            <w:r>
              <w:rPr>
                <w:rFonts w:hAnsi="宋体"/>
                <w:b/>
                <w:bCs/>
                <w:color w:val="auto"/>
                <w:sz w:val="22"/>
                <w:szCs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9112" w:type="dxa"/>
            <w:noWrap w:val="0"/>
            <w:vAlign w:val="center"/>
          </w:tcPr>
          <w:p>
            <w:pPr>
              <w:adjustRightInd w:val="0"/>
              <w:snapToGrid w:val="0"/>
              <w:spacing w:line="360" w:lineRule="auto"/>
              <w:jc w:val="left"/>
              <w:rPr>
                <w:rFonts w:hint="eastAsia" w:ascii="宋体" w:hAnsi="宋体" w:cs="黑体"/>
                <w:color w:val="auto"/>
                <w:sz w:val="22"/>
                <w:szCs w:val="22"/>
                <w:highlight w:val="none"/>
              </w:rPr>
            </w:pPr>
            <w:r>
              <w:rPr>
                <w:rFonts w:hint="eastAsia" w:ascii="宋体" w:hAnsi="宋体" w:cs="黑体"/>
                <w:color w:val="auto"/>
                <w:sz w:val="22"/>
                <w:szCs w:val="22"/>
                <w:highlight w:val="none"/>
                <w:lang w:eastAsia="zh-CN"/>
              </w:rPr>
              <w:t>（</w:t>
            </w:r>
            <w:r>
              <w:rPr>
                <w:rFonts w:hint="eastAsia" w:ascii="宋体" w:hAnsi="宋体" w:cs="黑体"/>
                <w:color w:val="auto"/>
                <w:sz w:val="22"/>
                <w:szCs w:val="22"/>
                <w:highlight w:val="none"/>
                <w:lang w:val="en-US" w:eastAsia="zh-CN"/>
              </w:rPr>
              <w:t>1</w:t>
            </w:r>
            <w:r>
              <w:rPr>
                <w:rFonts w:hint="eastAsia" w:ascii="宋体" w:hAnsi="宋体" w:cs="黑体"/>
                <w:color w:val="auto"/>
                <w:sz w:val="22"/>
                <w:szCs w:val="22"/>
                <w:highlight w:val="none"/>
                <w:lang w:eastAsia="zh-CN"/>
              </w:rPr>
              <w:t>）</w:t>
            </w:r>
            <w:r>
              <w:rPr>
                <w:rFonts w:hint="eastAsia" w:ascii="宋体" w:hAnsi="宋体" w:cs="黑体"/>
                <w:color w:val="auto"/>
                <w:sz w:val="22"/>
                <w:szCs w:val="22"/>
                <w:highlight w:val="none"/>
              </w:rPr>
              <w:t>具有独立法人资格的试验检测机构（或其为非独立法人的下属机构或部门的试验检测机构），持有有效的营业执照或事业单位法人证书；</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line="360" w:lineRule="auto"/>
              <w:textAlignment w:val="baseline"/>
              <w:rPr>
                <w:rFonts w:hAnsi="宋体"/>
                <w:b/>
                <w:color w:val="auto"/>
                <w:sz w:val="22"/>
                <w:szCs w:val="22"/>
                <w:highlight w:val="none"/>
              </w:rPr>
            </w:pPr>
            <w:r>
              <w:rPr>
                <w:rFonts w:hint="eastAsia" w:ascii="宋体" w:hAnsi="宋体" w:cs="黑体"/>
                <w:color w:val="auto"/>
                <w:sz w:val="22"/>
                <w:szCs w:val="22"/>
                <w:highlight w:val="none"/>
              </w:rPr>
              <w:t>（</w:t>
            </w:r>
            <w:r>
              <w:rPr>
                <w:rFonts w:ascii="宋体" w:hAnsi="宋体" w:cs="黑体"/>
                <w:color w:val="auto"/>
                <w:sz w:val="22"/>
                <w:szCs w:val="22"/>
                <w:highlight w:val="none"/>
              </w:rPr>
              <w:t>2</w:t>
            </w:r>
            <w:r>
              <w:rPr>
                <w:rFonts w:hint="eastAsia" w:ascii="宋体" w:hAnsi="宋体" w:cs="黑体"/>
                <w:color w:val="auto"/>
                <w:sz w:val="22"/>
                <w:szCs w:val="22"/>
                <w:highlight w:val="none"/>
              </w:rPr>
              <w:t>）</w:t>
            </w:r>
            <w:r>
              <w:rPr>
                <w:rFonts w:hint="eastAsia" w:ascii="宋体" w:hAnsi="Times New Roman" w:cs="宋体"/>
                <w:color w:val="auto"/>
                <w:sz w:val="22"/>
                <w:szCs w:val="22"/>
                <w:highlight w:val="none"/>
              </w:rPr>
              <w:t>具备交通质量监督部门颁发的公路工程试验检测综合类甲级资质，并同时具有有效的计量认证证书（计量认证证书附表须含相应的内容）。</w:t>
            </w:r>
          </w:p>
        </w:tc>
      </w:tr>
    </w:tbl>
    <w:p>
      <w:pPr>
        <w:pStyle w:val="8"/>
        <w:rPr>
          <w:rFonts w:hAnsi="宋体"/>
          <w:b/>
          <w:color w:val="auto"/>
          <w:sz w:val="22"/>
          <w:szCs w:val="22"/>
          <w:highlight w:val="none"/>
        </w:rPr>
      </w:pPr>
    </w:p>
    <w:p>
      <w:pPr>
        <w:ind w:left="147" w:leftChars="67" w:firstLine="312"/>
        <w:jc w:val="center"/>
        <w:rPr>
          <w:rFonts w:hAnsi="宋体"/>
          <w:b/>
          <w:color w:val="auto"/>
          <w:sz w:val="28"/>
          <w:szCs w:val="28"/>
          <w:highlight w:val="none"/>
        </w:rPr>
      </w:pPr>
      <w:r>
        <w:rPr>
          <w:rFonts w:hAnsi="宋体"/>
          <w:b/>
          <w:color w:val="auto"/>
          <w:sz w:val="28"/>
          <w:szCs w:val="28"/>
          <w:highlight w:val="none"/>
        </w:rPr>
        <w:t>附录2 资格审查条件（业绩最低要求）</w:t>
      </w:r>
    </w:p>
    <w:tbl>
      <w:tblPr>
        <w:tblStyle w:val="11"/>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931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0"/>
              <w:jc w:val="center"/>
              <w:textAlignment w:val="baseline"/>
              <w:rPr>
                <w:rFonts w:hAnsi="宋体"/>
                <w:color w:val="auto"/>
                <w:sz w:val="22"/>
                <w:szCs w:val="22"/>
                <w:highlight w:val="none"/>
              </w:rPr>
            </w:pPr>
            <w:r>
              <w:rPr>
                <w:rFonts w:hint="eastAsia" w:hAnsi="宋体"/>
                <w:b/>
                <w:bCs/>
                <w:color w:val="auto"/>
                <w:sz w:val="22"/>
                <w:szCs w:val="22"/>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317" w:type="dxa"/>
            <w:noWrap w:val="0"/>
            <w:vAlign w:val="center"/>
          </w:tcPr>
          <w:p>
            <w:pPr>
              <w:snapToGrid w:val="0"/>
              <w:spacing w:before="100" w:beforeAutospacing="1" w:line="360" w:lineRule="auto"/>
              <w:rPr>
                <w:rFonts w:hint="default" w:hAnsi="宋体" w:eastAsia="宋体"/>
                <w:b/>
                <w:color w:val="auto"/>
                <w:sz w:val="22"/>
                <w:szCs w:val="22"/>
                <w:highlight w:val="none"/>
                <w:lang w:val="en-US" w:eastAsia="zh-CN"/>
              </w:rPr>
            </w:pPr>
            <w:r>
              <w:rPr>
                <w:rFonts w:hint="eastAsia" w:hAnsi="宋体"/>
                <w:color w:val="auto"/>
                <w:sz w:val="22"/>
                <w:szCs w:val="22"/>
                <w:highlight w:val="none"/>
                <w:lang w:val="en-US" w:eastAsia="zh-CN"/>
              </w:rPr>
              <w:t>本项目对业绩不作为资格审查条件。</w:t>
            </w:r>
          </w:p>
        </w:tc>
      </w:tr>
    </w:tbl>
    <w:p>
      <w:pPr>
        <w:ind w:left="147" w:leftChars="67" w:firstLine="312"/>
        <w:jc w:val="center"/>
        <w:rPr>
          <w:rFonts w:hAnsi="宋体"/>
          <w:b/>
          <w:color w:val="auto"/>
          <w:sz w:val="24"/>
          <w:szCs w:val="24"/>
          <w:highlight w:val="none"/>
        </w:rPr>
      </w:pPr>
    </w:p>
    <w:p>
      <w:pPr>
        <w:ind w:left="147" w:leftChars="67" w:firstLine="312"/>
        <w:jc w:val="center"/>
        <w:rPr>
          <w:rFonts w:hAnsi="宋体"/>
          <w:b/>
          <w:color w:val="auto"/>
          <w:sz w:val="28"/>
          <w:szCs w:val="28"/>
          <w:highlight w:val="none"/>
        </w:rPr>
      </w:pPr>
      <w:r>
        <w:rPr>
          <w:rFonts w:hAnsi="宋体"/>
          <w:b/>
          <w:color w:val="auto"/>
          <w:sz w:val="28"/>
          <w:szCs w:val="28"/>
          <w:highlight w:val="none"/>
        </w:rPr>
        <w:t>附录3资格审查条件（信誉最低要求）</w:t>
      </w:r>
    </w:p>
    <w:tbl>
      <w:tblPr>
        <w:tblStyle w:val="1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9288" w:type="dxa"/>
            <w:noWrap w:val="0"/>
            <w:vAlign w:val="center"/>
          </w:tcPr>
          <w:p>
            <w:pPr>
              <w:ind w:left="147" w:leftChars="67" w:firstLine="312"/>
              <w:jc w:val="center"/>
              <w:rPr>
                <w:rFonts w:hAnsi="宋体"/>
                <w:color w:val="auto"/>
                <w:sz w:val="22"/>
                <w:szCs w:val="22"/>
                <w:highlight w:val="none"/>
              </w:rPr>
            </w:pPr>
            <w:r>
              <w:rPr>
                <w:rFonts w:hint="eastAsia" w:hAnsi="宋体"/>
                <w:color w:val="auto"/>
                <w:sz w:val="22"/>
                <w:szCs w:val="22"/>
                <w:highlight w:val="none"/>
              </w:rPr>
              <w:t>信誉</w:t>
            </w:r>
            <w:r>
              <w:rPr>
                <w:rFonts w:hAnsi="宋体"/>
                <w:color w:val="auto"/>
                <w:sz w:val="22"/>
                <w:szCs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beforeAutospacing="0" w:line="360" w:lineRule="auto"/>
              <w:ind w:left="0" w:leftChars="0" w:firstLine="0" w:firstLineChars="0"/>
              <w:textAlignment w:val="baseline"/>
              <w:rPr>
                <w:rFonts w:hint="eastAsia" w:hAnsi="宋体"/>
                <w:b/>
                <w:bCs/>
                <w:color w:val="auto"/>
                <w:sz w:val="24"/>
                <w:szCs w:val="24"/>
                <w:highlight w:val="none"/>
              </w:rPr>
            </w:pPr>
            <w:r>
              <w:rPr>
                <w:rFonts w:hint="eastAsia" w:ascii="宋体" w:hAnsi="宋体" w:eastAsia="宋体" w:cs="Times New Roman"/>
                <w:b/>
                <w:bCs/>
                <w:color w:val="auto"/>
                <w:sz w:val="24"/>
                <w:szCs w:val="24"/>
                <w:highlight w:val="none"/>
                <w:lang w:val="en-US" w:eastAsia="zh-CN" w:bidi="ar-SA"/>
              </w:rPr>
              <w:t>投标</w:t>
            </w:r>
            <w:r>
              <w:rPr>
                <w:rFonts w:hint="eastAsia" w:ascii="宋体" w:hAnsi="宋体"/>
                <w:b/>
                <w:bCs/>
                <w:color w:val="auto"/>
                <w:sz w:val="24"/>
                <w:szCs w:val="27"/>
                <w:highlight w:val="none"/>
              </w:rPr>
              <w:t>人不得存在下列不良状况或不良信用记录：</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line="360" w:lineRule="auto"/>
              <w:ind w:left="0" w:leftChars="0" w:firstLine="440" w:firstLineChars="200"/>
              <w:textAlignment w:val="baseline"/>
              <w:rPr>
                <w:rFonts w:hint="eastAsia" w:hAnsi="宋体"/>
                <w:b w:val="0"/>
                <w:bCs/>
                <w:color w:val="auto"/>
                <w:sz w:val="22"/>
                <w:szCs w:val="22"/>
                <w:highlight w:val="none"/>
              </w:rPr>
            </w:pPr>
            <w:r>
              <w:rPr>
                <w:rFonts w:hint="eastAsia" w:hAnsi="宋体"/>
                <w:b w:val="0"/>
                <w:bCs/>
                <w:color w:val="auto"/>
                <w:sz w:val="22"/>
                <w:szCs w:val="22"/>
                <w:highlight w:val="none"/>
              </w:rPr>
              <w:t>（1）被省级及以上交通运输主管部门取消招标项目所在地的投标资格且处于有效期内；</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40" w:firstLineChars="200"/>
              <w:textAlignment w:val="baseline"/>
              <w:rPr>
                <w:rFonts w:hint="eastAsia" w:hAnsi="宋体"/>
                <w:b w:val="0"/>
                <w:bCs/>
                <w:color w:val="auto"/>
                <w:sz w:val="22"/>
                <w:szCs w:val="22"/>
                <w:highlight w:val="none"/>
              </w:rPr>
            </w:pPr>
            <w:r>
              <w:rPr>
                <w:rFonts w:hint="eastAsia" w:hAnsi="宋体"/>
                <w:b w:val="0"/>
                <w:bCs/>
                <w:color w:val="auto"/>
                <w:sz w:val="22"/>
                <w:szCs w:val="22"/>
                <w:highlight w:val="none"/>
              </w:rPr>
              <w:t>（2）被责令停业，暂扣或吊销执照，或吊销资质证书；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40" w:firstLineChars="200"/>
              <w:textAlignment w:val="baseline"/>
              <w:rPr>
                <w:rFonts w:hint="eastAsia" w:hAnsi="宋体"/>
                <w:b w:val="0"/>
                <w:bCs/>
                <w:color w:val="auto"/>
                <w:sz w:val="22"/>
                <w:szCs w:val="22"/>
                <w:highlight w:val="none"/>
              </w:rPr>
            </w:pPr>
            <w:r>
              <w:rPr>
                <w:rFonts w:hint="eastAsia" w:hAnsi="宋体"/>
                <w:b w:val="0"/>
                <w:bCs/>
                <w:color w:val="auto"/>
                <w:sz w:val="22"/>
                <w:szCs w:val="22"/>
                <w:highlight w:val="none"/>
              </w:rPr>
              <w:t>（3）进入清算程序，或被宣告破产，或其他丧失履约能力的情形；</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40" w:firstLineChars="200"/>
              <w:textAlignment w:val="baseline"/>
              <w:rPr>
                <w:rFonts w:hint="eastAsia" w:hAnsi="宋体"/>
                <w:b w:val="0"/>
                <w:bCs/>
                <w:color w:val="auto"/>
                <w:sz w:val="22"/>
                <w:szCs w:val="22"/>
                <w:highlight w:val="none"/>
              </w:rPr>
            </w:pPr>
            <w:r>
              <w:rPr>
                <w:rFonts w:hint="eastAsia" w:hAnsi="宋体"/>
                <w:b w:val="0"/>
                <w:bCs/>
                <w:color w:val="auto"/>
                <w:sz w:val="22"/>
                <w:szCs w:val="22"/>
                <w:highlight w:val="none"/>
              </w:rPr>
              <w:t>（4）在国家企业信用信息公示系统（http</w:t>
            </w:r>
            <w:r>
              <w:rPr>
                <w:rFonts w:hint="eastAsia" w:hAnsi="宋体"/>
                <w:b w:val="0"/>
                <w:bCs/>
                <w:color w:val="auto"/>
                <w:sz w:val="22"/>
                <w:szCs w:val="22"/>
                <w:highlight w:val="none"/>
                <w:lang w:eastAsia="zh-CN"/>
              </w:rPr>
              <w:t>：</w:t>
            </w:r>
            <w:r>
              <w:rPr>
                <w:rFonts w:hint="eastAsia" w:hAnsi="宋体"/>
                <w:b w:val="0"/>
                <w:bCs/>
                <w:color w:val="auto"/>
                <w:sz w:val="22"/>
                <w:szCs w:val="22"/>
                <w:highlight w:val="none"/>
              </w:rPr>
              <w:t>//www.gsxt.gov.cn/）中被列入严重违法失信企业名单；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40" w:firstLineChars="200"/>
              <w:textAlignment w:val="baseline"/>
              <w:rPr>
                <w:rFonts w:hint="eastAsia" w:hAnsi="宋体"/>
                <w:b w:val="0"/>
                <w:bCs/>
                <w:color w:val="auto"/>
                <w:sz w:val="22"/>
                <w:szCs w:val="22"/>
                <w:highlight w:val="none"/>
              </w:rPr>
            </w:pPr>
            <w:r>
              <w:rPr>
                <w:rFonts w:hint="eastAsia" w:hAnsi="宋体"/>
                <w:b w:val="0"/>
                <w:bCs/>
                <w:color w:val="auto"/>
                <w:sz w:val="22"/>
                <w:szCs w:val="22"/>
                <w:highlight w:val="none"/>
              </w:rPr>
              <w:t>（5）在“信用中国”网站（http：//www.creditchina.gov.cn/）中被列入失信被执行人名单；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40" w:firstLineChars="200"/>
              <w:textAlignment w:val="baseline"/>
              <w:rPr>
                <w:rFonts w:hint="eastAsia" w:hAnsi="宋体"/>
                <w:b w:val="0"/>
                <w:bCs/>
                <w:color w:val="auto"/>
                <w:sz w:val="22"/>
                <w:szCs w:val="22"/>
                <w:highlight w:val="none"/>
              </w:rPr>
            </w:pPr>
            <w:r>
              <w:rPr>
                <w:rFonts w:hint="eastAsia" w:hAnsi="宋体"/>
                <w:b w:val="0"/>
                <w:bCs/>
                <w:color w:val="auto"/>
                <w:sz w:val="22"/>
                <w:szCs w:val="22"/>
                <w:highlight w:val="none"/>
              </w:rPr>
              <w:t>（6）投标人或其法定代表人、拟委任的</w:t>
            </w:r>
            <w:r>
              <w:rPr>
                <w:rFonts w:hint="eastAsia" w:hAnsi="宋体"/>
                <w:b w:val="0"/>
                <w:bCs/>
                <w:color w:val="auto"/>
                <w:sz w:val="22"/>
                <w:szCs w:val="22"/>
                <w:highlight w:val="none"/>
                <w:lang w:eastAsia="zh-CN"/>
              </w:rPr>
              <w:t>中心试验室主任</w:t>
            </w:r>
            <w:r>
              <w:rPr>
                <w:rFonts w:hint="eastAsia" w:hAnsi="宋体"/>
                <w:b w:val="0"/>
                <w:bCs/>
                <w:color w:val="auto"/>
                <w:sz w:val="22"/>
                <w:szCs w:val="22"/>
                <w:highlight w:val="none"/>
              </w:rPr>
              <w:t>在近三年内有行贿犯罪行为的（行贿犯罪行为的认定改至评标结束后，由招标人通过中国裁判文书网对中标候选人进行查询）；</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40" w:firstLineChars="200"/>
              <w:textAlignment w:val="baseline"/>
              <w:rPr>
                <w:rFonts w:hint="eastAsia" w:hAnsi="宋体"/>
                <w:b w:val="0"/>
                <w:bCs/>
                <w:color w:val="auto"/>
                <w:sz w:val="22"/>
                <w:szCs w:val="22"/>
                <w:highlight w:val="none"/>
              </w:rPr>
            </w:pPr>
            <w:r>
              <w:rPr>
                <w:rFonts w:hint="eastAsia" w:hAnsi="宋体"/>
                <w:b w:val="0"/>
                <w:bCs/>
                <w:color w:val="auto"/>
                <w:sz w:val="22"/>
                <w:szCs w:val="22"/>
                <w:highlight w:val="none"/>
              </w:rPr>
              <w:t>（7）投标人最近三年内在工程建设领域发生过重大或特别重大安全事故；</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40" w:firstLineChars="200"/>
              <w:textAlignment w:val="baseline"/>
              <w:rPr>
                <w:rFonts w:hint="eastAsia" w:hAnsi="宋体"/>
                <w:b w:val="0"/>
                <w:bCs/>
                <w:color w:val="auto"/>
                <w:sz w:val="22"/>
                <w:szCs w:val="22"/>
                <w:highlight w:val="none"/>
              </w:rPr>
            </w:pPr>
            <w:r>
              <w:rPr>
                <w:rFonts w:hint="eastAsia" w:hAnsi="宋体"/>
                <w:b w:val="0"/>
                <w:bCs/>
                <w:color w:val="auto"/>
                <w:sz w:val="22"/>
                <w:szCs w:val="22"/>
                <w:highlight w:val="none"/>
              </w:rPr>
              <w:t>（8）投标人在贵州省建设市场发生过重大违约问题；</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40" w:firstLineChars="200"/>
              <w:textAlignment w:val="baseline"/>
              <w:rPr>
                <w:color w:val="auto"/>
                <w:sz w:val="22"/>
                <w:szCs w:val="22"/>
                <w:highlight w:val="none"/>
              </w:rPr>
            </w:pPr>
            <w:r>
              <w:rPr>
                <w:rFonts w:hint="eastAsia" w:hAnsi="宋体"/>
                <w:b w:val="0"/>
                <w:bCs/>
                <w:color w:val="auto"/>
                <w:sz w:val="22"/>
                <w:szCs w:val="22"/>
                <w:highlight w:val="none"/>
              </w:rPr>
              <w:t>（9）投标人最新公布的信用评价结果为D级。</w:t>
            </w:r>
          </w:p>
        </w:tc>
      </w:tr>
    </w:tbl>
    <w:p>
      <w:pPr>
        <w:ind w:left="147" w:leftChars="67" w:firstLine="312"/>
        <w:jc w:val="center"/>
        <w:rPr>
          <w:rFonts w:hAnsi="宋体"/>
          <w:b/>
          <w:color w:val="auto"/>
          <w:sz w:val="28"/>
          <w:szCs w:val="28"/>
          <w:highlight w:val="none"/>
        </w:rPr>
      </w:pPr>
    </w:p>
    <w:p>
      <w:pPr>
        <w:ind w:left="147" w:leftChars="67" w:firstLine="312"/>
        <w:jc w:val="center"/>
        <w:rPr>
          <w:rFonts w:hAnsi="宋体"/>
          <w:b/>
          <w:color w:val="auto"/>
          <w:sz w:val="28"/>
          <w:szCs w:val="28"/>
          <w:highlight w:val="none"/>
        </w:rPr>
      </w:pPr>
      <w:r>
        <w:rPr>
          <w:rFonts w:hAnsi="宋体"/>
          <w:b/>
          <w:color w:val="auto"/>
          <w:sz w:val="28"/>
          <w:szCs w:val="28"/>
          <w:highlight w:val="none"/>
        </w:rPr>
        <w:t>附录4资格审查条件（</w:t>
      </w:r>
      <w:r>
        <w:rPr>
          <w:rFonts w:hint="eastAsia" w:hAnsi="宋体"/>
          <w:b/>
          <w:color w:val="auto"/>
          <w:sz w:val="28"/>
          <w:szCs w:val="28"/>
          <w:highlight w:val="none"/>
          <w:lang w:eastAsia="zh-CN"/>
        </w:rPr>
        <w:t>项目负责人</w:t>
      </w:r>
      <w:r>
        <w:rPr>
          <w:rFonts w:hAnsi="宋体"/>
          <w:b/>
          <w:color w:val="auto"/>
          <w:sz w:val="28"/>
          <w:szCs w:val="28"/>
          <w:highlight w:val="none"/>
        </w:rPr>
        <w:t>最低要求）</w:t>
      </w:r>
    </w:p>
    <w:p>
      <w:pPr>
        <w:adjustRightInd/>
        <w:snapToGrid w:val="0"/>
        <w:spacing w:line="288" w:lineRule="auto"/>
        <w:ind w:left="147" w:leftChars="67" w:firstLine="312"/>
        <w:textAlignment w:val="auto"/>
        <w:rPr>
          <w:rFonts w:hAnsi="宋体"/>
          <w:color w:val="auto"/>
          <w:sz w:val="24"/>
          <w:szCs w:val="24"/>
          <w:highlight w:val="none"/>
        </w:rPr>
      </w:pPr>
    </w:p>
    <w:tbl>
      <w:tblPr>
        <w:tblStyle w:val="1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95"/>
        <w:gridCol w:w="969"/>
        <w:gridCol w:w="2476"/>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98" w:type="dxa"/>
            <w:noWrap w:val="0"/>
            <w:vAlign w:val="center"/>
          </w:tcPr>
          <w:p>
            <w:pPr>
              <w:snapToGrid w:val="0"/>
              <w:spacing w:line="400" w:lineRule="exact"/>
              <w:ind w:left="0" w:leftChars="0" w:firstLine="241" w:firstLineChars="100"/>
              <w:rPr>
                <w:rFonts w:hint="eastAsia" w:hAnsi="宋体" w:eastAsia="宋体"/>
                <w:b/>
                <w:color w:val="auto"/>
                <w:sz w:val="24"/>
                <w:szCs w:val="24"/>
                <w:highlight w:val="none"/>
                <w:lang w:eastAsia="zh-CN"/>
              </w:rPr>
            </w:pPr>
            <w:r>
              <w:rPr>
                <w:rFonts w:hint="eastAsia" w:hAnsi="宋体"/>
                <w:b/>
                <w:color w:val="auto"/>
                <w:sz w:val="24"/>
                <w:szCs w:val="24"/>
                <w:highlight w:val="none"/>
                <w:lang w:eastAsia="zh-CN"/>
              </w:rPr>
              <w:t>标段</w:t>
            </w:r>
          </w:p>
        </w:tc>
        <w:tc>
          <w:tcPr>
            <w:tcW w:w="1895" w:type="dxa"/>
            <w:noWrap w:val="0"/>
            <w:vAlign w:val="center"/>
          </w:tcPr>
          <w:p>
            <w:pPr>
              <w:snapToGrid w:val="0"/>
              <w:spacing w:line="400" w:lineRule="exact"/>
              <w:rPr>
                <w:rFonts w:hint="eastAsia" w:hAnsi="宋体"/>
                <w:b/>
                <w:color w:val="auto"/>
                <w:sz w:val="24"/>
                <w:szCs w:val="24"/>
                <w:highlight w:val="none"/>
              </w:rPr>
            </w:pPr>
            <w:r>
              <w:rPr>
                <w:rFonts w:hint="eastAsia" w:hAnsi="宋体"/>
                <w:b/>
                <w:color w:val="auto"/>
                <w:sz w:val="24"/>
                <w:szCs w:val="24"/>
                <w:highlight w:val="none"/>
              </w:rPr>
              <w:t>人员</w:t>
            </w:r>
          </w:p>
        </w:tc>
        <w:tc>
          <w:tcPr>
            <w:tcW w:w="969" w:type="dxa"/>
            <w:noWrap w:val="0"/>
            <w:vAlign w:val="center"/>
          </w:tcPr>
          <w:p>
            <w:pPr>
              <w:snapToGrid w:val="0"/>
              <w:spacing w:line="400" w:lineRule="exact"/>
              <w:ind w:firstLine="0"/>
              <w:jc w:val="center"/>
              <w:rPr>
                <w:rFonts w:hAnsi="宋体"/>
                <w:b/>
                <w:color w:val="auto"/>
                <w:sz w:val="24"/>
                <w:szCs w:val="24"/>
                <w:highlight w:val="none"/>
              </w:rPr>
            </w:pPr>
            <w:r>
              <w:rPr>
                <w:rFonts w:hint="eastAsia" w:hAnsi="宋体"/>
                <w:b/>
                <w:color w:val="auto"/>
                <w:sz w:val="24"/>
                <w:szCs w:val="24"/>
                <w:highlight w:val="none"/>
              </w:rPr>
              <w:t>数量</w:t>
            </w:r>
          </w:p>
        </w:tc>
        <w:tc>
          <w:tcPr>
            <w:tcW w:w="2476" w:type="dxa"/>
            <w:noWrap w:val="0"/>
            <w:vAlign w:val="center"/>
          </w:tcPr>
          <w:p>
            <w:pPr>
              <w:snapToGrid w:val="0"/>
              <w:spacing w:line="400" w:lineRule="exact"/>
              <w:ind w:firstLine="0"/>
              <w:jc w:val="center"/>
              <w:rPr>
                <w:rFonts w:hAnsi="宋体"/>
                <w:b/>
                <w:color w:val="auto"/>
                <w:sz w:val="24"/>
                <w:szCs w:val="24"/>
                <w:highlight w:val="none"/>
              </w:rPr>
            </w:pPr>
            <w:r>
              <w:rPr>
                <w:rFonts w:hint="eastAsia" w:hAnsi="宋体"/>
                <w:b/>
                <w:color w:val="auto"/>
                <w:sz w:val="24"/>
                <w:szCs w:val="24"/>
                <w:highlight w:val="none"/>
              </w:rPr>
              <w:t>资格要求</w:t>
            </w:r>
          </w:p>
        </w:tc>
        <w:tc>
          <w:tcPr>
            <w:tcW w:w="3087" w:type="dxa"/>
            <w:noWrap w:val="0"/>
            <w:vAlign w:val="center"/>
          </w:tcPr>
          <w:p>
            <w:pPr>
              <w:snapToGrid w:val="0"/>
              <w:spacing w:line="240" w:lineRule="auto"/>
              <w:ind w:firstLine="0"/>
              <w:jc w:val="center"/>
              <w:rPr>
                <w:rFonts w:ascii="宋体" w:hAnsi="宋体"/>
                <w:b/>
                <w:color w:val="auto"/>
                <w:szCs w:val="21"/>
                <w:highlight w:val="none"/>
              </w:rPr>
            </w:pPr>
            <w:r>
              <w:rPr>
                <w:rFonts w:hint="eastAsia" w:ascii="宋体" w:hAnsi="宋体"/>
                <w:b/>
                <w:color w:val="auto"/>
                <w:szCs w:val="21"/>
                <w:highlight w:val="none"/>
                <w:lang w:eastAsia="zh-CN"/>
              </w:rPr>
              <w:t>在岗</w:t>
            </w:r>
            <w:r>
              <w:rPr>
                <w:rFonts w:ascii="宋体" w:hAnsi="宋体"/>
                <w:b/>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1198" w:type="dxa"/>
            <w:noWrap w:val="0"/>
            <w:vAlign w:val="center"/>
          </w:tcPr>
          <w:p>
            <w:pPr>
              <w:pStyle w:val="7"/>
              <w:spacing w:line="340" w:lineRule="atLeast"/>
              <w:ind w:left="0" w:leftChars="0" w:firstLine="0" w:firstLineChars="0"/>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bidi="ar-SA"/>
              </w:rPr>
              <w:t>第DYZS-1、DYZS-2、DYZS-3、标段</w:t>
            </w:r>
          </w:p>
        </w:tc>
        <w:tc>
          <w:tcPr>
            <w:tcW w:w="1895" w:type="dxa"/>
            <w:noWrap w:val="0"/>
            <w:vAlign w:val="center"/>
          </w:tcPr>
          <w:p>
            <w:pPr>
              <w:pStyle w:val="7"/>
              <w:spacing w:line="340" w:lineRule="atLeast"/>
              <w:ind w:left="0" w:leftChars="0" w:firstLine="0" w:firstLineChars="0"/>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中心试验室主任</w:t>
            </w:r>
          </w:p>
        </w:tc>
        <w:tc>
          <w:tcPr>
            <w:tcW w:w="969" w:type="dxa"/>
            <w:noWrap w:val="0"/>
            <w:vAlign w:val="center"/>
          </w:tcPr>
          <w:p>
            <w:pPr>
              <w:pStyle w:val="7"/>
              <w:spacing w:line="340" w:lineRule="atLeast"/>
              <w:ind w:left="0" w:leftChars="0" w:firstLine="0" w:firstLineChars="0"/>
              <w:jc w:val="center"/>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p>
        </w:tc>
        <w:tc>
          <w:tcPr>
            <w:tcW w:w="2476" w:type="dxa"/>
            <w:noWrap w:val="0"/>
            <w:vAlign w:val="center"/>
          </w:tcPr>
          <w:p>
            <w:pPr>
              <w:pStyle w:val="7"/>
              <w:spacing w:line="340" w:lineRule="atLeast"/>
              <w:ind w:left="0" w:leftChars="0" w:firstLine="480" w:firstLineChars="200"/>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bidi="ar-SA"/>
              </w:rPr>
              <w:t>具有工程师及以上职称</w:t>
            </w:r>
            <w:r>
              <w:rPr>
                <w:rFonts w:hint="eastAsia" w:ascii="宋体" w:hAnsi="宋体" w:eastAsia="宋体" w:cs="Times New Roman"/>
                <w:color w:val="auto"/>
                <w:sz w:val="24"/>
                <w:szCs w:val="24"/>
                <w:highlight w:val="none"/>
                <w:lang w:val="en-US" w:eastAsia="zh-CN" w:bidi="ar-SA"/>
              </w:rPr>
              <w:t>，</w:t>
            </w:r>
            <w:r>
              <w:rPr>
                <w:rFonts w:hint="eastAsia" w:ascii="宋体" w:hAnsi="宋体" w:cs="Times New Roman"/>
                <w:color w:val="auto"/>
                <w:sz w:val="24"/>
                <w:szCs w:val="24"/>
                <w:highlight w:val="none"/>
                <w:lang w:val="en-US" w:eastAsia="zh-CN" w:bidi="ar-SA"/>
              </w:rPr>
              <w:t>持有交通运输部质量监督局（站）或交通运输部职业资格中心颁发的试验检测工程师证书或试验检测师</w:t>
            </w:r>
            <w:r>
              <w:rPr>
                <w:rFonts w:hint="eastAsia" w:ascii="宋体" w:hAnsi="宋体" w:eastAsia="宋体" w:cs="Times New Roman"/>
                <w:color w:val="auto"/>
                <w:sz w:val="24"/>
                <w:szCs w:val="24"/>
                <w:highlight w:val="none"/>
                <w:lang w:val="en-US" w:eastAsia="zh-CN" w:bidi="ar-SA"/>
              </w:rPr>
              <w:t>，</w:t>
            </w:r>
            <w:r>
              <w:rPr>
                <w:rFonts w:hint="eastAsia" w:ascii="宋体" w:hAnsi="宋体" w:cs="Times New Roman"/>
                <w:color w:val="auto"/>
                <w:sz w:val="24"/>
                <w:szCs w:val="24"/>
                <w:highlight w:val="none"/>
                <w:lang w:val="en-US" w:eastAsia="zh-CN" w:bidi="ar-SA"/>
              </w:rPr>
              <w:t>5</w:t>
            </w:r>
            <w:r>
              <w:rPr>
                <w:rFonts w:hint="eastAsia" w:ascii="宋体" w:hAnsi="宋体" w:eastAsia="宋体" w:cs="Times New Roman"/>
                <w:color w:val="auto"/>
                <w:sz w:val="24"/>
                <w:szCs w:val="24"/>
                <w:highlight w:val="none"/>
                <w:lang w:val="en-US" w:eastAsia="zh-CN" w:bidi="ar-SA"/>
              </w:rPr>
              <w:t>年以上公路工程试验检测工作经验。</w:t>
            </w:r>
          </w:p>
        </w:tc>
        <w:tc>
          <w:tcPr>
            <w:tcW w:w="3087" w:type="dxa"/>
            <w:noWrap w:val="0"/>
            <w:vAlign w:val="center"/>
          </w:tcPr>
          <w:p>
            <w:pPr>
              <w:pStyle w:val="7"/>
              <w:spacing w:line="340" w:lineRule="atLeast"/>
              <w:ind w:left="0" w:leftChars="0" w:firstLine="0" w:firstLineChars="0"/>
              <w:rPr>
                <w:rFonts w:hint="eastAsia" w:hAnsi="宋体"/>
                <w:b/>
                <w:color w:val="auto"/>
                <w:sz w:val="24"/>
                <w:szCs w:val="24"/>
                <w:highlight w:val="none"/>
              </w:rPr>
            </w:pPr>
            <w:r>
              <w:rPr>
                <w:rFonts w:hint="eastAsia" w:hAnsi="宋体"/>
                <w:b/>
                <w:color w:val="auto"/>
                <w:sz w:val="24"/>
                <w:szCs w:val="24"/>
                <w:highlight w:val="none"/>
              </w:rPr>
              <w:t>无在岗项目（指目前未在其他项目上任职，或虽在其他项目上任职但本项目中标后能够从该项目撤离）</w:t>
            </w:r>
          </w:p>
        </w:tc>
      </w:tr>
    </w:tbl>
    <w:p>
      <w:pPr>
        <w:snapToGrid w:val="0"/>
        <w:spacing w:line="360" w:lineRule="auto"/>
        <w:ind w:left="147" w:leftChars="67" w:firstLine="482" w:firstLineChars="200"/>
        <w:rPr>
          <w:rFonts w:hAnsi="宋体"/>
          <w:b/>
          <w:color w:val="auto"/>
          <w:sz w:val="24"/>
          <w:szCs w:val="24"/>
          <w:highlight w:val="none"/>
        </w:rPr>
      </w:pPr>
    </w:p>
    <w:p>
      <w:pPr>
        <w:snapToGrid w:val="0"/>
        <w:spacing w:line="360" w:lineRule="auto"/>
        <w:ind w:left="147" w:leftChars="67" w:firstLine="482" w:firstLineChars="200"/>
        <w:rPr>
          <w:rFonts w:hAnsi="宋体"/>
          <w:b/>
          <w:color w:val="auto"/>
          <w:sz w:val="24"/>
          <w:szCs w:val="24"/>
          <w:highlight w:val="none"/>
        </w:rPr>
      </w:pPr>
      <w:r>
        <w:rPr>
          <w:rFonts w:hint="eastAsia" w:hAnsi="宋体"/>
          <w:b/>
          <w:color w:val="auto"/>
          <w:sz w:val="24"/>
          <w:szCs w:val="24"/>
          <w:highlight w:val="none"/>
        </w:rPr>
        <w:t>注：</w:t>
      </w:r>
    </w:p>
    <w:p>
      <w:pPr>
        <w:spacing w:line="360" w:lineRule="auto"/>
        <w:ind w:left="147" w:leftChars="67" w:firstLine="312"/>
        <w:rPr>
          <w:rFonts w:hAnsi="宋体"/>
          <w:b/>
          <w:color w:val="auto"/>
          <w:sz w:val="24"/>
          <w:szCs w:val="24"/>
          <w:highlight w:val="none"/>
        </w:rPr>
      </w:pPr>
      <w:r>
        <w:rPr>
          <w:rFonts w:hint="eastAsia" w:hAnsi="宋体"/>
          <w:b/>
          <w:color w:val="auto"/>
          <w:sz w:val="24"/>
          <w:szCs w:val="24"/>
          <w:highlight w:val="none"/>
        </w:rPr>
        <w:t>1. 本次招标仅审查</w:t>
      </w:r>
      <w:r>
        <w:rPr>
          <w:rFonts w:hint="eastAsia" w:hAnsi="宋体"/>
          <w:b/>
          <w:color w:val="auto"/>
          <w:sz w:val="24"/>
          <w:szCs w:val="24"/>
          <w:highlight w:val="none"/>
          <w:lang w:eastAsia="zh-CN"/>
        </w:rPr>
        <w:t>各标段中心试验室主任</w:t>
      </w:r>
      <w:r>
        <w:rPr>
          <w:rFonts w:hint="eastAsia" w:hAnsi="宋体"/>
          <w:b/>
          <w:color w:val="auto"/>
          <w:sz w:val="24"/>
          <w:szCs w:val="24"/>
          <w:highlight w:val="none"/>
        </w:rPr>
        <w:t>，不审查其它主要人员，投标人无需提供其他主要人员资料。在合同谈判时，中标人应提供其他主要人员的资料进行审查。</w:t>
      </w:r>
    </w:p>
    <w:p>
      <w:pPr>
        <w:spacing w:line="360" w:lineRule="auto"/>
        <w:ind w:left="147" w:leftChars="67" w:firstLine="312"/>
        <w:rPr>
          <w:rFonts w:hint="eastAsia" w:hAnsi="宋体"/>
          <w:b/>
          <w:color w:val="auto"/>
          <w:sz w:val="24"/>
          <w:szCs w:val="24"/>
          <w:highlight w:val="none"/>
        </w:rPr>
      </w:pPr>
      <w:r>
        <w:rPr>
          <w:rFonts w:hint="eastAsia" w:hAnsi="宋体"/>
          <w:b/>
          <w:color w:val="auto"/>
          <w:sz w:val="24"/>
          <w:szCs w:val="24"/>
          <w:highlight w:val="none"/>
        </w:rPr>
        <w:t>2、</w:t>
      </w:r>
      <w:r>
        <w:rPr>
          <w:rFonts w:hint="eastAsia" w:hAnsi="宋体"/>
          <w:b/>
          <w:color w:val="auto"/>
          <w:sz w:val="24"/>
          <w:szCs w:val="24"/>
          <w:highlight w:val="none"/>
          <w:lang w:eastAsia="zh-CN"/>
        </w:rPr>
        <w:t>中心试验室主任</w:t>
      </w:r>
      <w:r>
        <w:rPr>
          <w:rFonts w:hint="eastAsia" w:hAnsi="宋体"/>
          <w:b/>
          <w:color w:val="auto"/>
          <w:sz w:val="24"/>
          <w:szCs w:val="24"/>
          <w:highlight w:val="none"/>
          <w:lang w:val="en-US" w:eastAsia="zh-CN"/>
        </w:rPr>
        <w:t>除附上表中所需，</w:t>
      </w:r>
      <w:r>
        <w:rPr>
          <w:rFonts w:hint="eastAsia" w:hAnsi="宋体"/>
          <w:b/>
          <w:color w:val="auto"/>
          <w:sz w:val="24"/>
          <w:szCs w:val="24"/>
          <w:highlight w:val="none"/>
        </w:rPr>
        <w:t>还应提供在社保系统打印的近半年（2020年1月~2020年6月）或其他能够证明拟委任的试验室主任参加社保的有效证明材料复印件。</w:t>
      </w:r>
    </w:p>
    <w:p>
      <w:pPr>
        <w:rPr>
          <w:rFonts w:hint="eastAsia" w:hAnsi="宋体"/>
          <w:b/>
          <w:color w:val="auto"/>
          <w:sz w:val="24"/>
          <w:szCs w:val="24"/>
          <w:highlight w:val="none"/>
        </w:rPr>
      </w:pPr>
      <w:r>
        <w:rPr>
          <w:rFonts w:hint="eastAsia" w:hAnsi="宋体"/>
          <w:b/>
          <w:color w:val="auto"/>
          <w:sz w:val="24"/>
          <w:szCs w:val="24"/>
          <w:highlight w:val="none"/>
        </w:rPr>
        <w:br w:type="page"/>
      </w:r>
    </w:p>
    <w:p>
      <w:pPr>
        <w:ind w:left="147" w:leftChars="67" w:firstLine="312"/>
        <w:jc w:val="center"/>
        <w:rPr>
          <w:rFonts w:hAnsi="宋体"/>
          <w:b/>
          <w:color w:val="auto"/>
          <w:sz w:val="32"/>
          <w:szCs w:val="32"/>
          <w:highlight w:val="none"/>
        </w:rPr>
      </w:pPr>
      <w:r>
        <w:rPr>
          <w:rStyle w:val="16"/>
          <w:rFonts w:hint="eastAsia"/>
          <w:color w:val="auto"/>
          <w:highlight w:val="none"/>
        </w:rPr>
        <w:t>评标办法（综合评估法）</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0" w:leftChars="0" w:firstLine="0"/>
        <w:jc w:val="left"/>
        <w:textAlignment w:val="baseline"/>
        <w:outlineLvl w:val="1"/>
        <w:rPr>
          <w:rFonts w:hAnsi="宋体" w:cs="宋体"/>
          <w:b/>
          <w:color w:val="auto"/>
          <w:kern w:val="2"/>
          <w:sz w:val="24"/>
          <w:szCs w:val="24"/>
          <w:highlight w:val="none"/>
        </w:rPr>
      </w:pPr>
      <w:bookmarkStart w:id="32" w:name="_Toc4618"/>
      <w:r>
        <w:rPr>
          <w:rFonts w:hAnsi="宋体"/>
          <w:b/>
          <w:color w:val="auto"/>
          <w:sz w:val="24"/>
          <w:szCs w:val="24"/>
          <w:highlight w:val="none"/>
        </w:rPr>
        <w:t>评标办法前附表</w:t>
      </w:r>
      <w:bookmarkEnd w:id="32"/>
    </w:p>
    <w:tbl>
      <w:tblPr>
        <w:tblStyle w:val="1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600"/>
        <w:gridCol w:w="906"/>
        <w:gridCol w:w="763"/>
        <w:gridCol w:w="1843"/>
        <w:gridCol w:w="992"/>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463" w:type="dxa"/>
            <w:gridSpan w:val="3"/>
            <w:noWrap w:val="0"/>
            <w:vAlign w:val="center"/>
          </w:tcPr>
          <w:p>
            <w:pPr>
              <w:ind w:left="147" w:leftChars="67" w:firstLine="312"/>
              <w:jc w:val="center"/>
              <w:rPr>
                <w:rFonts w:hAnsi="宋体"/>
                <w:b/>
                <w:color w:val="auto"/>
                <w:szCs w:val="21"/>
                <w:highlight w:val="none"/>
              </w:rPr>
            </w:pPr>
            <w:r>
              <w:rPr>
                <w:rFonts w:hAnsi="宋体"/>
                <w:b/>
                <w:color w:val="auto"/>
                <w:szCs w:val="21"/>
                <w:highlight w:val="none"/>
              </w:rPr>
              <w:t>条款号/名称</w:t>
            </w:r>
          </w:p>
        </w:tc>
        <w:tc>
          <w:tcPr>
            <w:tcW w:w="7107" w:type="dxa"/>
            <w:gridSpan w:val="4"/>
            <w:noWrap w:val="0"/>
            <w:vAlign w:val="center"/>
          </w:tcPr>
          <w:p>
            <w:pPr>
              <w:ind w:left="147" w:leftChars="67" w:firstLine="312"/>
              <w:jc w:val="center"/>
              <w:rPr>
                <w:rFonts w:hAnsi="宋体"/>
                <w:b/>
                <w:color w:val="auto"/>
                <w:szCs w:val="21"/>
                <w:highlight w:val="none"/>
              </w:rPr>
            </w:pPr>
            <w:r>
              <w:rPr>
                <w:rFonts w:hAnsi="宋体"/>
                <w:b/>
                <w:color w:val="auto"/>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noWrap w:val="0"/>
            <w:vAlign w:val="center"/>
          </w:tcPr>
          <w:p>
            <w:pPr>
              <w:pStyle w:val="17"/>
              <w:rPr>
                <w:color w:val="auto"/>
                <w:highlight w:val="none"/>
              </w:rPr>
            </w:pPr>
            <w:r>
              <w:rPr>
                <w:rFonts w:hint="eastAsia"/>
                <w:color w:val="auto"/>
                <w:highlight w:val="none"/>
              </w:rPr>
              <w:t>1</w:t>
            </w:r>
          </w:p>
        </w:tc>
        <w:tc>
          <w:tcPr>
            <w:tcW w:w="1506" w:type="dxa"/>
            <w:gridSpan w:val="2"/>
            <w:noWrap w:val="0"/>
            <w:vAlign w:val="center"/>
          </w:tcPr>
          <w:p>
            <w:pPr>
              <w:pStyle w:val="17"/>
              <w:rPr>
                <w:color w:val="auto"/>
                <w:highlight w:val="none"/>
              </w:rPr>
            </w:pPr>
            <w:r>
              <w:rPr>
                <w:rFonts w:hint="eastAsia"/>
                <w:color w:val="auto"/>
                <w:highlight w:val="none"/>
              </w:rPr>
              <w:t>评标办法</w:t>
            </w:r>
          </w:p>
        </w:tc>
        <w:tc>
          <w:tcPr>
            <w:tcW w:w="7107"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auto"/>
              <w:ind w:firstLine="0"/>
              <w:textAlignment w:val="auto"/>
              <w:rPr>
                <w:rFonts w:hAnsi="宋体" w:cs="宋体"/>
                <w:color w:val="auto"/>
                <w:szCs w:val="21"/>
                <w:highlight w:val="none"/>
              </w:rPr>
            </w:pPr>
            <w:r>
              <w:rPr>
                <w:rFonts w:hint="eastAsia" w:hAnsi="宋体" w:cs="宋体"/>
                <w:color w:val="auto"/>
                <w:szCs w:val="21"/>
                <w:highlight w:val="none"/>
              </w:rPr>
              <w:t>综合评分相等时，评标委员会依次按照以下优先顺序推荐中标候选人：</w:t>
            </w:r>
          </w:p>
          <w:p>
            <w:pPr>
              <w:pStyle w:val="18"/>
              <w:keepNext w:val="0"/>
              <w:keepLines w:val="0"/>
              <w:pageBreakBefore w:val="0"/>
              <w:widowControl/>
              <w:numPr>
                <w:ilvl w:val="0"/>
                <w:numId w:val="5"/>
              </w:numPr>
              <w:kinsoku/>
              <w:wordWrap/>
              <w:overflowPunct/>
              <w:topLinePunct w:val="0"/>
              <w:autoSpaceDE/>
              <w:autoSpaceDN/>
              <w:bidi w:val="0"/>
              <w:adjustRightInd/>
              <w:snapToGrid/>
              <w:spacing w:line="300" w:lineRule="auto"/>
              <w:ind w:left="147" w:leftChars="67"/>
              <w:textAlignment w:val="auto"/>
              <w:rPr>
                <w:rFonts w:hAnsi="宋体" w:cs="宋体"/>
                <w:color w:val="auto"/>
                <w:szCs w:val="21"/>
                <w:highlight w:val="none"/>
              </w:rPr>
            </w:pPr>
            <w:r>
              <w:rPr>
                <w:rFonts w:hint="eastAsia" w:hAnsi="宋体" w:cs="宋体"/>
                <w:color w:val="auto"/>
                <w:szCs w:val="21"/>
                <w:highlight w:val="none"/>
              </w:rPr>
              <w:t>评标价低的投标人优先；</w:t>
            </w:r>
          </w:p>
          <w:p>
            <w:pPr>
              <w:pStyle w:val="18"/>
              <w:keepNext w:val="0"/>
              <w:keepLines w:val="0"/>
              <w:pageBreakBefore w:val="0"/>
              <w:widowControl/>
              <w:numPr>
                <w:ilvl w:val="0"/>
                <w:numId w:val="5"/>
              </w:numPr>
              <w:kinsoku/>
              <w:wordWrap/>
              <w:overflowPunct/>
              <w:topLinePunct w:val="0"/>
              <w:autoSpaceDE/>
              <w:autoSpaceDN/>
              <w:bidi w:val="0"/>
              <w:adjustRightInd/>
              <w:snapToGrid/>
              <w:spacing w:line="300" w:lineRule="auto"/>
              <w:ind w:left="147" w:leftChars="67"/>
              <w:textAlignment w:val="auto"/>
              <w:rPr>
                <w:rFonts w:hAnsi="宋体" w:cs="宋体"/>
                <w:color w:val="auto"/>
                <w:szCs w:val="21"/>
                <w:highlight w:val="none"/>
              </w:rPr>
            </w:pPr>
            <w:r>
              <w:rPr>
                <w:rFonts w:hint="eastAsia" w:hAnsi="宋体" w:cs="宋体"/>
                <w:color w:val="auto"/>
                <w:szCs w:val="21"/>
                <w:highlight w:val="none"/>
              </w:rPr>
              <w:t>被贵州省交通运输主管部门评为较高信用等级的投标人优先；</w:t>
            </w:r>
          </w:p>
          <w:p>
            <w:pPr>
              <w:pStyle w:val="18"/>
              <w:keepNext w:val="0"/>
              <w:keepLines w:val="0"/>
              <w:pageBreakBefore w:val="0"/>
              <w:widowControl/>
              <w:numPr>
                <w:ilvl w:val="0"/>
                <w:numId w:val="5"/>
              </w:numPr>
              <w:kinsoku/>
              <w:wordWrap/>
              <w:overflowPunct/>
              <w:topLinePunct w:val="0"/>
              <w:autoSpaceDE/>
              <w:autoSpaceDN/>
              <w:bidi w:val="0"/>
              <w:adjustRightInd/>
              <w:snapToGrid/>
              <w:spacing w:line="300" w:lineRule="auto"/>
              <w:ind w:left="147" w:leftChars="67"/>
              <w:textAlignment w:val="auto"/>
              <w:rPr>
                <w:rFonts w:hAnsi="宋体" w:cs="宋体"/>
                <w:color w:val="auto"/>
                <w:szCs w:val="21"/>
                <w:highlight w:val="none"/>
              </w:rPr>
            </w:pPr>
            <w:r>
              <w:rPr>
                <w:rFonts w:hint="eastAsia" w:hAnsi="宋体" w:cs="宋体"/>
                <w:color w:val="auto"/>
                <w:szCs w:val="21"/>
                <w:highlight w:val="none"/>
              </w:rPr>
              <w:t>商务和技术得分较高的投标人优先</w:t>
            </w:r>
            <w:r>
              <w:rPr>
                <w:rFonts w:hint="eastAsia"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57" w:type="dxa"/>
            <w:noWrap w:val="0"/>
            <w:vAlign w:val="center"/>
          </w:tcPr>
          <w:p>
            <w:pPr>
              <w:ind w:left="147" w:leftChars="67" w:firstLine="0"/>
              <w:rPr>
                <w:rFonts w:hAnsi="宋体"/>
                <w:b/>
                <w:color w:val="auto"/>
                <w:szCs w:val="21"/>
                <w:highlight w:val="none"/>
              </w:rPr>
            </w:pPr>
            <w:r>
              <w:rPr>
                <w:rFonts w:hint="eastAsia" w:hAnsi="宋体"/>
                <w:b/>
                <w:color w:val="auto"/>
                <w:szCs w:val="21"/>
                <w:highlight w:val="none"/>
              </w:rPr>
              <w:t>2.1.1</w:t>
            </w:r>
          </w:p>
          <w:p>
            <w:pPr>
              <w:ind w:left="147" w:leftChars="67" w:firstLine="0"/>
              <w:rPr>
                <w:rFonts w:hAnsi="宋体"/>
                <w:b/>
                <w:color w:val="auto"/>
                <w:szCs w:val="21"/>
                <w:highlight w:val="none"/>
              </w:rPr>
            </w:pPr>
            <w:r>
              <w:rPr>
                <w:rFonts w:hint="eastAsia" w:hAnsi="宋体"/>
                <w:b/>
                <w:color w:val="auto"/>
                <w:szCs w:val="21"/>
                <w:highlight w:val="none"/>
              </w:rPr>
              <w:t>2.1.3</w:t>
            </w:r>
          </w:p>
        </w:tc>
        <w:tc>
          <w:tcPr>
            <w:tcW w:w="1506" w:type="dxa"/>
            <w:gridSpan w:val="2"/>
            <w:noWrap w:val="0"/>
            <w:vAlign w:val="center"/>
          </w:tcPr>
          <w:p>
            <w:pPr>
              <w:keepNext w:val="0"/>
              <w:keepLines w:val="0"/>
              <w:pageBreakBefore w:val="0"/>
              <w:widowControl w:val="0"/>
              <w:kinsoku/>
              <w:wordWrap/>
              <w:overflowPunct/>
              <w:topLinePunct w:val="0"/>
              <w:autoSpaceDE/>
              <w:autoSpaceDN/>
              <w:bidi w:val="0"/>
              <w:adjustRightInd w:val="0"/>
              <w:snapToGrid/>
              <w:ind w:left="0" w:leftChars="0" w:firstLine="0"/>
              <w:textAlignment w:val="baseline"/>
              <w:rPr>
                <w:rFonts w:hAnsi="宋体"/>
                <w:b/>
                <w:color w:val="auto"/>
                <w:szCs w:val="21"/>
                <w:highlight w:val="none"/>
              </w:rPr>
            </w:pPr>
            <w:r>
              <w:rPr>
                <w:rFonts w:hint="eastAsia" w:hAnsi="宋体"/>
                <w:b/>
                <w:color w:val="auto"/>
                <w:szCs w:val="21"/>
                <w:highlight w:val="none"/>
              </w:rPr>
              <w:t>形式评审与响应性评审标准</w:t>
            </w:r>
          </w:p>
        </w:tc>
        <w:tc>
          <w:tcPr>
            <w:tcW w:w="7107" w:type="dxa"/>
            <w:gridSpan w:val="4"/>
            <w:noWrap w:val="0"/>
            <w:vAlign w:val="center"/>
          </w:tcPr>
          <w:p>
            <w:pPr>
              <w:widowControl/>
              <w:adjustRightInd/>
              <w:ind w:left="147" w:leftChars="67" w:firstLine="312"/>
              <w:textAlignment w:val="auto"/>
              <w:rPr>
                <w:rFonts w:hAnsi="宋体"/>
                <w:b/>
                <w:color w:val="auto"/>
                <w:szCs w:val="21"/>
                <w:highlight w:val="none"/>
              </w:rPr>
            </w:pPr>
            <w:r>
              <w:rPr>
                <w:rFonts w:hint="eastAsia" w:hAnsi="宋体"/>
                <w:b/>
                <w:color w:val="auto"/>
                <w:szCs w:val="21"/>
                <w:highlight w:val="none"/>
              </w:rPr>
              <w:t>第一个信封（商务及技术文件）评审标准：</w:t>
            </w:r>
          </w:p>
          <w:p>
            <w:pPr>
              <w:pStyle w:val="18"/>
              <w:numPr>
                <w:ilvl w:val="0"/>
                <w:numId w:val="6"/>
              </w:numPr>
              <w:autoSpaceDE w:val="0"/>
              <w:autoSpaceDN w:val="0"/>
              <w:spacing w:line="360" w:lineRule="exact"/>
              <w:rPr>
                <w:rFonts w:hAnsi="宋体"/>
                <w:color w:val="auto"/>
                <w:szCs w:val="21"/>
                <w:highlight w:val="none"/>
              </w:rPr>
            </w:pPr>
            <w:r>
              <w:rPr>
                <w:rFonts w:hint="eastAsia" w:hAnsi="宋体"/>
                <w:color w:val="auto"/>
                <w:szCs w:val="21"/>
                <w:highlight w:val="none"/>
              </w:rPr>
              <w:t>投标文件按照招标文件规定的格式、内容填写，字迹清晰可辨</w:t>
            </w:r>
            <w:r>
              <w:rPr>
                <w:rFonts w:hint="eastAsia" w:hAnsi="宋体"/>
                <w:color w:val="auto"/>
                <w:szCs w:val="21"/>
                <w:highlight w:val="none"/>
                <w:lang w:eastAsia="zh-CN"/>
              </w:rPr>
              <w:t>：</w:t>
            </w:r>
          </w:p>
          <w:p>
            <w:pPr>
              <w:pStyle w:val="19"/>
              <w:kinsoku w:val="0"/>
              <w:overflowPunct w:val="0"/>
              <w:spacing w:before="32" w:line="289" w:lineRule="auto"/>
              <w:ind w:left="147" w:leftChars="67" w:right="100" w:firstLine="312"/>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a.投标函按招标文件规定填报了项目名称、标段号、补遗书编号（如有），服务期限、工程质量要求及安全目标，并且所填报的项目名称、标段号与包封及封面一致；</w:t>
            </w:r>
          </w:p>
          <w:p>
            <w:pPr>
              <w:pStyle w:val="19"/>
              <w:kinsoku w:val="0"/>
              <w:overflowPunct w:val="0"/>
              <w:spacing w:before="32" w:line="289" w:lineRule="auto"/>
              <w:ind w:left="147" w:leftChars="67" w:right="97" w:firstLine="312"/>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b.投标文件组成齐全完整，内容均按规定填写。</w:t>
            </w:r>
          </w:p>
          <w:p>
            <w:pPr>
              <w:pStyle w:val="18"/>
              <w:numPr>
                <w:ilvl w:val="0"/>
                <w:numId w:val="6"/>
              </w:numPr>
              <w:autoSpaceDE w:val="0"/>
              <w:autoSpaceDN w:val="0"/>
              <w:spacing w:line="360" w:lineRule="exact"/>
              <w:rPr>
                <w:rFonts w:hAnsi="宋体"/>
                <w:color w:val="auto"/>
                <w:szCs w:val="21"/>
                <w:highlight w:val="none"/>
              </w:rPr>
            </w:pPr>
            <w:r>
              <w:rPr>
                <w:rFonts w:hint="eastAsia" w:hAnsi="宋体"/>
                <w:color w:val="auto"/>
                <w:szCs w:val="21"/>
                <w:highlight w:val="none"/>
              </w:rPr>
              <w:t>投标文件上法定代表人或其授权代理人的签字，投标人的单位章齐全，符合招标文件规定；</w:t>
            </w:r>
          </w:p>
          <w:p>
            <w:pPr>
              <w:spacing w:line="360" w:lineRule="exact"/>
              <w:ind w:left="147" w:leftChars="67" w:firstLine="330" w:firstLineChars="150"/>
              <w:rPr>
                <w:rFonts w:hAnsi="宋体"/>
                <w:color w:val="auto"/>
                <w:szCs w:val="21"/>
                <w:highlight w:val="none"/>
              </w:rPr>
            </w:pPr>
            <w:r>
              <w:rPr>
                <w:rFonts w:hint="eastAsia" w:hAnsi="宋体"/>
                <w:color w:val="auto"/>
                <w:szCs w:val="21"/>
                <w:highlight w:val="none"/>
              </w:rPr>
              <w:t>若由授权代理人签署，投标函签署的日期应在授权委托书委托期限以内。</w:t>
            </w:r>
          </w:p>
          <w:p>
            <w:pPr>
              <w:numPr>
                <w:ilvl w:val="0"/>
                <w:numId w:val="6"/>
              </w:numPr>
              <w:spacing w:line="360" w:lineRule="exact"/>
              <w:ind w:firstLine="440" w:firstLineChars="200"/>
              <w:rPr>
                <w:rFonts w:hAnsi="宋体"/>
                <w:color w:val="auto"/>
                <w:szCs w:val="21"/>
                <w:highlight w:val="none"/>
              </w:rPr>
            </w:pPr>
            <w:r>
              <w:rPr>
                <w:rFonts w:hint="eastAsia" w:ascii="宋体" w:cs="宋体"/>
                <w:color w:val="auto"/>
                <w:szCs w:val="21"/>
                <w:highlight w:val="none"/>
              </w:rPr>
              <w:t>与</w:t>
            </w:r>
            <w:r>
              <w:rPr>
                <w:rFonts w:hint="eastAsia" w:ascii="宋体" w:cs="宋体"/>
                <w:color w:val="auto"/>
                <w:spacing w:val="-3"/>
                <w:szCs w:val="21"/>
                <w:highlight w:val="none"/>
              </w:rPr>
              <w:t>所</w:t>
            </w:r>
            <w:r>
              <w:rPr>
                <w:rFonts w:hint="eastAsia" w:ascii="宋体" w:cs="宋体"/>
                <w:color w:val="auto"/>
                <w:szCs w:val="21"/>
                <w:highlight w:val="none"/>
              </w:rPr>
              <w:t>投</w:t>
            </w:r>
            <w:r>
              <w:rPr>
                <w:rFonts w:hint="eastAsia" w:ascii="宋体" w:cs="宋体"/>
                <w:color w:val="auto"/>
                <w:spacing w:val="-3"/>
                <w:szCs w:val="21"/>
                <w:highlight w:val="none"/>
              </w:rPr>
              <w:t>标</w:t>
            </w:r>
            <w:r>
              <w:rPr>
                <w:rFonts w:hint="eastAsia" w:ascii="宋体" w:cs="宋体"/>
                <w:color w:val="auto"/>
                <w:szCs w:val="21"/>
                <w:highlight w:val="none"/>
              </w:rPr>
              <w:t>段</w:t>
            </w:r>
            <w:r>
              <w:rPr>
                <w:rFonts w:hint="eastAsia" w:ascii="宋体" w:cs="宋体"/>
                <w:color w:val="auto"/>
                <w:spacing w:val="-3"/>
                <w:szCs w:val="21"/>
                <w:highlight w:val="none"/>
              </w:rPr>
              <w:t>的</w:t>
            </w:r>
            <w:r>
              <w:rPr>
                <w:rFonts w:hint="eastAsia" w:ascii="宋体" w:cs="宋体"/>
                <w:color w:val="auto"/>
                <w:szCs w:val="21"/>
                <w:highlight w:val="none"/>
              </w:rPr>
              <w:t>其</w:t>
            </w:r>
            <w:r>
              <w:rPr>
                <w:rFonts w:hint="eastAsia" w:ascii="宋体" w:cs="宋体"/>
                <w:color w:val="auto"/>
                <w:spacing w:val="-3"/>
                <w:szCs w:val="21"/>
                <w:highlight w:val="none"/>
              </w:rPr>
              <w:t>他</w:t>
            </w:r>
            <w:r>
              <w:rPr>
                <w:rFonts w:hint="eastAsia" w:ascii="宋体" w:cs="宋体"/>
                <w:color w:val="auto"/>
                <w:szCs w:val="21"/>
                <w:highlight w:val="none"/>
              </w:rPr>
              <w:t>投</w:t>
            </w:r>
            <w:r>
              <w:rPr>
                <w:rFonts w:hint="eastAsia" w:ascii="宋体" w:cs="宋体"/>
                <w:color w:val="auto"/>
                <w:spacing w:val="-3"/>
                <w:szCs w:val="21"/>
                <w:highlight w:val="none"/>
              </w:rPr>
              <w:t>标人</w:t>
            </w:r>
            <w:r>
              <w:rPr>
                <w:rFonts w:hint="eastAsia" w:ascii="宋体" w:cs="宋体"/>
                <w:color w:val="auto"/>
                <w:szCs w:val="21"/>
                <w:highlight w:val="none"/>
              </w:rPr>
              <w:t>不存</w:t>
            </w:r>
            <w:r>
              <w:rPr>
                <w:rFonts w:hint="eastAsia" w:ascii="宋体" w:cs="宋体"/>
                <w:color w:val="auto"/>
                <w:spacing w:val="-3"/>
                <w:szCs w:val="21"/>
                <w:highlight w:val="none"/>
              </w:rPr>
              <w:t>在</w:t>
            </w:r>
            <w:r>
              <w:rPr>
                <w:rFonts w:hint="eastAsia" w:ascii="宋体" w:cs="宋体"/>
                <w:color w:val="auto"/>
                <w:szCs w:val="21"/>
                <w:highlight w:val="none"/>
              </w:rPr>
              <w:t>控</w:t>
            </w:r>
            <w:r>
              <w:rPr>
                <w:rFonts w:hint="eastAsia" w:ascii="宋体" w:cs="宋体"/>
                <w:color w:val="auto"/>
                <w:spacing w:val="-3"/>
                <w:szCs w:val="21"/>
                <w:highlight w:val="none"/>
              </w:rPr>
              <w:t>股</w:t>
            </w:r>
            <w:r>
              <w:rPr>
                <w:rFonts w:hint="eastAsia" w:ascii="宋体" w:cs="宋体"/>
                <w:color w:val="auto"/>
                <w:spacing w:val="-41"/>
                <w:szCs w:val="21"/>
                <w:highlight w:val="none"/>
              </w:rPr>
              <w:t>、</w:t>
            </w:r>
            <w:r>
              <w:rPr>
                <w:rFonts w:hint="eastAsia" w:ascii="宋体" w:cs="宋体"/>
                <w:color w:val="auto"/>
                <w:szCs w:val="21"/>
                <w:highlight w:val="none"/>
              </w:rPr>
              <w:t>管</w:t>
            </w:r>
            <w:r>
              <w:rPr>
                <w:rFonts w:hint="eastAsia" w:ascii="宋体" w:cs="宋体"/>
                <w:color w:val="auto"/>
                <w:spacing w:val="-3"/>
                <w:szCs w:val="21"/>
                <w:highlight w:val="none"/>
              </w:rPr>
              <w:t>理</w:t>
            </w:r>
            <w:r>
              <w:rPr>
                <w:rFonts w:hint="eastAsia" w:ascii="宋体" w:cs="宋体"/>
                <w:color w:val="auto"/>
                <w:szCs w:val="21"/>
                <w:highlight w:val="none"/>
              </w:rPr>
              <w:t>关</w:t>
            </w:r>
            <w:r>
              <w:rPr>
                <w:rFonts w:hint="eastAsia" w:ascii="宋体" w:cs="宋体"/>
                <w:color w:val="auto"/>
                <w:spacing w:val="-3"/>
                <w:szCs w:val="21"/>
                <w:highlight w:val="none"/>
              </w:rPr>
              <w:t>系或</w:t>
            </w:r>
            <w:r>
              <w:rPr>
                <w:rFonts w:hint="eastAsia" w:ascii="宋体" w:cs="宋体"/>
                <w:color w:val="auto"/>
                <w:szCs w:val="21"/>
                <w:highlight w:val="none"/>
              </w:rPr>
              <w:t>单位</w:t>
            </w:r>
            <w:r>
              <w:rPr>
                <w:rFonts w:hint="eastAsia" w:ascii="宋体" w:cs="宋体"/>
                <w:color w:val="auto"/>
                <w:spacing w:val="-3"/>
                <w:szCs w:val="21"/>
                <w:highlight w:val="none"/>
              </w:rPr>
              <w:t>负</w:t>
            </w:r>
            <w:r>
              <w:rPr>
                <w:rFonts w:hint="eastAsia" w:ascii="宋体" w:cs="宋体"/>
                <w:color w:val="auto"/>
                <w:szCs w:val="21"/>
                <w:highlight w:val="none"/>
              </w:rPr>
              <w:t>责</w:t>
            </w:r>
            <w:r>
              <w:rPr>
                <w:rFonts w:hint="eastAsia" w:ascii="宋体" w:cs="宋体"/>
                <w:color w:val="auto"/>
                <w:spacing w:val="-3"/>
                <w:szCs w:val="21"/>
                <w:highlight w:val="none"/>
              </w:rPr>
              <w:t>人</w:t>
            </w:r>
            <w:r>
              <w:rPr>
                <w:rFonts w:hint="eastAsia" w:ascii="宋体" w:cs="宋体"/>
                <w:color w:val="auto"/>
                <w:szCs w:val="21"/>
                <w:highlight w:val="none"/>
              </w:rPr>
              <w:t>为</w:t>
            </w:r>
            <w:r>
              <w:rPr>
                <w:rFonts w:hint="eastAsia" w:ascii="宋体" w:cs="宋体"/>
                <w:color w:val="auto"/>
                <w:spacing w:val="-2"/>
                <w:szCs w:val="21"/>
                <w:highlight w:val="none"/>
              </w:rPr>
              <w:t>同一人的情况；与招标人也不存在利害关系并可能影响招标公正性。</w:t>
            </w:r>
          </w:p>
          <w:p>
            <w:pPr>
              <w:numPr>
                <w:ilvl w:val="0"/>
                <w:numId w:val="6"/>
              </w:numPr>
              <w:spacing w:line="360" w:lineRule="exact"/>
              <w:ind w:firstLine="440" w:firstLineChars="200"/>
              <w:rPr>
                <w:rFonts w:hAnsi="宋体"/>
                <w:color w:val="auto"/>
                <w:szCs w:val="21"/>
                <w:highlight w:val="none"/>
              </w:rPr>
            </w:pPr>
            <w:r>
              <w:rPr>
                <w:rFonts w:hint="eastAsia" w:hAnsi="宋体"/>
                <w:color w:val="auto"/>
                <w:szCs w:val="21"/>
                <w:highlight w:val="none"/>
              </w:rPr>
              <w:t xml:space="preserve">投标人按照招标文件规定的金额、形式、时间和帐户等要求提供了投标保证金； </w:t>
            </w:r>
          </w:p>
          <w:p>
            <w:pPr>
              <w:spacing w:line="360" w:lineRule="exact"/>
              <w:ind w:left="147" w:leftChars="67" w:firstLine="312"/>
              <w:rPr>
                <w:rFonts w:ascii="宋体" w:cs="宋体"/>
                <w:color w:val="auto"/>
                <w:spacing w:val="-2"/>
                <w:szCs w:val="21"/>
                <w:highlight w:val="none"/>
              </w:rPr>
            </w:pPr>
            <w:r>
              <w:rPr>
                <w:color w:val="auto"/>
                <w:spacing w:val="-1"/>
                <w:szCs w:val="21"/>
                <w:highlight w:val="none"/>
              </w:rPr>
              <w:t>a</w:t>
            </w:r>
            <w:r>
              <w:rPr>
                <w:color w:val="auto"/>
                <w:szCs w:val="21"/>
                <w:highlight w:val="none"/>
              </w:rPr>
              <w:t>.</w:t>
            </w:r>
            <w:r>
              <w:rPr>
                <w:rFonts w:hint="eastAsia" w:ascii="宋体" w:cs="宋体"/>
                <w:color w:val="auto"/>
                <w:szCs w:val="21"/>
                <w:highlight w:val="none"/>
              </w:rPr>
              <w:t>投</w:t>
            </w:r>
            <w:r>
              <w:rPr>
                <w:rFonts w:hint="eastAsia" w:ascii="宋体" w:cs="宋体"/>
                <w:color w:val="auto"/>
                <w:spacing w:val="-3"/>
                <w:szCs w:val="21"/>
                <w:highlight w:val="none"/>
              </w:rPr>
              <w:t>标</w:t>
            </w:r>
            <w:r>
              <w:rPr>
                <w:rFonts w:hint="eastAsia" w:ascii="宋体" w:cs="宋体"/>
                <w:color w:val="auto"/>
                <w:szCs w:val="21"/>
                <w:highlight w:val="none"/>
              </w:rPr>
              <w:t>保</w:t>
            </w:r>
            <w:r>
              <w:rPr>
                <w:rFonts w:hint="eastAsia" w:ascii="宋体" w:cs="宋体"/>
                <w:color w:val="auto"/>
                <w:spacing w:val="-3"/>
                <w:szCs w:val="21"/>
                <w:highlight w:val="none"/>
              </w:rPr>
              <w:t>证</w:t>
            </w:r>
            <w:r>
              <w:rPr>
                <w:rFonts w:hint="eastAsia" w:ascii="宋体" w:cs="宋体"/>
                <w:color w:val="auto"/>
                <w:spacing w:val="-1"/>
                <w:szCs w:val="21"/>
                <w:highlight w:val="none"/>
              </w:rPr>
              <w:t>金</w:t>
            </w:r>
            <w:r>
              <w:rPr>
                <w:rFonts w:hint="eastAsia" w:ascii="宋体" w:cs="宋体"/>
                <w:color w:val="auto"/>
                <w:spacing w:val="-3"/>
                <w:szCs w:val="21"/>
                <w:highlight w:val="none"/>
              </w:rPr>
              <w:t>金</w:t>
            </w:r>
            <w:r>
              <w:rPr>
                <w:rFonts w:hint="eastAsia" w:ascii="宋体" w:cs="宋体"/>
                <w:color w:val="auto"/>
                <w:szCs w:val="21"/>
                <w:highlight w:val="none"/>
              </w:rPr>
              <w:t>额</w:t>
            </w:r>
            <w:r>
              <w:rPr>
                <w:rFonts w:hint="eastAsia" w:ascii="宋体" w:cs="宋体"/>
                <w:color w:val="auto"/>
                <w:spacing w:val="-3"/>
                <w:szCs w:val="21"/>
                <w:highlight w:val="none"/>
              </w:rPr>
              <w:t>符</w:t>
            </w:r>
            <w:r>
              <w:rPr>
                <w:rFonts w:hint="eastAsia" w:ascii="宋体" w:cs="宋体"/>
                <w:color w:val="auto"/>
                <w:szCs w:val="21"/>
                <w:highlight w:val="none"/>
              </w:rPr>
              <w:t>合</w:t>
            </w:r>
            <w:r>
              <w:rPr>
                <w:rFonts w:hint="eastAsia" w:ascii="宋体" w:cs="宋体"/>
                <w:color w:val="auto"/>
                <w:spacing w:val="-3"/>
                <w:szCs w:val="21"/>
                <w:highlight w:val="none"/>
              </w:rPr>
              <w:t>招标</w:t>
            </w:r>
            <w:r>
              <w:rPr>
                <w:rFonts w:hint="eastAsia" w:ascii="宋体" w:cs="宋体"/>
                <w:color w:val="auto"/>
                <w:szCs w:val="21"/>
                <w:highlight w:val="none"/>
              </w:rPr>
              <w:t>文件</w:t>
            </w:r>
            <w:r>
              <w:rPr>
                <w:rFonts w:hint="eastAsia" w:ascii="宋体" w:cs="宋体"/>
                <w:color w:val="auto"/>
                <w:spacing w:val="-3"/>
                <w:szCs w:val="21"/>
                <w:highlight w:val="none"/>
              </w:rPr>
              <w:t>规</w:t>
            </w:r>
            <w:r>
              <w:rPr>
                <w:rFonts w:hint="eastAsia" w:ascii="宋体" w:cs="宋体"/>
                <w:color w:val="auto"/>
                <w:szCs w:val="21"/>
                <w:highlight w:val="none"/>
              </w:rPr>
              <w:t>定</w:t>
            </w:r>
            <w:r>
              <w:rPr>
                <w:rFonts w:hint="eastAsia" w:ascii="宋体" w:cs="宋体"/>
                <w:color w:val="auto"/>
                <w:spacing w:val="-3"/>
                <w:szCs w:val="21"/>
                <w:highlight w:val="none"/>
              </w:rPr>
              <w:t>的</w:t>
            </w:r>
            <w:r>
              <w:rPr>
                <w:rFonts w:hint="eastAsia" w:ascii="宋体" w:cs="宋体"/>
                <w:color w:val="auto"/>
                <w:szCs w:val="21"/>
                <w:highlight w:val="none"/>
              </w:rPr>
              <w:t>金</w:t>
            </w:r>
            <w:r>
              <w:rPr>
                <w:rFonts w:hint="eastAsia" w:ascii="宋体" w:cs="宋体"/>
                <w:color w:val="auto"/>
                <w:spacing w:val="-1"/>
                <w:szCs w:val="21"/>
                <w:highlight w:val="none"/>
              </w:rPr>
              <w:t>额</w:t>
            </w:r>
            <w:r>
              <w:rPr>
                <w:rFonts w:hint="eastAsia" w:ascii="宋体" w:cs="宋体"/>
                <w:color w:val="auto"/>
                <w:spacing w:val="-44"/>
                <w:szCs w:val="21"/>
                <w:highlight w:val="none"/>
              </w:rPr>
              <w:t>，</w:t>
            </w:r>
            <w:r>
              <w:rPr>
                <w:rFonts w:hint="eastAsia" w:ascii="宋体" w:cs="宋体"/>
                <w:color w:val="auto"/>
                <w:szCs w:val="21"/>
                <w:highlight w:val="none"/>
              </w:rPr>
              <w:t>且</w:t>
            </w:r>
            <w:r>
              <w:rPr>
                <w:rFonts w:hint="eastAsia" w:ascii="宋体" w:cs="宋体"/>
                <w:color w:val="auto"/>
                <w:spacing w:val="-3"/>
                <w:szCs w:val="21"/>
                <w:highlight w:val="none"/>
              </w:rPr>
              <w:t>投标</w:t>
            </w:r>
            <w:r>
              <w:rPr>
                <w:rFonts w:hint="eastAsia" w:ascii="宋体" w:cs="宋体"/>
                <w:color w:val="auto"/>
                <w:szCs w:val="21"/>
                <w:highlight w:val="none"/>
              </w:rPr>
              <w:t>保证</w:t>
            </w:r>
            <w:r>
              <w:rPr>
                <w:rFonts w:hint="eastAsia" w:ascii="宋体" w:cs="宋体"/>
                <w:color w:val="auto"/>
                <w:spacing w:val="-3"/>
                <w:szCs w:val="21"/>
                <w:highlight w:val="none"/>
              </w:rPr>
              <w:t>金</w:t>
            </w:r>
            <w:r>
              <w:rPr>
                <w:rFonts w:hint="eastAsia" w:ascii="宋体" w:cs="宋体"/>
                <w:color w:val="auto"/>
                <w:szCs w:val="21"/>
                <w:highlight w:val="none"/>
              </w:rPr>
              <w:t>有</w:t>
            </w:r>
            <w:r>
              <w:rPr>
                <w:rFonts w:hint="eastAsia" w:ascii="宋体" w:cs="宋体"/>
                <w:color w:val="auto"/>
                <w:spacing w:val="-3"/>
                <w:szCs w:val="21"/>
                <w:highlight w:val="none"/>
              </w:rPr>
              <w:t>效</w:t>
            </w:r>
            <w:r>
              <w:rPr>
                <w:rFonts w:hint="eastAsia" w:ascii="宋体" w:cs="宋体"/>
                <w:color w:val="auto"/>
                <w:szCs w:val="21"/>
                <w:highlight w:val="none"/>
              </w:rPr>
              <w:t>期</w:t>
            </w:r>
            <w:r>
              <w:rPr>
                <w:rFonts w:hint="eastAsia" w:ascii="宋体" w:cs="宋体"/>
                <w:color w:val="auto"/>
                <w:spacing w:val="-2"/>
                <w:szCs w:val="21"/>
                <w:highlight w:val="none"/>
              </w:rPr>
              <w:t>不少于投标有效期；</w:t>
            </w:r>
          </w:p>
          <w:p>
            <w:pPr>
              <w:pStyle w:val="19"/>
              <w:kinsoku w:val="0"/>
              <w:overflowPunct w:val="0"/>
              <w:spacing w:before="41" w:line="297" w:lineRule="auto"/>
              <w:ind w:left="147" w:leftChars="67" w:right="97" w:firstLine="312"/>
              <w:jc w:val="both"/>
              <w:rPr>
                <w:rFonts w:ascii="宋体" w:cs="宋体"/>
                <w:color w:val="auto"/>
                <w:spacing w:val="-3"/>
                <w:sz w:val="21"/>
                <w:szCs w:val="21"/>
                <w:highlight w:val="none"/>
              </w:rPr>
            </w:pPr>
            <w:r>
              <w:rPr>
                <w:color w:val="auto"/>
                <w:sz w:val="21"/>
                <w:szCs w:val="21"/>
                <w:highlight w:val="none"/>
              </w:rPr>
              <w:t>b.</w:t>
            </w:r>
            <w:r>
              <w:rPr>
                <w:rFonts w:hint="eastAsia" w:ascii="宋体" w:cs="宋体"/>
                <w:color w:val="auto"/>
                <w:sz w:val="21"/>
                <w:szCs w:val="21"/>
                <w:highlight w:val="none"/>
              </w:rPr>
              <w:t>若</w:t>
            </w:r>
            <w:r>
              <w:rPr>
                <w:rFonts w:hint="eastAsia" w:ascii="宋体" w:cs="宋体"/>
                <w:color w:val="auto"/>
                <w:spacing w:val="-3"/>
                <w:sz w:val="21"/>
                <w:szCs w:val="21"/>
                <w:highlight w:val="none"/>
              </w:rPr>
              <w:t>投</w:t>
            </w:r>
            <w:r>
              <w:rPr>
                <w:rFonts w:hint="eastAsia" w:ascii="宋体" w:cs="宋体"/>
                <w:color w:val="auto"/>
                <w:sz w:val="21"/>
                <w:szCs w:val="21"/>
                <w:highlight w:val="none"/>
              </w:rPr>
              <w:t>标</w:t>
            </w:r>
            <w:r>
              <w:rPr>
                <w:rFonts w:hint="eastAsia" w:ascii="宋体" w:cs="宋体"/>
                <w:color w:val="auto"/>
                <w:spacing w:val="-3"/>
                <w:sz w:val="21"/>
                <w:szCs w:val="21"/>
                <w:highlight w:val="none"/>
              </w:rPr>
              <w:t>保</w:t>
            </w:r>
            <w:r>
              <w:rPr>
                <w:rFonts w:hint="eastAsia" w:ascii="宋体" w:cs="宋体"/>
                <w:color w:val="auto"/>
                <w:sz w:val="21"/>
                <w:szCs w:val="21"/>
                <w:highlight w:val="none"/>
              </w:rPr>
              <w:t>证</w:t>
            </w:r>
            <w:r>
              <w:rPr>
                <w:rFonts w:hint="eastAsia" w:ascii="宋体" w:cs="宋体"/>
                <w:color w:val="auto"/>
                <w:spacing w:val="-3"/>
                <w:sz w:val="21"/>
                <w:szCs w:val="21"/>
                <w:highlight w:val="none"/>
              </w:rPr>
              <w:t>金</w:t>
            </w:r>
            <w:r>
              <w:rPr>
                <w:rFonts w:hint="eastAsia" w:ascii="宋体" w:cs="宋体"/>
                <w:color w:val="auto"/>
                <w:sz w:val="21"/>
                <w:szCs w:val="21"/>
                <w:highlight w:val="none"/>
              </w:rPr>
              <w:t>采</w:t>
            </w:r>
            <w:r>
              <w:rPr>
                <w:rFonts w:hint="eastAsia" w:ascii="宋体" w:cs="宋体"/>
                <w:color w:val="auto"/>
                <w:spacing w:val="-3"/>
                <w:sz w:val="21"/>
                <w:szCs w:val="21"/>
                <w:highlight w:val="none"/>
              </w:rPr>
              <w:t>用</w:t>
            </w:r>
            <w:r>
              <w:rPr>
                <w:rFonts w:hint="eastAsia" w:ascii="宋体" w:cs="宋体"/>
                <w:color w:val="auto"/>
                <w:sz w:val="21"/>
                <w:szCs w:val="21"/>
                <w:highlight w:val="none"/>
              </w:rPr>
              <w:t>现</w:t>
            </w:r>
            <w:r>
              <w:rPr>
                <w:rFonts w:hint="eastAsia" w:ascii="宋体" w:cs="宋体"/>
                <w:color w:val="auto"/>
                <w:spacing w:val="-3"/>
                <w:sz w:val="21"/>
                <w:szCs w:val="21"/>
                <w:highlight w:val="none"/>
              </w:rPr>
              <w:t>金</w:t>
            </w:r>
            <w:r>
              <w:rPr>
                <w:rFonts w:hint="eastAsia" w:ascii="宋体" w:cs="宋体"/>
                <w:color w:val="auto"/>
                <w:sz w:val="21"/>
                <w:szCs w:val="21"/>
                <w:highlight w:val="none"/>
              </w:rPr>
              <w:t>或支</w:t>
            </w:r>
            <w:r>
              <w:rPr>
                <w:rFonts w:hint="eastAsia" w:ascii="宋体" w:cs="宋体"/>
                <w:color w:val="auto"/>
                <w:spacing w:val="-3"/>
                <w:sz w:val="21"/>
                <w:szCs w:val="21"/>
                <w:highlight w:val="none"/>
              </w:rPr>
              <w:t>票</w:t>
            </w:r>
            <w:r>
              <w:rPr>
                <w:rFonts w:hint="eastAsia" w:ascii="宋体" w:cs="宋体"/>
                <w:color w:val="auto"/>
                <w:sz w:val="21"/>
                <w:szCs w:val="21"/>
                <w:highlight w:val="none"/>
              </w:rPr>
              <w:t>形</w:t>
            </w:r>
            <w:r>
              <w:rPr>
                <w:rFonts w:hint="eastAsia" w:ascii="宋体" w:cs="宋体"/>
                <w:color w:val="auto"/>
                <w:spacing w:val="-3"/>
                <w:sz w:val="21"/>
                <w:szCs w:val="21"/>
                <w:highlight w:val="none"/>
              </w:rPr>
              <w:t>式</w:t>
            </w:r>
            <w:r>
              <w:rPr>
                <w:rFonts w:hint="eastAsia" w:ascii="宋体" w:cs="宋体"/>
                <w:color w:val="auto"/>
                <w:sz w:val="21"/>
                <w:szCs w:val="21"/>
                <w:highlight w:val="none"/>
              </w:rPr>
              <w:t>提</w:t>
            </w:r>
            <w:r>
              <w:rPr>
                <w:rFonts w:hint="eastAsia" w:ascii="宋体" w:cs="宋体"/>
                <w:color w:val="auto"/>
                <w:spacing w:val="-3"/>
                <w:sz w:val="21"/>
                <w:szCs w:val="21"/>
                <w:highlight w:val="none"/>
              </w:rPr>
              <w:t>交</w:t>
            </w:r>
            <w:r>
              <w:rPr>
                <w:rFonts w:hint="eastAsia" w:ascii="宋体" w:cs="宋体"/>
                <w:color w:val="auto"/>
                <w:spacing w:val="-53"/>
                <w:sz w:val="21"/>
                <w:szCs w:val="21"/>
                <w:highlight w:val="none"/>
              </w:rPr>
              <w:t>，</w:t>
            </w:r>
            <w:r>
              <w:rPr>
                <w:rFonts w:hint="eastAsia" w:ascii="宋体" w:cs="宋体"/>
                <w:color w:val="auto"/>
                <w:sz w:val="21"/>
                <w:szCs w:val="21"/>
                <w:highlight w:val="none"/>
              </w:rPr>
              <w:t>投</w:t>
            </w:r>
            <w:r>
              <w:rPr>
                <w:rFonts w:hint="eastAsia" w:ascii="宋体" w:cs="宋体"/>
                <w:color w:val="auto"/>
                <w:spacing w:val="-3"/>
                <w:sz w:val="21"/>
                <w:szCs w:val="21"/>
                <w:highlight w:val="none"/>
              </w:rPr>
              <w:t>标人应在递交投标文件截止时间之前，将投标保证金由投标人的基本账户转入招标人指定账户，并按照要求在投标文件中附汇款单据（或银行进帐单）；</w:t>
            </w:r>
          </w:p>
          <w:p>
            <w:pPr>
              <w:spacing w:line="360" w:lineRule="exact"/>
              <w:ind w:left="147" w:leftChars="67" w:firstLine="312"/>
              <w:rPr>
                <w:rFonts w:hint="eastAsia" w:ascii="宋体" w:hAnsi="Times New Roman" w:eastAsia="宋体" w:cs="宋体"/>
                <w:color w:val="auto"/>
                <w:spacing w:val="-3"/>
                <w:sz w:val="21"/>
                <w:szCs w:val="21"/>
                <w:highlight w:val="none"/>
                <w:lang w:val="en-US" w:eastAsia="zh-CN" w:bidi="ar-SA"/>
              </w:rPr>
            </w:pPr>
            <w:r>
              <w:rPr>
                <w:rFonts w:ascii="宋体" w:cs="宋体"/>
                <w:color w:val="auto"/>
                <w:spacing w:val="-3"/>
                <w:szCs w:val="21"/>
                <w:highlight w:val="none"/>
              </w:rPr>
              <w:t>c.</w:t>
            </w:r>
            <w:r>
              <w:rPr>
                <w:rFonts w:hint="eastAsia" w:ascii="宋体" w:hAnsi="Times New Roman" w:eastAsia="宋体" w:cs="宋体"/>
                <w:color w:val="auto"/>
                <w:spacing w:val="-3"/>
                <w:sz w:val="21"/>
                <w:szCs w:val="21"/>
                <w:highlight w:val="none"/>
                <w:lang w:val="en-US" w:eastAsia="zh-CN" w:bidi="ar-SA"/>
              </w:rPr>
              <w:t>若投标保证金采用银行保函形式提交，银行保函的格式、开具保函的银行均满足招标文件要求且在递交投标文件截止时间之前向招标人提交了银行保函原件。</w:t>
            </w:r>
          </w:p>
          <w:p>
            <w:pPr>
              <w:pStyle w:val="8"/>
              <w:keepNext w:val="0"/>
              <w:keepLines w:val="0"/>
              <w:pageBreakBefore w:val="0"/>
              <w:widowControl w:val="0"/>
              <w:kinsoku/>
              <w:wordWrap/>
              <w:overflowPunct/>
              <w:topLinePunct w:val="0"/>
              <w:autoSpaceDE/>
              <w:autoSpaceDN/>
              <w:bidi w:val="0"/>
              <w:adjustRightInd/>
              <w:snapToGrid/>
              <w:spacing w:line="360" w:lineRule="auto"/>
              <w:ind w:left="147" w:leftChars="67" w:firstLine="112" w:firstLineChars="55"/>
              <w:textAlignment w:val="auto"/>
              <w:rPr>
                <w:rFonts w:hint="default" w:ascii="宋体" w:hAnsi="Times New Roman" w:eastAsia="宋体" w:cs="宋体"/>
                <w:color w:val="auto"/>
                <w:spacing w:val="-3"/>
                <w:sz w:val="21"/>
                <w:szCs w:val="21"/>
                <w:highlight w:val="none"/>
                <w:lang w:val="en-US" w:eastAsia="zh-CN" w:bidi="ar-SA"/>
              </w:rPr>
            </w:pPr>
            <w:r>
              <w:rPr>
                <w:rFonts w:hint="eastAsia" w:ascii="宋体" w:hAnsi="Times New Roman" w:eastAsia="宋体" w:cs="宋体"/>
                <w:color w:val="auto"/>
                <w:spacing w:val="-3"/>
                <w:sz w:val="21"/>
                <w:szCs w:val="21"/>
                <w:highlight w:val="none"/>
                <w:lang w:val="en-US" w:eastAsia="zh-CN" w:bidi="ar-SA"/>
              </w:rPr>
              <w:t>d.若投标保证金采用保证保险形式提交，保证保险相关要求符合招标文件要求。</w:t>
            </w:r>
          </w:p>
          <w:p>
            <w:pPr>
              <w:spacing w:line="360" w:lineRule="exact"/>
              <w:ind w:left="147" w:leftChars="67" w:firstLine="312"/>
              <w:rPr>
                <w:rFonts w:hAnsi="宋体"/>
                <w:color w:val="auto"/>
                <w:szCs w:val="21"/>
                <w:highlight w:val="none"/>
              </w:rPr>
            </w:pPr>
            <w:r>
              <w:rPr>
                <w:rFonts w:hint="eastAsia" w:ascii="宋体" w:cs="宋体"/>
                <w:color w:val="auto"/>
                <w:spacing w:val="-2"/>
                <w:szCs w:val="21"/>
                <w:highlight w:val="none"/>
              </w:rPr>
              <w:t>（</w:t>
            </w:r>
            <w:r>
              <w:rPr>
                <w:color w:val="auto"/>
                <w:spacing w:val="-2"/>
                <w:szCs w:val="21"/>
                <w:highlight w:val="none"/>
              </w:rPr>
              <w:t>5</w:t>
            </w:r>
            <w:r>
              <w:rPr>
                <w:rFonts w:hint="eastAsia" w:ascii="宋体" w:cs="宋体"/>
                <w:color w:val="auto"/>
                <w:spacing w:val="-2"/>
                <w:szCs w:val="21"/>
                <w:highlight w:val="none"/>
              </w:rPr>
              <w:t>）投标人法定代表人授权委托代理人签署投标文件的，须提交</w:t>
            </w:r>
            <w:r>
              <w:rPr>
                <w:rFonts w:hint="eastAsia" w:ascii="宋体" w:cs="宋体"/>
                <w:color w:val="auto"/>
                <w:szCs w:val="21"/>
                <w:highlight w:val="none"/>
              </w:rPr>
              <w:t>授权</w:t>
            </w:r>
            <w:r>
              <w:rPr>
                <w:rFonts w:hint="eastAsia" w:ascii="宋体" w:cs="宋体"/>
                <w:color w:val="auto"/>
                <w:spacing w:val="-3"/>
                <w:szCs w:val="21"/>
                <w:highlight w:val="none"/>
              </w:rPr>
              <w:t>委</w:t>
            </w:r>
            <w:r>
              <w:rPr>
                <w:rFonts w:hint="eastAsia" w:ascii="宋体" w:cs="宋体"/>
                <w:color w:val="auto"/>
                <w:szCs w:val="21"/>
                <w:highlight w:val="none"/>
              </w:rPr>
              <w:t>托</w:t>
            </w:r>
            <w:r>
              <w:rPr>
                <w:rFonts w:hint="eastAsia" w:ascii="宋体" w:cs="宋体"/>
                <w:color w:val="auto"/>
                <w:spacing w:val="-3"/>
                <w:szCs w:val="21"/>
                <w:highlight w:val="none"/>
              </w:rPr>
              <w:t>书</w:t>
            </w:r>
            <w:r>
              <w:rPr>
                <w:rFonts w:hint="eastAsia" w:ascii="宋体" w:cs="宋体"/>
                <w:color w:val="auto"/>
                <w:spacing w:val="-106"/>
                <w:szCs w:val="21"/>
                <w:highlight w:val="none"/>
              </w:rPr>
              <w:t>，</w:t>
            </w:r>
            <w:r>
              <w:rPr>
                <w:rFonts w:hint="eastAsia" w:ascii="宋体" w:cs="宋体"/>
                <w:color w:val="auto"/>
                <w:szCs w:val="21"/>
                <w:highlight w:val="none"/>
              </w:rPr>
              <w:t>且</w:t>
            </w:r>
            <w:r>
              <w:rPr>
                <w:rFonts w:hint="eastAsia" w:ascii="宋体" w:cs="宋体"/>
                <w:color w:val="auto"/>
                <w:spacing w:val="-3"/>
                <w:szCs w:val="21"/>
                <w:highlight w:val="none"/>
              </w:rPr>
              <w:t>授</w:t>
            </w:r>
            <w:r>
              <w:rPr>
                <w:rFonts w:hint="eastAsia" w:ascii="宋体" w:cs="宋体"/>
                <w:color w:val="auto"/>
                <w:szCs w:val="21"/>
                <w:highlight w:val="none"/>
              </w:rPr>
              <w:t>权</w:t>
            </w:r>
            <w:r>
              <w:rPr>
                <w:rFonts w:hint="eastAsia" w:ascii="宋体" w:cs="宋体"/>
                <w:color w:val="auto"/>
                <w:spacing w:val="-3"/>
                <w:szCs w:val="21"/>
                <w:highlight w:val="none"/>
              </w:rPr>
              <w:t>人</w:t>
            </w:r>
            <w:r>
              <w:rPr>
                <w:rFonts w:hint="eastAsia" w:ascii="宋体" w:cs="宋体"/>
                <w:color w:val="auto"/>
                <w:szCs w:val="21"/>
                <w:highlight w:val="none"/>
              </w:rPr>
              <w:t>和</w:t>
            </w:r>
            <w:r>
              <w:rPr>
                <w:rFonts w:hint="eastAsia" w:ascii="宋体" w:cs="宋体"/>
                <w:color w:val="auto"/>
                <w:spacing w:val="-3"/>
                <w:szCs w:val="21"/>
                <w:highlight w:val="none"/>
              </w:rPr>
              <w:t>被</w:t>
            </w:r>
            <w:r>
              <w:rPr>
                <w:rFonts w:hint="eastAsia" w:ascii="宋体" w:cs="宋体"/>
                <w:color w:val="auto"/>
                <w:szCs w:val="21"/>
                <w:highlight w:val="none"/>
              </w:rPr>
              <w:t>授权</w:t>
            </w:r>
            <w:r>
              <w:rPr>
                <w:rFonts w:hint="eastAsia" w:ascii="宋体" w:cs="宋体"/>
                <w:color w:val="auto"/>
                <w:spacing w:val="-3"/>
                <w:szCs w:val="21"/>
                <w:highlight w:val="none"/>
              </w:rPr>
              <w:t>人</w:t>
            </w:r>
            <w:r>
              <w:rPr>
                <w:rFonts w:hint="eastAsia" w:ascii="宋体" w:cs="宋体"/>
                <w:color w:val="auto"/>
                <w:szCs w:val="21"/>
                <w:highlight w:val="none"/>
              </w:rPr>
              <w:t>均</w:t>
            </w:r>
            <w:r>
              <w:rPr>
                <w:rFonts w:hint="eastAsia" w:ascii="宋体" w:cs="宋体"/>
                <w:color w:val="auto"/>
                <w:spacing w:val="-3"/>
                <w:szCs w:val="21"/>
                <w:highlight w:val="none"/>
              </w:rPr>
              <w:t>在</w:t>
            </w:r>
            <w:r>
              <w:rPr>
                <w:rFonts w:hint="eastAsia" w:ascii="宋体" w:cs="宋体"/>
                <w:color w:val="auto"/>
                <w:szCs w:val="21"/>
                <w:highlight w:val="none"/>
              </w:rPr>
              <w:t>授</w:t>
            </w:r>
            <w:r>
              <w:rPr>
                <w:rFonts w:hint="eastAsia" w:ascii="宋体" w:cs="宋体"/>
                <w:color w:val="auto"/>
                <w:spacing w:val="-3"/>
                <w:szCs w:val="21"/>
                <w:highlight w:val="none"/>
              </w:rPr>
              <w:t>权</w:t>
            </w:r>
            <w:r>
              <w:rPr>
                <w:rFonts w:hint="eastAsia" w:ascii="宋体" w:cs="宋体"/>
                <w:color w:val="auto"/>
                <w:szCs w:val="21"/>
                <w:highlight w:val="none"/>
              </w:rPr>
              <w:t>委</w:t>
            </w:r>
            <w:r>
              <w:rPr>
                <w:rFonts w:hint="eastAsia" w:ascii="宋体" w:cs="宋体"/>
                <w:color w:val="auto"/>
                <w:spacing w:val="-3"/>
                <w:szCs w:val="21"/>
                <w:highlight w:val="none"/>
              </w:rPr>
              <w:t>托</w:t>
            </w:r>
            <w:r>
              <w:rPr>
                <w:rFonts w:hint="eastAsia" w:ascii="宋体" w:cs="宋体"/>
                <w:color w:val="auto"/>
                <w:szCs w:val="21"/>
                <w:highlight w:val="none"/>
              </w:rPr>
              <w:t>书</w:t>
            </w:r>
            <w:r>
              <w:rPr>
                <w:rFonts w:hint="eastAsia" w:ascii="宋体" w:cs="宋体"/>
                <w:color w:val="auto"/>
                <w:spacing w:val="-3"/>
                <w:szCs w:val="21"/>
                <w:highlight w:val="none"/>
              </w:rPr>
              <w:t>上</w:t>
            </w:r>
            <w:r>
              <w:rPr>
                <w:rFonts w:hint="eastAsia" w:ascii="宋体" w:cs="宋体"/>
                <w:color w:val="auto"/>
                <w:szCs w:val="21"/>
                <w:highlight w:val="none"/>
              </w:rPr>
              <w:t>签名</w:t>
            </w:r>
            <w:r>
              <w:rPr>
                <w:rFonts w:hint="eastAsia" w:ascii="宋体" w:cs="宋体"/>
                <w:color w:val="auto"/>
                <w:spacing w:val="-108"/>
                <w:szCs w:val="21"/>
                <w:highlight w:val="none"/>
              </w:rPr>
              <w:t>，</w:t>
            </w:r>
            <w:r>
              <w:rPr>
                <w:rFonts w:hint="eastAsia" w:ascii="宋体" w:cs="宋体"/>
                <w:color w:val="auto"/>
                <w:szCs w:val="21"/>
                <w:highlight w:val="none"/>
              </w:rPr>
              <w:t>未</w:t>
            </w:r>
            <w:r>
              <w:rPr>
                <w:rFonts w:hint="eastAsia" w:ascii="宋体" w:cs="宋体"/>
                <w:color w:val="auto"/>
                <w:spacing w:val="-3"/>
                <w:szCs w:val="21"/>
                <w:highlight w:val="none"/>
              </w:rPr>
              <w:t>使</w:t>
            </w:r>
            <w:r>
              <w:rPr>
                <w:rFonts w:hint="eastAsia" w:ascii="宋体" w:cs="宋体"/>
                <w:color w:val="auto"/>
                <w:szCs w:val="21"/>
                <w:highlight w:val="none"/>
              </w:rPr>
              <w:t>用印</w:t>
            </w:r>
            <w:r>
              <w:rPr>
                <w:rFonts w:hint="eastAsia" w:ascii="宋体" w:cs="宋体"/>
                <w:color w:val="auto"/>
                <w:spacing w:val="-3"/>
                <w:szCs w:val="21"/>
                <w:highlight w:val="none"/>
              </w:rPr>
              <w:t>章</w:t>
            </w:r>
            <w:r>
              <w:rPr>
                <w:rFonts w:hint="eastAsia" w:ascii="宋体" w:cs="宋体"/>
                <w:color w:val="auto"/>
                <w:szCs w:val="21"/>
                <w:highlight w:val="none"/>
              </w:rPr>
              <w:t>、</w:t>
            </w:r>
            <w:r>
              <w:rPr>
                <w:rFonts w:hint="eastAsia" w:ascii="宋体" w:cs="宋体"/>
                <w:color w:val="auto"/>
                <w:spacing w:val="-2"/>
                <w:szCs w:val="21"/>
                <w:highlight w:val="none"/>
              </w:rPr>
              <w:t>签名章或其他电子制版签名代替。</w:t>
            </w:r>
          </w:p>
          <w:p>
            <w:pPr>
              <w:spacing w:line="360" w:lineRule="exact"/>
              <w:ind w:left="147" w:leftChars="67" w:firstLine="312"/>
              <w:rPr>
                <w:rFonts w:hAnsi="宋体"/>
                <w:color w:val="auto"/>
                <w:szCs w:val="21"/>
                <w:highlight w:val="none"/>
              </w:rPr>
            </w:pPr>
            <w:r>
              <w:rPr>
                <w:rFonts w:hint="eastAsia" w:ascii="宋体" w:cs="宋体"/>
                <w:color w:val="auto"/>
                <w:spacing w:val="-2"/>
                <w:szCs w:val="21"/>
                <w:highlight w:val="none"/>
              </w:rPr>
              <w:t>（</w:t>
            </w:r>
            <w:r>
              <w:rPr>
                <w:color w:val="auto"/>
                <w:spacing w:val="-2"/>
                <w:szCs w:val="21"/>
                <w:highlight w:val="none"/>
              </w:rPr>
              <w:t>6</w:t>
            </w:r>
            <w:r>
              <w:rPr>
                <w:rFonts w:hint="eastAsia" w:ascii="宋体" w:cs="宋体"/>
                <w:color w:val="auto"/>
                <w:spacing w:val="-2"/>
                <w:szCs w:val="21"/>
                <w:highlight w:val="none"/>
              </w:rPr>
              <w:t>）投标人法定代表人亲自签署投标文件的，提供了法定代表人身份证明，且法定代表人在法定代表人身份证明上签名，未使用印章、签名章或其他电子制版签名代替。</w:t>
            </w:r>
          </w:p>
          <w:p>
            <w:pPr>
              <w:spacing w:line="360" w:lineRule="exact"/>
              <w:ind w:left="147" w:leftChars="67" w:firstLine="312"/>
              <w:rPr>
                <w:rFonts w:hAnsi="宋体"/>
                <w:color w:val="auto"/>
                <w:szCs w:val="21"/>
                <w:highlight w:val="none"/>
              </w:rPr>
            </w:pPr>
            <w:r>
              <w:rPr>
                <w:rFonts w:hint="eastAsia" w:hAnsi="宋体"/>
                <w:color w:val="auto"/>
                <w:szCs w:val="21"/>
                <w:highlight w:val="none"/>
              </w:rPr>
              <w:t>（7）同一投标人未提交两个以上不同的投标文件，但招标文件要求提交备选投标的除外；</w:t>
            </w:r>
          </w:p>
          <w:p>
            <w:pPr>
              <w:spacing w:line="360" w:lineRule="exact"/>
              <w:ind w:left="147" w:leftChars="67" w:firstLine="312"/>
              <w:rPr>
                <w:rFonts w:hAnsi="宋体"/>
                <w:color w:val="auto"/>
                <w:szCs w:val="21"/>
                <w:highlight w:val="none"/>
              </w:rPr>
            </w:pPr>
            <w:r>
              <w:rPr>
                <w:rFonts w:hint="eastAsia" w:hAnsi="宋体"/>
                <w:color w:val="auto"/>
                <w:szCs w:val="21"/>
                <w:highlight w:val="none"/>
              </w:rPr>
              <w:t>（8）投标文件未出现有关投标报价的内容；</w:t>
            </w:r>
          </w:p>
          <w:p>
            <w:pPr>
              <w:spacing w:line="360" w:lineRule="exact"/>
              <w:ind w:left="147" w:leftChars="67" w:firstLine="312"/>
              <w:rPr>
                <w:rFonts w:hAnsi="宋体"/>
                <w:color w:val="auto"/>
                <w:szCs w:val="21"/>
                <w:highlight w:val="none"/>
              </w:rPr>
            </w:pPr>
            <w:r>
              <w:rPr>
                <w:rFonts w:hint="eastAsia" w:hAnsi="宋体"/>
                <w:color w:val="auto"/>
                <w:szCs w:val="21"/>
                <w:highlight w:val="none"/>
              </w:rPr>
              <w:t>（9）</w:t>
            </w:r>
            <w:r>
              <w:rPr>
                <w:rFonts w:hint="eastAsia" w:ascii="宋体" w:cs="宋体"/>
                <w:color w:val="auto"/>
                <w:spacing w:val="-2"/>
                <w:szCs w:val="21"/>
                <w:highlight w:val="none"/>
              </w:rPr>
              <w:t>投标文件载明的招标项目完成期限符合招标文件规定。</w:t>
            </w:r>
          </w:p>
          <w:p>
            <w:pPr>
              <w:spacing w:line="360" w:lineRule="exact"/>
              <w:ind w:left="147" w:leftChars="67" w:firstLine="312"/>
              <w:rPr>
                <w:rFonts w:hAnsi="宋体"/>
                <w:color w:val="auto"/>
                <w:szCs w:val="21"/>
                <w:highlight w:val="none"/>
              </w:rPr>
            </w:pPr>
            <w:r>
              <w:rPr>
                <w:rFonts w:hint="eastAsia" w:hAnsi="宋体"/>
                <w:color w:val="auto"/>
                <w:szCs w:val="21"/>
                <w:highlight w:val="none"/>
              </w:rPr>
              <w:t>（10）投标文件对招标文件的实质性要求和条件作出响应。</w:t>
            </w:r>
          </w:p>
          <w:p>
            <w:pPr>
              <w:spacing w:line="360" w:lineRule="exact"/>
              <w:ind w:left="147" w:leftChars="67" w:firstLine="312"/>
              <w:rPr>
                <w:rFonts w:hAnsi="宋体"/>
                <w:color w:val="auto"/>
                <w:szCs w:val="21"/>
                <w:highlight w:val="none"/>
              </w:rPr>
            </w:pPr>
            <w:r>
              <w:rPr>
                <w:rFonts w:hint="eastAsia" w:hAnsi="宋体"/>
                <w:color w:val="auto"/>
                <w:szCs w:val="21"/>
                <w:highlight w:val="none"/>
              </w:rPr>
              <w:t>（11）权利义务符合招标文件规定：</w:t>
            </w:r>
          </w:p>
          <w:p>
            <w:pPr>
              <w:spacing w:line="360" w:lineRule="exact"/>
              <w:ind w:left="147" w:leftChars="67" w:firstLine="312"/>
              <w:rPr>
                <w:rFonts w:hAnsi="宋体"/>
                <w:color w:val="auto"/>
                <w:szCs w:val="21"/>
                <w:highlight w:val="none"/>
              </w:rPr>
            </w:pPr>
            <w:r>
              <w:rPr>
                <w:rFonts w:hint="eastAsia" w:hAnsi="宋体"/>
                <w:color w:val="auto"/>
                <w:szCs w:val="21"/>
                <w:highlight w:val="none"/>
              </w:rPr>
              <w:t>a.投标人应接受招标文件规定的风险划分原则，未提出新的风险划分办法；</w:t>
            </w:r>
          </w:p>
          <w:p>
            <w:pPr>
              <w:spacing w:line="360" w:lineRule="exact"/>
              <w:ind w:left="147" w:leftChars="67" w:firstLine="312"/>
              <w:rPr>
                <w:rFonts w:hAnsi="宋体"/>
                <w:color w:val="auto"/>
                <w:szCs w:val="21"/>
                <w:highlight w:val="none"/>
              </w:rPr>
            </w:pPr>
            <w:r>
              <w:rPr>
                <w:rFonts w:hint="eastAsia" w:hAnsi="宋体"/>
                <w:color w:val="auto"/>
                <w:szCs w:val="21"/>
                <w:highlight w:val="none"/>
              </w:rPr>
              <w:t>b.投标人未增加委托人的责任范围，或减少投标人义务；</w:t>
            </w:r>
          </w:p>
          <w:p>
            <w:pPr>
              <w:spacing w:line="360" w:lineRule="exact"/>
              <w:ind w:left="147" w:leftChars="67" w:firstLine="312"/>
              <w:rPr>
                <w:rFonts w:hAnsi="宋体"/>
                <w:color w:val="auto"/>
                <w:szCs w:val="21"/>
                <w:highlight w:val="none"/>
              </w:rPr>
            </w:pPr>
            <w:r>
              <w:rPr>
                <w:rFonts w:hint="eastAsia" w:hAnsi="宋体"/>
                <w:color w:val="auto"/>
                <w:szCs w:val="21"/>
                <w:highlight w:val="none"/>
              </w:rPr>
              <w:t>c.投标人未提出不同的支付办法；</w:t>
            </w:r>
          </w:p>
          <w:p>
            <w:pPr>
              <w:spacing w:line="360" w:lineRule="exact"/>
              <w:ind w:left="147" w:leftChars="67" w:firstLine="312"/>
              <w:rPr>
                <w:rFonts w:hAnsi="宋体"/>
                <w:color w:val="auto"/>
                <w:szCs w:val="21"/>
                <w:highlight w:val="none"/>
              </w:rPr>
            </w:pPr>
            <w:r>
              <w:rPr>
                <w:rFonts w:hint="eastAsia" w:hAnsi="宋体"/>
                <w:color w:val="auto"/>
                <w:szCs w:val="21"/>
                <w:highlight w:val="none"/>
              </w:rPr>
              <w:t>d. 投标人对合同纠纷、事故处理办法未提出异议；</w:t>
            </w:r>
          </w:p>
          <w:p>
            <w:pPr>
              <w:spacing w:line="360" w:lineRule="exact"/>
              <w:ind w:left="147" w:leftChars="67" w:firstLine="312"/>
              <w:rPr>
                <w:rFonts w:hAnsi="宋体"/>
                <w:color w:val="auto"/>
                <w:szCs w:val="21"/>
                <w:highlight w:val="none"/>
              </w:rPr>
            </w:pPr>
            <w:r>
              <w:rPr>
                <w:rFonts w:hint="eastAsia" w:hAnsi="宋体"/>
                <w:color w:val="auto"/>
                <w:szCs w:val="21"/>
                <w:highlight w:val="none"/>
              </w:rPr>
              <w:t>e. 投标人在投标活动中无欺诈行为；</w:t>
            </w:r>
          </w:p>
          <w:p>
            <w:pPr>
              <w:spacing w:line="360" w:lineRule="exact"/>
              <w:ind w:left="147" w:leftChars="67" w:firstLine="312"/>
              <w:rPr>
                <w:rFonts w:hAnsi="宋体"/>
                <w:color w:val="auto"/>
                <w:szCs w:val="21"/>
                <w:highlight w:val="none"/>
              </w:rPr>
            </w:pPr>
            <w:r>
              <w:rPr>
                <w:rFonts w:hint="eastAsia" w:hAnsi="宋体"/>
                <w:color w:val="auto"/>
                <w:szCs w:val="21"/>
                <w:highlight w:val="none"/>
              </w:rPr>
              <w:t>f. 投标人未对合同条款有重要保留。</w:t>
            </w:r>
          </w:p>
          <w:p>
            <w:pPr>
              <w:spacing w:line="360" w:lineRule="exact"/>
              <w:ind w:left="147" w:leftChars="67" w:firstLine="312"/>
              <w:rPr>
                <w:rFonts w:hAnsi="宋体"/>
                <w:color w:val="auto"/>
                <w:szCs w:val="21"/>
                <w:highlight w:val="none"/>
              </w:rPr>
            </w:pPr>
            <w:r>
              <w:rPr>
                <w:rFonts w:hint="eastAsia" w:hAnsi="宋体"/>
                <w:color w:val="auto"/>
                <w:szCs w:val="21"/>
                <w:highlight w:val="none"/>
              </w:rPr>
              <w:t>（12）投标文件正、副本份数符合招标文件第二章“投标人须知”第3.7.4项规定。</w:t>
            </w:r>
          </w:p>
          <w:p>
            <w:pPr>
              <w:spacing w:line="360" w:lineRule="exact"/>
              <w:ind w:left="147" w:leftChars="67" w:firstLine="312"/>
              <w:rPr>
                <w:rFonts w:hAnsi="宋体"/>
                <w:color w:val="auto"/>
                <w:szCs w:val="21"/>
                <w:highlight w:val="none"/>
              </w:rPr>
            </w:pPr>
            <w:r>
              <w:rPr>
                <w:rFonts w:hint="eastAsia" w:hAnsi="宋体"/>
                <w:color w:val="auto"/>
                <w:szCs w:val="21"/>
                <w:highlight w:val="none"/>
              </w:rPr>
              <w:t>（13）投标文件未附有招标人不能接受的条件；</w:t>
            </w:r>
          </w:p>
          <w:p>
            <w:pPr>
              <w:widowControl/>
              <w:adjustRightInd/>
              <w:spacing w:line="360" w:lineRule="exact"/>
              <w:ind w:left="147" w:leftChars="67" w:firstLine="312"/>
              <w:textAlignment w:val="auto"/>
              <w:rPr>
                <w:rFonts w:hAnsi="宋体"/>
                <w:color w:val="auto"/>
                <w:szCs w:val="21"/>
                <w:highlight w:val="none"/>
              </w:rPr>
            </w:pPr>
            <w:r>
              <w:rPr>
                <w:rFonts w:hint="eastAsia" w:hAnsi="宋体"/>
                <w:color w:val="auto"/>
                <w:szCs w:val="21"/>
                <w:highlight w:val="none"/>
              </w:rPr>
              <w:t>（14）投标人不</w:t>
            </w:r>
            <w:r>
              <w:rPr>
                <w:rFonts w:hint="eastAsia" w:hAnsi="宋体" w:cs="宋体"/>
                <w:color w:val="auto"/>
                <w:szCs w:val="21"/>
                <w:highlight w:val="none"/>
              </w:rPr>
              <w:t>存在《中华人民共和国招标投标法实施条例》（国务院令第613号）第三十九条、第四十条、第四十一条所列的投标人相互串通投标、或者招标人与投标人串通投标情形之一的。</w:t>
            </w:r>
          </w:p>
          <w:p>
            <w:pPr>
              <w:keepNext w:val="0"/>
              <w:keepLines w:val="0"/>
              <w:pageBreakBefore w:val="0"/>
              <w:widowControl/>
              <w:kinsoku/>
              <w:wordWrap/>
              <w:overflowPunct/>
              <w:topLinePunct w:val="0"/>
              <w:autoSpaceDE/>
              <w:autoSpaceDN/>
              <w:bidi w:val="0"/>
              <w:adjustRightInd/>
              <w:snapToGrid/>
              <w:spacing w:line="240" w:lineRule="auto"/>
              <w:ind w:left="147" w:leftChars="67" w:firstLine="312"/>
              <w:textAlignment w:val="auto"/>
              <w:rPr>
                <w:rFonts w:hAnsi="宋体" w:cs="宋体"/>
                <w:color w:val="auto"/>
                <w:szCs w:val="21"/>
                <w:highlight w:val="none"/>
              </w:rPr>
            </w:pPr>
          </w:p>
          <w:p>
            <w:pPr>
              <w:widowControl/>
              <w:adjustRightInd/>
              <w:spacing w:line="360" w:lineRule="auto"/>
              <w:ind w:left="147" w:leftChars="67" w:firstLine="312"/>
              <w:textAlignment w:val="auto"/>
              <w:rPr>
                <w:rFonts w:hAnsi="宋体" w:cs="宋体"/>
                <w:color w:val="auto"/>
                <w:szCs w:val="21"/>
                <w:highlight w:val="none"/>
              </w:rPr>
            </w:pPr>
            <w:r>
              <w:rPr>
                <w:rFonts w:hint="eastAsia" w:hAnsi="宋体"/>
                <w:b/>
                <w:color w:val="auto"/>
                <w:szCs w:val="21"/>
                <w:highlight w:val="none"/>
              </w:rPr>
              <w:t>第二个信封（报价文件）评审标准</w:t>
            </w:r>
          </w:p>
          <w:p>
            <w:pPr>
              <w:tabs>
                <w:tab w:val="left" w:pos="0"/>
                <w:tab w:val="left" w:pos="890"/>
              </w:tabs>
              <w:spacing w:line="360" w:lineRule="auto"/>
              <w:ind w:left="147" w:leftChars="67" w:firstLine="31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（1）投标文件按招标文件规定的格式、内容填写，字迹清晰可辨</w:t>
            </w:r>
            <w:r>
              <w:rPr>
                <w:rFonts w:hint="eastAsia" w:ascii="宋体" w:hAnsi="宋体" w:eastAsia="宋体" w:cs="宋体"/>
                <w:color w:val="auto"/>
                <w:szCs w:val="21"/>
                <w:highlight w:val="none"/>
                <w:lang w:eastAsia="zh-CN"/>
              </w:rPr>
              <w:t>：</w:t>
            </w:r>
          </w:p>
          <w:p>
            <w:pPr>
              <w:pStyle w:val="19"/>
              <w:kinsoku w:val="0"/>
              <w:overflowPunct w:val="0"/>
              <w:spacing w:before="32" w:line="360" w:lineRule="auto"/>
              <w:ind w:left="147" w:leftChars="67" w:right="100" w:firstLine="312"/>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a.投标函按招标文件规定填报了项目名称、标段号、补遗书编号（如有）、投标价（包括大写金额和小写金额）；</w:t>
            </w:r>
          </w:p>
          <w:p>
            <w:pPr>
              <w:pStyle w:val="19"/>
              <w:kinsoku w:val="0"/>
              <w:overflowPunct w:val="0"/>
              <w:spacing w:before="32" w:line="360" w:lineRule="auto"/>
              <w:ind w:left="147" w:leftChars="67" w:right="97" w:firstLine="312"/>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b.已标价报价清单说明文字与招标文件规定一致，未进行实质性修改和删减；</w:t>
            </w:r>
          </w:p>
          <w:p>
            <w:pPr>
              <w:tabs>
                <w:tab w:val="left" w:pos="0"/>
                <w:tab w:val="left" w:pos="890"/>
              </w:tabs>
              <w:spacing w:line="360" w:lineRule="auto"/>
              <w:ind w:left="147" w:leftChars="67" w:firstLine="312"/>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c.投标文件组成齐全完整，内容均按规定填写。</w:t>
            </w:r>
          </w:p>
          <w:p>
            <w:pPr>
              <w:tabs>
                <w:tab w:val="left" w:pos="0"/>
                <w:tab w:val="left" w:pos="890"/>
              </w:tabs>
              <w:spacing w:line="360" w:lineRule="auto"/>
              <w:ind w:left="147" w:leftChars="67" w:firstLine="312"/>
              <w:rPr>
                <w:rFonts w:hAnsi="宋体"/>
                <w:color w:val="auto"/>
                <w:szCs w:val="21"/>
                <w:highlight w:val="none"/>
              </w:rPr>
            </w:pPr>
            <w:r>
              <w:rPr>
                <w:rFonts w:hint="eastAsia" w:hAnsi="宋体"/>
                <w:color w:val="auto"/>
                <w:szCs w:val="21"/>
                <w:highlight w:val="none"/>
              </w:rPr>
              <w:t>（2）投标文件上法定代表人或其授权代理人的签字、投标人的单位章齐全，符合招标文件规定；</w:t>
            </w:r>
            <w:r>
              <w:rPr>
                <w:rFonts w:hAnsi="宋体"/>
                <w:color w:val="auto"/>
                <w:szCs w:val="21"/>
                <w:highlight w:val="none"/>
              </w:rPr>
              <w:t>服务费用报价表</w:t>
            </w:r>
            <w:r>
              <w:rPr>
                <w:rFonts w:hint="eastAsia" w:hAnsi="宋体"/>
                <w:color w:val="auto"/>
                <w:szCs w:val="21"/>
                <w:highlight w:val="none"/>
              </w:rPr>
              <w:t>由投标人法定代表人或其授权委托人逐页签字并加盖投标人公章。若由授权代理人签署，报价函签署的日期应在授权委托书委托期限以内。</w:t>
            </w:r>
          </w:p>
          <w:p>
            <w:pPr>
              <w:tabs>
                <w:tab w:val="left" w:pos="0"/>
                <w:tab w:val="left" w:pos="890"/>
              </w:tabs>
              <w:ind w:left="147" w:leftChars="67" w:firstLine="312"/>
              <w:rPr>
                <w:rFonts w:hAnsi="宋体"/>
                <w:color w:val="auto"/>
                <w:szCs w:val="21"/>
                <w:highlight w:val="none"/>
              </w:rPr>
            </w:pPr>
            <w:r>
              <w:rPr>
                <w:rFonts w:hint="eastAsia" w:hAnsi="宋体"/>
                <w:color w:val="auto"/>
                <w:szCs w:val="21"/>
                <w:highlight w:val="none"/>
              </w:rPr>
              <w:t>（3）在报价函上填写了投标总价（包括大写金额和小写金额），投标总价不高于招标人公布的最高投标限价，且报价唯一；</w:t>
            </w:r>
          </w:p>
          <w:p>
            <w:pPr>
              <w:widowControl/>
              <w:adjustRightInd/>
              <w:ind w:left="147" w:leftChars="67" w:firstLine="312"/>
              <w:textAlignment w:val="auto"/>
              <w:rPr>
                <w:rFonts w:hAnsi="宋体"/>
                <w:color w:val="auto"/>
                <w:szCs w:val="21"/>
                <w:highlight w:val="none"/>
              </w:rPr>
            </w:pPr>
            <w:r>
              <w:rPr>
                <w:rFonts w:hint="eastAsia" w:hAnsi="宋体"/>
                <w:color w:val="auto"/>
                <w:szCs w:val="21"/>
                <w:highlight w:val="none"/>
              </w:rPr>
              <w:t>（4）投标报价的大写金额能够确定具体数值。</w:t>
            </w:r>
          </w:p>
          <w:p>
            <w:pPr>
              <w:widowControl/>
              <w:adjustRightInd/>
              <w:ind w:left="147" w:leftChars="67" w:firstLine="312"/>
              <w:textAlignment w:val="auto"/>
              <w:rPr>
                <w:rFonts w:hAnsi="宋体"/>
                <w:color w:val="auto"/>
                <w:szCs w:val="21"/>
                <w:highlight w:val="none"/>
              </w:rPr>
            </w:pPr>
            <w:r>
              <w:rPr>
                <w:rFonts w:hint="eastAsia" w:hAnsi="宋体"/>
                <w:color w:val="auto"/>
                <w:szCs w:val="21"/>
                <w:highlight w:val="none"/>
              </w:rPr>
              <w:t>（5）同一投标人未提交两个以上不同的投标报价，但招标文件要求提交备选投标的除外。</w:t>
            </w:r>
          </w:p>
          <w:p>
            <w:pPr>
              <w:widowControl/>
              <w:adjustRightInd/>
              <w:ind w:left="147" w:leftChars="67" w:firstLine="312"/>
              <w:textAlignment w:val="auto"/>
              <w:rPr>
                <w:rFonts w:hAnsi="宋体" w:cs="宋体"/>
                <w:color w:val="auto"/>
                <w:szCs w:val="21"/>
                <w:highlight w:val="none"/>
              </w:rPr>
            </w:pPr>
            <w:r>
              <w:rPr>
                <w:rFonts w:hint="eastAsia" w:hAnsi="宋体"/>
                <w:color w:val="auto"/>
                <w:szCs w:val="21"/>
                <w:highlight w:val="none"/>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957" w:type="dxa"/>
            <w:noWrap w:val="0"/>
            <w:vAlign w:val="center"/>
          </w:tcPr>
          <w:p>
            <w:pPr>
              <w:ind w:firstLine="0"/>
              <w:rPr>
                <w:rFonts w:hAnsi="宋体"/>
                <w:b/>
                <w:color w:val="auto"/>
                <w:szCs w:val="21"/>
                <w:highlight w:val="none"/>
              </w:rPr>
            </w:pPr>
            <w:r>
              <w:rPr>
                <w:rFonts w:hAnsi="宋体"/>
                <w:color w:val="auto"/>
                <w:szCs w:val="21"/>
                <w:highlight w:val="none"/>
              </w:rPr>
              <w:t>2.</w:t>
            </w:r>
            <w:r>
              <w:rPr>
                <w:rFonts w:hint="eastAsia" w:hAnsi="宋体"/>
                <w:color w:val="auto"/>
                <w:szCs w:val="21"/>
                <w:highlight w:val="none"/>
              </w:rPr>
              <w:t>1.</w:t>
            </w:r>
            <w:r>
              <w:rPr>
                <w:rFonts w:hAnsi="宋体"/>
                <w:color w:val="auto"/>
                <w:szCs w:val="21"/>
                <w:highlight w:val="none"/>
              </w:rPr>
              <w:t>2</w:t>
            </w:r>
          </w:p>
        </w:tc>
        <w:tc>
          <w:tcPr>
            <w:tcW w:w="1506" w:type="dxa"/>
            <w:gridSpan w:val="2"/>
            <w:noWrap w:val="0"/>
            <w:vAlign w:val="center"/>
          </w:tcPr>
          <w:p>
            <w:pPr>
              <w:ind w:firstLine="0"/>
              <w:rPr>
                <w:rFonts w:hAnsi="宋体"/>
                <w:b/>
                <w:color w:val="auto"/>
                <w:szCs w:val="21"/>
                <w:highlight w:val="none"/>
              </w:rPr>
            </w:pPr>
            <w:r>
              <w:rPr>
                <w:rFonts w:hint="eastAsia" w:hAnsi="宋体"/>
                <w:b/>
                <w:color w:val="auto"/>
                <w:szCs w:val="21"/>
                <w:highlight w:val="none"/>
              </w:rPr>
              <w:t>资格审查标准</w:t>
            </w:r>
          </w:p>
        </w:tc>
        <w:tc>
          <w:tcPr>
            <w:tcW w:w="7107" w:type="dxa"/>
            <w:gridSpan w:val="4"/>
            <w:noWrap w:val="0"/>
            <w:vAlign w:val="top"/>
          </w:tcPr>
          <w:p>
            <w:pPr>
              <w:spacing w:line="360" w:lineRule="exact"/>
              <w:ind w:left="147" w:leftChars="67" w:firstLine="312"/>
              <w:rPr>
                <w:rFonts w:hAnsi="宋体"/>
                <w:color w:val="auto"/>
                <w:szCs w:val="21"/>
                <w:highlight w:val="none"/>
              </w:rPr>
            </w:pPr>
            <w:r>
              <w:rPr>
                <w:rFonts w:hint="eastAsia" w:hAnsi="宋体"/>
                <w:color w:val="auto"/>
                <w:szCs w:val="21"/>
                <w:highlight w:val="none"/>
              </w:rPr>
              <w:t>（1）投标人具有有效的营业执照、</w:t>
            </w:r>
            <w:r>
              <w:rPr>
                <w:rFonts w:hint="eastAsia" w:hAnsi="宋体"/>
                <w:color w:val="auto"/>
                <w:szCs w:val="21"/>
                <w:highlight w:val="none"/>
                <w:lang w:eastAsia="zh-CN"/>
              </w:rPr>
              <w:t>开户许可证（或</w:t>
            </w:r>
            <w:r>
              <w:rPr>
                <w:rFonts w:hint="eastAsia" w:hAnsi="宋体"/>
                <w:color w:val="auto"/>
                <w:szCs w:val="21"/>
                <w:highlight w:val="none"/>
              </w:rPr>
              <w:t>基本存款帐户信息</w:t>
            </w:r>
            <w:r>
              <w:rPr>
                <w:rFonts w:hint="eastAsia" w:hAnsi="宋体"/>
                <w:color w:val="auto"/>
                <w:szCs w:val="21"/>
                <w:highlight w:val="none"/>
                <w:lang w:eastAsia="zh-CN"/>
              </w:rPr>
              <w:t>）</w:t>
            </w:r>
            <w:r>
              <w:rPr>
                <w:rFonts w:hint="eastAsia" w:hAnsi="宋体"/>
                <w:color w:val="auto"/>
                <w:szCs w:val="21"/>
                <w:highlight w:val="none"/>
              </w:rPr>
              <w:t>；</w:t>
            </w:r>
          </w:p>
          <w:p>
            <w:pPr>
              <w:spacing w:line="360" w:lineRule="exact"/>
              <w:ind w:left="147" w:leftChars="67" w:firstLine="312"/>
              <w:rPr>
                <w:rFonts w:hAnsi="宋体"/>
                <w:color w:val="auto"/>
                <w:szCs w:val="21"/>
                <w:highlight w:val="none"/>
              </w:rPr>
            </w:pPr>
            <w:r>
              <w:rPr>
                <w:rFonts w:hint="eastAsia" w:hAnsi="宋体"/>
                <w:color w:val="auto"/>
                <w:szCs w:val="21"/>
                <w:highlight w:val="none"/>
              </w:rPr>
              <w:t>（2）投标人的资质等级</w:t>
            </w:r>
            <w:r>
              <w:rPr>
                <w:rFonts w:hint="eastAsia" w:hAnsi="宋体"/>
                <w:color w:val="auto"/>
                <w:szCs w:val="21"/>
                <w:highlight w:val="none"/>
                <w:lang w:eastAsia="zh-CN"/>
              </w:rPr>
              <w:t>、计量认证证书内容</w:t>
            </w:r>
            <w:r>
              <w:rPr>
                <w:rFonts w:hint="eastAsia" w:hAnsi="宋体"/>
                <w:color w:val="auto"/>
                <w:szCs w:val="21"/>
                <w:highlight w:val="none"/>
              </w:rPr>
              <w:t>符合招标文件的规定；</w:t>
            </w:r>
          </w:p>
          <w:p>
            <w:pPr>
              <w:spacing w:line="360" w:lineRule="exact"/>
              <w:ind w:left="147" w:leftChars="67" w:firstLine="312"/>
              <w:rPr>
                <w:rFonts w:hAnsi="宋体"/>
                <w:color w:val="auto"/>
                <w:szCs w:val="21"/>
                <w:highlight w:val="none"/>
              </w:rPr>
            </w:pPr>
            <w:r>
              <w:rPr>
                <w:rFonts w:hint="eastAsia" w:hAnsi="宋体"/>
                <w:color w:val="auto"/>
                <w:szCs w:val="21"/>
                <w:highlight w:val="none"/>
              </w:rPr>
              <w:t>（3）投标人的信誉符合招标文件的规定；</w:t>
            </w:r>
          </w:p>
          <w:p>
            <w:pPr>
              <w:spacing w:line="360" w:lineRule="exact"/>
              <w:ind w:left="147" w:leftChars="67" w:firstLine="312"/>
              <w:rPr>
                <w:rFonts w:hAnsi="宋体"/>
                <w:color w:val="auto"/>
                <w:szCs w:val="21"/>
                <w:highlight w:val="none"/>
              </w:rPr>
            </w:pPr>
            <w:r>
              <w:rPr>
                <w:rFonts w:hint="eastAsia" w:hAnsi="宋体"/>
                <w:color w:val="auto"/>
                <w:szCs w:val="21"/>
                <w:highlight w:val="none"/>
              </w:rPr>
              <w:t>（4）投标人的</w:t>
            </w:r>
            <w:r>
              <w:rPr>
                <w:rFonts w:hint="eastAsia" w:hAnsi="宋体"/>
                <w:color w:val="auto"/>
                <w:szCs w:val="21"/>
                <w:highlight w:val="none"/>
                <w:lang w:eastAsia="zh-CN"/>
              </w:rPr>
              <w:t>项目负责人</w:t>
            </w:r>
            <w:r>
              <w:rPr>
                <w:rFonts w:hint="eastAsia" w:hAnsi="宋体"/>
                <w:color w:val="auto"/>
                <w:szCs w:val="21"/>
                <w:highlight w:val="none"/>
              </w:rPr>
              <w:t>资格、在岗情况符合招标文件规定；</w:t>
            </w:r>
          </w:p>
          <w:p>
            <w:pPr>
              <w:spacing w:line="360" w:lineRule="exact"/>
              <w:ind w:left="147" w:leftChars="67" w:firstLine="312"/>
              <w:rPr>
                <w:rFonts w:hAnsi="宋体"/>
                <w:color w:val="auto"/>
                <w:szCs w:val="21"/>
                <w:highlight w:val="none"/>
              </w:rPr>
            </w:pPr>
            <w:r>
              <w:rPr>
                <w:rFonts w:hint="eastAsia" w:hAnsi="宋体"/>
                <w:color w:val="auto"/>
                <w:szCs w:val="21"/>
                <w:highlight w:val="none"/>
              </w:rPr>
              <w:t>（5）投标人的其他要求符合招标文件规定。</w:t>
            </w:r>
          </w:p>
          <w:p>
            <w:pPr>
              <w:widowControl/>
              <w:adjustRightInd/>
              <w:spacing w:line="360" w:lineRule="exact"/>
              <w:ind w:left="147" w:leftChars="67" w:firstLine="312"/>
              <w:textAlignment w:val="auto"/>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1"/>
                <w:highlight w:val="none"/>
              </w:rPr>
              <w:t>6）投标人不存在第二章“投标人须知”第1.4.3项和第1.4.4项规定的任何一种情形。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957" w:type="dxa"/>
            <w:noWrap w:val="0"/>
            <w:vAlign w:val="center"/>
          </w:tcPr>
          <w:p>
            <w:pPr>
              <w:spacing w:line="0" w:lineRule="atLeast"/>
              <w:ind w:firstLine="0"/>
              <w:rPr>
                <w:rFonts w:hAnsi="宋体"/>
                <w:color w:val="auto"/>
                <w:szCs w:val="21"/>
                <w:highlight w:val="none"/>
              </w:rPr>
            </w:pPr>
            <w:r>
              <w:rPr>
                <w:rFonts w:hAnsi="宋体"/>
                <w:color w:val="auto"/>
                <w:szCs w:val="21"/>
                <w:highlight w:val="none"/>
              </w:rPr>
              <w:t>2.</w:t>
            </w:r>
            <w:r>
              <w:rPr>
                <w:rFonts w:hint="eastAsia" w:hAnsi="宋体"/>
                <w:color w:val="auto"/>
                <w:szCs w:val="21"/>
                <w:highlight w:val="none"/>
              </w:rPr>
              <w:t>2.1</w:t>
            </w:r>
          </w:p>
        </w:tc>
        <w:tc>
          <w:tcPr>
            <w:tcW w:w="1506" w:type="dxa"/>
            <w:gridSpan w:val="2"/>
            <w:noWrap w:val="0"/>
            <w:vAlign w:val="center"/>
          </w:tcPr>
          <w:p>
            <w:pPr>
              <w:ind w:firstLine="0"/>
              <w:rPr>
                <w:rFonts w:hAnsi="宋体"/>
                <w:color w:val="auto"/>
                <w:szCs w:val="21"/>
                <w:highlight w:val="none"/>
              </w:rPr>
            </w:pPr>
            <w:r>
              <w:rPr>
                <w:rFonts w:hint="eastAsia" w:hAnsi="宋体"/>
                <w:b/>
                <w:color w:val="auto"/>
                <w:szCs w:val="21"/>
                <w:highlight w:val="none"/>
              </w:rPr>
              <w:t>分值构成（总分100分）</w:t>
            </w:r>
          </w:p>
        </w:tc>
        <w:tc>
          <w:tcPr>
            <w:tcW w:w="7107"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ind w:left="147" w:leftChars="67" w:firstLine="312"/>
              <w:textAlignment w:val="baseline"/>
              <w:rPr>
                <w:rFonts w:hAnsi="宋体"/>
                <w:b/>
                <w:color w:val="auto"/>
                <w:szCs w:val="21"/>
                <w:highlight w:val="none"/>
              </w:rPr>
            </w:pPr>
            <w:r>
              <w:rPr>
                <w:rFonts w:hint="eastAsia" w:hAnsi="宋体"/>
                <w:b/>
                <w:color w:val="auto"/>
                <w:szCs w:val="21"/>
                <w:highlight w:val="none"/>
              </w:rPr>
              <w:t>第一信封（商务及技术文件）评分分值构成：</w:t>
            </w:r>
          </w:p>
          <w:p>
            <w:pPr>
              <w:keepNext w:val="0"/>
              <w:keepLines w:val="0"/>
              <w:pageBreakBefore w:val="0"/>
              <w:widowControl w:val="0"/>
              <w:kinsoku/>
              <w:wordWrap/>
              <w:overflowPunct/>
              <w:topLinePunct w:val="0"/>
              <w:autoSpaceDE/>
              <w:autoSpaceDN/>
              <w:bidi w:val="0"/>
              <w:adjustRightInd w:val="0"/>
              <w:snapToGrid/>
              <w:spacing w:line="360" w:lineRule="auto"/>
              <w:ind w:left="147" w:leftChars="67" w:firstLine="312"/>
              <w:textAlignment w:val="baseline"/>
              <w:rPr>
                <w:rFonts w:hAnsi="宋体"/>
                <w:color w:val="auto"/>
                <w:szCs w:val="21"/>
                <w:highlight w:val="none"/>
              </w:rPr>
            </w:pPr>
            <w:r>
              <w:rPr>
                <w:rFonts w:hint="eastAsia" w:hAnsi="宋体"/>
                <w:color w:val="auto"/>
                <w:szCs w:val="21"/>
                <w:highlight w:val="none"/>
              </w:rPr>
              <w:t>技术建议书：</w:t>
            </w:r>
            <w:r>
              <w:rPr>
                <w:rFonts w:hint="eastAsia" w:hAnsi="宋体"/>
                <w:color w:val="auto"/>
                <w:szCs w:val="21"/>
                <w:highlight w:val="none"/>
                <w:u w:val="single"/>
                <w:lang w:val="en-US" w:eastAsia="zh-CN"/>
              </w:rPr>
              <w:t>50</w:t>
            </w:r>
            <w:r>
              <w:rPr>
                <w:rFonts w:hint="eastAsia" w:hAnsi="宋体"/>
                <w:color w:val="auto"/>
                <w:szCs w:val="21"/>
                <w:highlight w:val="none"/>
              </w:rPr>
              <w:t xml:space="preserve">分  </w:t>
            </w:r>
          </w:p>
          <w:p>
            <w:pPr>
              <w:keepNext w:val="0"/>
              <w:keepLines w:val="0"/>
              <w:pageBreakBefore w:val="0"/>
              <w:widowControl w:val="0"/>
              <w:kinsoku/>
              <w:wordWrap/>
              <w:overflowPunct/>
              <w:topLinePunct w:val="0"/>
              <w:autoSpaceDE/>
              <w:autoSpaceDN/>
              <w:bidi w:val="0"/>
              <w:adjustRightInd w:val="0"/>
              <w:snapToGrid/>
              <w:spacing w:line="360" w:lineRule="auto"/>
              <w:ind w:left="147" w:leftChars="67" w:firstLine="312"/>
              <w:textAlignment w:val="baseline"/>
              <w:rPr>
                <w:rFonts w:hAnsi="宋体"/>
                <w:color w:val="auto"/>
                <w:szCs w:val="21"/>
                <w:highlight w:val="none"/>
              </w:rPr>
            </w:pPr>
            <w:r>
              <w:rPr>
                <w:rFonts w:hint="eastAsia" w:hAnsi="宋体"/>
                <w:color w:val="auto"/>
                <w:szCs w:val="21"/>
                <w:highlight w:val="none"/>
              </w:rPr>
              <w:t xml:space="preserve">主要人员：  </w:t>
            </w:r>
            <w:r>
              <w:rPr>
                <w:rFonts w:hint="eastAsia" w:hAnsi="宋体"/>
                <w:color w:val="auto"/>
                <w:szCs w:val="21"/>
                <w:highlight w:val="none"/>
                <w:u w:val="single"/>
                <w:lang w:val="en-US" w:eastAsia="zh-CN"/>
              </w:rPr>
              <w:t>10</w:t>
            </w:r>
            <w:r>
              <w:rPr>
                <w:rFonts w:hint="eastAsia" w:hAnsi="宋体"/>
                <w:color w:val="auto"/>
                <w:szCs w:val="21"/>
                <w:highlight w:val="none"/>
              </w:rPr>
              <w:t xml:space="preserve">分 </w:t>
            </w:r>
          </w:p>
          <w:p>
            <w:pPr>
              <w:keepNext w:val="0"/>
              <w:keepLines w:val="0"/>
              <w:pageBreakBefore w:val="0"/>
              <w:widowControl w:val="0"/>
              <w:kinsoku/>
              <w:wordWrap/>
              <w:overflowPunct/>
              <w:topLinePunct w:val="0"/>
              <w:autoSpaceDE/>
              <w:autoSpaceDN/>
              <w:bidi w:val="0"/>
              <w:adjustRightInd w:val="0"/>
              <w:snapToGrid/>
              <w:spacing w:line="360" w:lineRule="auto"/>
              <w:ind w:left="147" w:leftChars="67" w:firstLine="312"/>
              <w:textAlignment w:val="baseline"/>
              <w:rPr>
                <w:rFonts w:hAnsi="宋体"/>
                <w:color w:val="auto"/>
                <w:szCs w:val="21"/>
                <w:highlight w:val="none"/>
              </w:rPr>
            </w:pPr>
            <w:r>
              <w:rPr>
                <w:rFonts w:hint="eastAsia" w:hAnsi="宋体"/>
                <w:color w:val="auto"/>
                <w:szCs w:val="21"/>
                <w:highlight w:val="none"/>
              </w:rPr>
              <w:t xml:space="preserve">业    绩：  </w:t>
            </w:r>
            <w:r>
              <w:rPr>
                <w:rFonts w:hint="eastAsia" w:hAnsi="宋体"/>
                <w:color w:val="auto"/>
                <w:szCs w:val="21"/>
                <w:highlight w:val="none"/>
                <w:u w:val="single"/>
              </w:rPr>
              <w:t>2</w:t>
            </w:r>
            <w:r>
              <w:rPr>
                <w:rFonts w:hint="eastAsia" w:hAnsi="宋体"/>
                <w:color w:val="auto"/>
                <w:szCs w:val="21"/>
                <w:highlight w:val="none"/>
                <w:u w:val="single"/>
                <w:lang w:val="en-US" w:eastAsia="zh-CN"/>
              </w:rPr>
              <w:t>1</w:t>
            </w:r>
            <w:r>
              <w:rPr>
                <w:rFonts w:hint="eastAsia" w:hAnsi="宋体"/>
                <w:color w:val="auto"/>
                <w:szCs w:val="21"/>
                <w:highlight w:val="none"/>
              </w:rPr>
              <w:t xml:space="preserve">分 </w:t>
            </w:r>
          </w:p>
          <w:p>
            <w:pPr>
              <w:keepNext w:val="0"/>
              <w:keepLines w:val="0"/>
              <w:pageBreakBefore w:val="0"/>
              <w:widowControl w:val="0"/>
              <w:kinsoku/>
              <w:wordWrap/>
              <w:overflowPunct/>
              <w:topLinePunct w:val="0"/>
              <w:autoSpaceDE/>
              <w:autoSpaceDN/>
              <w:bidi w:val="0"/>
              <w:adjustRightInd w:val="0"/>
              <w:snapToGrid/>
              <w:spacing w:line="360" w:lineRule="auto"/>
              <w:ind w:left="147" w:leftChars="67" w:firstLine="312"/>
              <w:textAlignment w:val="baseline"/>
              <w:rPr>
                <w:rFonts w:hAnsi="宋体"/>
                <w:color w:val="auto"/>
                <w:szCs w:val="21"/>
                <w:highlight w:val="none"/>
              </w:rPr>
            </w:pPr>
            <w:r>
              <w:rPr>
                <w:rFonts w:hint="eastAsia" w:hAnsi="宋体"/>
                <w:color w:val="auto"/>
                <w:szCs w:val="21"/>
                <w:highlight w:val="none"/>
              </w:rPr>
              <w:t xml:space="preserve">技术能力：  </w:t>
            </w:r>
            <w:r>
              <w:rPr>
                <w:rFonts w:hint="eastAsia" w:hAnsi="宋体"/>
                <w:color w:val="auto"/>
                <w:szCs w:val="21"/>
                <w:highlight w:val="none"/>
                <w:u w:val="single"/>
                <w:lang w:val="en-US" w:eastAsia="zh-CN"/>
              </w:rPr>
              <w:t>4</w:t>
            </w:r>
            <w:r>
              <w:rPr>
                <w:rFonts w:hint="eastAsia" w:hAnsi="宋体"/>
                <w:color w:val="auto"/>
                <w:szCs w:val="21"/>
                <w:highlight w:val="none"/>
              </w:rPr>
              <w:t xml:space="preserve">分  </w:t>
            </w:r>
          </w:p>
          <w:p>
            <w:pPr>
              <w:keepNext w:val="0"/>
              <w:keepLines w:val="0"/>
              <w:pageBreakBefore w:val="0"/>
              <w:widowControl w:val="0"/>
              <w:kinsoku/>
              <w:wordWrap/>
              <w:overflowPunct/>
              <w:topLinePunct w:val="0"/>
              <w:autoSpaceDE/>
              <w:autoSpaceDN/>
              <w:bidi w:val="0"/>
              <w:adjustRightInd w:val="0"/>
              <w:snapToGrid/>
              <w:spacing w:line="360" w:lineRule="auto"/>
              <w:ind w:left="147" w:leftChars="67" w:firstLine="312"/>
              <w:textAlignment w:val="baseline"/>
              <w:rPr>
                <w:rFonts w:hAnsi="宋体"/>
                <w:color w:val="auto"/>
                <w:szCs w:val="21"/>
                <w:highlight w:val="none"/>
              </w:rPr>
            </w:pPr>
            <w:r>
              <w:rPr>
                <w:rFonts w:hint="eastAsia" w:hAnsi="宋体"/>
                <w:color w:val="auto"/>
                <w:szCs w:val="21"/>
                <w:highlight w:val="none"/>
              </w:rPr>
              <w:t xml:space="preserve">信用等级：  </w:t>
            </w:r>
            <w:r>
              <w:rPr>
                <w:rFonts w:hint="eastAsia" w:hAnsi="宋体"/>
                <w:color w:val="auto"/>
                <w:szCs w:val="21"/>
                <w:highlight w:val="none"/>
                <w:u w:val="single"/>
              </w:rPr>
              <w:t>5</w:t>
            </w:r>
            <w:r>
              <w:rPr>
                <w:rFonts w:hint="eastAsia" w:hAnsi="宋体"/>
                <w:color w:val="auto"/>
                <w:szCs w:val="21"/>
                <w:highlight w:val="none"/>
              </w:rPr>
              <w:t xml:space="preserve">分  </w:t>
            </w:r>
          </w:p>
          <w:p>
            <w:pPr>
              <w:keepNext w:val="0"/>
              <w:keepLines w:val="0"/>
              <w:pageBreakBefore w:val="0"/>
              <w:widowControl w:val="0"/>
              <w:kinsoku/>
              <w:wordWrap/>
              <w:overflowPunct/>
              <w:topLinePunct w:val="0"/>
              <w:autoSpaceDE/>
              <w:autoSpaceDN/>
              <w:bidi w:val="0"/>
              <w:adjustRightInd w:val="0"/>
              <w:snapToGrid/>
              <w:spacing w:line="360" w:lineRule="auto"/>
              <w:ind w:left="147" w:leftChars="67" w:firstLine="312"/>
              <w:textAlignment w:val="baseline"/>
              <w:rPr>
                <w:rFonts w:hAnsi="宋体"/>
                <w:b/>
                <w:color w:val="auto"/>
                <w:szCs w:val="21"/>
                <w:highlight w:val="none"/>
              </w:rPr>
            </w:pPr>
            <w:r>
              <w:rPr>
                <w:rFonts w:hint="eastAsia" w:hAnsi="宋体"/>
                <w:b/>
                <w:color w:val="auto"/>
                <w:szCs w:val="21"/>
                <w:highlight w:val="none"/>
              </w:rPr>
              <w:t>第二个信封（报价文件</w:t>
            </w:r>
            <w:r>
              <w:rPr>
                <w:rFonts w:hAnsi="宋体"/>
                <w:b/>
                <w:color w:val="auto"/>
                <w:szCs w:val="21"/>
                <w:highlight w:val="none"/>
              </w:rPr>
              <w:t>）</w:t>
            </w:r>
            <w:r>
              <w:rPr>
                <w:rFonts w:hint="eastAsia" w:hAnsi="宋体"/>
                <w:b/>
                <w:color w:val="auto"/>
                <w:szCs w:val="21"/>
                <w:highlight w:val="none"/>
              </w:rPr>
              <w:t>评分标准构成：</w:t>
            </w:r>
          </w:p>
          <w:p>
            <w:pPr>
              <w:keepNext w:val="0"/>
              <w:keepLines w:val="0"/>
              <w:pageBreakBefore w:val="0"/>
              <w:widowControl w:val="0"/>
              <w:kinsoku/>
              <w:wordWrap/>
              <w:overflowPunct/>
              <w:topLinePunct w:val="0"/>
              <w:autoSpaceDE/>
              <w:autoSpaceDN/>
              <w:bidi w:val="0"/>
              <w:adjustRightInd w:val="0"/>
              <w:snapToGrid/>
              <w:spacing w:line="360" w:lineRule="auto"/>
              <w:ind w:left="147" w:leftChars="67" w:firstLine="312"/>
              <w:textAlignment w:val="baseline"/>
              <w:rPr>
                <w:rFonts w:hAnsi="宋体"/>
                <w:color w:val="auto"/>
                <w:szCs w:val="21"/>
                <w:highlight w:val="none"/>
              </w:rPr>
            </w:pPr>
            <w:r>
              <w:rPr>
                <w:rFonts w:hint="eastAsia" w:hAnsi="宋体"/>
                <w:color w:val="auto"/>
                <w:szCs w:val="21"/>
                <w:highlight w:val="none"/>
              </w:rPr>
              <w:t>评标价：10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4" w:hRule="atLeast"/>
          <w:jc w:val="center"/>
        </w:trPr>
        <w:tc>
          <w:tcPr>
            <w:tcW w:w="957" w:type="dxa"/>
            <w:noWrap w:val="0"/>
            <w:vAlign w:val="center"/>
          </w:tcPr>
          <w:p>
            <w:pPr>
              <w:spacing w:line="0" w:lineRule="atLeast"/>
              <w:ind w:firstLine="0"/>
              <w:rPr>
                <w:rFonts w:hAnsi="宋体"/>
                <w:color w:val="auto"/>
                <w:szCs w:val="21"/>
                <w:highlight w:val="none"/>
              </w:rPr>
            </w:pPr>
            <w:r>
              <w:rPr>
                <w:rFonts w:hint="eastAsia" w:hAnsi="宋体"/>
                <w:color w:val="auto"/>
                <w:szCs w:val="21"/>
                <w:highlight w:val="none"/>
              </w:rPr>
              <w:t>2.2.2</w:t>
            </w:r>
          </w:p>
        </w:tc>
        <w:tc>
          <w:tcPr>
            <w:tcW w:w="1506" w:type="dxa"/>
            <w:gridSpan w:val="2"/>
            <w:noWrap w:val="0"/>
            <w:vAlign w:val="center"/>
          </w:tcPr>
          <w:p>
            <w:pPr>
              <w:ind w:firstLine="0"/>
              <w:rPr>
                <w:rFonts w:hAnsi="宋体"/>
                <w:b/>
                <w:color w:val="auto"/>
                <w:szCs w:val="21"/>
                <w:highlight w:val="none"/>
              </w:rPr>
            </w:pPr>
            <w:r>
              <w:rPr>
                <w:rFonts w:hint="eastAsia" w:hAnsi="宋体"/>
                <w:b/>
                <w:color w:val="auto"/>
                <w:szCs w:val="21"/>
                <w:highlight w:val="none"/>
              </w:rPr>
              <w:t>评标基准价计算方法</w:t>
            </w:r>
          </w:p>
        </w:tc>
        <w:tc>
          <w:tcPr>
            <w:tcW w:w="710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142"/>
              <w:textAlignment w:val="auto"/>
              <w:rPr>
                <w:rFonts w:ascii="宋体" w:hAnsi="宋体" w:cs="宋体"/>
                <w:color w:val="auto"/>
                <w:szCs w:val="21"/>
                <w:highlight w:val="none"/>
              </w:rPr>
            </w:pPr>
            <w:r>
              <w:rPr>
                <w:rFonts w:ascii="宋体" w:hAnsi="宋体" w:cs="宋体"/>
                <w:color w:val="auto"/>
                <w:szCs w:val="21"/>
                <w:highlight w:val="none"/>
              </w:rPr>
              <w:t>评标基准价的计算：</w:t>
            </w:r>
          </w:p>
          <w:p>
            <w:pPr>
              <w:keepNext w:val="0"/>
              <w:keepLines w:val="0"/>
              <w:pageBreakBefore w:val="0"/>
              <w:widowControl w:val="0"/>
              <w:kinsoku/>
              <w:wordWrap/>
              <w:overflowPunct/>
              <w:topLinePunct w:val="0"/>
              <w:autoSpaceDE/>
              <w:autoSpaceDN/>
              <w:bidi w:val="0"/>
              <w:adjustRightInd/>
              <w:snapToGrid/>
              <w:spacing w:line="360" w:lineRule="auto"/>
              <w:ind w:right="142"/>
              <w:textAlignment w:val="auto"/>
              <w:rPr>
                <w:rFonts w:ascii="宋体" w:hAnsi="宋体" w:cs="宋体"/>
                <w:color w:val="auto"/>
                <w:szCs w:val="21"/>
                <w:highlight w:val="none"/>
              </w:rPr>
            </w:pPr>
            <w:r>
              <w:rPr>
                <w:rFonts w:ascii="宋体" w:hAnsi="宋体" w:cs="宋体"/>
                <w:color w:val="auto"/>
                <w:szCs w:val="21"/>
                <w:highlight w:val="none"/>
              </w:rPr>
              <w:t>在</w:t>
            </w:r>
            <w:r>
              <w:rPr>
                <w:rFonts w:hint="eastAsia" w:ascii="宋体" w:hAnsi="宋体" w:cs="宋体"/>
                <w:color w:val="auto"/>
                <w:szCs w:val="21"/>
                <w:highlight w:val="none"/>
                <w:lang w:val="en-US" w:eastAsia="zh-CN"/>
              </w:rPr>
              <w:t>第二个信封（报价文件）</w:t>
            </w:r>
            <w:r>
              <w:rPr>
                <w:rFonts w:ascii="宋体" w:hAnsi="宋体" w:cs="宋体"/>
                <w:color w:val="auto"/>
                <w:szCs w:val="21"/>
                <w:highlight w:val="none"/>
              </w:rPr>
              <w:t>开标现场，招标人将当场计算并宣布评标基准价。</w:t>
            </w:r>
          </w:p>
          <w:p>
            <w:pPr>
              <w:keepNext w:val="0"/>
              <w:keepLines w:val="0"/>
              <w:pageBreakBefore w:val="0"/>
              <w:widowControl w:val="0"/>
              <w:kinsoku/>
              <w:wordWrap/>
              <w:overflowPunct/>
              <w:topLinePunct w:val="0"/>
              <w:autoSpaceDE/>
              <w:autoSpaceDN/>
              <w:bidi w:val="0"/>
              <w:adjustRightInd/>
              <w:snapToGrid/>
              <w:spacing w:line="360" w:lineRule="auto"/>
              <w:ind w:right="142"/>
              <w:textAlignment w:val="auto"/>
              <w:rPr>
                <w:rFonts w:ascii="宋体" w:hAnsi="宋体" w:cs="宋体"/>
                <w:color w:val="auto"/>
                <w:szCs w:val="21"/>
                <w:highlight w:val="none"/>
              </w:rPr>
            </w:pPr>
            <w:r>
              <w:rPr>
                <w:rFonts w:ascii="宋体" w:hAnsi="宋体" w:cs="宋体"/>
                <w:color w:val="auto"/>
                <w:szCs w:val="21"/>
                <w:highlight w:val="none"/>
              </w:rPr>
              <w:t>（1）评标价的确定：</w:t>
            </w:r>
          </w:p>
          <w:p>
            <w:pPr>
              <w:keepNext w:val="0"/>
              <w:keepLines w:val="0"/>
              <w:pageBreakBefore w:val="0"/>
              <w:widowControl w:val="0"/>
              <w:kinsoku/>
              <w:wordWrap/>
              <w:overflowPunct/>
              <w:topLinePunct w:val="0"/>
              <w:autoSpaceDE/>
              <w:autoSpaceDN/>
              <w:bidi w:val="0"/>
              <w:adjustRightInd/>
              <w:snapToGrid/>
              <w:spacing w:line="360" w:lineRule="auto"/>
              <w:ind w:left="523" w:right="142" w:firstLine="1430" w:firstLineChars="650"/>
              <w:textAlignment w:val="auto"/>
              <w:rPr>
                <w:rFonts w:ascii="宋体" w:hAnsi="宋体" w:cs="宋体"/>
                <w:color w:val="auto"/>
                <w:szCs w:val="21"/>
                <w:highlight w:val="none"/>
              </w:rPr>
            </w:pPr>
            <w:r>
              <w:rPr>
                <w:rFonts w:hint="eastAsia" w:ascii="宋体" w:hAnsi="宋体" w:cs="宋体"/>
                <w:color w:val="auto"/>
                <w:szCs w:val="21"/>
                <w:highlight w:val="none"/>
              </w:rPr>
              <w:t>评标价=投标函文字报价</w:t>
            </w:r>
          </w:p>
          <w:p>
            <w:pPr>
              <w:keepNext w:val="0"/>
              <w:keepLines w:val="0"/>
              <w:pageBreakBefore w:val="0"/>
              <w:widowControl w:val="0"/>
              <w:kinsoku/>
              <w:wordWrap/>
              <w:overflowPunct/>
              <w:topLinePunct w:val="0"/>
              <w:autoSpaceDE/>
              <w:autoSpaceDN/>
              <w:bidi w:val="0"/>
              <w:adjustRightInd/>
              <w:snapToGrid/>
              <w:spacing w:line="360" w:lineRule="auto"/>
              <w:ind w:right="142"/>
              <w:textAlignment w:val="auto"/>
              <w:rPr>
                <w:rFonts w:ascii="宋体" w:hAnsi="宋体" w:cs="宋体"/>
                <w:color w:val="auto"/>
                <w:szCs w:val="21"/>
                <w:highlight w:val="none"/>
              </w:rPr>
            </w:pPr>
            <w:r>
              <w:rPr>
                <w:rFonts w:hint="eastAsia" w:ascii="宋体" w:hAnsi="宋体" w:cs="宋体"/>
                <w:color w:val="auto"/>
                <w:szCs w:val="21"/>
                <w:highlight w:val="none"/>
              </w:rPr>
              <w:t>（2）评标价平均值的确定</w:t>
            </w:r>
          </w:p>
          <w:p>
            <w:pPr>
              <w:keepNext w:val="0"/>
              <w:keepLines w:val="0"/>
              <w:pageBreakBefore w:val="0"/>
              <w:widowControl w:val="0"/>
              <w:kinsoku/>
              <w:wordWrap/>
              <w:overflowPunct/>
              <w:topLinePunct w:val="0"/>
              <w:autoSpaceDE/>
              <w:autoSpaceDN/>
              <w:bidi w:val="0"/>
              <w:adjustRightInd/>
              <w:snapToGrid/>
              <w:spacing w:line="360" w:lineRule="auto"/>
              <w:ind w:right="142"/>
              <w:jc w:val="left"/>
              <w:textAlignment w:val="auto"/>
              <w:rPr>
                <w:rFonts w:ascii="宋体" w:hAnsi="宋体" w:cs="宋体"/>
                <w:color w:val="auto"/>
                <w:szCs w:val="21"/>
                <w:highlight w:val="none"/>
              </w:rPr>
            </w:pPr>
            <w:r>
              <w:rPr>
                <w:rFonts w:hint="eastAsia" w:ascii="宋体" w:hAnsi="宋体" w:cs="宋体"/>
                <w:color w:val="auto"/>
                <w:szCs w:val="21"/>
                <w:highlight w:val="none"/>
              </w:rPr>
              <w:t>除按第二章“投标人须知”第5.2.4项规定开标现场被宣布为不进入评标基准价计算的投标报价外，投标人的评标价在最高限价100%-90%（含100%、90%）之间的所有报价的</w:t>
            </w:r>
            <w:r>
              <w:rPr>
                <w:rFonts w:ascii="宋体" w:hAnsi="宋体" w:cs="宋体"/>
                <w:color w:val="auto"/>
                <w:szCs w:val="21"/>
                <w:highlight w:val="none"/>
              </w:rPr>
              <w:t>算术平均值</w:t>
            </w:r>
            <w:r>
              <w:rPr>
                <w:rFonts w:hint="eastAsia" w:ascii="宋体" w:hAnsi="宋体" w:cs="宋体"/>
                <w:color w:val="auto"/>
                <w:szCs w:val="21"/>
                <w:highlight w:val="none"/>
              </w:rPr>
              <w:t>为评标价平均值</w:t>
            </w:r>
            <w:r>
              <w:rPr>
                <w:rFonts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142"/>
              <w:textAlignment w:val="auto"/>
              <w:rPr>
                <w:rFonts w:ascii="宋体" w:hAnsi="宋体" w:cs="宋体"/>
                <w:color w:val="auto"/>
                <w:szCs w:val="21"/>
                <w:highlight w:val="none"/>
              </w:rPr>
            </w:pPr>
            <w:r>
              <w:rPr>
                <w:rFonts w:hint="eastAsia" w:ascii="宋体" w:hAnsi="宋体" w:cs="宋体"/>
                <w:color w:val="auto"/>
                <w:szCs w:val="21"/>
                <w:highlight w:val="none"/>
              </w:rPr>
              <w:t>（3）评标基准价的确定</w:t>
            </w:r>
          </w:p>
          <w:p>
            <w:pPr>
              <w:keepNext w:val="0"/>
              <w:keepLines w:val="0"/>
              <w:pageBreakBefore w:val="0"/>
              <w:widowControl w:val="0"/>
              <w:kinsoku/>
              <w:wordWrap/>
              <w:overflowPunct/>
              <w:topLinePunct w:val="0"/>
              <w:autoSpaceDE/>
              <w:autoSpaceDN/>
              <w:bidi w:val="0"/>
              <w:adjustRightInd/>
              <w:snapToGrid/>
              <w:spacing w:line="360" w:lineRule="auto"/>
              <w:ind w:left="523" w:right="142"/>
              <w:textAlignment w:val="auto"/>
              <w:rPr>
                <w:rFonts w:ascii="宋体" w:hAnsi="宋体" w:cs="宋体"/>
                <w:color w:val="auto"/>
                <w:szCs w:val="21"/>
                <w:highlight w:val="none"/>
              </w:rPr>
            </w:pPr>
            <w:r>
              <w:rPr>
                <w:rFonts w:hint="eastAsia" w:ascii="宋体" w:hAnsi="宋体" w:cs="宋体"/>
                <w:color w:val="auto"/>
                <w:szCs w:val="21"/>
                <w:highlight w:val="none"/>
              </w:rPr>
              <w:t>评标价平均值=评标基准价</w:t>
            </w:r>
          </w:p>
          <w:p>
            <w:pPr>
              <w:keepNext w:val="0"/>
              <w:keepLines w:val="0"/>
              <w:pageBreakBefore w:val="0"/>
              <w:widowControl w:val="0"/>
              <w:kinsoku/>
              <w:wordWrap/>
              <w:overflowPunct/>
              <w:topLinePunct w:val="0"/>
              <w:autoSpaceDE/>
              <w:autoSpaceDN/>
              <w:bidi w:val="0"/>
              <w:adjustRightInd/>
              <w:snapToGrid/>
              <w:spacing w:line="240" w:lineRule="auto"/>
              <w:ind w:firstLine="140" w:firstLineChars="200"/>
              <w:textAlignment w:val="auto"/>
              <w:rPr>
                <w:rFonts w:ascii="宋体" w:hAnsi="宋体" w:cs="宋体"/>
                <w:color w:val="auto"/>
                <w:spacing w:val="-5"/>
                <w:sz w:val="8"/>
                <w:szCs w:val="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ascii="宋体" w:hAnsi="宋体" w:cs="宋体"/>
                <w:color w:val="auto"/>
                <w:spacing w:val="-5"/>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cs="宋体"/>
                <w:color w:val="auto"/>
                <w:spacing w:val="-5"/>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57" w:type="dxa"/>
            <w:noWrap w:val="0"/>
            <w:vAlign w:val="center"/>
          </w:tcPr>
          <w:p>
            <w:pPr>
              <w:spacing w:line="0" w:lineRule="atLeast"/>
              <w:ind w:firstLine="0"/>
              <w:rPr>
                <w:rFonts w:hAnsi="宋体"/>
                <w:color w:val="auto"/>
                <w:szCs w:val="21"/>
                <w:highlight w:val="none"/>
              </w:rPr>
            </w:pPr>
            <w:r>
              <w:rPr>
                <w:rFonts w:hint="eastAsia" w:hAnsi="宋体"/>
                <w:color w:val="auto"/>
                <w:szCs w:val="21"/>
                <w:highlight w:val="none"/>
              </w:rPr>
              <w:t>2.2.3</w:t>
            </w:r>
          </w:p>
        </w:tc>
        <w:tc>
          <w:tcPr>
            <w:tcW w:w="1506"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textAlignment w:val="baseline"/>
              <w:rPr>
                <w:rFonts w:hAnsi="宋体"/>
                <w:color w:val="auto"/>
                <w:szCs w:val="21"/>
                <w:highlight w:val="none"/>
              </w:rPr>
            </w:pPr>
            <w:r>
              <w:rPr>
                <w:rFonts w:hint="eastAsia" w:hAnsi="宋体"/>
                <w:color w:val="auto"/>
                <w:szCs w:val="21"/>
                <w:highlight w:val="none"/>
              </w:rPr>
              <w:t>评标价的偏差率计算公式</w:t>
            </w:r>
          </w:p>
        </w:tc>
        <w:tc>
          <w:tcPr>
            <w:tcW w:w="7107" w:type="dxa"/>
            <w:gridSpan w:val="4"/>
            <w:noWrap w:val="0"/>
            <w:vAlign w:val="center"/>
          </w:tcPr>
          <w:p>
            <w:pPr>
              <w:ind w:left="147" w:leftChars="67" w:firstLine="312"/>
              <w:rPr>
                <w:rFonts w:hAnsi="宋体"/>
                <w:color w:val="auto"/>
                <w:szCs w:val="21"/>
                <w:highlight w:val="none"/>
              </w:rPr>
            </w:pPr>
            <w:r>
              <w:rPr>
                <w:rFonts w:hint="eastAsia" w:hAnsi="宋体"/>
                <w:color w:val="auto"/>
                <w:szCs w:val="21"/>
                <w:highlight w:val="none"/>
              </w:rPr>
              <w:t>偏差率=100%×（投标人评标价-评标基准价）/评标基准价</w:t>
            </w:r>
          </w:p>
          <w:p>
            <w:pPr>
              <w:ind w:left="147" w:leftChars="67" w:firstLine="312"/>
              <w:rPr>
                <w:rFonts w:hAnsi="宋体"/>
                <w:color w:val="auto"/>
                <w:szCs w:val="21"/>
                <w:highlight w:val="none"/>
                <w:u w:val="single"/>
              </w:rPr>
            </w:pPr>
            <w:r>
              <w:rPr>
                <w:rFonts w:hint="eastAsia" w:hAnsi="宋体"/>
                <w:color w:val="auto"/>
                <w:szCs w:val="21"/>
                <w:highlight w:val="none"/>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061" w:type="dxa"/>
            <w:gridSpan w:val="6"/>
            <w:noWrap w:val="0"/>
            <w:vAlign w:val="center"/>
          </w:tcPr>
          <w:p>
            <w:pPr>
              <w:ind w:left="147" w:leftChars="67" w:firstLine="312"/>
              <w:jc w:val="center"/>
              <w:rPr>
                <w:rFonts w:hAnsi="宋体"/>
                <w:color w:val="auto"/>
                <w:szCs w:val="21"/>
                <w:highlight w:val="none"/>
              </w:rPr>
            </w:pPr>
            <w:r>
              <w:rPr>
                <w:rFonts w:hint="eastAsia" w:hAnsi="宋体"/>
                <w:color w:val="auto"/>
                <w:szCs w:val="21"/>
                <w:highlight w:val="none"/>
              </w:rPr>
              <w:t>评分因素与权重分值</w:t>
            </w:r>
          </w:p>
        </w:tc>
        <w:tc>
          <w:tcPr>
            <w:tcW w:w="35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ind w:left="0" w:leftChars="0" w:firstLine="0"/>
              <w:jc w:val="center"/>
              <w:textAlignment w:val="baseline"/>
              <w:rPr>
                <w:rFonts w:hAnsi="宋体"/>
                <w:color w:val="auto"/>
                <w:szCs w:val="21"/>
                <w:highlight w:val="none"/>
              </w:rPr>
            </w:pPr>
            <w:r>
              <w:rPr>
                <w:rFonts w:hint="eastAsia" w:hAnsi="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7" w:type="dxa"/>
            <w:noWrap w:val="0"/>
            <w:vAlign w:val="center"/>
          </w:tcPr>
          <w:p>
            <w:pPr>
              <w:pStyle w:val="17"/>
              <w:spacing w:line="240" w:lineRule="auto"/>
              <w:rPr>
                <w:color w:val="auto"/>
                <w:sz w:val="21"/>
                <w:szCs w:val="21"/>
                <w:highlight w:val="none"/>
              </w:rPr>
            </w:pPr>
            <w:r>
              <w:rPr>
                <w:rFonts w:hint="eastAsia"/>
                <w:color w:val="auto"/>
                <w:sz w:val="21"/>
                <w:szCs w:val="21"/>
                <w:highlight w:val="none"/>
              </w:rPr>
              <w:t>条款号</w:t>
            </w:r>
          </w:p>
        </w:tc>
        <w:tc>
          <w:tcPr>
            <w:tcW w:w="1506" w:type="dxa"/>
            <w:gridSpan w:val="2"/>
            <w:noWrap w:val="0"/>
            <w:vAlign w:val="center"/>
          </w:tcPr>
          <w:p>
            <w:pPr>
              <w:pStyle w:val="17"/>
              <w:spacing w:line="240" w:lineRule="auto"/>
              <w:rPr>
                <w:color w:val="auto"/>
                <w:sz w:val="21"/>
                <w:szCs w:val="21"/>
                <w:highlight w:val="none"/>
              </w:rPr>
            </w:pPr>
            <w:r>
              <w:rPr>
                <w:rFonts w:hint="eastAsia"/>
                <w:color w:val="auto"/>
                <w:sz w:val="21"/>
                <w:szCs w:val="21"/>
                <w:highlight w:val="none"/>
              </w:rPr>
              <w:t>评分因素</w:t>
            </w:r>
          </w:p>
        </w:tc>
        <w:tc>
          <w:tcPr>
            <w:tcW w:w="763" w:type="dxa"/>
            <w:noWrap w:val="0"/>
            <w:vAlign w:val="center"/>
          </w:tcPr>
          <w:p>
            <w:pPr>
              <w:pStyle w:val="17"/>
              <w:spacing w:line="240" w:lineRule="auto"/>
              <w:rPr>
                <w:color w:val="auto"/>
                <w:sz w:val="21"/>
                <w:szCs w:val="21"/>
                <w:highlight w:val="none"/>
              </w:rPr>
            </w:pPr>
            <w:r>
              <w:rPr>
                <w:rFonts w:hint="eastAsia"/>
                <w:color w:val="auto"/>
                <w:sz w:val="21"/>
                <w:szCs w:val="21"/>
                <w:highlight w:val="none"/>
              </w:rPr>
              <w:t>评分因素权重分值</w:t>
            </w:r>
          </w:p>
        </w:tc>
        <w:tc>
          <w:tcPr>
            <w:tcW w:w="1843" w:type="dxa"/>
            <w:noWrap w:val="0"/>
            <w:vAlign w:val="center"/>
          </w:tcPr>
          <w:p>
            <w:pPr>
              <w:pStyle w:val="17"/>
              <w:spacing w:line="240" w:lineRule="auto"/>
              <w:rPr>
                <w:color w:val="auto"/>
                <w:sz w:val="21"/>
                <w:szCs w:val="21"/>
                <w:highlight w:val="none"/>
              </w:rPr>
            </w:pPr>
            <w:r>
              <w:rPr>
                <w:rFonts w:hint="eastAsia"/>
                <w:color w:val="auto"/>
                <w:sz w:val="21"/>
                <w:szCs w:val="21"/>
                <w:highlight w:val="none"/>
              </w:rPr>
              <w:t>各评分因素细分项</w:t>
            </w:r>
          </w:p>
        </w:tc>
        <w:tc>
          <w:tcPr>
            <w:tcW w:w="992" w:type="dxa"/>
            <w:noWrap w:val="0"/>
            <w:vAlign w:val="center"/>
          </w:tcPr>
          <w:p>
            <w:pPr>
              <w:pStyle w:val="17"/>
              <w:spacing w:line="240" w:lineRule="auto"/>
              <w:rPr>
                <w:color w:val="auto"/>
                <w:sz w:val="21"/>
                <w:szCs w:val="21"/>
                <w:highlight w:val="none"/>
              </w:rPr>
            </w:pPr>
            <w:r>
              <w:rPr>
                <w:rFonts w:hint="eastAsia"/>
                <w:color w:val="auto"/>
                <w:sz w:val="21"/>
                <w:szCs w:val="21"/>
                <w:highlight w:val="none"/>
              </w:rPr>
              <w:t>分值</w:t>
            </w:r>
          </w:p>
        </w:tc>
        <w:tc>
          <w:tcPr>
            <w:tcW w:w="3509" w:type="dxa"/>
            <w:vMerge w:val="continue"/>
            <w:noWrap w:val="0"/>
            <w:vAlign w:val="center"/>
          </w:tcPr>
          <w:p>
            <w:pPr>
              <w:spacing w:line="240" w:lineRule="auto"/>
              <w:ind w:left="147" w:leftChars="67" w:firstLine="312"/>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57" w:type="dxa"/>
            <w:vMerge w:val="restart"/>
            <w:noWrap w:val="0"/>
            <w:vAlign w:val="center"/>
          </w:tcPr>
          <w:p>
            <w:pPr>
              <w:pStyle w:val="17"/>
              <w:spacing w:line="240" w:lineRule="auto"/>
              <w:rPr>
                <w:color w:val="auto"/>
                <w:sz w:val="21"/>
                <w:szCs w:val="21"/>
                <w:highlight w:val="none"/>
              </w:rPr>
            </w:pPr>
            <w:r>
              <w:rPr>
                <w:rFonts w:hint="eastAsia"/>
                <w:color w:val="auto"/>
                <w:sz w:val="21"/>
                <w:szCs w:val="21"/>
                <w:highlight w:val="none"/>
              </w:rPr>
              <w:t>2.2.4（1）</w:t>
            </w:r>
          </w:p>
        </w:tc>
        <w:tc>
          <w:tcPr>
            <w:tcW w:w="1506" w:type="dxa"/>
            <w:gridSpan w:val="2"/>
            <w:vMerge w:val="restart"/>
            <w:noWrap w:val="0"/>
            <w:vAlign w:val="center"/>
          </w:tcPr>
          <w:p>
            <w:pPr>
              <w:pStyle w:val="17"/>
              <w:spacing w:line="240" w:lineRule="auto"/>
              <w:rPr>
                <w:color w:val="auto"/>
                <w:sz w:val="21"/>
                <w:szCs w:val="21"/>
                <w:highlight w:val="none"/>
              </w:rPr>
            </w:pPr>
            <w:r>
              <w:rPr>
                <w:rFonts w:hint="eastAsia"/>
                <w:color w:val="auto"/>
                <w:sz w:val="21"/>
                <w:szCs w:val="21"/>
                <w:highlight w:val="none"/>
              </w:rPr>
              <w:t>技术建议书</w:t>
            </w:r>
          </w:p>
        </w:tc>
        <w:tc>
          <w:tcPr>
            <w:tcW w:w="763" w:type="dxa"/>
            <w:vMerge w:val="restart"/>
            <w:noWrap w:val="0"/>
            <w:vAlign w:val="center"/>
          </w:tcPr>
          <w:p>
            <w:pPr>
              <w:spacing w:line="240" w:lineRule="auto"/>
              <w:ind w:left="0" w:leftChars="0" w:firstLine="0" w:firstLineChars="0"/>
              <w:rPr>
                <w:rFonts w:hAnsi="宋体"/>
                <w:color w:val="auto"/>
                <w:sz w:val="21"/>
                <w:szCs w:val="21"/>
                <w:highlight w:val="none"/>
              </w:rPr>
            </w:pPr>
            <w:r>
              <w:rPr>
                <w:rFonts w:hint="eastAsia" w:cs="Times New Roman"/>
                <w:b/>
                <w:color w:val="auto"/>
                <w:spacing w:val="20"/>
                <w:kern w:val="28"/>
                <w:sz w:val="21"/>
                <w:szCs w:val="21"/>
                <w:highlight w:val="none"/>
                <w:lang w:val="en-US" w:eastAsia="zh-CN" w:bidi="ar-SA"/>
              </w:rPr>
              <w:t>50</w:t>
            </w:r>
            <w:r>
              <w:rPr>
                <w:rFonts w:hint="eastAsia" w:ascii="Times New Roman" w:hAnsi="Times New Roman" w:eastAsia="宋体" w:cs="Times New Roman"/>
                <w:b/>
                <w:color w:val="auto"/>
                <w:spacing w:val="20"/>
                <w:kern w:val="28"/>
                <w:sz w:val="21"/>
                <w:szCs w:val="21"/>
                <w:highlight w:val="none"/>
                <w:lang w:val="en-US" w:eastAsia="zh-CN" w:bidi="ar-SA"/>
              </w:rPr>
              <w:t>分</w:t>
            </w:r>
          </w:p>
        </w:tc>
        <w:tc>
          <w:tcPr>
            <w:tcW w:w="1843" w:type="dxa"/>
            <w:noWrap w:val="0"/>
            <w:vAlign w:val="center"/>
          </w:tcPr>
          <w:p>
            <w:pPr>
              <w:snapToGrid w:val="0"/>
              <w:spacing w:line="240" w:lineRule="auto"/>
              <w:ind w:firstLine="0"/>
              <w:rPr>
                <w:color w:val="auto"/>
                <w:spacing w:val="20"/>
                <w:kern w:val="28"/>
                <w:sz w:val="21"/>
                <w:szCs w:val="21"/>
                <w:highlight w:val="none"/>
              </w:rPr>
            </w:pPr>
            <w:r>
              <w:rPr>
                <w:rFonts w:hint="eastAsia"/>
                <w:color w:val="auto"/>
                <w:spacing w:val="20"/>
                <w:kern w:val="28"/>
                <w:sz w:val="21"/>
                <w:szCs w:val="21"/>
                <w:highlight w:val="none"/>
              </w:rPr>
              <w:t>项目组织机构及人员构成</w:t>
            </w:r>
          </w:p>
        </w:tc>
        <w:tc>
          <w:tcPr>
            <w:tcW w:w="992" w:type="dxa"/>
            <w:noWrap w:val="0"/>
            <w:vAlign w:val="center"/>
          </w:tcPr>
          <w:p>
            <w:pPr>
              <w:snapToGrid w:val="0"/>
              <w:spacing w:line="240" w:lineRule="auto"/>
              <w:ind w:firstLine="0"/>
              <w:jc w:val="center"/>
              <w:rPr>
                <w:color w:val="auto"/>
                <w:spacing w:val="20"/>
                <w:kern w:val="28"/>
                <w:sz w:val="21"/>
                <w:szCs w:val="21"/>
                <w:highlight w:val="none"/>
              </w:rPr>
            </w:pPr>
            <w:r>
              <w:rPr>
                <w:rFonts w:hint="eastAsia"/>
                <w:color w:val="auto"/>
                <w:spacing w:val="20"/>
                <w:kern w:val="28"/>
                <w:sz w:val="21"/>
                <w:szCs w:val="21"/>
                <w:highlight w:val="none"/>
                <w:lang w:val="en-US" w:eastAsia="zh-CN"/>
              </w:rPr>
              <w:t>5</w:t>
            </w:r>
            <w:r>
              <w:rPr>
                <w:rFonts w:hint="eastAsia"/>
                <w:color w:val="auto"/>
                <w:spacing w:val="20"/>
                <w:kern w:val="28"/>
                <w:sz w:val="21"/>
                <w:szCs w:val="21"/>
                <w:highlight w:val="none"/>
              </w:rPr>
              <w:t>分</w:t>
            </w:r>
          </w:p>
        </w:tc>
        <w:tc>
          <w:tcPr>
            <w:tcW w:w="3509" w:type="dxa"/>
            <w:noWrap w:val="0"/>
            <w:vAlign w:val="center"/>
          </w:tcPr>
          <w:p>
            <w:pPr>
              <w:snapToGrid w:val="0"/>
              <w:spacing w:line="240" w:lineRule="auto"/>
              <w:ind w:firstLine="0"/>
              <w:rPr>
                <w:color w:val="auto"/>
                <w:spacing w:val="20"/>
                <w:kern w:val="28"/>
                <w:sz w:val="21"/>
                <w:szCs w:val="21"/>
                <w:highlight w:val="none"/>
              </w:rPr>
            </w:pPr>
            <w:r>
              <w:rPr>
                <w:rFonts w:hint="eastAsia"/>
                <w:color w:val="auto"/>
                <w:spacing w:val="20"/>
                <w:kern w:val="28"/>
                <w:sz w:val="21"/>
                <w:szCs w:val="21"/>
                <w:highlight w:val="none"/>
              </w:rPr>
              <w:t>基本合理得基本分3分；较好得3-4分；优秀得4-5分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57" w:type="dxa"/>
            <w:vMerge w:val="continue"/>
            <w:noWrap w:val="0"/>
            <w:vAlign w:val="center"/>
          </w:tcPr>
          <w:p>
            <w:pPr>
              <w:pStyle w:val="17"/>
              <w:spacing w:line="240" w:lineRule="auto"/>
              <w:rPr>
                <w:rFonts w:hint="eastAsia"/>
                <w:color w:val="auto"/>
                <w:sz w:val="21"/>
                <w:szCs w:val="21"/>
                <w:highlight w:val="none"/>
              </w:rPr>
            </w:pPr>
          </w:p>
        </w:tc>
        <w:tc>
          <w:tcPr>
            <w:tcW w:w="1506" w:type="dxa"/>
            <w:gridSpan w:val="2"/>
            <w:vMerge w:val="continue"/>
            <w:noWrap w:val="0"/>
            <w:vAlign w:val="center"/>
          </w:tcPr>
          <w:p>
            <w:pPr>
              <w:pStyle w:val="17"/>
              <w:spacing w:line="240" w:lineRule="auto"/>
              <w:rPr>
                <w:rFonts w:hint="eastAsia"/>
                <w:color w:val="auto"/>
                <w:sz w:val="21"/>
                <w:szCs w:val="21"/>
                <w:highlight w:val="none"/>
              </w:rPr>
            </w:pPr>
          </w:p>
        </w:tc>
        <w:tc>
          <w:tcPr>
            <w:tcW w:w="763" w:type="dxa"/>
            <w:vMerge w:val="continue"/>
            <w:noWrap w:val="0"/>
            <w:vAlign w:val="center"/>
          </w:tcPr>
          <w:p>
            <w:pPr>
              <w:spacing w:line="240" w:lineRule="auto"/>
              <w:ind w:left="0" w:leftChars="0" w:firstLine="0" w:firstLineChars="0"/>
              <w:rPr>
                <w:rFonts w:hint="eastAsia" w:ascii="Times New Roman" w:hAnsi="Times New Roman" w:eastAsia="宋体" w:cs="Times New Roman"/>
                <w:b/>
                <w:color w:val="auto"/>
                <w:spacing w:val="20"/>
                <w:kern w:val="28"/>
                <w:sz w:val="21"/>
                <w:szCs w:val="21"/>
                <w:highlight w:val="none"/>
                <w:lang w:val="en-US" w:eastAsia="zh-CN" w:bidi="ar-SA"/>
              </w:rPr>
            </w:pPr>
          </w:p>
        </w:tc>
        <w:tc>
          <w:tcPr>
            <w:tcW w:w="1843" w:type="dxa"/>
            <w:noWrap w:val="0"/>
            <w:vAlign w:val="center"/>
          </w:tcPr>
          <w:p>
            <w:pPr>
              <w:snapToGrid w:val="0"/>
              <w:spacing w:line="240" w:lineRule="auto"/>
              <w:ind w:firstLine="0"/>
              <w:rPr>
                <w:rFonts w:hint="eastAsia"/>
                <w:color w:val="auto"/>
                <w:spacing w:val="20"/>
                <w:kern w:val="28"/>
                <w:sz w:val="21"/>
                <w:szCs w:val="21"/>
                <w:highlight w:val="none"/>
              </w:rPr>
            </w:pPr>
            <w:r>
              <w:rPr>
                <w:rFonts w:hint="eastAsia"/>
                <w:color w:val="auto"/>
                <w:spacing w:val="20"/>
                <w:kern w:val="28"/>
                <w:sz w:val="21"/>
                <w:szCs w:val="21"/>
                <w:highlight w:val="none"/>
              </w:rPr>
              <w:t>试验检测工作计划</w:t>
            </w:r>
          </w:p>
        </w:tc>
        <w:tc>
          <w:tcPr>
            <w:tcW w:w="992" w:type="dxa"/>
            <w:noWrap w:val="0"/>
            <w:vAlign w:val="center"/>
          </w:tcPr>
          <w:p>
            <w:pPr>
              <w:snapToGrid w:val="0"/>
              <w:spacing w:line="240" w:lineRule="auto"/>
              <w:ind w:firstLine="0"/>
              <w:jc w:val="center"/>
              <w:rPr>
                <w:rFonts w:hint="default" w:eastAsia="宋体"/>
                <w:color w:val="auto"/>
                <w:spacing w:val="20"/>
                <w:kern w:val="28"/>
                <w:sz w:val="21"/>
                <w:szCs w:val="21"/>
                <w:highlight w:val="none"/>
                <w:lang w:val="en-US" w:eastAsia="zh-CN"/>
              </w:rPr>
            </w:pPr>
            <w:r>
              <w:rPr>
                <w:rFonts w:hint="eastAsia"/>
                <w:color w:val="auto"/>
                <w:spacing w:val="20"/>
                <w:kern w:val="28"/>
                <w:sz w:val="21"/>
                <w:szCs w:val="21"/>
                <w:highlight w:val="none"/>
                <w:lang w:val="en-US" w:eastAsia="zh-CN"/>
              </w:rPr>
              <w:t>15分</w:t>
            </w:r>
          </w:p>
        </w:tc>
        <w:tc>
          <w:tcPr>
            <w:tcW w:w="3509" w:type="dxa"/>
            <w:noWrap w:val="0"/>
            <w:vAlign w:val="center"/>
          </w:tcPr>
          <w:p>
            <w:pPr>
              <w:snapToGrid w:val="0"/>
              <w:spacing w:line="240" w:lineRule="auto"/>
              <w:ind w:firstLine="0"/>
              <w:rPr>
                <w:rFonts w:hint="eastAsia"/>
                <w:color w:val="auto"/>
                <w:spacing w:val="20"/>
                <w:kern w:val="28"/>
                <w:sz w:val="21"/>
                <w:szCs w:val="21"/>
                <w:highlight w:val="none"/>
              </w:rPr>
            </w:pPr>
            <w:r>
              <w:rPr>
                <w:rFonts w:hint="eastAsia"/>
                <w:color w:val="auto"/>
                <w:spacing w:val="20"/>
                <w:kern w:val="28"/>
                <w:sz w:val="21"/>
                <w:szCs w:val="21"/>
                <w:highlight w:val="none"/>
              </w:rPr>
              <w:t>基本合理得基本分9分；较好得9-1</w:t>
            </w:r>
            <w:r>
              <w:rPr>
                <w:rFonts w:hint="eastAsia"/>
                <w:color w:val="auto"/>
                <w:spacing w:val="20"/>
                <w:kern w:val="28"/>
                <w:sz w:val="21"/>
                <w:szCs w:val="21"/>
                <w:highlight w:val="none"/>
                <w:lang w:val="en-US" w:eastAsia="zh-CN"/>
              </w:rPr>
              <w:t>2</w:t>
            </w:r>
            <w:r>
              <w:rPr>
                <w:rFonts w:hint="eastAsia"/>
                <w:color w:val="auto"/>
                <w:spacing w:val="20"/>
                <w:kern w:val="28"/>
                <w:sz w:val="21"/>
                <w:szCs w:val="21"/>
                <w:highlight w:val="none"/>
              </w:rPr>
              <w:t>分；优秀得1</w:t>
            </w:r>
            <w:r>
              <w:rPr>
                <w:rFonts w:hint="eastAsia"/>
                <w:color w:val="auto"/>
                <w:spacing w:val="20"/>
                <w:kern w:val="28"/>
                <w:sz w:val="21"/>
                <w:szCs w:val="21"/>
                <w:highlight w:val="none"/>
                <w:lang w:val="en-US" w:eastAsia="zh-CN"/>
              </w:rPr>
              <w:t>2</w:t>
            </w:r>
            <w:r>
              <w:rPr>
                <w:rFonts w:hint="eastAsia"/>
                <w:color w:val="auto"/>
                <w:spacing w:val="20"/>
                <w:kern w:val="28"/>
                <w:sz w:val="21"/>
                <w:szCs w:val="21"/>
                <w:highlight w:val="none"/>
              </w:rPr>
              <w:t>-1</w:t>
            </w:r>
            <w:r>
              <w:rPr>
                <w:rFonts w:hint="eastAsia"/>
                <w:color w:val="auto"/>
                <w:spacing w:val="20"/>
                <w:kern w:val="28"/>
                <w:sz w:val="21"/>
                <w:szCs w:val="21"/>
                <w:highlight w:val="none"/>
                <w:lang w:val="en-US" w:eastAsia="zh-CN"/>
              </w:rPr>
              <w:t>5</w:t>
            </w:r>
            <w:r>
              <w:rPr>
                <w:rFonts w:hint="eastAsia"/>
                <w:color w:val="auto"/>
                <w:spacing w:val="20"/>
                <w:kern w:val="28"/>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7" w:type="dxa"/>
            <w:vMerge w:val="continue"/>
            <w:noWrap w:val="0"/>
            <w:vAlign w:val="center"/>
          </w:tcPr>
          <w:p>
            <w:pPr>
              <w:pStyle w:val="17"/>
              <w:spacing w:line="240" w:lineRule="auto"/>
              <w:rPr>
                <w:rFonts w:hint="eastAsia"/>
                <w:color w:val="auto"/>
                <w:sz w:val="21"/>
                <w:szCs w:val="21"/>
                <w:highlight w:val="none"/>
              </w:rPr>
            </w:pPr>
          </w:p>
        </w:tc>
        <w:tc>
          <w:tcPr>
            <w:tcW w:w="1506" w:type="dxa"/>
            <w:gridSpan w:val="2"/>
            <w:vMerge w:val="continue"/>
            <w:noWrap w:val="0"/>
            <w:vAlign w:val="center"/>
          </w:tcPr>
          <w:p>
            <w:pPr>
              <w:pStyle w:val="17"/>
              <w:spacing w:line="240" w:lineRule="auto"/>
              <w:rPr>
                <w:rFonts w:hint="eastAsia"/>
                <w:color w:val="auto"/>
                <w:sz w:val="21"/>
                <w:szCs w:val="21"/>
                <w:highlight w:val="none"/>
              </w:rPr>
            </w:pPr>
          </w:p>
        </w:tc>
        <w:tc>
          <w:tcPr>
            <w:tcW w:w="763" w:type="dxa"/>
            <w:vMerge w:val="continue"/>
            <w:noWrap w:val="0"/>
            <w:vAlign w:val="center"/>
          </w:tcPr>
          <w:p>
            <w:pPr>
              <w:spacing w:line="240" w:lineRule="auto"/>
              <w:ind w:left="0" w:leftChars="0" w:firstLine="0" w:firstLineChars="0"/>
              <w:rPr>
                <w:rFonts w:hint="eastAsia" w:ascii="Times New Roman" w:hAnsi="Times New Roman" w:eastAsia="宋体" w:cs="Times New Roman"/>
                <w:b/>
                <w:color w:val="auto"/>
                <w:spacing w:val="20"/>
                <w:kern w:val="28"/>
                <w:sz w:val="21"/>
                <w:szCs w:val="21"/>
                <w:highlight w:val="none"/>
                <w:lang w:val="en-US" w:eastAsia="zh-CN" w:bidi="ar-SA"/>
              </w:rPr>
            </w:pPr>
          </w:p>
        </w:tc>
        <w:tc>
          <w:tcPr>
            <w:tcW w:w="1843" w:type="dxa"/>
            <w:noWrap w:val="0"/>
            <w:vAlign w:val="center"/>
          </w:tcPr>
          <w:p>
            <w:pPr>
              <w:snapToGrid w:val="0"/>
              <w:spacing w:line="240" w:lineRule="auto"/>
              <w:ind w:firstLine="0"/>
              <w:rPr>
                <w:rFonts w:hint="eastAsia"/>
                <w:color w:val="auto"/>
                <w:spacing w:val="20"/>
                <w:kern w:val="28"/>
                <w:sz w:val="21"/>
                <w:szCs w:val="21"/>
                <w:highlight w:val="none"/>
              </w:rPr>
            </w:pPr>
            <w:r>
              <w:rPr>
                <w:rFonts w:hint="eastAsia"/>
                <w:color w:val="auto"/>
                <w:spacing w:val="20"/>
                <w:kern w:val="28"/>
                <w:sz w:val="21"/>
                <w:szCs w:val="21"/>
                <w:highlight w:val="none"/>
              </w:rPr>
              <w:t>试验检测的方法、内容</w:t>
            </w:r>
          </w:p>
        </w:tc>
        <w:tc>
          <w:tcPr>
            <w:tcW w:w="992" w:type="dxa"/>
            <w:noWrap w:val="0"/>
            <w:vAlign w:val="center"/>
          </w:tcPr>
          <w:p>
            <w:pPr>
              <w:snapToGrid w:val="0"/>
              <w:spacing w:line="240" w:lineRule="auto"/>
              <w:ind w:firstLine="0"/>
              <w:jc w:val="center"/>
              <w:rPr>
                <w:rFonts w:hint="eastAsia"/>
                <w:color w:val="auto"/>
                <w:spacing w:val="20"/>
                <w:kern w:val="28"/>
                <w:sz w:val="21"/>
                <w:szCs w:val="21"/>
                <w:highlight w:val="none"/>
              </w:rPr>
            </w:pPr>
            <w:r>
              <w:rPr>
                <w:rFonts w:hint="eastAsia"/>
                <w:color w:val="auto"/>
                <w:spacing w:val="20"/>
                <w:kern w:val="28"/>
                <w:sz w:val="21"/>
                <w:szCs w:val="21"/>
                <w:highlight w:val="none"/>
              </w:rPr>
              <w:t>10</w:t>
            </w:r>
            <w:r>
              <w:rPr>
                <w:rFonts w:hint="eastAsia"/>
                <w:color w:val="auto"/>
                <w:spacing w:val="20"/>
                <w:kern w:val="28"/>
                <w:sz w:val="21"/>
                <w:szCs w:val="21"/>
                <w:highlight w:val="none"/>
                <w:lang w:val="en-US" w:eastAsia="zh-CN"/>
              </w:rPr>
              <w:t>分</w:t>
            </w:r>
          </w:p>
        </w:tc>
        <w:tc>
          <w:tcPr>
            <w:tcW w:w="3509" w:type="dxa"/>
            <w:noWrap w:val="0"/>
            <w:vAlign w:val="center"/>
          </w:tcPr>
          <w:p>
            <w:pPr>
              <w:snapToGrid w:val="0"/>
              <w:spacing w:line="240" w:lineRule="auto"/>
              <w:ind w:firstLine="0"/>
              <w:rPr>
                <w:rFonts w:hint="eastAsia"/>
                <w:color w:val="auto"/>
                <w:spacing w:val="20"/>
                <w:kern w:val="28"/>
                <w:sz w:val="21"/>
                <w:szCs w:val="21"/>
                <w:highlight w:val="none"/>
              </w:rPr>
            </w:pPr>
            <w:r>
              <w:rPr>
                <w:rFonts w:hint="eastAsia"/>
                <w:color w:val="auto"/>
                <w:spacing w:val="20"/>
                <w:kern w:val="28"/>
                <w:sz w:val="21"/>
                <w:szCs w:val="21"/>
                <w:highlight w:val="none"/>
              </w:rPr>
              <w:t>基本合理得基本分6分；较好得6-8分；优秀得8-10分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57" w:type="dxa"/>
            <w:vMerge w:val="continue"/>
            <w:noWrap w:val="0"/>
            <w:vAlign w:val="center"/>
          </w:tcPr>
          <w:p>
            <w:pPr>
              <w:spacing w:line="240" w:lineRule="auto"/>
              <w:ind w:left="147" w:leftChars="67" w:firstLine="312"/>
              <w:jc w:val="center"/>
              <w:rPr>
                <w:rFonts w:hAnsi="宋体"/>
                <w:color w:val="auto"/>
                <w:sz w:val="21"/>
                <w:szCs w:val="21"/>
                <w:highlight w:val="none"/>
              </w:rPr>
            </w:pPr>
          </w:p>
        </w:tc>
        <w:tc>
          <w:tcPr>
            <w:tcW w:w="1506" w:type="dxa"/>
            <w:gridSpan w:val="2"/>
            <w:vMerge w:val="continue"/>
            <w:noWrap w:val="0"/>
            <w:vAlign w:val="center"/>
          </w:tcPr>
          <w:p>
            <w:pPr>
              <w:spacing w:line="240" w:lineRule="auto"/>
              <w:ind w:left="147" w:leftChars="67" w:firstLine="312"/>
              <w:jc w:val="center"/>
              <w:rPr>
                <w:rFonts w:hAnsi="宋体"/>
                <w:color w:val="auto"/>
                <w:sz w:val="21"/>
                <w:szCs w:val="21"/>
                <w:highlight w:val="none"/>
              </w:rPr>
            </w:pPr>
          </w:p>
        </w:tc>
        <w:tc>
          <w:tcPr>
            <w:tcW w:w="763" w:type="dxa"/>
            <w:vMerge w:val="continue"/>
            <w:noWrap w:val="0"/>
            <w:vAlign w:val="center"/>
          </w:tcPr>
          <w:p>
            <w:pPr>
              <w:spacing w:line="240" w:lineRule="auto"/>
              <w:ind w:left="147" w:leftChars="67" w:firstLine="312"/>
              <w:rPr>
                <w:rFonts w:hAnsi="宋体"/>
                <w:color w:val="auto"/>
                <w:sz w:val="21"/>
                <w:szCs w:val="21"/>
                <w:highlight w:val="none"/>
              </w:rPr>
            </w:pPr>
          </w:p>
        </w:tc>
        <w:tc>
          <w:tcPr>
            <w:tcW w:w="1843" w:type="dxa"/>
            <w:noWrap w:val="0"/>
            <w:vAlign w:val="center"/>
          </w:tcPr>
          <w:p>
            <w:pPr>
              <w:snapToGrid w:val="0"/>
              <w:spacing w:line="240" w:lineRule="auto"/>
              <w:ind w:firstLine="0"/>
              <w:rPr>
                <w:color w:val="auto"/>
                <w:spacing w:val="20"/>
                <w:kern w:val="28"/>
                <w:sz w:val="21"/>
                <w:szCs w:val="21"/>
                <w:highlight w:val="none"/>
              </w:rPr>
            </w:pPr>
            <w:r>
              <w:rPr>
                <w:rFonts w:hint="eastAsia"/>
                <w:color w:val="auto"/>
                <w:spacing w:val="20"/>
                <w:kern w:val="28"/>
                <w:sz w:val="21"/>
                <w:szCs w:val="21"/>
                <w:highlight w:val="none"/>
              </w:rPr>
              <w:t>试验检测的质量保证措施</w:t>
            </w:r>
          </w:p>
        </w:tc>
        <w:tc>
          <w:tcPr>
            <w:tcW w:w="992" w:type="dxa"/>
            <w:noWrap w:val="0"/>
            <w:vAlign w:val="center"/>
          </w:tcPr>
          <w:p>
            <w:pPr>
              <w:snapToGrid w:val="0"/>
              <w:spacing w:line="240" w:lineRule="auto"/>
              <w:ind w:firstLine="0"/>
              <w:jc w:val="center"/>
              <w:rPr>
                <w:color w:val="auto"/>
                <w:spacing w:val="20"/>
                <w:kern w:val="28"/>
                <w:sz w:val="21"/>
                <w:szCs w:val="21"/>
                <w:highlight w:val="none"/>
              </w:rPr>
            </w:pPr>
            <w:r>
              <w:rPr>
                <w:rFonts w:hint="eastAsia"/>
                <w:color w:val="auto"/>
                <w:spacing w:val="20"/>
                <w:kern w:val="28"/>
                <w:sz w:val="21"/>
                <w:szCs w:val="21"/>
                <w:highlight w:val="none"/>
              </w:rPr>
              <w:t>10分</w:t>
            </w:r>
          </w:p>
        </w:tc>
        <w:tc>
          <w:tcPr>
            <w:tcW w:w="3509" w:type="dxa"/>
            <w:noWrap w:val="0"/>
            <w:vAlign w:val="center"/>
          </w:tcPr>
          <w:p>
            <w:pPr>
              <w:snapToGrid w:val="0"/>
              <w:spacing w:line="240" w:lineRule="auto"/>
              <w:ind w:firstLine="0"/>
              <w:rPr>
                <w:color w:val="auto"/>
                <w:spacing w:val="20"/>
                <w:kern w:val="28"/>
                <w:sz w:val="21"/>
                <w:szCs w:val="21"/>
                <w:highlight w:val="none"/>
              </w:rPr>
            </w:pPr>
            <w:r>
              <w:rPr>
                <w:rFonts w:hint="eastAsia"/>
                <w:color w:val="auto"/>
                <w:spacing w:val="20"/>
                <w:kern w:val="28"/>
                <w:sz w:val="21"/>
                <w:szCs w:val="21"/>
                <w:highlight w:val="none"/>
              </w:rPr>
              <w:t>基本合理得基本分6分；较好得</w:t>
            </w:r>
            <w:r>
              <w:rPr>
                <w:rFonts w:hint="eastAsia"/>
                <w:color w:val="auto"/>
                <w:spacing w:val="20"/>
                <w:kern w:val="28"/>
                <w:sz w:val="21"/>
                <w:szCs w:val="21"/>
                <w:highlight w:val="none"/>
                <w:lang w:val="en-US" w:eastAsia="zh-CN"/>
              </w:rPr>
              <w:t>6</w:t>
            </w:r>
            <w:r>
              <w:rPr>
                <w:rFonts w:hint="eastAsia"/>
                <w:color w:val="auto"/>
                <w:spacing w:val="20"/>
                <w:kern w:val="28"/>
                <w:sz w:val="21"/>
                <w:szCs w:val="21"/>
                <w:highlight w:val="none"/>
              </w:rPr>
              <w:t>-</w:t>
            </w:r>
            <w:r>
              <w:rPr>
                <w:rFonts w:hint="eastAsia"/>
                <w:color w:val="auto"/>
                <w:spacing w:val="20"/>
                <w:kern w:val="28"/>
                <w:sz w:val="21"/>
                <w:szCs w:val="21"/>
                <w:highlight w:val="none"/>
                <w:lang w:val="en-US" w:eastAsia="zh-CN"/>
              </w:rPr>
              <w:t>8</w:t>
            </w:r>
            <w:r>
              <w:rPr>
                <w:rFonts w:hint="eastAsia"/>
                <w:color w:val="auto"/>
                <w:spacing w:val="20"/>
                <w:kern w:val="28"/>
                <w:sz w:val="21"/>
                <w:szCs w:val="21"/>
                <w:highlight w:val="none"/>
              </w:rPr>
              <w:t>分；优秀得</w:t>
            </w:r>
            <w:r>
              <w:rPr>
                <w:rFonts w:hint="eastAsia"/>
                <w:color w:val="auto"/>
                <w:spacing w:val="20"/>
                <w:kern w:val="28"/>
                <w:sz w:val="21"/>
                <w:szCs w:val="21"/>
                <w:highlight w:val="none"/>
                <w:lang w:val="en-US" w:eastAsia="zh-CN"/>
              </w:rPr>
              <w:t>8</w:t>
            </w:r>
            <w:r>
              <w:rPr>
                <w:rFonts w:hint="eastAsia"/>
                <w:color w:val="auto"/>
                <w:spacing w:val="20"/>
                <w:kern w:val="28"/>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57" w:type="dxa"/>
            <w:vMerge w:val="continue"/>
            <w:noWrap w:val="0"/>
            <w:vAlign w:val="center"/>
          </w:tcPr>
          <w:p>
            <w:pPr>
              <w:spacing w:line="240" w:lineRule="auto"/>
              <w:ind w:left="147" w:leftChars="67" w:firstLine="312"/>
              <w:jc w:val="center"/>
              <w:rPr>
                <w:rFonts w:hAnsi="宋体"/>
                <w:color w:val="auto"/>
                <w:sz w:val="21"/>
                <w:szCs w:val="21"/>
                <w:highlight w:val="none"/>
              </w:rPr>
            </w:pPr>
          </w:p>
        </w:tc>
        <w:tc>
          <w:tcPr>
            <w:tcW w:w="1506" w:type="dxa"/>
            <w:gridSpan w:val="2"/>
            <w:vMerge w:val="continue"/>
            <w:noWrap w:val="0"/>
            <w:vAlign w:val="center"/>
          </w:tcPr>
          <w:p>
            <w:pPr>
              <w:spacing w:line="240" w:lineRule="auto"/>
              <w:ind w:left="147" w:leftChars="67" w:firstLine="312"/>
              <w:jc w:val="center"/>
              <w:rPr>
                <w:rFonts w:hAnsi="宋体"/>
                <w:color w:val="auto"/>
                <w:sz w:val="21"/>
                <w:szCs w:val="21"/>
                <w:highlight w:val="none"/>
              </w:rPr>
            </w:pPr>
          </w:p>
        </w:tc>
        <w:tc>
          <w:tcPr>
            <w:tcW w:w="763" w:type="dxa"/>
            <w:vMerge w:val="continue"/>
            <w:noWrap w:val="0"/>
            <w:vAlign w:val="center"/>
          </w:tcPr>
          <w:p>
            <w:pPr>
              <w:spacing w:line="240" w:lineRule="auto"/>
              <w:ind w:left="147" w:leftChars="67" w:firstLine="312"/>
              <w:rPr>
                <w:rFonts w:hAnsi="宋体"/>
                <w:color w:val="auto"/>
                <w:sz w:val="21"/>
                <w:szCs w:val="21"/>
                <w:highlight w:val="none"/>
              </w:rPr>
            </w:pPr>
          </w:p>
        </w:tc>
        <w:tc>
          <w:tcPr>
            <w:tcW w:w="1843" w:type="dxa"/>
            <w:noWrap w:val="0"/>
            <w:vAlign w:val="center"/>
          </w:tcPr>
          <w:p>
            <w:pPr>
              <w:snapToGrid w:val="0"/>
              <w:spacing w:line="240" w:lineRule="auto"/>
              <w:ind w:firstLine="0"/>
              <w:rPr>
                <w:color w:val="auto"/>
                <w:spacing w:val="20"/>
                <w:kern w:val="28"/>
                <w:sz w:val="21"/>
                <w:szCs w:val="21"/>
                <w:highlight w:val="none"/>
              </w:rPr>
            </w:pPr>
            <w:r>
              <w:rPr>
                <w:rFonts w:hint="eastAsia"/>
                <w:color w:val="auto"/>
                <w:spacing w:val="20"/>
                <w:kern w:val="28"/>
                <w:sz w:val="21"/>
                <w:szCs w:val="21"/>
                <w:highlight w:val="none"/>
              </w:rPr>
              <w:t>对本项目试验检测工作的建议</w:t>
            </w:r>
          </w:p>
        </w:tc>
        <w:tc>
          <w:tcPr>
            <w:tcW w:w="992" w:type="dxa"/>
            <w:noWrap w:val="0"/>
            <w:vAlign w:val="center"/>
          </w:tcPr>
          <w:p>
            <w:pPr>
              <w:snapToGrid w:val="0"/>
              <w:spacing w:line="240" w:lineRule="auto"/>
              <w:ind w:firstLine="0"/>
              <w:jc w:val="center"/>
              <w:rPr>
                <w:color w:val="auto"/>
                <w:spacing w:val="20"/>
                <w:kern w:val="28"/>
                <w:sz w:val="21"/>
                <w:szCs w:val="21"/>
                <w:highlight w:val="none"/>
              </w:rPr>
            </w:pPr>
            <w:r>
              <w:rPr>
                <w:rFonts w:hint="eastAsia"/>
                <w:color w:val="auto"/>
                <w:spacing w:val="20"/>
                <w:kern w:val="28"/>
                <w:sz w:val="21"/>
                <w:szCs w:val="21"/>
                <w:highlight w:val="none"/>
                <w:lang w:val="en-US" w:eastAsia="zh-CN"/>
              </w:rPr>
              <w:t>10</w:t>
            </w:r>
            <w:r>
              <w:rPr>
                <w:rFonts w:hint="eastAsia"/>
                <w:color w:val="auto"/>
                <w:spacing w:val="20"/>
                <w:kern w:val="28"/>
                <w:sz w:val="21"/>
                <w:szCs w:val="21"/>
                <w:highlight w:val="none"/>
              </w:rPr>
              <w:t>分</w:t>
            </w:r>
          </w:p>
        </w:tc>
        <w:tc>
          <w:tcPr>
            <w:tcW w:w="3509" w:type="dxa"/>
            <w:noWrap w:val="0"/>
            <w:vAlign w:val="center"/>
          </w:tcPr>
          <w:p>
            <w:pPr>
              <w:snapToGrid w:val="0"/>
              <w:spacing w:line="240" w:lineRule="auto"/>
              <w:ind w:firstLine="0"/>
              <w:rPr>
                <w:color w:val="auto"/>
                <w:spacing w:val="20"/>
                <w:kern w:val="28"/>
                <w:sz w:val="21"/>
                <w:szCs w:val="21"/>
                <w:highlight w:val="none"/>
              </w:rPr>
            </w:pPr>
            <w:r>
              <w:rPr>
                <w:rFonts w:hint="eastAsia" w:ascii="Times New Roman" w:hAnsi="Times New Roman" w:eastAsia="宋体" w:cs="Times New Roman"/>
                <w:color w:val="auto"/>
                <w:spacing w:val="20"/>
                <w:kern w:val="28"/>
                <w:sz w:val="21"/>
                <w:szCs w:val="21"/>
                <w:highlight w:val="none"/>
              </w:rPr>
              <w:t>基本合理得基本分</w:t>
            </w:r>
            <w:r>
              <w:rPr>
                <w:rFonts w:hint="eastAsia" w:ascii="Times New Roman" w:hAnsi="Times New Roman" w:eastAsia="宋体" w:cs="Times New Roman"/>
                <w:color w:val="auto"/>
                <w:spacing w:val="20"/>
                <w:kern w:val="28"/>
                <w:sz w:val="21"/>
                <w:szCs w:val="21"/>
                <w:highlight w:val="none"/>
                <w:lang w:val="en-US" w:eastAsia="zh-CN"/>
              </w:rPr>
              <w:t>6</w:t>
            </w:r>
            <w:r>
              <w:rPr>
                <w:rFonts w:hint="eastAsia" w:ascii="Times New Roman" w:hAnsi="Times New Roman" w:eastAsia="宋体" w:cs="Times New Roman"/>
                <w:color w:val="auto"/>
                <w:spacing w:val="20"/>
                <w:kern w:val="28"/>
                <w:sz w:val="21"/>
                <w:szCs w:val="21"/>
                <w:highlight w:val="none"/>
              </w:rPr>
              <w:t>分；较好得</w:t>
            </w:r>
            <w:r>
              <w:rPr>
                <w:rFonts w:hint="eastAsia" w:ascii="Times New Roman" w:hAnsi="Times New Roman" w:eastAsia="宋体" w:cs="Times New Roman"/>
                <w:color w:val="auto"/>
                <w:spacing w:val="20"/>
                <w:kern w:val="28"/>
                <w:sz w:val="21"/>
                <w:szCs w:val="21"/>
                <w:highlight w:val="none"/>
                <w:lang w:val="en-US" w:eastAsia="zh-CN"/>
              </w:rPr>
              <w:t>6</w:t>
            </w:r>
            <w:r>
              <w:rPr>
                <w:rFonts w:hint="eastAsia" w:ascii="Times New Roman" w:hAnsi="Times New Roman" w:eastAsia="宋体" w:cs="Times New Roman"/>
                <w:color w:val="auto"/>
                <w:spacing w:val="20"/>
                <w:kern w:val="28"/>
                <w:sz w:val="21"/>
                <w:szCs w:val="21"/>
                <w:highlight w:val="none"/>
              </w:rPr>
              <w:t>-</w:t>
            </w:r>
            <w:r>
              <w:rPr>
                <w:rFonts w:hint="eastAsia" w:ascii="Times New Roman" w:hAnsi="Times New Roman" w:eastAsia="宋体" w:cs="Times New Roman"/>
                <w:color w:val="auto"/>
                <w:spacing w:val="20"/>
                <w:kern w:val="28"/>
                <w:sz w:val="21"/>
                <w:szCs w:val="21"/>
                <w:highlight w:val="none"/>
                <w:lang w:val="en-US" w:eastAsia="zh-CN"/>
              </w:rPr>
              <w:t>8</w:t>
            </w:r>
            <w:r>
              <w:rPr>
                <w:rFonts w:hint="eastAsia" w:ascii="Times New Roman" w:hAnsi="Times New Roman" w:eastAsia="宋体" w:cs="Times New Roman"/>
                <w:color w:val="auto"/>
                <w:spacing w:val="20"/>
                <w:kern w:val="28"/>
                <w:sz w:val="21"/>
                <w:szCs w:val="21"/>
                <w:highlight w:val="none"/>
              </w:rPr>
              <w:t>分；优秀得</w:t>
            </w:r>
            <w:r>
              <w:rPr>
                <w:rFonts w:hint="eastAsia" w:ascii="Times New Roman" w:hAnsi="Times New Roman" w:eastAsia="宋体" w:cs="Times New Roman"/>
                <w:color w:val="auto"/>
                <w:spacing w:val="20"/>
                <w:kern w:val="28"/>
                <w:sz w:val="21"/>
                <w:szCs w:val="21"/>
                <w:highlight w:val="none"/>
                <w:lang w:val="en-US" w:eastAsia="zh-CN"/>
              </w:rPr>
              <w:t>8</w:t>
            </w:r>
            <w:r>
              <w:rPr>
                <w:rFonts w:hint="eastAsia" w:ascii="Times New Roman" w:hAnsi="Times New Roman" w:eastAsia="宋体" w:cs="Times New Roman"/>
                <w:color w:val="auto"/>
                <w:spacing w:val="20"/>
                <w:kern w:val="28"/>
                <w:sz w:val="21"/>
                <w:szCs w:val="21"/>
                <w:highlight w:val="none"/>
              </w:rPr>
              <w:t>-1</w:t>
            </w:r>
            <w:r>
              <w:rPr>
                <w:rFonts w:hint="eastAsia" w:ascii="Times New Roman" w:hAnsi="Times New Roman" w:eastAsia="宋体" w:cs="Times New Roman"/>
                <w:color w:val="auto"/>
                <w:spacing w:val="20"/>
                <w:kern w:val="28"/>
                <w:sz w:val="21"/>
                <w:szCs w:val="21"/>
                <w:highlight w:val="none"/>
                <w:lang w:val="en-US" w:eastAsia="zh-CN"/>
              </w:rPr>
              <w:t>0</w:t>
            </w:r>
            <w:r>
              <w:rPr>
                <w:rFonts w:hint="eastAsia" w:ascii="Times New Roman" w:hAnsi="Times New Roman" w:eastAsia="宋体" w:cs="Times New Roman"/>
                <w:color w:val="auto"/>
                <w:spacing w:val="20"/>
                <w:kern w:val="28"/>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957" w:type="dxa"/>
            <w:noWrap w:val="0"/>
            <w:vAlign w:val="center"/>
          </w:tcPr>
          <w:p>
            <w:pPr>
              <w:pStyle w:val="17"/>
              <w:spacing w:line="240" w:lineRule="auto"/>
              <w:rPr>
                <w:color w:val="auto"/>
                <w:sz w:val="21"/>
                <w:szCs w:val="21"/>
                <w:highlight w:val="none"/>
              </w:rPr>
            </w:pPr>
            <w:r>
              <w:rPr>
                <w:rFonts w:hint="eastAsia"/>
                <w:color w:val="auto"/>
                <w:sz w:val="21"/>
                <w:szCs w:val="21"/>
                <w:highlight w:val="none"/>
              </w:rPr>
              <w:t>2.2.4（2）</w:t>
            </w:r>
          </w:p>
        </w:tc>
        <w:tc>
          <w:tcPr>
            <w:tcW w:w="1506" w:type="dxa"/>
            <w:gridSpan w:val="2"/>
            <w:noWrap w:val="0"/>
            <w:vAlign w:val="center"/>
          </w:tcPr>
          <w:p>
            <w:pPr>
              <w:pStyle w:val="17"/>
              <w:spacing w:line="240" w:lineRule="auto"/>
              <w:rPr>
                <w:color w:val="auto"/>
                <w:sz w:val="21"/>
                <w:szCs w:val="21"/>
                <w:highlight w:val="none"/>
              </w:rPr>
            </w:pPr>
            <w:r>
              <w:rPr>
                <w:rFonts w:hint="eastAsia"/>
                <w:color w:val="auto"/>
                <w:sz w:val="21"/>
                <w:szCs w:val="21"/>
                <w:highlight w:val="none"/>
              </w:rPr>
              <w:t>主要人员</w:t>
            </w:r>
          </w:p>
        </w:tc>
        <w:tc>
          <w:tcPr>
            <w:tcW w:w="763" w:type="dxa"/>
            <w:noWrap w:val="0"/>
            <w:vAlign w:val="center"/>
          </w:tcPr>
          <w:p>
            <w:pPr>
              <w:pStyle w:val="17"/>
              <w:spacing w:line="240" w:lineRule="auto"/>
              <w:rPr>
                <w:b/>
                <w:color w:val="auto"/>
                <w:sz w:val="21"/>
                <w:szCs w:val="21"/>
                <w:highlight w:val="none"/>
              </w:rPr>
            </w:pPr>
            <w:r>
              <w:rPr>
                <w:rFonts w:hint="eastAsia"/>
                <w:b/>
                <w:color w:val="auto"/>
                <w:sz w:val="21"/>
                <w:szCs w:val="21"/>
                <w:highlight w:val="none"/>
                <w:lang w:val="en-US" w:eastAsia="zh-CN"/>
              </w:rPr>
              <w:t>10</w:t>
            </w:r>
            <w:r>
              <w:rPr>
                <w:rFonts w:hint="eastAsia"/>
                <w:b/>
                <w:color w:val="auto"/>
                <w:sz w:val="21"/>
                <w:szCs w:val="21"/>
                <w:highlight w:val="none"/>
              </w:rPr>
              <w:t>分</w:t>
            </w:r>
          </w:p>
        </w:tc>
        <w:tc>
          <w:tcPr>
            <w:tcW w:w="1843" w:type="dxa"/>
            <w:noWrap w:val="0"/>
            <w:vAlign w:val="center"/>
          </w:tcPr>
          <w:p>
            <w:pPr>
              <w:pStyle w:val="17"/>
              <w:spacing w:line="240" w:lineRule="auto"/>
              <w:rPr>
                <w:b/>
                <w:color w:val="auto"/>
                <w:sz w:val="21"/>
                <w:szCs w:val="21"/>
                <w:highlight w:val="none"/>
              </w:rPr>
            </w:pPr>
            <w:r>
              <w:rPr>
                <w:rFonts w:hint="eastAsia"/>
                <w:b/>
                <w:color w:val="auto"/>
                <w:sz w:val="21"/>
                <w:szCs w:val="21"/>
                <w:highlight w:val="none"/>
                <w:lang w:eastAsia="zh-CN"/>
              </w:rPr>
              <w:t>中心试验室主任</w:t>
            </w:r>
            <w:r>
              <w:rPr>
                <w:rFonts w:hint="eastAsia"/>
                <w:b/>
                <w:color w:val="auto"/>
                <w:sz w:val="21"/>
                <w:szCs w:val="21"/>
                <w:highlight w:val="none"/>
              </w:rPr>
              <w:t>任职资格及业绩</w:t>
            </w:r>
          </w:p>
        </w:tc>
        <w:tc>
          <w:tcPr>
            <w:tcW w:w="4501" w:type="dxa"/>
            <w:gridSpan w:val="2"/>
            <w:noWrap w:val="0"/>
            <w:vAlign w:val="center"/>
          </w:tcPr>
          <w:p>
            <w:pPr>
              <w:pStyle w:val="17"/>
              <w:spacing w:line="240" w:lineRule="auto"/>
              <w:jc w:val="both"/>
              <w:rPr>
                <w:b/>
                <w:color w:val="auto"/>
                <w:sz w:val="21"/>
                <w:szCs w:val="21"/>
                <w:highlight w:val="none"/>
              </w:rPr>
            </w:pPr>
            <w:r>
              <w:rPr>
                <w:rFonts w:hint="eastAsia"/>
                <w:b/>
                <w:color w:val="auto"/>
                <w:sz w:val="21"/>
                <w:szCs w:val="21"/>
                <w:highlight w:val="none"/>
              </w:rPr>
              <w:t>1）</w:t>
            </w:r>
            <w:r>
              <w:rPr>
                <w:b/>
                <w:color w:val="auto"/>
                <w:sz w:val="21"/>
                <w:szCs w:val="21"/>
                <w:highlight w:val="none"/>
              </w:rPr>
              <w:t>满足</w:t>
            </w:r>
            <w:r>
              <w:rPr>
                <w:rFonts w:hint="eastAsia"/>
                <w:b/>
                <w:color w:val="auto"/>
                <w:sz w:val="21"/>
                <w:szCs w:val="21"/>
                <w:highlight w:val="none"/>
              </w:rPr>
              <w:t>招</w:t>
            </w:r>
            <w:r>
              <w:rPr>
                <w:b/>
                <w:color w:val="auto"/>
                <w:sz w:val="21"/>
                <w:szCs w:val="21"/>
                <w:highlight w:val="none"/>
              </w:rPr>
              <w:t>标文件最低要求的得</w:t>
            </w:r>
            <w:r>
              <w:rPr>
                <w:rFonts w:hint="eastAsia"/>
                <w:b/>
                <w:color w:val="auto"/>
                <w:sz w:val="21"/>
                <w:szCs w:val="21"/>
                <w:highlight w:val="none"/>
                <w:lang w:val="en-US" w:eastAsia="zh-CN"/>
              </w:rPr>
              <w:t>6</w:t>
            </w:r>
            <w:r>
              <w:rPr>
                <w:b/>
                <w:color w:val="auto"/>
                <w:sz w:val="21"/>
                <w:szCs w:val="21"/>
                <w:highlight w:val="none"/>
              </w:rPr>
              <w:t>分</w:t>
            </w:r>
            <w:r>
              <w:rPr>
                <w:rFonts w:hint="eastAsia"/>
                <w:b/>
                <w:color w:val="auto"/>
                <w:sz w:val="21"/>
                <w:szCs w:val="21"/>
                <w:highlight w:val="none"/>
              </w:rPr>
              <w:t>；</w:t>
            </w:r>
          </w:p>
          <w:p>
            <w:pPr>
              <w:pStyle w:val="17"/>
              <w:tabs>
                <w:tab w:val="left" w:pos="312"/>
              </w:tabs>
              <w:spacing w:line="240" w:lineRule="auto"/>
              <w:jc w:val="both"/>
              <w:rPr>
                <w:rFonts w:hint="default"/>
                <w:b/>
                <w:color w:val="auto"/>
                <w:sz w:val="21"/>
                <w:szCs w:val="21"/>
                <w:highlight w:val="none"/>
                <w:lang w:val="en-US" w:eastAsia="zh-CN"/>
              </w:rPr>
            </w:pPr>
            <w:r>
              <w:rPr>
                <w:rFonts w:hint="eastAsia"/>
                <w:b/>
                <w:color w:val="auto"/>
                <w:sz w:val="21"/>
                <w:szCs w:val="21"/>
                <w:highlight w:val="none"/>
              </w:rPr>
              <w:t>2）</w:t>
            </w:r>
            <w:r>
              <w:rPr>
                <w:rFonts w:hint="eastAsia"/>
                <w:b/>
                <w:color w:val="auto"/>
                <w:sz w:val="21"/>
                <w:szCs w:val="21"/>
                <w:highlight w:val="none"/>
                <w:lang w:val="en-US" w:eastAsia="zh-CN"/>
              </w:rPr>
              <w:t>每具有一个高速公路中心试验室主任或中心试验室技术负责人业绩加4分，最高加4分。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9" w:hRule="atLeast"/>
          <w:jc w:val="center"/>
        </w:trPr>
        <w:tc>
          <w:tcPr>
            <w:tcW w:w="957" w:type="dxa"/>
            <w:noWrap w:val="0"/>
            <w:vAlign w:val="center"/>
          </w:tcPr>
          <w:p>
            <w:pPr>
              <w:pStyle w:val="17"/>
              <w:rPr>
                <w:color w:val="auto"/>
                <w:highlight w:val="none"/>
              </w:rPr>
            </w:pPr>
            <w:r>
              <w:rPr>
                <w:rFonts w:hint="eastAsia"/>
                <w:color w:val="auto"/>
                <w:highlight w:val="none"/>
              </w:rPr>
              <w:t>2.2.4（3）</w:t>
            </w:r>
          </w:p>
        </w:tc>
        <w:tc>
          <w:tcPr>
            <w:tcW w:w="1506" w:type="dxa"/>
            <w:gridSpan w:val="2"/>
            <w:noWrap w:val="0"/>
            <w:vAlign w:val="center"/>
          </w:tcPr>
          <w:p>
            <w:pPr>
              <w:pStyle w:val="17"/>
              <w:rPr>
                <w:color w:val="auto"/>
                <w:highlight w:val="none"/>
              </w:rPr>
            </w:pPr>
            <w:r>
              <w:rPr>
                <w:rFonts w:hint="eastAsia"/>
                <w:color w:val="auto"/>
                <w:highlight w:val="none"/>
              </w:rPr>
              <w:t>评标价</w:t>
            </w:r>
          </w:p>
        </w:tc>
        <w:tc>
          <w:tcPr>
            <w:tcW w:w="763" w:type="dxa"/>
            <w:noWrap w:val="0"/>
            <w:vAlign w:val="center"/>
          </w:tcPr>
          <w:p>
            <w:pPr>
              <w:pStyle w:val="17"/>
              <w:rPr>
                <w:color w:val="auto"/>
                <w:highlight w:val="none"/>
              </w:rPr>
            </w:pPr>
            <w:r>
              <w:rPr>
                <w:rFonts w:hint="eastAsia" w:ascii="宋体" w:hAnsi="宋体"/>
                <w:b/>
                <w:color w:val="auto"/>
                <w:spacing w:val="0"/>
                <w:kern w:val="0"/>
                <w:szCs w:val="21"/>
                <w:highlight w:val="none"/>
              </w:rPr>
              <w:t>10分</w:t>
            </w:r>
          </w:p>
        </w:tc>
        <w:tc>
          <w:tcPr>
            <w:tcW w:w="634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00" w:lineRule="auto"/>
              <w:ind w:left="0" w:leftChars="0" w:firstLine="44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评标价得分计算公式示例 ：</w:t>
            </w:r>
          </w:p>
          <w:p>
            <w:pPr>
              <w:keepNext w:val="0"/>
              <w:keepLines w:val="0"/>
              <w:pageBreakBefore w:val="0"/>
              <w:widowControl w:val="0"/>
              <w:kinsoku/>
              <w:wordWrap/>
              <w:overflowPunct/>
              <w:topLinePunct w:val="0"/>
              <w:autoSpaceDE/>
              <w:autoSpaceDN/>
              <w:bidi w:val="0"/>
              <w:adjustRightInd/>
              <w:snapToGrid/>
              <w:spacing w:line="360" w:lineRule="auto"/>
              <w:ind w:left="95" w:right="301" w:firstLine="9"/>
              <w:textAlignment w:val="auto"/>
              <w:rPr>
                <w:color w:val="auto"/>
                <w:szCs w:val="21"/>
                <w:highlight w:val="none"/>
              </w:rPr>
            </w:pPr>
            <w:r>
              <w:rPr>
                <w:color w:val="auto"/>
                <w:szCs w:val="21"/>
                <w:highlight w:val="none"/>
              </w:rPr>
              <w:t>（1）如果投标人的评标价＞评标基准价，则评标价得分</w:t>
            </w:r>
            <w:r>
              <w:rPr>
                <w:rFonts w:hint="eastAsia"/>
                <w:color w:val="auto"/>
                <w:szCs w:val="21"/>
                <w:highlight w:val="none"/>
              </w:rPr>
              <w:t>=</w:t>
            </w:r>
            <w:r>
              <w:rPr>
                <w:color w:val="auto"/>
                <w:szCs w:val="21"/>
                <w:highlight w:val="none"/>
              </w:rPr>
              <w:t>F</w:t>
            </w:r>
            <w:r>
              <w:rPr>
                <w:rFonts w:hint="eastAsia"/>
                <w:color w:val="auto"/>
                <w:szCs w:val="21"/>
                <w:highlight w:val="none"/>
                <w:lang w:val="en-US" w:eastAsia="zh-CN"/>
              </w:rPr>
              <w:t>-</w:t>
            </w:r>
            <w:r>
              <w:rPr>
                <w:color w:val="auto"/>
                <w:szCs w:val="21"/>
                <w:highlight w:val="none"/>
              </w:rPr>
              <w:t>偏差率×100×E</w:t>
            </w:r>
            <w:r>
              <w:rPr>
                <w:color w:val="auto"/>
                <w:szCs w:val="21"/>
                <w:highlight w:val="none"/>
                <w:vertAlign w:val="subscript"/>
              </w:rPr>
              <w:t>1</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95" w:right="301" w:firstLine="9"/>
              <w:textAlignment w:val="auto"/>
              <w:rPr>
                <w:color w:val="auto"/>
                <w:szCs w:val="21"/>
                <w:highlight w:val="none"/>
              </w:rPr>
            </w:pPr>
            <w:r>
              <w:rPr>
                <w:color w:val="auto"/>
                <w:szCs w:val="21"/>
                <w:highlight w:val="none"/>
              </w:rPr>
              <w:t>（2）如果投标人的评标价≤评标基准价，则评标价得分</w:t>
            </w:r>
            <w:r>
              <w:rPr>
                <w:rFonts w:hint="eastAsia"/>
                <w:color w:val="auto"/>
                <w:szCs w:val="21"/>
                <w:highlight w:val="none"/>
              </w:rPr>
              <w:t>=</w:t>
            </w:r>
            <w:r>
              <w:rPr>
                <w:color w:val="auto"/>
                <w:szCs w:val="21"/>
                <w:highlight w:val="none"/>
              </w:rPr>
              <w:t>F</w:t>
            </w:r>
            <w:r>
              <w:rPr>
                <w:rFonts w:hint="eastAsia"/>
                <w:color w:val="auto"/>
                <w:szCs w:val="21"/>
                <w:highlight w:val="none"/>
                <w:lang w:val="en-US" w:eastAsia="zh-CN"/>
              </w:rPr>
              <w:t>+</w:t>
            </w:r>
            <w:r>
              <w:rPr>
                <w:color w:val="auto"/>
                <w:szCs w:val="21"/>
                <w:highlight w:val="none"/>
              </w:rPr>
              <w:t>偏差率×100×E</w:t>
            </w:r>
            <w:r>
              <w:rPr>
                <w:color w:val="auto"/>
                <w:szCs w:val="21"/>
                <w:highlight w:val="none"/>
                <w:vertAlign w:val="subscript"/>
              </w:rPr>
              <w:t>2</w:t>
            </w:r>
            <w:r>
              <w:rPr>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05" w:right="94"/>
              <w:textAlignment w:val="auto"/>
              <w:rPr>
                <w:color w:val="auto"/>
                <w:szCs w:val="21"/>
                <w:highlight w:val="none"/>
              </w:rPr>
            </w:pPr>
            <w:r>
              <w:rPr>
                <w:color w:val="auto"/>
                <w:szCs w:val="21"/>
                <w:highlight w:val="none"/>
              </w:rPr>
              <w:t>其中：F是评标价所占的权重分值，F=</w:t>
            </w:r>
            <w:r>
              <w:rPr>
                <w:rFonts w:hint="eastAsia"/>
                <w:color w:val="auto"/>
                <w:szCs w:val="21"/>
                <w:highlight w:val="none"/>
                <w:lang w:val="en-US" w:eastAsia="zh-CN"/>
              </w:rPr>
              <w:t>1</w:t>
            </w:r>
            <w:r>
              <w:rPr>
                <w:color w:val="auto"/>
                <w:szCs w:val="21"/>
                <w:highlight w:val="none"/>
              </w:rPr>
              <w:t>0；</w:t>
            </w:r>
          </w:p>
          <w:p>
            <w:pPr>
              <w:keepNext w:val="0"/>
              <w:keepLines w:val="0"/>
              <w:pageBreakBefore w:val="0"/>
              <w:widowControl w:val="0"/>
              <w:kinsoku/>
              <w:wordWrap/>
              <w:overflowPunct/>
              <w:topLinePunct w:val="0"/>
              <w:autoSpaceDE/>
              <w:autoSpaceDN/>
              <w:bidi w:val="0"/>
              <w:adjustRightInd/>
              <w:snapToGrid/>
              <w:spacing w:line="360" w:lineRule="auto"/>
              <w:ind w:left="105" w:right="94" w:firstLine="660" w:firstLineChars="300"/>
              <w:textAlignment w:val="auto"/>
              <w:rPr>
                <w:color w:val="auto"/>
                <w:szCs w:val="21"/>
                <w:highlight w:val="none"/>
              </w:rPr>
            </w:pPr>
            <w:r>
              <w:rPr>
                <w:color w:val="auto"/>
                <w:szCs w:val="21"/>
                <w:highlight w:val="none"/>
              </w:rPr>
              <w:t>E</w:t>
            </w:r>
            <w:r>
              <w:rPr>
                <w:color w:val="auto"/>
                <w:szCs w:val="21"/>
                <w:highlight w:val="none"/>
                <w:vertAlign w:val="subscript"/>
              </w:rPr>
              <w:t>1</w:t>
            </w:r>
            <w:r>
              <w:rPr>
                <w:color w:val="auto"/>
                <w:szCs w:val="21"/>
                <w:highlight w:val="none"/>
              </w:rPr>
              <w:t>是评标价每高于评标基准价一个百分点的扣分值，E</w:t>
            </w:r>
            <w:r>
              <w:rPr>
                <w:color w:val="auto"/>
                <w:szCs w:val="21"/>
                <w:highlight w:val="none"/>
                <w:vertAlign w:val="subscript"/>
              </w:rPr>
              <w:t>1</w:t>
            </w:r>
            <w:r>
              <w:rPr>
                <w:color w:val="auto"/>
                <w:szCs w:val="21"/>
                <w:highlight w:val="none"/>
              </w:rPr>
              <w:t>=0.</w:t>
            </w:r>
            <w:r>
              <w:rPr>
                <w:rFonts w:hint="eastAsia"/>
                <w:color w:val="auto"/>
                <w:szCs w:val="21"/>
                <w:highlight w:val="none"/>
                <w:lang w:val="en-US" w:eastAsia="zh-CN"/>
              </w:rPr>
              <w:t>2</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05" w:right="94" w:firstLine="660" w:firstLineChars="300"/>
              <w:textAlignment w:val="auto"/>
              <w:rPr>
                <w:color w:val="auto"/>
                <w:szCs w:val="21"/>
                <w:highlight w:val="none"/>
              </w:rPr>
            </w:pPr>
            <w:r>
              <w:rPr>
                <w:color w:val="auto"/>
                <w:szCs w:val="21"/>
                <w:highlight w:val="none"/>
              </w:rPr>
              <w:t>E</w:t>
            </w:r>
            <w:r>
              <w:rPr>
                <w:color w:val="auto"/>
                <w:szCs w:val="21"/>
                <w:highlight w:val="none"/>
                <w:vertAlign w:val="subscript"/>
              </w:rPr>
              <w:t>2</w:t>
            </w:r>
            <w:r>
              <w:rPr>
                <w:color w:val="auto"/>
                <w:szCs w:val="21"/>
                <w:highlight w:val="none"/>
              </w:rPr>
              <w:t>是评标价每低于评标基准价一个百分点的扣分值，E</w:t>
            </w:r>
            <w:r>
              <w:rPr>
                <w:color w:val="auto"/>
                <w:szCs w:val="21"/>
                <w:highlight w:val="none"/>
                <w:vertAlign w:val="subscript"/>
              </w:rPr>
              <w:t>2</w:t>
            </w:r>
            <w:r>
              <w:rPr>
                <w:color w:val="auto"/>
                <w:szCs w:val="21"/>
                <w:highlight w:val="none"/>
              </w:rPr>
              <w:t>=0.</w:t>
            </w:r>
            <w:r>
              <w:rPr>
                <w:rFonts w:hint="eastAsia"/>
                <w:color w:val="auto"/>
                <w:szCs w:val="21"/>
                <w:highlight w:val="none"/>
                <w:lang w:val="en-US" w:eastAsia="zh-CN"/>
              </w:rPr>
              <w:t>1</w:t>
            </w:r>
            <w:r>
              <w:rPr>
                <w:color w:val="auto"/>
                <w:szCs w:val="21"/>
                <w:highlight w:val="none"/>
              </w:rPr>
              <w:t>。</w:t>
            </w:r>
          </w:p>
          <w:p>
            <w:pPr>
              <w:keepNext w:val="0"/>
              <w:keepLines w:val="0"/>
              <w:pageBreakBefore w:val="0"/>
              <w:widowControl w:val="0"/>
              <w:kinsoku/>
              <w:wordWrap/>
              <w:overflowPunct/>
              <w:topLinePunct w:val="0"/>
              <w:bidi w:val="0"/>
              <w:adjustRightInd w:val="0"/>
              <w:spacing w:line="360" w:lineRule="auto"/>
              <w:ind w:left="0" w:leftChars="0" w:firstLine="440" w:firstLineChars="200"/>
              <w:textAlignment w:val="baseline"/>
              <w:rPr>
                <w:rFonts w:hAnsi="宋体"/>
                <w:color w:val="auto"/>
                <w:szCs w:val="21"/>
                <w:highlight w:val="none"/>
              </w:rPr>
            </w:pPr>
            <w:r>
              <w:rPr>
                <w:rFonts w:hint="eastAsia"/>
                <w:color w:val="auto"/>
                <w:szCs w:val="21"/>
                <w:highlight w:val="none"/>
                <w:lang w:eastAsia="zh-CN"/>
              </w:rPr>
              <w:t>评标价</w:t>
            </w:r>
            <w:r>
              <w:rPr>
                <w:color w:val="auto"/>
                <w:szCs w:val="21"/>
                <w:highlight w:val="none"/>
              </w:rPr>
              <w:t>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vMerge w:val="restart"/>
            <w:noWrap w:val="0"/>
            <w:vAlign w:val="center"/>
          </w:tcPr>
          <w:p>
            <w:pPr>
              <w:pStyle w:val="17"/>
              <w:rPr>
                <w:color w:val="auto"/>
                <w:highlight w:val="none"/>
              </w:rPr>
            </w:pPr>
            <w:r>
              <w:rPr>
                <w:rFonts w:hint="eastAsia"/>
                <w:color w:val="auto"/>
                <w:highlight w:val="none"/>
              </w:rPr>
              <w:t>2.2.4（4）</w:t>
            </w:r>
          </w:p>
        </w:tc>
        <w:tc>
          <w:tcPr>
            <w:tcW w:w="600" w:type="dxa"/>
            <w:vMerge w:val="restart"/>
            <w:noWrap w:val="0"/>
            <w:vAlign w:val="center"/>
          </w:tcPr>
          <w:p>
            <w:pPr>
              <w:pStyle w:val="17"/>
              <w:rPr>
                <w:color w:val="auto"/>
                <w:highlight w:val="none"/>
              </w:rPr>
            </w:pPr>
            <w:r>
              <w:rPr>
                <w:rFonts w:hint="eastAsia"/>
                <w:color w:val="auto"/>
                <w:highlight w:val="none"/>
              </w:rPr>
              <w:t>其他因素</w:t>
            </w:r>
          </w:p>
        </w:tc>
        <w:tc>
          <w:tcPr>
            <w:tcW w:w="906" w:type="dxa"/>
            <w:noWrap w:val="0"/>
            <w:vAlign w:val="center"/>
          </w:tcPr>
          <w:p>
            <w:pPr>
              <w:pStyle w:val="17"/>
              <w:rPr>
                <w:color w:val="auto"/>
                <w:highlight w:val="none"/>
              </w:rPr>
            </w:pPr>
            <w:r>
              <w:rPr>
                <w:rFonts w:hint="eastAsia"/>
                <w:color w:val="auto"/>
                <w:highlight w:val="none"/>
              </w:rPr>
              <w:t>业绩</w:t>
            </w:r>
          </w:p>
        </w:tc>
        <w:tc>
          <w:tcPr>
            <w:tcW w:w="763" w:type="dxa"/>
            <w:noWrap w:val="0"/>
            <w:vAlign w:val="center"/>
          </w:tcPr>
          <w:p>
            <w:pPr>
              <w:pStyle w:val="17"/>
              <w:rPr>
                <w:color w:val="auto"/>
                <w:highlight w:val="none"/>
              </w:rPr>
            </w:pPr>
            <w:r>
              <w:rPr>
                <w:rFonts w:hint="eastAsia" w:ascii="宋体" w:hAnsi="宋体"/>
                <w:b/>
                <w:color w:val="auto"/>
                <w:spacing w:val="0"/>
                <w:kern w:val="0"/>
                <w:szCs w:val="21"/>
                <w:highlight w:val="none"/>
              </w:rPr>
              <w:t>2</w:t>
            </w:r>
            <w:r>
              <w:rPr>
                <w:rFonts w:hint="eastAsia" w:ascii="宋体" w:hAnsi="宋体"/>
                <w:b/>
                <w:color w:val="auto"/>
                <w:spacing w:val="0"/>
                <w:kern w:val="0"/>
                <w:szCs w:val="21"/>
                <w:highlight w:val="none"/>
                <w:lang w:val="en-US" w:eastAsia="zh-CN"/>
              </w:rPr>
              <w:t>1</w:t>
            </w:r>
            <w:r>
              <w:rPr>
                <w:rFonts w:hint="eastAsia" w:ascii="宋体" w:hAnsi="宋体"/>
                <w:b/>
                <w:color w:val="auto"/>
                <w:spacing w:val="0"/>
                <w:kern w:val="0"/>
                <w:szCs w:val="21"/>
                <w:highlight w:val="none"/>
              </w:rPr>
              <w:t>分</w:t>
            </w:r>
          </w:p>
        </w:tc>
        <w:tc>
          <w:tcPr>
            <w:tcW w:w="6344" w:type="dxa"/>
            <w:gridSpan w:val="3"/>
            <w:noWrap w:val="0"/>
            <w:vAlign w:val="center"/>
          </w:tcPr>
          <w:p>
            <w:pPr>
              <w:pStyle w:val="8"/>
              <w:keepNext w:val="0"/>
              <w:keepLines w:val="0"/>
              <w:pageBreakBefore w:val="0"/>
              <w:widowControl w:val="0"/>
              <w:kinsoku/>
              <w:wordWrap/>
              <w:overflowPunct/>
              <w:topLinePunct w:val="0"/>
              <w:bidi w:val="0"/>
              <w:adjustRightInd w:val="0"/>
              <w:snapToGrid/>
              <w:spacing w:line="300" w:lineRule="auto"/>
              <w:ind w:left="0" w:leftChars="0" w:firstLine="422" w:firstLineChars="200"/>
              <w:textAlignment w:val="baseline"/>
              <w:rPr>
                <w:rFonts w:hint="eastAsia" w:ascii="宋体" w:hAnsi="宋体" w:eastAsia="宋体" w:cs="Times New Roman"/>
                <w:b/>
                <w:color w:val="auto"/>
                <w:sz w:val="21"/>
                <w:szCs w:val="21"/>
                <w:highlight w:val="none"/>
                <w:lang w:val="en-US" w:eastAsia="zh-CN" w:bidi="ar-SA"/>
              </w:rPr>
            </w:pPr>
            <w:r>
              <w:rPr>
                <w:rFonts w:hint="eastAsia" w:ascii="宋体" w:hAnsi="宋体" w:eastAsia="宋体" w:cs="Times New Roman"/>
                <w:b/>
                <w:color w:val="auto"/>
                <w:sz w:val="21"/>
                <w:szCs w:val="21"/>
                <w:highlight w:val="none"/>
                <w:lang w:val="en-US" w:eastAsia="zh-CN" w:bidi="ar-SA"/>
              </w:rPr>
              <w:t>近五年内(2015年1月1日至今，以合同项目交工时间为准)至少完成过1个高速公路中心试验室业绩或合同额1000万元及以上单项试验或检测业绩，得7分；每增加1个，加7分，最多得21分。</w:t>
            </w:r>
          </w:p>
          <w:p>
            <w:pPr>
              <w:pStyle w:val="8"/>
              <w:keepNext w:val="0"/>
              <w:keepLines w:val="0"/>
              <w:pageBreakBefore w:val="0"/>
              <w:widowControl w:val="0"/>
              <w:kinsoku/>
              <w:wordWrap/>
              <w:overflowPunct/>
              <w:topLinePunct w:val="0"/>
              <w:bidi w:val="0"/>
              <w:adjustRightInd w:val="0"/>
              <w:snapToGrid/>
              <w:spacing w:line="300" w:lineRule="auto"/>
              <w:ind w:firstLine="0" w:firstLineChars="0"/>
              <w:textAlignment w:val="baseline"/>
              <w:rPr>
                <w:rFonts w:hint="eastAsia" w:ascii="宋体" w:hAnsi="宋体" w:eastAsia="宋体"/>
                <w:b/>
                <w:color w:val="auto"/>
                <w:sz w:val="21"/>
                <w:szCs w:val="21"/>
                <w:highlight w:val="none"/>
                <w:lang w:val="en-US" w:eastAsia="zh-CN"/>
              </w:rPr>
            </w:pPr>
          </w:p>
          <w:p>
            <w:pPr>
              <w:pStyle w:val="8"/>
              <w:keepNext w:val="0"/>
              <w:keepLines w:val="0"/>
              <w:pageBreakBefore w:val="0"/>
              <w:widowControl w:val="0"/>
              <w:kinsoku/>
              <w:wordWrap/>
              <w:overflowPunct/>
              <w:topLinePunct w:val="0"/>
              <w:autoSpaceDE/>
              <w:autoSpaceDN/>
              <w:bidi w:val="0"/>
              <w:adjustRightInd w:val="0"/>
              <w:snapToGrid/>
              <w:spacing w:line="300" w:lineRule="auto"/>
              <w:ind w:left="0" w:firstLine="422" w:firstLineChars="200"/>
              <w:textAlignment w:val="baseline"/>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注：</w:t>
            </w:r>
            <w:r>
              <w:rPr>
                <w:rFonts w:hint="eastAsia" w:ascii="宋体" w:hAnsi="宋体" w:eastAsia="宋体" w:cs="Times New Roman"/>
                <w:b/>
                <w:color w:val="auto"/>
                <w:sz w:val="21"/>
                <w:szCs w:val="21"/>
                <w:highlight w:val="none"/>
                <w:lang w:val="en-US" w:eastAsia="zh-CN" w:bidi="ar-SA"/>
              </w:rPr>
              <w:t>须附中标通知书（如有）、合同协议书，以及省级及以上交通质量监督部门或交通运输主管部门或业主（或发包人）单位的证明材料的彩色复印件（加盖公章）。未按要求提交业绩证明材料的，该业绩不予认可。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57" w:type="dxa"/>
            <w:vMerge w:val="continue"/>
            <w:noWrap w:val="0"/>
            <w:vAlign w:val="center"/>
          </w:tcPr>
          <w:p>
            <w:pPr>
              <w:pStyle w:val="17"/>
              <w:rPr>
                <w:color w:val="auto"/>
                <w:highlight w:val="none"/>
              </w:rPr>
            </w:pPr>
          </w:p>
        </w:tc>
        <w:tc>
          <w:tcPr>
            <w:tcW w:w="600" w:type="dxa"/>
            <w:vMerge w:val="continue"/>
            <w:noWrap w:val="0"/>
            <w:vAlign w:val="center"/>
          </w:tcPr>
          <w:p>
            <w:pPr>
              <w:pStyle w:val="17"/>
              <w:rPr>
                <w:color w:val="auto"/>
                <w:highlight w:val="none"/>
              </w:rPr>
            </w:pPr>
          </w:p>
        </w:tc>
        <w:tc>
          <w:tcPr>
            <w:tcW w:w="90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00" w:lineRule="auto"/>
              <w:textAlignment w:val="baseline"/>
              <w:rPr>
                <w:rFonts w:ascii="宋体" w:hAnsi="宋体"/>
                <w:b/>
                <w:color w:val="auto"/>
                <w:spacing w:val="0"/>
                <w:kern w:val="0"/>
                <w:szCs w:val="21"/>
                <w:highlight w:val="none"/>
              </w:rPr>
            </w:pPr>
            <w:r>
              <w:rPr>
                <w:rFonts w:hint="eastAsia" w:ascii="宋体" w:hAnsi="宋体"/>
                <w:b/>
                <w:color w:val="auto"/>
                <w:spacing w:val="0"/>
                <w:kern w:val="0"/>
                <w:szCs w:val="21"/>
                <w:highlight w:val="none"/>
              </w:rPr>
              <w:t>技术能力（实用新型专利）</w:t>
            </w:r>
          </w:p>
        </w:tc>
        <w:tc>
          <w:tcPr>
            <w:tcW w:w="763" w:type="dxa"/>
            <w:noWrap w:val="0"/>
            <w:vAlign w:val="center"/>
          </w:tcPr>
          <w:p>
            <w:pPr>
              <w:pStyle w:val="17"/>
              <w:rPr>
                <w:rFonts w:ascii="宋体" w:hAnsi="宋体"/>
                <w:b/>
                <w:color w:val="auto"/>
                <w:spacing w:val="0"/>
                <w:kern w:val="0"/>
                <w:szCs w:val="21"/>
                <w:highlight w:val="none"/>
              </w:rPr>
            </w:pPr>
            <w:r>
              <w:rPr>
                <w:rFonts w:hint="eastAsia" w:ascii="宋体" w:hAnsi="宋体"/>
                <w:b/>
                <w:color w:val="auto"/>
                <w:spacing w:val="0"/>
                <w:kern w:val="0"/>
                <w:szCs w:val="21"/>
                <w:highlight w:val="none"/>
                <w:lang w:val="en-US" w:eastAsia="zh-CN"/>
              </w:rPr>
              <w:t>4</w:t>
            </w:r>
            <w:r>
              <w:rPr>
                <w:rFonts w:hint="eastAsia" w:ascii="宋体" w:hAnsi="宋体"/>
                <w:b/>
                <w:color w:val="auto"/>
                <w:spacing w:val="0"/>
                <w:kern w:val="0"/>
                <w:szCs w:val="21"/>
                <w:highlight w:val="none"/>
              </w:rPr>
              <w:t>分</w:t>
            </w:r>
          </w:p>
        </w:tc>
        <w:tc>
          <w:tcPr>
            <w:tcW w:w="6344"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firstLine="442" w:firstLineChars="200"/>
              <w:textAlignment w:val="baseline"/>
              <w:rPr>
                <w:rFonts w:ascii="宋体" w:hAnsi="宋体"/>
                <w:b/>
                <w:color w:val="auto"/>
                <w:szCs w:val="21"/>
                <w:highlight w:val="none"/>
              </w:rPr>
            </w:pPr>
            <w:r>
              <w:rPr>
                <w:rFonts w:hint="eastAsia" w:ascii="宋体" w:hAnsi="宋体"/>
                <w:b/>
                <w:color w:val="auto"/>
                <w:szCs w:val="21"/>
                <w:highlight w:val="none"/>
              </w:rPr>
              <w:t>投标人</w:t>
            </w:r>
            <w:r>
              <w:rPr>
                <w:rFonts w:hint="eastAsia" w:ascii="宋体" w:hAnsi="宋体"/>
                <w:b/>
                <w:color w:val="auto"/>
                <w:szCs w:val="21"/>
                <w:highlight w:val="none"/>
                <w:lang w:val="en-US" w:eastAsia="zh-CN"/>
              </w:rPr>
              <w:t>每</w:t>
            </w:r>
            <w:r>
              <w:rPr>
                <w:rFonts w:hint="eastAsia" w:ascii="宋体" w:hAnsi="宋体"/>
                <w:b/>
                <w:color w:val="auto"/>
                <w:szCs w:val="21"/>
                <w:highlight w:val="none"/>
              </w:rPr>
              <w:t>获得过一项的与工程技术服务有关的实用新型专利得</w:t>
            </w:r>
            <w:r>
              <w:rPr>
                <w:rFonts w:hint="eastAsia" w:ascii="宋体" w:hAnsi="宋体"/>
                <w:b/>
                <w:color w:val="auto"/>
                <w:szCs w:val="21"/>
                <w:highlight w:val="none"/>
                <w:lang w:val="en-US" w:eastAsia="zh-CN"/>
              </w:rPr>
              <w:t>2</w:t>
            </w:r>
            <w:r>
              <w:rPr>
                <w:rFonts w:hint="eastAsia" w:ascii="宋体" w:hAnsi="宋体"/>
                <w:b/>
                <w:color w:val="auto"/>
                <w:szCs w:val="21"/>
                <w:highlight w:val="none"/>
              </w:rPr>
              <w:t>分，本项最多得</w:t>
            </w:r>
            <w:r>
              <w:rPr>
                <w:rFonts w:hint="eastAsia" w:ascii="宋体" w:hAnsi="宋体"/>
                <w:b/>
                <w:color w:val="auto"/>
                <w:szCs w:val="21"/>
                <w:highlight w:val="none"/>
                <w:lang w:val="en-US" w:eastAsia="zh-CN"/>
              </w:rPr>
              <w:t>4</w:t>
            </w:r>
            <w:r>
              <w:rPr>
                <w:rFonts w:hint="eastAsia" w:ascii="宋体" w:hAnsi="宋体"/>
                <w:b/>
                <w:color w:val="auto"/>
                <w:szCs w:val="21"/>
                <w:highlight w:val="none"/>
              </w:rPr>
              <w:t>分。投标文件中需提供专利证书扫描件，否则不予加分。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957" w:type="dxa"/>
            <w:vMerge w:val="continue"/>
            <w:noWrap w:val="0"/>
            <w:vAlign w:val="center"/>
          </w:tcPr>
          <w:p>
            <w:pPr>
              <w:pStyle w:val="17"/>
              <w:rPr>
                <w:color w:val="auto"/>
                <w:highlight w:val="none"/>
              </w:rPr>
            </w:pPr>
          </w:p>
        </w:tc>
        <w:tc>
          <w:tcPr>
            <w:tcW w:w="600" w:type="dxa"/>
            <w:vMerge w:val="continue"/>
            <w:noWrap w:val="0"/>
            <w:vAlign w:val="center"/>
          </w:tcPr>
          <w:p>
            <w:pPr>
              <w:pStyle w:val="17"/>
              <w:rPr>
                <w:color w:val="auto"/>
                <w:highlight w:val="none"/>
              </w:rPr>
            </w:pPr>
          </w:p>
        </w:tc>
        <w:tc>
          <w:tcPr>
            <w:tcW w:w="906" w:type="dxa"/>
            <w:noWrap w:val="0"/>
            <w:vAlign w:val="center"/>
          </w:tcPr>
          <w:p>
            <w:pPr>
              <w:pStyle w:val="17"/>
              <w:rPr>
                <w:color w:val="auto"/>
                <w:highlight w:val="none"/>
              </w:rPr>
            </w:pPr>
            <w:r>
              <w:rPr>
                <w:rFonts w:hint="eastAsia"/>
                <w:color w:val="auto"/>
                <w:highlight w:val="none"/>
              </w:rPr>
              <w:t>投标人信誉（信用等级）</w:t>
            </w:r>
          </w:p>
        </w:tc>
        <w:tc>
          <w:tcPr>
            <w:tcW w:w="763" w:type="dxa"/>
            <w:noWrap w:val="0"/>
            <w:vAlign w:val="center"/>
          </w:tcPr>
          <w:p>
            <w:pPr>
              <w:pStyle w:val="17"/>
              <w:rPr>
                <w:color w:val="auto"/>
                <w:highlight w:val="none"/>
              </w:rPr>
            </w:pPr>
            <w:r>
              <w:rPr>
                <w:rFonts w:hint="eastAsia" w:ascii="宋体" w:hAnsi="宋体"/>
                <w:b/>
                <w:color w:val="auto"/>
                <w:spacing w:val="0"/>
                <w:kern w:val="0"/>
                <w:szCs w:val="21"/>
                <w:highlight w:val="none"/>
              </w:rPr>
              <w:t>5分</w:t>
            </w:r>
          </w:p>
        </w:tc>
        <w:tc>
          <w:tcPr>
            <w:tcW w:w="6344"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right="113" w:firstLine="0"/>
              <w:jc w:val="left"/>
              <w:textAlignment w:val="baseline"/>
              <w:rPr>
                <w:rFonts w:hint="eastAsia"/>
                <w:color w:val="auto"/>
                <w:highlight w:val="none"/>
                <w:lang w:eastAsia="zh-CN"/>
              </w:rPr>
            </w:pPr>
            <w:r>
              <w:rPr>
                <w:rFonts w:hint="eastAsia"/>
                <w:color w:val="auto"/>
                <w:highlight w:val="none"/>
                <w:lang w:val="en-US" w:eastAsia="zh-CN"/>
              </w:rPr>
              <w:t>1</w:t>
            </w:r>
            <w:r>
              <w:rPr>
                <w:rFonts w:hint="eastAsia"/>
                <w:color w:val="auto"/>
                <w:highlight w:val="none"/>
              </w:rPr>
              <w:t>、投标人信用得分按下表的情形采用</w:t>
            </w:r>
            <w:r>
              <w:rPr>
                <w:rFonts w:hint="eastAsia"/>
                <w:color w:val="auto"/>
                <w:highlight w:val="none"/>
                <w:lang w:eastAsia="zh-CN"/>
              </w:rPr>
              <w:t>：</w:t>
            </w:r>
          </w:p>
          <w:tbl>
            <w:tblPr>
              <w:tblStyle w:val="11"/>
              <w:tblW w:w="4819" w:type="dxa"/>
              <w:tblInd w:w="29" w:type="dxa"/>
              <w:tblLayout w:type="fixed"/>
              <w:tblCellMar>
                <w:top w:w="0" w:type="dxa"/>
                <w:left w:w="108" w:type="dxa"/>
                <w:bottom w:w="0" w:type="dxa"/>
                <w:right w:w="108" w:type="dxa"/>
              </w:tblCellMar>
            </w:tblPr>
            <w:tblGrid>
              <w:gridCol w:w="1417"/>
              <w:gridCol w:w="1134"/>
              <w:gridCol w:w="1134"/>
              <w:gridCol w:w="1134"/>
            </w:tblGrid>
            <w:tr>
              <w:tblPrEx>
                <w:tblCellMar>
                  <w:top w:w="0" w:type="dxa"/>
                  <w:left w:w="108" w:type="dxa"/>
                  <w:bottom w:w="0" w:type="dxa"/>
                  <w:right w:w="108" w:type="dxa"/>
                </w:tblCellMar>
              </w:tblPrEx>
              <w:trPr>
                <w:trHeight w:val="454"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left="147" w:leftChars="67" w:right="113" w:firstLine="312"/>
                    <w:textAlignment w:val="baseline"/>
                    <w:rPr>
                      <w:color w:val="auto"/>
                      <w:highlight w:val="none"/>
                    </w:rPr>
                  </w:pPr>
                  <w:r>
                    <w:rPr>
                      <w:rFonts w:hint="eastAsia"/>
                      <w:color w:val="auto"/>
                      <w:highlight w:val="none"/>
                    </w:rPr>
                    <w:t>AA</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left="147" w:leftChars="67" w:right="113" w:firstLine="312"/>
                    <w:textAlignment w:val="baseline"/>
                    <w:rPr>
                      <w:color w:val="auto"/>
                      <w:highlight w:val="none"/>
                    </w:rPr>
                  </w:pPr>
                  <w:r>
                    <w:rPr>
                      <w:rFonts w:hint="eastAsia"/>
                      <w:color w:val="auto"/>
                      <w:highlight w:val="none"/>
                    </w:rPr>
                    <w:t>A</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left="147" w:leftChars="67" w:right="113" w:firstLine="312"/>
                    <w:jc w:val="center"/>
                    <w:textAlignment w:val="baseline"/>
                    <w:rPr>
                      <w:color w:val="auto"/>
                      <w:highlight w:val="none"/>
                    </w:rPr>
                  </w:pPr>
                  <w:r>
                    <w:rPr>
                      <w:rFonts w:hint="eastAsia"/>
                      <w:color w:val="auto"/>
                      <w:highlight w:val="none"/>
                    </w:rPr>
                    <w:t>B</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left="147" w:leftChars="67" w:right="113" w:firstLine="312"/>
                    <w:textAlignment w:val="baseline"/>
                    <w:rPr>
                      <w:color w:val="auto"/>
                      <w:highlight w:val="none"/>
                    </w:rPr>
                  </w:pPr>
                  <w:r>
                    <w:rPr>
                      <w:rFonts w:hint="eastAsia"/>
                      <w:color w:val="auto"/>
                      <w:highlight w:val="none"/>
                    </w:rPr>
                    <w:t>C</w:t>
                  </w:r>
                </w:p>
              </w:tc>
            </w:tr>
            <w:tr>
              <w:tblPrEx>
                <w:tblCellMar>
                  <w:top w:w="0" w:type="dxa"/>
                  <w:left w:w="108" w:type="dxa"/>
                  <w:bottom w:w="0" w:type="dxa"/>
                  <w:right w:w="108" w:type="dxa"/>
                </w:tblCellMar>
              </w:tblPrEx>
              <w:trPr>
                <w:trHeight w:val="454"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left="147" w:leftChars="67" w:firstLine="312"/>
                    <w:textAlignment w:val="baseline"/>
                    <w:rPr>
                      <w:color w:val="auto"/>
                      <w:highlight w:val="none"/>
                    </w:rPr>
                  </w:pPr>
                  <w:r>
                    <w:rPr>
                      <w:rFonts w:hint="eastAsia"/>
                      <w:color w:val="auto"/>
                      <w:highlight w:val="none"/>
                    </w:rPr>
                    <w:t>+3.0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left="147" w:leftChars="67" w:firstLine="312"/>
                    <w:textAlignment w:val="baseline"/>
                    <w:rPr>
                      <w:color w:val="auto"/>
                      <w:highlight w:val="none"/>
                    </w:rPr>
                  </w:pPr>
                  <w:r>
                    <w:rPr>
                      <w:rFonts w:hint="eastAsia"/>
                      <w:color w:val="auto"/>
                      <w:highlight w:val="none"/>
                    </w:rPr>
                    <w:t>+1.5</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left="147" w:leftChars="67" w:firstLine="312"/>
                    <w:textAlignment w:val="baseline"/>
                    <w:rPr>
                      <w:color w:val="auto"/>
                      <w:highlight w:val="none"/>
                    </w:rPr>
                  </w:pPr>
                  <w:r>
                    <w:rPr>
                      <w:rFonts w:hint="eastAsia"/>
                      <w:color w:val="auto"/>
                      <w:highlight w:val="none"/>
                    </w:rPr>
                    <w:t>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auto"/>
                    <w:ind w:left="147" w:leftChars="67" w:firstLine="312"/>
                    <w:textAlignment w:val="baseline"/>
                    <w:rPr>
                      <w:color w:val="auto"/>
                      <w:highlight w:val="none"/>
                    </w:rPr>
                  </w:pPr>
                  <w:r>
                    <w:rPr>
                      <w:rFonts w:hint="eastAsia"/>
                      <w:color w:val="auto"/>
                      <w:highlight w:val="none"/>
                    </w:rPr>
                    <w:t>-3.0</w:t>
                  </w:r>
                </w:p>
              </w:tc>
            </w:tr>
          </w:tbl>
          <w:p>
            <w:pPr>
              <w:keepNext w:val="0"/>
              <w:keepLines w:val="0"/>
              <w:pageBreakBefore w:val="0"/>
              <w:widowControl w:val="0"/>
              <w:kinsoku/>
              <w:wordWrap/>
              <w:overflowPunct/>
              <w:topLinePunct w:val="0"/>
              <w:autoSpaceDE/>
              <w:autoSpaceDN/>
              <w:bidi w:val="0"/>
              <w:adjustRightInd w:val="0"/>
              <w:snapToGrid/>
              <w:spacing w:line="300" w:lineRule="auto"/>
              <w:ind w:firstLine="0"/>
              <w:jc w:val="left"/>
              <w:textAlignment w:val="baseline"/>
              <w:rPr>
                <w:rFonts w:hint="default"/>
                <w:color w:val="auto"/>
                <w:highlight w:val="none"/>
                <w:lang w:val="en-US" w:eastAsia="zh-CN"/>
              </w:rPr>
            </w:pPr>
            <w:r>
              <w:rPr>
                <w:rFonts w:hint="eastAsia"/>
                <w:color w:val="auto"/>
                <w:highlight w:val="none"/>
                <w:lang w:val="en-US" w:eastAsia="zh-CN"/>
              </w:rPr>
              <w:t>注：投标人信用等级的确定详见招标公告。</w:t>
            </w:r>
          </w:p>
          <w:p>
            <w:pPr>
              <w:keepNext w:val="0"/>
              <w:keepLines w:val="0"/>
              <w:pageBreakBefore w:val="0"/>
              <w:widowControl w:val="0"/>
              <w:kinsoku/>
              <w:wordWrap/>
              <w:overflowPunct/>
              <w:topLinePunct w:val="0"/>
              <w:autoSpaceDE/>
              <w:autoSpaceDN/>
              <w:bidi w:val="0"/>
              <w:adjustRightInd w:val="0"/>
              <w:snapToGrid/>
              <w:spacing w:line="300" w:lineRule="auto"/>
              <w:ind w:firstLine="0"/>
              <w:jc w:val="left"/>
              <w:textAlignment w:val="baseline"/>
              <w:rPr>
                <w:rFonts w:hint="eastAsia"/>
                <w:color w:val="auto"/>
                <w:highlight w:val="none"/>
                <w:lang w:val="en-US" w:eastAsia="zh-CN"/>
              </w:rPr>
            </w:pPr>
          </w:p>
          <w:p>
            <w:pPr>
              <w:pStyle w:val="8"/>
              <w:spacing w:line="360" w:lineRule="auto"/>
              <w:ind w:left="0" w:leftChars="0" w:firstLine="0" w:firstLineChars="0"/>
              <w:rPr>
                <w:rFonts w:hint="eastAsia" w:ascii="Times New Roman" w:eastAsia="宋体" w:cs="Times New Roman"/>
                <w:color w:val="auto"/>
                <w:sz w:val="21"/>
                <w:szCs w:val="22"/>
                <w:highlight w:val="none"/>
                <w:lang w:val="en-US" w:eastAsia="zh-CN" w:bidi="ar-SA"/>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2"/>
                <w:highlight w:val="none"/>
                <w:lang w:val="en-US" w:eastAsia="zh-CN" w:bidi="ar-SA"/>
              </w:rPr>
              <w:t>投标人具有国家认证的CNAS证书或高新技术企业且在有限期内得2分。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70" w:type="dxa"/>
            <w:gridSpan w:val="7"/>
            <w:noWrap w:val="0"/>
            <w:vAlign w:val="center"/>
          </w:tcPr>
          <w:p>
            <w:pPr>
              <w:spacing w:line="240" w:lineRule="auto"/>
              <w:ind w:left="0" w:leftChars="0" w:firstLine="0" w:firstLineChars="0"/>
              <w:rPr>
                <w:rFonts w:hAnsi="宋体" w:cs="宋体"/>
                <w:color w:val="auto"/>
                <w:szCs w:val="21"/>
                <w:highlight w:val="none"/>
              </w:rPr>
            </w:pPr>
            <w:r>
              <w:rPr>
                <w:rFonts w:hint="eastAsia" w:hAnsi="宋体"/>
                <w:b/>
                <w:color w:val="auto"/>
                <w:sz w:val="22"/>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570" w:type="dxa"/>
            <w:gridSpan w:val="7"/>
            <w:noWrap w:val="0"/>
            <w:vAlign w:val="center"/>
          </w:tcPr>
          <w:p>
            <w:pPr>
              <w:keepNext w:val="0"/>
              <w:keepLines w:val="0"/>
              <w:pageBreakBefore w:val="0"/>
              <w:widowControl w:val="0"/>
              <w:kinsoku/>
              <w:wordWrap/>
              <w:overflowPunct/>
              <w:topLinePunct w:val="0"/>
              <w:bidi w:val="0"/>
              <w:adjustRightInd w:val="0"/>
              <w:snapToGrid/>
              <w:spacing w:line="360" w:lineRule="auto"/>
              <w:ind w:left="0" w:leftChars="0" w:firstLine="442" w:firstLineChars="200"/>
              <w:textAlignment w:val="baseline"/>
              <w:rPr>
                <w:b/>
                <w:bCs/>
                <w:color w:val="auto"/>
                <w:highlight w:val="none"/>
              </w:rPr>
            </w:pPr>
            <w:r>
              <w:rPr>
                <w:rFonts w:hint="eastAsia"/>
                <w:b/>
                <w:bCs/>
                <w:color w:val="auto"/>
                <w:highlight w:val="none"/>
              </w:rPr>
              <w:t>1</w:t>
            </w:r>
            <w:r>
              <w:rPr>
                <w:rFonts w:hint="eastAsia"/>
                <w:b/>
                <w:bCs/>
                <w:color w:val="auto"/>
                <w:highlight w:val="none"/>
                <w:lang w:eastAsia="zh-CN"/>
              </w:rPr>
              <w:t>、</w:t>
            </w:r>
            <w:r>
              <w:rPr>
                <w:rFonts w:hint="eastAsia"/>
                <w:b/>
                <w:bCs/>
                <w:color w:val="auto"/>
                <w:highlight w:val="none"/>
              </w:rPr>
              <w:t>若通过第一信封初步评审的投标人仅2名，经评标委员会一致认为通过第一信封初步评审的投标人具备竞争性，可进入详细评审；若通过第二信封初步评审的投标人仅1名，应否决投标，并按相关规定重新招标。</w:t>
            </w:r>
          </w:p>
          <w:p>
            <w:pPr>
              <w:keepNext w:val="0"/>
              <w:keepLines w:val="0"/>
              <w:pageBreakBefore w:val="0"/>
              <w:widowControl w:val="0"/>
              <w:kinsoku/>
              <w:wordWrap/>
              <w:overflowPunct/>
              <w:topLinePunct w:val="0"/>
              <w:bidi w:val="0"/>
              <w:adjustRightInd w:val="0"/>
              <w:snapToGrid/>
              <w:spacing w:line="360" w:lineRule="auto"/>
              <w:ind w:left="0" w:leftChars="0" w:firstLine="442" w:firstLineChars="200"/>
              <w:textAlignment w:val="baseline"/>
              <w:rPr>
                <w:rFonts w:hint="eastAsia"/>
                <w:b/>
                <w:bCs/>
                <w:color w:val="auto"/>
                <w:highlight w:val="none"/>
              </w:rPr>
            </w:pPr>
            <w:r>
              <w:rPr>
                <w:rFonts w:hint="eastAsia"/>
                <w:b/>
                <w:bCs/>
                <w:color w:val="auto"/>
                <w:highlight w:val="none"/>
              </w:rPr>
              <w:t>2</w:t>
            </w:r>
            <w:r>
              <w:rPr>
                <w:rFonts w:hint="eastAsia"/>
                <w:b/>
                <w:bCs/>
                <w:color w:val="auto"/>
                <w:highlight w:val="none"/>
                <w:lang w:eastAsia="zh-CN"/>
              </w:rPr>
              <w:t>、</w:t>
            </w:r>
            <w:r>
              <w:rPr>
                <w:rFonts w:hint="eastAsia"/>
                <w:b/>
                <w:bCs/>
                <w:color w:val="auto"/>
                <w:highlight w:val="none"/>
              </w:rPr>
              <w:t>各评分因素（评标价和履约信誉评分项除外）得分一般不得低于其权重分值的60%，且各评分因素得分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pPr>
              <w:keepNext w:val="0"/>
              <w:keepLines w:val="0"/>
              <w:pageBreakBefore w:val="0"/>
              <w:widowControl w:val="0"/>
              <w:kinsoku/>
              <w:wordWrap/>
              <w:overflowPunct/>
              <w:topLinePunct w:val="0"/>
              <w:bidi w:val="0"/>
              <w:adjustRightInd w:val="0"/>
              <w:snapToGrid/>
              <w:spacing w:line="360" w:lineRule="auto"/>
              <w:ind w:left="0" w:leftChars="0" w:firstLine="442" w:firstLineChars="200"/>
              <w:jc w:val="left"/>
              <w:textAlignment w:val="baseline"/>
              <w:rPr>
                <w:rFonts w:hint="default"/>
                <w:b/>
                <w:bCs/>
                <w:color w:val="auto"/>
                <w:highlight w:val="none"/>
                <w:lang w:val="en-US" w:eastAsia="zh-CN"/>
              </w:rPr>
            </w:pPr>
            <w:r>
              <w:rPr>
                <w:rFonts w:hint="eastAsia"/>
                <w:b/>
                <w:bCs/>
                <w:color w:val="auto"/>
                <w:highlight w:val="none"/>
                <w:lang w:val="en-US" w:eastAsia="zh-CN"/>
              </w:rPr>
              <w:t>3、投标人若同时在2个</w:t>
            </w:r>
            <w:r>
              <w:rPr>
                <w:rFonts w:hint="eastAsia"/>
                <w:b/>
                <w:bCs/>
                <w:color w:val="auto"/>
                <w:highlight w:val="none"/>
                <w:lang w:eastAsia="zh-CN"/>
              </w:rPr>
              <w:t>及以上</w:t>
            </w:r>
            <w:r>
              <w:rPr>
                <w:rFonts w:hint="eastAsia"/>
                <w:b/>
                <w:bCs/>
                <w:color w:val="auto"/>
                <w:highlight w:val="none"/>
                <w:lang w:val="en-US" w:eastAsia="zh-CN"/>
              </w:rPr>
              <w:t>标段排</w:t>
            </w:r>
            <w:r>
              <w:rPr>
                <w:rFonts w:hint="eastAsia" w:ascii="Times New Roman" w:hAnsi="Times New Roman" w:eastAsia="宋体" w:cs="Times New Roman"/>
                <w:b/>
                <w:bCs/>
                <w:color w:val="auto"/>
                <w:sz w:val="21"/>
                <w:szCs w:val="22"/>
                <w:highlight w:val="none"/>
                <w:lang w:val="en-US" w:eastAsia="zh-CN" w:bidi="ar-SA"/>
              </w:rPr>
              <w:t>名均为第一，</w:t>
            </w:r>
            <w:r>
              <w:rPr>
                <w:rFonts w:hint="eastAsia"/>
                <w:b/>
                <w:bCs/>
                <w:color w:val="auto"/>
                <w:highlight w:val="none"/>
              </w:rPr>
              <w:t>评标委员会将</w:t>
            </w:r>
            <w:r>
              <w:rPr>
                <w:rFonts w:hint="eastAsia"/>
                <w:b/>
                <w:bCs/>
                <w:color w:val="auto"/>
                <w:highlight w:val="none"/>
                <w:lang w:eastAsia="zh-CN"/>
              </w:rPr>
              <w:t>通过确认函的形式由投标人在规定的时间内自行选择、填写中标的标段，若投标人不能在规定的时间内选择相应的标段，可由参与评标的招标人代表专家指定其中标标段，若投标人拒不接受招标人代表专家指定的中标标段，视为投标人放弃其中标资格。</w:t>
            </w:r>
            <w:r>
              <w:rPr>
                <w:rFonts w:hint="eastAsia"/>
                <w:b/>
                <w:bCs/>
                <w:color w:val="auto"/>
                <w:highlight w:val="none"/>
              </w:rPr>
              <w:t>已</w:t>
            </w:r>
            <w:r>
              <w:rPr>
                <w:rFonts w:hint="eastAsia"/>
                <w:b/>
                <w:bCs/>
                <w:color w:val="auto"/>
                <w:highlight w:val="none"/>
                <w:lang w:eastAsia="zh-CN"/>
              </w:rPr>
              <w:t>被</w:t>
            </w:r>
            <w:r>
              <w:rPr>
                <w:rFonts w:hint="eastAsia"/>
                <w:b/>
                <w:bCs/>
                <w:color w:val="auto"/>
                <w:highlight w:val="none"/>
              </w:rPr>
              <w:t>推荐为第一中标候选人</w:t>
            </w:r>
            <w:r>
              <w:rPr>
                <w:rFonts w:hint="eastAsia"/>
                <w:b/>
                <w:bCs/>
                <w:color w:val="auto"/>
                <w:highlight w:val="none"/>
                <w:lang w:eastAsia="zh-CN"/>
              </w:rPr>
              <w:t>的投标人</w:t>
            </w:r>
            <w:r>
              <w:rPr>
                <w:rFonts w:hint="eastAsia"/>
                <w:b/>
                <w:bCs/>
                <w:color w:val="auto"/>
                <w:highlight w:val="none"/>
              </w:rPr>
              <w:t>，</w:t>
            </w:r>
            <w:r>
              <w:rPr>
                <w:rFonts w:hint="eastAsia"/>
                <w:b/>
                <w:bCs/>
                <w:color w:val="auto"/>
                <w:highlight w:val="none"/>
                <w:lang w:eastAsia="zh-CN"/>
              </w:rPr>
              <w:t>其他</w:t>
            </w:r>
            <w:r>
              <w:rPr>
                <w:rFonts w:hint="eastAsia"/>
                <w:b/>
                <w:bCs/>
                <w:color w:val="auto"/>
                <w:highlight w:val="none"/>
              </w:rPr>
              <w:t>的标段则不作为中标候选人推荐，推荐排序第二的投标人为第一中标候选人，依次类推。</w:t>
            </w:r>
          </w:p>
        </w:tc>
      </w:tr>
    </w:tbl>
    <w:p>
      <w:pPr>
        <w:ind w:left="147" w:leftChars="67" w:firstLine="312"/>
        <w:rPr>
          <w:rFonts w:hAnsi="宋体"/>
          <w:b/>
          <w:color w:val="auto"/>
          <w:sz w:val="28"/>
          <w:szCs w:val="28"/>
          <w:highlight w:val="none"/>
        </w:rPr>
      </w:pPr>
    </w:p>
    <w:p>
      <w:pPr>
        <w:widowControl/>
        <w:adjustRightInd/>
        <w:spacing w:line="240" w:lineRule="auto"/>
        <w:ind w:firstLine="0"/>
        <w:jc w:val="left"/>
        <w:textAlignment w:val="auto"/>
        <w:rPr>
          <w:rFonts w:hAnsi="宋体"/>
          <w:b/>
          <w:color w:val="auto"/>
          <w:sz w:val="28"/>
          <w:szCs w:val="28"/>
          <w:highlight w:val="none"/>
        </w:rPr>
      </w:pPr>
      <w:r>
        <w:rPr>
          <w:rFonts w:hAnsi="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right="0" w:firstLine="0" w:firstLineChars="0"/>
        <w:textAlignment w:val="baseline"/>
        <w:rPr>
          <w:rFonts w:hAnsi="宋体"/>
          <w:b/>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 xml:space="preserve"> 评标办法</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Cs w:val="21"/>
          <w:highlight w:val="none"/>
        </w:rPr>
      </w:pPr>
      <w:r>
        <w:rPr>
          <w:rFonts w:ascii="宋体" w:hAnsi="宋体" w:cs="Arial"/>
          <w:color w:val="auto"/>
          <w:sz w:val="24"/>
          <w:szCs w:val="24"/>
          <w:highlight w:val="none"/>
        </w:rPr>
        <w:t>本次评标采用</w:t>
      </w:r>
      <w:r>
        <w:rPr>
          <w:rFonts w:hint="eastAsia" w:ascii="宋体" w:hAnsi="宋体" w:cs="Arial"/>
          <w:color w:val="auto"/>
          <w:sz w:val="24"/>
          <w:szCs w:val="24"/>
          <w:highlight w:val="none"/>
        </w:rPr>
        <w:t>综合评估法</w:t>
      </w:r>
      <w:r>
        <w:rPr>
          <w:rFonts w:ascii="宋体" w:hAnsi="宋体" w:cs="Arial"/>
          <w:color w:val="auto"/>
          <w:sz w:val="24"/>
          <w:szCs w:val="24"/>
          <w:highlight w:val="none"/>
        </w:rPr>
        <w:t>。评标委员会对满足招标文件实质性要求的投标文件，按照本章第2</w:t>
      </w:r>
      <w:r>
        <w:rPr>
          <w:rFonts w:hint="eastAsia" w:ascii="宋体" w:hAnsi="宋体" w:cs="Arial"/>
          <w:color w:val="auto"/>
          <w:sz w:val="24"/>
          <w:szCs w:val="24"/>
          <w:highlight w:val="none"/>
        </w:rPr>
        <w:t>.2款</w:t>
      </w:r>
      <w:r>
        <w:rPr>
          <w:rFonts w:ascii="宋体" w:hAnsi="宋体" w:cs="Arial"/>
          <w:color w:val="auto"/>
          <w:sz w:val="24"/>
          <w:szCs w:val="24"/>
          <w:highlight w:val="none"/>
        </w:rPr>
        <w:t>规定的评分标准进行打分，并按得分由高到低顺序推荐中标候选人，或根据招标人授权直接确定中标人</w:t>
      </w:r>
      <w:r>
        <w:rPr>
          <w:rFonts w:hint="eastAsia" w:ascii="宋体" w:hAnsi="宋体" w:cs="Arial"/>
          <w:color w:val="auto"/>
          <w:sz w:val="24"/>
          <w:szCs w:val="24"/>
          <w:highlight w:val="none"/>
        </w:rPr>
        <w:t>，但投标报价低于其成本的除外。综合评分相等时，评标委员会应按照评标办法前附表规定的优先次序推荐中标候选人或确定中标人</w:t>
      </w:r>
      <w:r>
        <w:rPr>
          <w:rFonts w:ascii="宋体" w:hAnsi="宋体" w:cs="Arial"/>
          <w:color w:val="auto"/>
          <w:sz w:val="24"/>
          <w:szCs w:val="24"/>
          <w:highlight w:val="none"/>
        </w:rPr>
        <w:t>。</w:t>
      </w:r>
    </w:p>
    <w:p>
      <w:pPr>
        <w:pStyle w:val="6"/>
        <w:keepNext w:val="0"/>
        <w:keepLines w:val="0"/>
        <w:pageBreakBefore w:val="0"/>
        <w:widowControl w:val="0"/>
        <w:kinsoku w:val="0"/>
        <w:wordWrap/>
        <w:overflowPunct w:val="0"/>
        <w:topLinePunct w:val="0"/>
        <w:autoSpaceDE/>
        <w:autoSpaceDN/>
        <w:bidi w:val="0"/>
        <w:adjustRightInd/>
        <w:snapToGrid/>
        <w:spacing w:before="157" w:beforeLines="50" w:after="0" w:line="360" w:lineRule="auto"/>
        <w:ind w:right="0"/>
        <w:textAlignment w:val="auto"/>
        <w:rPr>
          <w:rFonts w:ascii="宋体" w:hAnsi="宋体" w:cs="Arial"/>
          <w:b/>
          <w:color w:val="auto"/>
          <w:sz w:val="24"/>
          <w:szCs w:val="24"/>
          <w:highlight w:val="none"/>
        </w:rPr>
      </w:pPr>
      <w:r>
        <w:rPr>
          <w:rFonts w:ascii="宋体" w:hAnsi="宋体" w:cs="Arial"/>
          <w:b/>
          <w:color w:val="auto"/>
          <w:sz w:val="24"/>
          <w:szCs w:val="24"/>
          <w:highlight w:val="none"/>
        </w:rPr>
        <w:t>2.</w:t>
      </w:r>
      <w:r>
        <w:rPr>
          <w:rFonts w:hint="eastAsia" w:ascii="宋体" w:hAnsi="宋体" w:cs="Arial"/>
          <w:b/>
          <w:color w:val="auto"/>
          <w:sz w:val="24"/>
          <w:szCs w:val="24"/>
          <w:highlight w:val="none"/>
        </w:rPr>
        <w:t>评审</w:t>
      </w:r>
      <w:r>
        <w:rPr>
          <w:rFonts w:ascii="宋体" w:hAnsi="宋体" w:cs="Arial"/>
          <w:b/>
          <w:color w:val="auto"/>
          <w:sz w:val="24"/>
          <w:szCs w:val="24"/>
          <w:highlight w:val="none"/>
        </w:rPr>
        <w:t>标准</w:t>
      </w:r>
    </w:p>
    <w:p>
      <w:pPr>
        <w:pStyle w:val="6"/>
        <w:keepNext w:val="0"/>
        <w:keepLines w:val="0"/>
        <w:pageBreakBefore w:val="0"/>
        <w:widowControl w:val="0"/>
        <w:kinsoku w:val="0"/>
        <w:wordWrap/>
        <w:overflowPunct w:val="0"/>
        <w:topLinePunct w:val="0"/>
        <w:autoSpaceDE/>
        <w:autoSpaceDN/>
        <w:bidi w:val="0"/>
        <w:snapToGrid/>
        <w:spacing w:after="0" w:line="360" w:lineRule="auto"/>
        <w:ind w:right="0"/>
        <w:rPr>
          <w:rFonts w:ascii="宋体" w:hAnsi="宋体" w:cs="Arial"/>
          <w:b/>
          <w:color w:val="auto"/>
          <w:sz w:val="24"/>
          <w:szCs w:val="24"/>
          <w:highlight w:val="none"/>
        </w:rPr>
      </w:pPr>
      <w:r>
        <w:rPr>
          <w:rFonts w:hint="eastAsia" w:ascii="宋体" w:hAnsi="宋体" w:cs="Arial"/>
          <w:b/>
          <w:color w:val="auto"/>
          <w:sz w:val="24"/>
          <w:szCs w:val="24"/>
          <w:highlight w:val="none"/>
        </w:rPr>
        <w:t>2.1 初步评审标准</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2.1.1</w:t>
      </w:r>
      <w:r>
        <w:rPr>
          <w:rFonts w:hint="eastAsia" w:ascii="宋体" w:hAnsi="宋体" w:cs="Arial"/>
          <w:color w:val="auto"/>
          <w:sz w:val="24"/>
          <w:szCs w:val="24"/>
          <w:highlight w:val="none"/>
        </w:rPr>
        <w:t xml:space="preserve"> 形式评审标准：见评标办法前附表。</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2.1.</w:t>
      </w:r>
      <w:r>
        <w:rPr>
          <w:rFonts w:hint="eastAsia" w:ascii="宋体" w:hAnsi="宋体" w:cs="Arial"/>
          <w:color w:val="auto"/>
          <w:sz w:val="24"/>
          <w:szCs w:val="24"/>
          <w:highlight w:val="none"/>
        </w:rPr>
        <w:t>2 资格评审标准：见评标办法前附表。</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Cs w:val="21"/>
          <w:highlight w:val="none"/>
        </w:rPr>
      </w:pPr>
      <w:r>
        <w:rPr>
          <w:rFonts w:hint="eastAsia" w:ascii="宋体" w:hAnsi="宋体" w:cs="Arial"/>
          <w:color w:val="auto"/>
          <w:sz w:val="24"/>
          <w:szCs w:val="24"/>
          <w:highlight w:val="none"/>
        </w:rPr>
        <w:t>2.1.3 响应性评审标准：见评标办法前附表。</w:t>
      </w:r>
    </w:p>
    <w:p>
      <w:pPr>
        <w:keepNext w:val="0"/>
        <w:keepLines w:val="0"/>
        <w:pageBreakBefore w:val="0"/>
        <w:widowControl w:val="0"/>
        <w:wordWrap/>
        <w:topLinePunct w:val="0"/>
        <w:autoSpaceDE/>
        <w:autoSpaceDN/>
        <w:bidi w:val="0"/>
        <w:snapToGrid/>
        <w:spacing w:line="360" w:lineRule="auto"/>
        <w:ind w:left="0" w:leftChars="0" w:right="0" w:firstLine="0" w:firstLineChars="0"/>
        <w:rPr>
          <w:rFonts w:hint="eastAsia" w:ascii="宋体" w:hAnsi="宋体" w:eastAsia="宋体" w:cs="Arial"/>
          <w:b/>
          <w:color w:val="auto"/>
          <w:kern w:val="2"/>
          <w:sz w:val="24"/>
          <w:szCs w:val="24"/>
          <w:highlight w:val="none"/>
          <w:lang w:val="en-US" w:eastAsia="zh-CN" w:bidi="ar-SA"/>
        </w:rPr>
      </w:pPr>
      <w:r>
        <w:rPr>
          <w:rFonts w:hint="eastAsia" w:ascii="宋体" w:hAnsi="宋体" w:eastAsia="宋体" w:cs="Arial"/>
          <w:b/>
          <w:color w:val="auto"/>
          <w:kern w:val="2"/>
          <w:sz w:val="24"/>
          <w:szCs w:val="24"/>
          <w:highlight w:val="none"/>
          <w:lang w:val="en-US" w:eastAsia="zh-CN" w:bidi="ar-SA"/>
        </w:rPr>
        <w:t>2.2 分值构成与评分标准</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hint="eastAsia" w:ascii="宋体" w:hAnsi="宋体" w:eastAsia="宋体" w:cs="Arial"/>
          <w:b/>
          <w:color w:val="auto"/>
          <w:kern w:val="2"/>
          <w:sz w:val="24"/>
          <w:szCs w:val="24"/>
          <w:highlight w:val="none"/>
          <w:lang w:val="en-US" w:eastAsia="zh-CN" w:bidi="ar-SA"/>
        </w:rPr>
      </w:pPr>
      <w:r>
        <w:rPr>
          <w:rFonts w:hint="eastAsia" w:ascii="宋体" w:hAnsi="宋体" w:eastAsia="宋体" w:cs="Arial"/>
          <w:b/>
          <w:color w:val="auto"/>
          <w:kern w:val="2"/>
          <w:sz w:val="24"/>
          <w:szCs w:val="24"/>
          <w:highlight w:val="none"/>
          <w:lang w:val="en-US" w:eastAsia="zh-CN" w:bidi="ar-SA"/>
        </w:rPr>
        <w:t>2.2.1 分值构成</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(1</w:t>
      </w:r>
      <w:r>
        <w:rPr>
          <w:rFonts w:hint="eastAsia" w:ascii="宋体" w:hAnsi="宋体" w:cs="Arial"/>
          <w:color w:val="auto"/>
          <w:sz w:val="24"/>
          <w:szCs w:val="24"/>
          <w:highlight w:val="none"/>
        </w:rPr>
        <w:t>）技术建议书：见评标办法前附表；</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w:t>
      </w:r>
      <w:r>
        <w:rPr>
          <w:rFonts w:hint="eastAsia" w:ascii="宋体" w:hAnsi="宋体" w:cs="Arial"/>
          <w:color w:val="auto"/>
          <w:sz w:val="24"/>
          <w:szCs w:val="24"/>
          <w:highlight w:val="none"/>
        </w:rPr>
        <w:t>2）主要人员：见评标办法前附表：</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w:t>
      </w:r>
      <w:r>
        <w:rPr>
          <w:rFonts w:hint="eastAsia" w:ascii="宋体" w:hAnsi="宋体" w:cs="Arial"/>
          <w:color w:val="auto"/>
          <w:sz w:val="24"/>
          <w:szCs w:val="24"/>
          <w:highlight w:val="none"/>
        </w:rPr>
        <w:t>3）评标价：见评标办法前附表：</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w:t>
      </w:r>
      <w:r>
        <w:rPr>
          <w:rFonts w:hint="eastAsia" w:ascii="宋体" w:hAnsi="宋体" w:cs="Arial"/>
          <w:color w:val="auto"/>
          <w:sz w:val="24"/>
          <w:szCs w:val="24"/>
          <w:highlight w:val="none"/>
        </w:rPr>
        <w:t>4）其他评分因素：见评标办法前附表。</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color w:val="auto"/>
          <w:sz w:val="24"/>
          <w:szCs w:val="24"/>
          <w:highlight w:val="none"/>
        </w:rPr>
      </w:pPr>
      <w:r>
        <w:rPr>
          <w:rFonts w:ascii="宋体" w:hAnsi="宋体" w:cs="Arial"/>
          <w:b/>
          <w:color w:val="auto"/>
          <w:sz w:val="24"/>
          <w:szCs w:val="24"/>
          <w:highlight w:val="none"/>
        </w:rPr>
        <w:t xml:space="preserve">2.2.2 </w:t>
      </w:r>
      <w:r>
        <w:rPr>
          <w:rFonts w:hint="eastAsia" w:ascii="宋体" w:hAnsi="宋体" w:cs="Arial"/>
          <w:b/>
          <w:color w:val="auto"/>
          <w:sz w:val="24"/>
          <w:szCs w:val="24"/>
          <w:highlight w:val="none"/>
        </w:rPr>
        <w:t>评标基准价计算</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b/>
          <w:color w:val="auto"/>
          <w:sz w:val="24"/>
          <w:szCs w:val="24"/>
          <w:highlight w:val="none"/>
        </w:rPr>
      </w:pPr>
      <w:r>
        <w:rPr>
          <w:rFonts w:hint="eastAsia" w:ascii="宋体" w:hAnsi="宋体" w:cs="Arial"/>
          <w:color w:val="auto"/>
          <w:sz w:val="24"/>
          <w:szCs w:val="24"/>
          <w:highlight w:val="none"/>
        </w:rPr>
        <w:t>评标基准价计算方法：见评标办法前附表。</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color w:val="auto"/>
          <w:sz w:val="24"/>
          <w:szCs w:val="24"/>
          <w:highlight w:val="none"/>
        </w:rPr>
      </w:pPr>
      <w:r>
        <w:rPr>
          <w:rFonts w:ascii="宋体" w:hAnsi="宋体" w:cs="Arial"/>
          <w:b/>
          <w:color w:val="auto"/>
          <w:sz w:val="24"/>
          <w:szCs w:val="24"/>
          <w:highlight w:val="none"/>
        </w:rPr>
        <w:t xml:space="preserve">2.2.3 </w:t>
      </w:r>
      <w:r>
        <w:rPr>
          <w:rFonts w:hint="eastAsia" w:ascii="宋体" w:hAnsi="宋体" w:cs="Arial"/>
          <w:b/>
          <w:color w:val="auto"/>
          <w:sz w:val="24"/>
          <w:szCs w:val="24"/>
          <w:highlight w:val="none"/>
        </w:rPr>
        <w:t>投标报价的偏差率计算</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评标价偏差率计算公式：见评标办法前附表。</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color w:val="auto"/>
          <w:sz w:val="24"/>
          <w:szCs w:val="24"/>
          <w:highlight w:val="none"/>
        </w:rPr>
      </w:pPr>
      <w:r>
        <w:rPr>
          <w:rFonts w:ascii="宋体" w:hAnsi="宋体" w:cs="Arial"/>
          <w:b/>
          <w:color w:val="auto"/>
          <w:sz w:val="24"/>
          <w:szCs w:val="24"/>
          <w:highlight w:val="none"/>
        </w:rPr>
        <w:t xml:space="preserve">2.2.4  </w:t>
      </w:r>
      <w:r>
        <w:rPr>
          <w:rFonts w:hint="eastAsia" w:ascii="宋体" w:hAnsi="宋体" w:cs="Arial"/>
          <w:b/>
          <w:color w:val="auto"/>
          <w:sz w:val="24"/>
          <w:szCs w:val="24"/>
          <w:highlight w:val="none"/>
        </w:rPr>
        <w:t>评分标准</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(1</w:t>
      </w:r>
      <w:r>
        <w:rPr>
          <w:rFonts w:hint="eastAsia" w:ascii="宋体" w:hAnsi="宋体" w:cs="Arial"/>
          <w:color w:val="auto"/>
          <w:sz w:val="24"/>
          <w:szCs w:val="24"/>
          <w:highlight w:val="none"/>
        </w:rPr>
        <w:t>）技术建议书评分标准：见评标办法前附表；</w:t>
      </w:r>
    </w:p>
    <w:p>
      <w:pPr>
        <w:keepNext w:val="0"/>
        <w:keepLines w:val="0"/>
        <w:pageBreakBefore w:val="0"/>
        <w:widowControl w:val="0"/>
        <w:wordWrap/>
        <w:topLinePunct w:val="0"/>
        <w:autoSpaceDE/>
        <w:autoSpaceDN/>
        <w:bidi w:val="0"/>
        <w:snapToGrid/>
        <w:spacing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w:t>
      </w:r>
      <w:r>
        <w:rPr>
          <w:rFonts w:hint="eastAsia" w:ascii="宋体" w:hAnsi="宋体" w:cs="Arial"/>
          <w:color w:val="auto"/>
          <w:sz w:val="24"/>
          <w:szCs w:val="24"/>
          <w:highlight w:val="none"/>
        </w:rPr>
        <w:t>2）主要人员评分标准：见评标办法前附表；</w:t>
      </w:r>
    </w:p>
    <w:p>
      <w:pPr>
        <w:keepNext w:val="0"/>
        <w:keepLines w:val="0"/>
        <w:pageBreakBefore w:val="0"/>
        <w:widowControl w:val="0"/>
        <w:wordWrap/>
        <w:topLinePunct w:val="0"/>
        <w:autoSpaceDE/>
        <w:autoSpaceDN/>
        <w:bidi w:val="0"/>
        <w:snapToGrid/>
        <w:spacing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w:t>
      </w:r>
      <w:r>
        <w:rPr>
          <w:rFonts w:hint="eastAsia" w:ascii="宋体" w:hAnsi="宋体" w:cs="Arial"/>
          <w:color w:val="auto"/>
          <w:sz w:val="24"/>
          <w:szCs w:val="24"/>
          <w:highlight w:val="none"/>
        </w:rPr>
        <w:t>3）评标价评分标准：见评标办法前附表：</w:t>
      </w:r>
    </w:p>
    <w:p>
      <w:pPr>
        <w:keepNext w:val="0"/>
        <w:keepLines w:val="0"/>
        <w:pageBreakBefore w:val="0"/>
        <w:widowControl w:val="0"/>
        <w:wordWrap/>
        <w:topLinePunct w:val="0"/>
        <w:autoSpaceDE/>
        <w:autoSpaceDN/>
        <w:bidi w:val="0"/>
        <w:snapToGrid/>
        <w:spacing w:line="360" w:lineRule="auto"/>
        <w:ind w:left="0" w:leftChars="0" w:right="0" w:firstLine="480" w:firstLineChars="200"/>
        <w:rPr>
          <w:rFonts w:ascii="宋体" w:hAnsi="宋体" w:cs="Arial"/>
          <w:color w:val="auto"/>
          <w:sz w:val="24"/>
          <w:szCs w:val="24"/>
          <w:highlight w:val="none"/>
        </w:rPr>
      </w:pPr>
      <w:r>
        <w:rPr>
          <w:rFonts w:ascii="宋体" w:hAnsi="宋体" w:cs="Arial"/>
          <w:color w:val="auto"/>
          <w:sz w:val="24"/>
          <w:szCs w:val="24"/>
          <w:highlight w:val="none"/>
        </w:rPr>
        <w:t>(</w:t>
      </w:r>
      <w:r>
        <w:rPr>
          <w:rFonts w:hint="eastAsia" w:ascii="宋体" w:hAnsi="宋体" w:cs="Arial"/>
          <w:color w:val="auto"/>
          <w:sz w:val="24"/>
          <w:szCs w:val="24"/>
          <w:highlight w:val="none"/>
        </w:rPr>
        <w:t>4）其他因素评分标准：见评标办法前附表。</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right="0" w:firstLine="0" w:firstLineChars="0"/>
        <w:textAlignment w:val="baseline"/>
        <w:rPr>
          <w:rFonts w:hint="eastAsia" w:ascii="宋体" w:hAnsi="宋体" w:eastAsia="宋体" w:cs="Arial"/>
          <w:b/>
          <w:color w:val="auto"/>
          <w:kern w:val="2"/>
          <w:sz w:val="24"/>
          <w:szCs w:val="24"/>
          <w:highlight w:val="none"/>
          <w:lang w:val="en-US" w:eastAsia="zh-CN" w:bidi="ar-SA"/>
        </w:rPr>
      </w:pPr>
      <w:r>
        <w:rPr>
          <w:rFonts w:hint="eastAsia" w:ascii="宋体" w:hAnsi="宋体" w:eastAsia="宋体" w:cs="Arial"/>
          <w:b/>
          <w:color w:val="auto"/>
          <w:kern w:val="2"/>
          <w:sz w:val="24"/>
          <w:szCs w:val="24"/>
          <w:highlight w:val="none"/>
          <w:lang w:val="en-US" w:eastAsia="zh-CN" w:bidi="ar-SA"/>
        </w:rPr>
        <w:t>3. 评标程序</w:t>
      </w:r>
    </w:p>
    <w:p>
      <w:pPr>
        <w:keepNext w:val="0"/>
        <w:keepLines w:val="0"/>
        <w:pageBreakBefore w:val="0"/>
        <w:widowControl w:val="0"/>
        <w:wordWrap/>
        <w:topLinePunct w:val="0"/>
        <w:autoSpaceDE/>
        <w:autoSpaceDN/>
        <w:bidi w:val="0"/>
        <w:snapToGrid/>
        <w:spacing w:line="360" w:lineRule="auto"/>
        <w:ind w:left="0" w:leftChars="0" w:right="0" w:firstLine="0" w:firstLineChars="0"/>
        <w:rPr>
          <w:rFonts w:hint="eastAsia" w:ascii="宋体" w:hAnsi="宋体" w:eastAsia="宋体" w:cs="Arial"/>
          <w:b/>
          <w:color w:val="auto"/>
          <w:kern w:val="2"/>
          <w:sz w:val="24"/>
          <w:szCs w:val="24"/>
          <w:highlight w:val="none"/>
          <w:lang w:val="en-US" w:eastAsia="zh-CN" w:bidi="ar-SA"/>
        </w:rPr>
      </w:pPr>
      <w:r>
        <w:rPr>
          <w:rFonts w:hint="eastAsia" w:ascii="宋体" w:hAnsi="宋体" w:eastAsia="宋体" w:cs="Arial"/>
          <w:b/>
          <w:color w:val="auto"/>
          <w:kern w:val="2"/>
          <w:sz w:val="24"/>
          <w:szCs w:val="24"/>
          <w:highlight w:val="none"/>
          <w:lang w:val="en-US" w:eastAsia="zh-CN" w:bidi="ar-SA"/>
        </w:rPr>
        <w:t>3.1 第一个信封初步评审</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3.1.1评标委员会可以要求投标人提交第二章“投标人须知”第3.5.1项至第3.5.</w:t>
      </w:r>
      <w:r>
        <w:rPr>
          <w:rFonts w:hint="eastAsia" w:ascii="宋体" w:hAnsi="宋体" w:cs="Arial"/>
          <w:b/>
          <w:bCs/>
          <w:color w:val="auto"/>
          <w:sz w:val="24"/>
          <w:szCs w:val="24"/>
          <w:highlight w:val="none"/>
        </w:rPr>
        <w:t>5</w:t>
      </w:r>
      <w:r>
        <w:rPr>
          <w:rFonts w:ascii="宋体" w:hAnsi="宋体" w:cs="Arial"/>
          <w:b/>
          <w:bCs/>
          <w:color w:val="auto"/>
          <w:sz w:val="24"/>
          <w:szCs w:val="24"/>
          <w:highlight w:val="none"/>
        </w:rPr>
        <w:t>项规定的有关证明和证件的原件，以便核验。评标委员会依据本章第2.1款规定的标准对投标文件</w:t>
      </w:r>
      <w:r>
        <w:rPr>
          <w:rFonts w:hint="eastAsia" w:ascii="宋体" w:hAnsi="宋体" w:cs="Arial"/>
          <w:b/>
          <w:bCs/>
          <w:color w:val="auto"/>
          <w:sz w:val="24"/>
          <w:szCs w:val="24"/>
          <w:highlight w:val="none"/>
        </w:rPr>
        <w:t>第一个信封（商务及技术文件）</w:t>
      </w:r>
      <w:r>
        <w:rPr>
          <w:rFonts w:ascii="宋体" w:hAnsi="宋体" w:cs="Arial"/>
          <w:b/>
          <w:bCs/>
          <w:color w:val="auto"/>
          <w:sz w:val="24"/>
          <w:szCs w:val="24"/>
          <w:highlight w:val="none"/>
        </w:rPr>
        <w:t>进行初步评审。有一项不符合评审标准的，</w:t>
      </w:r>
      <w:r>
        <w:rPr>
          <w:rFonts w:hint="eastAsia" w:ascii="宋体" w:hAnsi="宋体" w:cs="Arial"/>
          <w:b/>
          <w:bCs/>
          <w:color w:val="auto"/>
          <w:sz w:val="24"/>
          <w:szCs w:val="24"/>
          <w:highlight w:val="none"/>
        </w:rPr>
        <w:t>评标委员会应否决其投标</w:t>
      </w:r>
      <w:r>
        <w:rPr>
          <w:rFonts w:ascii="宋体" w:hAnsi="宋体" w:cs="Arial"/>
          <w:b/>
          <w:bCs/>
          <w:color w:val="auto"/>
          <w:sz w:val="24"/>
          <w:szCs w:val="24"/>
          <w:highlight w:val="none"/>
        </w:rPr>
        <w:t>。</w:t>
      </w:r>
    </w:p>
    <w:p>
      <w:pPr>
        <w:pStyle w:val="6"/>
        <w:keepNext w:val="0"/>
        <w:keepLines w:val="0"/>
        <w:pageBreakBefore w:val="0"/>
        <w:widowControl w:val="0"/>
        <w:kinsoku w:val="0"/>
        <w:wordWrap/>
        <w:overflowPunct w:val="0"/>
        <w:topLinePunct w:val="0"/>
        <w:autoSpaceDE/>
        <w:autoSpaceDN/>
        <w:bidi w:val="0"/>
        <w:adjustRightInd/>
        <w:snapToGrid/>
        <w:spacing w:before="157" w:beforeLines="50" w:after="0" w:line="360" w:lineRule="auto"/>
        <w:ind w:left="0" w:leftChars="0" w:right="0" w:firstLine="0" w:firstLineChars="0"/>
        <w:textAlignment w:val="auto"/>
        <w:rPr>
          <w:rFonts w:hint="eastAsia" w:ascii="宋体" w:hAnsi="宋体" w:eastAsia="宋体" w:cs="Arial"/>
          <w:b/>
          <w:bCs/>
          <w:color w:val="auto"/>
          <w:kern w:val="2"/>
          <w:sz w:val="24"/>
          <w:szCs w:val="24"/>
          <w:highlight w:val="none"/>
          <w:lang w:val="en-US" w:eastAsia="zh-CN" w:bidi="ar-SA"/>
        </w:rPr>
      </w:pPr>
      <w:r>
        <w:rPr>
          <w:rFonts w:hint="eastAsia" w:ascii="宋体" w:hAnsi="宋体" w:eastAsia="宋体" w:cs="Arial"/>
          <w:b/>
          <w:bCs/>
          <w:color w:val="auto"/>
          <w:kern w:val="2"/>
          <w:sz w:val="24"/>
          <w:szCs w:val="24"/>
          <w:highlight w:val="none"/>
          <w:lang w:val="en-US" w:eastAsia="zh-CN" w:bidi="ar-SA"/>
        </w:rPr>
        <w:t>3.2 第一个信封详细评审</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 xml:space="preserve">3.2.1 </w:t>
      </w:r>
      <w:r>
        <w:rPr>
          <w:rFonts w:hint="eastAsia" w:ascii="宋体" w:hAnsi="宋体" w:cs="Arial"/>
          <w:b/>
          <w:bCs/>
          <w:color w:val="auto"/>
          <w:sz w:val="24"/>
          <w:szCs w:val="24"/>
          <w:highlight w:val="none"/>
        </w:rPr>
        <w:t>评标委员会按本章第</w:t>
      </w:r>
      <w:r>
        <w:rPr>
          <w:rFonts w:ascii="宋体" w:hAnsi="宋体" w:cs="Arial"/>
          <w:b/>
          <w:bCs/>
          <w:color w:val="auto"/>
          <w:sz w:val="24"/>
          <w:szCs w:val="24"/>
          <w:highlight w:val="none"/>
        </w:rPr>
        <w:t xml:space="preserve"> 2.2 </w:t>
      </w:r>
      <w:r>
        <w:rPr>
          <w:rFonts w:hint="eastAsia" w:ascii="宋体" w:hAnsi="宋体" w:cs="Arial"/>
          <w:b/>
          <w:bCs/>
          <w:color w:val="auto"/>
          <w:sz w:val="24"/>
          <w:szCs w:val="24"/>
          <w:highlight w:val="none"/>
        </w:rPr>
        <w:t>款规定的量化因素和分值进行打分，并计算出各投标人的商务和技术得分。</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（1</w:t>
      </w:r>
      <w:r>
        <w:rPr>
          <w:rFonts w:ascii="宋体" w:hAnsi="宋体" w:cs="Arial"/>
          <w:b/>
          <w:bCs/>
          <w:color w:val="auto"/>
          <w:sz w:val="24"/>
          <w:szCs w:val="24"/>
          <w:highlight w:val="none"/>
        </w:rPr>
        <w:t xml:space="preserve">） </w:t>
      </w:r>
      <w:r>
        <w:rPr>
          <w:rFonts w:hint="eastAsia" w:ascii="宋体" w:hAnsi="宋体" w:cs="Arial"/>
          <w:b/>
          <w:bCs/>
          <w:color w:val="auto"/>
          <w:sz w:val="24"/>
          <w:szCs w:val="24"/>
          <w:highlight w:val="none"/>
        </w:rPr>
        <w:t>按本章第</w:t>
      </w:r>
      <w:r>
        <w:rPr>
          <w:rFonts w:ascii="宋体" w:hAnsi="宋体" w:cs="Arial"/>
          <w:b/>
          <w:bCs/>
          <w:color w:val="auto"/>
          <w:sz w:val="24"/>
          <w:szCs w:val="24"/>
          <w:highlight w:val="none"/>
        </w:rPr>
        <w:t xml:space="preserve"> 2.2.4  ( </w:t>
      </w:r>
      <w:r>
        <w:rPr>
          <w:rFonts w:hint="eastAsia" w:ascii="宋体" w:hAnsi="宋体" w:cs="Arial"/>
          <w:b/>
          <w:bCs/>
          <w:color w:val="auto"/>
          <w:sz w:val="24"/>
          <w:szCs w:val="24"/>
          <w:highlight w:val="none"/>
        </w:rPr>
        <w:t>1）目规定的评审因素和分值对技术建议书部分计算出得分</w:t>
      </w:r>
      <w:r>
        <w:rPr>
          <w:rFonts w:ascii="宋体" w:hAnsi="宋体" w:cs="Arial"/>
          <w:b/>
          <w:bCs/>
          <w:color w:val="auto"/>
          <w:sz w:val="24"/>
          <w:szCs w:val="24"/>
          <w:highlight w:val="none"/>
        </w:rPr>
        <w:t xml:space="preserve"> A;</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（2</w:t>
      </w:r>
      <w:r>
        <w:rPr>
          <w:rFonts w:ascii="宋体" w:hAnsi="宋体" w:cs="Arial"/>
          <w:b/>
          <w:bCs/>
          <w:color w:val="auto"/>
          <w:sz w:val="24"/>
          <w:szCs w:val="24"/>
          <w:highlight w:val="none"/>
        </w:rPr>
        <w:t xml:space="preserve">） </w:t>
      </w:r>
      <w:r>
        <w:rPr>
          <w:rFonts w:hint="eastAsia" w:ascii="宋体" w:hAnsi="宋体" w:cs="Arial"/>
          <w:b/>
          <w:bCs/>
          <w:color w:val="auto"/>
          <w:sz w:val="24"/>
          <w:szCs w:val="24"/>
          <w:highlight w:val="none"/>
        </w:rPr>
        <w:t>按本章第</w:t>
      </w:r>
      <w:r>
        <w:rPr>
          <w:rFonts w:ascii="宋体" w:hAnsi="宋体" w:cs="Arial"/>
          <w:b/>
          <w:bCs/>
          <w:color w:val="auto"/>
          <w:sz w:val="24"/>
          <w:szCs w:val="24"/>
          <w:highlight w:val="none"/>
        </w:rPr>
        <w:t xml:space="preserve"> 2.2.4  ( 2 </w:t>
      </w:r>
      <w:r>
        <w:rPr>
          <w:rFonts w:hint="eastAsia" w:ascii="宋体" w:hAnsi="宋体" w:cs="Arial"/>
          <w:b/>
          <w:bCs/>
          <w:color w:val="auto"/>
          <w:sz w:val="24"/>
          <w:szCs w:val="24"/>
          <w:highlight w:val="none"/>
        </w:rPr>
        <w:t>）目规定的评审因素和分值对主要人员部分计算出得分</w:t>
      </w:r>
      <w:r>
        <w:rPr>
          <w:rFonts w:ascii="宋体" w:hAnsi="宋体" w:cs="Arial"/>
          <w:b/>
          <w:bCs/>
          <w:color w:val="auto"/>
          <w:sz w:val="24"/>
          <w:szCs w:val="24"/>
          <w:highlight w:val="none"/>
        </w:rPr>
        <w:t>B;</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（3</w:t>
      </w:r>
      <w:r>
        <w:rPr>
          <w:rFonts w:ascii="宋体" w:hAnsi="宋体" w:cs="Arial"/>
          <w:b/>
          <w:bCs/>
          <w:color w:val="auto"/>
          <w:sz w:val="24"/>
          <w:szCs w:val="24"/>
          <w:highlight w:val="none"/>
        </w:rPr>
        <w:t xml:space="preserve">） </w:t>
      </w:r>
      <w:r>
        <w:rPr>
          <w:rFonts w:hint="eastAsia" w:ascii="宋体" w:hAnsi="宋体" w:cs="Arial"/>
          <w:b/>
          <w:bCs/>
          <w:color w:val="auto"/>
          <w:sz w:val="24"/>
          <w:szCs w:val="24"/>
          <w:highlight w:val="none"/>
        </w:rPr>
        <w:t>按本章第</w:t>
      </w:r>
      <w:r>
        <w:rPr>
          <w:rFonts w:ascii="宋体" w:hAnsi="宋体" w:cs="Arial"/>
          <w:b/>
          <w:bCs/>
          <w:color w:val="auto"/>
          <w:sz w:val="24"/>
          <w:szCs w:val="24"/>
          <w:highlight w:val="none"/>
        </w:rPr>
        <w:t xml:space="preserve"> 2.2.4  ( 4 </w:t>
      </w:r>
      <w:r>
        <w:rPr>
          <w:rFonts w:hint="eastAsia" w:ascii="宋体" w:hAnsi="宋体" w:cs="Arial"/>
          <w:b/>
          <w:bCs/>
          <w:color w:val="auto"/>
          <w:sz w:val="24"/>
          <w:szCs w:val="24"/>
          <w:highlight w:val="none"/>
        </w:rPr>
        <w:t>）目规定的评审因素和分值对其他部分计算出得分</w:t>
      </w:r>
      <w:r>
        <w:rPr>
          <w:rFonts w:ascii="宋体" w:hAnsi="宋体" w:cs="Arial"/>
          <w:b/>
          <w:bCs/>
          <w:color w:val="auto"/>
          <w:sz w:val="24"/>
          <w:szCs w:val="24"/>
          <w:highlight w:val="none"/>
        </w:rPr>
        <w:t xml:space="preserve"> D</w:t>
      </w:r>
      <w:r>
        <w:rPr>
          <w:rFonts w:hint="eastAsia" w:ascii="宋体" w:hAnsi="宋体" w:cs="Arial"/>
          <w:b/>
          <w:bCs/>
          <w:color w:val="auto"/>
          <w:sz w:val="24"/>
          <w:szCs w:val="24"/>
          <w:highlight w:val="none"/>
        </w:rPr>
        <w:t>。</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 xml:space="preserve">3.2.2  </w:t>
      </w:r>
      <w:r>
        <w:rPr>
          <w:rFonts w:hint="eastAsia" w:ascii="宋体" w:hAnsi="宋体" w:cs="Arial"/>
          <w:b/>
          <w:bCs/>
          <w:color w:val="auto"/>
          <w:sz w:val="24"/>
          <w:szCs w:val="24"/>
          <w:highlight w:val="none"/>
        </w:rPr>
        <w:t>投标人的商务和技术得分分值计算保留小数点后两位，小数点后第三位“四舍五入”。</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 xml:space="preserve">3.2.3  </w:t>
      </w:r>
      <w:r>
        <w:rPr>
          <w:rFonts w:hint="eastAsia" w:ascii="宋体" w:hAnsi="宋体" w:cs="Arial"/>
          <w:b/>
          <w:bCs/>
          <w:color w:val="auto"/>
          <w:sz w:val="24"/>
          <w:szCs w:val="24"/>
          <w:highlight w:val="none"/>
        </w:rPr>
        <w:t>投标人的商务和技术得分</w:t>
      </w:r>
      <w:r>
        <w:rPr>
          <w:rFonts w:ascii="宋体" w:hAnsi="宋体" w:cs="Arial"/>
          <w:b/>
          <w:bCs/>
          <w:color w:val="auto"/>
          <w:sz w:val="24"/>
          <w:szCs w:val="24"/>
          <w:highlight w:val="none"/>
        </w:rPr>
        <w:t xml:space="preserve"> A+B+D</w:t>
      </w:r>
      <w:r>
        <w:rPr>
          <w:rFonts w:hint="eastAsia" w:ascii="宋体" w:hAnsi="宋体" w:cs="Arial"/>
          <w:b/>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right="0" w:firstLine="0" w:firstLineChars="0"/>
        <w:textAlignment w:val="baseline"/>
        <w:rPr>
          <w:rFonts w:hint="eastAsia" w:ascii="宋体" w:hAnsi="宋体" w:eastAsia="宋体" w:cs="Arial"/>
          <w:b/>
          <w:bCs/>
          <w:color w:val="auto"/>
          <w:kern w:val="2"/>
          <w:sz w:val="24"/>
          <w:szCs w:val="24"/>
          <w:highlight w:val="none"/>
          <w:lang w:val="en-US" w:eastAsia="zh-CN" w:bidi="ar-SA"/>
        </w:rPr>
      </w:pPr>
      <w:r>
        <w:rPr>
          <w:rFonts w:hint="eastAsia" w:ascii="宋体" w:hAnsi="宋体" w:eastAsia="宋体" w:cs="Arial"/>
          <w:b/>
          <w:bCs/>
          <w:color w:val="auto"/>
          <w:kern w:val="2"/>
          <w:sz w:val="24"/>
          <w:szCs w:val="24"/>
          <w:highlight w:val="none"/>
          <w:lang w:val="en-US" w:eastAsia="zh-CN" w:bidi="ar-SA"/>
        </w:rPr>
        <w:t>3.3 第二个信封开标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right="0" w:firstLine="0" w:firstLineChars="0"/>
        <w:textAlignment w:val="baseline"/>
        <w:rPr>
          <w:rFonts w:ascii="宋体" w:hAnsi="宋体" w:cs="Arial"/>
          <w:b/>
          <w:bCs/>
          <w:color w:val="auto"/>
          <w:sz w:val="24"/>
          <w:szCs w:val="24"/>
          <w:highlight w:val="none"/>
        </w:rPr>
      </w:pPr>
      <w:r>
        <w:rPr>
          <w:rFonts w:hint="eastAsia" w:ascii="宋体" w:hAnsi="宋体" w:eastAsia="宋体" w:cs="Arial"/>
          <w:b/>
          <w:bCs/>
          <w:color w:val="auto"/>
          <w:kern w:val="2"/>
          <w:sz w:val="24"/>
          <w:szCs w:val="24"/>
          <w:highlight w:val="none"/>
          <w:lang w:val="en-US" w:eastAsia="zh-CN" w:bidi="ar-SA"/>
        </w:rPr>
        <w:t>3.4 第二个信封初步评审</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3.4.1</w:t>
      </w:r>
      <w:r>
        <w:rPr>
          <w:rFonts w:ascii="宋体" w:hAnsi="宋体" w:cs="Arial"/>
          <w:b/>
          <w:bCs/>
          <w:color w:val="auto"/>
          <w:sz w:val="24"/>
          <w:szCs w:val="24"/>
          <w:highlight w:val="none"/>
        </w:rPr>
        <w:t>评标委员会</w:t>
      </w:r>
      <w:r>
        <w:rPr>
          <w:rFonts w:hint="eastAsia" w:ascii="宋体" w:hAnsi="宋体" w:cs="Arial"/>
          <w:b/>
          <w:bCs/>
          <w:color w:val="auto"/>
          <w:sz w:val="24"/>
          <w:szCs w:val="24"/>
          <w:highlight w:val="none"/>
        </w:rPr>
        <w:t>依据本章</w:t>
      </w:r>
      <w:r>
        <w:rPr>
          <w:rFonts w:ascii="宋体" w:hAnsi="宋体" w:cs="Arial"/>
          <w:b/>
          <w:bCs/>
          <w:color w:val="auto"/>
          <w:sz w:val="24"/>
          <w:szCs w:val="24"/>
          <w:highlight w:val="none"/>
        </w:rPr>
        <w:t>第</w:t>
      </w:r>
      <w:r>
        <w:rPr>
          <w:rFonts w:hint="eastAsia" w:ascii="宋体" w:hAnsi="宋体" w:cs="Arial"/>
          <w:b/>
          <w:bCs/>
          <w:color w:val="auto"/>
          <w:sz w:val="24"/>
          <w:szCs w:val="24"/>
          <w:highlight w:val="none"/>
        </w:rPr>
        <w:t>2.1</w:t>
      </w:r>
      <w:r>
        <w:rPr>
          <w:rFonts w:ascii="宋体" w:hAnsi="宋体" w:cs="Arial"/>
          <w:b/>
          <w:bCs/>
          <w:color w:val="auto"/>
          <w:sz w:val="24"/>
          <w:szCs w:val="24"/>
          <w:highlight w:val="none"/>
        </w:rPr>
        <w:t>.1项</w:t>
      </w:r>
      <w:r>
        <w:rPr>
          <w:rFonts w:hint="eastAsia" w:ascii="宋体" w:hAnsi="宋体" w:cs="Arial"/>
          <w:b/>
          <w:bCs/>
          <w:color w:val="auto"/>
          <w:sz w:val="24"/>
          <w:szCs w:val="24"/>
          <w:highlight w:val="none"/>
        </w:rPr>
        <w:t>、</w:t>
      </w:r>
      <w:r>
        <w:rPr>
          <w:rFonts w:ascii="宋体" w:hAnsi="宋体" w:cs="Arial"/>
          <w:b/>
          <w:bCs/>
          <w:color w:val="auto"/>
          <w:sz w:val="24"/>
          <w:szCs w:val="24"/>
          <w:highlight w:val="none"/>
        </w:rPr>
        <w:t>第</w:t>
      </w:r>
      <w:r>
        <w:rPr>
          <w:rFonts w:hint="eastAsia" w:ascii="宋体" w:hAnsi="宋体" w:cs="Arial"/>
          <w:b/>
          <w:bCs/>
          <w:color w:val="auto"/>
          <w:sz w:val="24"/>
          <w:szCs w:val="24"/>
          <w:highlight w:val="none"/>
        </w:rPr>
        <w:t>2</w:t>
      </w:r>
      <w:r>
        <w:rPr>
          <w:rFonts w:ascii="宋体" w:hAnsi="宋体" w:cs="Arial"/>
          <w:b/>
          <w:bCs/>
          <w:color w:val="auto"/>
          <w:sz w:val="24"/>
          <w:szCs w:val="24"/>
          <w:highlight w:val="none"/>
        </w:rPr>
        <w:t>.</w:t>
      </w:r>
      <w:r>
        <w:rPr>
          <w:rFonts w:hint="eastAsia" w:ascii="宋体" w:hAnsi="宋体" w:cs="Arial"/>
          <w:b/>
          <w:bCs/>
          <w:color w:val="auto"/>
          <w:sz w:val="24"/>
          <w:szCs w:val="24"/>
          <w:highlight w:val="none"/>
        </w:rPr>
        <w:t>1</w:t>
      </w:r>
      <w:r>
        <w:rPr>
          <w:rFonts w:ascii="宋体" w:hAnsi="宋体" w:cs="Arial"/>
          <w:b/>
          <w:bCs/>
          <w:color w:val="auto"/>
          <w:sz w:val="24"/>
          <w:szCs w:val="24"/>
          <w:highlight w:val="none"/>
        </w:rPr>
        <w:t>.</w:t>
      </w:r>
      <w:r>
        <w:rPr>
          <w:rFonts w:hint="eastAsia" w:ascii="宋体" w:hAnsi="宋体" w:cs="Arial"/>
          <w:b/>
          <w:bCs/>
          <w:color w:val="auto"/>
          <w:sz w:val="24"/>
          <w:szCs w:val="24"/>
          <w:highlight w:val="none"/>
        </w:rPr>
        <w:t>3</w:t>
      </w:r>
      <w:r>
        <w:rPr>
          <w:rFonts w:ascii="宋体" w:hAnsi="宋体" w:cs="Arial"/>
          <w:b/>
          <w:bCs/>
          <w:color w:val="auto"/>
          <w:sz w:val="24"/>
          <w:szCs w:val="24"/>
          <w:highlight w:val="none"/>
        </w:rPr>
        <w:t>项规定的</w:t>
      </w:r>
      <w:r>
        <w:rPr>
          <w:rFonts w:hint="eastAsia" w:ascii="宋体" w:hAnsi="宋体" w:cs="Arial"/>
          <w:b/>
          <w:bCs/>
          <w:color w:val="auto"/>
          <w:sz w:val="24"/>
          <w:szCs w:val="24"/>
          <w:highlight w:val="none"/>
        </w:rPr>
        <w:t>评审标准对投标文件第二个信封（报价文件）进行初步评审</w:t>
      </w:r>
      <w:r>
        <w:rPr>
          <w:rFonts w:ascii="宋体" w:hAnsi="宋体" w:cs="Arial"/>
          <w:b/>
          <w:bCs/>
          <w:color w:val="auto"/>
          <w:sz w:val="24"/>
          <w:szCs w:val="24"/>
          <w:highlight w:val="none"/>
        </w:rPr>
        <w:t>。有一项不符合评审标准的，</w:t>
      </w:r>
      <w:r>
        <w:rPr>
          <w:rFonts w:hint="eastAsia" w:ascii="宋体" w:hAnsi="宋体" w:cs="Arial"/>
          <w:b/>
          <w:bCs/>
          <w:color w:val="auto"/>
          <w:sz w:val="24"/>
          <w:szCs w:val="24"/>
          <w:highlight w:val="none"/>
        </w:rPr>
        <w:t>评标委员会应否决其投标</w:t>
      </w:r>
      <w:r>
        <w:rPr>
          <w:rFonts w:ascii="宋体" w:hAnsi="宋体" w:cs="Arial"/>
          <w:b/>
          <w:bCs/>
          <w:color w:val="auto"/>
          <w:sz w:val="24"/>
          <w:szCs w:val="24"/>
          <w:highlight w:val="none"/>
        </w:rPr>
        <w:t>。</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 xml:space="preserve">3.4.2 </w:t>
      </w:r>
      <w:r>
        <w:rPr>
          <w:rFonts w:ascii="宋体" w:hAnsi="宋体" w:cs="Arial"/>
          <w:b/>
          <w:bCs/>
          <w:color w:val="auto"/>
          <w:sz w:val="24"/>
          <w:szCs w:val="24"/>
          <w:highlight w:val="none"/>
        </w:rPr>
        <w:t>投标报价有算术错误的，评标委员会按以下原则对投标报价进行修正，修正的价格经投标人书面确认后具有约束力。投标人不接受修正价格的，</w:t>
      </w:r>
      <w:r>
        <w:rPr>
          <w:rFonts w:hint="eastAsia" w:ascii="宋体" w:hAnsi="宋体" w:cs="Arial"/>
          <w:b/>
          <w:bCs/>
          <w:color w:val="auto"/>
          <w:sz w:val="24"/>
          <w:szCs w:val="24"/>
          <w:highlight w:val="none"/>
        </w:rPr>
        <w:t>评标委员会应否决其投标。</w:t>
      </w:r>
    </w:p>
    <w:p>
      <w:pPr>
        <w:keepNext w:val="0"/>
        <w:keepLines w:val="0"/>
        <w:pageBreakBefore w:val="0"/>
        <w:widowControl w:val="0"/>
        <w:wordWrap/>
        <w:topLinePunct w:val="0"/>
        <w:autoSpaceDE/>
        <w:autoSpaceDN/>
        <w:bidi w:val="0"/>
        <w:adjustRightInd/>
        <w:snapToGrid/>
        <w:spacing w:line="360" w:lineRule="auto"/>
        <w:ind w:left="0" w:leftChars="0" w:right="0" w:firstLine="482" w:firstLineChars="200"/>
        <w:textAlignment w:val="auto"/>
        <w:rPr>
          <w:rFonts w:ascii="宋体" w:hAnsi="宋体" w:cs="Arial"/>
          <w:b/>
          <w:bCs/>
          <w:color w:val="auto"/>
          <w:sz w:val="24"/>
          <w:szCs w:val="24"/>
          <w:highlight w:val="none"/>
        </w:rPr>
      </w:pPr>
      <w:r>
        <w:rPr>
          <w:rFonts w:hint="eastAsia" w:ascii="宋体" w:hAnsi="宋体" w:cs="Arial"/>
          <w:b/>
          <w:bCs/>
          <w:color w:val="auto"/>
          <w:sz w:val="24"/>
          <w:szCs w:val="24"/>
          <w:highlight w:val="none"/>
        </w:rPr>
        <w:t>（1）</w:t>
      </w:r>
      <w:r>
        <w:rPr>
          <w:rFonts w:ascii="宋体" w:hAnsi="宋体" w:cs="Arial"/>
          <w:b/>
          <w:bCs/>
          <w:color w:val="auto"/>
          <w:sz w:val="24"/>
          <w:szCs w:val="24"/>
          <w:highlight w:val="none"/>
        </w:rPr>
        <w:t>投标文件中的大写金额与小写金额不一致的，以大写金额为准；</w:t>
      </w:r>
    </w:p>
    <w:p>
      <w:pPr>
        <w:keepNext w:val="0"/>
        <w:keepLines w:val="0"/>
        <w:pageBreakBefore w:val="0"/>
        <w:widowControl w:val="0"/>
        <w:wordWrap/>
        <w:topLinePunct w:val="0"/>
        <w:autoSpaceDE/>
        <w:autoSpaceDN/>
        <w:bidi w:val="0"/>
        <w:adjustRightInd/>
        <w:snapToGrid/>
        <w:spacing w:line="360" w:lineRule="auto"/>
        <w:ind w:left="0" w:leftChars="0" w:right="0" w:firstLine="482" w:firstLineChars="200"/>
        <w:textAlignment w:val="auto"/>
        <w:rPr>
          <w:rFonts w:ascii="宋体" w:hAnsi="宋体" w:cs="Arial"/>
          <w:b/>
          <w:bCs/>
          <w:color w:val="auto"/>
          <w:sz w:val="24"/>
          <w:szCs w:val="24"/>
          <w:highlight w:val="none"/>
        </w:rPr>
      </w:pPr>
      <w:r>
        <w:rPr>
          <w:rFonts w:hint="eastAsia" w:ascii="宋体" w:hAnsi="宋体" w:cs="Arial"/>
          <w:b/>
          <w:bCs/>
          <w:color w:val="auto"/>
          <w:sz w:val="24"/>
          <w:szCs w:val="24"/>
          <w:highlight w:val="none"/>
        </w:rPr>
        <w:t>（2）</w:t>
      </w:r>
      <w:r>
        <w:rPr>
          <w:rFonts w:ascii="宋体" w:hAnsi="宋体" w:cs="Arial"/>
          <w:b/>
          <w:bCs/>
          <w:color w:val="auto"/>
          <w:sz w:val="24"/>
          <w:szCs w:val="24"/>
          <w:highlight w:val="none"/>
        </w:rPr>
        <w:t>总价金额与依据单价计算出的结果不一致的，以单价金额为准修正总价，但单价金额小数点有明显错误的除外；</w:t>
      </w:r>
    </w:p>
    <w:p>
      <w:pPr>
        <w:keepNext w:val="0"/>
        <w:keepLines w:val="0"/>
        <w:pageBreakBefore w:val="0"/>
        <w:widowControl w:val="0"/>
        <w:wordWrap/>
        <w:topLinePunct w:val="0"/>
        <w:autoSpaceDE/>
        <w:autoSpaceDN/>
        <w:bidi w:val="0"/>
        <w:adjustRightInd/>
        <w:snapToGrid/>
        <w:spacing w:line="360" w:lineRule="auto"/>
        <w:ind w:left="0" w:leftChars="0" w:right="0" w:firstLine="482" w:firstLineChars="200"/>
        <w:textAlignment w:val="auto"/>
        <w:rPr>
          <w:rFonts w:ascii="宋体" w:hAnsi="宋体" w:cs="Arial"/>
          <w:b/>
          <w:bCs/>
          <w:color w:val="auto"/>
          <w:sz w:val="24"/>
          <w:szCs w:val="24"/>
          <w:highlight w:val="none"/>
        </w:rPr>
      </w:pPr>
      <w:r>
        <w:rPr>
          <w:rFonts w:hint="eastAsia" w:ascii="宋体" w:hAnsi="宋体" w:cs="Arial"/>
          <w:b/>
          <w:bCs/>
          <w:color w:val="auto"/>
          <w:sz w:val="24"/>
          <w:szCs w:val="24"/>
          <w:highlight w:val="none"/>
        </w:rPr>
        <w:t>（3）</w:t>
      </w:r>
      <w:r>
        <w:rPr>
          <w:rFonts w:ascii="宋体" w:hAnsi="宋体" w:cs="Arial"/>
          <w:b/>
          <w:bCs/>
          <w:color w:val="auto"/>
          <w:sz w:val="24"/>
          <w:szCs w:val="24"/>
          <w:highlight w:val="none"/>
        </w:rPr>
        <w:t>当单价与数量相乘不等于合价时，以单价计算为准，如果单价有明显的小数点位置差错，应以标出的合价为准，同时对单价予以修正；</w:t>
      </w:r>
    </w:p>
    <w:p>
      <w:pPr>
        <w:keepNext w:val="0"/>
        <w:keepLines w:val="0"/>
        <w:pageBreakBefore w:val="0"/>
        <w:widowControl w:val="0"/>
        <w:wordWrap/>
        <w:topLinePunct w:val="0"/>
        <w:autoSpaceDE/>
        <w:autoSpaceDN/>
        <w:bidi w:val="0"/>
        <w:adjustRightInd/>
        <w:snapToGrid/>
        <w:spacing w:line="360" w:lineRule="auto"/>
        <w:ind w:left="0" w:leftChars="0" w:right="0" w:firstLine="482" w:firstLineChars="200"/>
        <w:textAlignment w:val="auto"/>
        <w:rPr>
          <w:rFonts w:ascii="宋体" w:hAnsi="宋体" w:cs="Arial"/>
          <w:b/>
          <w:bCs/>
          <w:color w:val="auto"/>
          <w:sz w:val="24"/>
          <w:szCs w:val="24"/>
          <w:highlight w:val="none"/>
        </w:rPr>
      </w:pPr>
      <w:r>
        <w:rPr>
          <w:rFonts w:hint="eastAsia" w:ascii="宋体" w:hAnsi="宋体" w:cs="Arial"/>
          <w:b/>
          <w:bCs/>
          <w:color w:val="auto"/>
          <w:sz w:val="24"/>
          <w:szCs w:val="24"/>
          <w:highlight w:val="none"/>
        </w:rPr>
        <w:t>（4）</w:t>
      </w:r>
      <w:r>
        <w:rPr>
          <w:rFonts w:ascii="宋体" w:hAnsi="宋体" w:cs="Arial"/>
          <w:b/>
          <w:bCs/>
          <w:color w:val="auto"/>
          <w:sz w:val="24"/>
          <w:szCs w:val="24"/>
          <w:highlight w:val="none"/>
        </w:rPr>
        <w:t>当各子目的合价累计不等于总价时，应以各子目合价累计数为准，修正总价。</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 xml:space="preserve">3.4.3 </w:t>
      </w:r>
      <w:r>
        <w:rPr>
          <w:rFonts w:ascii="宋体" w:hAnsi="宋体" w:cs="Arial"/>
          <w:b/>
          <w:bCs/>
          <w:color w:val="auto"/>
          <w:sz w:val="24"/>
          <w:szCs w:val="24"/>
          <w:highlight w:val="none"/>
        </w:rPr>
        <w:t>修正后的最终投标报价若超过</w:t>
      </w:r>
      <w:r>
        <w:rPr>
          <w:rFonts w:hint="eastAsia" w:ascii="宋体" w:hAnsi="宋体" w:cs="Arial"/>
          <w:b/>
          <w:bCs/>
          <w:color w:val="auto"/>
          <w:sz w:val="24"/>
          <w:szCs w:val="24"/>
          <w:highlight w:val="none"/>
        </w:rPr>
        <w:t>最高</w:t>
      </w:r>
      <w:r>
        <w:rPr>
          <w:rFonts w:ascii="宋体" w:hAnsi="宋体" w:cs="Arial"/>
          <w:b/>
          <w:bCs/>
          <w:color w:val="auto"/>
          <w:sz w:val="24"/>
          <w:szCs w:val="24"/>
          <w:highlight w:val="none"/>
        </w:rPr>
        <w:t>投标</w:t>
      </w:r>
      <w:r>
        <w:rPr>
          <w:rFonts w:hint="eastAsia" w:ascii="宋体" w:hAnsi="宋体" w:cs="Arial"/>
          <w:b/>
          <w:bCs/>
          <w:color w:val="auto"/>
          <w:sz w:val="24"/>
          <w:szCs w:val="24"/>
          <w:highlight w:val="none"/>
        </w:rPr>
        <w:t>限</w:t>
      </w:r>
      <w:r>
        <w:rPr>
          <w:rFonts w:ascii="宋体" w:hAnsi="宋体" w:cs="Arial"/>
          <w:b/>
          <w:bCs/>
          <w:color w:val="auto"/>
          <w:sz w:val="24"/>
          <w:szCs w:val="24"/>
          <w:highlight w:val="none"/>
        </w:rPr>
        <w:t>价（如有），</w:t>
      </w:r>
      <w:r>
        <w:rPr>
          <w:rFonts w:hint="eastAsia" w:ascii="宋体" w:hAnsi="宋体" w:cs="Arial"/>
          <w:b/>
          <w:bCs/>
          <w:color w:val="auto"/>
          <w:sz w:val="24"/>
          <w:szCs w:val="24"/>
          <w:highlight w:val="none"/>
        </w:rPr>
        <w:t>评标委员会应否决其投标</w:t>
      </w:r>
      <w:r>
        <w:rPr>
          <w:rFonts w:ascii="宋体" w:hAnsi="宋体" w:cs="Arial"/>
          <w:b/>
          <w:bCs/>
          <w:color w:val="auto"/>
          <w:sz w:val="24"/>
          <w:szCs w:val="24"/>
          <w:highlight w:val="none"/>
        </w:rPr>
        <w:t>。</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4</w:t>
      </w:r>
      <w:r>
        <w:rPr>
          <w:rFonts w:ascii="宋体" w:hAnsi="宋体" w:cs="Arial"/>
          <w:b/>
          <w:bCs/>
          <w:color w:val="auto"/>
          <w:sz w:val="24"/>
          <w:szCs w:val="24"/>
          <w:highlight w:val="none"/>
        </w:rPr>
        <w:t>.</w:t>
      </w:r>
      <w:r>
        <w:rPr>
          <w:rFonts w:hint="eastAsia" w:ascii="宋体" w:hAnsi="宋体" w:cs="Arial"/>
          <w:b/>
          <w:bCs/>
          <w:color w:val="auto"/>
          <w:sz w:val="24"/>
          <w:szCs w:val="24"/>
          <w:highlight w:val="none"/>
        </w:rPr>
        <w:t>4</w:t>
      </w:r>
      <w:r>
        <w:rPr>
          <w:rFonts w:ascii="宋体" w:hAnsi="宋体" w:cs="Arial"/>
          <w:b/>
          <w:bCs/>
          <w:color w:val="auto"/>
          <w:sz w:val="24"/>
          <w:szCs w:val="24"/>
          <w:highlight w:val="none"/>
        </w:rPr>
        <w:t>修正后的最终投标报价仅作为签订合同的一个依据，不参与评标价得分的计算。</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right="0" w:firstLine="0" w:firstLineChars="0"/>
        <w:textAlignment w:val="baseline"/>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5 第二信封</w:t>
      </w:r>
      <w:r>
        <w:rPr>
          <w:rFonts w:ascii="宋体" w:hAnsi="宋体" w:cs="Arial"/>
          <w:b/>
          <w:bCs/>
          <w:color w:val="auto"/>
          <w:sz w:val="24"/>
          <w:szCs w:val="24"/>
          <w:highlight w:val="none"/>
        </w:rPr>
        <w:t>详细评审</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5</w:t>
      </w:r>
      <w:r>
        <w:rPr>
          <w:rFonts w:ascii="宋体" w:hAnsi="宋体" w:cs="Arial"/>
          <w:b/>
          <w:bCs/>
          <w:color w:val="auto"/>
          <w:sz w:val="24"/>
          <w:szCs w:val="24"/>
          <w:highlight w:val="none"/>
        </w:rPr>
        <w:t>.1 评标委员会按本章第2.2.4</w:t>
      </w:r>
      <w:r>
        <w:rPr>
          <w:rFonts w:hint="eastAsia" w:ascii="宋体" w:hAnsi="宋体" w:cs="Arial"/>
          <w:b/>
          <w:bCs/>
          <w:color w:val="auto"/>
          <w:sz w:val="24"/>
          <w:szCs w:val="24"/>
          <w:highlight w:val="none"/>
          <w:lang w:eastAsia="zh-CN"/>
        </w:rPr>
        <w:t>（</w:t>
      </w:r>
      <w:r>
        <w:rPr>
          <w:rFonts w:hint="eastAsia" w:ascii="宋体" w:hAnsi="宋体" w:cs="Arial"/>
          <w:b/>
          <w:bCs/>
          <w:color w:val="auto"/>
          <w:sz w:val="24"/>
          <w:szCs w:val="24"/>
          <w:highlight w:val="none"/>
          <w:lang w:val="en-US" w:eastAsia="zh-CN"/>
        </w:rPr>
        <w:t>3</w:t>
      </w:r>
      <w:r>
        <w:rPr>
          <w:rFonts w:hint="eastAsia" w:ascii="宋体" w:hAnsi="宋体" w:cs="Arial"/>
          <w:b/>
          <w:bCs/>
          <w:color w:val="auto"/>
          <w:sz w:val="24"/>
          <w:szCs w:val="24"/>
          <w:highlight w:val="none"/>
          <w:lang w:eastAsia="zh-CN"/>
        </w:rPr>
        <w:t>）</w:t>
      </w:r>
      <w:r>
        <w:rPr>
          <w:rFonts w:hint="eastAsia" w:ascii="宋体" w:hAnsi="宋体" w:cs="Arial"/>
          <w:b/>
          <w:bCs/>
          <w:color w:val="auto"/>
          <w:sz w:val="24"/>
          <w:szCs w:val="24"/>
          <w:highlight w:val="none"/>
        </w:rPr>
        <w:t>目规定的评审因素和分值对投标报价计算出得分</w:t>
      </w:r>
      <w:r>
        <w:rPr>
          <w:rFonts w:ascii="宋体" w:hAnsi="宋体" w:cs="Arial"/>
          <w:b/>
          <w:bCs/>
          <w:color w:val="auto"/>
          <w:sz w:val="24"/>
          <w:szCs w:val="24"/>
          <w:highlight w:val="none"/>
        </w:rPr>
        <w:t xml:space="preserve"> C</w:t>
      </w:r>
      <w:r>
        <w:rPr>
          <w:rFonts w:hint="eastAsia" w:ascii="宋体" w:hAnsi="宋体" w:cs="Arial"/>
          <w:b/>
          <w:bCs/>
          <w:color w:val="auto"/>
          <w:sz w:val="24"/>
          <w:szCs w:val="24"/>
          <w:highlight w:val="none"/>
        </w:rPr>
        <w:t>。投标报价得分分值计算保留小数点后两位，小数点后第二位“四舍五入”。</w:t>
      </w:r>
    </w:p>
    <w:p>
      <w:pPr>
        <w:pStyle w:val="6"/>
        <w:keepNext w:val="0"/>
        <w:keepLines w:val="0"/>
        <w:pageBreakBefore w:val="0"/>
        <w:widowControl w:val="0"/>
        <w:kinsoku w:val="0"/>
        <w:wordWrap/>
        <w:overflowPunct w:val="0"/>
        <w:topLinePunct w:val="0"/>
        <w:autoSpaceDE/>
        <w:autoSpaceDN/>
        <w:bidi w:val="0"/>
        <w:snapToGrid/>
        <w:spacing w:after="0"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 xml:space="preserve">3.5.2 </w:t>
      </w:r>
      <w:r>
        <w:rPr>
          <w:rFonts w:hint="eastAsia" w:ascii="宋体" w:hAnsi="宋体" w:cs="Arial"/>
          <w:b/>
          <w:bCs/>
          <w:color w:val="auto"/>
          <w:sz w:val="24"/>
          <w:szCs w:val="24"/>
          <w:highlight w:val="none"/>
        </w:rPr>
        <w:t>投标人得分=投标人的商务和技术得分＋</w:t>
      </w:r>
      <w:r>
        <w:rPr>
          <w:rFonts w:ascii="宋体" w:hAnsi="宋体" w:cs="Arial"/>
          <w:b/>
          <w:bCs/>
          <w:color w:val="auto"/>
          <w:sz w:val="24"/>
          <w:szCs w:val="24"/>
          <w:highlight w:val="none"/>
        </w:rPr>
        <w:t>C</w:t>
      </w:r>
      <w:r>
        <w:rPr>
          <w:rFonts w:hint="eastAsia" w:ascii="宋体" w:hAnsi="宋体" w:cs="Arial"/>
          <w:b/>
          <w:bCs/>
          <w:color w:val="auto"/>
          <w:sz w:val="24"/>
          <w:szCs w:val="24"/>
          <w:highlight w:val="none"/>
        </w:rPr>
        <w:t>。</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 xml:space="preserve">3.5.3 </w:t>
      </w:r>
      <w:r>
        <w:rPr>
          <w:rFonts w:hint="eastAsia" w:ascii="宋体" w:hAnsi="宋体" w:cs="Arial"/>
          <w:b/>
          <w:bCs/>
          <w:color w:val="auto"/>
          <w:sz w:val="24"/>
          <w:szCs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right="0" w:firstLine="0" w:firstLineChars="0"/>
        <w:textAlignment w:val="baseline"/>
        <w:rPr>
          <w:rFonts w:ascii="宋体" w:hAnsi="宋体" w:cs="Arial"/>
          <w:b/>
          <w:bCs/>
          <w:color w:val="auto"/>
          <w:sz w:val="24"/>
          <w:szCs w:val="24"/>
          <w:highlight w:val="none"/>
        </w:rPr>
      </w:pPr>
      <w:r>
        <w:rPr>
          <w:rFonts w:hint="eastAsia" w:ascii="宋体" w:hAnsi="宋体" w:cs="Arial"/>
          <w:b/>
          <w:bCs/>
          <w:color w:val="auto"/>
          <w:sz w:val="24"/>
          <w:szCs w:val="24"/>
          <w:highlight w:val="none"/>
        </w:rPr>
        <w:t>3.6 投标文件相关信息的核查</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评标委员会应否决其投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3.6.2评标委员会应对在评标过程中发现的投标人与投标人之间、投标人与招标人之间存在的串通投标情形进行评审和认定。投标人存在串通投标、弄虚作假、行贿等违法行为的，评标委员会应否决其投标。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（1）有下列情形之一的，属于投标人相互串通投标：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a.投标人之间协商投标报价等投标文件的实质性内容；</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b.投标人之间约定中标人；</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c.投标人之间预定部分投标人放弃投标或中标；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d.属于同一集团、协会、商会等组织成员的投标人按照该组织要求协同投标；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e.投标人之间为谋取中标或排斥特定投标人而采取的其他联合行动。</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（2）有下列情形之一的，视为投标人相互串通投标：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a.不同投标人的投标文件由同一单位或个人编制；</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b.不同投标人委托同一单位或个人办理投标事宜；</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c.不同投标人的投标文件载明的项目管理成员为同一人；</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d.不同投标人的投标文件异常一致或投标报价呈规律性差异；</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e.不同投标人的投标文件相互混装；</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f.不同投标人的投标保证金从同一单位或个人的账户转出。</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（3）有下列情形之一的，属于招标人与投标人相互串通投标：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a.招标人在开标前开启投标文件并将有关信息泄漏给其他投标人；</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b.招标人直接或间接向投标人泄漏标底、评标委员会成员等信息；</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c.招标人明示或暗示投标人压低或抬高投标报价；</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d.招标人授意投标人撤换、修改投标文件；</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e.招标人明示或暗示投标人为特定投标人中标提供方便；</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f.招标人与投标人为谋求特定投标人中标而采取的其他串通行为。</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（4）投标人有下列情形之一的，属于弄虚作假的行为：</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a.使用通过受让或租借等方式获取的资格、资质证书投标；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b.使用伪造、变造的许可证件；</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c.提供虚假的财务状况或业绩；</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d.提供虚假的项目负责人或主要技术人员简历、劳动关系证明；</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e.提供虚假的信用状况；</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f.其他弄虚作假的行为。</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right="0" w:firstLine="0" w:firstLineChars="0"/>
        <w:textAlignment w:val="baseline"/>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7</w:t>
      </w:r>
      <w:r>
        <w:rPr>
          <w:rFonts w:ascii="宋体" w:hAnsi="宋体" w:cs="Arial"/>
          <w:b/>
          <w:bCs/>
          <w:color w:val="auto"/>
          <w:sz w:val="24"/>
          <w:szCs w:val="24"/>
          <w:highlight w:val="none"/>
        </w:rPr>
        <w:t xml:space="preserve"> 投标文件的澄清和</w:t>
      </w:r>
      <w:r>
        <w:rPr>
          <w:rFonts w:hint="eastAsia" w:ascii="宋体" w:hAnsi="宋体" w:cs="Arial"/>
          <w:b/>
          <w:bCs/>
          <w:color w:val="auto"/>
          <w:sz w:val="24"/>
          <w:szCs w:val="24"/>
          <w:highlight w:val="none"/>
        </w:rPr>
        <w:t>说明</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7</w:t>
      </w:r>
      <w:r>
        <w:rPr>
          <w:rFonts w:ascii="宋体" w:hAnsi="宋体" w:cs="Arial"/>
          <w:b/>
          <w:bCs/>
          <w:color w:val="auto"/>
          <w:sz w:val="24"/>
          <w:szCs w:val="24"/>
          <w:highlight w:val="none"/>
        </w:rPr>
        <w:t>.1 在评标过程中，评标委员会可以书面形式要求投标人对所提交投标文件中不明确的内容</w:t>
      </w:r>
      <w:r>
        <w:rPr>
          <w:rFonts w:hint="eastAsia" w:ascii="宋体" w:hAnsi="宋体" w:cs="Arial"/>
          <w:b/>
          <w:bCs/>
          <w:color w:val="auto"/>
          <w:sz w:val="24"/>
          <w:szCs w:val="24"/>
          <w:highlight w:val="none"/>
        </w:rPr>
        <w:t>、明显文字或计算错误</w:t>
      </w:r>
      <w:r>
        <w:rPr>
          <w:rFonts w:ascii="宋体" w:hAnsi="宋体" w:cs="Arial"/>
          <w:b/>
          <w:bCs/>
          <w:color w:val="auto"/>
          <w:sz w:val="24"/>
          <w:szCs w:val="24"/>
          <w:highlight w:val="none"/>
        </w:rPr>
        <w:t>进行书面澄清或说明。评标委员会不接受投标人主动提出的澄清、说明。</w:t>
      </w:r>
      <w:r>
        <w:rPr>
          <w:rFonts w:hint="eastAsia" w:ascii="宋体" w:hAnsi="宋体" w:cs="Arial"/>
          <w:b/>
          <w:bCs/>
          <w:color w:val="auto"/>
          <w:sz w:val="24"/>
          <w:szCs w:val="24"/>
          <w:highlight w:val="none"/>
        </w:rPr>
        <w:t>投标人不按评标委员会要求澄清或说明的，评标委员会应否决其投标。</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7</w:t>
      </w:r>
      <w:r>
        <w:rPr>
          <w:rFonts w:ascii="宋体" w:hAnsi="宋体" w:cs="Arial"/>
          <w:b/>
          <w:bCs/>
          <w:color w:val="auto"/>
          <w:sz w:val="24"/>
          <w:szCs w:val="24"/>
          <w:highlight w:val="none"/>
        </w:rPr>
        <w:t>.2 澄清</w:t>
      </w:r>
      <w:r>
        <w:rPr>
          <w:rFonts w:hint="eastAsia" w:ascii="宋体" w:hAnsi="宋体" w:cs="Arial"/>
          <w:b/>
          <w:bCs/>
          <w:color w:val="auto"/>
          <w:sz w:val="24"/>
          <w:szCs w:val="24"/>
          <w:highlight w:val="none"/>
        </w:rPr>
        <w:t>和</w:t>
      </w:r>
      <w:r>
        <w:rPr>
          <w:rFonts w:ascii="宋体" w:hAnsi="宋体" w:cs="Arial"/>
          <w:b/>
          <w:bCs/>
          <w:color w:val="auto"/>
          <w:sz w:val="24"/>
          <w:szCs w:val="24"/>
          <w:highlight w:val="none"/>
        </w:rPr>
        <w:t>说明不得</w:t>
      </w:r>
      <w:r>
        <w:rPr>
          <w:rFonts w:hint="eastAsia" w:ascii="宋体" w:hAnsi="宋体" w:cs="Arial"/>
          <w:b/>
          <w:bCs/>
          <w:color w:val="auto"/>
          <w:sz w:val="24"/>
          <w:szCs w:val="24"/>
          <w:highlight w:val="none"/>
        </w:rPr>
        <w:t>超出投标文件的范围或改变</w:t>
      </w:r>
      <w:r>
        <w:rPr>
          <w:rFonts w:ascii="宋体" w:hAnsi="宋体" w:cs="Arial"/>
          <w:b/>
          <w:bCs/>
          <w:color w:val="auto"/>
          <w:sz w:val="24"/>
          <w:szCs w:val="24"/>
          <w:highlight w:val="none"/>
        </w:rPr>
        <w:t>投标文件的实质性内容（算术性错误修正的除外）。投标人的书面澄清、说明属于投标文件的组成部分。</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7</w:t>
      </w:r>
      <w:r>
        <w:rPr>
          <w:rFonts w:ascii="宋体" w:hAnsi="宋体" w:cs="Arial"/>
          <w:b/>
          <w:bCs/>
          <w:color w:val="auto"/>
          <w:sz w:val="24"/>
          <w:szCs w:val="24"/>
          <w:highlight w:val="none"/>
        </w:rPr>
        <w:t>.3 评标委员会</w:t>
      </w:r>
      <w:r>
        <w:rPr>
          <w:rFonts w:hint="eastAsia" w:ascii="宋体" w:hAnsi="宋体" w:cs="Arial"/>
          <w:b/>
          <w:bCs/>
          <w:color w:val="auto"/>
          <w:sz w:val="24"/>
          <w:szCs w:val="24"/>
          <w:highlight w:val="none"/>
        </w:rPr>
        <w:t>不得暗示或诱导投标人作出澄清、说明，</w:t>
      </w:r>
      <w:r>
        <w:rPr>
          <w:rFonts w:ascii="宋体" w:hAnsi="宋体" w:cs="Arial"/>
          <w:b/>
          <w:bCs/>
          <w:color w:val="auto"/>
          <w:sz w:val="24"/>
          <w:szCs w:val="24"/>
          <w:highlight w:val="none"/>
        </w:rPr>
        <w:t>对投标人提交的澄清、说明有疑问的，可以要求投标人进一步澄清</w:t>
      </w:r>
      <w:r>
        <w:rPr>
          <w:rFonts w:hint="eastAsia" w:ascii="宋体" w:hAnsi="宋体" w:cs="Arial"/>
          <w:b/>
          <w:bCs/>
          <w:color w:val="auto"/>
          <w:sz w:val="24"/>
          <w:szCs w:val="24"/>
          <w:highlight w:val="none"/>
        </w:rPr>
        <w:t>或</w:t>
      </w:r>
      <w:r>
        <w:rPr>
          <w:rFonts w:ascii="宋体" w:hAnsi="宋体" w:cs="Arial"/>
          <w:b/>
          <w:bCs/>
          <w:color w:val="auto"/>
          <w:sz w:val="24"/>
          <w:szCs w:val="24"/>
          <w:highlight w:val="none"/>
        </w:rPr>
        <w:t>说明，直至满足评标委员会的要求。</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7</w:t>
      </w:r>
      <w:r>
        <w:rPr>
          <w:rFonts w:ascii="宋体" w:hAnsi="宋体" w:cs="Arial"/>
          <w:b/>
          <w:bCs/>
          <w:color w:val="auto"/>
          <w:sz w:val="24"/>
          <w:szCs w:val="24"/>
          <w:highlight w:val="none"/>
        </w:rPr>
        <w:t>.4凡超出招标文件规定的或给发包人带来未曾要求的利益的变化、偏差或其他因素在评标时不予考虑。</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right="0" w:firstLine="0" w:firstLineChars="0"/>
        <w:textAlignment w:val="baseline"/>
        <w:rPr>
          <w:rFonts w:ascii="宋体" w:hAnsi="宋体" w:cs="Arial"/>
          <w:b/>
          <w:bCs/>
          <w:color w:val="auto"/>
          <w:sz w:val="24"/>
          <w:szCs w:val="24"/>
          <w:highlight w:val="none"/>
        </w:rPr>
      </w:pPr>
      <w:r>
        <w:rPr>
          <w:rFonts w:hint="eastAsia" w:ascii="宋体" w:hAnsi="宋体" w:cs="Arial"/>
          <w:b/>
          <w:bCs/>
          <w:color w:val="auto"/>
          <w:sz w:val="24"/>
          <w:szCs w:val="24"/>
          <w:highlight w:val="none"/>
        </w:rPr>
        <w:t>3.8 不得否决投标的情形</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hint="eastAsia" w:ascii="宋体" w:hAnsi="宋体" w:cs="Arial"/>
          <w:b/>
          <w:bCs/>
          <w:color w:val="auto"/>
          <w:sz w:val="24"/>
          <w:szCs w:val="24"/>
          <w:highlight w:val="none"/>
        </w:rPr>
        <w:t xml:space="preserve">    投标文件存在第二章“投标人须知”第1.12.3项所列情形的，均视为细微偏差，评标委员会不得否决投标人的投标，应按照第二章“投标人须知”第1.12.4项规定的原则处理。</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right="0" w:firstLine="0" w:firstLineChars="0"/>
        <w:textAlignment w:val="baseline"/>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 xml:space="preserve">9 </w:t>
      </w:r>
      <w:r>
        <w:rPr>
          <w:rFonts w:ascii="宋体" w:hAnsi="宋体" w:cs="Arial"/>
          <w:b/>
          <w:bCs/>
          <w:color w:val="auto"/>
          <w:sz w:val="24"/>
          <w:szCs w:val="24"/>
          <w:highlight w:val="none"/>
        </w:rPr>
        <w:t>评标结果</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ascii="宋体" w:hAnsi="宋体" w:cs="Arial"/>
          <w:b/>
          <w:bCs/>
          <w:color w:val="auto"/>
          <w:sz w:val="24"/>
          <w:szCs w:val="24"/>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9</w:t>
      </w:r>
      <w:r>
        <w:rPr>
          <w:rFonts w:ascii="宋体" w:hAnsi="宋体" w:cs="Arial"/>
          <w:b/>
          <w:bCs/>
          <w:color w:val="auto"/>
          <w:sz w:val="24"/>
          <w:szCs w:val="24"/>
          <w:highlight w:val="none"/>
        </w:rPr>
        <w:t>.1 除第二章“投标人须知”前附表授权直接确定中标人外，评标委员会按照得分由高到低的顺序推荐中标候选人</w:t>
      </w:r>
      <w:r>
        <w:rPr>
          <w:rFonts w:hint="eastAsia" w:ascii="宋体" w:hAnsi="宋体" w:cs="Arial"/>
          <w:b/>
          <w:bCs/>
          <w:color w:val="auto"/>
          <w:sz w:val="24"/>
          <w:szCs w:val="24"/>
          <w:highlight w:val="none"/>
        </w:rPr>
        <w:t>，并标明排序</w:t>
      </w:r>
      <w:r>
        <w:rPr>
          <w:rFonts w:ascii="宋体" w:hAnsi="宋体" w:cs="Arial"/>
          <w:b/>
          <w:bCs/>
          <w:color w:val="auto"/>
          <w:sz w:val="24"/>
          <w:szCs w:val="24"/>
          <w:highlight w:val="none"/>
        </w:rPr>
        <w:t>。</w:t>
      </w:r>
    </w:p>
    <w:p>
      <w:pPr>
        <w:keepNext w:val="0"/>
        <w:keepLines w:val="0"/>
        <w:pageBreakBefore w:val="0"/>
        <w:widowControl w:val="0"/>
        <w:wordWrap/>
        <w:topLinePunct w:val="0"/>
        <w:autoSpaceDE/>
        <w:autoSpaceDN/>
        <w:bidi w:val="0"/>
        <w:snapToGrid/>
        <w:spacing w:line="360" w:lineRule="auto"/>
        <w:ind w:left="0" w:leftChars="0" w:right="0" w:firstLine="482" w:firstLineChars="200"/>
        <w:rPr>
          <w:rFonts w:hAnsi="宋体"/>
          <w:b/>
          <w:bCs/>
          <w:color w:val="auto"/>
          <w:sz w:val="52"/>
          <w:highlight w:val="none"/>
        </w:rPr>
      </w:pPr>
      <w:r>
        <w:rPr>
          <w:rFonts w:ascii="宋体" w:hAnsi="宋体" w:cs="Arial"/>
          <w:b/>
          <w:bCs/>
          <w:color w:val="auto"/>
          <w:sz w:val="24"/>
          <w:szCs w:val="24"/>
          <w:highlight w:val="none"/>
        </w:rPr>
        <w:t>3.</w:t>
      </w:r>
      <w:r>
        <w:rPr>
          <w:rFonts w:hint="eastAsia" w:ascii="宋体" w:hAnsi="宋体" w:cs="Arial"/>
          <w:b/>
          <w:bCs/>
          <w:color w:val="auto"/>
          <w:sz w:val="24"/>
          <w:szCs w:val="24"/>
          <w:highlight w:val="none"/>
        </w:rPr>
        <w:t>9</w:t>
      </w:r>
      <w:r>
        <w:rPr>
          <w:rFonts w:ascii="宋体" w:hAnsi="宋体" w:cs="Arial"/>
          <w:b/>
          <w:bCs/>
          <w:color w:val="auto"/>
          <w:sz w:val="24"/>
          <w:szCs w:val="24"/>
          <w:highlight w:val="none"/>
        </w:rPr>
        <w:t>.2 评标委员会完成评标后，应当向招标人提交书面评标报告。</w:t>
      </w:r>
    </w:p>
    <w:p>
      <w:pPr>
        <w:pStyle w:val="8"/>
        <w:rPr>
          <w:rFonts w:hint="eastAsia" w:ascii="宋体" w:hAnsi="宋体" w:eastAsia="宋体" w:cs="宋体"/>
          <w:b w:val="0"/>
          <w:bCs w:val="0"/>
        </w:rPr>
      </w:pPr>
    </w:p>
    <w:sectPr>
      <w:footerReference r:id="rId3" w:type="default"/>
      <w:pgSz w:w="11906" w:h="16838"/>
      <w:pgMar w:top="1440" w:right="1306" w:bottom="1440" w:left="136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415693"/>
    </w:sdtPr>
    <w:sdtContent>
      <w:p>
        <w:pPr>
          <w:pStyle w:val="9"/>
          <w:jc w:val="center"/>
        </w:pPr>
        <w:r>
          <w:fldChar w:fldCharType="begin"/>
        </w:r>
        <w:r>
          <w:instrText xml:space="preserve">PAGE   \* MERGEFORMAT</w:instrText>
        </w:r>
        <w:r>
          <w:fldChar w:fldCharType="separate"/>
        </w:r>
        <w:r>
          <w:rPr>
            <w:lang w:val="zh-CN" w:eastAsia="zh-CN"/>
          </w:rPr>
          <w:t>49</w:t>
        </w:r>
        <w:r>
          <w:fldChar w:fldCharType="end"/>
        </w:r>
      </w:p>
    </w:sdtContent>
  </w:sdt>
  <w:p>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F39741"/>
    <w:multiLevelType w:val="singleLevel"/>
    <w:tmpl w:val="CEF39741"/>
    <w:lvl w:ilvl="0" w:tentative="0">
      <w:start w:val="3"/>
      <w:numFmt w:val="decimal"/>
      <w:suff w:val="nothing"/>
      <w:lvlText w:val="%1、"/>
      <w:lvlJc w:val="left"/>
    </w:lvl>
  </w:abstractNum>
  <w:abstractNum w:abstractNumId="1">
    <w:nsid w:val="F3AF9E66"/>
    <w:multiLevelType w:val="singleLevel"/>
    <w:tmpl w:val="F3AF9E66"/>
    <w:lvl w:ilvl="0" w:tentative="0">
      <w:start w:val="2"/>
      <w:numFmt w:val="chineseCounting"/>
      <w:suff w:val="nothing"/>
      <w:lvlText w:val="（%1）"/>
      <w:lvlJc w:val="left"/>
      <w:rPr>
        <w:rFonts w:hint="eastAsia"/>
      </w:rPr>
    </w:lvl>
  </w:abstractNum>
  <w:abstractNum w:abstractNumId="2">
    <w:nsid w:val="05B9EE73"/>
    <w:multiLevelType w:val="singleLevel"/>
    <w:tmpl w:val="05B9EE73"/>
    <w:lvl w:ilvl="0" w:tentative="0">
      <w:start w:val="1"/>
      <w:numFmt w:val="decimal"/>
      <w:suff w:val="nothing"/>
      <w:lvlText w:val="%1、"/>
      <w:lvlJc w:val="left"/>
    </w:lvl>
  </w:abstractNum>
  <w:abstractNum w:abstractNumId="3">
    <w:nsid w:val="0E2B3CD2"/>
    <w:multiLevelType w:val="singleLevel"/>
    <w:tmpl w:val="0E2B3CD2"/>
    <w:lvl w:ilvl="0" w:tentative="0">
      <w:start w:val="1"/>
      <w:numFmt w:val="decimal"/>
      <w:lvlText w:val="(%1)"/>
      <w:lvlJc w:val="left"/>
      <w:pPr>
        <w:tabs>
          <w:tab w:val="left" w:pos="312"/>
        </w:tabs>
      </w:pPr>
    </w:lvl>
  </w:abstractNum>
  <w:abstractNum w:abstractNumId="4">
    <w:nsid w:val="41E15257"/>
    <w:multiLevelType w:val="singleLevel"/>
    <w:tmpl w:val="41E15257"/>
    <w:lvl w:ilvl="0" w:tentative="0">
      <w:start w:val="1"/>
      <w:numFmt w:val="chineseCounting"/>
      <w:suff w:val="nothing"/>
      <w:lvlText w:val="%1、"/>
      <w:lvlJc w:val="left"/>
      <w:rPr>
        <w:rFonts w:hint="eastAsia"/>
      </w:rPr>
    </w:lvl>
  </w:abstractNum>
  <w:abstractNum w:abstractNumId="5">
    <w:nsid w:val="4319E175"/>
    <w:multiLevelType w:val="singleLevel"/>
    <w:tmpl w:val="4319E175"/>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16ABB"/>
    <w:rsid w:val="03716ABB"/>
    <w:rsid w:val="16AD4FF4"/>
    <w:rsid w:val="37B856B7"/>
    <w:rsid w:val="3EF35B93"/>
    <w:rsid w:val="4F3E4EF3"/>
    <w:rsid w:val="519A2FC7"/>
    <w:rsid w:val="54253394"/>
    <w:rsid w:val="5C2D35E3"/>
    <w:rsid w:val="5C791A82"/>
    <w:rsid w:val="68743A31"/>
    <w:rsid w:val="690E1636"/>
    <w:rsid w:val="6D535020"/>
    <w:rsid w:val="75EB2960"/>
    <w:rsid w:val="7DE7239D"/>
    <w:rsid w:val="7EF1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FangSong"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4">
    <w:name w:val="heading 2"/>
    <w:basedOn w:val="1"/>
    <w:next w:val="5"/>
    <w:link w:val="16"/>
    <w:qFormat/>
    <w:uiPriority w:val="0"/>
    <w:pPr>
      <w:keepNext/>
      <w:keepLines/>
      <w:adjustRightInd/>
      <w:spacing w:before="260" w:after="260" w:line="415" w:lineRule="auto"/>
      <w:ind w:firstLine="0"/>
      <w:textAlignment w:val="auto"/>
      <w:outlineLvl w:val="1"/>
    </w:pPr>
    <w:rPr>
      <w:rFonts w:ascii="Arial" w:hAnsi="Arial" w:eastAsia="黑体"/>
      <w:b/>
      <w:kern w:val="2"/>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题 Char Char"/>
    <w:basedOn w:val="3"/>
    <w:qFormat/>
    <w:uiPriority w:val="0"/>
    <w:pPr>
      <w:jc w:val="center"/>
      <w:outlineLvl w:val="0"/>
    </w:pPr>
    <w:rPr>
      <w:rFonts w:ascii="Arial" w:hAnsi="Arial" w:cs="Arial"/>
      <w:b/>
      <w:bCs/>
      <w:sz w:val="32"/>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5">
    <w:name w:val="Normal Indent"/>
    <w:basedOn w:val="1"/>
    <w:qFormat/>
    <w:uiPriority w:val="0"/>
    <w:pPr>
      <w:ind w:firstLine="420" w:firstLineChars="200"/>
    </w:pPr>
  </w:style>
  <w:style w:type="paragraph" w:styleId="6">
    <w:name w:val="Body Text"/>
    <w:basedOn w:val="1"/>
    <w:next w:val="1"/>
    <w:qFormat/>
    <w:uiPriority w:val="1"/>
    <w:pPr>
      <w:adjustRightInd/>
      <w:spacing w:after="120" w:line="240" w:lineRule="auto"/>
      <w:ind w:firstLine="0"/>
      <w:textAlignment w:val="auto"/>
    </w:pPr>
    <w:rPr>
      <w:kern w:val="2"/>
      <w:szCs w:val="24"/>
    </w:rPr>
  </w:style>
  <w:style w:type="paragraph" w:styleId="7">
    <w:name w:val="Body Text Indent"/>
    <w:basedOn w:val="1"/>
    <w:qFormat/>
    <w:uiPriority w:val="0"/>
    <w:pPr>
      <w:spacing w:after="120"/>
      <w:ind w:left="200" w:leftChars="200"/>
    </w:pPr>
  </w:style>
  <w:style w:type="paragraph" w:styleId="8">
    <w:name w:val="Body Text Indent 2"/>
    <w:basedOn w:val="1"/>
    <w:qFormat/>
    <w:uiPriority w:val="0"/>
    <w:pPr>
      <w:tabs>
        <w:tab w:val="left" w:pos="7200"/>
      </w:tabs>
      <w:ind w:left="1275"/>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15">
    <w:name w:val="Table Normal3"/>
    <w:semiHidden/>
    <w:unhideWhenUsed/>
    <w:qFormat/>
    <w:uiPriority w:val="2"/>
    <w:tblPr>
      <w:tblCellMar>
        <w:top w:w="0" w:type="dxa"/>
        <w:left w:w="0" w:type="dxa"/>
        <w:bottom w:w="0" w:type="dxa"/>
        <w:right w:w="0" w:type="dxa"/>
      </w:tblCellMar>
    </w:tblPr>
  </w:style>
  <w:style w:type="character" w:customStyle="1" w:styleId="16">
    <w:name w:val="标题 2 Char"/>
    <w:link w:val="4"/>
    <w:qFormat/>
    <w:uiPriority w:val="0"/>
    <w:rPr>
      <w:rFonts w:ascii="Arial" w:hAnsi="Arial" w:eastAsia="黑体"/>
      <w:b/>
      <w:kern w:val="2"/>
      <w:sz w:val="32"/>
    </w:rPr>
  </w:style>
  <w:style w:type="paragraph" w:customStyle="1" w:styleId="17">
    <w:name w:val="6'"/>
    <w:basedOn w:val="1"/>
    <w:qFormat/>
    <w:uiPriority w:val="0"/>
    <w:pPr>
      <w:autoSpaceDE w:val="0"/>
      <w:autoSpaceDN w:val="0"/>
      <w:snapToGrid w:val="0"/>
      <w:spacing w:line="320" w:lineRule="exact"/>
      <w:ind w:firstLine="0"/>
      <w:jc w:val="center"/>
    </w:pPr>
    <w:rPr>
      <w:spacing w:val="20"/>
      <w:kern w:val="28"/>
      <w:szCs w:val="20"/>
    </w:rPr>
  </w:style>
  <w:style w:type="paragraph" w:customStyle="1" w:styleId="18">
    <w:name w:val="列出段落1"/>
    <w:basedOn w:val="1"/>
    <w:qFormat/>
    <w:uiPriority w:val="1"/>
    <w:pPr>
      <w:ind w:firstLine="420" w:firstLineChars="200"/>
    </w:pPr>
  </w:style>
  <w:style w:type="paragraph" w:customStyle="1" w:styleId="19">
    <w:name w:val="Table Paragraph"/>
    <w:basedOn w:val="1"/>
    <w:qFormat/>
    <w:uiPriority w:val="1"/>
    <w:pPr>
      <w:autoSpaceDE w:val="0"/>
      <w:autoSpaceDN w:val="0"/>
      <w:spacing w:line="240" w:lineRule="auto"/>
      <w:ind w:firstLine="0"/>
      <w:jc w:val="left"/>
      <w:textAlignment w:val="auto"/>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2018-11-07T06:21:00Z</dcterms:created>
  <dc:creator>张青</dc:creator>
  <cp:lastModifiedBy>豁别个</cp:lastModifiedBy>
  <dcterms:modified xsi:type="dcterms:W3CDTF">2020-08-31T02:13:06Z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