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both"/>
        <w:rPr>
          <w:rFonts w:hint="eastAsia" w:asciiTheme="majorEastAsia" w:hAnsiTheme="majorEastAsia" w:eastAsiaTheme="majorEastAsia" w:cstheme="majorEastAsia"/>
          <w:b/>
          <w:bCs/>
          <w:color w:val="auto"/>
          <w:sz w:val="32"/>
          <w:szCs w:val="32"/>
          <w:highlight w:val="none"/>
          <w:lang w:val="en-US" w:eastAsia="zh-CN"/>
        </w:rPr>
      </w:pPr>
      <w:r>
        <w:rPr>
          <w:rFonts w:hint="eastAsia" w:asciiTheme="majorEastAsia" w:hAnsiTheme="majorEastAsia" w:eastAsiaTheme="majorEastAsia" w:cstheme="majorEastAsia"/>
          <w:b/>
          <w:bCs/>
          <w:color w:val="auto"/>
          <w:sz w:val="32"/>
          <w:szCs w:val="32"/>
          <w:highlight w:val="none"/>
          <w:lang w:val="en-US" w:eastAsia="zh-CN"/>
        </w:rPr>
        <w:t>附件一：资格审查资料</w:t>
      </w:r>
    </w:p>
    <w:p>
      <w:pPr>
        <w:spacing w:afterLines="50"/>
        <w:ind w:left="141" w:leftChars="67" w:firstLine="312"/>
        <w:jc w:val="center"/>
        <w:rPr>
          <w:b/>
          <w:color w:val="auto"/>
          <w:sz w:val="28"/>
          <w:szCs w:val="28"/>
          <w:highlight w:val="none"/>
        </w:rPr>
      </w:pPr>
      <w:r>
        <w:rPr>
          <w:b/>
          <w:color w:val="auto"/>
          <w:sz w:val="28"/>
          <w:szCs w:val="28"/>
          <w:highlight w:val="none"/>
        </w:rPr>
        <w:t>附录1 资格审查条件（资质最低条件）</w:t>
      </w:r>
    </w:p>
    <w:tbl>
      <w:tblPr>
        <w:tblStyle w:val="6"/>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38" w:type="dxa"/>
            <w:tcBorders>
              <w:top w:val="single" w:color="auto" w:sz="4" w:space="0"/>
              <w:left w:val="single" w:color="auto" w:sz="4" w:space="0"/>
            </w:tcBorders>
            <w:vAlign w:val="center"/>
          </w:tcPr>
          <w:p>
            <w:pPr>
              <w:spacing w:line="320" w:lineRule="exact"/>
              <w:ind w:left="141" w:leftChars="67" w:firstLine="0"/>
              <w:jc w:val="center"/>
              <w:rPr>
                <w:color w:val="auto"/>
                <w:sz w:val="24"/>
                <w:szCs w:val="24"/>
                <w:highlight w:val="none"/>
              </w:rPr>
            </w:pPr>
            <w:r>
              <w:rPr>
                <w:color w:val="auto"/>
                <w:sz w:val="24"/>
                <w:szCs w:val="24"/>
                <w:highlight w:val="none"/>
              </w:rPr>
              <w:t>标  段</w:t>
            </w:r>
          </w:p>
        </w:tc>
        <w:tc>
          <w:tcPr>
            <w:tcW w:w="7796" w:type="dxa"/>
            <w:tcBorders>
              <w:top w:val="single" w:color="auto" w:sz="4" w:space="0"/>
            </w:tcBorders>
            <w:vAlign w:val="center"/>
          </w:tcPr>
          <w:p>
            <w:pPr>
              <w:spacing w:line="320" w:lineRule="exact"/>
              <w:ind w:firstLine="0"/>
              <w:jc w:val="center"/>
              <w:rPr>
                <w:color w:val="auto"/>
                <w:sz w:val="24"/>
                <w:szCs w:val="24"/>
                <w:highlight w:val="none"/>
              </w:rPr>
            </w:pPr>
            <w:r>
              <w:rPr>
                <w:color w:val="auto"/>
                <w:sz w:val="24"/>
                <w:szCs w:val="24"/>
                <w:highlight w:val="none"/>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38" w:type="dxa"/>
            <w:tcBorders>
              <w:left w:val="single" w:color="auto" w:sz="4" w:space="0"/>
            </w:tcBorders>
            <w:vAlign w:val="center"/>
          </w:tcPr>
          <w:p>
            <w:pPr>
              <w:snapToGrid w:val="0"/>
              <w:spacing w:line="240" w:lineRule="auto"/>
              <w:ind w:firstLine="0"/>
              <w:jc w:val="center"/>
              <w:rPr>
                <w:color w:val="auto"/>
                <w:szCs w:val="21"/>
                <w:highlight w:val="none"/>
              </w:rPr>
            </w:pPr>
            <w:r>
              <w:rPr>
                <w:rFonts w:hint="eastAsia"/>
                <w:color w:val="auto"/>
                <w:szCs w:val="21"/>
                <w:highlight w:val="none"/>
              </w:rPr>
              <w:t>WJDJL1、WJDJL2、WJDJL3</w:t>
            </w:r>
          </w:p>
        </w:tc>
        <w:tc>
          <w:tcPr>
            <w:tcW w:w="7796" w:type="dxa"/>
            <w:vAlign w:val="center"/>
          </w:tcPr>
          <w:p>
            <w:pPr>
              <w:snapToGrid w:val="0"/>
              <w:spacing w:before="100" w:beforeAutospacing="1" w:line="240" w:lineRule="auto"/>
              <w:ind w:firstLine="0"/>
              <w:jc w:val="center"/>
              <w:rPr>
                <w:color w:val="auto"/>
                <w:szCs w:val="21"/>
                <w:highlight w:val="none"/>
              </w:rPr>
            </w:pPr>
            <w:r>
              <w:rPr>
                <w:rFonts w:hAnsi="宋体"/>
                <w:color w:val="auto"/>
                <w:szCs w:val="21"/>
                <w:highlight w:val="none"/>
              </w:rPr>
              <w:t>具备</w:t>
            </w:r>
            <w:r>
              <w:rPr>
                <w:rFonts w:hint="eastAsia" w:hAnsiTheme="minorEastAsia" w:eastAsiaTheme="minorEastAsia"/>
                <w:color w:val="auto"/>
                <w:szCs w:val="21"/>
                <w:highlight w:val="none"/>
                <w:lang w:val="en-US" w:eastAsia="zh-CN"/>
              </w:rPr>
              <w:t>建设行政</w:t>
            </w:r>
            <w:r>
              <w:rPr>
                <w:rFonts w:hAnsiTheme="minorEastAsia" w:eastAsiaTheme="minorEastAsia"/>
                <w:color w:val="auto"/>
                <w:szCs w:val="21"/>
                <w:highlight w:val="none"/>
              </w:rPr>
              <w:t>主管部门颁发的</w:t>
            </w:r>
            <w:r>
              <w:rPr>
                <w:rFonts w:hint="eastAsia" w:hAnsiTheme="minorEastAsia" w:eastAsiaTheme="minorEastAsia"/>
                <w:color w:val="auto"/>
                <w:szCs w:val="21"/>
                <w:highlight w:val="none"/>
                <w:lang w:val="en-US" w:eastAsia="zh-CN"/>
              </w:rPr>
              <w:t>电力工程</w:t>
            </w:r>
            <w:r>
              <w:rPr>
                <w:rFonts w:hAnsiTheme="minorEastAsia" w:eastAsiaTheme="minorEastAsia"/>
                <w:color w:val="auto"/>
                <w:szCs w:val="21"/>
                <w:highlight w:val="none"/>
              </w:rPr>
              <w:t>监理</w:t>
            </w:r>
            <w:r>
              <w:rPr>
                <w:rFonts w:hint="eastAsia" w:hAnsiTheme="minorEastAsia" w:eastAsiaTheme="minorEastAsia"/>
                <w:color w:val="auto"/>
                <w:szCs w:val="21"/>
                <w:highlight w:val="none"/>
                <w:lang w:val="en-US" w:eastAsia="zh-CN"/>
              </w:rPr>
              <w:t>乙级或以上</w:t>
            </w:r>
            <w:r>
              <w:rPr>
                <w:rFonts w:hAnsiTheme="minorEastAsia" w:eastAsiaTheme="minorEastAsia"/>
                <w:color w:val="auto"/>
                <w:szCs w:val="21"/>
                <w:highlight w:val="none"/>
              </w:rPr>
              <w:t>资质</w:t>
            </w:r>
          </w:p>
        </w:tc>
      </w:tr>
    </w:tbl>
    <w:p>
      <w:pPr>
        <w:spacing w:afterLines="50"/>
        <w:ind w:left="141" w:leftChars="67" w:firstLine="312"/>
        <w:jc w:val="center"/>
        <w:rPr>
          <w:b/>
          <w:color w:val="auto"/>
          <w:sz w:val="28"/>
          <w:szCs w:val="28"/>
          <w:highlight w:val="none"/>
        </w:rPr>
      </w:pPr>
      <w:r>
        <w:rPr>
          <w:b/>
          <w:color w:val="auto"/>
          <w:sz w:val="28"/>
          <w:szCs w:val="28"/>
          <w:highlight w:val="none"/>
        </w:rPr>
        <w:t>附录2 资格审查条件（业绩最低要求）</w:t>
      </w:r>
    </w:p>
    <w:tbl>
      <w:tblPr>
        <w:tblStyle w:val="6"/>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7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26" w:type="dxa"/>
            <w:vAlign w:val="center"/>
          </w:tcPr>
          <w:p>
            <w:pPr>
              <w:spacing w:line="320" w:lineRule="exact"/>
              <w:ind w:left="141" w:leftChars="67" w:firstLine="0"/>
              <w:jc w:val="center"/>
              <w:rPr>
                <w:color w:val="auto"/>
                <w:sz w:val="24"/>
                <w:szCs w:val="24"/>
                <w:highlight w:val="none"/>
              </w:rPr>
            </w:pPr>
            <w:r>
              <w:rPr>
                <w:color w:val="auto"/>
                <w:sz w:val="24"/>
                <w:szCs w:val="24"/>
                <w:highlight w:val="none"/>
              </w:rPr>
              <w:t>标  段</w:t>
            </w:r>
          </w:p>
        </w:tc>
        <w:tc>
          <w:tcPr>
            <w:tcW w:w="7783" w:type="dxa"/>
            <w:vAlign w:val="center"/>
          </w:tcPr>
          <w:p>
            <w:pPr>
              <w:spacing w:line="320" w:lineRule="exact"/>
              <w:ind w:firstLine="0"/>
              <w:jc w:val="center"/>
              <w:rPr>
                <w:color w:val="auto"/>
                <w:sz w:val="24"/>
                <w:szCs w:val="24"/>
                <w:highlight w:val="none"/>
              </w:rPr>
            </w:pPr>
            <w:r>
              <w:rPr>
                <w:color w:val="auto"/>
                <w:sz w:val="24"/>
                <w:szCs w:val="24"/>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26" w:type="dxa"/>
            <w:vAlign w:val="center"/>
          </w:tcPr>
          <w:p>
            <w:pPr>
              <w:snapToGrid w:val="0"/>
              <w:spacing w:line="240" w:lineRule="auto"/>
              <w:ind w:firstLine="0"/>
              <w:jc w:val="center"/>
              <w:rPr>
                <w:color w:val="auto"/>
                <w:szCs w:val="21"/>
                <w:highlight w:val="none"/>
              </w:rPr>
            </w:pPr>
            <w:r>
              <w:rPr>
                <w:rFonts w:hint="eastAsia"/>
                <w:color w:val="auto"/>
                <w:szCs w:val="21"/>
                <w:highlight w:val="none"/>
              </w:rPr>
              <w:t>WJDJL1、WJDJL2、WJDJL3</w:t>
            </w:r>
          </w:p>
        </w:tc>
        <w:tc>
          <w:tcPr>
            <w:tcW w:w="7783" w:type="dxa"/>
            <w:vAlign w:val="center"/>
          </w:tcPr>
          <w:p>
            <w:pPr>
              <w:snapToGrid w:val="0"/>
              <w:spacing w:line="240" w:lineRule="auto"/>
              <w:ind w:firstLine="0"/>
              <w:jc w:val="center"/>
              <w:rPr>
                <w:color w:val="auto"/>
                <w:szCs w:val="21"/>
                <w:highlight w:val="none"/>
              </w:rPr>
            </w:pPr>
            <w:r>
              <w:rPr>
                <w:color w:val="auto"/>
                <w:szCs w:val="21"/>
                <w:highlight w:val="none"/>
              </w:rPr>
              <w:t>无业绩最低要求</w:t>
            </w:r>
          </w:p>
        </w:tc>
      </w:tr>
    </w:tbl>
    <w:p>
      <w:pPr>
        <w:spacing w:afterLines="50"/>
        <w:ind w:left="141" w:leftChars="67" w:firstLine="312"/>
        <w:jc w:val="center"/>
        <w:rPr>
          <w:b/>
          <w:color w:val="auto"/>
          <w:sz w:val="28"/>
          <w:szCs w:val="28"/>
          <w:highlight w:val="none"/>
        </w:rPr>
      </w:pPr>
      <w:r>
        <w:rPr>
          <w:b/>
          <w:color w:val="auto"/>
          <w:sz w:val="28"/>
          <w:szCs w:val="28"/>
          <w:highlight w:val="none"/>
        </w:rPr>
        <w:t>附录3资格审查条件（信誉最低要求）</w:t>
      </w:r>
    </w:p>
    <w:tbl>
      <w:tblPr>
        <w:tblStyle w:val="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trPr>
        <w:tc>
          <w:tcPr>
            <w:tcW w:w="9180" w:type="dxa"/>
            <w:vAlign w:val="center"/>
          </w:tcPr>
          <w:p>
            <w:pPr>
              <w:snapToGrid w:val="0"/>
              <w:spacing w:line="240" w:lineRule="auto"/>
              <w:ind w:firstLine="0"/>
              <w:jc w:val="center"/>
              <w:rPr>
                <w:rFonts w:hAnsi="宋体"/>
                <w:color w:val="auto"/>
                <w:sz w:val="24"/>
                <w:szCs w:val="24"/>
                <w:highlight w:val="none"/>
              </w:rPr>
            </w:pPr>
            <w:r>
              <w:rPr>
                <w:rFonts w:hAnsi="宋体"/>
                <w:color w:val="auto"/>
                <w:sz w:val="24"/>
                <w:szCs w:val="24"/>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9180" w:type="dxa"/>
            <w:vAlign w:val="center"/>
          </w:tcPr>
          <w:p>
            <w:pPr>
              <w:keepNext w:val="0"/>
              <w:keepLines w:val="0"/>
              <w:pageBreakBefore w:val="0"/>
              <w:widowControl/>
              <w:suppressAutoHyphens w:val="0"/>
              <w:kinsoku/>
              <w:wordWrap/>
              <w:overflowPunct/>
              <w:topLinePunct w:val="0"/>
              <w:autoSpaceDE/>
              <w:autoSpaceDN/>
              <w:bidi w:val="0"/>
              <w:adjustRightInd w:val="0"/>
              <w:snapToGrid/>
              <w:spacing w:line="260" w:lineRule="exact"/>
              <w:jc w:val="left"/>
              <w:textAlignment w:val="baseline"/>
              <w:rPr>
                <w:rFonts w:hint="eastAsia"/>
                <w:color w:val="auto"/>
                <w:highlight w:val="none"/>
                <w:lang w:eastAsia="zh-CN"/>
              </w:rPr>
            </w:pPr>
            <w:r>
              <w:rPr>
                <w:color w:val="auto"/>
                <w:highlight w:val="none"/>
              </w:rPr>
              <w:t>投标人在最新贵州省交通建设市场从业单位信用评价的综合考核定级中，未被评价为D级</w:t>
            </w:r>
            <w:r>
              <w:rPr>
                <w:rFonts w:hint="eastAsia"/>
                <w:color w:val="auto"/>
                <w:highlight w:val="none"/>
                <w:lang w:eastAsia="zh-CN"/>
              </w:rPr>
              <w:t>；</w:t>
            </w:r>
          </w:p>
          <w:p>
            <w:pPr>
              <w:numPr>
                <w:ilvl w:val="0"/>
                <w:numId w:val="1"/>
              </w:numPr>
              <w:snapToGrid w:val="0"/>
              <w:spacing w:line="240" w:lineRule="auto"/>
              <w:ind w:firstLine="0"/>
              <w:jc w:val="left"/>
              <w:rPr>
                <w:color w:val="auto"/>
                <w:highlight w:val="none"/>
              </w:rPr>
            </w:pPr>
            <w:r>
              <w:rPr>
                <w:rFonts w:hint="eastAsia"/>
                <w:color w:val="auto"/>
                <w:highlight w:val="none"/>
              </w:rPr>
              <w:t>在“信用中国”网站（http：//www.creditchina.gov.cn/）中</w:t>
            </w:r>
            <w:r>
              <w:rPr>
                <w:rFonts w:hint="eastAsia"/>
                <w:color w:val="auto"/>
                <w:highlight w:val="none"/>
                <w:lang w:val="en-US" w:eastAsia="zh-CN"/>
              </w:rPr>
              <w:t>未</w:t>
            </w:r>
            <w:r>
              <w:rPr>
                <w:rFonts w:hint="eastAsia"/>
                <w:color w:val="auto"/>
                <w:highlight w:val="none"/>
              </w:rPr>
              <w:t>被列入失信被执行人名单</w:t>
            </w:r>
            <w:r>
              <w:rPr>
                <w:color w:val="auto"/>
                <w:highlight w:val="none"/>
              </w:rPr>
              <w:t>。</w:t>
            </w:r>
          </w:p>
        </w:tc>
      </w:tr>
    </w:tbl>
    <w:p>
      <w:pPr>
        <w:spacing w:afterLines="50"/>
        <w:ind w:left="141" w:leftChars="67" w:firstLine="312"/>
        <w:jc w:val="center"/>
        <w:rPr>
          <w:b/>
          <w:color w:val="auto"/>
          <w:sz w:val="28"/>
          <w:szCs w:val="28"/>
          <w:highlight w:val="none"/>
        </w:rPr>
      </w:pPr>
      <w:r>
        <w:rPr>
          <w:b/>
          <w:color w:val="auto"/>
          <w:sz w:val="28"/>
          <w:szCs w:val="28"/>
          <w:highlight w:val="none"/>
        </w:rPr>
        <w:t>附录4资格审查条件（主要人员最低要求）</w:t>
      </w:r>
    </w:p>
    <w:tbl>
      <w:tblPr>
        <w:tblStyle w:val="6"/>
        <w:tblW w:w="8522" w:type="dxa"/>
        <w:tblInd w:w="91" w:type="dxa"/>
        <w:tblLayout w:type="autofit"/>
        <w:tblCellMar>
          <w:top w:w="0" w:type="dxa"/>
          <w:left w:w="108" w:type="dxa"/>
          <w:bottom w:w="0" w:type="dxa"/>
          <w:right w:w="108" w:type="dxa"/>
        </w:tblCellMar>
      </w:tblPr>
      <w:tblGrid>
        <w:gridCol w:w="1940"/>
        <w:gridCol w:w="936"/>
        <w:gridCol w:w="936"/>
        <w:gridCol w:w="936"/>
        <w:gridCol w:w="3774"/>
      </w:tblGrid>
      <w:tr>
        <w:tblPrEx>
          <w:tblCellMar>
            <w:top w:w="0" w:type="dxa"/>
            <w:left w:w="108" w:type="dxa"/>
            <w:bottom w:w="0" w:type="dxa"/>
            <w:right w:w="108" w:type="dxa"/>
          </w:tblCellMar>
        </w:tblPrEx>
        <w:trPr>
          <w:trHeight w:val="270" w:hRule="atLeast"/>
        </w:trPr>
        <w:tc>
          <w:tcPr>
            <w:tcW w:w="1940" w:type="dxa"/>
            <w:vMerge w:val="restart"/>
            <w:tcBorders>
              <w:top w:val="single" w:color="auto" w:sz="4" w:space="0"/>
              <w:left w:val="single" w:color="auto" w:sz="4" w:space="0"/>
              <w:bottom w:val="single" w:color="auto" w:sz="4" w:space="0"/>
              <w:right w:val="single" w:color="auto" w:sz="4" w:space="0"/>
            </w:tcBorders>
            <w:noWrap/>
            <w:vAlign w:val="center"/>
          </w:tcPr>
          <w:p>
            <w:pPr>
              <w:widowControl/>
              <w:suppressAutoHyphens w:val="0"/>
              <w:ind w:left="0" w:leftChars="0" w:firstLine="0" w:firstLineChars="0"/>
              <w:jc w:val="both"/>
              <w:rPr>
                <w:rFonts w:ascii="宋体" w:hAnsi="宋体" w:cs="宋体"/>
                <w:color w:val="auto"/>
                <w:kern w:val="0"/>
                <w:sz w:val="22"/>
                <w:szCs w:val="22"/>
                <w:highlight w:val="none"/>
              </w:rPr>
            </w:pPr>
            <w:r>
              <w:rPr>
                <w:rFonts w:hint="eastAsia" w:ascii="宋体" w:hAnsi="宋体" w:cs="宋体"/>
                <w:color w:val="auto"/>
                <w:kern w:val="0"/>
                <w:sz w:val="22"/>
                <w:szCs w:val="22"/>
                <w:highlight w:val="none"/>
              </w:rPr>
              <w:t>监理人员</w:t>
            </w:r>
          </w:p>
        </w:tc>
        <w:tc>
          <w:tcPr>
            <w:tcW w:w="2808" w:type="dxa"/>
            <w:gridSpan w:val="3"/>
            <w:tcBorders>
              <w:top w:val="single" w:color="auto" w:sz="4" w:space="0"/>
              <w:left w:val="nil"/>
              <w:bottom w:val="single" w:color="auto" w:sz="4" w:space="0"/>
              <w:right w:val="single" w:color="auto" w:sz="4" w:space="0"/>
            </w:tcBorders>
            <w:noWrap/>
            <w:vAlign w:val="center"/>
          </w:tcPr>
          <w:p>
            <w:pPr>
              <w:widowControl/>
              <w:suppressAutoHyphens w:val="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最低数量要求</w:t>
            </w:r>
          </w:p>
        </w:tc>
        <w:tc>
          <w:tcPr>
            <w:tcW w:w="3774" w:type="dxa"/>
            <w:vMerge w:val="restart"/>
            <w:tcBorders>
              <w:top w:val="single" w:color="auto" w:sz="4" w:space="0"/>
              <w:left w:val="nil"/>
              <w:right w:val="single" w:color="auto" w:sz="4" w:space="0"/>
            </w:tcBorders>
            <w:noWrap/>
            <w:vAlign w:val="center"/>
          </w:tcPr>
          <w:p>
            <w:pPr>
              <w:widowControl/>
              <w:suppressAutoHyphens w:val="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资质要求</w:t>
            </w:r>
          </w:p>
          <w:p>
            <w:pPr>
              <w:widowControl/>
              <w:suppressAutoHyphens w:val="0"/>
              <w:jc w:val="center"/>
              <w:rPr>
                <w:rFonts w:ascii="宋体" w:hAnsi="宋体" w:cs="宋体"/>
                <w:color w:val="auto"/>
                <w:kern w:val="0"/>
                <w:sz w:val="22"/>
                <w:szCs w:val="22"/>
                <w:highlight w:val="none"/>
              </w:rPr>
            </w:pPr>
          </w:p>
        </w:tc>
      </w:tr>
      <w:tr>
        <w:tblPrEx>
          <w:tblCellMar>
            <w:top w:w="0" w:type="dxa"/>
            <w:left w:w="108" w:type="dxa"/>
            <w:bottom w:w="0" w:type="dxa"/>
            <w:right w:w="108" w:type="dxa"/>
          </w:tblCellMar>
        </w:tblPrEx>
        <w:trPr>
          <w:trHeight w:val="285" w:hRule="atLeast"/>
        </w:trPr>
        <w:tc>
          <w:tcPr>
            <w:tcW w:w="19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uppressAutoHyphens w:val="0"/>
              <w:jc w:val="left"/>
              <w:rPr>
                <w:rFonts w:ascii="宋体" w:hAnsi="宋体" w:cs="宋体"/>
                <w:color w:val="auto"/>
                <w:kern w:val="0"/>
                <w:sz w:val="22"/>
                <w:szCs w:val="22"/>
                <w:highlight w:val="none"/>
              </w:rPr>
            </w:pPr>
          </w:p>
        </w:tc>
        <w:tc>
          <w:tcPr>
            <w:tcW w:w="936" w:type="dxa"/>
            <w:tcBorders>
              <w:top w:val="nil"/>
              <w:left w:val="nil"/>
              <w:bottom w:val="single" w:color="auto" w:sz="4" w:space="0"/>
              <w:right w:val="single" w:color="auto" w:sz="4" w:space="0"/>
            </w:tcBorders>
            <w:noWrap/>
            <w:vAlign w:val="center"/>
          </w:tcPr>
          <w:p>
            <w:pPr>
              <w:widowControl/>
              <w:suppressAutoHyphens w:val="0"/>
              <w:ind w:left="0" w:leftChars="0" w:firstLine="0" w:firstLineChars="0"/>
              <w:jc w:val="left"/>
              <w:rPr>
                <w:rFonts w:ascii="宋体" w:hAnsi="宋体" w:cs="宋体"/>
                <w:color w:val="auto"/>
                <w:kern w:val="0"/>
                <w:sz w:val="24"/>
                <w:highlight w:val="none"/>
              </w:rPr>
            </w:pPr>
            <w:r>
              <w:rPr>
                <w:rFonts w:hint="eastAsia" w:ascii="宋体" w:hAnsi="宋体" w:cs="宋体"/>
                <w:color w:val="auto"/>
                <w:kern w:val="0"/>
                <w:sz w:val="24"/>
                <w:highlight w:val="none"/>
              </w:rPr>
              <w:t>WJDJL1</w:t>
            </w:r>
          </w:p>
        </w:tc>
        <w:tc>
          <w:tcPr>
            <w:tcW w:w="936" w:type="dxa"/>
            <w:tcBorders>
              <w:top w:val="nil"/>
              <w:left w:val="nil"/>
              <w:bottom w:val="single" w:color="auto" w:sz="4" w:space="0"/>
              <w:right w:val="single" w:color="auto" w:sz="4" w:space="0"/>
            </w:tcBorders>
            <w:noWrap/>
            <w:vAlign w:val="center"/>
          </w:tcPr>
          <w:p>
            <w:pPr>
              <w:widowControl/>
              <w:suppressAutoHyphens w:val="0"/>
              <w:ind w:left="0" w:leftChars="0" w:firstLine="0" w:firstLineChars="0"/>
              <w:jc w:val="left"/>
              <w:rPr>
                <w:rFonts w:ascii="宋体" w:hAnsi="宋体" w:cs="宋体"/>
                <w:color w:val="auto"/>
                <w:kern w:val="0"/>
                <w:sz w:val="24"/>
                <w:highlight w:val="none"/>
              </w:rPr>
            </w:pPr>
            <w:r>
              <w:rPr>
                <w:rFonts w:hint="eastAsia" w:ascii="宋体" w:hAnsi="宋体" w:cs="宋体"/>
                <w:color w:val="auto"/>
                <w:kern w:val="0"/>
                <w:sz w:val="24"/>
                <w:highlight w:val="none"/>
              </w:rPr>
              <w:t>WJDJL2</w:t>
            </w:r>
          </w:p>
        </w:tc>
        <w:tc>
          <w:tcPr>
            <w:tcW w:w="936" w:type="dxa"/>
            <w:tcBorders>
              <w:top w:val="nil"/>
              <w:left w:val="nil"/>
              <w:bottom w:val="single" w:color="auto" w:sz="4" w:space="0"/>
              <w:right w:val="single" w:color="auto" w:sz="4" w:space="0"/>
            </w:tcBorders>
            <w:noWrap/>
            <w:vAlign w:val="center"/>
          </w:tcPr>
          <w:p>
            <w:pPr>
              <w:widowControl/>
              <w:suppressAutoHyphens w:val="0"/>
              <w:ind w:left="0" w:leftChars="0" w:firstLine="0" w:firstLineChars="0"/>
              <w:jc w:val="left"/>
              <w:rPr>
                <w:rFonts w:ascii="宋体" w:hAnsi="宋体" w:cs="宋体"/>
                <w:color w:val="auto"/>
                <w:kern w:val="0"/>
                <w:sz w:val="24"/>
                <w:highlight w:val="none"/>
              </w:rPr>
            </w:pPr>
            <w:r>
              <w:rPr>
                <w:rFonts w:hint="eastAsia" w:ascii="宋体" w:hAnsi="宋体" w:cs="宋体"/>
                <w:color w:val="auto"/>
                <w:kern w:val="0"/>
                <w:sz w:val="24"/>
                <w:highlight w:val="none"/>
              </w:rPr>
              <w:t>WJDJL3</w:t>
            </w:r>
          </w:p>
        </w:tc>
        <w:tc>
          <w:tcPr>
            <w:tcW w:w="3774" w:type="dxa"/>
            <w:vMerge w:val="continue"/>
            <w:tcBorders>
              <w:left w:val="nil"/>
              <w:bottom w:val="single" w:color="auto" w:sz="4" w:space="0"/>
              <w:right w:val="single" w:color="auto" w:sz="4" w:space="0"/>
            </w:tcBorders>
            <w:noWrap/>
            <w:vAlign w:val="center"/>
          </w:tcPr>
          <w:p>
            <w:pPr>
              <w:widowControl/>
              <w:suppressAutoHyphens w:val="0"/>
              <w:jc w:val="left"/>
              <w:rPr>
                <w:rFonts w:ascii="宋体" w:hAnsi="宋体" w:cs="宋体"/>
                <w:color w:val="auto"/>
                <w:kern w:val="0"/>
                <w:sz w:val="22"/>
                <w:szCs w:val="22"/>
                <w:highlight w:val="none"/>
              </w:rPr>
            </w:pPr>
          </w:p>
        </w:tc>
      </w:tr>
      <w:tr>
        <w:tblPrEx>
          <w:tblCellMar>
            <w:top w:w="0" w:type="dxa"/>
            <w:left w:w="108" w:type="dxa"/>
            <w:bottom w:w="0" w:type="dxa"/>
            <w:right w:w="108" w:type="dxa"/>
          </w:tblCellMar>
        </w:tblPrEx>
        <w:trPr>
          <w:trHeight w:val="1991" w:hRule="atLeast"/>
        </w:trPr>
        <w:tc>
          <w:tcPr>
            <w:tcW w:w="194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suppressAutoHyphens w:val="0"/>
              <w:kinsoku/>
              <w:wordWrap/>
              <w:overflowPunct/>
              <w:topLinePunct w:val="0"/>
              <w:autoSpaceDE/>
              <w:autoSpaceDN/>
              <w:bidi w:val="0"/>
              <w:adjustRightInd w:val="0"/>
              <w:snapToGrid/>
              <w:spacing w:line="320" w:lineRule="exact"/>
              <w:ind w:left="0" w:leftChars="0" w:firstLine="0" w:firstLineChars="0"/>
              <w:jc w:val="center"/>
              <w:textAlignment w:val="baseline"/>
              <w:rPr>
                <w:rFonts w:ascii="宋体" w:hAnsi="宋体" w:cs="宋体"/>
                <w:color w:val="auto"/>
                <w:kern w:val="0"/>
                <w:sz w:val="22"/>
                <w:szCs w:val="22"/>
                <w:highlight w:val="none"/>
              </w:rPr>
            </w:pPr>
            <w:r>
              <w:rPr>
                <w:rFonts w:hint="eastAsia" w:ascii="宋体" w:hAnsi="宋体" w:cs="宋体"/>
                <w:color w:val="auto"/>
                <w:kern w:val="0"/>
                <w:sz w:val="22"/>
                <w:szCs w:val="22"/>
                <w:highlight w:val="none"/>
              </w:rPr>
              <w:t>驻地监理工程师</w:t>
            </w:r>
          </w:p>
        </w:tc>
        <w:tc>
          <w:tcPr>
            <w:tcW w:w="936" w:type="dxa"/>
            <w:tcBorders>
              <w:top w:val="nil"/>
              <w:left w:val="nil"/>
              <w:bottom w:val="single" w:color="auto" w:sz="4" w:space="0"/>
              <w:right w:val="single" w:color="auto" w:sz="4" w:space="0"/>
            </w:tcBorders>
            <w:noWrap/>
            <w:vAlign w:val="center"/>
          </w:tcPr>
          <w:p>
            <w:pPr>
              <w:keepNext w:val="0"/>
              <w:keepLines w:val="0"/>
              <w:pageBreakBefore w:val="0"/>
              <w:widowControl/>
              <w:suppressAutoHyphens w:val="0"/>
              <w:kinsoku/>
              <w:wordWrap/>
              <w:overflowPunct/>
              <w:topLinePunct w:val="0"/>
              <w:autoSpaceDE/>
              <w:autoSpaceDN/>
              <w:bidi w:val="0"/>
              <w:adjustRightInd w:val="0"/>
              <w:snapToGrid/>
              <w:spacing w:line="320" w:lineRule="exact"/>
              <w:ind w:left="0" w:leftChars="0" w:firstLine="0" w:firstLineChars="0"/>
              <w:jc w:val="center"/>
              <w:textAlignment w:val="baseline"/>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936" w:type="dxa"/>
            <w:tcBorders>
              <w:top w:val="nil"/>
              <w:left w:val="nil"/>
              <w:bottom w:val="single" w:color="auto" w:sz="4" w:space="0"/>
              <w:right w:val="single" w:color="auto" w:sz="4" w:space="0"/>
            </w:tcBorders>
            <w:noWrap/>
            <w:vAlign w:val="center"/>
          </w:tcPr>
          <w:p>
            <w:pPr>
              <w:keepNext w:val="0"/>
              <w:keepLines w:val="0"/>
              <w:pageBreakBefore w:val="0"/>
              <w:widowControl/>
              <w:suppressAutoHyphens w:val="0"/>
              <w:kinsoku/>
              <w:wordWrap/>
              <w:overflowPunct/>
              <w:topLinePunct w:val="0"/>
              <w:autoSpaceDE/>
              <w:autoSpaceDN/>
              <w:bidi w:val="0"/>
              <w:adjustRightInd w:val="0"/>
              <w:snapToGrid/>
              <w:spacing w:line="320" w:lineRule="exact"/>
              <w:ind w:left="0" w:leftChars="0" w:firstLine="0" w:firstLineChars="0"/>
              <w:jc w:val="center"/>
              <w:textAlignment w:val="baseline"/>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936" w:type="dxa"/>
            <w:tcBorders>
              <w:top w:val="nil"/>
              <w:left w:val="nil"/>
              <w:bottom w:val="single" w:color="auto" w:sz="4" w:space="0"/>
              <w:right w:val="single" w:color="auto" w:sz="4" w:space="0"/>
            </w:tcBorders>
            <w:noWrap/>
            <w:vAlign w:val="center"/>
          </w:tcPr>
          <w:p>
            <w:pPr>
              <w:keepNext w:val="0"/>
              <w:keepLines w:val="0"/>
              <w:pageBreakBefore w:val="0"/>
              <w:widowControl/>
              <w:suppressAutoHyphens w:val="0"/>
              <w:kinsoku/>
              <w:wordWrap/>
              <w:overflowPunct/>
              <w:topLinePunct w:val="0"/>
              <w:autoSpaceDE/>
              <w:autoSpaceDN/>
              <w:bidi w:val="0"/>
              <w:adjustRightInd w:val="0"/>
              <w:snapToGrid/>
              <w:spacing w:line="320" w:lineRule="exact"/>
              <w:ind w:left="0" w:leftChars="0" w:firstLine="0" w:firstLineChars="0"/>
              <w:jc w:val="center"/>
              <w:textAlignment w:val="baseline"/>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3774" w:type="dxa"/>
            <w:tcBorders>
              <w:top w:val="nil"/>
              <w:left w:val="nil"/>
              <w:bottom w:val="single" w:color="auto" w:sz="4" w:space="0"/>
              <w:right w:val="single" w:color="auto" w:sz="4" w:space="0"/>
            </w:tcBorders>
            <w:noWrap w:val="0"/>
            <w:vAlign w:val="center"/>
          </w:tcPr>
          <w:p>
            <w:pPr>
              <w:keepNext w:val="0"/>
              <w:keepLines w:val="0"/>
              <w:pageBreakBefore w:val="0"/>
              <w:widowControl/>
              <w:suppressAutoHyphens w:val="0"/>
              <w:kinsoku/>
              <w:wordWrap/>
              <w:overflowPunct/>
              <w:topLinePunct w:val="0"/>
              <w:autoSpaceDE/>
              <w:autoSpaceDN/>
              <w:bidi w:val="0"/>
              <w:adjustRightInd w:val="0"/>
              <w:snapToGrid/>
              <w:spacing w:line="320" w:lineRule="exact"/>
              <w:jc w:val="left"/>
              <w:textAlignment w:val="baseline"/>
              <w:rPr>
                <w:rFonts w:ascii="宋体" w:hAnsi="宋体" w:cs="宋体"/>
                <w:color w:val="auto"/>
                <w:kern w:val="0"/>
                <w:sz w:val="22"/>
                <w:szCs w:val="22"/>
                <w:highlight w:val="none"/>
              </w:rPr>
            </w:pPr>
            <w:r>
              <w:rPr>
                <w:rFonts w:hint="eastAsia" w:ascii="宋体" w:hAnsi="宋体" w:cs="宋体"/>
                <w:color w:val="auto"/>
                <w:kern w:val="0"/>
                <w:sz w:val="22"/>
                <w:szCs w:val="22"/>
                <w:highlight w:val="none"/>
              </w:rPr>
              <w:t>高级工程师及以上职称（电力工程相关专业），有8年以上</w:t>
            </w:r>
            <w:r>
              <w:rPr>
                <w:rFonts w:hint="eastAsia" w:ascii="宋体" w:hAnsi="宋体" w:cs="宋体"/>
                <w:color w:val="auto"/>
                <w:kern w:val="0"/>
                <w:sz w:val="22"/>
                <w:szCs w:val="22"/>
                <w:highlight w:val="none"/>
                <w:lang w:val="en-US" w:eastAsia="zh-CN"/>
              </w:rPr>
              <w:t>电力</w:t>
            </w:r>
            <w:r>
              <w:rPr>
                <w:rFonts w:hint="eastAsia" w:ascii="宋体" w:hAnsi="宋体" w:cs="宋体"/>
                <w:color w:val="auto"/>
                <w:kern w:val="0"/>
                <w:sz w:val="22"/>
                <w:szCs w:val="22"/>
                <w:highlight w:val="none"/>
              </w:rPr>
              <w:t>工程监理工作经验，年龄在60岁以下，且已在投标人处进行岗位登记。无在岗项目（指目前未在其他项目上任职，或虽在其他项目上任职但本项目中标后能够从该项目撤离）。</w:t>
            </w:r>
          </w:p>
        </w:tc>
      </w:tr>
      <w:tr>
        <w:tblPrEx>
          <w:tblCellMar>
            <w:top w:w="0" w:type="dxa"/>
            <w:left w:w="108" w:type="dxa"/>
            <w:bottom w:w="0" w:type="dxa"/>
            <w:right w:w="108" w:type="dxa"/>
          </w:tblCellMar>
        </w:tblPrEx>
        <w:trPr>
          <w:trHeight w:val="2020" w:hRule="atLeast"/>
        </w:trPr>
        <w:tc>
          <w:tcPr>
            <w:tcW w:w="194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suppressAutoHyphens w:val="0"/>
              <w:kinsoku/>
              <w:wordWrap/>
              <w:overflowPunct/>
              <w:topLinePunct w:val="0"/>
              <w:autoSpaceDE/>
              <w:autoSpaceDN/>
              <w:bidi w:val="0"/>
              <w:adjustRightInd w:val="0"/>
              <w:snapToGrid/>
              <w:spacing w:line="320" w:lineRule="exact"/>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监理员</w:t>
            </w:r>
          </w:p>
        </w:tc>
        <w:tc>
          <w:tcPr>
            <w:tcW w:w="936" w:type="dxa"/>
            <w:tcBorders>
              <w:top w:val="nil"/>
              <w:left w:val="nil"/>
              <w:bottom w:val="single" w:color="auto" w:sz="4" w:space="0"/>
              <w:right w:val="single" w:color="auto" w:sz="4" w:space="0"/>
            </w:tcBorders>
            <w:noWrap/>
            <w:vAlign w:val="center"/>
          </w:tcPr>
          <w:p>
            <w:pPr>
              <w:keepNext w:val="0"/>
              <w:keepLines w:val="0"/>
              <w:pageBreakBefore w:val="0"/>
              <w:widowControl/>
              <w:suppressAutoHyphens w:val="0"/>
              <w:kinsoku/>
              <w:wordWrap/>
              <w:overflowPunct/>
              <w:topLinePunct w:val="0"/>
              <w:autoSpaceDE/>
              <w:autoSpaceDN/>
              <w:bidi w:val="0"/>
              <w:adjustRightInd w:val="0"/>
              <w:snapToGrid/>
              <w:spacing w:line="320" w:lineRule="exact"/>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936" w:type="dxa"/>
            <w:tcBorders>
              <w:top w:val="nil"/>
              <w:left w:val="nil"/>
              <w:bottom w:val="single" w:color="auto" w:sz="4" w:space="0"/>
              <w:right w:val="single" w:color="auto" w:sz="4" w:space="0"/>
            </w:tcBorders>
            <w:noWrap/>
            <w:vAlign w:val="center"/>
          </w:tcPr>
          <w:p>
            <w:pPr>
              <w:keepNext w:val="0"/>
              <w:keepLines w:val="0"/>
              <w:pageBreakBefore w:val="0"/>
              <w:widowControl/>
              <w:suppressAutoHyphens w:val="0"/>
              <w:kinsoku/>
              <w:wordWrap/>
              <w:overflowPunct/>
              <w:topLinePunct w:val="0"/>
              <w:autoSpaceDE/>
              <w:autoSpaceDN/>
              <w:bidi w:val="0"/>
              <w:adjustRightInd w:val="0"/>
              <w:snapToGrid/>
              <w:spacing w:line="320" w:lineRule="exact"/>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936" w:type="dxa"/>
            <w:tcBorders>
              <w:top w:val="nil"/>
              <w:left w:val="nil"/>
              <w:bottom w:val="single" w:color="auto" w:sz="4" w:space="0"/>
              <w:right w:val="single" w:color="auto" w:sz="4" w:space="0"/>
            </w:tcBorders>
            <w:noWrap/>
            <w:vAlign w:val="center"/>
          </w:tcPr>
          <w:p>
            <w:pPr>
              <w:keepNext w:val="0"/>
              <w:keepLines w:val="0"/>
              <w:pageBreakBefore w:val="0"/>
              <w:widowControl/>
              <w:suppressAutoHyphens w:val="0"/>
              <w:kinsoku/>
              <w:wordWrap/>
              <w:overflowPunct/>
              <w:topLinePunct w:val="0"/>
              <w:autoSpaceDE/>
              <w:autoSpaceDN/>
              <w:bidi w:val="0"/>
              <w:adjustRightInd w:val="0"/>
              <w:snapToGrid/>
              <w:spacing w:line="320" w:lineRule="exact"/>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3774" w:type="dxa"/>
            <w:tcBorders>
              <w:top w:val="nil"/>
              <w:left w:val="nil"/>
              <w:bottom w:val="single" w:color="auto" w:sz="4" w:space="0"/>
              <w:right w:val="single" w:color="auto" w:sz="4" w:space="0"/>
            </w:tcBorders>
            <w:noWrap w:val="0"/>
            <w:vAlign w:val="center"/>
          </w:tcPr>
          <w:p>
            <w:pPr>
              <w:keepNext w:val="0"/>
              <w:keepLines w:val="0"/>
              <w:pageBreakBefore w:val="0"/>
              <w:widowControl/>
              <w:suppressAutoHyphens w:val="0"/>
              <w:kinsoku/>
              <w:wordWrap/>
              <w:overflowPunct/>
              <w:topLinePunct w:val="0"/>
              <w:autoSpaceDE/>
              <w:autoSpaceDN/>
              <w:bidi w:val="0"/>
              <w:adjustRightInd w:val="0"/>
              <w:snapToGrid/>
              <w:spacing w:line="320" w:lineRule="exact"/>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初级及以上职称（电力工程相关专业），有3年以上</w:t>
            </w:r>
            <w:r>
              <w:rPr>
                <w:rFonts w:hint="eastAsia" w:ascii="宋体" w:hAnsi="宋体" w:cs="宋体"/>
                <w:color w:val="auto"/>
                <w:kern w:val="0"/>
                <w:sz w:val="22"/>
                <w:szCs w:val="22"/>
                <w:highlight w:val="none"/>
                <w:lang w:val="en-US" w:eastAsia="zh-CN"/>
              </w:rPr>
              <w:t>电力</w:t>
            </w:r>
            <w:r>
              <w:rPr>
                <w:rFonts w:hint="eastAsia" w:ascii="宋体" w:hAnsi="宋体" w:cs="宋体"/>
                <w:color w:val="auto"/>
                <w:kern w:val="0"/>
                <w:sz w:val="22"/>
                <w:szCs w:val="22"/>
                <w:highlight w:val="none"/>
              </w:rPr>
              <w:t>工程监理工作经验，年龄在60岁以下，且已在投标人处进行岗位登记。无在岗项目（指目前未在其他项目上任职，或虽在其他项目上任职但本项目中标后能够从该项目撤离）。</w:t>
            </w:r>
          </w:p>
        </w:tc>
      </w:tr>
    </w:tbl>
    <w:p>
      <w:pPr>
        <w:keepNext w:val="0"/>
        <w:keepLines w:val="0"/>
        <w:pageBreakBefore w:val="0"/>
        <w:widowControl/>
        <w:suppressAutoHyphens w:val="0"/>
        <w:kinsoku/>
        <w:wordWrap/>
        <w:overflowPunct/>
        <w:topLinePunct w:val="0"/>
        <w:autoSpaceDE/>
        <w:autoSpaceDN/>
        <w:bidi w:val="0"/>
        <w:adjustRightInd w:val="0"/>
        <w:snapToGrid/>
        <w:spacing w:line="260" w:lineRule="exact"/>
        <w:jc w:val="left"/>
        <w:textAlignment w:val="baseline"/>
        <w:rPr>
          <w:b/>
          <w:color w:val="auto"/>
          <w:sz w:val="24"/>
          <w:szCs w:val="24"/>
          <w:highlight w:val="none"/>
        </w:rPr>
      </w:pPr>
      <w:r>
        <w:rPr>
          <w:b/>
          <w:color w:val="auto"/>
          <w:sz w:val="24"/>
          <w:szCs w:val="24"/>
          <w:highlight w:val="none"/>
        </w:rPr>
        <w:t>注：</w:t>
      </w:r>
    </w:p>
    <w:p>
      <w:pPr>
        <w:spacing w:line="300" w:lineRule="auto"/>
        <w:ind w:firstLine="422" w:firstLineChars="200"/>
        <w:rPr>
          <w:rFonts w:eastAsiaTheme="minorEastAsia"/>
          <w:b/>
          <w:iCs/>
          <w:snapToGrid w:val="0"/>
          <w:color w:val="auto"/>
          <w:szCs w:val="21"/>
          <w:highlight w:val="none"/>
        </w:rPr>
      </w:pPr>
      <w:r>
        <w:rPr>
          <w:rFonts w:eastAsiaTheme="minorEastAsia"/>
          <w:b/>
          <w:color w:val="auto"/>
          <w:szCs w:val="21"/>
          <w:highlight w:val="none"/>
        </w:rPr>
        <w:t xml:space="preserve">1. </w:t>
      </w:r>
      <w:r>
        <w:rPr>
          <w:rFonts w:hAnsiTheme="minorEastAsia" w:eastAsiaTheme="minorEastAsia"/>
          <w:b/>
          <w:color w:val="auto"/>
          <w:szCs w:val="21"/>
          <w:highlight w:val="none"/>
        </w:rPr>
        <w:t>本次招标驻地监理工程师不得在在建项目中任职。如驻地监理工程师目前仍在其他项目上任职，</w:t>
      </w:r>
      <w:r>
        <w:rPr>
          <w:rFonts w:hAnsiTheme="minorEastAsia" w:eastAsiaTheme="minorEastAsia"/>
          <w:b/>
          <w:iCs/>
          <w:snapToGrid w:val="0"/>
          <w:color w:val="auto"/>
          <w:szCs w:val="21"/>
          <w:highlight w:val="none"/>
        </w:rPr>
        <w:t>或目前虽未在其他项目上任职，但处于其他招标项目中标公示期或中标公示期已满但尚未签署合同的，则投标人应提供由该项目委托人出具的、承诺上述人员能够从该项目撤离的书面证明材料原件。</w:t>
      </w:r>
    </w:p>
    <w:p>
      <w:pPr>
        <w:snapToGrid w:val="0"/>
        <w:spacing w:line="360" w:lineRule="auto"/>
        <w:ind w:firstLine="422" w:firstLineChars="200"/>
        <w:rPr>
          <w:rFonts w:hAnsiTheme="minorEastAsia" w:eastAsiaTheme="minorEastAsia"/>
          <w:b/>
          <w:color w:val="auto"/>
          <w:szCs w:val="21"/>
          <w:highlight w:val="none"/>
        </w:rPr>
      </w:pPr>
      <w:r>
        <w:rPr>
          <w:rFonts w:eastAsiaTheme="minorEastAsia"/>
          <w:b/>
          <w:color w:val="auto"/>
          <w:szCs w:val="21"/>
          <w:highlight w:val="none"/>
        </w:rPr>
        <w:t>2</w:t>
      </w:r>
      <w:r>
        <w:rPr>
          <w:rFonts w:hint="eastAsia" w:hAnsiTheme="minorEastAsia" w:eastAsiaTheme="minorEastAsia"/>
          <w:b/>
          <w:color w:val="auto"/>
          <w:szCs w:val="21"/>
          <w:highlight w:val="none"/>
        </w:rPr>
        <w:t xml:space="preserve">. </w:t>
      </w:r>
      <w:r>
        <w:rPr>
          <w:rFonts w:hAnsiTheme="minorEastAsia" w:eastAsiaTheme="minorEastAsia"/>
          <w:b/>
          <w:color w:val="auto"/>
          <w:szCs w:val="21"/>
          <w:highlight w:val="none"/>
        </w:rPr>
        <w:t>本次招标仅审查驻地监理工程师，不审查其它主要人员，投标人无需提供专业监理工程师及监理人员资料。在合同谈判时，中标人应提供专业监理工程师及监理人员的资料进行审查。</w:t>
      </w:r>
    </w:p>
    <w:p>
      <w:pPr>
        <w:snapToGrid w:val="0"/>
        <w:spacing w:line="360" w:lineRule="auto"/>
        <w:ind w:firstLine="470"/>
        <w:rPr>
          <w:b/>
          <w:color w:val="auto"/>
          <w:sz w:val="28"/>
          <w:szCs w:val="28"/>
          <w:highlight w:val="none"/>
        </w:rPr>
      </w:pPr>
    </w:p>
    <w:p>
      <w:pPr>
        <w:snapToGrid w:val="0"/>
        <w:spacing w:line="360" w:lineRule="auto"/>
        <w:ind w:firstLine="470"/>
        <w:jc w:val="center"/>
        <w:rPr>
          <w:rFonts w:ascii="Arial" w:hAnsi="Arial" w:cs="Arial"/>
          <w:color w:val="auto"/>
          <w:sz w:val="24"/>
          <w:highlight w:val="none"/>
        </w:rPr>
      </w:pPr>
      <w:r>
        <w:rPr>
          <w:b/>
          <w:color w:val="auto"/>
          <w:sz w:val="28"/>
          <w:szCs w:val="28"/>
          <w:highlight w:val="none"/>
        </w:rPr>
        <w:t>附录</w:t>
      </w:r>
      <w:r>
        <w:rPr>
          <w:rFonts w:hint="eastAsia"/>
          <w:b/>
          <w:color w:val="auto"/>
          <w:sz w:val="28"/>
          <w:szCs w:val="28"/>
          <w:highlight w:val="none"/>
        </w:rPr>
        <w:t>5</w:t>
      </w:r>
      <w:r>
        <w:rPr>
          <w:b/>
          <w:color w:val="auto"/>
          <w:sz w:val="28"/>
          <w:szCs w:val="28"/>
          <w:highlight w:val="none"/>
        </w:rPr>
        <w:t>主要机械设备和试验检测设备最低要求</w:t>
      </w:r>
    </w:p>
    <w:tbl>
      <w:tblPr>
        <w:tblStyle w:val="6"/>
        <w:tblpPr w:leftFromText="180" w:rightFromText="180" w:vertAnchor="text" w:horzAnchor="page" w:tblpX="2688" w:tblpY="265"/>
        <w:tblOverlap w:val="never"/>
        <w:tblW w:w="6538" w:type="dxa"/>
        <w:tblInd w:w="0" w:type="dxa"/>
        <w:tblLayout w:type="autofit"/>
        <w:tblCellMar>
          <w:top w:w="0" w:type="dxa"/>
          <w:left w:w="108" w:type="dxa"/>
          <w:bottom w:w="0" w:type="dxa"/>
          <w:right w:w="108" w:type="dxa"/>
        </w:tblCellMar>
      </w:tblPr>
      <w:tblGrid>
        <w:gridCol w:w="1940"/>
        <w:gridCol w:w="1763"/>
        <w:gridCol w:w="1701"/>
        <w:gridCol w:w="1134"/>
      </w:tblGrid>
      <w:tr>
        <w:tblPrEx>
          <w:tblCellMar>
            <w:top w:w="0" w:type="dxa"/>
            <w:left w:w="108" w:type="dxa"/>
            <w:bottom w:w="0" w:type="dxa"/>
            <w:right w:w="108" w:type="dxa"/>
          </w:tblCellMar>
        </w:tblPrEx>
        <w:trPr>
          <w:trHeight w:val="555" w:hRule="atLeast"/>
        </w:trPr>
        <w:tc>
          <w:tcPr>
            <w:tcW w:w="1940" w:type="dxa"/>
            <w:tcBorders>
              <w:top w:val="single" w:color="auto" w:sz="4" w:space="0"/>
              <w:left w:val="single" w:color="auto" w:sz="4" w:space="0"/>
              <w:bottom w:val="single" w:color="auto" w:sz="4" w:space="0"/>
              <w:right w:val="single" w:color="auto" w:sz="4" w:space="0"/>
            </w:tcBorders>
            <w:noWrap/>
            <w:vAlign w:val="center"/>
          </w:tcPr>
          <w:p>
            <w:pPr>
              <w:widowControl/>
              <w:suppressAutoHyphens w:val="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监理合同段</w:t>
            </w:r>
          </w:p>
        </w:tc>
        <w:tc>
          <w:tcPr>
            <w:tcW w:w="1763" w:type="dxa"/>
            <w:tcBorders>
              <w:top w:val="single" w:color="auto" w:sz="4" w:space="0"/>
              <w:left w:val="nil"/>
              <w:bottom w:val="single" w:color="auto" w:sz="4" w:space="0"/>
              <w:right w:val="single" w:color="auto" w:sz="4" w:space="0"/>
            </w:tcBorders>
            <w:noWrap/>
            <w:vAlign w:val="center"/>
          </w:tcPr>
          <w:p>
            <w:pPr>
              <w:widowControl/>
              <w:suppressAutoHyphens w:val="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设备名称</w:t>
            </w:r>
          </w:p>
        </w:tc>
        <w:tc>
          <w:tcPr>
            <w:tcW w:w="1701" w:type="dxa"/>
            <w:tcBorders>
              <w:top w:val="single" w:color="auto" w:sz="4" w:space="0"/>
              <w:left w:val="nil"/>
              <w:bottom w:val="single" w:color="auto" w:sz="4" w:space="0"/>
              <w:right w:val="single" w:color="auto" w:sz="4" w:space="0"/>
            </w:tcBorders>
            <w:noWrap/>
            <w:vAlign w:val="center"/>
          </w:tcPr>
          <w:p>
            <w:pPr>
              <w:widowControl/>
              <w:suppressAutoHyphens w:val="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单位</w:t>
            </w:r>
          </w:p>
        </w:tc>
        <w:tc>
          <w:tcPr>
            <w:tcW w:w="1134" w:type="dxa"/>
            <w:tcBorders>
              <w:top w:val="single" w:color="auto" w:sz="4" w:space="0"/>
              <w:left w:val="nil"/>
              <w:bottom w:val="single" w:color="auto" w:sz="4" w:space="0"/>
              <w:right w:val="single" w:color="auto" w:sz="4" w:space="0"/>
            </w:tcBorders>
            <w:noWrap/>
            <w:vAlign w:val="center"/>
          </w:tcPr>
          <w:p>
            <w:pPr>
              <w:widowControl/>
              <w:suppressAutoHyphens w:val="0"/>
              <w:ind w:left="0" w:leftChars="0" w:firstLine="0" w:firstLineChars="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数量</w:t>
            </w:r>
          </w:p>
        </w:tc>
      </w:tr>
      <w:tr>
        <w:tblPrEx>
          <w:tblCellMar>
            <w:top w:w="0" w:type="dxa"/>
            <w:left w:w="108" w:type="dxa"/>
            <w:bottom w:w="0" w:type="dxa"/>
            <w:right w:w="108" w:type="dxa"/>
          </w:tblCellMar>
        </w:tblPrEx>
        <w:trPr>
          <w:trHeight w:val="555" w:hRule="atLeast"/>
        </w:trPr>
        <w:tc>
          <w:tcPr>
            <w:tcW w:w="1940" w:type="dxa"/>
            <w:tcBorders>
              <w:top w:val="nil"/>
              <w:left w:val="single" w:color="auto" w:sz="4" w:space="0"/>
              <w:bottom w:val="single" w:color="auto" w:sz="4" w:space="0"/>
              <w:right w:val="single" w:color="auto" w:sz="4" w:space="0"/>
            </w:tcBorders>
            <w:noWrap/>
            <w:vAlign w:val="center"/>
          </w:tcPr>
          <w:p>
            <w:pPr>
              <w:widowControl/>
              <w:suppressAutoHyphens w:val="0"/>
              <w:jc w:val="center"/>
              <w:rPr>
                <w:rFonts w:ascii="宋体" w:hAnsi="宋体" w:cs="宋体"/>
                <w:color w:val="auto"/>
                <w:kern w:val="0"/>
                <w:sz w:val="24"/>
                <w:highlight w:val="none"/>
              </w:rPr>
            </w:pPr>
            <w:r>
              <w:rPr>
                <w:rFonts w:hint="eastAsia" w:ascii="宋体" w:hAnsi="宋体" w:cs="宋体"/>
                <w:color w:val="auto"/>
                <w:kern w:val="0"/>
                <w:sz w:val="24"/>
                <w:highlight w:val="none"/>
              </w:rPr>
              <w:t>WJDJL1</w:t>
            </w:r>
          </w:p>
        </w:tc>
        <w:tc>
          <w:tcPr>
            <w:tcW w:w="1763" w:type="dxa"/>
            <w:tcBorders>
              <w:top w:val="nil"/>
              <w:left w:val="nil"/>
              <w:bottom w:val="single" w:color="auto" w:sz="4" w:space="0"/>
              <w:right w:val="single" w:color="auto" w:sz="4" w:space="0"/>
            </w:tcBorders>
            <w:noWrap/>
            <w:vAlign w:val="center"/>
          </w:tcPr>
          <w:p>
            <w:pPr>
              <w:widowControl/>
              <w:suppressAutoHyphens w:val="0"/>
              <w:ind w:left="0" w:leftChars="0" w:firstLine="0" w:firstLineChars="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四驱越野车</w:t>
            </w:r>
          </w:p>
        </w:tc>
        <w:tc>
          <w:tcPr>
            <w:tcW w:w="1701" w:type="dxa"/>
            <w:tcBorders>
              <w:top w:val="nil"/>
              <w:left w:val="nil"/>
              <w:bottom w:val="single" w:color="auto" w:sz="4" w:space="0"/>
              <w:right w:val="single" w:color="auto" w:sz="4" w:space="0"/>
            </w:tcBorders>
            <w:noWrap/>
            <w:vAlign w:val="center"/>
          </w:tcPr>
          <w:p>
            <w:pPr>
              <w:widowControl/>
              <w:suppressAutoHyphens w:val="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辆</w:t>
            </w:r>
          </w:p>
        </w:tc>
        <w:tc>
          <w:tcPr>
            <w:tcW w:w="1134" w:type="dxa"/>
            <w:tcBorders>
              <w:top w:val="nil"/>
              <w:left w:val="nil"/>
              <w:bottom w:val="single" w:color="auto" w:sz="4" w:space="0"/>
              <w:right w:val="single" w:color="auto" w:sz="4" w:space="0"/>
            </w:tcBorders>
            <w:noWrap/>
            <w:vAlign w:val="center"/>
          </w:tcPr>
          <w:p>
            <w:pPr>
              <w:widowControl/>
              <w:suppressAutoHyphens w:val="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r>
      <w:tr>
        <w:tblPrEx>
          <w:tblCellMar>
            <w:top w:w="0" w:type="dxa"/>
            <w:left w:w="108" w:type="dxa"/>
            <w:bottom w:w="0" w:type="dxa"/>
            <w:right w:w="108" w:type="dxa"/>
          </w:tblCellMar>
        </w:tblPrEx>
        <w:trPr>
          <w:trHeight w:val="555" w:hRule="atLeast"/>
        </w:trPr>
        <w:tc>
          <w:tcPr>
            <w:tcW w:w="1940" w:type="dxa"/>
            <w:tcBorders>
              <w:top w:val="nil"/>
              <w:left w:val="single" w:color="auto" w:sz="4" w:space="0"/>
              <w:bottom w:val="single" w:color="auto" w:sz="4" w:space="0"/>
              <w:right w:val="single" w:color="auto" w:sz="4" w:space="0"/>
            </w:tcBorders>
            <w:noWrap/>
            <w:vAlign w:val="center"/>
          </w:tcPr>
          <w:p>
            <w:pPr>
              <w:widowControl/>
              <w:suppressAutoHyphens w:val="0"/>
              <w:jc w:val="center"/>
              <w:rPr>
                <w:rFonts w:ascii="宋体" w:hAnsi="宋体" w:cs="宋体"/>
                <w:color w:val="auto"/>
                <w:kern w:val="0"/>
                <w:sz w:val="24"/>
                <w:highlight w:val="none"/>
              </w:rPr>
            </w:pPr>
            <w:r>
              <w:rPr>
                <w:rFonts w:hint="eastAsia" w:ascii="宋体" w:hAnsi="宋体" w:cs="宋体"/>
                <w:color w:val="auto"/>
                <w:kern w:val="0"/>
                <w:sz w:val="24"/>
                <w:highlight w:val="none"/>
              </w:rPr>
              <w:t>WJDJL2</w:t>
            </w:r>
          </w:p>
        </w:tc>
        <w:tc>
          <w:tcPr>
            <w:tcW w:w="1763" w:type="dxa"/>
            <w:tcBorders>
              <w:top w:val="nil"/>
              <w:left w:val="nil"/>
              <w:bottom w:val="single" w:color="auto" w:sz="4" w:space="0"/>
              <w:right w:val="single" w:color="auto" w:sz="4" w:space="0"/>
            </w:tcBorders>
            <w:noWrap/>
            <w:vAlign w:val="center"/>
          </w:tcPr>
          <w:p>
            <w:pPr>
              <w:widowControl/>
              <w:suppressAutoHyphens w:val="0"/>
              <w:ind w:left="0" w:leftChars="0" w:firstLine="0" w:firstLineChars="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四驱越野车</w:t>
            </w:r>
          </w:p>
        </w:tc>
        <w:tc>
          <w:tcPr>
            <w:tcW w:w="1701" w:type="dxa"/>
            <w:tcBorders>
              <w:top w:val="nil"/>
              <w:left w:val="nil"/>
              <w:bottom w:val="single" w:color="auto" w:sz="4" w:space="0"/>
              <w:right w:val="single" w:color="auto" w:sz="4" w:space="0"/>
            </w:tcBorders>
            <w:noWrap/>
            <w:vAlign w:val="center"/>
          </w:tcPr>
          <w:p>
            <w:pPr>
              <w:widowControl/>
              <w:suppressAutoHyphens w:val="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辆</w:t>
            </w:r>
          </w:p>
        </w:tc>
        <w:tc>
          <w:tcPr>
            <w:tcW w:w="1134" w:type="dxa"/>
            <w:tcBorders>
              <w:top w:val="nil"/>
              <w:left w:val="nil"/>
              <w:bottom w:val="single" w:color="auto" w:sz="4" w:space="0"/>
              <w:right w:val="single" w:color="auto" w:sz="4" w:space="0"/>
            </w:tcBorders>
            <w:noWrap/>
            <w:vAlign w:val="center"/>
          </w:tcPr>
          <w:p>
            <w:pPr>
              <w:widowControl/>
              <w:suppressAutoHyphens w:val="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r>
      <w:tr>
        <w:tblPrEx>
          <w:tblCellMar>
            <w:top w:w="0" w:type="dxa"/>
            <w:left w:w="108" w:type="dxa"/>
            <w:bottom w:w="0" w:type="dxa"/>
            <w:right w:w="108" w:type="dxa"/>
          </w:tblCellMar>
        </w:tblPrEx>
        <w:trPr>
          <w:trHeight w:val="555" w:hRule="atLeast"/>
        </w:trPr>
        <w:tc>
          <w:tcPr>
            <w:tcW w:w="1940" w:type="dxa"/>
            <w:tcBorders>
              <w:top w:val="nil"/>
              <w:left w:val="single" w:color="auto" w:sz="4" w:space="0"/>
              <w:bottom w:val="single" w:color="auto" w:sz="4" w:space="0"/>
              <w:right w:val="single" w:color="auto" w:sz="4" w:space="0"/>
            </w:tcBorders>
            <w:noWrap/>
            <w:vAlign w:val="center"/>
          </w:tcPr>
          <w:p>
            <w:pPr>
              <w:widowControl/>
              <w:suppressAutoHyphens w:val="0"/>
              <w:jc w:val="center"/>
              <w:rPr>
                <w:rFonts w:ascii="宋体" w:hAnsi="宋体" w:cs="宋体"/>
                <w:color w:val="auto"/>
                <w:kern w:val="0"/>
                <w:sz w:val="24"/>
                <w:highlight w:val="none"/>
              </w:rPr>
            </w:pPr>
            <w:r>
              <w:rPr>
                <w:rFonts w:hint="eastAsia" w:ascii="宋体" w:hAnsi="宋体" w:cs="宋体"/>
                <w:color w:val="auto"/>
                <w:kern w:val="0"/>
                <w:sz w:val="24"/>
                <w:highlight w:val="none"/>
              </w:rPr>
              <w:t>WJDJL3</w:t>
            </w:r>
          </w:p>
        </w:tc>
        <w:tc>
          <w:tcPr>
            <w:tcW w:w="1763" w:type="dxa"/>
            <w:tcBorders>
              <w:top w:val="nil"/>
              <w:left w:val="nil"/>
              <w:bottom w:val="single" w:color="auto" w:sz="4" w:space="0"/>
              <w:right w:val="single" w:color="auto" w:sz="4" w:space="0"/>
            </w:tcBorders>
            <w:noWrap/>
            <w:vAlign w:val="center"/>
          </w:tcPr>
          <w:p>
            <w:pPr>
              <w:widowControl/>
              <w:suppressAutoHyphens w:val="0"/>
              <w:ind w:left="0" w:leftChars="0" w:firstLine="0" w:firstLineChars="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四驱越野车</w:t>
            </w:r>
          </w:p>
        </w:tc>
        <w:tc>
          <w:tcPr>
            <w:tcW w:w="1701" w:type="dxa"/>
            <w:tcBorders>
              <w:top w:val="nil"/>
              <w:left w:val="nil"/>
              <w:bottom w:val="single" w:color="auto" w:sz="4" w:space="0"/>
              <w:right w:val="single" w:color="auto" w:sz="4" w:space="0"/>
            </w:tcBorders>
            <w:noWrap/>
            <w:vAlign w:val="center"/>
          </w:tcPr>
          <w:p>
            <w:pPr>
              <w:widowControl/>
              <w:suppressAutoHyphens w:val="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辆</w:t>
            </w:r>
          </w:p>
        </w:tc>
        <w:tc>
          <w:tcPr>
            <w:tcW w:w="1134" w:type="dxa"/>
            <w:tcBorders>
              <w:top w:val="nil"/>
              <w:left w:val="nil"/>
              <w:bottom w:val="single" w:color="auto" w:sz="4" w:space="0"/>
              <w:right w:val="single" w:color="auto" w:sz="4" w:space="0"/>
            </w:tcBorders>
            <w:noWrap/>
            <w:vAlign w:val="center"/>
          </w:tcPr>
          <w:p>
            <w:pPr>
              <w:widowControl/>
              <w:suppressAutoHyphens w:val="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bl>
    <w:p>
      <w:pPr>
        <w:ind w:left="0" w:leftChars="0" w:firstLine="0" w:firstLineChars="0"/>
        <w:jc w:val="both"/>
        <w:rPr>
          <w:rFonts w:hint="eastAsia"/>
          <w:b/>
          <w:bCs/>
          <w:color w:val="auto"/>
          <w:sz w:val="28"/>
          <w:szCs w:val="28"/>
          <w:highlight w:val="none"/>
          <w:lang w:val="en-US" w:eastAsia="zh-CN"/>
        </w:rPr>
      </w:pPr>
    </w:p>
    <w:p>
      <w:pPr>
        <w:ind w:left="0" w:leftChars="0" w:firstLine="0" w:firstLineChars="0"/>
        <w:jc w:val="both"/>
        <w:rPr>
          <w:rFonts w:hint="eastAsia"/>
          <w:b/>
          <w:bCs/>
          <w:color w:val="auto"/>
          <w:sz w:val="28"/>
          <w:szCs w:val="28"/>
          <w:highlight w:val="none"/>
          <w:lang w:val="en-US" w:eastAsia="zh-CN"/>
        </w:rPr>
      </w:pPr>
    </w:p>
    <w:p>
      <w:pPr>
        <w:ind w:left="0" w:leftChars="0" w:firstLine="0" w:firstLineChars="0"/>
        <w:jc w:val="both"/>
        <w:rPr>
          <w:rFonts w:hint="eastAsia"/>
          <w:b/>
          <w:bCs/>
          <w:color w:val="auto"/>
          <w:sz w:val="28"/>
          <w:szCs w:val="28"/>
          <w:highlight w:val="none"/>
          <w:lang w:val="en-US" w:eastAsia="zh-CN"/>
        </w:rPr>
      </w:pPr>
    </w:p>
    <w:p>
      <w:pPr>
        <w:ind w:left="0" w:leftChars="0" w:firstLine="0" w:firstLineChars="0"/>
        <w:jc w:val="both"/>
        <w:rPr>
          <w:rFonts w:hint="eastAsia"/>
          <w:b/>
          <w:bCs/>
          <w:color w:val="auto"/>
          <w:sz w:val="28"/>
          <w:szCs w:val="28"/>
          <w:highlight w:val="none"/>
          <w:lang w:val="en-US" w:eastAsia="zh-CN"/>
        </w:rPr>
      </w:pPr>
    </w:p>
    <w:p>
      <w:pPr>
        <w:ind w:left="0" w:leftChars="0" w:firstLine="0" w:firstLineChars="0"/>
        <w:jc w:val="both"/>
        <w:rPr>
          <w:rFonts w:hint="eastAsia"/>
          <w:b/>
          <w:bCs/>
          <w:color w:val="auto"/>
          <w:sz w:val="28"/>
          <w:szCs w:val="28"/>
          <w:highlight w:val="none"/>
          <w:lang w:val="en-US" w:eastAsia="zh-CN"/>
        </w:rPr>
      </w:pPr>
    </w:p>
    <w:p>
      <w:pPr>
        <w:ind w:left="0" w:leftChars="0" w:firstLine="0" w:firstLineChars="0"/>
        <w:jc w:val="both"/>
        <w:rPr>
          <w:rFonts w:ascii="黑体" w:hAnsi="黑体"/>
          <w:b w:val="0"/>
          <w:color w:val="auto"/>
          <w:sz w:val="36"/>
          <w:szCs w:val="36"/>
          <w:highlight w:val="none"/>
        </w:rPr>
      </w:pPr>
      <w:r>
        <w:rPr>
          <w:rFonts w:hint="eastAsia" w:asciiTheme="majorEastAsia" w:hAnsiTheme="majorEastAsia" w:eastAsiaTheme="majorEastAsia" w:cstheme="majorEastAsia"/>
          <w:b/>
          <w:bCs/>
          <w:color w:val="auto"/>
          <w:sz w:val="32"/>
          <w:szCs w:val="32"/>
          <w:highlight w:val="none"/>
          <w:lang w:val="en-US" w:eastAsia="zh-CN"/>
        </w:rPr>
        <w:t>附件二：评标办法</w:t>
      </w:r>
    </w:p>
    <w:p>
      <w:pPr>
        <w:pStyle w:val="3"/>
        <w:adjustRightInd w:val="0"/>
        <w:snapToGrid w:val="0"/>
        <w:spacing w:before="100" w:beforeAutospacing="1" w:after="100" w:afterAutospacing="1" w:line="240" w:lineRule="auto"/>
        <w:ind w:left="141" w:leftChars="67" w:firstLine="1"/>
        <w:jc w:val="center"/>
        <w:rPr>
          <w:rFonts w:ascii="黑体" w:hAnsi="黑体"/>
          <w:b w:val="0"/>
          <w:color w:val="auto"/>
          <w:sz w:val="36"/>
          <w:szCs w:val="36"/>
          <w:highlight w:val="none"/>
        </w:rPr>
      </w:pPr>
      <w:r>
        <w:rPr>
          <w:rFonts w:ascii="黑体" w:hAnsi="黑体"/>
          <w:b w:val="0"/>
          <w:color w:val="auto"/>
          <w:sz w:val="36"/>
          <w:szCs w:val="36"/>
          <w:highlight w:val="none"/>
        </w:rPr>
        <w:t>评标办法（综合评估法）</w:t>
      </w:r>
    </w:p>
    <w:p>
      <w:pPr>
        <w:ind w:left="141" w:leftChars="67" w:firstLine="1"/>
        <w:jc w:val="left"/>
        <w:outlineLvl w:val="1"/>
        <w:rPr>
          <w:b/>
          <w:color w:val="auto"/>
          <w:kern w:val="2"/>
          <w:sz w:val="28"/>
          <w:szCs w:val="28"/>
          <w:highlight w:val="none"/>
        </w:rPr>
      </w:pPr>
      <w:r>
        <w:rPr>
          <w:b/>
          <w:color w:val="auto"/>
          <w:sz w:val="28"/>
          <w:szCs w:val="28"/>
          <w:highlight w:val="none"/>
        </w:rPr>
        <w:t>评标办法前附表</w:t>
      </w:r>
    </w:p>
    <w:tbl>
      <w:tblPr>
        <w:tblStyle w:val="6"/>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600"/>
        <w:gridCol w:w="760"/>
        <w:gridCol w:w="7"/>
        <w:gridCol w:w="902"/>
        <w:gridCol w:w="1843"/>
        <w:gridCol w:w="992"/>
        <w:gridCol w:w="3118"/>
        <w:gridCol w:w="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blHeader/>
        </w:trPr>
        <w:tc>
          <w:tcPr>
            <w:tcW w:w="2318" w:type="dxa"/>
            <w:gridSpan w:val="3"/>
            <w:vAlign w:val="center"/>
          </w:tcPr>
          <w:p>
            <w:pPr>
              <w:ind w:left="141" w:leftChars="67" w:firstLine="312"/>
              <w:jc w:val="center"/>
              <w:rPr>
                <w:b/>
                <w:color w:val="auto"/>
                <w:szCs w:val="21"/>
                <w:highlight w:val="none"/>
              </w:rPr>
            </w:pPr>
            <w:r>
              <w:rPr>
                <w:b/>
                <w:color w:val="auto"/>
                <w:szCs w:val="21"/>
                <w:highlight w:val="none"/>
              </w:rPr>
              <w:t>条款号/名称</w:t>
            </w:r>
          </w:p>
        </w:tc>
        <w:tc>
          <w:tcPr>
            <w:tcW w:w="6895" w:type="dxa"/>
            <w:gridSpan w:val="6"/>
            <w:vAlign w:val="center"/>
          </w:tcPr>
          <w:p>
            <w:pPr>
              <w:ind w:left="141" w:leftChars="67" w:firstLine="312"/>
              <w:jc w:val="center"/>
              <w:rPr>
                <w:b/>
                <w:color w:val="auto"/>
                <w:szCs w:val="21"/>
                <w:highlight w:val="none"/>
              </w:rPr>
            </w:pPr>
            <w:r>
              <w:rPr>
                <w:b/>
                <w:color w:val="auto"/>
                <w:szCs w:val="21"/>
                <w:highlight w:val="none"/>
              </w:rPr>
              <w:t>评审因素与标准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958" w:type="dxa"/>
            <w:vAlign w:val="center"/>
          </w:tcPr>
          <w:p>
            <w:pPr>
              <w:pStyle w:val="10"/>
              <w:keepNext w:val="0"/>
              <w:keepLines w:val="0"/>
              <w:pageBreakBefore w:val="0"/>
              <w:kinsoku/>
              <w:wordWrap/>
              <w:overflowPunct/>
              <w:topLinePunct w:val="0"/>
              <w:bidi w:val="0"/>
              <w:spacing w:line="500" w:lineRule="exact"/>
              <w:rPr>
                <w:color w:val="auto"/>
                <w:highlight w:val="none"/>
              </w:rPr>
            </w:pPr>
            <w:r>
              <w:rPr>
                <w:color w:val="auto"/>
                <w:highlight w:val="none"/>
              </w:rPr>
              <w:t>1</w:t>
            </w:r>
          </w:p>
        </w:tc>
        <w:tc>
          <w:tcPr>
            <w:tcW w:w="1360" w:type="dxa"/>
            <w:gridSpan w:val="2"/>
            <w:vAlign w:val="center"/>
          </w:tcPr>
          <w:p>
            <w:pPr>
              <w:pStyle w:val="10"/>
              <w:keepNext w:val="0"/>
              <w:keepLines w:val="0"/>
              <w:pageBreakBefore w:val="0"/>
              <w:kinsoku/>
              <w:wordWrap/>
              <w:overflowPunct/>
              <w:topLinePunct w:val="0"/>
              <w:bidi w:val="0"/>
              <w:spacing w:line="500" w:lineRule="exact"/>
              <w:rPr>
                <w:color w:val="auto"/>
                <w:highlight w:val="none"/>
              </w:rPr>
            </w:pPr>
            <w:r>
              <w:rPr>
                <w:color w:val="auto"/>
                <w:highlight w:val="none"/>
              </w:rPr>
              <w:t>评标办法</w:t>
            </w:r>
          </w:p>
        </w:tc>
        <w:tc>
          <w:tcPr>
            <w:tcW w:w="6895" w:type="dxa"/>
            <w:gridSpan w:val="6"/>
            <w:vAlign w:val="center"/>
          </w:tcPr>
          <w:p>
            <w:pPr>
              <w:keepNext w:val="0"/>
              <w:keepLines w:val="0"/>
              <w:pageBreakBefore w:val="0"/>
              <w:widowControl/>
              <w:kinsoku/>
              <w:wordWrap/>
              <w:overflowPunct/>
              <w:topLinePunct w:val="0"/>
              <w:autoSpaceDE/>
              <w:autoSpaceDN/>
              <w:bidi w:val="0"/>
              <w:adjustRightInd/>
              <w:snapToGrid/>
              <w:spacing w:line="500" w:lineRule="exact"/>
              <w:ind w:firstLine="0"/>
              <w:textAlignment w:val="auto"/>
              <w:rPr>
                <w:color w:val="auto"/>
                <w:szCs w:val="21"/>
                <w:highlight w:val="none"/>
              </w:rPr>
            </w:pPr>
            <w:r>
              <w:rPr>
                <w:color w:val="auto"/>
                <w:szCs w:val="21"/>
                <w:highlight w:val="none"/>
              </w:rPr>
              <w:t>综合评分相等时，评标委员会依次按照以下优先顺序推荐中标候选人：</w:t>
            </w:r>
          </w:p>
          <w:p>
            <w:pPr>
              <w:pStyle w:val="11"/>
              <w:keepNext w:val="0"/>
              <w:keepLines w:val="0"/>
              <w:pageBreakBefore w:val="0"/>
              <w:widowControl/>
              <w:numPr>
                <w:ilvl w:val="0"/>
                <w:numId w:val="2"/>
              </w:numPr>
              <w:kinsoku/>
              <w:wordWrap/>
              <w:overflowPunct/>
              <w:topLinePunct w:val="0"/>
              <w:autoSpaceDE/>
              <w:autoSpaceDN/>
              <w:bidi w:val="0"/>
              <w:adjustRightInd/>
              <w:snapToGrid/>
              <w:spacing w:line="500" w:lineRule="exact"/>
              <w:ind w:left="141" w:leftChars="67" w:firstLine="312" w:firstLineChars="0"/>
              <w:textAlignment w:val="auto"/>
              <w:rPr>
                <w:color w:val="auto"/>
                <w:szCs w:val="21"/>
                <w:highlight w:val="none"/>
              </w:rPr>
            </w:pPr>
            <w:r>
              <w:rPr>
                <w:color w:val="auto"/>
                <w:szCs w:val="21"/>
                <w:highlight w:val="none"/>
              </w:rPr>
              <w:t>评标价低的投标人优先；</w:t>
            </w:r>
          </w:p>
          <w:p>
            <w:pPr>
              <w:pStyle w:val="11"/>
              <w:keepNext w:val="0"/>
              <w:keepLines w:val="0"/>
              <w:pageBreakBefore w:val="0"/>
              <w:widowControl/>
              <w:numPr>
                <w:ilvl w:val="0"/>
                <w:numId w:val="2"/>
              </w:numPr>
              <w:kinsoku/>
              <w:wordWrap/>
              <w:overflowPunct/>
              <w:topLinePunct w:val="0"/>
              <w:autoSpaceDE/>
              <w:autoSpaceDN/>
              <w:bidi w:val="0"/>
              <w:adjustRightInd/>
              <w:snapToGrid/>
              <w:spacing w:line="500" w:lineRule="exact"/>
              <w:ind w:left="141" w:leftChars="67" w:firstLine="312" w:firstLineChars="0"/>
              <w:textAlignment w:val="auto"/>
              <w:rPr>
                <w:color w:val="auto"/>
                <w:szCs w:val="21"/>
                <w:highlight w:val="none"/>
              </w:rPr>
            </w:pPr>
            <w:r>
              <w:rPr>
                <w:color w:val="auto"/>
                <w:szCs w:val="21"/>
                <w:highlight w:val="none"/>
              </w:rPr>
              <w:t>以评标时采用的信用等级较高的优先；</w:t>
            </w:r>
          </w:p>
          <w:p>
            <w:pPr>
              <w:pStyle w:val="11"/>
              <w:keepNext w:val="0"/>
              <w:keepLines w:val="0"/>
              <w:pageBreakBefore w:val="0"/>
              <w:widowControl/>
              <w:numPr>
                <w:ilvl w:val="0"/>
                <w:numId w:val="2"/>
              </w:numPr>
              <w:kinsoku/>
              <w:wordWrap/>
              <w:overflowPunct/>
              <w:topLinePunct w:val="0"/>
              <w:autoSpaceDE/>
              <w:autoSpaceDN/>
              <w:bidi w:val="0"/>
              <w:adjustRightInd/>
              <w:snapToGrid/>
              <w:spacing w:line="500" w:lineRule="exact"/>
              <w:ind w:left="141" w:leftChars="67" w:firstLine="312" w:firstLineChars="0"/>
              <w:textAlignment w:val="auto"/>
              <w:rPr>
                <w:color w:val="auto"/>
                <w:szCs w:val="21"/>
                <w:highlight w:val="none"/>
              </w:rPr>
            </w:pPr>
            <w:r>
              <w:rPr>
                <w:color w:val="auto"/>
                <w:szCs w:val="21"/>
                <w:highlight w:val="none"/>
              </w:rPr>
              <w:t>商务和技术得分较高的投标人优先；</w:t>
            </w:r>
          </w:p>
          <w:p>
            <w:pPr>
              <w:pStyle w:val="11"/>
              <w:keepNext w:val="0"/>
              <w:keepLines w:val="0"/>
              <w:pageBreakBefore w:val="0"/>
              <w:widowControl/>
              <w:numPr>
                <w:ilvl w:val="0"/>
                <w:numId w:val="2"/>
              </w:numPr>
              <w:kinsoku/>
              <w:wordWrap/>
              <w:overflowPunct/>
              <w:topLinePunct w:val="0"/>
              <w:autoSpaceDE/>
              <w:autoSpaceDN/>
              <w:bidi w:val="0"/>
              <w:adjustRightInd/>
              <w:snapToGrid/>
              <w:spacing w:line="500" w:lineRule="exact"/>
              <w:ind w:left="141" w:leftChars="67" w:firstLine="312" w:firstLineChars="0"/>
              <w:textAlignment w:val="auto"/>
              <w:rPr>
                <w:color w:val="auto"/>
                <w:szCs w:val="21"/>
                <w:highlight w:val="none"/>
              </w:rPr>
            </w:pPr>
            <w:bookmarkStart w:id="0" w:name="_GoBack"/>
            <w:bookmarkEnd w:id="0"/>
            <w:r>
              <w:rPr>
                <w:color w:val="auto"/>
                <w:szCs w:val="21"/>
                <w:highlight w:val="none"/>
              </w:rPr>
              <w:t>较早购买招标文件的投标人优先。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958" w:type="dxa"/>
            <w:vAlign w:val="center"/>
          </w:tcPr>
          <w:p>
            <w:pPr>
              <w:ind w:left="141" w:leftChars="67" w:firstLine="0"/>
              <w:rPr>
                <w:b/>
                <w:color w:val="auto"/>
                <w:szCs w:val="21"/>
                <w:highlight w:val="none"/>
              </w:rPr>
            </w:pPr>
            <w:r>
              <w:rPr>
                <w:b/>
                <w:color w:val="auto"/>
                <w:szCs w:val="21"/>
                <w:highlight w:val="none"/>
              </w:rPr>
              <w:t>2.1.1</w:t>
            </w:r>
          </w:p>
          <w:p>
            <w:pPr>
              <w:ind w:left="141" w:leftChars="67" w:firstLine="0"/>
              <w:rPr>
                <w:b/>
                <w:color w:val="auto"/>
                <w:szCs w:val="21"/>
                <w:highlight w:val="none"/>
              </w:rPr>
            </w:pPr>
            <w:r>
              <w:rPr>
                <w:b/>
                <w:color w:val="auto"/>
                <w:szCs w:val="21"/>
                <w:highlight w:val="none"/>
              </w:rPr>
              <w:t>2.1.3</w:t>
            </w:r>
          </w:p>
        </w:tc>
        <w:tc>
          <w:tcPr>
            <w:tcW w:w="1360" w:type="dxa"/>
            <w:gridSpan w:val="2"/>
            <w:vAlign w:val="center"/>
          </w:tcPr>
          <w:p>
            <w:pPr>
              <w:ind w:left="141" w:leftChars="67" w:firstLine="0"/>
              <w:rPr>
                <w:b/>
                <w:color w:val="auto"/>
                <w:szCs w:val="21"/>
                <w:highlight w:val="none"/>
              </w:rPr>
            </w:pPr>
            <w:r>
              <w:rPr>
                <w:b/>
                <w:color w:val="auto"/>
                <w:szCs w:val="21"/>
                <w:highlight w:val="none"/>
              </w:rPr>
              <w:t>形式评审与响应性评审标准</w:t>
            </w:r>
          </w:p>
        </w:tc>
        <w:tc>
          <w:tcPr>
            <w:tcW w:w="6895" w:type="dxa"/>
            <w:gridSpan w:val="6"/>
            <w:vAlign w:val="center"/>
          </w:tcPr>
          <w:p>
            <w:pPr>
              <w:keepNext w:val="0"/>
              <w:keepLines w:val="0"/>
              <w:pageBreakBefore w:val="0"/>
              <w:widowControl/>
              <w:kinsoku/>
              <w:wordWrap/>
              <w:overflowPunct/>
              <w:topLinePunct w:val="0"/>
              <w:autoSpaceDE/>
              <w:autoSpaceDN/>
              <w:bidi w:val="0"/>
              <w:adjustRightInd/>
              <w:snapToGrid/>
              <w:spacing w:line="280" w:lineRule="exact"/>
              <w:ind w:left="141" w:leftChars="67" w:firstLine="312"/>
              <w:textAlignment w:val="auto"/>
              <w:rPr>
                <w:b/>
                <w:color w:val="auto"/>
                <w:szCs w:val="21"/>
                <w:highlight w:val="none"/>
              </w:rPr>
            </w:pPr>
            <w:r>
              <w:rPr>
                <w:b/>
                <w:color w:val="auto"/>
                <w:szCs w:val="21"/>
                <w:highlight w:val="none"/>
              </w:rPr>
              <w:t>第一个信封（商务及技术文件）评审标准：</w:t>
            </w:r>
          </w:p>
          <w:p>
            <w:pPr>
              <w:pStyle w:val="11"/>
              <w:keepNext w:val="0"/>
              <w:keepLines w:val="0"/>
              <w:pageBreakBefore w:val="0"/>
              <w:widowControl/>
              <w:kinsoku/>
              <w:wordWrap/>
              <w:overflowPunct/>
              <w:topLinePunct w:val="0"/>
              <w:autoSpaceDE/>
              <w:autoSpaceDN/>
              <w:bidi w:val="0"/>
              <w:adjustRightInd/>
              <w:snapToGrid/>
              <w:spacing w:line="280" w:lineRule="exact"/>
              <w:ind w:left="453" w:firstLine="0" w:firstLineChars="0"/>
              <w:textAlignment w:val="auto"/>
              <w:rPr>
                <w:color w:val="auto"/>
                <w:szCs w:val="21"/>
                <w:highlight w:val="none"/>
              </w:rPr>
            </w:pPr>
            <w:r>
              <w:rPr>
                <w:rFonts w:hint="eastAsia"/>
                <w:color w:val="auto"/>
                <w:szCs w:val="21"/>
                <w:highlight w:val="none"/>
              </w:rPr>
              <w:t>（1）</w:t>
            </w:r>
            <w:r>
              <w:rPr>
                <w:color w:val="auto"/>
                <w:szCs w:val="21"/>
                <w:highlight w:val="none"/>
              </w:rPr>
              <w:t>投标文件按照招标文件规定的格式、内容填写，字迹清晰可辨；</w:t>
            </w:r>
          </w:p>
          <w:p>
            <w:pPr>
              <w:keepNext w:val="0"/>
              <w:keepLines w:val="0"/>
              <w:pageBreakBefore w:val="0"/>
              <w:widowControl/>
              <w:kinsoku/>
              <w:wordWrap/>
              <w:overflowPunct/>
              <w:topLinePunct w:val="0"/>
              <w:autoSpaceDE/>
              <w:autoSpaceDN/>
              <w:bidi w:val="0"/>
              <w:adjustRightInd/>
              <w:snapToGrid/>
              <w:spacing w:line="280" w:lineRule="exact"/>
              <w:ind w:left="141" w:leftChars="67" w:firstLine="312"/>
              <w:textAlignment w:val="auto"/>
              <w:rPr>
                <w:color w:val="auto"/>
                <w:szCs w:val="21"/>
                <w:highlight w:val="none"/>
              </w:rPr>
            </w:pPr>
            <w:r>
              <w:rPr>
                <w:color w:val="auto"/>
                <w:szCs w:val="21"/>
                <w:highlight w:val="none"/>
              </w:rPr>
              <w:t>（2）投标文件上法定代表人或其授权代理人的签字，投标人的单位章齐全，符合招标文件规定；</w:t>
            </w:r>
          </w:p>
          <w:p>
            <w:pPr>
              <w:keepNext w:val="0"/>
              <w:keepLines w:val="0"/>
              <w:pageBreakBefore w:val="0"/>
              <w:widowControl/>
              <w:kinsoku/>
              <w:wordWrap/>
              <w:overflowPunct/>
              <w:topLinePunct w:val="0"/>
              <w:autoSpaceDE/>
              <w:autoSpaceDN/>
              <w:bidi w:val="0"/>
              <w:adjustRightInd/>
              <w:snapToGrid/>
              <w:spacing w:line="280" w:lineRule="exact"/>
              <w:ind w:left="141" w:leftChars="67" w:firstLine="315" w:firstLineChars="150"/>
              <w:textAlignment w:val="auto"/>
              <w:rPr>
                <w:color w:val="auto"/>
                <w:szCs w:val="21"/>
                <w:highlight w:val="none"/>
              </w:rPr>
            </w:pPr>
            <w:r>
              <w:rPr>
                <w:color w:val="auto"/>
                <w:szCs w:val="21"/>
                <w:highlight w:val="none"/>
              </w:rPr>
              <w:t>若由授权代理人签署，投标函签署的日期应在授权委托书委托期限以内。</w:t>
            </w:r>
          </w:p>
          <w:p>
            <w:pPr>
              <w:keepNext w:val="0"/>
              <w:keepLines w:val="0"/>
              <w:pageBreakBefore w:val="0"/>
              <w:widowControl/>
              <w:kinsoku/>
              <w:wordWrap/>
              <w:overflowPunct/>
              <w:topLinePunct w:val="0"/>
              <w:autoSpaceDE/>
              <w:autoSpaceDN/>
              <w:bidi w:val="0"/>
              <w:adjustRightInd/>
              <w:snapToGrid/>
              <w:spacing w:line="280" w:lineRule="exact"/>
              <w:ind w:left="141" w:leftChars="67" w:firstLine="312"/>
              <w:textAlignment w:val="auto"/>
              <w:rPr>
                <w:color w:val="auto"/>
                <w:szCs w:val="21"/>
                <w:highlight w:val="none"/>
              </w:rPr>
            </w:pPr>
            <w:r>
              <w:rPr>
                <w:color w:val="auto"/>
                <w:szCs w:val="21"/>
                <w:highlight w:val="none"/>
              </w:rPr>
              <w:t>（3）与</w:t>
            </w:r>
            <w:r>
              <w:rPr>
                <w:color w:val="auto"/>
                <w:spacing w:val="-3"/>
                <w:szCs w:val="21"/>
                <w:highlight w:val="none"/>
              </w:rPr>
              <w:t>所</w:t>
            </w:r>
            <w:r>
              <w:rPr>
                <w:color w:val="auto"/>
                <w:szCs w:val="21"/>
                <w:highlight w:val="none"/>
              </w:rPr>
              <w:t>投</w:t>
            </w:r>
            <w:r>
              <w:rPr>
                <w:color w:val="auto"/>
                <w:spacing w:val="-3"/>
                <w:szCs w:val="21"/>
                <w:highlight w:val="none"/>
              </w:rPr>
              <w:t>标</w:t>
            </w:r>
            <w:r>
              <w:rPr>
                <w:color w:val="auto"/>
                <w:szCs w:val="21"/>
                <w:highlight w:val="none"/>
              </w:rPr>
              <w:t>段</w:t>
            </w:r>
            <w:r>
              <w:rPr>
                <w:color w:val="auto"/>
                <w:spacing w:val="-3"/>
                <w:szCs w:val="21"/>
                <w:highlight w:val="none"/>
              </w:rPr>
              <w:t>的</w:t>
            </w:r>
            <w:r>
              <w:rPr>
                <w:color w:val="auto"/>
                <w:szCs w:val="21"/>
                <w:highlight w:val="none"/>
              </w:rPr>
              <w:t>其</w:t>
            </w:r>
            <w:r>
              <w:rPr>
                <w:color w:val="auto"/>
                <w:spacing w:val="-3"/>
                <w:szCs w:val="21"/>
                <w:highlight w:val="none"/>
              </w:rPr>
              <w:t>他</w:t>
            </w:r>
            <w:r>
              <w:rPr>
                <w:color w:val="auto"/>
                <w:szCs w:val="21"/>
                <w:highlight w:val="none"/>
              </w:rPr>
              <w:t>投</w:t>
            </w:r>
            <w:r>
              <w:rPr>
                <w:color w:val="auto"/>
                <w:spacing w:val="-3"/>
                <w:szCs w:val="21"/>
                <w:highlight w:val="none"/>
              </w:rPr>
              <w:t>标人</w:t>
            </w:r>
            <w:r>
              <w:rPr>
                <w:color w:val="auto"/>
                <w:szCs w:val="21"/>
                <w:highlight w:val="none"/>
              </w:rPr>
              <w:t>不存</w:t>
            </w:r>
            <w:r>
              <w:rPr>
                <w:color w:val="auto"/>
                <w:spacing w:val="-3"/>
                <w:szCs w:val="21"/>
                <w:highlight w:val="none"/>
              </w:rPr>
              <w:t>在</w:t>
            </w:r>
            <w:r>
              <w:rPr>
                <w:color w:val="auto"/>
                <w:szCs w:val="21"/>
                <w:highlight w:val="none"/>
              </w:rPr>
              <w:t>控</w:t>
            </w:r>
            <w:r>
              <w:rPr>
                <w:color w:val="auto"/>
                <w:spacing w:val="-3"/>
                <w:szCs w:val="21"/>
                <w:highlight w:val="none"/>
              </w:rPr>
              <w:t>股</w:t>
            </w:r>
            <w:r>
              <w:rPr>
                <w:color w:val="auto"/>
                <w:spacing w:val="-41"/>
                <w:szCs w:val="21"/>
                <w:highlight w:val="none"/>
              </w:rPr>
              <w:t>、</w:t>
            </w:r>
            <w:r>
              <w:rPr>
                <w:color w:val="auto"/>
                <w:szCs w:val="21"/>
                <w:highlight w:val="none"/>
              </w:rPr>
              <w:t>管</w:t>
            </w:r>
            <w:r>
              <w:rPr>
                <w:color w:val="auto"/>
                <w:spacing w:val="-3"/>
                <w:szCs w:val="21"/>
                <w:highlight w:val="none"/>
              </w:rPr>
              <w:t>理</w:t>
            </w:r>
            <w:r>
              <w:rPr>
                <w:color w:val="auto"/>
                <w:szCs w:val="21"/>
                <w:highlight w:val="none"/>
              </w:rPr>
              <w:t>关</w:t>
            </w:r>
            <w:r>
              <w:rPr>
                <w:color w:val="auto"/>
                <w:spacing w:val="-3"/>
                <w:szCs w:val="21"/>
                <w:highlight w:val="none"/>
              </w:rPr>
              <w:t>系或</w:t>
            </w:r>
            <w:r>
              <w:rPr>
                <w:color w:val="auto"/>
                <w:szCs w:val="21"/>
                <w:highlight w:val="none"/>
              </w:rPr>
              <w:t>单位</w:t>
            </w:r>
            <w:r>
              <w:rPr>
                <w:color w:val="auto"/>
                <w:spacing w:val="-3"/>
                <w:szCs w:val="21"/>
                <w:highlight w:val="none"/>
              </w:rPr>
              <w:t>负</w:t>
            </w:r>
            <w:r>
              <w:rPr>
                <w:color w:val="auto"/>
                <w:szCs w:val="21"/>
                <w:highlight w:val="none"/>
              </w:rPr>
              <w:t>责</w:t>
            </w:r>
            <w:r>
              <w:rPr>
                <w:color w:val="auto"/>
                <w:spacing w:val="-3"/>
                <w:szCs w:val="21"/>
                <w:highlight w:val="none"/>
              </w:rPr>
              <w:t>人</w:t>
            </w:r>
            <w:r>
              <w:rPr>
                <w:color w:val="auto"/>
                <w:szCs w:val="21"/>
                <w:highlight w:val="none"/>
              </w:rPr>
              <w:t xml:space="preserve">为 </w:t>
            </w:r>
            <w:r>
              <w:rPr>
                <w:color w:val="auto"/>
                <w:spacing w:val="-2"/>
                <w:szCs w:val="21"/>
                <w:highlight w:val="none"/>
              </w:rPr>
              <w:t>同一人的情况；与招标人也不存在利害关系并可能影响招标公正性。</w:t>
            </w:r>
          </w:p>
          <w:p>
            <w:pPr>
              <w:keepNext w:val="0"/>
              <w:keepLines w:val="0"/>
              <w:pageBreakBefore w:val="0"/>
              <w:widowControl/>
              <w:kinsoku/>
              <w:wordWrap/>
              <w:overflowPunct/>
              <w:topLinePunct w:val="0"/>
              <w:autoSpaceDE/>
              <w:autoSpaceDN/>
              <w:bidi w:val="0"/>
              <w:adjustRightInd/>
              <w:snapToGrid/>
              <w:spacing w:line="280" w:lineRule="exact"/>
              <w:ind w:left="141" w:leftChars="67" w:firstLine="312"/>
              <w:textAlignment w:val="auto"/>
              <w:rPr>
                <w:color w:val="auto"/>
                <w:szCs w:val="21"/>
                <w:highlight w:val="none"/>
              </w:rPr>
            </w:pPr>
            <w:r>
              <w:rPr>
                <w:color w:val="auto"/>
                <w:szCs w:val="21"/>
                <w:highlight w:val="none"/>
              </w:rPr>
              <w:t xml:space="preserve">（4）投标人按照招标文件规定的金额、形式、时间和帐户等要求提供了投标保证金； </w:t>
            </w:r>
          </w:p>
          <w:p>
            <w:pPr>
              <w:keepNext w:val="0"/>
              <w:keepLines w:val="0"/>
              <w:pageBreakBefore w:val="0"/>
              <w:widowControl/>
              <w:kinsoku/>
              <w:wordWrap/>
              <w:overflowPunct/>
              <w:topLinePunct w:val="0"/>
              <w:autoSpaceDE/>
              <w:autoSpaceDN/>
              <w:bidi w:val="0"/>
              <w:adjustRightInd/>
              <w:snapToGrid/>
              <w:spacing w:line="280" w:lineRule="exact"/>
              <w:ind w:left="141" w:leftChars="67" w:firstLine="312"/>
              <w:textAlignment w:val="auto"/>
              <w:rPr>
                <w:color w:val="auto"/>
                <w:spacing w:val="-2"/>
                <w:szCs w:val="21"/>
                <w:highlight w:val="none"/>
              </w:rPr>
            </w:pPr>
            <w:r>
              <w:rPr>
                <w:color w:val="auto"/>
                <w:spacing w:val="-1"/>
                <w:szCs w:val="21"/>
                <w:highlight w:val="none"/>
              </w:rPr>
              <w:t>a</w:t>
            </w:r>
            <w:r>
              <w:rPr>
                <w:color w:val="auto"/>
                <w:szCs w:val="21"/>
                <w:highlight w:val="none"/>
              </w:rPr>
              <w:t>.投</w:t>
            </w:r>
            <w:r>
              <w:rPr>
                <w:color w:val="auto"/>
                <w:spacing w:val="-3"/>
                <w:szCs w:val="21"/>
                <w:highlight w:val="none"/>
              </w:rPr>
              <w:t>标</w:t>
            </w:r>
            <w:r>
              <w:rPr>
                <w:color w:val="auto"/>
                <w:szCs w:val="21"/>
                <w:highlight w:val="none"/>
              </w:rPr>
              <w:t>保</w:t>
            </w:r>
            <w:r>
              <w:rPr>
                <w:color w:val="auto"/>
                <w:spacing w:val="-3"/>
                <w:szCs w:val="21"/>
                <w:highlight w:val="none"/>
              </w:rPr>
              <w:t>证</w:t>
            </w:r>
            <w:r>
              <w:rPr>
                <w:color w:val="auto"/>
                <w:spacing w:val="-1"/>
                <w:szCs w:val="21"/>
                <w:highlight w:val="none"/>
              </w:rPr>
              <w:t>金</w:t>
            </w:r>
            <w:r>
              <w:rPr>
                <w:color w:val="auto"/>
                <w:spacing w:val="-3"/>
                <w:szCs w:val="21"/>
                <w:highlight w:val="none"/>
              </w:rPr>
              <w:t>金</w:t>
            </w:r>
            <w:r>
              <w:rPr>
                <w:color w:val="auto"/>
                <w:szCs w:val="21"/>
                <w:highlight w:val="none"/>
              </w:rPr>
              <w:t>额</w:t>
            </w:r>
            <w:r>
              <w:rPr>
                <w:color w:val="auto"/>
                <w:spacing w:val="-3"/>
                <w:szCs w:val="21"/>
                <w:highlight w:val="none"/>
              </w:rPr>
              <w:t>符</w:t>
            </w:r>
            <w:r>
              <w:rPr>
                <w:color w:val="auto"/>
                <w:szCs w:val="21"/>
                <w:highlight w:val="none"/>
              </w:rPr>
              <w:t>合</w:t>
            </w:r>
            <w:r>
              <w:rPr>
                <w:color w:val="auto"/>
                <w:spacing w:val="-3"/>
                <w:szCs w:val="21"/>
                <w:highlight w:val="none"/>
              </w:rPr>
              <w:t>招标</w:t>
            </w:r>
            <w:r>
              <w:rPr>
                <w:color w:val="auto"/>
                <w:szCs w:val="21"/>
                <w:highlight w:val="none"/>
              </w:rPr>
              <w:t>文件</w:t>
            </w:r>
            <w:r>
              <w:rPr>
                <w:color w:val="auto"/>
                <w:spacing w:val="-3"/>
                <w:szCs w:val="21"/>
                <w:highlight w:val="none"/>
              </w:rPr>
              <w:t>规</w:t>
            </w:r>
            <w:r>
              <w:rPr>
                <w:color w:val="auto"/>
                <w:szCs w:val="21"/>
                <w:highlight w:val="none"/>
              </w:rPr>
              <w:t>定</w:t>
            </w:r>
            <w:r>
              <w:rPr>
                <w:color w:val="auto"/>
                <w:spacing w:val="-3"/>
                <w:szCs w:val="21"/>
                <w:highlight w:val="none"/>
              </w:rPr>
              <w:t>的</w:t>
            </w:r>
            <w:r>
              <w:rPr>
                <w:color w:val="auto"/>
                <w:szCs w:val="21"/>
                <w:highlight w:val="none"/>
              </w:rPr>
              <w:t>金</w:t>
            </w:r>
            <w:r>
              <w:rPr>
                <w:color w:val="auto"/>
                <w:spacing w:val="-1"/>
                <w:szCs w:val="21"/>
                <w:highlight w:val="none"/>
              </w:rPr>
              <w:t>额</w:t>
            </w:r>
            <w:r>
              <w:rPr>
                <w:color w:val="auto"/>
                <w:spacing w:val="-44"/>
                <w:szCs w:val="21"/>
                <w:highlight w:val="none"/>
              </w:rPr>
              <w:t>，</w:t>
            </w:r>
            <w:r>
              <w:rPr>
                <w:color w:val="auto"/>
                <w:szCs w:val="21"/>
                <w:highlight w:val="none"/>
              </w:rPr>
              <w:t>且</w:t>
            </w:r>
            <w:r>
              <w:rPr>
                <w:color w:val="auto"/>
                <w:spacing w:val="-3"/>
                <w:szCs w:val="21"/>
                <w:highlight w:val="none"/>
              </w:rPr>
              <w:t>投标</w:t>
            </w:r>
            <w:r>
              <w:rPr>
                <w:color w:val="auto"/>
                <w:szCs w:val="21"/>
                <w:highlight w:val="none"/>
              </w:rPr>
              <w:t>保证</w:t>
            </w:r>
            <w:r>
              <w:rPr>
                <w:color w:val="auto"/>
                <w:spacing w:val="-3"/>
                <w:szCs w:val="21"/>
                <w:highlight w:val="none"/>
              </w:rPr>
              <w:t>金</w:t>
            </w:r>
            <w:r>
              <w:rPr>
                <w:color w:val="auto"/>
                <w:szCs w:val="21"/>
                <w:highlight w:val="none"/>
              </w:rPr>
              <w:t>有</w:t>
            </w:r>
            <w:r>
              <w:rPr>
                <w:color w:val="auto"/>
                <w:spacing w:val="-3"/>
                <w:szCs w:val="21"/>
                <w:highlight w:val="none"/>
              </w:rPr>
              <w:t>效</w:t>
            </w:r>
            <w:r>
              <w:rPr>
                <w:color w:val="auto"/>
                <w:szCs w:val="21"/>
                <w:highlight w:val="none"/>
              </w:rPr>
              <w:t xml:space="preserve">期 </w:t>
            </w:r>
            <w:r>
              <w:rPr>
                <w:color w:val="auto"/>
                <w:spacing w:val="-2"/>
                <w:szCs w:val="21"/>
                <w:highlight w:val="none"/>
              </w:rPr>
              <w:t>不少于投标有效期；</w:t>
            </w:r>
          </w:p>
          <w:p>
            <w:pPr>
              <w:pStyle w:val="12"/>
              <w:keepNext w:val="0"/>
              <w:keepLines w:val="0"/>
              <w:pageBreakBefore w:val="0"/>
              <w:widowControl/>
              <w:kinsoku/>
              <w:wordWrap/>
              <w:overflowPunct/>
              <w:topLinePunct w:val="0"/>
              <w:autoSpaceDE/>
              <w:autoSpaceDN/>
              <w:bidi w:val="0"/>
              <w:adjustRightInd/>
              <w:snapToGrid/>
              <w:spacing w:before="41" w:line="280" w:lineRule="exact"/>
              <w:ind w:left="141" w:leftChars="67" w:right="97" w:firstLine="312"/>
              <w:jc w:val="both"/>
              <w:textAlignment w:val="auto"/>
              <w:rPr>
                <w:color w:val="auto"/>
                <w:spacing w:val="-3"/>
                <w:sz w:val="21"/>
                <w:szCs w:val="21"/>
                <w:highlight w:val="none"/>
              </w:rPr>
            </w:pPr>
            <w:r>
              <w:rPr>
                <w:color w:val="auto"/>
                <w:sz w:val="21"/>
                <w:szCs w:val="21"/>
                <w:highlight w:val="none"/>
              </w:rPr>
              <w:t>b.若</w:t>
            </w:r>
            <w:r>
              <w:rPr>
                <w:color w:val="auto"/>
                <w:spacing w:val="-3"/>
                <w:sz w:val="21"/>
                <w:szCs w:val="21"/>
                <w:highlight w:val="none"/>
              </w:rPr>
              <w:t>投</w:t>
            </w:r>
            <w:r>
              <w:rPr>
                <w:color w:val="auto"/>
                <w:sz w:val="21"/>
                <w:szCs w:val="21"/>
                <w:highlight w:val="none"/>
              </w:rPr>
              <w:t>标</w:t>
            </w:r>
            <w:r>
              <w:rPr>
                <w:color w:val="auto"/>
                <w:spacing w:val="-3"/>
                <w:sz w:val="21"/>
                <w:szCs w:val="21"/>
                <w:highlight w:val="none"/>
              </w:rPr>
              <w:t>保</w:t>
            </w:r>
            <w:r>
              <w:rPr>
                <w:color w:val="auto"/>
                <w:sz w:val="21"/>
                <w:szCs w:val="21"/>
                <w:highlight w:val="none"/>
              </w:rPr>
              <w:t>证</w:t>
            </w:r>
            <w:r>
              <w:rPr>
                <w:color w:val="auto"/>
                <w:spacing w:val="-3"/>
                <w:sz w:val="21"/>
                <w:szCs w:val="21"/>
                <w:highlight w:val="none"/>
              </w:rPr>
              <w:t>金</w:t>
            </w:r>
            <w:r>
              <w:rPr>
                <w:color w:val="auto"/>
                <w:sz w:val="21"/>
                <w:szCs w:val="21"/>
                <w:highlight w:val="none"/>
              </w:rPr>
              <w:t>采</w:t>
            </w:r>
            <w:r>
              <w:rPr>
                <w:color w:val="auto"/>
                <w:spacing w:val="-3"/>
                <w:sz w:val="21"/>
                <w:szCs w:val="21"/>
                <w:highlight w:val="none"/>
              </w:rPr>
              <w:t>用</w:t>
            </w:r>
            <w:r>
              <w:rPr>
                <w:color w:val="auto"/>
                <w:sz w:val="21"/>
                <w:szCs w:val="21"/>
                <w:highlight w:val="none"/>
              </w:rPr>
              <w:t>现</w:t>
            </w:r>
            <w:r>
              <w:rPr>
                <w:color w:val="auto"/>
                <w:spacing w:val="-3"/>
                <w:sz w:val="21"/>
                <w:szCs w:val="21"/>
                <w:highlight w:val="none"/>
              </w:rPr>
              <w:t>金</w:t>
            </w:r>
            <w:r>
              <w:rPr>
                <w:color w:val="auto"/>
                <w:sz w:val="21"/>
                <w:szCs w:val="21"/>
                <w:highlight w:val="none"/>
              </w:rPr>
              <w:t>或支</w:t>
            </w:r>
            <w:r>
              <w:rPr>
                <w:color w:val="auto"/>
                <w:spacing w:val="-3"/>
                <w:sz w:val="21"/>
                <w:szCs w:val="21"/>
                <w:highlight w:val="none"/>
              </w:rPr>
              <w:t>票</w:t>
            </w:r>
            <w:r>
              <w:rPr>
                <w:color w:val="auto"/>
                <w:sz w:val="21"/>
                <w:szCs w:val="21"/>
                <w:highlight w:val="none"/>
              </w:rPr>
              <w:t>形</w:t>
            </w:r>
            <w:r>
              <w:rPr>
                <w:color w:val="auto"/>
                <w:spacing w:val="-3"/>
                <w:sz w:val="21"/>
                <w:szCs w:val="21"/>
                <w:highlight w:val="none"/>
              </w:rPr>
              <w:t>式</w:t>
            </w:r>
            <w:r>
              <w:rPr>
                <w:color w:val="auto"/>
                <w:sz w:val="21"/>
                <w:szCs w:val="21"/>
                <w:highlight w:val="none"/>
              </w:rPr>
              <w:t>提</w:t>
            </w:r>
            <w:r>
              <w:rPr>
                <w:color w:val="auto"/>
                <w:spacing w:val="-3"/>
                <w:sz w:val="21"/>
                <w:szCs w:val="21"/>
                <w:highlight w:val="none"/>
              </w:rPr>
              <w:t>交</w:t>
            </w:r>
            <w:r>
              <w:rPr>
                <w:color w:val="auto"/>
                <w:spacing w:val="-53"/>
                <w:sz w:val="21"/>
                <w:szCs w:val="21"/>
                <w:highlight w:val="none"/>
              </w:rPr>
              <w:t>，</w:t>
            </w:r>
            <w:r>
              <w:rPr>
                <w:color w:val="auto"/>
                <w:sz w:val="21"/>
                <w:szCs w:val="21"/>
                <w:highlight w:val="none"/>
              </w:rPr>
              <w:t>投</w:t>
            </w:r>
            <w:r>
              <w:rPr>
                <w:color w:val="auto"/>
                <w:spacing w:val="-3"/>
                <w:sz w:val="21"/>
                <w:szCs w:val="21"/>
                <w:highlight w:val="none"/>
              </w:rPr>
              <w:t>标人应在递交投标文 件截止时间之前，将投标保证金由投标人的基本账户转入招标人指定账户，并按照要求在投标文件中附汇款单据（或银行进帐单）；</w:t>
            </w:r>
          </w:p>
          <w:p>
            <w:pPr>
              <w:keepNext w:val="0"/>
              <w:keepLines w:val="0"/>
              <w:pageBreakBefore w:val="0"/>
              <w:widowControl/>
              <w:kinsoku/>
              <w:wordWrap/>
              <w:overflowPunct/>
              <w:topLinePunct w:val="0"/>
              <w:autoSpaceDE/>
              <w:autoSpaceDN/>
              <w:bidi w:val="0"/>
              <w:adjustRightInd/>
              <w:snapToGrid/>
              <w:spacing w:line="280" w:lineRule="exact"/>
              <w:ind w:left="141" w:leftChars="67" w:firstLine="312"/>
              <w:textAlignment w:val="auto"/>
              <w:rPr>
                <w:color w:val="auto"/>
                <w:spacing w:val="-2"/>
                <w:szCs w:val="21"/>
                <w:highlight w:val="none"/>
              </w:rPr>
            </w:pPr>
            <w:r>
              <w:rPr>
                <w:color w:val="auto"/>
                <w:spacing w:val="-3"/>
                <w:szCs w:val="21"/>
                <w:highlight w:val="none"/>
              </w:rPr>
              <w:t>c.若投标保证金采用银行保函形式提交，银行保函的格式、开具保</w:t>
            </w:r>
            <w:r>
              <w:rPr>
                <w:color w:val="auto"/>
                <w:szCs w:val="21"/>
                <w:highlight w:val="none"/>
              </w:rPr>
              <w:t>函的</w:t>
            </w:r>
            <w:r>
              <w:rPr>
                <w:color w:val="auto"/>
                <w:spacing w:val="-3"/>
                <w:szCs w:val="21"/>
                <w:highlight w:val="none"/>
              </w:rPr>
              <w:t>银</w:t>
            </w:r>
            <w:r>
              <w:rPr>
                <w:color w:val="auto"/>
                <w:szCs w:val="21"/>
                <w:highlight w:val="none"/>
              </w:rPr>
              <w:t>行</w:t>
            </w:r>
            <w:r>
              <w:rPr>
                <w:color w:val="auto"/>
                <w:spacing w:val="-3"/>
                <w:szCs w:val="21"/>
                <w:highlight w:val="none"/>
              </w:rPr>
              <w:t>均</w:t>
            </w:r>
            <w:r>
              <w:rPr>
                <w:color w:val="auto"/>
                <w:szCs w:val="21"/>
                <w:highlight w:val="none"/>
              </w:rPr>
              <w:t>满</w:t>
            </w:r>
            <w:r>
              <w:rPr>
                <w:color w:val="auto"/>
                <w:spacing w:val="-3"/>
                <w:szCs w:val="21"/>
                <w:highlight w:val="none"/>
              </w:rPr>
              <w:t>足</w:t>
            </w:r>
            <w:r>
              <w:rPr>
                <w:color w:val="auto"/>
                <w:szCs w:val="21"/>
                <w:highlight w:val="none"/>
              </w:rPr>
              <w:t>招</w:t>
            </w:r>
            <w:r>
              <w:rPr>
                <w:color w:val="auto"/>
                <w:spacing w:val="-3"/>
                <w:szCs w:val="21"/>
                <w:highlight w:val="none"/>
              </w:rPr>
              <w:t>标</w:t>
            </w:r>
            <w:r>
              <w:rPr>
                <w:color w:val="auto"/>
                <w:szCs w:val="21"/>
                <w:highlight w:val="none"/>
              </w:rPr>
              <w:t>文</w:t>
            </w:r>
            <w:r>
              <w:rPr>
                <w:color w:val="auto"/>
                <w:spacing w:val="-3"/>
                <w:szCs w:val="21"/>
                <w:highlight w:val="none"/>
              </w:rPr>
              <w:t>件</w:t>
            </w:r>
            <w:r>
              <w:rPr>
                <w:color w:val="auto"/>
                <w:szCs w:val="21"/>
                <w:highlight w:val="none"/>
              </w:rPr>
              <w:t>要</w:t>
            </w:r>
            <w:r>
              <w:rPr>
                <w:color w:val="auto"/>
                <w:spacing w:val="-3"/>
                <w:szCs w:val="21"/>
                <w:highlight w:val="none"/>
              </w:rPr>
              <w:t>求</w:t>
            </w:r>
            <w:r>
              <w:rPr>
                <w:color w:val="auto"/>
                <w:spacing w:val="-104"/>
                <w:szCs w:val="21"/>
                <w:highlight w:val="none"/>
              </w:rPr>
              <w:t>，</w:t>
            </w:r>
            <w:r>
              <w:rPr>
                <w:color w:val="auto"/>
                <w:spacing w:val="-3"/>
                <w:szCs w:val="21"/>
                <w:highlight w:val="none"/>
              </w:rPr>
              <w:t>且</w:t>
            </w:r>
            <w:r>
              <w:rPr>
                <w:color w:val="auto"/>
                <w:spacing w:val="-1"/>
                <w:szCs w:val="21"/>
                <w:highlight w:val="none"/>
              </w:rPr>
              <w:t>在</w:t>
            </w:r>
            <w:r>
              <w:rPr>
                <w:color w:val="auto"/>
                <w:spacing w:val="-3"/>
                <w:szCs w:val="21"/>
                <w:highlight w:val="none"/>
              </w:rPr>
              <w:t>递</w:t>
            </w:r>
            <w:r>
              <w:rPr>
                <w:color w:val="auto"/>
                <w:szCs w:val="21"/>
                <w:highlight w:val="none"/>
              </w:rPr>
              <w:t>交</w:t>
            </w:r>
            <w:r>
              <w:rPr>
                <w:color w:val="auto"/>
                <w:spacing w:val="-3"/>
                <w:szCs w:val="21"/>
                <w:highlight w:val="none"/>
              </w:rPr>
              <w:t>投</w:t>
            </w:r>
            <w:r>
              <w:rPr>
                <w:color w:val="auto"/>
                <w:spacing w:val="-1"/>
                <w:szCs w:val="21"/>
                <w:highlight w:val="none"/>
              </w:rPr>
              <w:t>标</w:t>
            </w:r>
            <w:r>
              <w:rPr>
                <w:color w:val="auto"/>
                <w:spacing w:val="-3"/>
                <w:szCs w:val="21"/>
                <w:highlight w:val="none"/>
              </w:rPr>
              <w:t>文</w:t>
            </w:r>
            <w:r>
              <w:rPr>
                <w:color w:val="auto"/>
                <w:szCs w:val="21"/>
                <w:highlight w:val="none"/>
              </w:rPr>
              <w:t>件</w:t>
            </w:r>
            <w:r>
              <w:rPr>
                <w:color w:val="auto"/>
                <w:spacing w:val="-3"/>
                <w:szCs w:val="21"/>
                <w:highlight w:val="none"/>
              </w:rPr>
              <w:t>截</w:t>
            </w:r>
            <w:r>
              <w:rPr>
                <w:color w:val="auto"/>
                <w:szCs w:val="21"/>
                <w:highlight w:val="none"/>
              </w:rPr>
              <w:t>止时</w:t>
            </w:r>
            <w:r>
              <w:rPr>
                <w:color w:val="auto"/>
                <w:spacing w:val="-3"/>
                <w:szCs w:val="21"/>
                <w:highlight w:val="none"/>
              </w:rPr>
              <w:t>间</w:t>
            </w:r>
            <w:r>
              <w:rPr>
                <w:color w:val="auto"/>
                <w:szCs w:val="21"/>
                <w:highlight w:val="none"/>
              </w:rPr>
              <w:t>之</w:t>
            </w:r>
            <w:r>
              <w:rPr>
                <w:color w:val="auto"/>
                <w:spacing w:val="-2"/>
                <w:szCs w:val="21"/>
                <w:highlight w:val="none"/>
              </w:rPr>
              <w:t>前</w:t>
            </w:r>
            <w:r>
              <w:rPr>
                <w:color w:val="auto"/>
                <w:szCs w:val="21"/>
                <w:highlight w:val="none"/>
              </w:rPr>
              <w:t>向</w:t>
            </w:r>
            <w:r>
              <w:rPr>
                <w:color w:val="auto"/>
                <w:spacing w:val="-3"/>
                <w:szCs w:val="21"/>
                <w:highlight w:val="none"/>
              </w:rPr>
              <w:t>招</w:t>
            </w:r>
            <w:r>
              <w:rPr>
                <w:color w:val="auto"/>
                <w:szCs w:val="21"/>
                <w:highlight w:val="none"/>
              </w:rPr>
              <w:t xml:space="preserve">标 </w:t>
            </w:r>
            <w:r>
              <w:rPr>
                <w:color w:val="auto"/>
                <w:spacing w:val="-2"/>
                <w:szCs w:val="21"/>
                <w:highlight w:val="none"/>
              </w:rPr>
              <w:t>人提交了银行保函原件。</w:t>
            </w:r>
          </w:p>
          <w:p>
            <w:pPr>
              <w:keepNext w:val="0"/>
              <w:keepLines w:val="0"/>
              <w:pageBreakBefore w:val="0"/>
              <w:widowControl/>
              <w:kinsoku/>
              <w:wordWrap/>
              <w:overflowPunct/>
              <w:topLinePunct w:val="0"/>
              <w:autoSpaceDE/>
              <w:autoSpaceDN/>
              <w:bidi w:val="0"/>
              <w:adjustRightInd/>
              <w:snapToGrid/>
              <w:spacing w:line="280" w:lineRule="exact"/>
              <w:ind w:left="141" w:leftChars="67" w:firstLine="312"/>
              <w:textAlignment w:val="auto"/>
              <w:rPr>
                <w:color w:val="auto"/>
                <w:szCs w:val="21"/>
                <w:highlight w:val="none"/>
              </w:rPr>
            </w:pPr>
            <w:r>
              <w:rPr>
                <w:color w:val="auto"/>
                <w:spacing w:val="-2"/>
                <w:szCs w:val="21"/>
                <w:highlight w:val="none"/>
              </w:rPr>
              <w:t>（5）投标人法定代表人授权委托代理人签署投标文件的，须提交</w:t>
            </w:r>
            <w:r>
              <w:rPr>
                <w:color w:val="auto"/>
                <w:spacing w:val="36"/>
                <w:szCs w:val="21"/>
                <w:highlight w:val="none"/>
              </w:rPr>
              <w:t xml:space="preserve"> </w:t>
            </w:r>
            <w:r>
              <w:rPr>
                <w:color w:val="auto"/>
                <w:szCs w:val="21"/>
                <w:highlight w:val="none"/>
              </w:rPr>
              <w:t>授权</w:t>
            </w:r>
            <w:r>
              <w:rPr>
                <w:color w:val="auto"/>
                <w:spacing w:val="-3"/>
                <w:szCs w:val="21"/>
                <w:highlight w:val="none"/>
              </w:rPr>
              <w:t>委</w:t>
            </w:r>
            <w:r>
              <w:rPr>
                <w:color w:val="auto"/>
                <w:szCs w:val="21"/>
                <w:highlight w:val="none"/>
              </w:rPr>
              <w:t>托</w:t>
            </w:r>
            <w:r>
              <w:rPr>
                <w:color w:val="auto"/>
                <w:spacing w:val="-3"/>
                <w:szCs w:val="21"/>
                <w:highlight w:val="none"/>
              </w:rPr>
              <w:t>书</w:t>
            </w:r>
            <w:r>
              <w:rPr>
                <w:color w:val="auto"/>
                <w:spacing w:val="-106"/>
                <w:szCs w:val="21"/>
                <w:highlight w:val="none"/>
              </w:rPr>
              <w:t>，</w:t>
            </w:r>
            <w:r>
              <w:rPr>
                <w:color w:val="auto"/>
                <w:szCs w:val="21"/>
                <w:highlight w:val="none"/>
              </w:rPr>
              <w:t>且</w:t>
            </w:r>
            <w:r>
              <w:rPr>
                <w:color w:val="auto"/>
                <w:spacing w:val="-3"/>
                <w:szCs w:val="21"/>
                <w:highlight w:val="none"/>
              </w:rPr>
              <w:t>授</w:t>
            </w:r>
            <w:r>
              <w:rPr>
                <w:color w:val="auto"/>
                <w:szCs w:val="21"/>
                <w:highlight w:val="none"/>
              </w:rPr>
              <w:t>权</w:t>
            </w:r>
            <w:r>
              <w:rPr>
                <w:color w:val="auto"/>
                <w:spacing w:val="-3"/>
                <w:szCs w:val="21"/>
                <w:highlight w:val="none"/>
              </w:rPr>
              <w:t>人</w:t>
            </w:r>
            <w:r>
              <w:rPr>
                <w:color w:val="auto"/>
                <w:szCs w:val="21"/>
                <w:highlight w:val="none"/>
              </w:rPr>
              <w:t>和</w:t>
            </w:r>
            <w:r>
              <w:rPr>
                <w:color w:val="auto"/>
                <w:spacing w:val="-3"/>
                <w:szCs w:val="21"/>
                <w:highlight w:val="none"/>
              </w:rPr>
              <w:t>被</w:t>
            </w:r>
            <w:r>
              <w:rPr>
                <w:color w:val="auto"/>
                <w:szCs w:val="21"/>
                <w:highlight w:val="none"/>
              </w:rPr>
              <w:t>授权</w:t>
            </w:r>
            <w:r>
              <w:rPr>
                <w:color w:val="auto"/>
                <w:spacing w:val="-3"/>
                <w:szCs w:val="21"/>
                <w:highlight w:val="none"/>
              </w:rPr>
              <w:t>人</w:t>
            </w:r>
            <w:r>
              <w:rPr>
                <w:color w:val="auto"/>
                <w:szCs w:val="21"/>
                <w:highlight w:val="none"/>
              </w:rPr>
              <w:t>均</w:t>
            </w:r>
            <w:r>
              <w:rPr>
                <w:color w:val="auto"/>
                <w:spacing w:val="-3"/>
                <w:szCs w:val="21"/>
                <w:highlight w:val="none"/>
              </w:rPr>
              <w:t>在</w:t>
            </w:r>
            <w:r>
              <w:rPr>
                <w:color w:val="auto"/>
                <w:szCs w:val="21"/>
                <w:highlight w:val="none"/>
              </w:rPr>
              <w:t>授</w:t>
            </w:r>
            <w:r>
              <w:rPr>
                <w:color w:val="auto"/>
                <w:spacing w:val="-3"/>
                <w:szCs w:val="21"/>
                <w:highlight w:val="none"/>
              </w:rPr>
              <w:t>权</w:t>
            </w:r>
            <w:r>
              <w:rPr>
                <w:color w:val="auto"/>
                <w:szCs w:val="21"/>
                <w:highlight w:val="none"/>
              </w:rPr>
              <w:t>委</w:t>
            </w:r>
            <w:r>
              <w:rPr>
                <w:color w:val="auto"/>
                <w:spacing w:val="-3"/>
                <w:szCs w:val="21"/>
                <w:highlight w:val="none"/>
              </w:rPr>
              <w:t>托</w:t>
            </w:r>
            <w:r>
              <w:rPr>
                <w:color w:val="auto"/>
                <w:szCs w:val="21"/>
                <w:highlight w:val="none"/>
              </w:rPr>
              <w:t>书</w:t>
            </w:r>
            <w:r>
              <w:rPr>
                <w:color w:val="auto"/>
                <w:spacing w:val="-3"/>
                <w:szCs w:val="21"/>
                <w:highlight w:val="none"/>
              </w:rPr>
              <w:t>上</w:t>
            </w:r>
            <w:r>
              <w:rPr>
                <w:color w:val="auto"/>
                <w:szCs w:val="21"/>
                <w:highlight w:val="none"/>
              </w:rPr>
              <w:t>签名</w:t>
            </w:r>
            <w:r>
              <w:rPr>
                <w:color w:val="auto"/>
                <w:spacing w:val="-108"/>
                <w:szCs w:val="21"/>
                <w:highlight w:val="none"/>
              </w:rPr>
              <w:t>，</w:t>
            </w:r>
            <w:r>
              <w:rPr>
                <w:color w:val="auto"/>
                <w:szCs w:val="21"/>
                <w:highlight w:val="none"/>
              </w:rPr>
              <w:t>未</w:t>
            </w:r>
            <w:r>
              <w:rPr>
                <w:color w:val="auto"/>
                <w:spacing w:val="-3"/>
                <w:szCs w:val="21"/>
                <w:highlight w:val="none"/>
              </w:rPr>
              <w:t>使</w:t>
            </w:r>
            <w:r>
              <w:rPr>
                <w:color w:val="auto"/>
                <w:szCs w:val="21"/>
                <w:highlight w:val="none"/>
              </w:rPr>
              <w:t>用印</w:t>
            </w:r>
            <w:r>
              <w:rPr>
                <w:color w:val="auto"/>
                <w:spacing w:val="-3"/>
                <w:szCs w:val="21"/>
                <w:highlight w:val="none"/>
              </w:rPr>
              <w:t>章</w:t>
            </w:r>
            <w:r>
              <w:rPr>
                <w:color w:val="auto"/>
                <w:szCs w:val="21"/>
                <w:highlight w:val="none"/>
              </w:rPr>
              <w:t xml:space="preserve">、 </w:t>
            </w:r>
            <w:r>
              <w:rPr>
                <w:color w:val="auto"/>
                <w:spacing w:val="-2"/>
                <w:szCs w:val="21"/>
                <w:highlight w:val="none"/>
              </w:rPr>
              <w:t>签名章或其他电子制版签名代替。</w:t>
            </w:r>
          </w:p>
          <w:p>
            <w:pPr>
              <w:keepNext w:val="0"/>
              <w:keepLines w:val="0"/>
              <w:pageBreakBefore w:val="0"/>
              <w:widowControl/>
              <w:kinsoku/>
              <w:wordWrap/>
              <w:overflowPunct/>
              <w:topLinePunct w:val="0"/>
              <w:autoSpaceDE/>
              <w:autoSpaceDN/>
              <w:bidi w:val="0"/>
              <w:adjustRightInd/>
              <w:snapToGrid/>
              <w:spacing w:line="280" w:lineRule="exact"/>
              <w:ind w:left="141" w:leftChars="67" w:firstLine="312"/>
              <w:textAlignment w:val="auto"/>
              <w:rPr>
                <w:color w:val="auto"/>
                <w:szCs w:val="21"/>
                <w:highlight w:val="none"/>
              </w:rPr>
            </w:pPr>
            <w:r>
              <w:rPr>
                <w:color w:val="auto"/>
                <w:spacing w:val="-2"/>
                <w:szCs w:val="21"/>
                <w:highlight w:val="none"/>
              </w:rPr>
              <w:t>（6）投标人法定代表人亲自签署投标文件的，提供了法定代表人</w:t>
            </w:r>
            <w:r>
              <w:rPr>
                <w:color w:val="auto"/>
                <w:spacing w:val="45"/>
                <w:szCs w:val="21"/>
                <w:highlight w:val="none"/>
              </w:rPr>
              <w:t xml:space="preserve"> </w:t>
            </w:r>
            <w:r>
              <w:rPr>
                <w:color w:val="auto"/>
                <w:spacing w:val="-2"/>
                <w:szCs w:val="21"/>
                <w:highlight w:val="none"/>
              </w:rPr>
              <w:t>身份证明，且法定代表人在法定代表人身份证明上签名，未使用印章、</w:t>
            </w:r>
            <w:r>
              <w:rPr>
                <w:color w:val="auto"/>
                <w:spacing w:val="41"/>
                <w:szCs w:val="21"/>
                <w:highlight w:val="none"/>
              </w:rPr>
              <w:t xml:space="preserve"> </w:t>
            </w:r>
            <w:r>
              <w:rPr>
                <w:color w:val="auto"/>
                <w:spacing w:val="-2"/>
                <w:szCs w:val="21"/>
                <w:highlight w:val="none"/>
              </w:rPr>
              <w:t>签名章或其他电子制版签名代替。</w:t>
            </w:r>
          </w:p>
          <w:p>
            <w:pPr>
              <w:keepNext w:val="0"/>
              <w:keepLines w:val="0"/>
              <w:pageBreakBefore w:val="0"/>
              <w:widowControl/>
              <w:kinsoku/>
              <w:wordWrap/>
              <w:overflowPunct/>
              <w:topLinePunct w:val="0"/>
              <w:autoSpaceDE/>
              <w:autoSpaceDN/>
              <w:bidi w:val="0"/>
              <w:adjustRightInd/>
              <w:snapToGrid/>
              <w:spacing w:line="280" w:lineRule="exact"/>
              <w:ind w:left="141" w:leftChars="67" w:firstLine="312"/>
              <w:textAlignment w:val="auto"/>
              <w:rPr>
                <w:color w:val="auto"/>
                <w:szCs w:val="21"/>
                <w:highlight w:val="none"/>
              </w:rPr>
            </w:pPr>
            <w:r>
              <w:rPr>
                <w:color w:val="auto"/>
                <w:szCs w:val="21"/>
                <w:highlight w:val="none"/>
              </w:rPr>
              <w:t>（</w:t>
            </w:r>
            <w:r>
              <w:rPr>
                <w:rFonts w:hint="eastAsia"/>
                <w:color w:val="auto"/>
                <w:szCs w:val="21"/>
                <w:highlight w:val="none"/>
              </w:rPr>
              <w:t>7</w:t>
            </w:r>
            <w:r>
              <w:rPr>
                <w:color w:val="auto"/>
                <w:szCs w:val="21"/>
                <w:highlight w:val="none"/>
              </w:rPr>
              <w:t>）投标人以联合体形式投标时，联合体满足招标文件的要求；</w:t>
            </w:r>
          </w:p>
          <w:p>
            <w:pPr>
              <w:keepNext w:val="0"/>
              <w:keepLines w:val="0"/>
              <w:pageBreakBefore w:val="0"/>
              <w:widowControl/>
              <w:kinsoku/>
              <w:wordWrap/>
              <w:overflowPunct/>
              <w:topLinePunct w:val="0"/>
              <w:autoSpaceDE/>
              <w:autoSpaceDN/>
              <w:bidi w:val="0"/>
              <w:adjustRightInd/>
              <w:snapToGrid/>
              <w:spacing w:line="280" w:lineRule="exact"/>
              <w:ind w:left="141" w:leftChars="67" w:firstLine="312"/>
              <w:textAlignment w:val="auto"/>
              <w:rPr>
                <w:color w:val="auto"/>
                <w:szCs w:val="21"/>
                <w:highlight w:val="none"/>
              </w:rPr>
            </w:pPr>
            <w:r>
              <w:rPr>
                <w:color w:val="auto"/>
                <w:spacing w:val="-1"/>
                <w:szCs w:val="21"/>
                <w:highlight w:val="none"/>
              </w:rPr>
              <w:t>a</w:t>
            </w:r>
            <w:r>
              <w:rPr>
                <w:color w:val="auto"/>
                <w:szCs w:val="21"/>
                <w:highlight w:val="none"/>
              </w:rPr>
              <w:t>.投</w:t>
            </w:r>
            <w:r>
              <w:rPr>
                <w:color w:val="auto"/>
                <w:spacing w:val="-3"/>
                <w:szCs w:val="21"/>
                <w:highlight w:val="none"/>
              </w:rPr>
              <w:t>标</w:t>
            </w:r>
            <w:r>
              <w:rPr>
                <w:color w:val="auto"/>
                <w:szCs w:val="21"/>
                <w:highlight w:val="none"/>
              </w:rPr>
              <w:t>人按</w:t>
            </w:r>
            <w:r>
              <w:rPr>
                <w:color w:val="auto"/>
                <w:spacing w:val="-3"/>
                <w:szCs w:val="21"/>
                <w:highlight w:val="none"/>
              </w:rPr>
              <w:t>照</w:t>
            </w:r>
            <w:r>
              <w:rPr>
                <w:color w:val="auto"/>
                <w:szCs w:val="21"/>
                <w:highlight w:val="none"/>
              </w:rPr>
              <w:t>招</w:t>
            </w:r>
            <w:r>
              <w:rPr>
                <w:color w:val="auto"/>
                <w:spacing w:val="-3"/>
                <w:szCs w:val="21"/>
                <w:highlight w:val="none"/>
              </w:rPr>
              <w:t>标</w:t>
            </w:r>
            <w:r>
              <w:rPr>
                <w:color w:val="auto"/>
                <w:szCs w:val="21"/>
                <w:highlight w:val="none"/>
              </w:rPr>
              <w:t>文</w:t>
            </w:r>
            <w:r>
              <w:rPr>
                <w:color w:val="auto"/>
                <w:spacing w:val="-3"/>
                <w:szCs w:val="21"/>
                <w:highlight w:val="none"/>
              </w:rPr>
              <w:t>件</w:t>
            </w:r>
            <w:r>
              <w:rPr>
                <w:color w:val="auto"/>
                <w:szCs w:val="21"/>
                <w:highlight w:val="none"/>
              </w:rPr>
              <w:t>提</w:t>
            </w:r>
            <w:r>
              <w:rPr>
                <w:color w:val="auto"/>
                <w:spacing w:val="-3"/>
                <w:szCs w:val="21"/>
                <w:highlight w:val="none"/>
              </w:rPr>
              <w:t>供</w:t>
            </w:r>
            <w:r>
              <w:rPr>
                <w:color w:val="auto"/>
                <w:szCs w:val="21"/>
                <w:highlight w:val="none"/>
              </w:rPr>
              <w:t>的</w:t>
            </w:r>
            <w:r>
              <w:rPr>
                <w:color w:val="auto"/>
                <w:spacing w:val="-3"/>
                <w:szCs w:val="21"/>
                <w:highlight w:val="none"/>
              </w:rPr>
              <w:t>格</w:t>
            </w:r>
            <w:r>
              <w:rPr>
                <w:color w:val="auto"/>
                <w:szCs w:val="21"/>
                <w:highlight w:val="none"/>
              </w:rPr>
              <w:t>式签</w:t>
            </w:r>
            <w:r>
              <w:rPr>
                <w:color w:val="auto"/>
                <w:spacing w:val="-3"/>
                <w:szCs w:val="21"/>
                <w:highlight w:val="none"/>
              </w:rPr>
              <w:t>订</w:t>
            </w:r>
            <w:r>
              <w:rPr>
                <w:color w:val="auto"/>
                <w:szCs w:val="21"/>
                <w:highlight w:val="none"/>
              </w:rPr>
              <w:t>了</w:t>
            </w:r>
            <w:r>
              <w:rPr>
                <w:color w:val="auto"/>
                <w:spacing w:val="-3"/>
                <w:szCs w:val="21"/>
                <w:highlight w:val="none"/>
              </w:rPr>
              <w:t>联</w:t>
            </w:r>
            <w:r>
              <w:rPr>
                <w:color w:val="auto"/>
                <w:szCs w:val="21"/>
                <w:highlight w:val="none"/>
              </w:rPr>
              <w:t xml:space="preserve">合 </w:t>
            </w:r>
            <w:r>
              <w:rPr>
                <w:color w:val="auto"/>
                <w:spacing w:val="-2"/>
                <w:szCs w:val="21"/>
                <w:highlight w:val="none"/>
              </w:rPr>
              <w:t>体协议书，明确各方承担连带责任，并明确了联合体牵头人；</w:t>
            </w:r>
          </w:p>
          <w:p>
            <w:pPr>
              <w:keepNext w:val="0"/>
              <w:keepLines w:val="0"/>
              <w:pageBreakBefore w:val="0"/>
              <w:widowControl/>
              <w:kinsoku/>
              <w:wordWrap/>
              <w:overflowPunct/>
              <w:topLinePunct w:val="0"/>
              <w:autoSpaceDE/>
              <w:autoSpaceDN/>
              <w:bidi w:val="0"/>
              <w:adjustRightInd/>
              <w:snapToGrid/>
              <w:spacing w:line="280" w:lineRule="exact"/>
              <w:ind w:left="141" w:leftChars="67" w:firstLine="312"/>
              <w:textAlignment w:val="auto"/>
              <w:rPr>
                <w:color w:val="auto"/>
                <w:szCs w:val="21"/>
                <w:highlight w:val="none"/>
              </w:rPr>
            </w:pPr>
            <w:r>
              <w:rPr>
                <w:color w:val="auto"/>
                <w:szCs w:val="21"/>
                <w:highlight w:val="none"/>
              </w:rPr>
              <w:t>（8）同一投标人未提交两个以上不同的投标文件，但招标文件要求提交备选投标的除外；</w:t>
            </w:r>
          </w:p>
          <w:p>
            <w:pPr>
              <w:keepNext w:val="0"/>
              <w:keepLines w:val="0"/>
              <w:pageBreakBefore w:val="0"/>
              <w:widowControl/>
              <w:kinsoku/>
              <w:wordWrap/>
              <w:overflowPunct/>
              <w:topLinePunct w:val="0"/>
              <w:autoSpaceDE/>
              <w:autoSpaceDN/>
              <w:bidi w:val="0"/>
              <w:adjustRightInd/>
              <w:snapToGrid/>
              <w:spacing w:line="280" w:lineRule="exact"/>
              <w:ind w:left="141" w:leftChars="67" w:firstLine="312"/>
              <w:textAlignment w:val="auto"/>
              <w:rPr>
                <w:color w:val="auto"/>
                <w:szCs w:val="21"/>
                <w:highlight w:val="none"/>
              </w:rPr>
            </w:pPr>
            <w:r>
              <w:rPr>
                <w:color w:val="auto"/>
                <w:szCs w:val="21"/>
                <w:highlight w:val="none"/>
              </w:rPr>
              <w:t>（9）投标文件未出现有关投标报价的内容；</w:t>
            </w:r>
          </w:p>
          <w:p>
            <w:pPr>
              <w:keepNext w:val="0"/>
              <w:keepLines w:val="0"/>
              <w:pageBreakBefore w:val="0"/>
              <w:widowControl/>
              <w:kinsoku/>
              <w:wordWrap/>
              <w:overflowPunct/>
              <w:topLinePunct w:val="0"/>
              <w:autoSpaceDE/>
              <w:autoSpaceDN/>
              <w:bidi w:val="0"/>
              <w:adjustRightInd/>
              <w:snapToGrid/>
              <w:spacing w:line="280" w:lineRule="exact"/>
              <w:ind w:left="141" w:leftChars="67" w:firstLine="312"/>
              <w:textAlignment w:val="auto"/>
              <w:rPr>
                <w:color w:val="auto"/>
                <w:szCs w:val="21"/>
                <w:highlight w:val="none"/>
              </w:rPr>
            </w:pPr>
            <w:r>
              <w:rPr>
                <w:color w:val="auto"/>
                <w:szCs w:val="21"/>
                <w:highlight w:val="none"/>
              </w:rPr>
              <w:t>（10）</w:t>
            </w:r>
            <w:r>
              <w:rPr>
                <w:color w:val="auto"/>
                <w:spacing w:val="-2"/>
                <w:szCs w:val="21"/>
                <w:highlight w:val="none"/>
              </w:rPr>
              <w:t>投标文件载明的招标项目完成期限符合招标文件规定。</w:t>
            </w:r>
          </w:p>
          <w:p>
            <w:pPr>
              <w:keepNext w:val="0"/>
              <w:keepLines w:val="0"/>
              <w:pageBreakBefore w:val="0"/>
              <w:widowControl/>
              <w:kinsoku/>
              <w:wordWrap/>
              <w:overflowPunct/>
              <w:topLinePunct w:val="0"/>
              <w:autoSpaceDE/>
              <w:autoSpaceDN/>
              <w:bidi w:val="0"/>
              <w:adjustRightInd/>
              <w:snapToGrid/>
              <w:spacing w:line="280" w:lineRule="exact"/>
              <w:ind w:left="141" w:leftChars="67" w:firstLine="312"/>
              <w:textAlignment w:val="auto"/>
              <w:rPr>
                <w:color w:val="auto"/>
                <w:szCs w:val="21"/>
                <w:highlight w:val="none"/>
              </w:rPr>
            </w:pPr>
            <w:r>
              <w:rPr>
                <w:color w:val="auto"/>
                <w:szCs w:val="21"/>
                <w:highlight w:val="none"/>
              </w:rPr>
              <w:t>（11）投标文件对招标文件的实质性要求和条件作出响应。</w:t>
            </w:r>
          </w:p>
          <w:p>
            <w:pPr>
              <w:keepNext w:val="0"/>
              <w:keepLines w:val="0"/>
              <w:pageBreakBefore w:val="0"/>
              <w:widowControl/>
              <w:kinsoku/>
              <w:wordWrap/>
              <w:overflowPunct/>
              <w:topLinePunct w:val="0"/>
              <w:autoSpaceDE/>
              <w:autoSpaceDN/>
              <w:bidi w:val="0"/>
              <w:adjustRightInd/>
              <w:snapToGrid/>
              <w:spacing w:line="280" w:lineRule="exact"/>
              <w:ind w:left="141" w:leftChars="67" w:firstLine="312"/>
              <w:textAlignment w:val="auto"/>
              <w:rPr>
                <w:color w:val="auto"/>
                <w:szCs w:val="21"/>
                <w:highlight w:val="none"/>
              </w:rPr>
            </w:pPr>
            <w:r>
              <w:rPr>
                <w:color w:val="auto"/>
                <w:szCs w:val="21"/>
                <w:highlight w:val="none"/>
              </w:rPr>
              <w:t>（1</w:t>
            </w:r>
            <w:r>
              <w:rPr>
                <w:rFonts w:hint="eastAsia"/>
                <w:color w:val="auto"/>
                <w:szCs w:val="21"/>
                <w:highlight w:val="none"/>
              </w:rPr>
              <w:t>2</w:t>
            </w:r>
            <w:r>
              <w:rPr>
                <w:color w:val="auto"/>
                <w:szCs w:val="21"/>
                <w:highlight w:val="none"/>
              </w:rPr>
              <w:t>）权利义务符合招标文件规定：</w:t>
            </w:r>
          </w:p>
          <w:p>
            <w:pPr>
              <w:keepNext w:val="0"/>
              <w:keepLines w:val="0"/>
              <w:pageBreakBefore w:val="0"/>
              <w:widowControl/>
              <w:kinsoku/>
              <w:wordWrap/>
              <w:overflowPunct/>
              <w:topLinePunct w:val="0"/>
              <w:autoSpaceDE/>
              <w:autoSpaceDN/>
              <w:bidi w:val="0"/>
              <w:adjustRightInd/>
              <w:snapToGrid/>
              <w:spacing w:line="280" w:lineRule="exact"/>
              <w:ind w:left="141" w:leftChars="67" w:firstLine="312"/>
              <w:textAlignment w:val="auto"/>
              <w:rPr>
                <w:color w:val="auto"/>
                <w:szCs w:val="21"/>
                <w:highlight w:val="none"/>
              </w:rPr>
            </w:pPr>
            <w:r>
              <w:rPr>
                <w:color w:val="auto"/>
                <w:szCs w:val="21"/>
                <w:highlight w:val="none"/>
              </w:rPr>
              <w:t>a.投标人应接受招标文件规定的风险划分原则，未提出新的风险划分办法；</w:t>
            </w:r>
          </w:p>
          <w:p>
            <w:pPr>
              <w:keepNext w:val="0"/>
              <w:keepLines w:val="0"/>
              <w:pageBreakBefore w:val="0"/>
              <w:widowControl/>
              <w:kinsoku/>
              <w:wordWrap/>
              <w:overflowPunct/>
              <w:topLinePunct w:val="0"/>
              <w:autoSpaceDE/>
              <w:autoSpaceDN/>
              <w:bidi w:val="0"/>
              <w:adjustRightInd/>
              <w:snapToGrid/>
              <w:spacing w:line="280" w:lineRule="exact"/>
              <w:ind w:left="141" w:leftChars="67" w:firstLine="312"/>
              <w:textAlignment w:val="auto"/>
              <w:rPr>
                <w:color w:val="auto"/>
                <w:szCs w:val="21"/>
                <w:highlight w:val="none"/>
              </w:rPr>
            </w:pPr>
            <w:r>
              <w:rPr>
                <w:color w:val="auto"/>
                <w:szCs w:val="21"/>
                <w:highlight w:val="none"/>
              </w:rPr>
              <w:t>b.投标人未增加委托人的责任范围，或减少投标人义务；</w:t>
            </w:r>
          </w:p>
          <w:p>
            <w:pPr>
              <w:keepNext w:val="0"/>
              <w:keepLines w:val="0"/>
              <w:pageBreakBefore w:val="0"/>
              <w:widowControl/>
              <w:kinsoku/>
              <w:wordWrap/>
              <w:overflowPunct/>
              <w:topLinePunct w:val="0"/>
              <w:autoSpaceDE/>
              <w:autoSpaceDN/>
              <w:bidi w:val="0"/>
              <w:adjustRightInd/>
              <w:snapToGrid/>
              <w:spacing w:line="280" w:lineRule="exact"/>
              <w:ind w:left="141" w:leftChars="67" w:firstLine="312"/>
              <w:textAlignment w:val="auto"/>
              <w:rPr>
                <w:color w:val="auto"/>
                <w:szCs w:val="21"/>
                <w:highlight w:val="none"/>
              </w:rPr>
            </w:pPr>
            <w:r>
              <w:rPr>
                <w:color w:val="auto"/>
                <w:szCs w:val="21"/>
                <w:highlight w:val="none"/>
              </w:rPr>
              <w:t>c.投标人未提出不同的支付办法；</w:t>
            </w:r>
          </w:p>
          <w:p>
            <w:pPr>
              <w:keepNext w:val="0"/>
              <w:keepLines w:val="0"/>
              <w:pageBreakBefore w:val="0"/>
              <w:widowControl/>
              <w:kinsoku/>
              <w:wordWrap/>
              <w:overflowPunct/>
              <w:topLinePunct w:val="0"/>
              <w:autoSpaceDE/>
              <w:autoSpaceDN/>
              <w:bidi w:val="0"/>
              <w:adjustRightInd/>
              <w:snapToGrid/>
              <w:spacing w:line="280" w:lineRule="exact"/>
              <w:ind w:left="141" w:leftChars="67" w:firstLine="312"/>
              <w:textAlignment w:val="auto"/>
              <w:rPr>
                <w:color w:val="auto"/>
                <w:szCs w:val="21"/>
                <w:highlight w:val="none"/>
              </w:rPr>
            </w:pPr>
            <w:r>
              <w:rPr>
                <w:color w:val="auto"/>
                <w:szCs w:val="21"/>
                <w:highlight w:val="none"/>
              </w:rPr>
              <w:t>d. 投标人对合同纠纷、事故处理办法未提出异议；</w:t>
            </w:r>
          </w:p>
          <w:p>
            <w:pPr>
              <w:keepNext w:val="0"/>
              <w:keepLines w:val="0"/>
              <w:pageBreakBefore w:val="0"/>
              <w:widowControl/>
              <w:kinsoku/>
              <w:wordWrap/>
              <w:overflowPunct/>
              <w:topLinePunct w:val="0"/>
              <w:autoSpaceDE/>
              <w:autoSpaceDN/>
              <w:bidi w:val="0"/>
              <w:adjustRightInd/>
              <w:snapToGrid/>
              <w:spacing w:line="280" w:lineRule="exact"/>
              <w:ind w:left="141" w:leftChars="67" w:firstLine="312"/>
              <w:textAlignment w:val="auto"/>
              <w:rPr>
                <w:color w:val="auto"/>
                <w:szCs w:val="21"/>
                <w:highlight w:val="none"/>
              </w:rPr>
            </w:pPr>
            <w:r>
              <w:rPr>
                <w:color w:val="auto"/>
                <w:szCs w:val="21"/>
                <w:highlight w:val="none"/>
              </w:rPr>
              <w:t>e. 投标人在投标活动中无欺诈行为；</w:t>
            </w:r>
          </w:p>
          <w:p>
            <w:pPr>
              <w:keepNext w:val="0"/>
              <w:keepLines w:val="0"/>
              <w:pageBreakBefore w:val="0"/>
              <w:widowControl/>
              <w:kinsoku/>
              <w:wordWrap/>
              <w:overflowPunct/>
              <w:topLinePunct w:val="0"/>
              <w:autoSpaceDE/>
              <w:autoSpaceDN/>
              <w:bidi w:val="0"/>
              <w:adjustRightInd/>
              <w:snapToGrid/>
              <w:spacing w:line="280" w:lineRule="exact"/>
              <w:ind w:left="141" w:leftChars="67" w:firstLine="312"/>
              <w:textAlignment w:val="auto"/>
              <w:rPr>
                <w:color w:val="auto"/>
                <w:szCs w:val="21"/>
                <w:highlight w:val="none"/>
              </w:rPr>
            </w:pPr>
            <w:r>
              <w:rPr>
                <w:color w:val="auto"/>
                <w:szCs w:val="21"/>
                <w:highlight w:val="none"/>
              </w:rPr>
              <w:t>f. 投标人未对合同条款有重要保留。</w:t>
            </w:r>
          </w:p>
          <w:p>
            <w:pPr>
              <w:keepNext w:val="0"/>
              <w:keepLines w:val="0"/>
              <w:pageBreakBefore w:val="0"/>
              <w:widowControl/>
              <w:kinsoku/>
              <w:wordWrap/>
              <w:overflowPunct/>
              <w:topLinePunct w:val="0"/>
              <w:autoSpaceDE/>
              <w:autoSpaceDN/>
              <w:bidi w:val="0"/>
              <w:adjustRightInd/>
              <w:snapToGrid/>
              <w:spacing w:line="280" w:lineRule="exact"/>
              <w:ind w:left="141" w:leftChars="67" w:firstLine="312"/>
              <w:textAlignment w:val="auto"/>
              <w:rPr>
                <w:color w:val="auto"/>
                <w:szCs w:val="21"/>
                <w:highlight w:val="none"/>
              </w:rPr>
            </w:pPr>
            <w:r>
              <w:rPr>
                <w:color w:val="auto"/>
                <w:szCs w:val="21"/>
                <w:highlight w:val="none"/>
              </w:rPr>
              <w:t>（13）投标文件正、副本份数符合招标文件第二章</w:t>
            </w:r>
            <w:r>
              <w:rPr>
                <w:rFonts w:asciiTheme="minorEastAsia" w:hAnsiTheme="minorEastAsia" w:eastAsiaTheme="minorEastAsia"/>
                <w:color w:val="auto"/>
                <w:szCs w:val="21"/>
                <w:highlight w:val="none"/>
              </w:rPr>
              <w:t>“投标人须知”</w:t>
            </w:r>
            <w:r>
              <w:rPr>
                <w:color w:val="auto"/>
                <w:szCs w:val="21"/>
                <w:highlight w:val="none"/>
              </w:rPr>
              <w:t>第3.7.4项规定。</w:t>
            </w:r>
          </w:p>
          <w:p>
            <w:pPr>
              <w:keepNext w:val="0"/>
              <w:keepLines w:val="0"/>
              <w:pageBreakBefore w:val="0"/>
              <w:widowControl/>
              <w:kinsoku/>
              <w:wordWrap/>
              <w:overflowPunct/>
              <w:topLinePunct w:val="0"/>
              <w:autoSpaceDE/>
              <w:autoSpaceDN/>
              <w:bidi w:val="0"/>
              <w:adjustRightInd/>
              <w:snapToGrid/>
              <w:spacing w:line="280" w:lineRule="exact"/>
              <w:ind w:left="141" w:leftChars="67" w:firstLine="312"/>
              <w:textAlignment w:val="auto"/>
              <w:rPr>
                <w:color w:val="auto"/>
                <w:szCs w:val="21"/>
                <w:highlight w:val="none"/>
              </w:rPr>
            </w:pPr>
            <w:r>
              <w:rPr>
                <w:color w:val="auto"/>
                <w:szCs w:val="21"/>
                <w:highlight w:val="none"/>
              </w:rPr>
              <w:t>（14）投标文件未附有招标人不能接受的条件；</w:t>
            </w:r>
          </w:p>
          <w:p>
            <w:pPr>
              <w:keepNext w:val="0"/>
              <w:keepLines w:val="0"/>
              <w:pageBreakBefore w:val="0"/>
              <w:widowControl/>
              <w:kinsoku/>
              <w:wordWrap/>
              <w:overflowPunct/>
              <w:topLinePunct w:val="0"/>
              <w:autoSpaceDE/>
              <w:autoSpaceDN/>
              <w:bidi w:val="0"/>
              <w:adjustRightInd/>
              <w:snapToGrid/>
              <w:spacing w:line="280" w:lineRule="exact"/>
              <w:ind w:left="141" w:leftChars="67" w:firstLine="312"/>
              <w:textAlignment w:val="auto"/>
              <w:rPr>
                <w:color w:val="auto"/>
                <w:szCs w:val="21"/>
                <w:highlight w:val="none"/>
              </w:rPr>
            </w:pPr>
            <w:r>
              <w:rPr>
                <w:color w:val="auto"/>
                <w:szCs w:val="21"/>
                <w:highlight w:val="none"/>
              </w:rPr>
              <w:t>（15）投标人不存在《中华人民共和国招标投标法实施条例》（国务院令第613号）第三十九条、第四十条、第四十一条所列的投标人相互串通投标、或者招标人与投标人串通投标情形之一的。</w:t>
            </w:r>
          </w:p>
          <w:p>
            <w:pPr>
              <w:keepNext w:val="0"/>
              <w:keepLines w:val="0"/>
              <w:pageBreakBefore w:val="0"/>
              <w:widowControl/>
              <w:kinsoku/>
              <w:wordWrap/>
              <w:overflowPunct/>
              <w:topLinePunct w:val="0"/>
              <w:autoSpaceDE/>
              <w:autoSpaceDN/>
              <w:bidi w:val="0"/>
              <w:adjustRightInd/>
              <w:snapToGrid/>
              <w:spacing w:line="280" w:lineRule="exact"/>
              <w:ind w:left="141" w:leftChars="67" w:firstLine="312"/>
              <w:textAlignment w:val="auto"/>
              <w:rPr>
                <w:color w:val="auto"/>
                <w:szCs w:val="21"/>
                <w:highlight w:val="none"/>
              </w:rPr>
            </w:pPr>
            <w:r>
              <w:rPr>
                <w:b/>
                <w:color w:val="auto"/>
                <w:szCs w:val="21"/>
                <w:highlight w:val="none"/>
              </w:rPr>
              <w:t>第二个信封（报价文件）评审标准</w:t>
            </w:r>
          </w:p>
          <w:p>
            <w:pPr>
              <w:keepNext w:val="0"/>
              <w:keepLines w:val="0"/>
              <w:pageBreakBefore w:val="0"/>
              <w:widowControl/>
              <w:tabs>
                <w:tab w:val="left" w:pos="0"/>
                <w:tab w:val="left" w:pos="890"/>
              </w:tabs>
              <w:kinsoku/>
              <w:wordWrap/>
              <w:overflowPunct/>
              <w:topLinePunct w:val="0"/>
              <w:autoSpaceDE/>
              <w:autoSpaceDN/>
              <w:bidi w:val="0"/>
              <w:adjustRightInd/>
              <w:snapToGrid/>
              <w:spacing w:line="280" w:lineRule="exact"/>
              <w:ind w:left="141" w:leftChars="67" w:firstLine="312"/>
              <w:textAlignment w:val="auto"/>
              <w:rPr>
                <w:color w:val="auto"/>
                <w:szCs w:val="21"/>
                <w:highlight w:val="none"/>
              </w:rPr>
            </w:pPr>
            <w:r>
              <w:rPr>
                <w:color w:val="auto"/>
                <w:szCs w:val="21"/>
                <w:highlight w:val="none"/>
              </w:rPr>
              <w:t>（1）投标文件按招标文件规定的格式、内容填写，字迹清晰可辨，内容齐全完整；</w:t>
            </w:r>
          </w:p>
          <w:p>
            <w:pPr>
              <w:pStyle w:val="12"/>
              <w:keepNext w:val="0"/>
              <w:keepLines w:val="0"/>
              <w:pageBreakBefore w:val="0"/>
              <w:widowControl/>
              <w:kinsoku/>
              <w:wordWrap/>
              <w:overflowPunct/>
              <w:topLinePunct w:val="0"/>
              <w:autoSpaceDE/>
              <w:autoSpaceDN/>
              <w:bidi w:val="0"/>
              <w:adjustRightInd/>
              <w:snapToGrid/>
              <w:spacing w:before="32" w:line="280" w:lineRule="exact"/>
              <w:ind w:left="141" w:leftChars="67" w:right="100" w:firstLine="312"/>
              <w:textAlignment w:val="auto"/>
              <w:rPr>
                <w:color w:val="auto"/>
                <w:sz w:val="21"/>
                <w:szCs w:val="21"/>
                <w:highlight w:val="none"/>
              </w:rPr>
            </w:pPr>
            <w:r>
              <w:rPr>
                <w:color w:val="auto"/>
                <w:spacing w:val="-1"/>
                <w:sz w:val="21"/>
                <w:szCs w:val="21"/>
                <w:highlight w:val="none"/>
              </w:rPr>
              <w:t>a</w:t>
            </w:r>
            <w:r>
              <w:rPr>
                <w:color w:val="auto"/>
                <w:sz w:val="21"/>
                <w:szCs w:val="21"/>
                <w:highlight w:val="none"/>
              </w:rPr>
              <w:t>.投</w:t>
            </w:r>
            <w:r>
              <w:rPr>
                <w:color w:val="auto"/>
                <w:spacing w:val="-3"/>
                <w:sz w:val="21"/>
                <w:szCs w:val="21"/>
                <w:highlight w:val="none"/>
              </w:rPr>
              <w:t>标</w:t>
            </w:r>
            <w:r>
              <w:rPr>
                <w:color w:val="auto"/>
                <w:sz w:val="21"/>
                <w:szCs w:val="21"/>
                <w:highlight w:val="none"/>
              </w:rPr>
              <w:t>函</w:t>
            </w:r>
            <w:r>
              <w:rPr>
                <w:color w:val="auto"/>
                <w:spacing w:val="-3"/>
                <w:sz w:val="21"/>
                <w:szCs w:val="21"/>
                <w:highlight w:val="none"/>
              </w:rPr>
              <w:t>按</w:t>
            </w:r>
            <w:r>
              <w:rPr>
                <w:color w:val="auto"/>
                <w:sz w:val="21"/>
                <w:szCs w:val="21"/>
                <w:highlight w:val="none"/>
              </w:rPr>
              <w:t>招</w:t>
            </w:r>
            <w:r>
              <w:rPr>
                <w:color w:val="auto"/>
                <w:spacing w:val="-3"/>
                <w:sz w:val="21"/>
                <w:szCs w:val="21"/>
                <w:highlight w:val="none"/>
              </w:rPr>
              <w:t>标</w:t>
            </w:r>
            <w:r>
              <w:rPr>
                <w:color w:val="auto"/>
                <w:sz w:val="21"/>
                <w:szCs w:val="21"/>
                <w:highlight w:val="none"/>
              </w:rPr>
              <w:t>文</w:t>
            </w:r>
            <w:r>
              <w:rPr>
                <w:color w:val="auto"/>
                <w:spacing w:val="-3"/>
                <w:sz w:val="21"/>
                <w:szCs w:val="21"/>
                <w:highlight w:val="none"/>
              </w:rPr>
              <w:t>件</w:t>
            </w:r>
            <w:r>
              <w:rPr>
                <w:color w:val="auto"/>
                <w:sz w:val="21"/>
                <w:szCs w:val="21"/>
                <w:highlight w:val="none"/>
              </w:rPr>
              <w:t>规</w:t>
            </w:r>
            <w:r>
              <w:rPr>
                <w:color w:val="auto"/>
                <w:spacing w:val="-3"/>
                <w:sz w:val="21"/>
                <w:szCs w:val="21"/>
                <w:highlight w:val="none"/>
              </w:rPr>
              <w:t>定填</w:t>
            </w:r>
            <w:r>
              <w:rPr>
                <w:color w:val="auto"/>
                <w:sz w:val="21"/>
                <w:szCs w:val="21"/>
                <w:highlight w:val="none"/>
              </w:rPr>
              <w:t>报</w:t>
            </w:r>
            <w:r>
              <w:rPr>
                <w:color w:val="auto"/>
                <w:spacing w:val="-1"/>
                <w:sz w:val="21"/>
                <w:szCs w:val="21"/>
                <w:highlight w:val="none"/>
              </w:rPr>
              <w:t>了</w:t>
            </w:r>
            <w:r>
              <w:rPr>
                <w:color w:val="auto"/>
                <w:spacing w:val="-3"/>
                <w:sz w:val="21"/>
                <w:szCs w:val="21"/>
                <w:highlight w:val="none"/>
              </w:rPr>
              <w:t>项</w:t>
            </w:r>
            <w:r>
              <w:rPr>
                <w:color w:val="auto"/>
                <w:sz w:val="21"/>
                <w:szCs w:val="21"/>
                <w:highlight w:val="none"/>
              </w:rPr>
              <w:t>目</w:t>
            </w:r>
            <w:r>
              <w:rPr>
                <w:color w:val="auto"/>
                <w:spacing w:val="-3"/>
                <w:sz w:val="21"/>
                <w:szCs w:val="21"/>
                <w:highlight w:val="none"/>
              </w:rPr>
              <w:t>名</w:t>
            </w:r>
            <w:r>
              <w:rPr>
                <w:color w:val="auto"/>
                <w:sz w:val="21"/>
                <w:szCs w:val="21"/>
                <w:highlight w:val="none"/>
              </w:rPr>
              <w:t>称</w:t>
            </w:r>
            <w:r>
              <w:rPr>
                <w:color w:val="auto"/>
                <w:spacing w:val="-87"/>
                <w:sz w:val="21"/>
                <w:szCs w:val="21"/>
                <w:highlight w:val="none"/>
              </w:rPr>
              <w:t>、</w:t>
            </w:r>
            <w:r>
              <w:rPr>
                <w:color w:val="auto"/>
                <w:sz w:val="21"/>
                <w:szCs w:val="21"/>
                <w:highlight w:val="none"/>
              </w:rPr>
              <w:t>标</w:t>
            </w:r>
            <w:r>
              <w:rPr>
                <w:color w:val="auto"/>
                <w:spacing w:val="-3"/>
                <w:sz w:val="21"/>
                <w:szCs w:val="21"/>
                <w:highlight w:val="none"/>
              </w:rPr>
              <w:t>段</w:t>
            </w:r>
            <w:r>
              <w:rPr>
                <w:color w:val="auto"/>
                <w:sz w:val="21"/>
                <w:szCs w:val="21"/>
                <w:highlight w:val="none"/>
              </w:rPr>
              <w:t>号</w:t>
            </w:r>
            <w:r>
              <w:rPr>
                <w:color w:val="auto"/>
                <w:spacing w:val="-85"/>
                <w:sz w:val="21"/>
                <w:szCs w:val="21"/>
                <w:highlight w:val="none"/>
              </w:rPr>
              <w:t>、</w:t>
            </w:r>
            <w:r>
              <w:rPr>
                <w:color w:val="auto"/>
                <w:spacing w:val="-3"/>
                <w:sz w:val="21"/>
                <w:szCs w:val="21"/>
                <w:highlight w:val="none"/>
              </w:rPr>
              <w:t>补</w:t>
            </w:r>
            <w:r>
              <w:rPr>
                <w:color w:val="auto"/>
                <w:sz w:val="21"/>
                <w:szCs w:val="21"/>
                <w:highlight w:val="none"/>
              </w:rPr>
              <w:t>遗书</w:t>
            </w:r>
            <w:r>
              <w:rPr>
                <w:color w:val="auto"/>
                <w:spacing w:val="-3"/>
                <w:sz w:val="21"/>
                <w:szCs w:val="21"/>
                <w:highlight w:val="none"/>
              </w:rPr>
              <w:t>编</w:t>
            </w:r>
            <w:r>
              <w:rPr>
                <w:color w:val="auto"/>
                <w:spacing w:val="-85"/>
                <w:sz w:val="21"/>
                <w:szCs w:val="21"/>
                <w:highlight w:val="none"/>
              </w:rPr>
              <w:t>号</w:t>
            </w:r>
            <w:r>
              <w:rPr>
                <w:color w:val="auto"/>
                <w:spacing w:val="-3"/>
                <w:sz w:val="21"/>
                <w:szCs w:val="21"/>
                <w:highlight w:val="none"/>
              </w:rPr>
              <w:t>（</w:t>
            </w:r>
            <w:r>
              <w:rPr>
                <w:color w:val="auto"/>
                <w:sz w:val="21"/>
                <w:szCs w:val="21"/>
                <w:highlight w:val="none"/>
              </w:rPr>
              <w:t>如 有</w:t>
            </w:r>
            <w:r>
              <w:rPr>
                <w:color w:val="auto"/>
                <w:spacing w:val="-106"/>
                <w:sz w:val="21"/>
                <w:szCs w:val="21"/>
                <w:highlight w:val="none"/>
              </w:rPr>
              <w:t>）</w:t>
            </w:r>
            <w:r>
              <w:rPr>
                <w:color w:val="auto"/>
                <w:spacing w:val="-3"/>
                <w:sz w:val="21"/>
                <w:szCs w:val="21"/>
                <w:highlight w:val="none"/>
              </w:rPr>
              <w:t>、</w:t>
            </w:r>
            <w:r>
              <w:rPr>
                <w:color w:val="auto"/>
                <w:sz w:val="21"/>
                <w:szCs w:val="21"/>
                <w:highlight w:val="none"/>
              </w:rPr>
              <w:t>投</w:t>
            </w:r>
            <w:r>
              <w:rPr>
                <w:color w:val="auto"/>
                <w:spacing w:val="-3"/>
                <w:sz w:val="21"/>
                <w:szCs w:val="21"/>
                <w:highlight w:val="none"/>
              </w:rPr>
              <w:t>标</w:t>
            </w:r>
            <w:r>
              <w:rPr>
                <w:color w:val="auto"/>
                <w:spacing w:val="-1"/>
                <w:sz w:val="21"/>
                <w:szCs w:val="21"/>
                <w:highlight w:val="none"/>
              </w:rPr>
              <w:t>价</w:t>
            </w:r>
            <w:r>
              <w:rPr>
                <w:color w:val="auto"/>
                <w:spacing w:val="-3"/>
                <w:sz w:val="21"/>
                <w:szCs w:val="21"/>
                <w:highlight w:val="none"/>
              </w:rPr>
              <w:t>（</w:t>
            </w:r>
            <w:r>
              <w:rPr>
                <w:color w:val="auto"/>
                <w:sz w:val="21"/>
                <w:szCs w:val="21"/>
                <w:highlight w:val="none"/>
              </w:rPr>
              <w:t>包</w:t>
            </w:r>
            <w:r>
              <w:rPr>
                <w:color w:val="auto"/>
                <w:spacing w:val="-3"/>
                <w:sz w:val="21"/>
                <w:szCs w:val="21"/>
                <w:highlight w:val="none"/>
              </w:rPr>
              <w:t>括</w:t>
            </w:r>
            <w:r>
              <w:rPr>
                <w:color w:val="auto"/>
                <w:sz w:val="21"/>
                <w:szCs w:val="21"/>
                <w:highlight w:val="none"/>
              </w:rPr>
              <w:t>大</w:t>
            </w:r>
            <w:r>
              <w:rPr>
                <w:color w:val="auto"/>
                <w:spacing w:val="-3"/>
                <w:sz w:val="21"/>
                <w:szCs w:val="21"/>
                <w:highlight w:val="none"/>
              </w:rPr>
              <w:t>写金</w:t>
            </w:r>
            <w:r>
              <w:rPr>
                <w:color w:val="auto"/>
                <w:sz w:val="21"/>
                <w:szCs w:val="21"/>
                <w:highlight w:val="none"/>
              </w:rPr>
              <w:t>额和</w:t>
            </w:r>
            <w:r>
              <w:rPr>
                <w:color w:val="auto"/>
                <w:spacing w:val="-3"/>
                <w:sz w:val="21"/>
                <w:szCs w:val="21"/>
                <w:highlight w:val="none"/>
              </w:rPr>
              <w:t>小</w:t>
            </w:r>
            <w:r>
              <w:rPr>
                <w:color w:val="auto"/>
                <w:sz w:val="21"/>
                <w:szCs w:val="21"/>
                <w:highlight w:val="none"/>
              </w:rPr>
              <w:t>写</w:t>
            </w:r>
            <w:r>
              <w:rPr>
                <w:color w:val="auto"/>
                <w:spacing w:val="-3"/>
                <w:sz w:val="21"/>
                <w:szCs w:val="21"/>
                <w:highlight w:val="none"/>
              </w:rPr>
              <w:t>金</w:t>
            </w:r>
            <w:r>
              <w:rPr>
                <w:color w:val="auto"/>
                <w:sz w:val="21"/>
                <w:szCs w:val="21"/>
                <w:highlight w:val="none"/>
              </w:rPr>
              <w:t>额</w:t>
            </w:r>
            <w:r>
              <w:rPr>
                <w:color w:val="auto"/>
                <w:spacing w:val="-109"/>
                <w:sz w:val="21"/>
                <w:szCs w:val="21"/>
                <w:highlight w:val="none"/>
              </w:rPr>
              <w:t>）</w:t>
            </w:r>
            <w:r>
              <w:rPr>
                <w:color w:val="auto"/>
                <w:sz w:val="21"/>
                <w:szCs w:val="21"/>
                <w:highlight w:val="none"/>
              </w:rPr>
              <w:t>；</w:t>
            </w:r>
          </w:p>
          <w:p>
            <w:pPr>
              <w:pStyle w:val="12"/>
              <w:keepNext w:val="0"/>
              <w:keepLines w:val="0"/>
              <w:pageBreakBefore w:val="0"/>
              <w:widowControl/>
              <w:kinsoku/>
              <w:wordWrap/>
              <w:overflowPunct/>
              <w:topLinePunct w:val="0"/>
              <w:autoSpaceDE/>
              <w:autoSpaceDN/>
              <w:bidi w:val="0"/>
              <w:adjustRightInd/>
              <w:snapToGrid/>
              <w:spacing w:before="32" w:line="280" w:lineRule="exact"/>
              <w:ind w:left="141" w:leftChars="67" w:right="97" w:firstLine="312"/>
              <w:textAlignment w:val="auto"/>
              <w:rPr>
                <w:color w:val="auto"/>
                <w:spacing w:val="-1"/>
                <w:sz w:val="21"/>
                <w:szCs w:val="21"/>
                <w:highlight w:val="none"/>
              </w:rPr>
            </w:pPr>
            <w:r>
              <w:rPr>
                <w:color w:val="auto"/>
                <w:sz w:val="21"/>
                <w:szCs w:val="21"/>
                <w:highlight w:val="none"/>
              </w:rPr>
              <w:t>b.已</w:t>
            </w:r>
            <w:r>
              <w:rPr>
                <w:color w:val="auto"/>
                <w:spacing w:val="-3"/>
                <w:sz w:val="21"/>
                <w:szCs w:val="21"/>
                <w:highlight w:val="none"/>
              </w:rPr>
              <w:t>标</w:t>
            </w:r>
            <w:r>
              <w:rPr>
                <w:color w:val="auto"/>
                <w:sz w:val="21"/>
                <w:szCs w:val="21"/>
                <w:highlight w:val="none"/>
              </w:rPr>
              <w:t>价</w:t>
            </w:r>
            <w:r>
              <w:rPr>
                <w:color w:val="auto"/>
                <w:spacing w:val="-3"/>
                <w:sz w:val="21"/>
                <w:szCs w:val="21"/>
                <w:highlight w:val="none"/>
              </w:rPr>
              <w:t>报</w:t>
            </w:r>
            <w:r>
              <w:rPr>
                <w:color w:val="auto"/>
                <w:sz w:val="21"/>
                <w:szCs w:val="21"/>
                <w:highlight w:val="none"/>
              </w:rPr>
              <w:t>价</w:t>
            </w:r>
            <w:r>
              <w:rPr>
                <w:color w:val="auto"/>
                <w:spacing w:val="-3"/>
                <w:sz w:val="21"/>
                <w:szCs w:val="21"/>
                <w:highlight w:val="none"/>
              </w:rPr>
              <w:t>清</w:t>
            </w:r>
            <w:r>
              <w:rPr>
                <w:color w:val="auto"/>
                <w:sz w:val="21"/>
                <w:szCs w:val="21"/>
                <w:highlight w:val="none"/>
              </w:rPr>
              <w:t>单</w:t>
            </w:r>
            <w:r>
              <w:rPr>
                <w:color w:val="auto"/>
                <w:spacing w:val="-3"/>
                <w:sz w:val="21"/>
                <w:szCs w:val="21"/>
                <w:highlight w:val="none"/>
              </w:rPr>
              <w:t>说</w:t>
            </w:r>
            <w:r>
              <w:rPr>
                <w:color w:val="auto"/>
                <w:sz w:val="21"/>
                <w:szCs w:val="21"/>
                <w:highlight w:val="none"/>
              </w:rPr>
              <w:t>明</w:t>
            </w:r>
            <w:r>
              <w:rPr>
                <w:color w:val="auto"/>
                <w:spacing w:val="-3"/>
                <w:sz w:val="21"/>
                <w:szCs w:val="21"/>
                <w:highlight w:val="none"/>
              </w:rPr>
              <w:t>文</w:t>
            </w:r>
            <w:r>
              <w:rPr>
                <w:color w:val="auto"/>
                <w:sz w:val="21"/>
                <w:szCs w:val="21"/>
                <w:highlight w:val="none"/>
              </w:rPr>
              <w:t>字与</w:t>
            </w:r>
            <w:r>
              <w:rPr>
                <w:color w:val="auto"/>
                <w:spacing w:val="-3"/>
                <w:sz w:val="21"/>
                <w:szCs w:val="21"/>
                <w:highlight w:val="none"/>
              </w:rPr>
              <w:t>招</w:t>
            </w:r>
            <w:r>
              <w:rPr>
                <w:color w:val="auto"/>
                <w:sz w:val="21"/>
                <w:szCs w:val="21"/>
                <w:highlight w:val="none"/>
              </w:rPr>
              <w:t>标</w:t>
            </w:r>
            <w:r>
              <w:rPr>
                <w:color w:val="auto"/>
                <w:spacing w:val="-3"/>
                <w:sz w:val="21"/>
                <w:szCs w:val="21"/>
                <w:highlight w:val="none"/>
              </w:rPr>
              <w:t>文</w:t>
            </w:r>
            <w:r>
              <w:rPr>
                <w:color w:val="auto"/>
                <w:sz w:val="21"/>
                <w:szCs w:val="21"/>
                <w:highlight w:val="none"/>
              </w:rPr>
              <w:t>件</w:t>
            </w:r>
            <w:r>
              <w:rPr>
                <w:color w:val="auto"/>
                <w:spacing w:val="-3"/>
                <w:sz w:val="21"/>
                <w:szCs w:val="21"/>
                <w:highlight w:val="none"/>
              </w:rPr>
              <w:t>规</w:t>
            </w:r>
            <w:r>
              <w:rPr>
                <w:color w:val="auto"/>
                <w:sz w:val="21"/>
                <w:szCs w:val="21"/>
                <w:highlight w:val="none"/>
              </w:rPr>
              <w:t>定</w:t>
            </w:r>
            <w:r>
              <w:rPr>
                <w:color w:val="auto"/>
                <w:spacing w:val="-3"/>
                <w:sz w:val="21"/>
                <w:szCs w:val="21"/>
                <w:highlight w:val="none"/>
              </w:rPr>
              <w:t>一致</w:t>
            </w:r>
            <w:r>
              <w:rPr>
                <w:color w:val="auto"/>
                <w:spacing w:val="-54"/>
                <w:sz w:val="21"/>
                <w:szCs w:val="21"/>
                <w:highlight w:val="none"/>
              </w:rPr>
              <w:t>，</w:t>
            </w:r>
            <w:r>
              <w:rPr>
                <w:color w:val="auto"/>
                <w:sz w:val="21"/>
                <w:szCs w:val="21"/>
                <w:highlight w:val="none"/>
              </w:rPr>
              <w:t>未进</w:t>
            </w:r>
            <w:r>
              <w:rPr>
                <w:color w:val="auto"/>
                <w:spacing w:val="-3"/>
                <w:sz w:val="21"/>
                <w:szCs w:val="21"/>
                <w:highlight w:val="none"/>
              </w:rPr>
              <w:t>行</w:t>
            </w:r>
            <w:r>
              <w:rPr>
                <w:color w:val="auto"/>
                <w:sz w:val="21"/>
                <w:szCs w:val="21"/>
                <w:highlight w:val="none"/>
              </w:rPr>
              <w:t>实</w:t>
            </w:r>
            <w:r>
              <w:rPr>
                <w:color w:val="auto"/>
                <w:spacing w:val="-3"/>
                <w:sz w:val="21"/>
                <w:szCs w:val="21"/>
                <w:highlight w:val="none"/>
              </w:rPr>
              <w:t>质</w:t>
            </w:r>
            <w:r>
              <w:rPr>
                <w:color w:val="auto"/>
                <w:sz w:val="21"/>
                <w:szCs w:val="21"/>
                <w:highlight w:val="none"/>
              </w:rPr>
              <w:t xml:space="preserve">性修 </w:t>
            </w:r>
            <w:r>
              <w:rPr>
                <w:color w:val="auto"/>
                <w:spacing w:val="-1"/>
                <w:sz w:val="21"/>
                <w:szCs w:val="21"/>
                <w:highlight w:val="none"/>
              </w:rPr>
              <w:t>改和删减；</w:t>
            </w:r>
          </w:p>
          <w:p>
            <w:pPr>
              <w:keepNext w:val="0"/>
              <w:keepLines w:val="0"/>
              <w:pageBreakBefore w:val="0"/>
              <w:widowControl/>
              <w:tabs>
                <w:tab w:val="left" w:pos="0"/>
                <w:tab w:val="left" w:pos="890"/>
              </w:tabs>
              <w:kinsoku/>
              <w:wordWrap/>
              <w:overflowPunct/>
              <w:topLinePunct w:val="0"/>
              <w:autoSpaceDE/>
              <w:autoSpaceDN/>
              <w:bidi w:val="0"/>
              <w:adjustRightInd/>
              <w:snapToGrid/>
              <w:spacing w:line="280" w:lineRule="exact"/>
              <w:ind w:left="141" w:leftChars="67" w:firstLine="312"/>
              <w:textAlignment w:val="auto"/>
              <w:rPr>
                <w:color w:val="auto"/>
                <w:szCs w:val="21"/>
                <w:highlight w:val="none"/>
              </w:rPr>
            </w:pPr>
            <w:r>
              <w:rPr>
                <w:color w:val="auto"/>
                <w:spacing w:val="-2"/>
                <w:szCs w:val="21"/>
                <w:highlight w:val="none"/>
              </w:rPr>
              <w:t>c.投标文件组成齐全完整，内容均按规定填写。</w:t>
            </w:r>
          </w:p>
          <w:p>
            <w:pPr>
              <w:keepNext w:val="0"/>
              <w:keepLines w:val="0"/>
              <w:pageBreakBefore w:val="0"/>
              <w:widowControl/>
              <w:tabs>
                <w:tab w:val="left" w:pos="0"/>
                <w:tab w:val="left" w:pos="890"/>
              </w:tabs>
              <w:kinsoku/>
              <w:wordWrap/>
              <w:overflowPunct/>
              <w:topLinePunct w:val="0"/>
              <w:autoSpaceDE/>
              <w:autoSpaceDN/>
              <w:bidi w:val="0"/>
              <w:adjustRightInd/>
              <w:snapToGrid/>
              <w:spacing w:line="280" w:lineRule="exact"/>
              <w:ind w:left="141" w:leftChars="67" w:firstLine="312"/>
              <w:textAlignment w:val="auto"/>
              <w:rPr>
                <w:color w:val="auto"/>
                <w:szCs w:val="21"/>
                <w:highlight w:val="none"/>
              </w:rPr>
            </w:pPr>
            <w:r>
              <w:rPr>
                <w:color w:val="auto"/>
                <w:szCs w:val="21"/>
                <w:highlight w:val="none"/>
              </w:rPr>
              <w:t>（2）投标文件上法定代表人或其授权代理人的签字、投标人的单位章齐全，符合招标文件规定；</w:t>
            </w:r>
            <w:r>
              <w:rPr>
                <w:b/>
                <w:color w:val="auto"/>
                <w:szCs w:val="24"/>
                <w:highlight w:val="none"/>
              </w:rPr>
              <w:t>监理服务费用报价表由投标人法定代表人或其授权委托人逐页签字并加盖投标人公章。</w:t>
            </w:r>
            <w:r>
              <w:rPr>
                <w:b/>
                <w:color w:val="auto"/>
                <w:szCs w:val="21"/>
                <w:highlight w:val="none"/>
              </w:rPr>
              <w:t>若由授权代理人签署，报价函签署的日期应在授权委托书委托期限以内。</w:t>
            </w:r>
          </w:p>
          <w:p>
            <w:pPr>
              <w:keepNext w:val="0"/>
              <w:keepLines w:val="0"/>
              <w:pageBreakBefore w:val="0"/>
              <w:widowControl/>
              <w:tabs>
                <w:tab w:val="left" w:pos="0"/>
                <w:tab w:val="left" w:pos="890"/>
              </w:tabs>
              <w:kinsoku/>
              <w:wordWrap/>
              <w:overflowPunct/>
              <w:topLinePunct w:val="0"/>
              <w:autoSpaceDE/>
              <w:autoSpaceDN/>
              <w:bidi w:val="0"/>
              <w:adjustRightInd/>
              <w:snapToGrid/>
              <w:spacing w:line="280" w:lineRule="exact"/>
              <w:ind w:left="141" w:leftChars="67" w:firstLine="312"/>
              <w:textAlignment w:val="auto"/>
              <w:rPr>
                <w:color w:val="auto"/>
                <w:szCs w:val="21"/>
                <w:highlight w:val="none"/>
              </w:rPr>
            </w:pPr>
            <w:r>
              <w:rPr>
                <w:color w:val="auto"/>
                <w:szCs w:val="21"/>
                <w:highlight w:val="none"/>
              </w:rPr>
              <w:t>（3）在报价函上填写了投标总价（包括大写金额和小写金额），投标总价不高于招标人公布的最高投标限价（如有），且报价唯一；</w:t>
            </w:r>
          </w:p>
          <w:p>
            <w:pPr>
              <w:keepNext w:val="0"/>
              <w:keepLines w:val="0"/>
              <w:pageBreakBefore w:val="0"/>
              <w:widowControl/>
              <w:kinsoku/>
              <w:wordWrap/>
              <w:overflowPunct/>
              <w:topLinePunct w:val="0"/>
              <w:autoSpaceDE/>
              <w:autoSpaceDN/>
              <w:bidi w:val="0"/>
              <w:adjustRightInd/>
              <w:snapToGrid/>
              <w:spacing w:line="280" w:lineRule="exact"/>
              <w:ind w:left="141" w:leftChars="67" w:firstLine="312"/>
              <w:textAlignment w:val="auto"/>
              <w:rPr>
                <w:color w:val="auto"/>
                <w:szCs w:val="21"/>
                <w:highlight w:val="none"/>
              </w:rPr>
            </w:pPr>
            <w:r>
              <w:rPr>
                <w:color w:val="auto"/>
                <w:szCs w:val="21"/>
                <w:highlight w:val="none"/>
              </w:rPr>
              <w:t>（4）投标报价的大写金额能够确定具体数值。</w:t>
            </w:r>
          </w:p>
          <w:p>
            <w:pPr>
              <w:keepNext w:val="0"/>
              <w:keepLines w:val="0"/>
              <w:pageBreakBefore w:val="0"/>
              <w:widowControl/>
              <w:kinsoku/>
              <w:wordWrap/>
              <w:overflowPunct/>
              <w:topLinePunct w:val="0"/>
              <w:autoSpaceDE/>
              <w:autoSpaceDN/>
              <w:bidi w:val="0"/>
              <w:adjustRightInd/>
              <w:snapToGrid/>
              <w:spacing w:line="280" w:lineRule="exact"/>
              <w:ind w:left="141" w:leftChars="67" w:firstLine="312"/>
              <w:textAlignment w:val="auto"/>
              <w:rPr>
                <w:color w:val="auto"/>
                <w:szCs w:val="21"/>
                <w:highlight w:val="none"/>
              </w:rPr>
            </w:pPr>
            <w:r>
              <w:rPr>
                <w:color w:val="auto"/>
                <w:szCs w:val="21"/>
                <w:highlight w:val="none"/>
              </w:rPr>
              <w:t>（5）同一投标人未提交两个以上不同的投标报价，但招标文件要求提交备选投标的除外。</w:t>
            </w:r>
          </w:p>
          <w:p>
            <w:pPr>
              <w:keepNext w:val="0"/>
              <w:keepLines w:val="0"/>
              <w:pageBreakBefore w:val="0"/>
              <w:widowControl/>
              <w:kinsoku/>
              <w:wordWrap/>
              <w:overflowPunct/>
              <w:topLinePunct w:val="0"/>
              <w:autoSpaceDE/>
              <w:autoSpaceDN/>
              <w:bidi w:val="0"/>
              <w:adjustRightInd/>
              <w:snapToGrid/>
              <w:spacing w:line="280" w:lineRule="exact"/>
              <w:ind w:left="141" w:leftChars="67" w:firstLine="312"/>
              <w:textAlignment w:val="auto"/>
              <w:rPr>
                <w:color w:val="auto"/>
                <w:szCs w:val="21"/>
                <w:highlight w:val="none"/>
              </w:rPr>
            </w:pPr>
            <w:r>
              <w:rPr>
                <w:color w:val="auto"/>
                <w:szCs w:val="21"/>
                <w:highlight w:val="none"/>
              </w:rPr>
              <w:t>（6）投标文件正、副本份数符合招标文件第二章</w:t>
            </w:r>
            <w:r>
              <w:rPr>
                <w:rFonts w:asciiTheme="minorEastAsia" w:hAnsiTheme="minorEastAsia" w:eastAsiaTheme="minorEastAsia"/>
                <w:color w:val="auto"/>
                <w:szCs w:val="21"/>
                <w:highlight w:val="none"/>
              </w:rPr>
              <w:t>“投标人须知”</w:t>
            </w:r>
            <w:r>
              <w:rPr>
                <w:color w:val="auto"/>
                <w:szCs w:val="21"/>
                <w:highlight w:val="none"/>
              </w:rPr>
              <w:t>第3.7.4项规定。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6" w:hRule="atLeast"/>
        </w:trPr>
        <w:tc>
          <w:tcPr>
            <w:tcW w:w="958" w:type="dxa"/>
            <w:vAlign w:val="center"/>
          </w:tcPr>
          <w:p>
            <w:pPr>
              <w:ind w:firstLine="0"/>
              <w:rPr>
                <w:b/>
                <w:color w:val="auto"/>
                <w:szCs w:val="21"/>
                <w:highlight w:val="none"/>
              </w:rPr>
            </w:pPr>
            <w:r>
              <w:rPr>
                <w:color w:val="auto"/>
                <w:szCs w:val="21"/>
                <w:highlight w:val="none"/>
              </w:rPr>
              <w:t>2.1.2</w:t>
            </w:r>
          </w:p>
        </w:tc>
        <w:tc>
          <w:tcPr>
            <w:tcW w:w="1360" w:type="dxa"/>
            <w:gridSpan w:val="2"/>
            <w:vAlign w:val="center"/>
          </w:tcPr>
          <w:p>
            <w:pPr>
              <w:ind w:firstLine="0"/>
              <w:rPr>
                <w:b/>
                <w:color w:val="auto"/>
                <w:szCs w:val="21"/>
                <w:highlight w:val="none"/>
              </w:rPr>
            </w:pPr>
            <w:r>
              <w:rPr>
                <w:b/>
                <w:color w:val="auto"/>
                <w:szCs w:val="21"/>
                <w:highlight w:val="none"/>
              </w:rPr>
              <w:t>资格审查标准</w:t>
            </w:r>
          </w:p>
        </w:tc>
        <w:tc>
          <w:tcPr>
            <w:tcW w:w="6895" w:type="dxa"/>
            <w:gridSpan w:val="6"/>
          </w:tcPr>
          <w:p>
            <w:pPr>
              <w:keepNext w:val="0"/>
              <w:keepLines w:val="0"/>
              <w:pageBreakBefore w:val="0"/>
              <w:widowControl/>
              <w:kinsoku/>
              <w:wordWrap/>
              <w:overflowPunct/>
              <w:topLinePunct w:val="0"/>
              <w:autoSpaceDE/>
              <w:autoSpaceDN/>
              <w:bidi w:val="0"/>
              <w:adjustRightInd/>
              <w:snapToGrid/>
              <w:spacing w:line="280" w:lineRule="exact"/>
              <w:ind w:left="141" w:leftChars="67" w:firstLine="312"/>
              <w:textAlignment w:val="auto"/>
              <w:rPr>
                <w:color w:val="auto"/>
                <w:szCs w:val="21"/>
                <w:highlight w:val="none"/>
              </w:rPr>
            </w:pPr>
            <w:r>
              <w:rPr>
                <w:color w:val="auto"/>
                <w:szCs w:val="21"/>
                <w:highlight w:val="none"/>
              </w:rPr>
              <w:t>（1）投标人具有有效的营业执照、基本帐户开户许可证；</w:t>
            </w:r>
          </w:p>
          <w:p>
            <w:pPr>
              <w:keepNext w:val="0"/>
              <w:keepLines w:val="0"/>
              <w:pageBreakBefore w:val="0"/>
              <w:widowControl/>
              <w:kinsoku/>
              <w:wordWrap/>
              <w:overflowPunct/>
              <w:topLinePunct w:val="0"/>
              <w:autoSpaceDE/>
              <w:autoSpaceDN/>
              <w:bidi w:val="0"/>
              <w:adjustRightInd/>
              <w:snapToGrid/>
              <w:spacing w:line="280" w:lineRule="exact"/>
              <w:ind w:left="141" w:leftChars="67" w:firstLine="312"/>
              <w:textAlignment w:val="auto"/>
              <w:rPr>
                <w:color w:val="auto"/>
                <w:szCs w:val="21"/>
                <w:highlight w:val="none"/>
              </w:rPr>
            </w:pPr>
            <w:r>
              <w:rPr>
                <w:color w:val="auto"/>
                <w:szCs w:val="21"/>
                <w:highlight w:val="none"/>
              </w:rPr>
              <w:t>（2）投标人的资质等级符合招标文件的规定；</w:t>
            </w:r>
          </w:p>
          <w:p>
            <w:pPr>
              <w:keepNext w:val="0"/>
              <w:keepLines w:val="0"/>
              <w:pageBreakBefore w:val="0"/>
              <w:widowControl/>
              <w:kinsoku/>
              <w:wordWrap/>
              <w:overflowPunct/>
              <w:topLinePunct w:val="0"/>
              <w:autoSpaceDE/>
              <w:autoSpaceDN/>
              <w:bidi w:val="0"/>
              <w:adjustRightInd/>
              <w:snapToGrid/>
              <w:spacing w:line="280" w:lineRule="exact"/>
              <w:ind w:left="141" w:leftChars="67" w:firstLine="312"/>
              <w:textAlignment w:val="auto"/>
              <w:rPr>
                <w:color w:val="auto"/>
                <w:szCs w:val="21"/>
                <w:highlight w:val="none"/>
              </w:rPr>
            </w:pPr>
            <w:r>
              <w:rPr>
                <w:color w:val="auto"/>
                <w:szCs w:val="21"/>
                <w:highlight w:val="none"/>
              </w:rPr>
              <w:t>（3）投标人的信誉符合招标文件的规定；</w:t>
            </w:r>
          </w:p>
          <w:p>
            <w:pPr>
              <w:keepNext w:val="0"/>
              <w:keepLines w:val="0"/>
              <w:pageBreakBefore w:val="0"/>
              <w:widowControl/>
              <w:kinsoku/>
              <w:wordWrap/>
              <w:overflowPunct/>
              <w:topLinePunct w:val="0"/>
              <w:autoSpaceDE/>
              <w:autoSpaceDN/>
              <w:bidi w:val="0"/>
              <w:adjustRightInd/>
              <w:snapToGrid/>
              <w:spacing w:line="280" w:lineRule="exact"/>
              <w:ind w:left="141" w:leftChars="67" w:firstLine="312"/>
              <w:textAlignment w:val="auto"/>
              <w:rPr>
                <w:color w:val="auto"/>
                <w:szCs w:val="21"/>
                <w:highlight w:val="none"/>
              </w:rPr>
            </w:pPr>
            <w:r>
              <w:rPr>
                <w:color w:val="auto"/>
                <w:szCs w:val="21"/>
                <w:highlight w:val="none"/>
              </w:rPr>
              <w:t>（4）投标人的驻地高级监理工程师资格、在岗情况符合招标文件规定；</w:t>
            </w:r>
          </w:p>
          <w:p>
            <w:pPr>
              <w:keepNext w:val="0"/>
              <w:keepLines w:val="0"/>
              <w:pageBreakBefore w:val="0"/>
              <w:widowControl/>
              <w:kinsoku/>
              <w:wordWrap/>
              <w:overflowPunct/>
              <w:topLinePunct w:val="0"/>
              <w:autoSpaceDE/>
              <w:autoSpaceDN/>
              <w:bidi w:val="0"/>
              <w:adjustRightInd/>
              <w:snapToGrid/>
              <w:spacing w:line="280" w:lineRule="exact"/>
              <w:ind w:left="141" w:leftChars="67" w:firstLine="312"/>
              <w:textAlignment w:val="auto"/>
              <w:rPr>
                <w:color w:val="auto"/>
                <w:szCs w:val="21"/>
                <w:highlight w:val="none"/>
              </w:rPr>
            </w:pPr>
            <w:r>
              <w:rPr>
                <w:color w:val="auto"/>
                <w:szCs w:val="21"/>
                <w:highlight w:val="none"/>
              </w:rPr>
              <w:t>（5）投标人的其他要求符合招标文件规定。</w:t>
            </w:r>
          </w:p>
          <w:p>
            <w:pPr>
              <w:keepNext w:val="0"/>
              <w:keepLines w:val="0"/>
              <w:pageBreakBefore w:val="0"/>
              <w:widowControl/>
              <w:kinsoku/>
              <w:wordWrap/>
              <w:overflowPunct/>
              <w:topLinePunct w:val="0"/>
              <w:autoSpaceDE/>
              <w:autoSpaceDN/>
              <w:bidi w:val="0"/>
              <w:adjustRightInd/>
              <w:snapToGrid/>
              <w:spacing w:line="280" w:lineRule="exact"/>
              <w:ind w:left="141" w:leftChars="67" w:firstLine="312"/>
              <w:textAlignment w:val="auto"/>
              <w:rPr>
                <w:color w:val="auto"/>
                <w:szCs w:val="21"/>
                <w:highlight w:val="none"/>
              </w:rPr>
            </w:pPr>
            <w:r>
              <w:rPr>
                <w:color w:val="auto"/>
                <w:szCs w:val="21"/>
                <w:highlight w:val="none"/>
              </w:rPr>
              <w:t>（6）投标人不存在第二章</w:t>
            </w:r>
            <w:r>
              <w:rPr>
                <w:rFonts w:asciiTheme="minorEastAsia" w:hAnsiTheme="minorEastAsia" w:eastAsiaTheme="minorEastAsia"/>
                <w:color w:val="auto"/>
                <w:szCs w:val="21"/>
                <w:highlight w:val="none"/>
              </w:rPr>
              <w:t>“投标人须知”</w:t>
            </w:r>
            <w:r>
              <w:rPr>
                <w:color w:val="auto"/>
                <w:szCs w:val="21"/>
                <w:highlight w:val="none"/>
              </w:rPr>
              <w:t>第1.4.3项和第1.4.4项规定的任何一种情形。</w:t>
            </w:r>
          </w:p>
          <w:p>
            <w:pPr>
              <w:keepNext w:val="0"/>
              <w:keepLines w:val="0"/>
              <w:pageBreakBefore w:val="0"/>
              <w:widowControl/>
              <w:kinsoku/>
              <w:wordWrap/>
              <w:overflowPunct/>
              <w:topLinePunct w:val="0"/>
              <w:autoSpaceDE/>
              <w:autoSpaceDN/>
              <w:bidi w:val="0"/>
              <w:adjustRightInd/>
              <w:snapToGrid/>
              <w:spacing w:line="280" w:lineRule="exact"/>
              <w:ind w:left="141" w:leftChars="67" w:firstLine="312"/>
              <w:jc w:val="left"/>
              <w:textAlignment w:val="auto"/>
              <w:rPr>
                <w:color w:val="auto"/>
                <w:szCs w:val="21"/>
                <w:highlight w:val="none"/>
              </w:rPr>
            </w:pPr>
            <w:r>
              <w:rPr>
                <w:color w:val="auto"/>
                <w:szCs w:val="21"/>
                <w:highlight w:val="none"/>
              </w:rPr>
              <w:t>（7）投标人符合第一章：</w:t>
            </w:r>
            <w:r>
              <w:rPr>
                <w:rFonts w:asciiTheme="minorEastAsia" w:hAnsiTheme="minorEastAsia" w:eastAsiaTheme="minorEastAsia"/>
                <w:color w:val="auto"/>
                <w:szCs w:val="21"/>
                <w:highlight w:val="none"/>
              </w:rPr>
              <w:t>“投标人须知”</w:t>
            </w:r>
            <w:r>
              <w:rPr>
                <w:color w:val="auto"/>
                <w:szCs w:val="21"/>
                <w:highlight w:val="none"/>
              </w:rPr>
              <w:t>第1.4.5项规定（不适用，</w:t>
            </w:r>
            <w:r>
              <w:rPr>
                <w:rFonts w:hAnsi="宋体"/>
                <w:color w:val="auto"/>
                <w:szCs w:val="21"/>
                <w:highlight w:val="none"/>
              </w:rPr>
              <w:t>鉴于全国公路建设市场信用信息管理系统尚未全面推行，系统内不一定能查询监理单位信息，且各省级的信息系统尚未建立，因此投标人可不为已进入交通运输部</w:t>
            </w:r>
            <w:r>
              <w:rPr>
                <w:rFonts w:asciiTheme="minorEastAsia" w:hAnsiTheme="minorEastAsia" w:eastAsiaTheme="minorEastAsia"/>
                <w:color w:val="auto"/>
                <w:szCs w:val="21"/>
                <w:highlight w:val="none"/>
              </w:rPr>
              <w:t>“</w:t>
            </w:r>
            <w:r>
              <w:rPr>
                <w:rFonts w:hAnsi="宋体"/>
                <w:color w:val="auto"/>
                <w:szCs w:val="21"/>
                <w:highlight w:val="none"/>
              </w:rPr>
              <w:t>全国公路建设市场信用信息管理系统（</w:t>
            </w:r>
            <w:r>
              <w:rPr>
                <w:color w:val="auto"/>
                <w:szCs w:val="21"/>
                <w:highlight w:val="none"/>
              </w:rPr>
              <w:t>http://glxy.mot.gov.cn/</w:t>
            </w:r>
            <w:r>
              <w:rPr>
                <w:rFonts w:hAnsi="宋体"/>
                <w:color w:val="auto"/>
                <w:szCs w:val="21"/>
                <w:highlight w:val="none"/>
              </w:rPr>
              <w:t>）</w:t>
            </w:r>
            <w:r>
              <w:rPr>
                <w:rFonts w:asciiTheme="minorEastAsia" w:hAnsiTheme="minorEastAsia" w:eastAsiaTheme="minorEastAsia"/>
                <w:color w:val="auto"/>
                <w:szCs w:val="21"/>
                <w:highlight w:val="none"/>
              </w:rPr>
              <w:t>”</w:t>
            </w:r>
            <w:r>
              <w:rPr>
                <w:rFonts w:hAnsi="宋体"/>
                <w:color w:val="auto"/>
                <w:szCs w:val="21"/>
                <w:highlight w:val="none"/>
              </w:rPr>
              <w:t>中的公路工程施工监理资质企业名录中的企业</w:t>
            </w:r>
            <w:r>
              <w:rPr>
                <w:color w:val="auto"/>
                <w:szCs w:val="21"/>
                <w:highlight w:val="none"/>
              </w:rPr>
              <w:t>）。</w:t>
            </w:r>
          </w:p>
          <w:p>
            <w:pPr>
              <w:keepNext w:val="0"/>
              <w:keepLines w:val="0"/>
              <w:pageBreakBefore w:val="0"/>
              <w:widowControl/>
              <w:kinsoku/>
              <w:wordWrap/>
              <w:overflowPunct/>
              <w:topLinePunct w:val="0"/>
              <w:autoSpaceDE/>
              <w:autoSpaceDN/>
              <w:bidi w:val="0"/>
              <w:adjustRightInd/>
              <w:snapToGrid/>
              <w:spacing w:line="280" w:lineRule="exact"/>
              <w:ind w:left="141" w:leftChars="67" w:firstLine="312"/>
              <w:textAlignment w:val="auto"/>
              <w:rPr>
                <w:color w:val="auto"/>
                <w:szCs w:val="21"/>
                <w:highlight w:val="none"/>
              </w:rPr>
            </w:pPr>
            <w:r>
              <w:rPr>
                <w:color w:val="auto"/>
                <w:szCs w:val="21"/>
                <w:highlight w:val="none"/>
              </w:rPr>
              <w:t xml:space="preserve">（8） </w:t>
            </w:r>
            <w:r>
              <w:rPr>
                <w:color w:val="auto"/>
                <w:spacing w:val="-2"/>
                <w:szCs w:val="21"/>
                <w:highlight w:val="none"/>
              </w:rPr>
              <w:t>以联合体形式参与投标的，联合体各方均不能再以自己名义单</w:t>
            </w:r>
            <w:r>
              <w:rPr>
                <w:color w:val="auto"/>
                <w:szCs w:val="21"/>
                <w:highlight w:val="none"/>
              </w:rPr>
              <w:t>独或</w:t>
            </w:r>
            <w:r>
              <w:rPr>
                <w:color w:val="auto"/>
                <w:spacing w:val="-3"/>
                <w:szCs w:val="21"/>
                <w:highlight w:val="none"/>
              </w:rPr>
              <w:t>参</w:t>
            </w:r>
            <w:r>
              <w:rPr>
                <w:color w:val="auto"/>
                <w:szCs w:val="21"/>
                <w:highlight w:val="none"/>
              </w:rPr>
              <w:t>加</w:t>
            </w:r>
            <w:r>
              <w:rPr>
                <w:color w:val="auto"/>
                <w:spacing w:val="-3"/>
                <w:szCs w:val="21"/>
                <w:highlight w:val="none"/>
              </w:rPr>
              <w:t>其</w:t>
            </w:r>
            <w:r>
              <w:rPr>
                <w:color w:val="auto"/>
                <w:szCs w:val="21"/>
                <w:highlight w:val="none"/>
              </w:rPr>
              <w:t>他</w:t>
            </w:r>
            <w:r>
              <w:rPr>
                <w:color w:val="auto"/>
                <w:spacing w:val="-3"/>
                <w:szCs w:val="21"/>
                <w:highlight w:val="none"/>
              </w:rPr>
              <w:t>联</w:t>
            </w:r>
            <w:r>
              <w:rPr>
                <w:color w:val="auto"/>
                <w:szCs w:val="21"/>
                <w:highlight w:val="none"/>
              </w:rPr>
              <w:t>合</w:t>
            </w:r>
            <w:r>
              <w:rPr>
                <w:color w:val="auto"/>
                <w:spacing w:val="-3"/>
                <w:szCs w:val="21"/>
                <w:highlight w:val="none"/>
              </w:rPr>
              <w:t>体</w:t>
            </w:r>
            <w:r>
              <w:rPr>
                <w:color w:val="auto"/>
                <w:szCs w:val="21"/>
                <w:highlight w:val="none"/>
              </w:rPr>
              <w:t>在</w:t>
            </w:r>
            <w:r>
              <w:rPr>
                <w:color w:val="auto"/>
                <w:spacing w:val="-3"/>
                <w:szCs w:val="21"/>
                <w:highlight w:val="none"/>
              </w:rPr>
              <w:t>同</w:t>
            </w:r>
            <w:r>
              <w:rPr>
                <w:color w:val="auto"/>
                <w:szCs w:val="21"/>
                <w:highlight w:val="none"/>
              </w:rPr>
              <w:t>一标</w:t>
            </w:r>
            <w:r>
              <w:rPr>
                <w:color w:val="auto"/>
                <w:spacing w:val="-3"/>
                <w:szCs w:val="21"/>
                <w:highlight w:val="none"/>
              </w:rPr>
              <w:t>段</w:t>
            </w:r>
            <w:r>
              <w:rPr>
                <w:color w:val="auto"/>
                <w:szCs w:val="21"/>
                <w:highlight w:val="none"/>
              </w:rPr>
              <w:t>中</w:t>
            </w:r>
            <w:r>
              <w:rPr>
                <w:color w:val="auto"/>
                <w:spacing w:val="-3"/>
                <w:szCs w:val="21"/>
                <w:highlight w:val="none"/>
              </w:rPr>
              <w:t>投</w:t>
            </w:r>
            <w:r>
              <w:rPr>
                <w:color w:val="auto"/>
                <w:szCs w:val="21"/>
                <w:highlight w:val="none"/>
              </w:rPr>
              <w:t>标</w:t>
            </w:r>
            <w:r>
              <w:rPr>
                <w:color w:val="auto"/>
                <w:spacing w:val="-56"/>
                <w:szCs w:val="21"/>
                <w:highlight w:val="none"/>
              </w:rPr>
              <w:t>；</w:t>
            </w:r>
            <w:r>
              <w:rPr>
                <w:color w:val="auto"/>
                <w:szCs w:val="21"/>
                <w:highlight w:val="none"/>
              </w:rPr>
              <w:t>独</w:t>
            </w:r>
            <w:r>
              <w:rPr>
                <w:color w:val="auto"/>
                <w:spacing w:val="-3"/>
                <w:szCs w:val="21"/>
                <w:highlight w:val="none"/>
              </w:rPr>
              <w:t>立</w:t>
            </w:r>
            <w:r>
              <w:rPr>
                <w:color w:val="auto"/>
                <w:szCs w:val="21"/>
                <w:highlight w:val="none"/>
              </w:rPr>
              <w:t>参</w:t>
            </w:r>
            <w:r>
              <w:rPr>
                <w:color w:val="auto"/>
                <w:spacing w:val="-3"/>
                <w:szCs w:val="21"/>
                <w:highlight w:val="none"/>
              </w:rPr>
              <w:t>与</w:t>
            </w:r>
            <w:r>
              <w:rPr>
                <w:color w:val="auto"/>
                <w:szCs w:val="21"/>
                <w:highlight w:val="none"/>
              </w:rPr>
              <w:t>投标</w:t>
            </w:r>
            <w:r>
              <w:rPr>
                <w:color w:val="auto"/>
                <w:spacing w:val="-3"/>
                <w:szCs w:val="21"/>
                <w:highlight w:val="none"/>
              </w:rPr>
              <w:t>的</w:t>
            </w:r>
            <w:r>
              <w:rPr>
                <w:color w:val="auto"/>
                <w:spacing w:val="-53"/>
                <w:szCs w:val="21"/>
                <w:highlight w:val="none"/>
              </w:rPr>
              <w:t>，</w:t>
            </w:r>
            <w:r>
              <w:rPr>
                <w:color w:val="auto"/>
                <w:spacing w:val="-3"/>
                <w:szCs w:val="21"/>
                <w:highlight w:val="none"/>
              </w:rPr>
              <w:t>投</w:t>
            </w:r>
            <w:r>
              <w:rPr>
                <w:color w:val="auto"/>
                <w:szCs w:val="21"/>
                <w:highlight w:val="none"/>
              </w:rPr>
              <w:t>标</w:t>
            </w:r>
            <w:r>
              <w:rPr>
                <w:color w:val="auto"/>
                <w:spacing w:val="-3"/>
                <w:szCs w:val="21"/>
                <w:highlight w:val="none"/>
              </w:rPr>
              <w:t>人</w:t>
            </w:r>
            <w:r>
              <w:rPr>
                <w:color w:val="auto"/>
                <w:szCs w:val="21"/>
                <w:highlight w:val="none"/>
              </w:rPr>
              <w:t>不能同</w:t>
            </w:r>
            <w:r>
              <w:rPr>
                <w:color w:val="auto"/>
                <w:spacing w:val="-2"/>
                <w:szCs w:val="21"/>
                <w:highlight w:val="none"/>
              </w:rPr>
              <w:t>时参加联合体在同一标段中投标。</w:t>
            </w:r>
          </w:p>
          <w:p>
            <w:pPr>
              <w:keepNext w:val="0"/>
              <w:keepLines w:val="0"/>
              <w:pageBreakBefore w:val="0"/>
              <w:widowControl/>
              <w:kinsoku/>
              <w:wordWrap/>
              <w:overflowPunct/>
              <w:topLinePunct w:val="0"/>
              <w:autoSpaceDE/>
              <w:autoSpaceDN/>
              <w:bidi w:val="0"/>
              <w:adjustRightInd/>
              <w:snapToGrid/>
              <w:spacing w:line="280" w:lineRule="exact"/>
              <w:ind w:left="141" w:leftChars="67" w:firstLine="312"/>
              <w:textAlignment w:val="auto"/>
              <w:rPr>
                <w:color w:val="auto"/>
                <w:szCs w:val="21"/>
                <w:highlight w:val="none"/>
              </w:rPr>
            </w:pPr>
            <w:r>
              <w:rPr>
                <w:color w:val="auto"/>
                <w:szCs w:val="21"/>
                <w:highlight w:val="none"/>
              </w:rPr>
              <w:t>（9）如投标人、投标人法定代表人、拟派项目负责人近三年内在全国行贿犯罪档案查询系统中有犯罪记录的，其投标不予通过。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958" w:type="dxa"/>
            <w:vAlign w:val="center"/>
          </w:tcPr>
          <w:p>
            <w:pPr>
              <w:spacing w:line="0" w:lineRule="atLeast"/>
              <w:ind w:firstLine="0"/>
              <w:rPr>
                <w:color w:val="auto"/>
                <w:szCs w:val="21"/>
                <w:highlight w:val="none"/>
              </w:rPr>
            </w:pPr>
            <w:r>
              <w:rPr>
                <w:color w:val="auto"/>
                <w:szCs w:val="21"/>
                <w:highlight w:val="none"/>
              </w:rPr>
              <w:t>2.2.1</w:t>
            </w:r>
          </w:p>
        </w:tc>
        <w:tc>
          <w:tcPr>
            <w:tcW w:w="1360" w:type="dxa"/>
            <w:gridSpan w:val="2"/>
            <w:vAlign w:val="center"/>
          </w:tcPr>
          <w:p>
            <w:pPr>
              <w:keepNext w:val="0"/>
              <w:keepLines w:val="0"/>
              <w:pageBreakBefore w:val="0"/>
              <w:widowControl w:val="0"/>
              <w:kinsoku/>
              <w:wordWrap/>
              <w:overflowPunct/>
              <w:topLinePunct w:val="0"/>
              <w:autoSpaceDE/>
              <w:autoSpaceDN/>
              <w:bidi w:val="0"/>
              <w:adjustRightInd w:val="0"/>
              <w:snapToGrid/>
              <w:spacing w:line="260" w:lineRule="exact"/>
              <w:ind w:firstLine="0"/>
              <w:textAlignment w:val="baseline"/>
              <w:rPr>
                <w:color w:val="auto"/>
                <w:szCs w:val="21"/>
                <w:highlight w:val="none"/>
              </w:rPr>
            </w:pPr>
            <w:r>
              <w:rPr>
                <w:b/>
                <w:color w:val="auto"/>
                <w:szCs w:val="21"/>
                <w:highlight w:val="none"/>
              </w:rPr>
              <w:t>分值构成（总分100分）</w:t>
            </w:r>
          </w:p>
        </w:tc>
        <w:tc>
          <w:tcPr>
            <w:tcW w:w="6895" w:type="dxa"/>
            <w:gridSpan w:val="6"/>
            <w:vAlign w:val="center"/>
          </w:tcPr>
          <w:p>
            <w:pPr>
              <w:keepNext w:val="0"/>
              <w:keepLines w:val="0"/>
              <w:pageBreakBefore w:val="0"/>
              <w:widowControl w:val="0"/>
              <w:kinsoku/>
              <w:wordWrap/>
              <w:overflowPunct/>
              <w:topLinePunct w:val="0"/>
              <w:autoSpaceDE/>
              <w:autoSpaceDN/>
              <w:bidi w:val="0"/>
              <w:adjustRightInd w:val="0"/>
              <w:snapToGrid/>
              <w:spacing w:line="260" w:lineRule="exact"/>
              <w:ind w:left="141" w:leftChars="67" w:firstLine="312"/>
              <w:textAlignment w:val="baseline"/>
              <w:rPr>
                <w:b/>
                <w:color w:val="auto"/>
                <w:szCs w:val="21"/>
                <w:highlight w:val="none"/>
              </w:rPr>
            </w:pPr>
            <w:r>
              <w:rPr>
                <w:b/>
                <w:color w:val="auto"/>
                <w:szCs w:val="21"/>
                <w:highlight w:val="none"/>
              </w:rPr>
              <w:t xml:space="preserve">第一信封（商务及技术文件）评分分值构成： </w:t>
            </w:r>
          </w:p>
          <w:p>
            <w:pPr>
              <w:keepNext w:val="0"/>
              <w:keepLines w:val="0"/>
              <w:pageBreakBefore w:val="0"/>
              <w:widowControl w:val="0"/>
              <w:kinsoku/>
              <w:wordWrap/>
              <w:overflowPunct/>
              <w:topLinePunct w:val="0"/>
              <w:autoSpaceDE/>
              <w:autoSpaceDN/>
              <w:bidi w:val="0"/>
              <w:adjustRightInd w:val="0"/>
              <w:snapToGrid/>
              <w:spacing w:line="260" w:lineRule="exact"/>
              <w:ind w:left="141" w:leftChars="67" w:firstLine="312"/>
              <w:textAlignment w:val="baseline"/>
              <w:rPr>
                <w:color w:val="auto"/>
                <w:szCs w:val="21"/>
                <w:highlight w:val="none"/>
              </w:rPr>
            </w:pPr>
            <w:r>
              <w:rPr>
                <w:color w:val="auto"/>
                <w:szCs w:val="21"/>
                <w:highlight w:val="none"/>
              </w:rPr>
              <w:t>技术建议书：35 分</w:t>
            </w:r>
          </w:p>
          <w:p>
            <w:pPr>
              <w:keepNext w:val="0"/>
              <w:keepLines w:val="0"/>
              <w:pageBreakBefore w:val="0"/>
              <w:widowControl w:val="0"/>
              <w:kinsoku/>
              <w:wordWrap/>
              <w:overflowPunct/>
              <w:topLinePunct w:val="0"/>
              <w:autoSpaceDE/>
              <w:autoSpaceDN/>
              <w:bidi w:val="0"/>
              <w:adjustRightInd w:val="0"/>
              <w:snapToGrid/>
              <w:spacing w:line="260" w:lineRule="exact"/>
              <w:ind w:left="141" w:leftChars="67" w:firstLine="312"/>
              <w:textAlignment w:val="baseline"/>
              <w:rPr>
                <w:color w:val="auto"/>
                <w:szCs w:val="21"/>
                <w:highlight w:val="none"/>
              </w:rPr>
            </w:pPr>
            <w:r>
              <w:rPr>
                <w:color w:val="auto"/>
                <w:szCs w:val="21"/>
                <w:highlight w:val="none"/>
              </w:rPr>
              <w:t>主要人员：</w:t>
            </w:r>
            <w:r>
              <w:rPr>
                <w:rFonts w:hint="eastAsia"/>
                <w:color w:val="auto"/>
                <w:szCs w:val="21"/>
                <w:highlight w:val="none"/>
                <w:lang w:val="en-US" w:eastAsia="zh-CN"/>
              </w:rPr>
              <w:t>30</w:t>
            </w:r>
            <w:r>
              <w:rPr>
                <w:color w:val="auto"/>
                <w:szCs w:val="21"/>
                <w:highlight w:val="none"/>
              </w:rPr>
              <w:t xml:space="preserve">  分</w:t>
            </w:r>
          </w:p>
          <w:p>
            <w:pPr>
              <w:keepNext w:val="0"/>
              <w:keepLines w:val="0"/>
              <w:pageBreakBefore w:val="0"/>
              <w:widowControl w:val="0"/>
              <w:kinsoku/>
              <w:wordWrap/>
              <w:overflowPunct/>
              <w:topLinePunct w:val="0"/>
              <w:autoSpaceDE/>
              <w:autoSpaceDN/>
              <w:bidi w:val="0"/>
              <w:adjustRightInd w:val="0"/>
              <w:snapToGrid/>
              <w:spacing w:line="260" w:lineRule="exact"/>
              <w:ind w:left="141" w:leftChars="67" w:firstLine="312"/>
              <w:textAlignment w:val="baseline"/>
              <w:rPr>
                <w:color w:val="auto"/>
                <w:szCs w:val="21"/>
                <w:highlight w:val="none"/>
              </w:rPr>
            </w:pPr>
            <w:r>
              <w:rPr>
                <w:color w:val="auto"/>
                <w:szCs w:val="21"/>
                <w:highlight w:val="none"/>
              </w:rPr>
              <w:t>业    绩：</w:t>
            </w:r>
            <w:r>
              <w:rPr>
                <w:rFonts w:hint="eastAsia"/>
                <w:color w:val="auto"/>
                <w:szCs w:val="21"/>
                <w:highlight w:val="none"/>
                <w:lang w:val="en-US" w:eastAsia="zh-CN"/>
              </w:rPr>
              <w:t>25</w:t>
            </w:r>
            <w:r>
              <w:rPr>
                <w:color w:val="auto"/>
                <w:szCs w:val="21"/>
                <w:highlight w:val="none"/>
              </w:rPr>
              <w:t xml:space="preserve">  分</w:t>
            </w:r>
          </w:p>
          <w:p>
            <w:pPr>
              <w:keepNext w:val="0"/>
              <w:keepLines w:val="0"/>
              <w:pageBreakBefore w:val="0"/>
              <w:widowControl w:val="0"/>
              <w:kinsoku/>
              <w:wordWrap/>
              <w:overflowPunct/>
              <w:topLinePunct w:val="0"/>
              <w:autoSpaceDE/>
              <w:autoSpaceDN/>
              <w:bidi w:val="0"/>
              <w:adjustRightInd w:val="0"/>
              <w:snapToGrid/>
              <w:spacing w:line="260" w:lineRule="exact"/>
              <w:ind w:left="141" w:leftChars="67" w:firstLine="312"/>
              <w:textAlignment w:val="baseline"/>
              <w:rPr>
                <w:b/>
                <w:color w:val="auto"/>
                <w:szCs w:val="21"/>
                <w:highlight w:val="none"/>
              </w:rPr>
            </w:pPr>
            <w:r>
              <w:rPr>
                <w:b/>
                <w:color w:val="auto"/>
                <w:szCs w:val="21"/>
                <w:highlight w:val="none"/>
              </w:rPr>
              <w:t>第二个信封（报价文件）评分标准构成：</w:t>
            </w:r>
          </w:p>
          <w:p>
            <w:pPr>
              <w:keepNext w:val="0"/>
              <w:keepLines w:val="0"/>
              <w:pageBreakBefore w:val="0"/>
              <w:widowControl w:val="0"/>
              <w:kinsoku/>
              <w:wordWrap/>
              <w:overflowPunct/>
              <w:topLinePunct w:val="0"/>
              <w:autoSpaceDE/>
              <w:autoSpaceDN/>
              <w:bidi w:val="0"/>
              <w:adjustRightInd w:val="0"/>
              <w:snapToGrid/>
              <w:spacing w:line="260" w:lineRule="exact"/>
              <w:ind w:left="141" w:leftChars="67" w:firstLine="312"/>
              <w:textAlignment w:val="baseline"/>
              <w:rPr>
                <w:color w:val="auto"/>
                <w:szCs w:val="21"/>
                <w:highlight w:val="none"/>
              </w:rPr>
            </w:pPr>
            <w:r>
              <w:rPr>
                <w:color w:val="auto"/>
                <w:szCs w:val="21"/>
                <w:highlight w:val="none"/>
              </w:rPr>
              <w:t>评标价：10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1" w:hRule="atLeast"/>
        </w:trPr>
        <w:tc>
          <w:tcPr>
            <w:tcW w:w="958" w:type="dxa"/>
            <w:vAlign w:val="center"/>
          </w:tcPr>
          <w:p>
            <w:pPr>
              <w:keepNext w:val="0"/>
              <w:keepLines w:val="0"/>
              <w:pageBreakBefore w:val="0"/>
              <w:widowControl w:val="0"/>
              <w:kinsoku/>
              <w:wordWrap/>
              <w:overflowPunct/>
              <w:topLinePunct w:val="0"/>
              <w:bidi w:val="0"/>
              <w:adjustRightInd w:val="0"/>
              <w:spacing w:line="260" w:lineRule="exact"/>
              <w:ind w:firstLine="0"/>
              <w:textAlignment w:val="baseline"/>
              <w:rPr>
                <w:color w:val="auto"/>
                <w:szCs w:val="21"/>
                <w:highlight w:val="none"/>
              </w:rPr>
            </w:pPr>
            <w:r>
              <w:rPr>
                <w:color w:val="auto"/>
                <w:szCs w:val="21"/>
                <w:highlight w:val="none"/>
              </w:rPr>
              <w:t>2.2.2</w:t>
            </w:r>
          </w:p>
        </w:tc>
        <w:tc>
          <w:tcPr>
            <w:tcW w:w="1360" w:type="dxa"/>
            <w:gridSpan w:val="2"/>
            <w:vAlign w:val="center"/>
          </w:tcPr>
          <w:p>
            <w:pPr>
              <w:keepNext w:val="0"/>
              <w:keepLines w:val="0"/>
              <w:pageBreakBefore w:val="0"/>
              <w:widowControl w:val="0"/>
              <w:kinsoku/>
              <w:wordWrap/>
              <w:overflowPunct/>
              <w:topLinePunct w:val="0"/>
              <w:bidi w:val="0"/>
              <w:adjustRightInd w:val="0"/>
              <w:spacing w:line="260" w:lineRule="exact"/>
              <w:ind w:firstLine="0"/>
              <w:textAlignment w:val="baseline"/>
              <w:rPr>
                <w:b/>
                <w:color w:val="auto"/>
                <w:szCs w:val="21"/>
                <w:highlight w:val="none"/>
              </w:rPr>
            </w:pPr>
            <w:r>
              <w:rPr>
                <w:b/>
                <w:color w:val="auto"/>
                <w:szCs w:val="21"/>
                <w:highlight w:val="none"/>
              </w:rPr>
              <w:t>评标基准价计算方法</w:t>
            </w:r>
          </w:p>
        </w:tc>
        <w:tc>
          <w:tcPr>
            <w:tcW w:w="6895" w:type="dxa"/>
            <w:gridSpan w:val="6"/>
            <w:vAlign w:val="center"/>
          </w:tcPr>
          <w:p>
            <w:pPr>
              <w:keepNext w:val="0"/>
              <w:keepLines w:val="0"/>
              <w:pageBreakBefore w:val="0"/>
              <w:widowControl w:val="0"/>
              <w:kinsoku/>
              <w:wordWrap/>
              <w:overflowPunct/>
              <w:topLinePunct w:val="0"/>
              <w:bidi w:val="0"/>
              <w:adjustRightInd w:val="0"/>
              <w:spacing w:line="260" w:lineRule="exact"/>
              <w:ind w:left="141" w:leftChars="67" w:firstLine="312"/>
              <w:textAlignment w:val="baseline"/>
              <w:rPr>
                <w:color w:val="auto"/>
                <w:szCs w:val="21"/>
                <w:highlight w:val="none"/>
              </w:rPr>
            </w:pPr>
            <w:r>
              <w:rPr>
                <w:color w:val="auto"/>
                <w:szCs w:val="21"/>
                <w:highlight w:val="none"/>
              </w:rPr>
              <w:t>评标基准价的计算：</w:t>
            </w:r>
          </w:p>
          <w:p>
            <w:pPr>
              <w:keepNext w:val="0"/>
              <w:keepLines w:val="0"/>
              <w:pageBreakBefore w:val="0"/>
              <w:widowControl w:val="0"/>
              <w:kinsoku/>
              <w:wordWrap/>
              <w:overflowPunct/>
              <w:topLinePunct w:val="0"/>
              <w:bidi w:val="0"/>
              <w:adjustRightInd w:val="0"/>
              <w:spacing w:line="260" w:lineRule="exact"/>
              <w:ind w:left="141" w:leftChars="67" w:firstLine="420" w:firstLineChars="200"/>
              <w:textAlignment w:val="baseline"/>
              <w:rPr>
                <w:color w:val="auto"/>
                <w:szCs w:val="21"/>
                <w:highlight w:val="none"/>
              </w:rPr>
            </w:pPr>
            <w:r>
              <w:rPr>
                <w:color w:val="auto"/>
                <w:szCs w:val="21"/>
                <w:highlight w:val="none"/>
              </w:rPr>
              <w:t>（1）评标价的确定：</w:t>
            </w:r>
          </w:p>
          <w:p>
            <w:pPr>
              <w:keepNext w:val="0"/>
              <w:keepLines w:val="0"/>
              <w:pageBreakBefore w:val="0"/>
              <w:widowControl w:val="0"/>
              <w:kinsoku/>
              <w:wordWrap/>
              <w:overflowPunct/>
              <w:topLinePunct w:val="0"/>
              <w:bidi w:val="0"/>
              <w:adjustRightInd w:val="0"/>
              <w:spacing w:line="260" w:lineRule="exact"/>
              <w:ind w:left="141" w:leftChars="67" w:firstLine="420" w:firstLineChars="200"/>
              <w:textAlignment w:val="baseline"/>
              <w:rPr>
                <w:color w:val="auto"/>
                <w:szCs w:val="21"/>
                <w:highlight w:val="none"/>
              </w:rPr>
            </w:pPr>
            <w:r>
              <w:rPr>
                <w:color w:val="auto"/>
                <w:szCs w:val="21"/>
                <w:highlight w:val="none"/>
              </w:rPr>
              <w:t>评标价=投标函文字报价</w:t>
            </w:r>
          </w:p>
          <w:p>
            <w:pPr>
              <w:keepNext w:val="0"/>
              <w:keepLines w:val="0"/>
              <w:pageBreakBefore w:val="0"/>
              <w:widowControl w:val="0"/>
              <w:kinsoku/>
              <w:wordWrap/>
              <w:overflowPunct/>
              <w:topLinePunct w:val="0"/>
              <w:bidi w:val="0"/>
              <w:adjustRightInd w:val="0"/>
              <w:spacing w:line="260" w:lineRule="exact"/>
              <w:ind w:left="141" w:leftChars="67" w:firstLine="420" w:firstLineChars="200"/>
              <w:textAlignment w:val="baseline"/>
              <w:rPr>
                <w:color w:val="auto"/>
                <w:szCs w:val="21"/>
                <w:highlight w:val="none"/>
              </w:rPr>
            </w:pPr>
            <w:r>
              <w:rPr>
                <w:color w:val="auto"/>
                <w:szCs w:val="21"/>
                <w:highlight w:val="none"/>
              </w:rPr>
              <w:t>（2）评标价平均值的计算：</w:t>
            </w:r>
          </w:p>
          <w:p>
            <w:pPr>
              <w:keepNext w:val="0"/>
              <w:keepLines w:val="0"/>
              <w:pageBreakBefore w:val="0"/>
              <w:widowControl w:val="0"/>
              <w:kinsoku/>
              <w:wordWrap/>
              <w:overflowPunct/>
              <w:topLinePunct w:val="0"/>
              <w:bidi w:val="0"/>
              <w:adjustRightInd w:val="0"/>
              <w:spacing w:line="260" w:lineRule="exact"/>
              <w:ind w:left="141" w:leftChars="67" w:firstLine="420" w:firstLineChars="200"/>
              <w:textAlignment w:val="baseline"/>
              <w:rPr>
                <w:color w:val="auto"/>
                <w:szCs w:val="21"/>
                <w:highlight w:val="none"/>
              </w:rPr>
            </w:pPr>
            <w:r>
              <w:rPr>
                <w:color w:val="auto"/>
                <w:szCs w:val="21"/>
                <w:highlight w:val="none"/>
              </w:rPr>
              <w:t>除按第二章</w:t>
            </w:r>
            <w:r>
              <w:rPr>
                <w:rFonts w:asciiTheme="minorEastAsia" w:hAnsiTheme="minorEastAsia" w:eastAsiaTheme="minorEastAsia"/>
                <w:color w:val="auto"/>
                <w:szCs w:val="21"/>
                <w:highlight w:val="none"/>
              </w:rPr>
              <w:t>“投标人须知”</w:t>
            </w:r>
            <w:r>
              <w:rPr>
                <w:b/>
                <w:color w:val="auto"/>
                <w:szCs w:val="21"/>
                <w:highlight w:val="none"/>
              </w:rPr>
              <w:t>第5.2.4项</w:t>
            </w:r>
            <w:r>
              <w:rPr>
                <w:color w:val="auto"/>
                <w:szCs w:val="21"/>
                <w:highlight w:val="none"/>
              </w:rPr>
              <w:t>规定开标现场被宣布为不进入评标基准价计算的投标报价之外，所有通过第一信封初步评审与资格审查的投标人的评标价去掉一个最高值和一个最低值后的算术平均值即为评标价平均值（如果参与评标价平均值计算的有效投标人少于5家时，则计算评标价平均值时不去掉最高值和最低值）。</w:t>
            </w:r>
          </w:p>
          <w:p>
            <w:pPr>
              <w:keepNext w:val="0"/>
              <w:keepLines w:val="0"/>
              <w:pageBreakBefore w:val="0"/>
              <w:widowControl w:val="0"/>
              <w:kinsoku/>
              <w:wordWrap/>
              <w:overflowPunct/>
              <w:topLinePunct w:val="0"/>
              <w:bidi w:val="0"/>
              <w:adjustRightInd w:val="0"/>
              <w:spacing w:line="260" w:lineRule="exact"/>
              <w:ind w:left="141" w:leftChars="67" w:firstLine="420" w:firstLineChars="200"/>
              <w:textAlignment w:val="baseline"/>
              <w:rPr>
                <w:color w:val="auto"/>
                <w:szCs w:val="21"/>
                <w:highlight w:val="none"/>
              </w:rPr>
            </w:pPr>
            <w:r>
              <w:rPr>
                <w:color w:val="auto"/>
                <w:szCs w:val="21"/>
                <w:highlight w:val="none"/>
              </w:rPr>
              <w:t>（3）评标基准价的确定：</w:t>
            </w:r>
          </w:p>
          <w:p>
            <w:pPr>
              <w:keepNext w:val="0"/>
              <w:keepLines w:val="0"/>
              <w:pageBreakBefore w:val="0"/>
              <w:widowControl w:val="0"/>
              <w:kinsoku/>
              <w:wordWrap/>
              <w:overflowPunct/>
              <w:topLinePunct w:val="0"/>
              <w:bidi w:val="0"/>
              <w:adjustRightInd w:val="0"/>
              <w:spacing w:line="260" w:lineRule="exact"/>
              <w:ind w:left="141" w:leftChars="67" w:firstLine="420" w:firstLineChars="200"/>
              <w:textAlignment w:val="baseline"/>
              <w:rPr>
                <w:color w:val="auto"/>
                <w:szCs w:val="21"/>
                <w:highlight w:val="none"/>
              </w:rPr>
            </w:pPr>
            <w:r>
              <w:rPr>
                <w:color w:val="auto"/>
                <w:szCs w:val="21"/>
                <w:highlight w:val="none"/>
              </w:rPr>
              <w:t>将评标价平均值直接作为评标基准价。</w:t>
            </w:r>
          </w:p>
          <w:p>
            <w:pPr>
              <w:keepNext w:val="0"/>
              <w:keepLines w:val="0"/>
              <w:pageBreakBefore w:val="0"/>
              <w:widowControl w:val="0"/>
              <w:kinsoku/>
              <w:wordWrap/>
              <w:overflowPunct/>
              <w:topLinePunct w:val="0"/>
              <w:bidi w:val="0"/>
              <w:adjustRightInd w:val="0"/>
              <w:spacing w:line="260" w:lineRule="exact"/>
              <w:ind w:left="141" w:leftChars="67" w:firstLine="315" w:firstLineChars="150"/>
              <w:textAlignment w:val="baseline"/>
              <w:rPr>
                <w:color w:val="auto"/>
                <w:szCs w:val="21"/>
                <w:highlight w:val="none"/>
              </w:rPr>
            </w:pPr>
            <w:r>
              <w:rPr>
                <w:color w:val="auto"/>
                <w:szCs w:val="21"/>
                <w:highlight w:val="none"/>
              </w:rPr>
              <w:t>注：招标人（招标代理）将在第二信封开标现场（经参加第一信封开标会全体投标人代表签字同意第二信封（报价文件）由评标委员会在评标现场开启），宣读所有通过第一信封初步评审与资格审查的投标人第二信封报价，并公布通过第一信封（商务及技术文件）评审的投标人的投标报价，作为评标基准价的计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958" w:type="dxa"/>
            <w:vAlign w:val="center"/>
          </w:tcPr>
          <w:p>
            <w:pPr>
              <w:keepNext w:val="0"/>
              <w:keepLines w:val="0"/>
              <w:pageBreakBefore w:val="0"/>
              <w:widowControl w:val="0"/>
              <w:kinsoku/>
              <w:wordWrap/>
              <w:overflowPunct/>
              <w:topLinePunct w:val="0"/>
              <w:bidi w:val="0"/>
              <w:adjustRightInd w:val="0"/>
              <w:spacing w:line="260" w:lineRule="exact"/>
              <w:ind w:firstLine="0"/>
              <w:textAlignment w:val="baseline"/>
              <w:rPr>
                <w:color w:val="auto"/>
                <w:szCs w:val="21"/>
                <w:highlight w:val="none"/>
              </w:rPr>
            </w:pPr>
            <w:r>
              <w:rPr>
                <w:color w:val="auto"/>
                <w:szCs w:val="21"/>
                <w:highlight w:val="none"/>
              </w:rPr>
              <w:t>2.2.3</w:t>
            </w:r>
          </w:p>
        </w:tc>
        <w:tc>
          <w:tcPr>
            <w:tcW w:w="1360" w:type="dxa"/>
            <w:gridSpan w:val="2"/>
            <w:vAlign w:val="center"/>
          </w:tcPr>
          <w:p>
            <w:pPr>
              <w:keepNext w:val="0"/>
              <w:keepLines w:val="0"/>
              <w:pageBreakBefore w:val="0"/>
              <w:widowControl w:val="0"/>
              <w:kinsoku/>
              <w:wordWrap/>
              <w:overflowPunct/>
              <w:topLinePunct w:val="0"/>
              <w:bidi w:val="0"/>
              <w:adjustRightInd w:val="0"/>
              <w:spacing w:line="260" w:lineRule="exact"/>
              <w:ind w:firstLine="0"/>
              <w:textAlignment w:val="baseline"/>
              <w:rPr>
                <w:color w:val="auto"/>
                <w:szCs w:val="21"/>
                <w:highlight w:val="none"/>
              </w:rPr>
            </w:pPr>
            <w:r>
              <w:rPr>
                <w:color w:val="auto"/>
                <w:szCs w:val="21"/>
                <w:highlight w:val="none"/>
              </w:rPr>
              <w:t>评标价的偏差率计算公式</w:t>
            </w:r>
          </w:p>
        </w:tc>
        <w:tc>
          <w:tcPr>
            <w:tcW w:w="6895" w:type="dxa"/>
            <w:gridSpan w:val="6"/>
            <w:vAlign w:val="center"/>
          </w:tcPr>
          <w:p>
            <w:pPr>
              <w:keepNext w:val="0"/>
              <w:keepLines w:val="0"/>
              <w:pageBreakBefore w:val="0"/>
              <w:widowControl w:val="0"/>
              <w:kinsoku/>
              <w:wordWrap/>
              <w:overflowPunct/>
              <w:topLinePunct w:val="0"/>
              <w:bidi w:val="0"/>
              <w:adjustRightInd w:val="0"/>
              <w:spacing w:line="260" w:lineRule="exact"/>
              <w:ind w:left="141" w:leftChars="67" w:firstLine="312"/>
              <w:textAlignment w:val="baseline"/>
              <w:rPr>
                <w:color w:val="auto"/>
                <w:szCs w:val="21"/>
                <w:highlight w:val="none"/>
              </w:rPr>
            </w:pPr>
            <w:r>
              <w:rPr>
                <w:color w:val="auto"/>
                <w:szCs w:val="21"/>
                <w:highlight w:val="none"/>
              </w:rPr>
              <w:t>偏差率=100%×｜（投标人评标价-评标基准价）︱/ 评标基准价</w:t>
            </w:r>
          </w:p>
          <w:p>
            <w:pPr>
              <w:keepNext w:val="0"/>
              <w:keepLines w:val="0"/>
              <w:pageBreakBefore w:val="0"/>
              <w:widowControl w:val="0"/>
              <w:kinsoku/>
              <w:wordWrap/>
              <w:overflowPunct/>
              <w:topLinePunct w:val="0"/>
              <w:bidi w:val="0"/>
              <w:adjustRightInd w:val="0"/>
              <w:spacing w:line="260" w:lineRule="exact"/>
              <w:ind w:left="141" w:leftChars="67" w:firstLine="312"/>
              <w:textAlignment w:val="baseline"/>
              <w:rPr>
                <w:color w:val="auto"/>
                <w:szCs w:val="21"/>
                <w:highlight w:val="none"/>
                <w:u w:val="single"/>
              </w:rPr>
            </w:pPr>
            <w:r>
              <w:rPr>
                <w:color w:val="auto"/>
                <w:szCs w:val="21"/>
                <w:highlight w:val="none"/>
              </w:rPr>
              <w:t>偏差率保留两位小数。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062" w:type="dxa"/>
            <w:gridSpan w:val="7"/>
            <w:vAlign w:val="center"/>
          </w:tcPr>
          <w:p>
            <w:pPr>
              <w:keepNext w:val="0"/>
              <w:keepLines w:val="0"/>
              <w:pageBreakBefore w:val="0"/>
              <w:widowControl w:val="0"/>
              <w:kinsoku/>
              <w:wordWrap/>
              <w:overflowPunct/>
              <w:topLinePunct w:val="0"/>
              <w:bidi w:val="0"/>
              <w:adjustRightInd w:val="0"/>
              <w:spacing w:line="260" w:lineRule="exact"/>
              <w:ind w:left="141" w:leftChars="67" w:firstLine="312"/>
              <w:jc w:val="center"/>
              <w:textAlignment w:val="baseline"/>
              <w:rPr>
                <w:color w:val="auto"/>
                <w:szCs w:val="21"/>
                <w:highlight w:val="none"/>
              </w:rPr>
            </w:pPr>
            <w:r>
              <w:rPr>
                <w:color w:val="auto"/>
                <w:szCs w:val="21"/>
                <w:highlight w:val="none"/>
              </w:rPr>
              <w:t>评分因素与权重分值</w:t>
            </w:r>
          </w:p>
        </w:tc>
        <w:tc>
          <w:tcPr>
            <w:tcW w:w="3151" w:type="dxa"/>
            <w:gridSpan w:val="2"/>
            <w:vMerge w:val="restart"/>
            <w:vAlign w:val="center"/>
          </w:tcPr>
          <w:p>
            <w:pPr>
              <w:keepNext w:val="0"/>
              <w:keepLines w:val="0"/>
              <w:pageBreakBefore w:val="0"/>
              <w:widowControl w:val="0"/>
              <w:kinsoku/>
              <w:wordWrap/>
              <w:overflowPunct/>
              <w:topLinePunct w:val="0"/>
              <w:bidi w:val="0"/>
              <w:adjustRightInd w:val="0"/>
              <w:spacing w:line="260" w:lineRule="exact"/>
              <w:ind w:left="141" w:leftChars="67" w:firstLine="312"/>
              <w:jc w:val="center"/>
              <w:textAlignment w:val="baseline"/>
              <w:rPr>
                <w:color w:val="auto"/>
                <w:szCs w:val="21"/>
                <w:highlight w:val="none"/>
              </w:rPr>
            </w:pPr>
            <w:r>
              <w:rPr>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58" w:type="dxa"/>
            <w:vAlign w:val="center"/>
          </w:tcPr>
          <w:p>
            <w:pPr>
              <w:pStyle w:val="10"/>
              <w:keepNext w:val="0"/>
              <w:keepLines w:val="0"/>
              <w:pageBreakBefore w:val="0"/>
              <w:widowControl w:val="0"/>
              <w:kinsoku/>
              <w:wordWrap/>
              <w:overflowPunct/>
              <w:topLinePunct w:val="0"/>
              <w:bidi w:val="0"/>
              <w:adjustRightInd w:val="0"/>
              <w:spacing w:line="260" w:lineRule="exact"/>
              <w:textAlignment w:val="baseline"/>
              <w:rPr>
                <w:color w:val="auto"/>
                <w:highlight w:val="none"/>
              </w:rPr>
            </w:pPr>
            <w:r>
              <w:rPr>
                <w:color w:val="auto"/>
                <w:highlight w:val="none"/>
              </w:rPr>
              <w:t>条款号</w:t>
            </w:r>
          </w:p>
        </w:tc>
        <w:tc>
          <w:tcPr>
            <w:tcW w:w="1367" w:type="dxa"/>
            <w:gridSpan w:val="3"/>
            <w:vAlign w:val="center"/>
          </w:tcPr>
          <w:p>
            <w:pPr>
              <w:pStyle w:val="10"/>
              <w:keepNext w:val="0"/>
              <w:keepLines w:val="0"/>
              <w:pageBreakBefore w:val="0"/>
              <w:widowControl w:val="0"/>
              <w:kinsoku/>
              <w:wordWrap/>
              <w:overflowPunct/>
              <w:topLinePunct w:val="0"/>
              <w:bidi w:val="0"/>
              <w:adjustRightInd w:val="0"/>
              <w:spacing w:line="260" w:lineRule="exact"/>
              <w:textAlignment w:val="baseline"/>
              <w:rPr>
                <w:color w:val="auto"/>
                <w:highlight w:val="none"/>
              </w:rPr>
            </w:pPr>
            <w:r>
              <w:rPr>
                <w:color w:val="auto"/>
                <w:highlight w:val="none"/>
              </w:rPr>
              <w:t>评分因素</w:t>
            </w:r>
          </w:p>
        </w:tc>
        <w:tc>
          <w:tcPr>
            <w:tcW w:w="902" w:type="dxa"/>
            <w:vAlign w:val="center"/>
          </w:tcPr>
          <w:p>
            <w:pPr>
              <w:pStyle w:val="10"/>
              <w:keepNext w:val="0"/>
              <w:keepLines w:val="0"/>
              <w:pageBreakBefore w:val="0"/>
              <w:widowControl w:val="0"/>
              <w:kinsoku/>
              <w:wordWrap/>
              <w:overflowPunct/>
              <w:topLinePunct w:val="0"/>
              <w:bidi w:val="0"/>
              <w:adjustRightInd w:val="0"/>
              <w:spacing w:line="260" w:lineRule="exact"/>
              <w:textAlignment w:val="baseline"/>
              <w:rPr>
                <w:color w:val="auto"/>
                <w:highlight w:val="none"/>
              </w:rPr>
            </w:pPr>
            <w:r>
              <w:rPr>
                <w:color w:val="auto"/>
                <w:highlight w:val="none"/>
              </w:rPr>
              <w:t>评分因素权重分值</w:t>
            </w:r>
          </w:p>
        </w:tc>
        <w:tc>
          <w:tcPr>
            <w:tcW w:w="1843" w:type="dxa"/>
            <w:vAlign w:val="center"/>
          </w:tcPr>
          <w:p>
            <w:pPr>
              <w:pStyle w:val="10"/>
              <w:keepNext w:val="0"/>
              <w:keepLines w:val="0"/>
              <w:pageBreakBefore w:val="0"/>
              <w:widowControl w:val="0"/>
              <w:kinsoku/>
              <w:wordWrap/>
              <w:overflowPunct/>
              <w:topLinePunct w:val="0"/>
              <w:bidi w:val="0"/>
              <w:adjustRightInd w:val="0"/>
              <w:spacing w:line="260" w:lineRule="exact"/>
              <w:textAlignment w:val="baseline"/>
              <w:rPr>
                <w:color w:val="auto"/>
                <w:highlight w:val="none"/>
              </w:rPr>
            </w:pPr>
            <w:r>
              <w:rPr>
                <w:color w:val="auto"/>
                <w:highlight w:val="none"/>
              </w:rPr>
              <w:t>各评分因素细分项</w:t>
            </w:r>
          </w:p>
        </w:tc>
        <w:tc>
          <w:tcPr>
            <w:tcW w:w="992" w:type="dxa"/>
            <w:vAlign w:val="center"/>
          </w:tcPr>
          <w:p>
            <w:pPr>
              <w:pStyle w:val="10"/>
              <w:keepNext w:val="0"/>
              <w:keepLines w:val="0"/>
              <w:pageBreakBefore w:val="0"/>
              <w:widowControl w:val="0"/>
              <w:kinsoku/>
              <w:wordWrap/>
              <w:overflowPunct/>
              <w:topLinePunct w:val="0"/>
              <w:bidi w:val="0"/>
              <w:adjustRightInd w:val="0"/>
              <w:spacing w:line="260" w:lineRule="exact"/>
              <w:textAlignment w:val="baseline"/>
              <w:rPr>
                <w:color w:val="auto"/>
                <w:highlight w:val="none"/>
              </w:rPr>
            </w:pPr>
            <w:r>
              <w:rPr>
                <w:color w:val="auto"/>
                <w:highlight w:val="none"/>
              </w:rPr>
              <w:t>分值</w:t>
            </w:r>
          </w:p>
        </w:tc>
        <w:tc>
          <w:tcPr>
            <w:tcW w:w="3151" w:type="dxa"/>
            <w:gridSpan w:val="2"/>
            <w:vMerge w:val="continue"/>
            <w:vAlign w:val="center"/>
          </w:tcPr>
          <w:p>
            <w:pPr>
              <w:keepNext w:val="0"/>
              <w:keepLines w:val="0"/>
              <w:pageBreakBefore w:val="0"/>
              <w:widowControl w:val="0"/>
              <w:kinsoku/>
              <w:wordWrap/>
              <w:overflowPunct/>
              <w:topLinePunct w:val="0"/>
              <w:bidi w:val="0"/>
              <w:adjustRightInd w:val="0"/>
              <w:spacing w:line="260" w:lineRule="exact"/>
              <w:ind w:left="141" w:leftChars="67" w:firstLine="312"/>
              <w:textAlignment w:val="baseline"/>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58" w:type="dxa"/>
            <w:vMerge w:val="restart"/>
            <w:vAlign w:val="center"/>
          </w:tcPr>
          <w:p>
            <w:pPr>
              <w:pStyle w:val="10"/>
              <w:keepNext w:val="0"/>
              <w:keepLines w:val="0"/>
              <w:pageBreakBefore w:val="0"/>
              <w:widowControl w:val="0"/>
              <w:kinsoku/>
              <w:wordWrap/>
              <w:overflowPunct/>
              <w:topLinePunct w:val="0"/>
              <w:bidi w:val="0"/>
              <w:adjustRightInd w:val="0"/>
              <w:spacing w:line="260" w:lineRule="exact"/>
              <w:textAlignment w:val="baseline"/>
              <w:rPr>
                <w:color w:val="auto"/>
                <w:highlight w:val="none"/>
              </w:rPr>
            </w:pPr>
            <w:r>
              <w:rPr>
                <w:color w:val="auto"/>
                <w:highlight w:val="none"/>
              </w:rPr>
              <w:t>2.2.4（1）</w:t>
            </w:r>
          </w:p>
        </w:tc>
        <w:tc>
          <w:tcPr>
            <w:tcW w:w="1367" w:type="dxa"/>
            <w:gridSpan w:val="3"/>
            <w:vMerge w:val="restart"/>
            <w:vAlign w:val="center"/>
          </w:tcPr>
          <w:p>
            <w:pPr>
              <w:pStyle w:val="10"/>
              <w:keepNext w:val="0"/>
              <w:keepLines w:val="0"/>
              <w:pageBreakBefore w:val="0"/>
              <w:widowControl w:val="0"/>
              <w:kinsoku/>
              <w:wordWrap/>
              <w:overflowPunct/>
              <w:topLinePunct w:val="0"/>
              <w:bidi w:val="0"/>
              <w:adjustRightInd w:val="0"/>
              <w:spacing w:line="260" w:lineRule="exact"/>
              <w:textAlignment w:val="baseline"/>
              <w:rPr>
                <w:color w:val="auto"/>
                <w:highlight w:val="none"/>
              </w:rPr>
            </w:pPr>
            <w:r>
              <w:rPr>
                <w:color w:val="auto"/>
                <w:highlight w:val="none"/>
              </w:rPr>
              <w:t>技术建议书</w:t>
            </w:r>
          </w:p>
        </w:tc>
        <w:tc>
          <w:tcPr>
            <w:tcW w:w="902" w:type="dxa"/>
            <w:vMerge w:val="restart"/>
            <w:vAlign w:val="center"/>
          </w:tcPr>
          <w:p>
            <w:pPr>
              <w:keepNext w:val="0"/>
              <w:keepLines w:val="0"/>
              <w:pageBreakBefore w:val="0"/>
              <w:widowControl w:val="0"/>
              <w:kinsoku/>
              <w:wordWrap/>
              <w:overflowPunct/>
              <w:topLinePunct w:val="0"/>
              <w:bidi w:val="0"/>
              <w:adjustRightInd w:val="0"/>
              <w:spacing w:line="260" w:lineRule="exact"/>
              <w:ind w:left="141" w:leftChars="67" w:firstLine="0"/>
              <w:textAlignment w:val="baseline"/>
              <w:rPr>
                <w:color w:val="auto"/>
                <w:szCs w:val="21"/>
                <w:highlight w:val="none"/>
              </w:rPr>
            </w:pPr>
            <w:r>
              <w:rPr>
                <w:color w:val="auto"/>
                <w:szCs w:val="21"/>
                <w:highlight w:val="none"/>
              </w:rPr>
              <w:t>35分</w:t>
            </w:r>
          </w:p>
        </w:tc>
        <w:tc>
          <w:tcPr>
            <w:tcW w:w="1843" w:type="dxa"/>
            <w:vAlign w:val="center"/>
          </w:tcPr>
          <w:p>
            <w:pPr>
              <w:pStyle w:val="10"/>
              <w:keepNext w:val="0"/>
              <w:keepLines w:val="0"/>
              <w:pageBreakBefore w:val="0"/>
              <w:widowControl w:val="0"/>
              <w:kinsoku/>
              <w:wordWrap/>
              <w:overflowPunct/>
              <w:topLinePunct w:val="0"/>
              <w:bidi w:val="0"/>
              <w:adjustRightInd w:val="0"/>
              <w:spacing w:line="260" w:lineRule="exact"/>
              <w:textAlignment w:val="baseline"/>
              <w:rPr>
                <w:color w:val="auto"/>
                <w:szCs w:val="21"/>
                <w:highlight w:val="none"/>
              </w:rPr>
            </w:pPr>
            <w:r>
              <w:rPr>
                <w:color w:val="auto"/>
                <w:highlight w:val="none"/>
              </w:rPr>
              <w:t>监理工作范围</w:t>
            </w:r>
          </w:p>
        </w:tc>
        <w:tc>
          <w:tcPr>
            <w:tcW w:w="992" w:type="dxa"/>
            <w:vAlign w:val="center"/>
          </w:tcPr>
          <w:p>
            <w:pPr>
              <w:pStyle w:val="10"/>
              <w:keepNext w:val="0"/>
              <w:keepLines w:val="0"/>
              <w:pageBreakBefore w:val="0"/>
              <w:widowControl w:val="0"/>
              <w:kinsoku/>
              <w:wordWrap/>
              <w:overflowPunct/>
              <w:topLinePunct w:val="0"/>
              <w:bidi w:val="0"/>
              <w:adjustRightInd w:val="0"/>
              <w:spacing w:line="260" w:lineRule="exact"/>
              <w:textAlignment w:val="baseline"/>
              <w:rPr>
                <w:color w:val="auto"/>
                <w:highlight w:val="none"/>
              </w:rPr>
            </w:pPr>
            <w:r>
              <w:rPr>
                <w:color w:val="auto"/>
                <w:highlight w:val="none"/>
              </w:rPr>
              <w:t>5分</w:t>
            </w:r>
          </w:p>
        </w:tc>
        <w:tc>
          <w:tcPr>
            <w:tcW w:w="3151" w:type="dxa"/>
            <w:gridSpan w:val="2"/>
            <w:vMerge w:val="restart"/>
            <w:vAlign w:val="center"/>
          </w:tcPr>
          <w:p>
            <w:pPr>
              <w:keepNext w:val="0"/>
              <w:keepLines w:val="0"/>
              <w:pageBreakBefore w:val="0"/>
              <w:widowControl w:val="0"/>
              <w:kinsoku/>
              <w:wordWrap/>
              <w:overflowPunct/>
              <w:topLinePunct w:val="0"/>
              <w:bidi w:val="0"/>
              <w:adjustRightInd w:val="0"/>
              <w:spacing w:line="260" w:lineRule="exact"/>
              <w:ind w:left="141" w:leftChars="67" w:firstLine="312"/>
              <w:textAlignment w:val="baseline"/>
              <w:rPr>
                <w:color w:val="auto"/>
                <w:spacing w:val="-6"/>
                <w:szCs w:val="21"/>
                <w:highlight w:val="none"/>
              </w:rPr>
            </w:pPr>
            <w:r>
              <w:rPr>
                <w:rFonts w:hAnsi="宋体"/>
                <w:color w:val="auto"/>
                <w:spacing w:val="-6"/>
                <w:szCs w:val="21"/>
                <w:highlight w:val="none"/>
              </w:rPr>
              <w:t>均按</w:t>
            </w:r>
            <w:r>
              <w:rPr>
                <w:color w:val="auto"/>
                <w:spacing w:val="-6"/>
                <w:szCs w:val="21"/>
                <w:highlight w:val="none"/>
              </w:rPr>
              <w:t>4</w:t>
            </w:r>
            <w:r>
              <w:rPr>
                <w:rFonts w:hAnsi="宋体"/>
                <w:color w:val="auto"/>
                <w:spacing w:val="-6"/>
                <w:szCs w:val="21"/>
                <w:highlight w:val="none"/>
              </w:rPr>
              <w:t>个等级评定：</w:t>
            </w:r>
            <w:r>
              <w:rPr>
                <w:rFonts w:asciiTheme="minorEastAsia" w:hAnsiTheme="minorEastAsia" w:eastAsiaTheme="minorEastAsia"/>
                <w:color w:val="auto"/>
                <w:spacing w:val="-6"/>
                <w:szCs w:val="21"/>
                <w:highlight w:val="none"/>
              </w:rPr>
              <w:t>“很好”</w:t>
            </w:r>
            <w:r>
              <w:rPr>
                <w:rFonts w:hAnsi="宋体"/>
                <w:color w:val="auto"/>
                <w:spacing w:val="-6"/>
                <w:szCs w:val="21"/>
                <w:highlight w:val="none"/>
              </w:rPr>
              <w:t>计</w:t>
            </w:r>
            <w:r>
              <w:rPr>
                <w:color w:val="auto"/>
                <w:spacing w:val="-6"/>
                <w:szCs w:val="21"/>
                <w:highlight w:val="none"/>
              </w:rPr>
              <w:t>90%</w:t>
            </w:r>
            <w:r>
              <w:rPr>
                <w:rFonts w:hAnsi="宋体"/>
                <w:color w:val="auto"/>
                <w:spacing w:val="-6"/>
                <w:szCs w:val="21"/>
                <w:highlight w:val="none"/>
              </w:rPr>
              <w:t>～</w:t>
            </w:r>
            <w:r>
              <w:rPr>
                <w:color w:val="auto"/>
                <w:spacing w:val="-6"/>
                <w:szCs w:val="21"/>
                <w:highlight w:val="none"/>
              </w:rPr>
              <w:t>100%</w:t>
            </w:r>
            <w:r>
              <w:rPr>
                <w:rFonts w:hAnsi="宋体"/>
                <w:color w:val="auto"/>
                <w:spacing w:val="-6"/>
                <w:szCs w:val="21"/>
                <w:highlight w:val="none"/>
              </w:rPr>
              <w:t>，</w:t>
            </w:r>
            <w:r>
              <w:rPr>
                <w:rFonts w:asciiTheme="minorEastAsia" w:hAnsiTheme="minorEastAsia" w:eastAsiaTheme="minorEastAsia"/>
                <w:color w:val="auto"/>
                <w:spacing w:val="-6"/>
                <w:szCs w:val="21"/>
                <w:highlight w:val="none"/>
              </w:rPr>
              <w:t>“较好”</w:t>
            </w:r>
            <w:r>
              <w:rPr>
                <w:rFonts w:hAnsi="宋体"/>
                <w:color w:val="auto"/>
                <w:spacing w:val="-6"/>
                <w:szCs w:val="21"/>
                <w:highlight w:val="none"/>
              </w:rPr>
              <w:t>计</w:t>
            </w:r>
            <w:r>
              <w:rPr>
                <w:color w:val="auto"/>
                <w:spacing w:val="-6"/>
                <w:szCs w:val="21"/>
                <w:highlight w:val="none"/>
              </w:rPr>
              <w:t>80</w:t>
            </w:r>
            <w:r>
              <w:rPr>
                <w:rFonts w:hAnsi="宋体"/>
                <w:color w:val="auto"/>
                <w:spacing w:val="-6"/>
                <w:szCs w:val="21"/>
                <w:highlight w:val="none"/>
              </w:rPr>
              <w:t>～</w:t>
            </w:r>
            <w:r>
              <w:rPr>
                <w:color w:val="auto"/>
                <w:spacing w:val="-6"/>
                <w:szCs w:val="21"/>
                <w:highlight w:val="none"/>
              </w:rPr>
              <w:t>90%</w:t>
            </w:r>
            <w:r>
              <w:rPr>
                <w:rFonts w:hAnsi="宋体"/>
                <w:color w:val="auto"/>
                <w:spacing w:val="-6"/>
                <w:szCs w:val="21"/>
                <w:highlight w:val="none"/>
              </w:rPr>
              <w:t>，</w:t>
            </w:r>
            <w:r>
              <w:rPr>
                <w:rFonts w:asciiTheme="minorEastAsia" w:hAnsiTheme="minorEastAsia" w:eastAsiaTheme="minorEastAsia"/>
                <w:color w:val="auto"/>
                <w:spacing w:val="-6"/>
                <w:szCs w:val="21"/>
                <w:highlight w:val="none"/>
              </w:rPr>
              <w:t>“一般”</w:t>
            </w:r>
            <w:r>
              <w:rPr>
                <w:rFonts w:hAnsi="宋体"/>
                <w:color w:val="auto"/>
                <w:spacing w:val="-6"/>
                <w:szCs w:val="21"/>
                <w:highlight w:val="none"/>
              </w:rPr>
              <w:t>计</w:t>
            </w:r>
            <w:r>
              <w:rPr>
                <w:color w:val="auto"/>
                <w:spacing w:val="-6"/>
                <w:szCs w:val="21"/>
                <w:highlight w:val="none"/>
              </w:rPr>
              <w:t>70%</w:t>
            </w:r>
            <w:r>
              <w:rPr>
                <w:rFonts w:hAnsi="宋体"/>
                <w:color w:val="auto"/>
                <w:spacing w:val="-6"/>
                <w:szCs w:val="21"/>
                <w:highlight w:val="none"/>
              </w:rPr>
              <w:t>～</w:t>
            </w:r>
            <w:r>
              <w:rPr>
                <w:color w:val="auto"/>
                <w:spacing w:val="-6"/>
                <w:szCs w:val="21"/>
                <w:highlight w:val="none"/>
              </w:rPr>
              <w:t>80%</w:t>
            </w:r>
            <w:r>
              <w:rPr>
                <w:rFonts w:hAnsi="宋体"/>
                <w:color w:val="auto"/>
                <w:spacing w:val="-6"/>
                <w:szCs w:val="21"/>
                <w:highlight w:val="none"/>
              </w:rPr>
              <w:t>，</w:t>
            </w:r>
            <w:r>
              <w:rPr>
                <w:rFonts w:asciiTheme="minorEastAsia" w:hAnsiTheme="minorEastAsia" w:eastAsiaTheme="minorEastAsia"/>
                <w:color w:val="auto"/>
                <w:spacing w:val="-6"/>
                <w:szCs w:val="21"/>
                <w:highlight w:val="none"/>
              </w:rPr>
              <w:t>“较差但可行”</w:t>
            </w:r>
            <w:r>
              <w:rPr>
                <w:rFonts w:hAnsi="宋体"/>
                <w:color w:val="auto"/>
                <w:spacing w:val="-6"/>
                <w:szCs w:val="21"/>
                <w:highlight w:val="none"/>
              </w:rPr>
              <w:t>计</w:t>
            </w:r>
            <w:r>
              <w:rPr>
                <w:color w:val="auto"/>
                <w:spacing w:val="-6"/>
                <w:szCs w:val="21"/>
                <w:highlight w:val="none"/>
              </w:rPr>
              <w:t>60%</w:t>
            </w:r>
            <w:r>
              <w:rPr>
                <w:rFonts w:hAnsi="宋体"/>
                <w:color w:val="auto"/>
                <w:spacing w:val="-6"/>
                <w:szCs w:val="21"/>
                <w:highlight w:val="none"/>
              </w:rPr>
              <w:t>～</w:t>
            </w:r>
            <w:r>
              <w:rPr>
                <w:color w:val="auto"/>
                <w:spacing w:val="-6"/>
                <w:szCs w:val="21"/>
                <w:highlight w:val="none"/>
              </w:rPr>
              <w:t>70%</w:t>
            </w:r>
            <w:r>
              <w:rPr>
                <w:rFonts w:hAnsi="宋体"/>
                <w:color w:val="auto"/>
                <w:spacing w:val="-6"/>
                <w:szCs w:val="21"/>
                <w:highlight w:val="none"/>
              </w:rPr>
              <w:t>，评标委员会成员对各项因素的评分一般不得低于招标文件规定该因素满分值的</w:t>
            </w:r>
            <w:r>
              <w:rPr>
                <w:color w:val="auto"/>
                <w:spacing w:val="-6"/>
                <w:szCs w:val="21"/>
                <w:highlight w:val="none"/>
              </w:rPr>
              <w:t>60%</w:t>
            </w:r>
            <w:r>
              <w:rPr>
                <w:rFonts w:hAnsi="宋体"/>
                <w:color w:val="auto"/>
                <w:spacing w:val="-6"/>
                <w:szCs w:val="21"/>
                <w:highlight w:val="none"/>
              </w:rPr>
              <w:t>，低于满分值</w:t>
            </w:r>
            <w:r>
              <w:rPr>
                <w:color w:val="auto"/>
                <w:spacing w:val="-6"/>
                <w:szCs w:val="21"/>
                <w:highlight w:val="none"/>
              </w:rPr>
              <w:t>60%</w:t>
            </w:r>
            <w:r>
              <w:rPr>
                <w:rFonts w:hAnsi="宋体"/>
                <w:color w:val="auto"/>
                <w:spacing w:val="-6"/>
                <w:szCs w:val="21"/>
                <w:highlight w:val="none"/>
              </w:rPr>
              <w:t>的，评标委员会成员应当在评标报告中作出说明。评标委员会对此将作为细微偏差对投标人技术建议书予以适当扣分。</w:t>
            </w:r>
          </w:p>
          <w:p>
            <w:pPr>
              <w:keepNext w:val="0"/>
              <w:keepLines w:val="0"/>
              <w:pageBreakBefore w:val="0"/>
              <w:widowControl w:val="0"/>
              <w:kinsoku/>
              <w:wordWrap/>
              <w:overflowPunct/>
              <w:topLinePunct w:val="0"/>
              <w:bidi w:val="0"/>
              <w:adjustRightInd w:val="0"/>
              <w:spacing w:line="260" w:lineRule="exact"/>
              <w:ind w:left="141" w:leftChars="67" w:firstLine="312"/>
              <w:textAlignment w:val="baseline"/>
              <w:rPr>
                <w:color w:val="auto"/>
                <w:szCs w:val="21"/>
                <w:highlight w:val="none"/>
              </w:rPr>
            </w:pPr>
            <w:r>
              <w:rPr>
                <w:rFonts w:hAnsi="宋体"/>
                <w:color w:val="auto"/>
                <w:spacing w:val="-6"/>
                <w:szCs w:val="21"/>
                <w:highlight w:val="none"/>
              </w:rPr>
              <w:t>本项目由评标委员会按照上述规定，独立评分并签名，各项目以专家打分的平均值确定</w:t>
            </w:r>
            <w:r>
              <w:rPr>
                <w:color w:val="auto"/>
                <w:szCs w:val="21"/>
                <w:highlight w:val="none"/>
              </w:rPr>
              <w:t>（当评标委员会成员为5人时该平均值以各成员打分的算术平均值确定；当评标委员会成员为7人及以上时，该平均值以去掉一个最高分和一个最低分后的平均值计算）</w:t>
            </w:r>
            <w:r>
              <w:rPr>
                <w:rFonts w:hAnsi="宋体"/>
                <w:color w:val="auto"/>
                <w:spacing w:val="-6"/>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958" w:type="dxa"/>
            <w:vMerge w:val="continue"/>
            <w:vAlign w:val="center"/>
          </w:tcPr>
          <w:p>
            <w:pPr>
              <w:keepNext w:val="0"/>
              <w:keepLines w:val="0"/>
              <w:pageBreakBefore w:val="0"/>
              <w:widowControl w:val="0"/>
              <w:kinsoku/>
              <w:wordWrap/>
              <w:overflowPunct/>
              <w:topLinePunct w:val="0"/>
              <w:bidi w:val="0"/>
              <w:adjustRightInd w:val="0"/>
              <w:spacing w:line="260" w:lineRule="exact"/>
              <w:ind w:left="141" w:leftChars="67" w:firstLine="312"/>
              <w:jc w:val="center"/>
              <w:textAlignment w:val="baseline"/>
              <w:rPr>
                <w:color w:val="auto"/>
                <w:szCs w:val="21"/>
                <w:highlight w:val="none"/>
              </w:rPr>
            </w:pPr>
          </w:p>
        </w:tc>
        <w:tc>
          <w:tcPr>
            <w:tcW w:w="1367" w:type="dxa"/>
            <w:gridSpan w:val="3"/>
            <w:vMerge w:val="continue"/>
            <w:vAlign w:val="center"/>
          </w:tcPr>
          <w:p>
            <w:pPr>
              <w:keepNext w:val="0"/>
              <w:keepLines w:val="0"/>
              <w:pageBreakBefore w:val="0"/>
              <w:widowControl w:val="0"/>
              <w:kinsoku/>
              <w:wordWrap/>
              <w:overflowPunct/>
              <w:topLinePunct w:val="0"/>
              <w:bidi w:val="0"/>
              <w:adjustRightInd w:val="0"/>
              <w:spacing w:line="260" w:lineRule="exact"/>
              <w:ind w:left="141" w:leftChars="67" w:firstLine="312"/>
              <w:jc w:val="center"/>
              <w:textAlignment w:val="baseline"/>
              <w:rPr>
                <w:color w:val="auto"/>
                <w:szCs w:val="21"/>
                <w:highlight w:val="none"/>
              </w:rPr>
            </w:pPr>
          </w:p>
        </w:tc>
        <w:tc>
          <w:tcPr>
            <w:tcW w:w="902" w:type="dxa"/>
            <w:vMerge w:val="continue"/>
            <w:vAlign w:val="center"/>
          </w:tcPr>
          <w:p>
            <w:pPr>
              <w:keepNext w:val="0"/>
              <w:keepLines w:val="0"/>
              <w:pageBreakBefore w:val="0"/>
              <w:widowControl w:val="0"/>
              <w:kinsoku/>
              <w:wordWrap/>
              <w:overflowPunct/>
              <w:topLinePunct w:val="0"/>
              <w:bidi w:val="0"/>
              <w:adjustRightInd w:val="0"/>
              <w:spacing w:line="260" w:lineRule="exact"/>
              <w:ind w:left="141" w:leftChars="67" w:firstLine="312"/>
              <w:textAlignment w:val="baseline"/>
              <w:rPr>
                <w:color w:val="auto"/>
                <w:szCs w:val="21"/>
                <w:highlight w:val="none"/>
              </w:rPr>
            </w:pPr>
          </w:p>
        </w:tc>
        <w:tc>
          <w:tcPr>
            <w:tcW w:w="1843" w:type="dxa"/>
            <w:vAlign w:val="center"/>
          </w:tcPr>
          <w:p>
            <w:pPr>
              <w:pStyle w:val="10"/>
              <w:keepNext w:val="0"/>
              <w:keepLines w:val="0"/>
              <w:pageBreakBefore w:val="0"/>
              <w:widowControl w:val="0"/>
              <w:kinsoku/>
              <w:wordWrap/>
              <w:overflowPunct/>
              <w:topLinePunct w:val="0"/>
              <w:bidi w:val="0"/>
              <w:adjustRightInd w:val="0"/>
              <w:spacing w:line="260" w:lineRule="exact"/>
              <w:textAlignment w:val="baseline"/>
              <w:rPr>
                <w:color w:val="auto"/>
                <w:szCs w:val="21"/>
                <w:highlight w:val="none"/>
              </w:rPr>
            </w:pPr>
            <w:r>
              <w:rPr>
                <w:color w:val="auto"/>
                <w:highlight w:val="none"/>
              </w:rPr>
              <w:t>现场监理机构设置与人员安排</w:t>
            </w:r>
          </w:p>
        </w:tc>
        <w:tc>
          <w:tcPr>
            <w:tcW w:w="992" w:type="dxa"/>
            <w:vAlign w:val="center"/>
          </w:tcPr>
          <w:p>
            <w:pPr>
              <w:pStyle w:val="10"/>
              <w:keepNext w:val="0"/>
              <w:keepLines w:val="0"/>
              <w:pageBreakBefore w:val="0"/>
              <w:widowControl w:val="0"/>
              <w:kinsoku/>
              <w:wordWrap/>
              <w:overflowPunct/>
              <w:topLinePunct w:val="0"/>
              <w:bidi w:val="0"/>
              <w:adjustRightInd w:val="0"/>
              <w:spacing w:line="260" w:lineRule="exact"/>
              <w:textAlignment w:val="baseline"/>
              <w:rPr>
                <w:color w:val="auto"/>
                <w:highlight w:val="none"/>
              </w:rPr>
            </w:pPr>
            <w:r>
              <w:rPr>
                <w:color w:val="auto"/>
                <w:highlight w:val="none"/>
              </w:rPr>
              <w:t>6分</w:t>
            </w:r>
          </w:p>
        </w:tc>
        <w:tc>
          <w:tcPr>
            <w:tcW w:w="3151" w:type="dxa"/>
            <w:gridSpan w:val="2"/>
            <w:vMerge w:val="continue"/>
            <w:vAlign w:val="center"/>
          </w:tcPr>
          <w:p>
            <w:pPr>
              <w:keepNext w:val="0"/>
              <w:keepLines w:val="0"/>
              <w:pageBreakBefore w:val="0"/>
              <w:widowControl w:val="0"/>
              <w:kinsoku/>
              <w:wordWrap/>
              <w:overflowPunct/>
              <w:topLinePunct w:val="0"/>
              <w:bidi w:val="0"/>
              <w:adjustRightInd w:val="0"/>
              <w:spacing w:line="260" w:lineRule="exact"/>
              <w:ind w:left="141" w:leftChars="67" w:firstLine="312"/>
              <w:textAlignment w:val="baseline"/>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958" w:type="dxa"/>
            <w:vMerge w:val="continue"/>
            <w:vAlign w:val="center"/>
          </w:tcPr>
          <w:p>
            <w:pPr>
              <w:keepNext w:val="0"/>
              <w:keepLines w:val="0"/>
              <w:pageBreakBefore w:val="0"/>
              <w:widowControl w:val="0"/>
              <w:kinsoku/>
              <w:wordWrap/>
              <w:overflowPunct/>
              <w:topLinePunct w:val="0"/>
              <w:bidi w:val="0"/>
              <w:adjustRightInd w:val="0"/>
              <w:spacing w:line="260" w:lineRule="exact"/>
              <w:ind w:left="141" w:leftChars="67" w:firstLine="312"/>
              <w:jc w:val="center"/>
              <w:textAlignment w:val="baseline"/>
              <w:rPr>
                <w:color w:val="auto"/>
                <w:szCs w:val="21"/>
                <w:highlight w:val="none"/>
              </w:rPr>
            </w:pPr>
          </w:p>
        </w:tc>
        <w:tc>
          <w:tcPr>
            <w:tcW w:w="1367" w:type="dxa"/>
            <w:gridSpan w:val="3"/>
            <w:vMerge w:val="continue"/>
            <w:vAlign w:val="center"/>
          </w:tcPr>
          <w:p>
            <w:pPr>
              <w:keepNext w:val="0"/>
              <w:keepLines w:val="0"/>
              <w:pageBreakBefore w:val="0"/>
              <w:widowControl w:val="0"/>
              <w:kinsoku/>
              <w:wordWrap/>
              <w:overflowPunct/>
              <w:topLinePunct w:val="0"/>
              <w:bidi w:val="0"/>
              <w:adjustRightInd w:val="0"/>
              <w:spacing w:line="260" w:lineRule="exact"/>
              <w:ind w:left="141" w:leftChars="67" w:firstLine="312"/>
              <w:jc w:val="center"/>
              <w:textAlignment w:val="baseline"/>
              <w:rPr>
                <w:color w:val="auto"/>
                <w:szCs w:val="21"/>
                <w:highlight w:val="none"/>
              </w:rPr>
            </w:pPr>
          </w:p>
        </w:tc>
        <w:tc>
          <w:tcPr>
            <w:tcW w:w="902" w:type="dxa"/>
            <w:vMerge w:val="continue"/>
            <w:vAlign w:val="center"/>
          </w:tcPr>
          <w:p>
            <w:pPr>
              <w:keepNext w:val="0"/>
              <w:keepLines w:val="0"/>
              <w:pageBreakBefore w:val="0"/>
              <w:widowControl w:val="0"/>
              <w:kinsoku/>
              <w:wordWrap/>
              <w:overflowPunct/>
              <w:topLinePunct w:val="0"/>
              <w:bidi w:val="0"/>
              <w:adjustRightInd w:val="0"/>
              <w:spacing w:line="260" w:lineRule="exact"/>
              <w:ind w:left="141" w:leftChars="67" w:firstLine="312"/>
              <w:textAlignment w:val="baseline"/>
              <w:rPr>
                <w:color w:val="auto"/>
                <w:szCs w:val="21"/>
                <w:highlight w:val="none"/>
              </w:rPr>
            </w:pPr>
          </w:p>
        </w:tc>
        <w:tc>
          <w:tcPr>
            <w:tcW w:w="1843" w:type="dxa"/>
            <w:vAlign w:val="center"/>
          </w:tcPr>
          <w:p>
            <w:pPr>
              <w:pStyle w:val="10"/>
              <w:keepNext w:val="0"/>
              <w:keepLines w:val="0"/>
              <w:pageBreakBefore w:val="0"/>
              <w:widowControl w:val="0"/>
              <w:kinsoku/>
              <w:wordWrap/>
              <w:overflowPunct/>
              <w:topLinePunct w:val="0"/>
              <w:bidi w:val="0"/>
              <w:adjustRightInd w:val="0"/>
              <w:spacing w:line="260" w:lineRule="exact"/>
              <w:textAlignment w:val="baseline"/>
              <w:rPr>
                <w:color w:val="auto"/>
                <w:szCs w:val="21"/>
                <w:highlight w:val="none"/>
              </w:rPr>
            </w:pPr>
            <w:r>
              <w:rPr>
                <w:color w:val="auto"/>
                <w:highlight w:val="none"/>
              </w:rPr>
              <w:t>监理仪器、设备和设施的配备</w:t>
            </w:r>
          </w:p>
        </w:tc>
        <w:tc>
          <w:tcPr>
            <w:tcW w:w="992" w:type="dxa"/>
            <w:vAlign w:val="center"/>
          </w:tcPr>
          <w:p>
            <w:pPr>
              <w:pStyle w:val="10"/>
              <w:keepNext w:val="0"/>
              <w:keepLines w:val="0"/>
              <w:pageBreakBefore w:val="0"/>
              <w:widowControl w:val="0"/>
              <w:kinsoku/>
              <w:wordWrap/>
              <w:overflowPunct/>
              <w:topLinePunct w:val="0"/>
              <w:bidi w:val="0"/>
              <w:adjustRightInd w:val="0"/>
              <w:spacing w:line="260" w:lineRule="exact"/>
              <w:textAlignment w:val="baseline"/>
              <w:rPr>
                <w:color w:val="auto"/>
                <w:highlight w:val="none"/>
              </w:rPr>
            </w:pPr>
            <w:r>
              <w:rPr>
                <w:color w:val="auto"/>
                <w:highlight w:val="none"/>
              </w:rPr>
              <w:t>4分</w:t>
            </w:r>
          </w:p>
        </w:tc>
        <w:tc>
          <w:tcPr>
            <w:tcW w:w="3151" w:type="dxa"/>
            <w:gridSpan w:val="2"/>
            <w:vMerge w:val="continue"/>
            <w:vAlign w:val="center"/>
          </w:tcPr>
          <w:p>
            <w:pPr>
              <w:keepNext w:val="0"/>
              <w:keepLines w:val="0"/>
              <w:pageBreakBefore w:val="0"/>
              <w:widowControl w:val="0"/>
              <w:kinsoku/>
              <w:wordWrap/>
              <w:overflowPunct/>
              <w:topLinePunct w:val="0"/>
              <w:bidi w:val="0"/>
              <w:adjustRightInd w:val="0"/>
              <w:spacing w:line="260" w:lineRule="exact"/>
              <w:ind w:left="141" w:leftChars="67" w:firstLine="312"/>
              <w:textAlignment w:val="baseline"/>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958" w:type="dxa"/>
            <w:vMerge w:val="continue"/>
            <w:vAlign w:val="center"/>
          </w:tcPr>
          <w:p>
            <w:pPr>
              <w:keepNext w:val="0"/>
              <w:keepLines w:val="0"/>
              <w:pageBreakBefore w:val="0"/>
              <w:widowControl w:val="0"/>
              <w:kinsoku/>
              <w:wordWrap/>
              <w:overflowPunct/>
              <w:topLinePunct w:val="0"/>
              <w:bidi w:val="0"/>
              <w:adjustRightInd w:val="0"/>
              <w:spacing w:line="260" w:lineRule="exact"/>
              <w:ind w:left="141" w:leftChars="67" w:firstLine="312"/>
              <w:jc w:val="center"/>
              <w:textAlignment w:val="baseline"/>
              <w:rPr>
                <w:color w:val="auto"/>
                <w:szCs w:val="21"/>
                <w:highlight w:val="none"/>
              </w:rPr>
            </w:pPr>
          </w:p>
        </w:tc>
        <w:tc>
          <w:tcPr>
            <w:tcW w:w="1367" w:type="dxa"/>
            <w:gridSpan w:val="3"/>
            <w:vMerge w:val="continue"/>
            <w:vAlign w:val="center"/>
          </w:tcPr>
          <w:p>
            <w:pPr>
              <w:keepNext w:val="0"/>
              <w:keepLines w:val="0"/>
              <w:pageBreakBefore w:val="0"/>
              <w:widowControl w:val="0"/>
              <w:kinsoku/>
              <w:wordWrap/>
              <w:overflowPunct/>
              <w:topLinePunct w:val="0"/>
              <w:bidi w:val="0"/>
              <w:adjustRightInd w:val="0"/>
              <w:spacing w:line="260" w:lineRule="exact"/>
              <w:ind w:left="141" w:leftChars="67" w:firstLine="312"/>
              <w:jc w:val="center"/>
              <w:textAlignment w:val="baseline"/>
              <w:rPr>
                <w:color w:val="auto"/>
                <w:szCs w:val="21"/>
                <w:highlight w:val="none"/>
              </w:rPr>
            </w:pPr>
          </w:p>
        </w:tc>
        <w:tc>
          <w:tcPr>
            <w:tcW w:w="902" w:type="dxa"/>
            <w:vMerge w:val="continue"/>
            <w:vAlign w:val="center"/>
          </w:tcPr>
          <w:p>
            <w:pPr>
              <w:keepNext w:val="0"/>
              <w:keepLines w:val="0"/>
              <w:pageBreakBefore w:val="0"/>
              <w:widowControl w:val="0"/>
              <w:kinsoku/>
              <w:wordWrap/>
              <w:overflowPunct/>
              <w:topLinePunct w:val="0"/>
              <w:bidi w:val="0"/>
              <w:adjustRightInd w:val="0"/>
              <w:spacing w:line="260" w:lineRule="exact"/>
              <w:ind w:left="141" w:leftChars="67" w:firstLine="312"/>
              <w:textAlignment w:val="baseline"/>
              <w:rPr>
                <w:color w:val="auto"/>
                <w:szCs w:val="21"/>
                <w:highlight w:val="none"/>
              </w:rPr>
            </w:pPr>
          </w:p>
        </w:tc>
        <w:tc>
          <w:tcPr>
            <w:tcW w:w="1843" w:type="dxa"/>
            <w:vAlign w:val="center"/>
          </w:tcPr>
          <w:p>
            <w:pPr>
              <w:pStyle w:val="10"/>
              <w:keepNext w:val="0"/>
              <w:keepLines w:val="0"/>
              <w:pageBreakBefore w:val="0"/>
              <w:widowControl w:val="0"/>
              <w:kinsoku/>
              <w:wordWrap/>
              <w:overflowPunct/>
              <w:topLinePunct w:val="0"/>
              <w:bidi w:val="0"/>
              <w:adjustRightInd w:val="0"/>
              <w:spacing w:line="260" w:lineRule="exact"/>
              <w:textAlignment w:val="baseline"/>
              <w:rPr>
                <w:color w:val="auto"/>
                <w:szCs w:val="21"/>
                <w:highlight w:val="none"/>
              </w:rPr>
            </w:pPr>
            <w:r>
              <w:rPr>
                <w:color w:val="auto"/>
                <w:highlight w:val="none"/>
              </w:rPr>
              <w:t>监理工作程序</w:t>
            </w:r>
          </w:p>
        </w:tc>
        <w:tc>
          <w:tcPr>
            <w:tcW w:w="992" w:type="dxa"/>
            <w:vAlign w:val="center"/>
          </w:tcPr>
          <w:p>
            <w:pPr>
              <w:pStyle w:val="10"/>
              <w:keepNext w:val="0"/>
              <w:keepLines w:val="0"/>
              <w:pageBreakBefore w:val="0"/>
              <w:widowControl w:val="0"/>
              <w:kinsoku/>
              <w:wordWrap/>
              <w:overflowPunct/>
              <w:topLinePunct w:val="0"/>
              <w:bidi w:val="0"/>
              <w:adjustRightInd w:val="0"/>
              <w:spacing w:line="260" w:lineRule="exact"/>
              <w:textAlignment w:val="baseline"/>
              <w:rPr>
                <w:color w:val="auto"/>
                <w:highlight w:val="none"/>
              </w:rPr>
            </w:pPr>
            <w:r>
              <w:rPr>
                <w:color w:val="auto"/>
                <w:highlight w:val="none"/>
              </w:rPr>
              <w:t>6分</w:t>
            </w:r>
          </w:p>
        </w:tc>
        <w:tc>
          <w:tcPr>
            <w:tcW w:w="3151" w:type="dxa"/>
            <w:gridSpan w:val="2"/>
            <w:vMerge w:val="continue"/>
            <w:vAlign w:val="center"/>
          </w:tcPr>
          <w:p>
            <w:pPr>
              <w:keepNext w:val="0"/>
              <w:keepLines w:val="0"/>
              <w:pageBreakBefore w:val="0"/>
              <w:widowControl w:val="0"/>
              <w:kinsoku/>
              <w:wordWrap/>
              <w:overflowPunct/>
              <w:topLinePunct w:val="0"/>
              <w:bidi w:val="0"/>
              <w:adjustRightInd w:val="0"/>
              <w:spacing w:line="260" w:lineRule="exact"/>
              <w:ind w:left="141" w:leftChars="67" w:firstLine="312"/>
              <w:textAlignment w:val="baseline"/>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958" w:type="dxa"/>
            <w:vMerge w:val="continue"/>
            <w:vAlign w:val="center"/>
          </w:tcPr>
          <w:p>
            <w:pPr>
              <w:keepNext w:val="0"/>
              <w:keepLines w:val="0"/>
              <w:pageBreakBefore w:val="0"/>
              <w:widowControl w:val="0"/>
              <w:kinsoku/>
              <w:wordWrap/>
              <w:overflowPunct/>
              <w:topLinePunct w:val="0"/>
              <w:bidi w:val="0"/>
              <w:adjustRightInd w:val="0"/>
              <w:spacing w:line="260" w:lineRule="exact"/>
              <w:ind w:left="141" w:leftChars="67" w:firstLine="312"/>
              <w:jc w:val="center"/>
              <w:textAlignment w:val="baseline"/>
              <w:rPr>
                <w:color w:val="auto"/>
                <w:szCs w:val="21"/>
                <w:highlight w:val="none"/>
              </w:rPr>
            </w:pPr>
          </w:p>
        </w:tc>
        <w:tc>
          <w:tcPr>
            <w:tcW w:w="1367" w:type="dxa"/>
            <w:gridSpan w:val="3"/>
            <w:vMerge w:val="continue"/>
            <w:vAlign w:val="center"/>
          </w:tcPr>
          <w:p>
            <w:pPr>
              <w:keepNext w:val="0"/>
              <w:keepLines w:val="0"/>
              <w:pageBreakBefore w:val="0"/>
              <w:widowControl w:val="0"/>
              <w:kinsoku/>
              <w:wordWrap/>
              <w:overflowPunct/>
              <w:topLinePunct w:val="0"/>
              <w:bidi w:val="0"/>
              <w:adjustRightInd w:val="0"/>
              <w:spacing w:line="260" w:lineRule="exact"/>
              <w:ind w:left="141" w:leftChars="67" w:firstLine="312"/>
              <w:jc w:val="center"/>
              <w:textAlignment w:val="baseline"/>
              <w:rPr>
                <w:color w:val="auto"/>
                <w:szCs w:val="21"/>
                <w:highlight w:val="none"/>
              </w:rPr>
            </w:pPr>
          </w:p>
        </w:tc>
        <w:tc>
          <w:tcPr>
            <w:tcW w:w="902" w:type="dxa"/>
            <w:vMerge w:val="continue"/>
            <w:vAlign w:val="center"/>
          </w:tcPr>
          <w:p>
            <w:pPr>
              <w:keepNext w:val="0"/>
              <w:keepLines w:val="0"/>
              <w:pageBreakBefore w:val="0"/>
              <w:widowControl w:val="0"/>
              <w:kinsoku/>
              <w:wordWrap/>
              <w:overflowPunct/>
              <w:topLinePunct w:val="0"/>
              <w:bidi w:val="0"/>
              <w:adjustRightInd w:val="0"/>
              <w:spacing w:line="260" w:lineRule="exact"/>
              <w:ind w:left="141" w:leftChars="67" w:firstLine="312"/>
              <w:textAlignment w:val="baseline"/>
              <w:rPr>
                <w:color w:val="auto"/>
                <w:szCs w:val="21"/>
                <w:highlight w:val="none"/>
              </w:rPr>
            </w:pPr>
          </w:p>
        </w:tc>
        <w:tc>
          <w:tcPr>
            <w:tcW w:w="1843" w:type="dxa"/>
            <w:vAlign w:val="center"/>
          </w:tcPr>
          <w:p>
            <w:pPr>
              <w:pStyle w:val="10"/>
              <w:keepNext w:val="0"/>
              <w:keepLines w:val="0"/>
              <w:pageBreakBefore w:val="0"/>
              <w:widowControl w:val="0"/>
              <w:kinsoku/>
              <w:wordWrap/>
              <w:overflowPunct/>
              <w:topLinePunct w:val="0"/>
              <w:bidi w:val="0"/>
              <w:adjustRightInd w:val="0"/>
              <w:spacing w:line="260" w:lineRule="exact"/>
              <w:textAlignment w:val="baseline"/>
              <w:rPr>
                <w:color w:val="auto"/>
                <w:szCs w:val="21"/>
                <w:highlight w:val="none"/>
              </w:rPr>
            </w:pPr>
            <w:r>
              <w:rPr>
                <w:color w:val="auto"/>
                <w:highlight w:val="none"/>
              </w:rPr>
              <w:t>监理大纲（或监理方案）和措施</w:t>
            </w:r>
          </w:p>
        </w:tc>
        <w:tc>
          <w:tcPr>
            <w:tcW w:w="992" w:type="dxa"/>
            <w:vAlign w:val="center"/>
          </w:tcPr>
          <w:p>
            <w:pPr>
              <w:pStyle w:val="10"/>
              <w:keepNext w:val="0"/>
              <w:keepLines w:val="0"/>
              <w:pageBreakBefore w:val="0"/>
              <w:widowControl w:val="0"/>
              <w:kinsoku/>
              <w:wordWrap/>
              <w:overflowPunct/>
              <w:topLinePunct w:val="0"/>
              <w:bidi w:val="0"/>
              <w:adjustRightInd w:val="0"/>
              <w:spacing w:line="260" w:lineRule="exact"/>
              <w:textAlignment w:val="baseline"/>
              <w:rPr>
                <w:color w:val="auto"/>
                <w:highlight w:val="none"/>
              </w:rPr>
            </w:pPr>
            <w:r>
              <w:rPr>
                <w:color w:val="auto"/>
                <w:highlight w:val="none"/>
              </w:rPr>
              <w:t>6分</w:t>
            </w:r>
          </w:p>
        </w:tc>
        <w:tc>
          <w:tcPr>
            <w:tcW w:w="3151" w:type="dxa"/>
            <w:gridSpan w:val="2"/>
            <w:vMerge w:val="continue"/>
            <w:vAlign w:val="center"/>
          </w:tcPr>
          <w:p>
            <w:pPr>
              <w:keepNext w:val="0"/>
              <w:keepLines w:val="0"/>
              <w:pageBreakBefore w:val="0"/>
              <w:widowControl w:val="0"/>
              <w:kinsoku/>
              <w:wordWrap/>
              <w:overflowPunct/>
              <w:topLinePunct w:val="0"/>
              <w:bidi w:val="0"/>
              <w:adjustRightInd w:val="0"/>
              <w:spacing w:line="260" w:lineRule="exact"/>
              <w:ind w:left="141" w:leftChars="67" w:firstLine="312"/>
              <w:textAlignment w:val="baseline"/>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958" w:type="dxa"/>
            <w:vMerge w:val="continue"/>
            <w:vAlign w:val="center"/>
          </w:tcPr>
          <w:p>
            <w:pPr>
              <w:keepNext w:val="0"/>
              <w:keepLines w:val="0"/>
              <w:pageBreakBefore w:val="0"/>
              <w:widowControl w:val="0"/>
              <w:kinsoku/>
              <w:wordWrap/>
              <w:overflowPunct/>
              <w:topLinePunct w:val="0"/>
              <w:bidi w:val="0"/>
              <w:adjustRightInd w:val="0"/>
              <w:spacing w:line="260" w:lineRule="exact"/>
              <w:ind w:left="141" w:leftChars="67" w:firstLine="312"/>
              <w:jc w:val="center"/>
              <w:textAlignment w:val="baseline"/>
              <w:rPr>
                <w:color w:val="auto"/>
                <w:szCs w:val="21"/>
                <w:highlight w:val="none"/>
              </w:rPr>
            </w:pPr>
          </w:p>
        </w:tc>
        <w:tc>
          <w:tcPr>
            <w:tcW w:w="1367" w:type="dxa"/>
            <w:gridSpan w:val="3"/>
            <w:vMerge w:val="continue"/>
            <w:vAlign w:val="center"/>
          </w:tcPr>
          <w:p>
            <w:pPr>
              <w:keepNext w:val="0"/>
              <w:keepLines w:val="0"/>
              <w:pageBreakBefore w:val="0"/>
              <w:widowControl w:val="0"/>
              <w:kinsoku/>
              <w:wordWrap/>
              <w:overflowPunct/>
              <w:topLinePunct w:val="0"/>
              <w:bidi w:val="0"/>
              <w:adjustRightInd w:val="0"/>
              <w:spacing w:line="260" w:lineRule="exact"/>
              <w:ind w:left="141" w:leftChars="67" w:firstLine="312"/>
              <w:jc w:val="center"/>
              <w:textAlignment w:val="baseline"/>
              <w:rPr>
                <w:color w:val="auto"/>
                <w:szCs w:val="21"/>
                <w:highlight w:val="none"/>
              </w:rPr>
            </w:pPr>
          </w:p>
        </w:tc>
        <w:tc>
          <w:tcPr>
            <w:tcW w:w="902" w:type="dxa"/>
            <w:vMerge w:val="continue"/>
            <w:vAlign w:val="center"/>
          </w:tcPr>
          <w:p>
            <w:pPr>
              <w:keepNext w:val="0"/>
              <w:keepLines w:val="0"/>
              <w:pageBreakBefore w:val="0"/>
              <w:widowControl w:val="0"/>
              <w:kinsoku/>
              <w:wordWrap/>
              <w:overflowPunct/>
              <w:topLinePunct w:val="0"/>
              <w:bidi w:val="0"/>
              <w:adjustRightInd w:val="0"/>
              <w:spacing w:line="260" w:lineRule="exact"/>
              <w:ind w:left="141" w:leftChars="67" w:firstLine="312"/>
              <w:textAlignment w:val="baseline"/>
              <w:rPr>
                <w:color w:val="auto"/>
                <w:szCs w:val="21"/>
                <w:highlight w:val="none"/>
              </w:rPr>
            </w:pPr>
          </w:p>
        </w:tc>
        <w:tc>
          <w:tcPr>
            <w:tcW w:w="1843" w:type="dxa"/>
            <w:vAlign w:val="center"/>
          </w:tcPr>
          <w:p>
            <w:pPr>
              <w:pStyle w:val="10"/>
              <w:keepNext w:val="0"/>
              <w:keepLines w:val="0"/>
              <w:pageBreakBefore w:val="0"/>
              <w:widowControl w:val="0"/>
              <w:kinsoku/>
              <w:wordWrap/>
              <w:overflowPunct/>
              <w:topLinePunct w:val="0"/>
              <w:bidi w:val="0"/>
              <w:adjustRightInd w:val="0"/>
              <w:spacing w:line="260" w:lineRule="exact"/>
              <w:textAlignment w:val="baseline"/>
              <w:rPr>
                <w:color w:val="auto"/>
                <w:szCs w:val="21"/>
                <w:highlight w:val="none"/>
              </w:rPr>
            </w:pPr>
            <w:r>
              <w:rPr>
                <w:color w:val="auto"/>
                <w:highlight w:val="none"/>
              </w:rPr>
              <w:t>本工程监理工作的重点与难点分析</w:t>
            </w:r>
          </w:p>
        </w:tc>
        <w:tc>
          <w:tcPr>
            <w:tcW w:w="992" w:type="dxa"/>
            <w:vAlign w:val="center"/>
          </w:tcPr>
          <w:p>
            <w:pPr>
              <w:pStyle w:val="10"/>
              <w:keepNext w:val="0"/>
              <w:keepLines w:val="0"/>
              <w:pageBreakBefore w:val="0"/>
              <w:widowControl w:val="0"/>
              <w:kinsoku/>
              <w:wordWrap/>
              <w:overflowPunct/>
              <w:topLinePunct w:val="0"/>
              <w:bidi w:val="0"/>
              <w:adjustRightInd w:val="0"/>
              <w:spacing w:line="260" w:lineRule="exact"/>
              <w:textAlignment w:val="baseline"/>
              <w:rPr>
                <w:color w:val="auto"/>
                <w:highlight w:val="none"/>
              </w:rPr>
            </w:pPr>
            <w:r>
              <w:rPr>
                <w:color w:val="auto"/>
                <w:highlight w:val="none"/>
              </w:rPr>
              <w:t>5分</w:t>
            </w:r>
          </w:p>
        </w:tc>
        <w:tc>
          <w:tcPr>
            <w:tcW w:w="3151" w:type="dxa"/>
            <w:gridSpan w:val="2"/>
            <w:vMerge w:val="continue"/>
            <w:vAlign w:val="center"/>
          </w:tcPr>
          <w:p>
            <w:pPr>
              <w:keepNext w:val="0"/>
              <w:keepLines w:val="0"/>
              <w:pageBreakBefore w:val="0"/>
              <w:widowControl w:val="0"/>
              <w:kinsoku/>
              <w:wordWrap/>
              <w:overflowPunct/>
              <w:topLinePunct w:val="0"/>
              <w:bidi w:val="0"/>
              <w:adjustRightInd w:val="0"/>
              <w:spacing w:line="260" w:lineRule="exact"/>
              <w:ind w:left="141" w:leftChars="67" w:firstLine="312"/>
              <w:textAlignment w:val="baseline"/>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958" w:type="dxa"/>
            <w:vMerge w:val="continue"/>
            <w:vAlign w:val="center"/>
          </w:tcPr>
          <w:p>
            <w:pPr>
              <w:keepNext w:val="0"/>
              <w:keepLines w:val="0"/>
              <w:pageBreakBefore w:val="0"/>
              <w:widowControl w:val="0"/>
              <w:kinsoku/>
              <w:wordWrap/>
              <w:overflowPunct/>
              <w:topLinePunct w:val="0"/>
              <w:bidi w:val="0"/>
              <w:adjustRightInd w:val="0"/>
              <w:spacing w:line="260" w:lineRule="exact"/>
              <w:ind w:left="141" w:leftChars="67" w:firstLine="312"/>
              <w:jc w:val="center"/>
              <w:textAlignment w:val="baseline"/>
              <w:rPr>
                <w:color w:val="auto"/>
                <w:szCs w:val="21"/>
                <w:highlight w:val="none"/>
              </w:rPr>
            </w:pPr>
          </w:p>
        </w:tc>
        <w:tc>
          <w:tcPr>
            <w:tcW w:w="1367" w:type="dxa"/>
            <w:gridSpan w:val="3"/>
            <w:vMerge w:val="continue"/>
            <w:vAlign w:val="center"/>
          </w:tcPr>
          <w:p>
            <w:pPr>
              <w:keepNext w:val="0"/>
              <w:keepLines w:val="0"/>
              <w:pageBreakBefore w:val="0"/>
              <w:widowControl w:val="0"/>
              <w:kinsoku/>
              <w:wordWrap/>
              <w:overflowPunct/>
              <w:topLinePunct w:val="0"/>
              <w:bidi w:val="0"/>
              <w:adjustRightInd w:val="0"/>
              <w:spacing w:line="260" w:lineRule="exact"/>
              <w:ind w:left="141" w:leftChars="67" w:firstLine="312"/>
              <w:jc w:val="center"/>
              <w:textAlignment w:val="baseline"/>
              <w:rPr>
                <w:color w:val="auto"/>
                <w:szCs w:val="21"/>
                <w:highlight w:val="none"/>
              </w:rPr>
            </w:pPr>
          </w:p>
        </w:tc>
        <w:tc>
          <w:tcPr>
            <w:tcW w:w="902" w:type="dxa"/>
            <w:vMerge w:val="continue"/>
            <w:vAlign w:val="center"/>
          </w:tcPr>
          <w:p>
            <w:pPr>
              <w:keepNext w:val="0"/>
              <w:keepLines w:val="0"/>
              <w:pageBreakBefore w:val="0"/>
              <w:widowControl w:val="0"/>
              <w:kinsoku/>
              <w:wordWrap/>
              <w:overflowPunct/>
              <w:topLinePunct w:val="0"/>
              <w:bidi w:val="0"/>
              <w:adjustRightInd w:val="0"/>
              <w:spacing w:line="260" w:lineRule="exact"/>
              <w:ind w:left="141" w:leftChars="67" w:firstLine="312"/>
              <w:textAlignment w:val="baseline"/>
              <w:rPr>
                <w:color w:val="auto"/>
                <w:szCs w:val="21"/>
                <w:highlight w:val="none"/>
              </w:rPr>
            </w:pPr>
          </w:p>
        </w:tc>
        <w:tc>
          <w:tcPr>
            <w:tcW w:w="1843" w:type="dxa"/>
            <w:vAlign w:val="center"/>
          </w:tcPr>
          <w:p>
            <w:pPr>
              <w:pStyle w:val="10"/>
              <w:keepNext w:val="0"/>
              <w:keepLines w:val="0"/>
              <w:pageBreakBefore w:val="0"/>
              <w:widowControl w:val="0"/>
              <w:kinsoku/>
              <w:wordWrap/>
              <w:overflowPunct/>
              <w:topLinePunct w:val="0"/>
              <w:bidi w:val="0"/>
              <w:adjustRightInd w:val="0"/>
              <w:spacing w:line="260" w:lineRule="exact"/>
              <w:textAlignment w:val="baseline"/>
              <w:rPr>
                <w:color w:val="auto"/>
                <w:szCs w:val="21"/>
                <w:highlight w:val="none"/>
              </w:rPr>
            </w:pPr>
            <w:r>
              <w:rPr>
                <w:color w:val="auto"/>
                <w:szCs w:val="21"/>
                <w:highlight w:val="none"/>
              </w:rPr>
              <w:t>对本工程的建议</w:t>
            </w:r>
          </w:p>
        </w:tc>
        <w:tc>
          <w:tcPr>
            <w:tcW w:w="992" w:type="dxa"/>
            <w:vAlign w:val="center"/>
          </w:tcPr>
          <w:p>
            <w:pPr>
              <w:pStyle w:val="10"/>
              <w:keepNext w:val="0"/>
              <w:keepLines w:val="0"/>
              <w:pageBreakBefore w:val="0"/>
              <w:widowControl w:val="0"/>
              <w:kinsoku/>
              <w:wordWrap/>
              <w:overflowPunct/>
              <w:topLinePunct w:val="0"/>
              <w:bidi w:val="0"/>
              <w:adjustRightInd w:val="0"/>
              <w:spacing w:line="260" w:lineRule="exact"/>
              <w:textAlignment w:val="baseline"/>
              <w:rPr>
                <w:color w:val="auto"/>
                <w:highlight w:val="none"/>
              </w:rPr>
            </w:pPr>
            <w:r>
              <w:rPr>
                <w:color w:val="auto"/>
                <w:highlight w:val="none"/>
              </w:rPr>
              <w:t>3分</w:t>
            </w:r>
          </w:p>
        </w:tc>
        <w:tc>
          <w:tcPr>
            <w:tcW w:w="3151" w:type="dxa"/>
            <w:gridSpan w:val="2"/>
            <w:vMerge w:val="continue"/>
            <w:vAlign w:val="center"/>
          </w:tcPr>
          <w:p>
            <w:pPr>
              <w:keepNext w:val="0"/>
              <w:keepLines w:val="0"/>
              <w:pageBreakBefore w:val="0"/>
              <w:widowControl w:val="0"/>
              <w:kinsoku/>
              <w:wordWrap/>
              <w:overflowPunct/>
              <w:topLinePunct w:val="0"/>
              <w:bidi w:val="0"/>
              <w:adjustRightInd w:val="0"/>
              <w:spacing w:line="260" w:lineRule="exact"/>
              <w:ind w:left="141" w:leftChars="67" w:firstLine="312"/>
              <w:textAlignment w:val="baseline"/>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958" w:type="dxa"/>
            <w:vMerge w:val="restart"/>
            <w:vAlign w:val="center"/>
          </w:tcPr>
          <w:p>
            <w:pPr>
              <w:pStyle w:val="10"/>
              <w:keepNext w:val="0"/>
              <w:keepLines w:val="0"/>
              <w:pageBreakBefore w:val="0"/>
              <w:widowControl w:val="0"/>
              <w:kinsoku/>
              <w:wordWrap/>
              <w:overflowPunct/>
              <w:topLinePunct w:val="0"/>
              <w:bidi w:val="0"/>
              <w:adjustRightInd w:val="0"/>
              <w:spacing w:line="260" w:lineRule="exact"/>
              <w:textAlignment w:val="baseline"/>
              <w:rPr>
                <w:color w:val="auto"/>
                <w:highlight w:val="none"/>
              </w:rPr>
            </w:pPr>
            <w:r>
              <w:rPr>
                <w:color w:val="auto"/>
                <w:highlight w:val="none"/>
              </w:rPr>
              <w:t>2.2.4（2）</w:t>
            </w:r>
          </w:p>
        </w:tc>
        <w:tc>
          <w:tcPr>
            <w:tcW w:w="1367" w:type="dxa"/>
            <w:gridSpan w:val="3"/>
            <w:vMerge w:val="restart"/>
            <w:vAlign w:val="center"/>
          </w:tcPr>
          <w:p>
            <w:pPr>
              <w:pStyle w:val="10"/>
              <w:keepNext w:val="0"/>
              <w:keepLines w:val="0"/>
              <w:pageBreakBefore w:val="0"/>
              <w:widowControl w:val="0"/>
              <w:kinsoku/>
              <w:wordWrap/>
              <w:overflowPunct/>
              <w:topLinePunct w:val="0"/>
              <w:bidi w:val="0"/>
              <w:adjustRightInd w:val="0"/>
              <w:spacing w:line="260" w:lineRule="exact"/>
              <w:textAlignment w:val="baseline"/>
              <w:rPr>
                <w:color w:val="auto"/>
                <w:highlight w:val="none"/>
              </w:rPr>
            </w:pPr>
            <w:r>
              <w:rPr>
                <w:color w:val="auto"/>
                <w:highlight w:val="none"/>
              </w:rPr>
              <w:t>主要人员</w:t>
            </w:r>
          </w:p>
        </w:tc>
        <w:tc>
          <w:tcPr>
            <w:tcW w:w="902" w:type="dxa"/>
            <w:vMerge w:val="restart"/>
            <w:vAlign w:val="center"/>
          </w:tcPr>
          <w:p>
            <w:pPr>
              <w:pStyle w:val="10"/>
              <w:keepNext w:val="0"/>
              <w:keepLines w:val="0"/>
              <w:pageBreakBefore w:val="0"/>
              <w:widowControl w:val="0"/>
              <w:kinsoku/>
              <w:wordWrap/>
              <w:overflowPunct/>
              <w:topLinePunct w:val="0"/>
              <w:bidi w:val="0"/>
              <w:adjustRightInd w:val="0"/>
              <w:spacing w:line="260" w:lineRule="exact"/>
              <w:textAlignment w:val="baseline"/>
              <w:rPr>
                <w:color w:val="auto"/>
                <w:highlight w:val="none"/>
              </w:rPr>
            </w:pPr>
            <w:r>
              <w:rPr>
                <w:rFonts w:hint="eastAsia"/>
                <w:color w:val="auto"/>
                <w:highlight w:val="none"/>
                <w:lang w:val="en-US" w:eastAsia="zh-CN"/>
              </w:rPr>
              <w:t>30</w:t>
            </w:r>
            <w:r>
              <w:rPr>
                <w:color w:val="auto"/>
                <w:highlight w:val="none"/>
              </w:rPr>
              <w:t>分</w:t>
            </w:r>
          </w:p>
        </w:tc>
        <w:tc>
          <w:tcPr>
            <w:tcW w:w="1843" w:type="dxa"/>
            <w:vAlign w:val="center"/>
          </w:tcPr>
          <w:p>
            <w:pPr>
              <w:pStyle w:val="10"/>
              <w:keepNext w:val="0"/>
              <w:keepLines w:val="0"/>
              <w:pageBreakBefore w:val="0"/>
              <w:widowControl w:val="0"/>
              <w:kinsoku/>
              <w:wordWrap/>
              <w:overflowPunct/>
              <w:topLinePunct w:val="0"/>
              <w:bidi w:val="0"/>
              <w:adjustRightInd w:val="0"/>
              <w:spacing w:line="260" w:lineRule="exact"/>
              <w:textAlignment w:val="baseline"/>
              <w:rPr>
                <w:color w:val="auto"/>
                <w:highlight w:val="none"/>
              </w:rPr>
            </w:pPr>
            <w:r>
              <w:rPr>
                <w:color w:val="auto"/>
                <w:highlight w:val="none"/>
              </w:rPr>
              <w:t>驻地监理工程师任职资格</w:t>
            </w:r>
          </w:p>
        </w:tc>
        <w:tc>
          <w:tcPr>
            <w:tcW w:w="992" w:type="dxa"/>
            <w:vAlign w:val="center"/>
          </w:tcPr>
          <w:p>
            <w:pPr>
              <w:pStyle w:val="10"/>
              <w:keepNext w:val="0"/>
              <w:keepLines w:val="0"/>
              <w:pageBreakBefore w:val="0"/>
              <w:widowControl w:val="0"/>
              <w:kinsoku/>
              <w:wordWrap/>
              <w:overflowPunct/>
              <w:topLinePunct w:val="0"/>
              <w:bidi w:val="0"/>
              <w:adjustRightInd w:val="0"/>
              <w:spacing w:line="260" w:lineRule="exact"/>
              <w:textAlignment w:val="baseline"/>
              <w:rPr>
                <w:color w:val="auto"/>
                <w:highlight w:val="none"/>
              </w:rPr>
            </w:pPr>
            <w:r>
              <w:rPr>
                <w:rFonts w:hint="eastAsia"/>
                <w:color w:val="auto"/>
                <w:highlight w:val="none"/>
                <w:lang w:val="en-US" w:eastAsia="zh-CN"/>
              </w:rPr>
              <w:t>18</w:t>
            </w:r>
            <w:r>
              <w:rPr>
                <w:color w:val="auto"/>
                <w:highlight w:val="none"/>
              </w:rPr>
              <w:t>分</w:t>
            </w:r>
          </w:p>
        </w:tc>
        <w:tc>
          <w:tcPr>
            <w:tcW w:w="3151" w:type="dxa"/>
            <w:gridSpan w:val="2"/>
            <w:vAlign w:val="center"/>
          </w:tcPr>
          <w:p>
            <w:pPr>
              <w:pStyle w:val="10"/>
              <w:keepNext w:val="0"/>
              <w:keepLines w:val="0"/>
              <w:pageBreakBefore w:val="0"/>
              <w:widowControl w:val="0"/>
              <w:kinsoku/>
              <w:wordWrap/>
              <w:overflowPunct/>
              <w:topLinePunct w:val="0"/>
              <w:bidi w:val="0"/>
              <w:adjustRightInd w:val="0"/>
              <w:spacing w:line="260" w:lineRule="exact"/>
              <w:textAlignment w:val="baseline"/>
              <w:rPr>
                <w:color w:val="auto"/>
                <w:highlight w:val="none"/>
              </w:rPr>
            </w:pPr>
            <w:r>
              <w:rPr>
                <w:color w:val="auto"/>
                <w:highlight w:val="none"/>
              </w:rPr>
              <w:t>驻地高级监理工程师资格要求满足招标文件最低要求的得16分；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958" w:type="dxa"/>
            <w:vMerge w:val="continue"/>
            <w:vAlign w:val="center"/>
          </w:tcPr>
          <w:p>
            <w:pPr>
              <w:keepNext w:val="0"/>
              <w:keepLines w:val="0"/>
              <w:pageBreakBefore w:val="0"/>
              <w:widowControl w:val="0"/>
              <w:kinsoku/>
              <w:wordWrap/>
              <w:overflowPunct/>
              <w:topLinePunct w:val="0"/>
              <w:bidi w:val="0"/>
              <w:adjustRightInd w:val="0"/>
              <w:spacing w:line="260" w:lineRule="exact"/>
              <w:ind w:left="141" w:leftChars="67" w:firstLine="312"/>
              <w:jc w:val="center"/>
              <w:textAlignment w:val="baseline"/>
              <w:rPr>
                <w:color w:val="auto"/>
                <w:szCs w:val="21"/>
                <w:highlight w:val="none"/>
              </w:rPr>
            </w:pPr>
          </w:p>
        </w:tc>
        <w:tc>
          <w:tcPr>
            <w:tcW w:w="1367" w:type="dxa"/>
            <w:gridSpan w:val="3"/>
            <w:vMerge w:val="continue"/>
            <w:vAlign w:val="center"/>
          </w:tcPr>
          <w:p>
            <w:pPr>
              <w:keepNext w:val="0"/>
              <w:keepLines w:val="0"/>
              <w:pageBreakBefore w:val="0"/>
              <w:widowControl w:val="0"/>
              <w:kinsoku/>
              <w:wordWrap/>
              <w:overflowPunct/>
              <w:topLinePunct w:val="0"/>
              <w:bidi w:val="0"/>
              <w:adjustRightInd w:val="0"/>
              <w:spacing w:line="260" w:lineRule="exact"/>
              <w:ind w:left="141" w:leftChars="67" w:firstLine="312"/>
              <w:jc w:val="center"/>
              <w:textAlignment w:val="baseline"/>
              <w:rPr>
                <w:color w:val="auto"/>
                <w:szCs w:val="21"/>
                <w:highlight w:val="none"/>
              </w:rPr>
            </w:pPr>
          </w:p>
        </w:tc>
        <w:tc>
          <w:tcPr>
            <w:tcW w:w="902" w:type="dxa"/>
            <w:vMerge w:val="continue"/>
            <w:vAlign w:val="center"/>
          </w:tcPr>
          <w:p>
            <w:pPr>
              <w:keepNext w:val="0"/>
              <w:keepLines w:val="0"/>
              <w:pageBreakBefore w:val="0"/>
              <w:widowControl w:val="0"/>
              <w:kinsoku/>
              <w:wordWrap/>
              <w:overflowPunct/>
              <w:topLinePunct w:val="0"/>
              <w:bidi w:val="0"/>
              <w:adjustRightInd w:val="0"/>
              <w:spacing w:line="260" w:lineRule="exact"/>
              <w:ind w:left="141" w:leftChars="67" w:firstLine="312"/>
              <w:textAlignment w:val="baseline"/>
              <w:rPr>
                <w:color w:val="auto"/>
                <w:szCs w:val="21"/>
                <w:highlight w:val="none"/>
              </w:rPr>
            </w:pPr>
          </w:p>
        </w:tc>
        <w:tc>
          <w:tcPr>
            <w:tcW w:w="1843" w:type="dxa"/>
            <w:vAlign w:val="center"/>
          </w:tcPr>
          <w:p>
            <w:pPr>
              <w:pStyle w:val="10"/>
              <w:keepNext w:val="0"/>
              <w:keepLines w:val="0"/>
              <w:pageBreakBefore w:val="0"/>
              <w:widowControl w:val="0"/>
              <w:kinsoku/>
              <w:wordWrap/>
              <w:overflowPunct/>
              <w:topLinePunct w:val="0"/>
              <w:bidi w:val="0"/>
              <w:adjustRightInd w:val="0"/>
              <w:spacing w:line="260" w:lineRule="exact"/>
              <w:textAlignment w:val="baseline"/>
              <w:rPr>
                <w:color w:val="auto"/>
                <w:highlight w:val="none"/>
              </w:rPr>
            </w:pPr>
            <w:r>
              <w:rPr>
                <w:color w:val="auto"/>
                <w:highlight w:val="none"/>
              </w:rPr>
              <w:t>驻地监理工程师业绩</w:t>
            </w:r>
          </w:p>
        </w:tc>
        <w:tc>
          <w:tcPr>
            <w:tcW w:w="992" w:type="dxa"/>
            <w:vAlign w:val="center"/>
          </w:tcPr>
          <w:p>
            <w:pPr>
              <w:pStyle w:val="10"/>
              <w:keepNext w:val="0"/>
              <w:keepLines w:val="0"/>
              <w:pageBreakBefore w:val="0"/>
              <w:widowControl w:val="0"/>
              <w:kinsoku/>
              <w:wordWrap/>
              <w:overflowPunct/>
              <w:topLinePunct w:val="0"/>
              <w:bidi w:val="0"/>
              <w:adjustRightInd w:val="0"/>
              <w:spacing w:line="260" w:lineRule="exact"/>
              <w:textAlignment w:val="baseline"/>
              <w:rPr>
                <w:color w:val="auto"/>
                <w:highlight w:val="none"/>
              </w:rPr>
            </w:pPr>
            <w:r>
              <w:rPr>
                <w:color w:val="auto"/>
                <w:highlight w:val="none"/>
              </w:rPr>
              <w:t>12分</w:t>
            </w:r>
          </w:p>
        </w:tc>
        <w:tc>
          <w:tcPr>
            <w:tcW w:w="3151" w:type="dxa"/>
            <w:gridSpan w:val="2"/>
            <w:vAlign w:val="center"/>
          </w:tcPr>
          <w:p>
            <w:pPr>
              <w:pStyle w:val="10"/>
              <w:keepNext w:val="0"/>
              <w:keepLines w:val="0"/>
              <w:pageBreakBefore w:val="0"/>
              <w:widowControl w:val="0"/>
              <w:kinsoku/>
              <w:wordWrap/>
              <w:overflowPunct/>
              <w:topLinePunct w:val="0"/>
              <w:bidi w:val="0"/>
              <w:adjustRightInd w:val="0"/>
              <w:spacing w:line="260" w:lineRule="exact"/>
              <w:textAlignment w:val="baseline"/>
              <w:rPr>
                <w:color w:val="auto"/>
                <w:highlight w:val="none"/>
              </w:rPr>
            </w:pPr>
            <w:r>
              <w:rPr>
                <w:color w:val="auto"/>
                <w:highlight w:val="none"/>
              </w:rPr>
              <w:t>每增加一个担任</w:t>
            </w:r>
            <w:r>
              <w:rPr>
                <w:rFonts w:hint="eastAsia"/>
                <w:color w:val="auto"/>
                <w:highlight w:val="none"/>
                <w:lang w:val="en-US" w:eastAsia="zh-CN"/>
              </w:rPr>
              <w:t>高速公路电力工程</w:t>
            </w:r>
            <w:r>
              <w:rPr>
                <w:color w:val="auto"/>
                <w:highlight w:val="none"/>
              </w:rPr>
              <w:t>总监理工程师或驻地监理工程师业绩加4分，总计加分不超过12分（需提供证明材料）。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8" w:hRule="atLeast"/>
        </w:trPr>
        <w:tc>
          <w:tcPr>
            <w:tcW w:w="958" w:type="dxa"/>
            <w:vAlign w:val="center"/>
          </w:tcPr>
          <w:p>
            <w:pPr>
              <w:keepNext w:val="0"/>
              <w:keepLines w:val="0"/>
              <w:pageBreakBefore w:val="0"/>
              <w:widowControl w:val="0"/>
              <w:kinsoku/>
              <w:wordWrap/>
              <w:overflowPunct/>
              <w:topLinePunct w:val="0"/>
              <w:bidi w:val="0"/>
              <w:adjustRightInd w:val="0"/>
              <w:spacing w:line="260" w:lineRule="exact"/>
              <w:ind w:left="141" w:leftChars="67" w:firstLine="312"/>
              <w:textAlignment w:val="baseline"/>
              <w:rPr>
                <w:rFonts w:hAnsi="宋体"/>
                <w:color w:val="auto"/>
                <w:spacing w:val="-6"/>
                <w:szCs w:val="21"/>
                <w:highlight w:val="none"/>
              </w:rPr>
            </w:pPr>
            <w:r>
              <w:rPr>
                <w:rFonts w:hAnsi="宋体"/>
                <w:color w:val="auto"/>
                <w:spacing w:val="-6"/>
                <w:szCs w:val="21"/>
                <w:highlight w:val="none"/>
              </w:rPr>
              <w:t>2.2.4（3）</w:t>
            </w:r>
          </w:p>
        </w:tc>
        <w:tc>
          <w:tcPr>
            <w:tcW w:w="1367" w:type="dxa"/>
            <w:gridSpan w:val="3"/>
            <w:vAlign w:val="center"/>
          </w:tcPr>
          <w:p>
            <w:pPr>
              <w:keepNext w:val="0"/>
              <w:keepLines w:val="0"/>
              <w:pageBreakBefore w:val="0"/>
              <w:widowControl w:val="0"/>
              <w:kinsoku/>
              <w:wordWrap/>
              <w:overflowPunct/>
              <w:topLinePunct w:val="0"/>
              <w:bidi w:val="0"/>
              <w:adjustRightInd w:val="0"/>
              <w:spacing w:line="260" w:lineRule="exact"/>
              <w:ind w:left="141" w:leftChars="67" w:firstLine="312"/>
              <w:textAlignment w:val="baseline"/>
              <w:rPr>
                <w:rFonts w:hAnsi="宋体"/>
                <w:color w:val="auto"/>
                <w:spacing w:val="-6"/>
                <w:szCs w:val="21"/>
                <w:highlight w:val="none"/>
              </w:rPr>
            </w:pPr>
            <w:r>
              <w:rPr>
                <w:rFonts w:hAnsi="宋体"/>
                <w:color w:val="auto"/>
                <w:spacing w:val="-6"/>
                <w:szCs w:val="21"/>
                <w:highlight w:val="none"/>
              </w:rPr>
              <w:t>评标价</w:t>
            </w:r>
          </w:p>
        </w:tc>
        <w:tc>
          <w:tcPr>
            <w:tcW w:w="902" w:type="dxa"/>
            <w:vAlign w:val="center"/>
          </w:tcPr>
          <w:p>
            <w:pPr>
              <w:keepNext w:val="0"/>
              <w:keepLines w:val="0"/>
              <w:pageBreakBefore w:val="0"/>
              <w:widowControl w:val="0"/>
              <w:kinsoku/>
              <w:wordWrap/>
              <w:overflowPunct/>
              <w:topLinePunct w:val="0"/>
              <w:bidi w:val="0"/>
              <w:adjustRightInd w:val="0"/>
              <w:spacing w:line="260" w:lineRule="exact"/>
              <w:ind w:left="141" w:leftChars="67" w:firstLine="312"/>
              <w:textAlignment w:val="baseline"/>
              <w:rPr>
                <w:rFonts w:hAnsi="宋体"/>
                <w:color w:val="auto"/>
                <w:spacing w:val="-6"/>
                <w:szCs w:val="21"/>
                <w:highlight w:val="none"/>
              </w:rPr>
            </w:pPr>
            <w:r>
              <w:rPr>
                <w:rFonts w:hAnsi="宋体"/>
                <w:color w:val="auto"/>
                <w:spacing w:val="-6"/>
                <w:szCs w:val="21"/>
                <w:highlight w:val="none"/>
              </w:rPr>
              <w:t>10分</w:t>
            </w:r>
          </w:p>
        </w:tc>
        <w:tc>
          <w:tcPr>
            <w:tcW w:w="5986" w:type="dxa"/>
            <w:gridSpan w:val="4"/>
            <w:vAlign w:val="center"/>
          </w:tcPr>
          <w:p>
            <w:pPr>
              <w:keepNext w:val="0"/>
              <w:keepLines w:val="0"/>
              <w:pageBreakBefore w:val="0"/>
              <w:widowControl w:val="0"/>
              <w:kinsoku/>
              <w:wordWrap/>
              <w:overflowPunct/>
              <w:topLinePunct w:val="0"/>
              <w:bidi w:val="0"/>
              <w:adjustRightInd w:val="0"/>
              <w:spacing w:line="260" w:lineRule="exact"/>
              <w:ind w:left="141" w:leftChars="67" w:firstLine="312"/>
              <w:textAlignment w:val="baseline"/>
              <w:rPr>
                <w:rFonts w:hAnsi="宋体"/>
                <w:color w:val="auto"/>
                <w:spacing w:val="-6"/>
                <w:szCs w:val="21"/>
                <w:highlight w:val="none"/>
              </w:rPr>
            </w:pPr>
            <w:r>
              <w:rPr>
                <w:rFonts w:hAnsi="宋体"/>
                <w:color w:val="auto"/>
                <w:spacing w:val="-6"/>
                <w:szCs w:val="21"/>
                <w:highlight w:val="none"/>
              </w:rPr>
              <w:t>当投标人报价等于评标基准价时得满分。投标报价每高于评标基准价一个百分点扣0.2分；低于最高投标限价90%的投标报价不参与计算评标基准价，且每低于最高投标限价90%一个百分点扣0.2分；低于评标基准价但不低于最高投标限价90%的投标报价每低于评标基准价一个百分点扣0.1分。中间值按比例内插，四舍五入，保留两位小数。</w:t>
            </w:r>
          </w:p>
          <w:p>
            <w:pPr>
              <w:keepNext w:val="0"/>
              <w:keepLines w:val="0"/>
              <w:pageBreakBefore w:val="0"/>
              <w:widowControl w:val="0"/>
              <w:kinsoku/>
              <w:wordWrap/>
              <w:overflowPunct/>
              <w:topLinePunct w:val="0"/>
              <w:bidi w:val="0"/>
              <w:adjustRightInd w:val="0"/>
              <w:spacing w:line="260" w:lineRule="exact"/>
              <w:ind w:left="141" w:leftChars="67" w:firstLine="312"/>
              <w:textAlignment w:val="baseline"/>
              <w:rPr>
                <w:rFonts w:hAnsi="宋体"/>
                <w:color w:val="auto"/>
                <w:spacing w:val="-6"/>
                <w:szCs w:val="21"/>
                <w:highlight w:val="none"/>
              </w:rPr>
            </w:pPr>
            <w:r>
              <w:rPr>
                <w:rFonts w:hAnsi="宋体"/>
                <w:color w:val="auto"/>
                <w:spacing w:val="-6"/>
                <w:szCs w:val="21"/>
                <w:highlight w:val="none"/>
              </w:rPr>
              <w:t>用公式表示如下：</w:t>
            </w:r>
          </w:p>
          <w:p>
            <w:pPr>
              <w:keepNext w:val="0"/>
              <w:keepLines w:val="0"/>
              <w:pageBreakBefore w:val="0"/>
              <w:widowControl w:val="0"/>
              <w:kinsoku/>
              <w:wordWrap/>
              <w:overflowPunct/>
              <w:topLinePunct w:val="0"/>
              <w:bidi w:val="0"/>
              <w:adjustRightInd w:val="0"/>
              <w:spacing w:line="260" w:lineRule="exact"/>
              <w:ind w:left="141" w:leftChars="67" w:firstLine="312"/>
              <w:textAlignment w:val="baseline"/>
              <w:rPr>
                <w:rFonts w:hAnsi="宋体"/>
                <w:color w:val="auto"/>
                <w:spacing w:val="-6"/>
                <w:szCs w:val="21"/>
                <w:highlight w:val="none"/>
              </w:rPr>
            </w:pPr>
            <w:r>
              <w:rPr>
                <w:rFonts w:hAnsi="宋体"/>
                <w:color w:val="auto"/>
                <w:spacing w:val="-6"/>
                <w:szCs w:val="21"/>
                <w:highlight w:val="none"/>
              </w:rPr>
              <w:drawing>
                <wp:inline distT="0" distB="0" distL="0" distR="0">
                  <wp:extent cx="1765300" cy="405765"/>
                  <wp:effectExtent l="0" t="0" r="0" b="1397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4" cstate="print"/>
                          <a:srcRect/>
                          <a:stretch>
                            <a:fillRect/>
                          </a:stretch>
                        </pic:blipFill>
                        <pic:spPr>
                          <a:xfrm>
                            <a:off x="0" y="0"/>
                            <a:ext cx="1765300" cy="405765"/>
                          </a:xfrm>
                          <a:prstGeom prst="rect">
                            <a:avLst/>
                          </a:prstGeom>
                          <a:ln>
                            <a:noFill/>
                          </a:ln>
                        </pic:spPr>
                      </pic:pic>
                    </a:graphicData>
                  </a:graphic>
                </wp:inline>
              </w:drawing>
            </w:r>
          </w:p>
          <w:p>
            <w:pPr>
              <w:keepNext w:val="0"/>
              <w:keepLines w:val="0"/>
              <w:pageBreakBefore w:val="0"/>
              <w:widowControl w:val="0"/>
              <w:kinsoku/>
              <w:wordWrap/>
              <w:overflowPunct/>
              <w:topLinePunct w:val="0"/>
              <w:bidi w:val="0"/>
              <w:adjustRightInd w:val="0"/>
              <w:spacing w:line="260" w:lineRule="exact"/>
              <w:ind w:left="141" w:leftChars="67" w:firstLine="312"/>
              <w:textAlignment w:val="baseline"/>
              <w:rPr>
                <w:rFonts w:hAnsi="宋体"/>
                <w:color w:val="auto"/>
                <w:spacing w:val="-6"/>
                <w:szCs w:val="21"/>
                <w:highlight w:val="none"/>
              </w:rPr>
            </w:pPr>
            <w:r>
              <w:rPr>
                <w:rFonts w:hAnsi="宋体"/>
                <w:color w:val="auto"/>
                <w:spacing w:val="-6"/>
                <w:szCs w:val="21"/>
                <w:highlight w:val="none"/>
              </w:rPr>
              <w:t>式中：F1——投标人评标价得分；</w:t>
            </w:r>
          </w:p>
          <w:p>
            <w:pPr>
              <w:keepNext w:val="0"/>
              <w:keepLines w:val="0"/>
              <w:pageBreakBefore w:val="0"/>
              <w:widowControl w:val="0"/>
              <w:kinsoku/>
              <w:wordWrap/>
              <w:overflowPunct/>
              <w:topLinePunct w:val="0"/>
              <w:bidi w:val="0"/>
              <w:adjustRightInd w:val="0"/>
              <w:spacing w:line="260" w:lineRule="exact"/>
              <w:ind w:left="141" w:leftChars="67" w:firstLine="312"/>
              <w:textAlignment w:val="baseline"/>
              <w:rPr>
                <w:rFonts w:hAnsi="宋体"/>
                <w:color w:val="auto"/>
                <w:spacing w:val="-6"/>
                <w:szCs w:val="21"/>
                <w:highlight w:val="none"/>
              </w:rPr>
            </w:pPr>
            <w:r>
              <w:rPr>
                <w:rFonts w:hAnsi="宋体"/>
                <w:color w:val="auto"/>
                <w:spacing w:val="-6"/>
                <w:szCs w:val="21"/>
                <w:highlight w:val="none"/>
              </w:rPr>
              <w:t xml:space="preserve">      F——评标价得分所占的百分比权重，F=10；</w:t>
            </w:r>
          </w:p>
          <w:p>
            <w:pPr>
              <w:keepNext w:val="0"/>
              <w:keepLines w:val="0"/>
              <w:pageBreakBefore w:val="0"/>
              <w:widowControl w:val="0"/>
              <w:kinsoku/>
              <w:wordWrap/>
              <w:overflowPunct/>
              <w:topLinePunct w:val="0"/>
              <w:bidi w:val="0"/>
              <w:adjustRightInd w:val="0"/>
              <w:spacing w:line="260" w:lineRule="exact"/>
              <w:ind w:left="141" w:leftChars="67" w:firstLine="312"/>
              <w:textAlignment w:val="baseline"/>
              <w:rPr>
                <w:rFonts w:hAnsi="宋体"/>
                <w:color w:val="auto"/>
                <w:spacing w:val="-6"/>
                <w:szCs w:val="21"/>
                <w:highlight w:val="none"/>
              </w:rPr>
            </w:pPr>
            <w:r>
              <w:rPr>
                <w:rFonts w:hAnsi="宋体"/>
                <w:color w:val="auto"/>
                <w:spacing w:val="-6"/>
                <w:szCs w:val="21"/>
                <w:highlight w:val="none"/>
              </w:rPr>
              <w:t xml:space="preserve">      D1——投标人的投标报价；</w:t>
            </w:r>
          </w:p>
          <w:p>
            <w:pPr>
              <w:keepNext w:val="0"/>
              <w:keepLines w:val="0"/>
              <w:pageBreakBefore w:val="0"/>
              <w:widowControl w:val="0"/>
              <w:kinsoku/>
              <w:wordWrap/>
              <w:overflowPunct/>
              <w:topLinePunct w:val="0"/>
              <w:bidi w:val="0"/>
              <w:adjustRightInd w:val="0"/>
              <w:spacing w:line="260" w:lineRule="exact"/>
              <w:ind w:left="141" w:leftChars="67" w:firstLine="312"/>
              <w:textAlignment w:val="baseline"/>
              <w:rPr>
                <w:rFonts w:hAnsi="宋体"/>
                <w:color w:val="auto"/>
                <w:spacing w:val="-6"/>
                <w:szCs w:val="21"/>
                <w:highlight w:val="none"/>
              </w:rPr>
            </w:pPr>
            <w:r>
              <w:rPr>
                <w:rFonts w:hAnsi="宋体"/>
                <w:color w:val="auto"/>
                <w:spacing w:val="-6"/>
                <w:szCs w:val="21"/>
                <w:highlight w:val="none"/>
              </w:rPr>
              <w:t xml:space="preserve">      D——评标基准价。 </w:t>
            </w:r>
          </w:p>
          <w:p>
            <w:pPr>
              <w:keepNext w:val="0"/>
              <w:keepLines w:val="0"/>
              <w:pageBreakBefore w:val="0"/>
              <w:widowControl w:val="0"/>
              <w:kinsoku/>
              <w:wordWrap/>
              <w:overflowPunct/>
              <w:topLinePunct w:val="0"/>
              <w:bidi w:val="0"/>
              <w:adjustRightInd w:val="0"/>
              <w:spacing w:line="260" w:lineRule="exact"/>
              <w:ind w:left="141" w:leftChars="67" w:firstLine="312"/>
              <w:textAlignment w:val="baseline"/>
              <w:rPr>
                <w:rFonts w:hAnsi="宋体"/>
                <w:color w:val="auto"/>
                <w:spacing w:val="-6"/>
                <w:szCs w:val="21"/>
                <w:highlight w:val="none"/>
              </w:rPr>
            </w:pPr>
            <w:r>
              <w:rPr>
                <w:rFonts w:hAnsi="宋体"/>
                <w:color w:val="auto"/>
                <w:spacing w:val="-6"/>
                <w:szCs w:val="21"/>
                <w:highlight w:val="none"/>
              </w:rPr>
              <w:t xml:space="preserve">   若D1﹥D，则E=0.2；</w:t>
            </w:r>
          </w:p>
          <w:p>
            <w:pPr>
              <w:keepNext w:val="0"/>
              <w:keepLines w:val="0"/>
              <w:pageBreakBefore w:val="0"/>
              <w:widowControl w:val="0"/>
              <w:kinsoku/>
              <w:wordWrap/>
              <w:overflowPunct/>
              <w:topLinePunct w:val="0"/>
              <w:bidi w:val="0"/>
              <w:adjustRightInd w:val="0"/>
              <w:spacing w:line="260" w:lineRule="exact"/>
              <w:ind w:left="141" w:leftChars="67" w:firstLine="312"/>
              <w:textAlignment w:val="baseline"/>
              <w:rPr>
                <w:rFonts w:hAnsi="宋体"/>
                <w:color w:val="auto"/>
                <w:spacing w:val="-6"/>
                <w:szCs w:val="21"/>
                <w:highlight w:val="none"/>
              </w:rPr>
            </w:pPr>
            <w:r>
              <w:rPr>
                <w:rFonts w:hAnsi="宋体"/>
                <w:color w:val="auto"/>
                <w:spacing w:val="-6"/>
                <w:szCs w:val="21"/>
                <w:highlight w:val="none"/>
              </w:rPr>
              <w:t xml:space="preserve">   若D1＜ D，且D1≥最高限价90%，则E=0.1。</w:t>
            </w:r>
          </w:p>
          <w:p>
            <w:pPr>
              <w:keepNext w:val="0"/>
              <w:keepLines w:val="0"/>
              <w:pageBreakBefore w:val="0"/>
              <w:widowControl w:val="0"/>
              <w:kinsoku/>
              <w:wordWrap/>
              <w:overflowPunct/>
              <w:topLinePunct w:val="0"/>
              <w:bidi w:val="0"/>
              <w:adjustRightInd w:val="0"/>
              <w:spacing w:line="260" w:lineRule="exact"/>
              <w:ind w:left="141" w:leftChars="67" w:firstLine="312"/>
              <w:textAlignment w:val="baseline"/>
              <w:rPr>
                <w:rFonts w:hAnsi="宋体"/>
                <w:color w:val="auto"/>
                <w:spacing w:val="-6"/>
                <w:szCs w:val="21"/>
                <w:highlight w:val="none"/>
              </w:rPr>
            </w:pPr>
            <w:r>
              <w:rPr>
                <w:rFonts w:hAnsi="宋体"/>
                <w:color w:val="auto"/>
                <w:spacing w:val="-6"/>
                <w:szCs w:val="21"/>
                <w:highlight w:val="none"/>
              </w:rPr>
              <w:t xml:space="preserve">   若D1＜ 最高限价90%，则E=0.2，财务得分最低为0分。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958" w:type="dxa"/>
            <w:vAlign w:val="center"/>
          </w:tcPr>
          <w:p>
            <w:pPr>
              <w:pStyle w:val="10"/>
              <w:rPr>
                <w:color w:val="auto"/>
                <w:highlight w:val="none"/>
              </w:rPr>
            </w:pPr>
          </w:p>
          <w:p>
            <w:pPr>
              <w:pStyle w:val="10"/>
              <w:rPr>
                <w:color w:val="auto"/>
                <w:highlight w:val="none"/>
              </w:rPr>
            </w:pPr>
            <w:r>
              <w:rPr>
                <w:color w:val="auto"/>
                <w:highlight w:val="none"/>
              </w:rPr>
              <w:t>2.2.4（4）</w:t>
            </w:r>
          </w:p>
        </w:tc>
        <w:tc>
          <w:tcPr>
            <w:tcW w:w="600" w:type="dxa"/>
            <w:vAlign w:val="center"/>
          </w:tcPr>
          <w:p>
            <w:pPr>
              <w:pStyle w:val="10"/>
              <w:keepNext w:val="0"/>
              <w:keepLines w:val="0"/>
              <w:pageBreakBefore w:val="0"/>
              <w:widowControl w:val="0"/>
              <w:kinsoku/>
              <w:wordWrap/>
              <w:overflowPunct/>
              <w:topLinePunct w:val="0"/>
              <w:autoSpaceDE w:val="0"/>
              <w:autoSpaceDN w:val="0"/>
              <w:bidi w:val="0"/>
              <w:adjustRightInd w:val="0"/>
              <w:snapToGrid w:val="0"/>
              <w:spacing w:line="260" w:lineRule="exact"/>
              <w:textAlignment w:val="baseline"/>
              <w:rPr>
                <w:color w:val="auto"/>
                <w:highlight w:val="none"/>
              </w:rPr>
            </w:pPr>
            <w:r>
              <w:rPr>
                <w:color w:val="auto"/>
                <w:highlight w:val="none"/>
              </w:rPr>
              <w:t>其他因素</w:t>
            </w:r>
          </w:p>
        </w:tc>
        <w:tc>
          <w:tcPr>
            <w:tcW w:w="767" w:type="dxa"/>
            <w:gridSpan w:val="2"/>
            <w:vAlign w:val="center"/>
          </w:tcPr>
          <w:p>
            <w:pPr>
              <w:pStyle w:val="10"/>
              <w:rPr>
                <w:color w:val="auto"/>
                <w:highlight w:val="none"/>
              </w:rPr>
            </w:pPr>
            <w:r>
              <w:rPr>
                <w:color w:val="auto"/>
                <w:highlight w:val="none"/>
              </w:rPr>
              <w:t>业绩</w:t>
            </w:r>
          </w:p>
        </w:tc>
        <w:tc>
          <w:tcPr>
            <w:tcW w:w="902" w:type="dxa"/>
            <w:vAlign w:val="center"/>
          </w:tcPr>
          <w:p>
            <w:pPr>
              <w:pStyle w:val="10"/>
              <w:rPr>
                <w:color w:val="auto"/>
                <w:highlight w:val="none"/>
              </w:rPr>
            </w:pPr>
            <w:r>
              <w:rPr>
                <w:rFonts w:hint="eastAsia"/>
                <w:color w:val="auto"/>
                <w:highlight w:val="none"/>
                <w:lang w:val="en-US" w:eastAsia="zh-CN"/>
              </w:rPr>
              <w:t>25</w:t>
            </w:r>
            <w:r>
              <w:rPr>
                <w:color w:val="auto"/>
                <w:highlight w:val="none"/>
              </w:rPr>
              <w:t>分</w:t>
            </w:r>
          </w:p>
        </w:tc>
        <w:tc>
          <w:tcPr>
            <w:tcW w:w="5986" w:type="dxa"/>
            <w:gridSpan w:val="4"/>
            <w:vAlign w:val="center"/>
          </w:tcPr>
          <w:p>
            <w:pPr>
              <w:keepNext w:val="0"/>
              <w:keepLines w:val="0"/>
              <w:pageBreakBefore w:val="0"/>
              <w:widowControl w:val="0"/>
              <w:kinsoku/>
              <w:wordWrap/>
              <w:overflowPunct/>
              <w:topLinePunct w:val="0"/>
              <w:autoSpaceDE/>
              <w:autoSpaceDN/>
              <w:bidi w:val="0"/>
              <w:adjustRightInd w:val="0"/>
              <w:snapToGrid/>
              <w:spacing w:line="260" w:lineRule="exact"/>
              <w:ind w:left="141" w:leftChars="67" w:firstLine="312"/>
              <w:textAlignment w:val="baseline"/>
              <w:rPr>
                <w:color w:val="auto"/>
                <w:szCs w:val="21"/>
                <w:highlight w:val="none"/>
              </w:rPr>
            </w:pPr>
            <w:r>
              <w:rPr>
                <w:color w:val="auto"/>
                <w:szCs w:val="21"/>
                <w:highlight w:val="none"/>
              </w:rPr>
              <w:t>近五年内（2015年01月01日至今，以合同项目完成时间为准）每独立完成过1个</w:t>
            </w:r>
            <w:r>
              <w:rPr>
                <w:color w:val="auto"/>
                <w:highlight w:val="none"/>
              </w:rPr>
              <w:t>高速公路</w:t>
            </w:r>
            <w:r>
              <w:rPr>
                <w:rFonts w:hint="eastAsia"/>
                <w:color w:val="auto"/>
                <w:highlight w:val="none"/>
                <w:lang w:val="en-US" w:eastAsia="zh-CN"/>
              </w:rPr>
              <w:t>电力工程</w:t>
            </w:r>
            <w:r>
              <w:rPr>
                <w:color w:val="auto"/>
                <w:szCs w:val="21"/>
                <w:highlight w:val="none"/>
              </w:rPr>
              <w:t>监理业绩加</w:t>
            </w:r>
            <w:r>
              <w:rPr>
                <w:rFonts w:hint="eastAsia"/>
                <w:color w:val="auto"/>
                <w:szCs w:val="21"/>
                <w:highlight w:val="none"/>
                <w:lang w:val="en-US" w:eastAsia="zh-CN"/>
              </w:rPr>
              <w:t>5</w:t>
            </w:r>
            <w:r>
              <w:rPr>
                <w:color w:val="auto"/>
                <w:szCs w:val="21"/>
                <w:highlight w:val="none"/>
              </w:rPr>
              <w:t>分（以签订的合同数量计），总计加分不超过2</w:t>
            </w:r>
            <w:r>
              <w:rPr>
                <w:rFonts w:hint="eastAsia"/>
                <w:color w:val="auto"/>
                <w:szCs w:val="21"/>
                <w:highlight w:val="none"/>
                <w:lang w:val="en-US" w:eastAsia="zh-CN"/>
              </w:rPr>
              <w:t>5</w:t>
            </w:r>
            <w:r>
              <w:rPr>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369" w:hRule="atLeast"/>
        </w:trPr>
        <w:tc>
          <w:tcPr>
            <w:tcW w:w="9180" w:type="dxa"/>
            <w:gridSpan w:val="8"/>
            <w:vAlign w:val="center"/>
          </w:tcPr>
          <w:p>
            <w:pPr>
              <w:ind w:left="141" w:leftChars="67" w:firstLine="312"/>
              <w:rPr>
                <w:color w:val="auto"/>
                <w:szCs w:val="21"/>
                <w:highlight w:val="none"/>
              </w:rPr>
            </w:pPr>
            <w:r>
              <w:rPr>
                <w:b/>
                <w:color w:val="auto"/>
                <w:sz w:val="22"/>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16" w:hRule="atLeast"/>
        </w:trPr>
        <w:tc>
          <w:tcPr>
            <w:tcW w:w="9180" w:type="dxa"/>
            <w:gridSpan w:val="8"/>
            <w:vAlign w:val="center"/>
          </w:tcPr>
          <w:p>
            <w:pPr>
              <w:keepNext w:val="0"/>
              <w:keepLines w:val="0"/>
              <w:pageBreakBefore w:val="0"/>
              <w:widowControl w:val="0"/>
              <w:kinsoku/>
              <w:wordWrap/>
              <w:overflowPunct/>
              <w:topLinePunct w:val="0"/>
              <w:autoSpaceDE/>
              <w:autoSpaceDN/>
              <w:bidi w:val="0"/>
              <w:adjustRightInd w:val="0"/>
              <w:snapToGrid/>
              <w:spacing w:line="260" w:lineRule="exact"/>
              <w:ind w:left="141" w:leftChars="67" w:firstLine="312"/>
              <w:textAlignment w:val="baseline"/>
              <w:rPr>
                <w:color w:val="auto"/>
                <w:szCs w:val="21"/>
                <w:highlight w:val="none"/>
              </w:rPr>
            </w:pPr>
            <w:r>
              <w:rPr>
                <w:color w:val="auto"/>
                <w:szCs w:val="21"/>
                <w:highlight w:val="none"/>
              </w:rPr>
              <w:t>1. 若在同一个标段中通过第一信封初步评审的投标人仅2名，经评标委员会一致认为通过第一信封初步评审的投标人具备竞争性，可进入详细评审；若通过第二信封初步评审的投标人仅1名，应否决该标段投标，并按相关规定重新招标。</w:t>
            </w:r>
          </w:p>
          <w:p>
            <w:pPr>
              <w:keepNext w:val="0"/>
              <w:keepLines w:val="0"/>
              <w:pageBreakBefore w:val="0"/>
              <w:widowControl w:val="0"/>
              <w:kinsoku/>
              <w:wordWrap/>
              <w:overflowPunct/>
              <w:topLinePunct w:val="0"/>
              <w:autoSpaceDE/>
              <w:autoSpaceDN/>
              <w:bidi w:val="0"/>
              <w:adjustRightInd w:val="0"/>
              <w:snapToGrid/>
              <w:spacing w:line="260" w:lineRule="exact"/>
              <w:ind w:left="141" w:leftChars="67" w:firstLine="312"/>
              <w:textAlignment w:val="baseline"/>
              <w:rPr>
                <w:color w:val="auto"/>
                <w:szCs w:val="21"/>
                <w:highlight w:val="none"/>
              </w:rPr>
            </w:pPr>
            <w:r>
              <w:rPr>
                <w:color w:val="auto"/>
                <w:szCs w:val="21"/>
                <w:highlight w:val="none"/>
              </w:rPr>
              <w:t>2.各评审因素得分（除2.2.4（2）、2.2.4（3）、2.2.4（4）三项除外，上述三项评标委员评分应保持一致）</w:t>
            </w:r>
            <w:r>
              <w:rPr>
                <w:rFonts w:hint="eastAsia"/>
                <w:color w:val="auto"/>
                <w:szCs w:val="21"/>
                <w:highlight w:val="none"/>
              </w:rPr>
              <w:t>得分一般不得低于其权重分值的60%，</w:t>
            </w:r>
            <w:r>
              <w:rPr>
                <w:color w:val="auto"/>
                <w:szCs w:val="21"/>
                <w:highlight w:val="none"/>
              </w:rPr>
              <w:t>应以评标委员会各成员的打分平均值确定，该平均值当评标委员会成员为5人时以各成员打分的算术平均值确定</w:t>
            </w:r>
            <w:r>
              <w:rPr>
                <w:rFonts w:hint="eastAsia"/>
                <w:color w:val="auto"/>
                <w:szCs w:val="21"/>
                <w:highlight w:val="none"/>
              </w:rPr>
              <w:t>，</w:t>
            </w:r>
            <w:r>
              <w:rPr>
                <w:color w:val="auto"/>
                <w:szCs w:val="21"/>
                <w:highlight w:val="none"/>
              </w:rPr>
              <w:t>当评标委员会成员为7人及以上时需去掉一个最高分和一个最低分后计算。</w:t>
            </w:r>
          </w:p>
          <w:p>
            <w:pPr>
              <w:keepNext w:val="0"/>
              <w:keepLines w:val="0"/>
              <w:pageBreakBefore w:val="0"/>
              <w:widowControl w:val="0"/>
              <w:kinsoku/>
              <w:wordWrap/>
              <w:overflowPunct/>
              <w:topLinePunct w:val="0"/>
              <w:autoSpaceDE/>
              <w:autoSpaceDN/>
              <w:bidi w:val="0"/>
              <w:adjustRightInd w:val="0"/>
              <w:snapToGrid/>
              <w:spacing w:line="260" w:lineRule="exact"/>
              <w:ind w:left="141" w:leftChars="67" w:firstLine="312"/>
              <w:textAlignment w:val="baseline"/>
              <w:rPr>
                <w:rFonts w:hint="default" w:eastAsia="宋体"/>
                <w:color w:val="auto"/>
                <w:highlight w:val="none"/>
                <w:lang w:val="en-US" w:eastAsia="zh-CN"/>
              </w:rPr>
            </w:pPr>
            <w:r>
              <w:rPr>
                <w:rFonts w:hint="eastAsia"/>
                <w:color w:val="auto"/>
                <w:szCs w:val="21"/>
                <w:highlight w:val="none"/>
                <w:lang w:val="en-US" w:eastAsia="zh-CN"/>
              </w:rPr>
              <w:t>3.同一投标人可对本项目的三个标段同时进行投标，但仅允许中取其中一个，如同一投标人在多个标段同时排名第一，则评标委员会推荐其为最高投标限价金额较高标段的第一中标候选人，在其他标段不再作为候选人推荐。</w:t>
            </w:r>
          </w:p>
        </w:tc>
      </w:tr>
    </w:tbl>
    <w:p>
      <w:pPr>
        <w:ind w:left="0" w:leftChars="0" w:firstLine="0" w:firstLineChars="0"/>
        <w:jc w:val="both"/>
        <w:rPr>
          <w:rFonts w:hint="default"/>
          <w:b/>
          <w:bCs/>
          <w:color w:val="auto"/>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D151AD9"/>
    <w:multiLevelType w:val="singleLevel"/>
    <w:tmpl w:val="0D151AD9"/>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D1578E"/>
    <w:rsid w:val="0C9E0730"/>
    <w:rsid w:val="24B27B4A"/>
    <w:rsid w:val="258042A8"/>
    <w:rsid w:val="310C5DE6"/>
    <w:rsid w:val="44D20A5A"/>
    <w:rsid w:val="5C0B2680"/>
    <w:rsid w:val="5DD1578E"/>
    <w:rsid w:val="691500F2"/>
    <w:rsid w:val="6F6F04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20" w:lineRule="atLeast"/>
      <w:ind w:firstLine="454"/>
      <w:jc w:val="both"/>
      <w:textAlignment w:val="baseline"/>
    </w:pPr>
    <w:rPr>
      <w:rFonts w:ascii="Times New Roman" w:hAnsi="Times New Roman" w:eastAsia="宋体" w:cs="Times New Roman"/>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4"/>
    <w:qFormat/>
    <w:uiPriority w:val="0"/>
    <w:pPr>
      <w:keepNext/>
      <w:keepLines/>
      <w:adjustRightInd/>
      <w:spacing w:before="260" w:after="260" w:line="415" w:lineRule="auto"/>
      <w:ind w:firstLine="0"/>
      <w:textAlignment w:val="auto"/>
      <w:outlineLvl w:val="1"/>
    </w:pPr>
    <w:rPr>
      <w:rFonts w:ascii="Arial" w:hAnsi="Arial" w:eastAsia="黑体"/>
      <w:b/>
      <w:kern w:val="2"/>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spacing w:line="240" w:lineRule="auto"/>
      <w:ind w:firstLine="420" w:firstLineChars="200"/>
      <w:textAlignment w:val="auto"/>
    </w:pPr>
    <w:rPr>
      <w:kern w:val="2"/>
      <w:szCs w:val="24"/>
    </w:rPr>
  </w:style>
  <w:style w:type="paragraph" w:styleId="5">
    <w:name w:val="Body Text Indent 2"/>
    <w:basedOn w:val="1"/>
    <w:qFormat/>
    <w:uiPriority w:val="0"/>
    <w:pPr>
      <w:autoSpaceDE w:val="0"/>
      <w:autoSpaceDN w:val="0"/>
      <w:spacing w:line="240" w:lineRule="auto"/>
      <w:ind w:firstLine="480" w:firstLineChars="200"/>
    </w:pPr>
    <w:rPr>
      <w:rFonts w:ascii="仿宋_GB2312" w:eastAsia="仿宋_GB2312"/>
      <w:sz w:val="24"/>
      <w:szCs w:val="20"/>
    </w:rPr>
  </w:style>
  <w:style w:type="paragraph" w:customStyle="1" w:styleId="8">
    <w:name w:val="LXL合同"/>
    <w:basedOn w:val="2"/>
    <w:next w:val="1"/>
    <w:qFormat/>
    <w:uiPriority w:val="0"/>
    <w:pPr>
      <w:spacing w:line="400" w:lineRule="exact"/>
      <w:ind w:firstLine="562"/>
    </w:pPr>
    <w:rPr>
      <w:rFonts w:ascii="Calibri" w:hAnsi="Calibri" w:eastAsia="宋体" w:cs="Times New Roman"/>
      <w:sz w:val="36"/>
      <w:szCs w:val="32"/>
    </w:rPr>
  </w:style>
  <w:style w:type="paragraph" w:customStyle="1" w:styleId="9">
    <w:name w:val="样式2"/>
    <w:basedOn w:val="1"/>
    <w:qFormat/>
    <w:uiPriority w:val="0"/>
    <w:rPr>
      <w:rFonts w:ascii="Times New Roman" w:hAnsi="Times New Roman" w:eastAsia="Times New Roman" w:cs="Times New Roman"/>
    </w:rPr>
  </w:style>
  <w:style w:type="paragraph" w:customStyle="1" w:styleId="10">
    <w:name w:val="6'"/>
    <w:basedOn w:val="1"/>
    <w:qFormat/>
    <w:uiPriority w:val="0"/>
    <w:pPr>
      <w:autoSpaceDE w:val="0"/>
      <w:autoSpaceDN w:val="0"/>
      <w:snapToGrid w:val="0"/>
      <w:spacing w:line="320" w:lineRule="exact"/>
      <w:ind w:firstLine="0"/>
      <w:jc w:val="center"/>
    </w:pPr>
    <w:rPr>
      <w:spacing w:val="20"/>
      <w:kern w:val="28"/>
      <w:szCs w:val="20"/>
    </w:rPr>
  </w:style>
  <w:style w:type="paragraph" w:styleId="11">
    <w:name w:val="List Paragraph"/>
    <w:basedOn w:val="1"/>
    <w:qFormat/>
    <w:uiPriority w:val="1"/>
    <w:pPr>
      <w:ind w:firstLine="420" w:firstLineChars="200"/>
    </w:pPr>
  </w:style>
  <w:style w:type="paragraph" w:customStyle="1" w:styleId="12">
    <w:name w:val="Table Paragraph"/>
    <w:basedOn w:val="1"/>
    <w:qFormat/>
    <w:uiPriority w:val="1"/>
    <w:pPr>
      <w:autoSpaceDE w:val="0"/>
      <w:autoSpaceDN w:val="0"/>
      <w:spacing w:line="240" w:lineRule="auto"/>
      <w:ind w:firstLine="0"/>
      <w:jc w:val="left"/>
      <w:textAlignment w:val="auto"/>
    </w:pPr>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2020-09-07T09:25:00Z</dcterms:created>
  <dc:creator>李晓林</dc:creator>
  <cp:lastModifiedBy>Administrator</cp:lastModifiedBy>
  <dcterms:modified xsi:type="dcterms:W3CDTF">2020-09-09T06:43:22Z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