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color w:val="auto"/>
          <w:kern w:val="0"/>
          <w:sz w:val="24"/>
        </w:rPr>
        <w:sectPr>
          <w:pgSz w:w="11906" w:h="16838"/>
          <w:pgMar w:top="1134" w:right="1134" w:bottom="1134" w:left="1134" w:header="851" w:footer="992" w:gutter="0"/>
          <w:cols w:space="425" w:num="1"/>
          <w:docGrid w:type="lines" w:linePitch="312" w:charSpace="0"/>
        </w:sectPr>
      </w:pPr>
      <w:r>
        <w:rPr>
          <w:rFonts w:hint="eastAsia" w:ascii="宋体" w:hAnsi="宋体" w:cs="Times New Roman"/>
          <w:b/>
          <w:bCs/>
          <w:color w:val="000000"/>
          <w:kern w:val="2"/>
          <w:sz w:val="24"/>
          <w:szCs w:val="24"/>
          <w:lang w:val="en-US" w:eastAsia="zh-CN" w:bidi="ar-SA"/>
        </w:rPr>
        <w:t>附：</w:t>
      </w:r>
      <w:r>
        <w:rPr>
          <w:rFonts w:hint="eastAsia" w:ascii="宋体" w:hAnsi="宋体" w:eastAsia="宋体" w:cs="Times New Roman"/>
          <w:b/>
          <w:bCs/>
          <w:color w:val="000000"/>
          <w:kern w:val="2"/>
          <w:sz w:val="24"/>
          <w:szCs w:val="24"/>
          <w:lang w:val="en-US" w:eastAsia="zh-CN" w:bidi="ar-SA"/>
        </w:rPr>
        <w:t>资格审查条件和评标办</w:t>
      </w:r>
      <w:r>
        <w:rPr>
          <w:rFonts w:hint="eastAsia" w:ascii="宋体" w:hAnsi="宋体" w:cs="Times New Roman"/>
          <w:b/>
          <w:bCs/>
          <w:color w:val="000000"/>
          <w:kern w:val="2"/>
          <w:sz w:val="24"/>
          <w:szCs w:val="24"/>
          <w:lang w:val="en-US" w:eastAsia="zh-CN" w:bidi="ar-SA"/>
        </w:rPr>
        <w:t>法</w:t>
      </w:r>
      <w:r>
        <w:rPr>
          <w:rFonts w:hint="eastAsia" w:ascii="宋体" w:hAnsi="宋体"/>
          <w:color w:val="auto"/>
          <w:kern w:val="0"/>
          <w:sz w:val="24"/>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after="0" w:afterLines="50" w:line="360" w:lineRule="auto"/>
        <w:ind w:left="142"/>
        <w:jc w:val="center"/>
        <w:textAlignment w:val="auto"/>
        <w:outlineLvl w:val="0"/>
        <w:rPr>
          <w:rFonts w:hint="eastAsia" w:ascii="宋体" w:hAnsi="宋体" w:eastAsia="宋体" w:cs="Times New Roman"/>
          <w:b/>
          <w:bCs/>
          <w:color w:val="000000"/>
          <w:kern w:val="2"/>
          <w:sz w:val="32"/>
          <w:szCs w:val="32"/>
          <w:lang w:val="en-US" w:eastAsia="zh-CN" w:bidi="ar-SA"/>
        </w:rPr>
      </w:pPr>
      <w:bookmarkStart w:id="0" w:name="_Toc222740126"/>
      <w:r>
        <w:rPr>
          <w:rFonts w:hint="eastAsia" w:ascii="宋体" w:hAnsi="宋体" w:eastAsia="宋体" w:cs="Times New Roman"/>
          <w:b/>
          <w:bCs/>
          <w:color w:val="000000"/>
          <w:kern w:val="2"/>
          <w:sz w:val="32"/>
          <w:szCs w:val="32"/>
          <w:lang w:val="en-US" w:eastAsia="zh-CN" w:bidi="ar-SA"/>
        </w:rPr>
        <w:t>资格审查条件</w:t>
      </w:r>
    </w:p>
    <w:p>
      <w:pPr>
        <w:shd w:val="clear" w:color="auto" w:fill="auto"/>
        <w:spacing w:before="142"/>
        <w:ind w:left="143"/>
        <w:jc w:val="center"/>
        <w:outlineLvl w:val="0"/>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b/>
          <w:color w:val="auto"/>
          <w:sz w:val="28"/>
          <w:szCs w:val="28"/>
          <w:highlight w:val="none"/>
          <w:shd w:val="clear" w:color="auto" w:fill="auto"/>
          <w:lang w:eastAsia="zh-CN"/>
        </w:rPr>
        <w:t>附录 1  资格审查条件（资质最低要求）</w:t>
      </w:r>
    </w:p>
    <w:p>
      <w:pPr>
        <w:shd w:val="clear" w:color="auto" w:fill="auto"/>
        <w:spacing w:line="20" w:lineRule="exact"/>
        <w:ind w:left="241"/>
        <w:rPr>
          <w:rFonts w:hint="eastAsia" w:ascii="宋体" w:hAnsi="宋体" w:eastAsia="宋体" w:cs="宋体"/>
          <w:color w:val="auto"/>
          <w:sz w:val="2"/>
          <w:szCs w:val="2"/>
          <w:highlight w:val="none"/>
          <w:shd w:val="clear" w:color="auto" w:fill="auto"/>
          <w:lang w:eastAsia="zh-CN"/>
        </w:rPr>
      </w:pPr>
    </w:p>
    <w:tbl>
      <w:tblPr>
        <w:tblStyle w:val="8"/>
        <w:tblW w:w="9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65" w:type="dxa"/>
            <w:tcBorders>
              <w:top w:val="single" w:color="auto" w:sz="12" w:space="0"/>
              <w:left w:val="single" w:color="auto" w:sz="12" w:space="0"/>
            </w:tcBorders>
            <w:noWrap w:val="0"/>
            <w:vAlign w:val="center"/>
          </w:tcPr>
          <w:p>
            <w:pPr>
              <w:shd w:val="clear" w:color="auto" w:fill="auto"/>
              <w:spacing w:line="320" w:lineRule="exact"/>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项 目</w:t>
            </w:r>
          </w:p>
        </w:tc>
        <w:tc>
          <w:tcPr>
            <w:tcW w:w="8505" w:type="dxa"/>
            <w:tcBorders>
              <w:top w:val="single" w:color="auto" w:sz="12" w:space="0"/>
              <w:right w:val="single" w:color="auto" w:sz="12" w:space="0"/>
            </w:tcBorders>
            <w:noWrap w:val="0"/>
            <w:vAlign w:val="center"/>
          </w:tcPr>
          <w:p>
            <w:pPr>
              <w:shd w:val="clear" w:color="auto" w:fill="auto"/>
              <w:spacing w:line="320" w:lineRule="exact"/>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865" w:type="dxa"/>
            <w:tcBorders>
              <w:left w:val="single" w:color="auto" w:sz="12" w:space="0"/>
              <w:bottom w:val="single" w:color="auto" w:sz="12" w:space="0"/>
            </w:tcBorders>
            <w:noWrap w:val="0"/>
            <w:vAlign w:val="center"/>
          </w:tcPr>
          <w:p>
            <w:pPr>
              <w:shd w:val="clear" w:color="auto" w:fill="auto"/>
              <w:autoSpaceDE/>
              <w:autoSpaceDN/>
              <w:adjustRightInd/>
              <w:spacing w:before="200" w:beforeLines="0" w:afterLines="0" w:line="360" w:lineRule="auto"/>
              <w:jc w:val="left"/>
              <w:rPr>
                <w:rFonts w:hint="eastAsia" w:ascii="宋体" w:hAnsi="宋体" w:eastAsia="宋体" w:cs="宋体"/>
                <w:color w:val="auto"/>
                <w:sz w:val="24"/>
                <w:szCs w:val="28"/>
                <w:highlight w:val="none"/>
                <w:shd w:val="clear" w:color="auto" w:fill="auto"/>
                <w:lang w:eastAsia="zh-CN"/>
              </w:rPr>
            </w:pPr>
            <w:r>
              <w:rPr>
                <w:rFonts w:hint="eastAsia" w:ascii="宋体" w:hAnsi="宋体" w:eastAsia="宋体" w:cs="宋体"/>
                <w:color w:val="auto"/>
                <w:sz w:val="24"/>
                <w:szCs w:val="28"/>
                <w:highlight w:val="none"/>
                <w:shd w:val="clear" w:color="auto" w:fill="auto"/>
                <w:lang w:eastAsia="zh-CN"/>
              </w:rPr>
              <w:t>资质</w:t>
            </w:r>
          </w:p>
        </w:tc>
        <w:tc>
          <w:tcPr>
            <w:tcW w:w="8505" w:type="dxa"/>
            <w:tcBorders>
              <w:bottom w:val="single" w:color="auto" w:sz="12" w:space="0"/>
              <w:right w:val="single" w:color="auto" w:sz="12"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60" w:lineRule="auto"/>
              <w:ind w:left="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投标人应具备下列资格要求：</w:t>
            </w:r>
          </w:p>
          <w:p>
            <w:pPr>
              <w:keepNext w:val="0"/>
              <w:keepLines w:val="0"/>
              <w:pageBreakBefore w:val="0"/>
              <w:shd w:val="clear" w:color="auto" w:fill="auto"/>
              <w:kinsoku/>
              <w:wordWrap/>
              <w:overflowPunct/>
              <w:topLinePunct w:val="0"/>
              <w:bidi w:val="0"/>
              <w:adjustRightInd w:val="0"/>
              <w:snapToGrid w:val="0"/>
              <w:spacing w:line="360" w:lineRule="auto"/>
              <w:ind w:firstLine="424" w:firstLineChars="177"/>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具有独立法人资格的试验检测机构（或其为非独立法人的下属机构或部门的试验检测机构），持有有效的营业执照或合法有效事业单位法人证书；</w:t>
            </w:r>
          </w:p>
          <w:p>
            <w:pPr>
              <w:keepNext w:val="0"/>
              <w:keepLines w:val="0"/>
              <w:pageBreakBefore w:val="0"/>
              <w:shd w:val="clear" w:color="auto" w:fill="auto"/>
              <w:kinsoku/>
              <w:wordWrap/>
              <w:overflowPunct/>
              <w:topLinePunct w:val="0"/>
              <w:bidi w:val="0"/>
              <w:adjustRightInd w:val="0"/>
              <w:snapToGrid w:val="0"/>
              <w:spacing w:line="360" w:lineRule="auto"/>
              <w:ind w:firstLine="424" w:firstLineChars="177"/>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2、具备交通质量监督部门核发的有效的</w:t>
            </w:r>
            <w:r>
              <w:rPr>
                <w:rFonts w:hint="eastAsia" w:ascii="宋体" w:hAnsi="宋体" w:eastAsia="宋体" w:cs="宋体"/>
                <w:b/>
                <w:bCs/>
                <w:color w:val="auto"/>
                <w:sz w:val="24"/>
                <w:szCs w:val="24"/>
                <w:highlight w:val="none"/>
                <w:lang w:val="en-US" w:eastAsia="zh-CN" w:bidi="ar-SA"/>
              </w:rPr>
              <w:t>公路工程试验检测综合甲级资质；</w:t>
            </w:r>
          </w:p>
          <w:p>
            <w:pPr>
              <w:shd w:val="clear" w:color="auto" w:fill="auto"/>
              <w:spacing w:line="3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3、具有有效的计量认证证书（计量认证证书附表覆盖本项目试验检测工作内容）。</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360" w:lineRule="auto"/>
              <w:ind w:firstLine="480" w:firstLineChars="200"/>
              <w:textAlignment w:val="auto"/>
              <w:outlineLvl w:val="9"/>
              <w:rPr>
                <w:rFonts w:hint="eastAsia"/>
                <w:color w:val="auto"/>
                <w:highlight w:val="none"/>
                <w:lang w:eastAsia="zh-CN"/>
              </w:rPr>
            </w:pPr>
            <w:r>
              <w:rPr>
                <w:rFonts w:hint="eastAsia" w:ascii="宋体" w:hAnsi="宋体" w:eastAsia="宋体" w:cs="宋体"/>
                <w:color w:val="auto"/>
                <w:sz w:val="24"/>
                <w:szCs w:val="24"/>
                <w:highlight w:val="none"/>
                <w:shd w:val="clear" w:color="auto" w:fill="auto"/>
                <w:lang w:val="en-US" w:eastAsia="zh-CN"/>
              </w:rPr>
              <w:t>4、投标人应进入“公路水运工程试验检测管理信息系统”中的试验检测机构列表，且投标人名称和资质与该列表中的相应企业名称和资质完全一</w:t>
            </w:r>
            <w:bookmarkStart w:id="1" w:name="_GoBack"/>
            <w:bookmarkEnd w:id="1"/>
            <w:r>
              <w:rPr>
                <w:rFonts w:hint="eastAsia" w:ascii="宋体" w:hAnsi="宋体" w:eastAsia="宋体" w:cs="宋体"/>
                <w:color w:val="auto"/>
                <w:sz w:val="24"/>
                <w:szCs w:val="24"/>
                <w:highlight w:val="none"/>
                <w:shd w:val="clear" w:color="auto" w:fill="auto"/>
                <w:lang w:val="en-US" w:eastAsia="zh-CN"/>
              </w:rPr>
              <w:t>致。投标人不满足本项规定条件的，将被否决投标。</w:t>
            </w:r>
          </w:p>
        </w:tc>
      </w:tr>
    </w:tbl>
    <w:p>
      <w:pPr>
        <w:shd w:val="clear" w:color="auto" w:fill="auto"/>
        <w:spacing w:before="3"/>
        <w:rPr>
          <w:rFonts w:hint="eastAsia" w:ascii="宋体" w:hAnsi="宋体" w:eastAsia="宋体" w:cs="宋体"/>
          <w:color w:val="auto"/>
          <w:sz w:val="24"/>
          <w:szCs w:val="24"/>
          <w:highlight w:val="none"/>
          <w:shd w:val="clear" w:color="auto" w:fill="auto"/>
          <w:lang w:eastAsia="zh-CN"/>
        </w:rPr>
      </w:pPr>
    </w:p>
    <w:p>
      <w:pPr>
        <w:shd w:val="clear" w:color="auto" w:fill="auto"/>
        <w:spacing w:line="20" w:lineRule="exact"/>
        <w:ind w:left="241"/>
        <w:rPr>
          <w:rFonts w:hint="eastAsia" w:ascii="宋体" w:hAnsi="宋体" w:eastAsia="宋体" w:cs="宋体"/>
          <w:color w:val="auto"/>
          <w:sz w:val="2"/>
          <w:szCs w:val="2"/>
          <w:highlight w:val="none"/>
          <w:shd w:val="clear" w:color="auto" w:fill="auto"/>
          <w:lang w:eastAsia="zh-CN"/>
        </w:rPr>
      </w:pPr>
    </w:p>
    <w:p>
      <w:pPr>
        <w:shd w:val="clear" w:color="auto" w:fill="auto"/>
        <w:spacing w:before="142"/>
        <w:ind w:left="143"/>
        <w:jc w:val="center"/>
        <w:outlineLvl w:val="0"/>
        <w:rPr>
          <w:rFonts w:hint="eastAsia"/>
          <w:color w:val="auto"/>
          <w:highlight w:val="none"/>
          <w:lang w:eastAsia="zh-CN"/>
        </w:rPr>
      </w:pPr>
      <w:r>
        <w:rPr>
          <w:rFonts w:hint="eastAsia" w:ascii="宋体" w:hAnsi="宋体" w:eastAsia="宋体" w:cs="宋体"/>
          <w:b/>
          <w:color w:val="auto"/>
          <w:sz w:val="28"/>
          <w:szCs w:val="28"/>
          <w:highlight w:val="none"/>
          <w:shd w:val="clear" w:color="auto" w:fill="auto"/>
          <w:lang w:eastAsia="zh-CN"/>
        </w:rPr>
        <w:t>附录 2</w:t>
      </w:r>
      <w:r>
        <w:rPr>
          <w:rFonts w:hint="eastAsia" w:ascii="宋体" w:hAnsi="宋体" w:eastAsia="宋体" w:cs="宋体"/>
          <w:b/>
          <w:color w:val="auto"/>
          <w:sz w:val="28"/>
          <w:szCs w:val="28"/>
          <w:highlight w:val="none"/>
          <w:shd w:val="clear" w:color="auto" w:fill="auto"/>
          <w:lang w:val="en-US" w:eastAsia="zh-CN"/>
        </w:rPr>
        <w:t xml:space="preserve">  </w:t>
      </w:r>
      <w:r>
        <w:rPr>
          <w:rFonts w:hint="eastAsia" w:ascii="宋体" w:hAnsi="宋体" w:eastAsia="宋体" w:cs="宋体"/>
          <w:b/>
          <w:color w:val="auto"/>
          <w:sz w:val="28"/>
          <w:szCs w:val="28"/>
          <w:highlight w:val="none"/>
          <w:shd w:val="clear" w:color="auto" w:fill="auto"/>
          <w:lang w:eastAsia="zh-CN"/>
        </w:rPr>
        <w:t>资格审查条件（业绩最低要求）</w:t>
      </w:r>
    </w:p>
    <w:tbl>
      <w:tblPr>
        <w:tblStyle w:val="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8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97" w:type="dxa"/>
            <w:tcBorders>
              <w:top w:val="single" w:color="auto" w:sz="12" w:space="0"/>
              <w:left w:val="single" w:color="auto" w:sz="12" w:space="0"/>
            </w:tcBorders>
            <w:noWrap w:val="0"/>
            <w:vAlign w:val="center"/>
          </w:tcPr>
          <w:p>
            <w:pPr>
              <w:shd w:val="clear" w:color="auto" w:fill="auto"/>
              <w:spacing w:line="320" w:lineRule="exact"/>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项 目</w:t>
            </w:r>
          </w:p>
        </w:tc>
        <w:tc>
          <w:tcPr>
            <w:tcW w:w="8192" w:type="dxa"/>
            <w:tcBorders>
              <w:top w:val="single" w:color="auto" w:sz="12" w:space="0"/>
              <w:right w:val="single" w:color="auto" w:sz="12" w:space="0"/>
            </w:tcBorders>
            <w:noWrap w:val="0"/>
            <w:vAlign w:val="center"/>
          </w:tcPr>
          <w:p>
            <w:pPr>
              <w:shd w:val="clear" w:color="auto" w:fill="auto"/>
              <w:spacing w:line="320" w:lineRule="exact"/>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097" w:type="dxa"/>
            <w:tcBorders>
              <w:left w:val="single" w:color="auto" w:sz="12" w:space="0"/>
              <w:bottom w:val="single" w:color="auto" w:sz="12" w:space="0"/>
            </w:tcBorders>
            <w:noWrap w:val="0"/>
            <w:vAlign w:val="center"/>
          </w:tcPr>
          <w:p>
            <w:pPr>
              <w:shd w:val="clear" w:color="auto" w:fill="auto"/>
              <w:spacing w:line="320" w:lineRule="exact"/>
              <w:jc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业绩</w:t>
            </w:r>
          </w:p>
        </w:tc>
        <w:tc>
          <w:tcPr>
            <w:tcW w:w="8192" w:type="dxa"/>
            <w:tcBorders>
              <w:bottom w:val="single" w:color="auto" w:sz="12" w:space="0"/>
              <w:right w:val="single" w:color="auto" w:sz="12" w:space="0"/>
            </w:tcBorders>
            <w:noWrap w:val="0"/>
            <w:vAlign w:val="center"/>
          </w:tcPr>
          <w:p>
            <w:pPr>
              <w:shd w:val="clear" w:color="auto" w:fill="auto"/>
              <w:spacing w:line="320" w:lineRule="exact"/>
              <w:jc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无</w:t>
            </w:r>
          </w:p>
        </w:tc>
      </w:tr>
    </w:tbl>
    <w:p>
      <w:pPr>
        <w:shd w:val="clear" w:color="auto" w:fill="auto"/>
        <w:spacing w:before="142"/>
        <w:ind w:left="143"/>
        <w:jc w:val="center"/>
        <w:rPr>
          <w:rFonts w:hint="eastAsia" w:ascii="宋体" w:hAnsi="宋体" w:eastAsia="宋体" w:cs="宋体"/>
          <w:b/>
          <w:color w:val="auto"/>
          <w:sz w:val="28"/>
          <w:szCs w:val="28"/>
          <w:highlight w:val="none"/>
          <w:shd w:val="clear" w:color="auto" w:fill="auto"/>
          <w:lang w:eastAsia="zh-CN"/>
        </w:rPr>
      </w:pPr>
    </w:p>
    <w:p>
      <w:pPr>
        <w:shd w:val="clear" w:color="auto" w:fill="auto"/>
        <w:tabs>
          <w:tab w:val="left" w:pos="1189"/>
        </w:tabs>
        <w:spacing w:before="13"/>
        <w:ind w:left="143"/>
        <w:jc w:val="center"/>
        <w:outlineLvl w:val="0"/>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b/>
          <w:color w:val="auto"/>
          <w:sz w:val="28"/>
          <w:szCs w:val="28"/>
          <w:highlight w:val="none"/>
          <w:shd w:val="clear" w:color="auto" w:fill="auto"/>
          <w:lang w:eastAsia="zh-CN"/>
        </w:rPr>
        <w:t>附录 3</w:t>
      </w:r>
      <w:r>
        <w:rPr>
          <w:rFonts w:hint="eastAsia" w:ascii="宋体" w:hAnsi="宋体" w:eastAsia="宋体" w:cs="宋体"/>
          <w:b/>
          <w:color w:val="auto"/>
          <w:sz w:val="28"/>
          <w:szCs w:val="28"/>
          <w:highlight w:val="none"/>
          <w:shd w:val="clear" w:color="auto" w:fill="auto"/>
          <w:lang w:val="en-US" w:eastAsia="zh-CN"/>
        </w:rPr>
        <w:t xml:space="preserve">  </w:t>
      </w:r>
      <w:r>
        <w:rPr>
          <w:rFonts w:hint="eastAsia" w:ascii="宋体" w:hAnsi="宋体" w:eastAsia="宋体" w:cs="宋体"/>
          <w:b/>
          <w:color w:val="auto"/>
          <w:sz w:val="28"/>
          <w:szCs w:val="28"/>
          <w:highlight w:val="none"/>
          <w:shd w:val="clear" w:color="auto" w:fill="auto"/>
          <w:lang w:eastAsia="zh-CN"/>
        </w:rPr>
        <w:t>资格审查条件 （信誉最低要求）</w:t>
      </w:r>
    </w:p>
    <w:tbl>
      <w:tblPr>
        <w:tblStyle w:val="8"/>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7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98" w:type="dxa"/>
            <w:tcBorders>
              <w:top w:val="single" w:color="auto" w:sz="12" w:space="0"/>
              <w:left w:val="single" w:color="auto" w:sz="12" w:space="0"/>
            </w:tcBorders>
            <w:noWrap w:val="0"/>
            <w:vAlign w:val="center"/>
          </w:tcPr>
          <w:p>
            <w:pPr>
              <w:shd w:val="clear" w:color="auto" w:fill="auto"/>
              <w:spacing w:line="320" w:lineRule="exact"/>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项 目</w:t>
            </w:r>
          </w:p>
        </w:tc>
        <w:tc>
          <w:tcPr>
            <w:tcW w:w="7736" w:type="dxa"/>
            <w:tcBorders>
              <w:top w:val="single" w:color="auto" w:sz="12" w:space="0"/>
              <w:right w:val="single" w:color="auto" w:sz="12" w:space="0"/>
            </w:tcBorders>
            <w:noWrap w:val="0"/>
            <w:vAlign w:val="center"/>
          </w:tcPr>
          <w:p>
            <w:pPr>
              <w:shd w:val="clear" w:color="auto" w:fill="auto"/>
              <w:spacing w:line="320" w:lineRule="exact"/>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1398" w:type="dxa"/>
            <w:tcBorders>
              <w:left w:val="single" w:color="auto" w:sz="12" w:space="0"/>
              <w:bottom w:val="single" w:color="auto" w:sz="12" w:space="0"/>
            </w:tcBorders>
            <w:noWrap w:val="0"/>
            <w:vAlign w:val="center"/>
          </w:tcPr>
          <w:p>
            <w:pPr>
              <w:shd w:val="clear" w:color="auto" w:fill="auto"/>
              <w:spacing w:line="320" w:lineRule="exact"/>
              <w:jc w:val="center"/>
              <w:rPr>
                <w:rFonts w:hint="eastAsia" w:ascii="宋体" w:hAnsi="宋体" w:eastAsia="宋体" w:cs="宋体"/>
                <w:color w:val="auto"/>
                <w:sz w:val="21"/>
                <w:highlight w:val="none"/>
                <w:shd w:val="clear" w:color="auto" w:fill="auto"/>
                <w:lang w:eastAsia="zh-CN"/>
              </w:rPr>
            </w:pPr>
            <w:r>
              <w:rPr>
                <w:rFonts w:hint="eastAsia" w:ascii="宋体" w:hAnsi="宋体" w:eastAsia="宋体" w:cs="宋体"/>
                <w:color w:val="auto"/>
                <w:sz w:val="21"/>
                <w:highlight w:val="none"/>
                <w:shd w:val="clear" w:color="auto" w:fill="auto"/>
                <w:lang w:eastAsia="zh-CN"/>
              </w:rPr>
              <w:t>信誉</w:t>
            </w:r>
          </w:p>
        </w:tc>
        <w:tc>
          <w:tcPr>
            <w:tcW w:w="7736" w:type="dxa"/>
            <w:tcBorders>
              <w:bottom w:val="single" w:color="auto" w:sz="12" w:space="0"/>
              <w:right w:val="single" w:color="auto" w:sz="12" w:space="0"/>
            </w:tcBorders>
            <w:noWrap w:val="0"/>
            <w:vAlign w:val="center"/>
          </w:tcPr>
          <w:p>
            <w:pPr>
              <w:widowControl/>
              <w:spacing w:line="360" w:lineRule="auto"/>
              <w:ind w:firstLine="240" w:firstLineChars="100"/>
              <w:jc w:val="lef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1、投标人须为最新公布的信用评价结果为C级及以上的单位（投标人信用评价等级认定原则详见招标公告）。</w:t>
            </w:r>
          </w:p>
          <w:p>
            <w:pPr>
              <w:widowControl/>
              <w:spacing w:line="360" w:lineRule="auto"/>
              <w:ind w:firstLine="240" w:firstLineChars="100"/>
              <w:jc w:val="left"/>
              <w:rPr>
                <w:rFonts w:hint="eastAsia" w:ascii="宋体" w:hAnsi="宋体" w:eastAsia="宋体" w:cs="宋体"/>
                <w:color w:val="auto"/>
                <w:sz w:val="21"/>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2、投标人不得存在“投标须知正文中1.4.4条”中任意一条不良状况或不良信用记录。</w:t>
            </w:r>
          </w:p>
        </w:tc>
      </w:tr>
    </w:tbl>
    <w:p>
      <w:pPr>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lang w:eastAsia="zh-CN"/>
        </w:rPr>
        <w:br w:type="page"/>
      </w:r>
    </w:p>
    <w:p>
      <w:pPr>
        <w:shd w:val="clear" w:color="auto" w:fill="auto"/>
        <w:tabs>
          <w:tab w:val="left" w:pos="1433"/>
        </w:tabs>
        <w:spacing w:before="13"/>
        <w:ind w:left="382" w:right="140"/>
        <w:jc w:val="center"/>
        <w:outlineLvl w:val="0"/>
        <w:rPr>
          <w:rFonts w:hint="eastAsia" w:ascii="宋体" w:hAnsi="宋体" w:eastAsia="宋体" w:cs="宋体"/>
          <w:b/>
          <w:color w:val="auto"/>
          <w:sz w:val="27"/>
          <w:szCs w:val="27"/>
          <w:highlight w:val="none"/>
          <w:shd w:val="clear" w:color="auto" w:fill="auto"/>
          <w:lang w:eastAsia="zh-CN"/>
        </w:rPr>
      </w:pPr>
      <w:r>
        <w:rPr>
          <w:rFonts w:hint="eastAsia" w:ascii="宋体" w:hAnsi="宋体" w:eastAsia="宋体" w:cs="宋体"/>
          <w:b/>
          <w:color w:val="auto"/>
          <w:spacing w:val="-18"/>
          <w:sz w:val="28"/>
          <w:szCs w:val="28"/>
          <w:highlight w:val="none"/>
          <w:shd w:val="clear" w:color="auto" w:fill="auto"/>
          <w:lang w:eastAsia="zh-CN"/>
        </w:rPr>
        <w:t>附录</w:t>
      </w:r>
      <w:r>
        <w:rPr>
          <w:rFonts w:hint="eastAsia" w:ascii="宋体" w:hAnsi="宋体" w:eastAsia="宋体" w:cs="宋体"/>
          <w:b/>
          <w:color w:val="auto"/>
          <w:spacing w:val="-33"/>
          <w:sz w:val="28"/>
          <w:szCs w:val="28"/>
          <w:highlight w:val="none"/>
          <w:shd w:val="clear" w:color="auto" w:fill="auto"/>
          <w:lang w:eastAsia="zh-CN"/>
        </w:rPr>
        <w:t xml:space="preserve"> </w:t>
      </w:r>
      <w:r>
        <w:rPr>
          <w:rFonts w:hint="eastAsia" w:ascii="宋体" w:hAnsi="宋体" w:eastAsia="宋体" w:cs="宋体"/>
          <w:b/>
          <w:color w:val="auto"/>
          <w:sz w:val="26"/>
          <w:szCs w:val="26"/>
          <w:highlight w:val="none"/>
          <w:shd w:val="clear" w:color="auto" w:fill="auto"/>
          <w:lang w:eastAsia="zh-CN"/>
        </w:rPr>
        <w:t>4</w:t>
      </w:r>
      <w:r>
        <w:rPr>
          <w:rFonts w:hint="eastAsia" w:ascii="宋体" w:hAnsi="宋体" w:eastAsia="宋体" w:cs="宋体"/>
          <w:b/>
          <w:color w:val="auto"/>
          <w:sz w:val="26"/>
          <w:szCs w:val="26"/>
          <w:highlight w:val="none"/>
          <w:shd w:val="clear" w:color="auto" w:fill="auto"/>
          <w:lang w:eastAsia="zh-CN"/>
        </w:rPr>
        <w:tab/>
      </w:r>
      <w:r>
        <w:rPr>
          <w:rFonts w:hint="eastAsia" w:ascii="宋体" w:hAnsi="宋体" w:eastAsia="宋体" w:cs="宋体"/>
          <w:b/>
          <w:color w:val="auto"/>
          <w:spacing w:val="-22"/>
          <w:sz w:val="27"/>
          <w:szCs w:val="27"/>
          <w:highlight w:val="none"/>
          <w:shd w:val="clear" w:color="auto" w:fill="auto"/>
          <w:lang w:eastAsia="zh-CN"/>
        </w:rPr>
        <w:t>资格审查条件</w:t>
      </w:r>
      <w:r>
        <w:rPr>
          <w:rFonts w:hint="eastAsia" w:ascii="宋体" w:hAnsi="宋体" w:eastAsia="宋体" w:cs="宋体"/>
          <w:b/>
          <w:color w:val="auto"/>
          <w:spacing w:val="-13"/>
          <w:sz w:val="27"/>
          <w:szCs w:val="27"/>
          <w:highlight w:val="none"/>
          <w:shd w:val="clear" w:color="auto" w:fill="auto"/>
          <w:lang w:eastAsia="zh-CN"/>
        </w:rPr>
        <w:t>（项目负责人、技术负责人最低要求）</w:t>
      </w:r>
    </w:p>
    <w:p>
      <w:pPr>
        <w:shd w:val="clear" w:color="auto" w:fill="auto"/>
        <w:tabs>
          <w:tab w:val="left" w:pos="1433"/>
        </w:tabs>
        <w:spacing w:before="13"/>
        <w:ind w:left="382" w:right="140"/>
        <w:jc w:val="center"/>
        <w:rPr>
          <w:rFonts w:hint="eastAsia" w:ascii="宋体" w:hAnsi="宋体" w:eastAsia="宋体" w:cs="宋体"/>
          <w:b/>
          <w:color w:val="auto"/>
          <w:sz w:val="24"/>
          <w:szCs w:val="24"/>
          <w:highlight w:val="none"/>
          <w:shd w:val="clear" w:color="auto" w:fill="auto"/>
          <w:lang w:eastAsia="zh-CN"/>
        </w:rPr>
      </w:pPr>
    </w:p>
    <w:tbl>
      <w:tblPr>
        <w:tblStyle w:val="8"/>
        <w:tblpPr w:vertAnchor="text" w:tblpXSpec="center" w:tblpY="1"/>
        <w:tblW w:w="9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64"/>
        <w:gridCol w:w="1290"/>
        <w:gridCol w:w="810"/>
        <w:gridCol w:w="5327"/>
        <w:gridCol w:w="15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14" w:hRule="exact"/>
          <w:jc w:val="center"/>
        </w:trPr>
        <w:tc>
          <w:tcPr>
            <w:tcW w:w="664" w:type="dxa"/>
            <w:tcBorders>
              <w:tl2br w:val="nil"/>
              <w:tr2bl w:val="nil"/>
            </w:tcBorders>
            <w:noWrap w:val="0"/>
            <w:vAlign w:val="center"/>
          </w:tcPr>
          <w:p>
            <w:pPr>
              <w:shd w:val="clear" w:color="auto" w:fill="auto"/>
              <w:spacing w:before="140" w:line="200" w:lineRule="exact"/>
              <w:jc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序号</w:t>
            </w:r>
          </w:p>
        </w:tc>
        <w:tc>
          <w:tcPr>
            <w:tcW w:w="1290" w:type="dxa"/>
            <w:tcBorders>
              <w:tl2br w:val="nil"/>
              <w:tr2bl w:val="nil"/>
            </w:tcBorders>
            <w:noWrap w:val="0"/>
            <w:vAlign w:val="center"/>
          </w:tcPr>
          <w:p>
            <w:pPr>
              <w:shd w:val="clear" w:color="auto" w:fill="auto"/>
              <w:spacing w:before="140" w:line="200" w:lineRule="exact"/>
              <w:ind w:left="480"/>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lang w:eastAsia="zh-CN"/>
              </w:rPr>
              <w:t>人员</w:t>
            </w:r>
          </w:p>
        </w:tc>
        <w:tc>
          <w:tcPr>
            <w:tcW w:w="810" w:type="dxa"/>
            <w:tcBorders>
              <w:tl2br w:val="nil"/>
              <w:tr2bl w:val="nil"/>
            </w:tcBorders>
            <w:noWrap w:val="0"/>
            <w:vAlign w:val="center"/>
          </w:tcPr>
          <w:p>
            <w:pPr>
              <w:shd w:val="clear" w:color="auto" w:fill="auto"/>
              <w:spacing w:before="140" w:line="200" w:lineRule="exact"/>
              <w:ind w:left="2"/>
              <w:jc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数量</w:t>
            </w:r>
          </w:p>
        </w:tc>
        <w:tc>
          <w:tcPr>
            <w:tcW w:w="5327" w:type="dxa"/>
            <w:tcBorders>
              <w:tl2br w:val="nil"/>
              <w:tr2bl w:val="nil"/>
            </w:tcBorders>
            <w:noWrap w:val="0"/>
            <w:vAlign w:val="center"/>
          </w:tcPr>
          <w:p>
            <w:pPr>
              <w:shd w:val="clear" w:color="auto" w:fill="auto"/>
              <w:spacing w:before="140" w:line="200" w:lineRule="exact"/>
              <w:ind w:left="1560"/>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资格要求</w:t>
            </w:r>
          </w:p>
        </w:tc>
        <w:tc>
          <w:tcPr>
            <w:tcW w:w="1581" w:type="dxa"/>
            <w:tcBorders>
              <w:tl2br w:val="nil"/>
              <w:tr2bl w:val="nil"/>
            </w:tcBorders>
            <w:noWrap w:val="0"/>
            <w:vAlign w:val="center"/>
          </w:tcPr>
          <w:p>
            <w:pPr>
              <w:shd w:val="clear" w:color="auto" w:fill="auto"/>
              <w:spacing w:before="140" w:line="200" w:lineRule="exact"/>
              <w:jc w:val="center"/>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lang w:eastAsia="zh-CN"/>
              </w:rPr>
              <w:t>在岗要求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16" w:hRule="exact"/>
          <w:jc w:val="center"/>
        </w:trPr>
        <w:tc>
          <w:tcPr>
            <w:tcW w:w="664" w:type="dxa"/>
            <w:tcBorders>
              <w:tl2br w:val="nil"/>
              <w:tr2bl w:val="nil"/>
            </w:tcBorders>
            <w:noWrap w:val="0"/>
            <w:vAlign w:val="center"/>
          </w:tcPr>
          <w:p>
            <w:pPr>
              <w:keepNext w:val="0"/>
              <w:keepLines w:val="0"/>
              <w:pageBreakBefore w:val="0"/>
              <w:shd w:val="clear" w:color="auto" w:fill="auto"/>
              <w:kinsoku/>
              <w:wordWrap/>
              <w:overflowPunct/>
              <w:topLinePunct w:val="0"/>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w:t>
            </w:r>
          </w:p>
        </w:tc>
        <w:tc>
          <w:tcPr>
            <w:tcW w:w="1290" w:type="dxa"/>
            <w:tcBorders>
              <w:tl2br w:val="nil"/>
              <w:tr2bl w:val="nil"/>
            </w:tcBorders>
            <w:noWrap w:val="0"/>
            <w:vAlign w:val="center"/>
          </w:tcPr>
          <w:p>
            <w:pPr>
              <w:keepNext w:val="0"/>
              <w:keepLines w:val="0"/>
              <w:pageBreakBefore w:val="0"/>
              <w:shd w:val="clear" w:color="auto" w:fill="auto"/>
              <w:kinsoku/>
              <w:wordWrap/>
              <w:overflowPunct/>
              <w:topLinePunct w:val="0"/>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项目负责人</w:t>
            </w:r>
          </w:p>
        </w:tc>
        <w:tc>
          <w:tcPr>
            <w:tcW w:w="810" w:type="dxa"/>
            <w:tcBorders>
              <w:tl2br w:val="nil"/>
              <w:tr2bl w:val="nil"/>
            </w:tcBorders>
            <w:noWrap w:val="0"/>
            <w:vAlign w:val="center"/>
          </w:tcPr>
          <w:p>
            <w:pPr>
              <w:keepNext w:val="0"/>
              <w:keepLines w:val="0"/>
              <w:pageBreakBefore w:val="0"/>
              <w:shd w:val="clear" w:color="auto" w:fill="auto"/>
              <w:kinsoku/>
              <w:wordWrap/>
              <w:overflowPunct/>
              <w:topLinePunct w:val="0"/>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w:t>
            </w:r>
          </w:p>
        </w:tc>
        <w:tc>
          <w:tcPr>
            <w:tcW w:w="5327" w:type="dxa"/>
            <w:tcBorders>
              <w:tl2br w:val="nil"/>
              <w:tr2bl w:val="nil"/>
            </w:tcBorders>
            <w:noWrap w:val="0"/>
            <w:vAlign w:val="center"/>
          </w:tcPr>
          <w:p>
            <w:pPr>
              <w:pStyle w:val="2"/>
              <w:keepNext w:val="0"/>
              <w:keepLines w:val="0"/>
              <w:pageBreakBefore w:val="0"/>
              <w:shd w:val="clear" w:color="auto" w:fill="auto"/>
              <w:tabs>
                <w:tab w:val="left" w:pos="7200"/>
              </w:tabs>
              <w:kinsoku/>
              <w:wordWrap/>
              <w:overflowPunct/>
              <w:topLinePunct w:val="0"/>
              <w:bidi w:val="0"/>
              <w:spacing w:line="360" w:lineRule="auto"/>
              <w:ind w:left="0" w:leftChars="0" w:firstLine="480" w:firstLine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具有相关专业工程师（含）以上职称，持有交通运输主管部门颁发的公路工程试验检测工程师或试验检测师证书</w:t>
            </w:r>
            <w:r>
              <w:rPr>
                <w:rFonts w:hint="eastAsia" w:ascii="宋体" w:hAnsi="宋体" w:cs="宋体"/>
                <w:color w:val="auto"/>
                <w:sz w:val="21"/>
                <w:szCs w:val="21"/>
                <w:highlight w:val="none"/>
                <w:lang w:val="en-US" w:eastAsia="zh-CN" w:bidi="ar-SA"/>
              </w:rPr>
              <w:t>（包含桥梁专业）</w:t>
            </w:r>
            <w:r>
              <w:rPr>
                <w:rFonts w:hint="eastAsia" w:ascii="宋体" w:hAnsi="宋体" w:eastAsia="宋体" w:cs="宋体"/>
                <w:color w:val="auto"/>
                <w:sz w:val="21"/>
                <w:szCs w:val="21"/>
                <w:highlight w:val="none"/>
                <w:lang w:val="en-US" w:eastAsia="zh-CN" w:bidi="ar-SA"/>
              </w:rPr>
              <w:t>，至少担任过一个高速公路交工或竣工验收试验检测</w:t>
            </w:r>
            <w:r>
              <w:rPr>
                <w:rFonts w:hint="eastAsia" w:ascii="宋体" w:hAnsi="宋体" w:cs="宋体"/>
                <w:color w:val="auto"/>
                <w:sz w:val="21"/>
                <w:szCs w:val="21"/>
                <w:highlight w:val="none"/>
                <w:lang w:val="en-US" w:eastAsia="zh-CN" w:bidi="ar-SA"/>
              </w:rPr>
              <w:t>或</w:t>
            </w:r>
            <w:r>
              <w:rPr>
                <w:rFonts w:hint="eastAsia" w:ascii="宋体" w:hAnsi="宋体" w:eastAsia="宋体" w:cs="宋体"/>
                <w:color w:val="auto"/>
                <w:sz w:val="21"/>
                <w:szCs w:val="21"/>
                <w:highlight w:val="none"/>
                <w:lang w:val="en-US" w:eastAsia="zh-CN" w:bidi="ar-SA"/>
              </w:rPr>
              <w:t>一个高速公路桥梁荷载试验检测项目的项目负责人或技术负责人。</w:t>
            </w:r>
          </w:p>
        </w:tc>
        <w:tc>
          <w:tcPr>
            <w:tcW w:w="1581" w:type="dxa"/>
            <w:vMerge w:val="restart"/>
            <w:tcBorders>
              <w:tl2br w:val="nil"/>
              <w:tr2bl w:val="nil"/>
            </w:tcBorders>
            <w:noWrap w:val="0"/>
            <w:vAlign w:val="center"/>
          </w:tcPr>
          <w:p>
            <w:pPr>
              <w:bidi w:val="0"/>
              <w:jc w:val="center"/>
              <w:rPr>
                <w:rFonts w:hint="eastAsia"/>
                <w:highlight w:val="none"/>
                <w:lang w:eastAsia="zh-CN"/>
              </w:rPr>
            </w:pPr>
            <w:r>
              <w:rPr>
                <w:rFonts w:hint="eastAsia"/>
                <w:highlight w:val="none"/>
                <w:lang w:val="en-US" w:eastAsia="zh-CN"/>
              </w:rPr>
              <w:t>无在岗项目（指目前未在其他项目上任职，或虽在其他项目上任职但本项目中标后能够从该项目撤离）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09" w:hRule="exact"/>
          <w:jc w:val="center"/>
        </w:trPr>
        <w:tc>
          <w:tcPr>
            <w:tcW w:w="664" w:type="dxa"/>
            <w:tcBorders>
              <w:tl2br w:val="nil"/>
              <w:tr2bl w:val="nil"/>
            </w:tcBorders>
            <w:noWrap w:val="0"/>
            <w:vAlign w:val="center"/>
          </w:tcPr>
          <w:p>
            <w:pPr>
              <w:keepNext w:val="0"/>
              <w:keepLines w:val="0"/>
              <w:pageBreakBefore w:val="0"/>
              <w:shd w:val="clear" w:color="auto" w:fill="auto"/>
              <w:kinsoku/>
              <w:wordWrap/>
              <w:overflowPunct/>
              <w:topLinePunct w:val="0"/>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w:t>
            </w:r>
          </w:p>
        </w:tc>
        <w:tc>
          <w:tcPr>
            <w:tcW w:w="1290" w:type="dxa"/>
            <w:tcBorders>
              <w:tl2br w:val="nil"/>
              <w:tr2bl w:val="nil"/>
            </w:tcBorders>
            <w:noWrap w:val="0"/>
            <w:vAlign w:val="center"/>
          </w:tcPr>
          <w:p>
            <w:pPr>
              <w:keepNext w:val="0"/>
              <w:keepLines w:val="0"/>
              <w:pageBreakBefore w:val="0"/>
              <w:shd w:val="clear" w:color="auto" w:fill="auto"/>
              <w:kinsoku/>
              <w:wordWrap/>
              <w:overflowPunct/>
              <w:topLinePunct w:val="0"/>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技术负责人</w:t>
            </w:r>
          </w:p>
        </w:tc>
        <w:tc>
          <w:tcPr>
            <w:tcW w:w="810" w:type="dxa"/>
            <w:tcBorders>
              <w:tl2br w:val="nil"/>
              <w:tr2bl w:val="nil"/>
            </w:tcBorders>
            <w:noWrap w:val="0"/>
            <w:vAlign w:val="center"/>
          </w:tcPr>
          <w:p>
            <w:pPr>
              <w:keepNext w:val="0"/>
              <w:keepLines w:val="0"/>
              <w:pageBreakBefore w:val="0"/>
              <w:shd w:val="clear" w:color="auto" w:fill="auto"/>
              <w:kinsoku/>
              <w:wordWrap/>
              <w:overflowPunct/>
              <w:topLinePunct w:val="0"/>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w:t>
            </w:r>
          </w:p>
        </w:tc>
        <w:tc>
          <w:tcPr>
            <w:tcW w:w="5327" w:type="dxa"/>
            <w:tcBorders>
              <w:tl2br w:val="nil"/>
              <w:tr2bl w:val="nil"/>
            </w:tcBorders>
            <w:noWrap w:val="0"/>
            <w:vAlign w:val="center"/>
          </w:tcPr>
          <w:p>
            <w:pPr>
              <w:keepNext w:val="0"/>
              <w:keepLines w:val="0"/>
              <w:pageBreakBefore w:val="0"/>
              <w:shd w:val="clear" w:color="auto" w:fill="auto"/>
              <w:kinsoku/>
              <w:wordWrap/>
              <w:overflowPunct/>
              <w:topLinePunct w:val="0"/>
              <w:bidi w:val="0"/>
              <w:adjustRightInd w:val="0"/>
              <w:snapToGrid w:val="0"/>
              <w:spacing w:line="360" w:lineRule="auto"/>
              <w:ind w:firstLine="371" w:firstLineChars="177"/>
              <w:jc w:val="left"/>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具有相关专业高级工程师（含）以上职称，持有交通运输主管部门颁发的公路工程试验检测工程师或试验检测师证书</w:t>
            </w:r>
            <w:r>
              <w:rPr>
                <w:rFonts w:hint="eastAsia" w:ascii="宋体" w:hAnsi="宋体" w:cs="宋体"/>
                <w:color w:val="auto"/>
                <w:sz w:val="21"/>
                <w:szCs w:val="21"/>
                <w:highlight w:val="none"/>
                <w:lang w:val="en-US" w:eastAsia="zh-CN" w:bidi="ar-SA"/>
              </w:rPr>
              <w:t>（包含桥梁专业）</w:t>
            </w:r>
            <w:r>
              <w:rPr>
                <w:rFonts w:hint="eastAsia" w:ascii="宋体" w:hAnsi="宋体" w:eastAsia="宋体" w:cs="宋体"/>
                <w:color w:val="auto"/>
                <w:sz w:val="21"/>
                <w:szCs w:val="21"/>
                <w:highlight w:val="none"/>
                <w:lang w:val="en-US" w:eastAsia="zh-CN" w:bidi="ar-SA"/>
              </w:rPr>
              <w:t>，至少担任过一个高速公路交工或竣工验收试验检测</w:t>
            </w:r>
            <w:r>
              <w:rPr>
                <w:rFonts w:hint="eastAsia" w:ascii="宋体" w:hAnsi="宋体" w:cs="宋体"/>
                <w:color w:val="auto"/>
                <w:sz w:val="21"/>
                <w:szCs w:val="21"/>
                <w:highlight w:val="none"/>
                <w:lang w:val="en-US" w:eastAsia="zh-CN" w:bidi="ar-SA"/>
              </w:rPr>
              <w:t>或</w:t>
            </w:r>
            <w:r>
              <w:rPr>
                <w:rFonts w:hint="eastAsia" w:ascii="宋体" w:hAnsi="宋体" w:eastAsia="宋体" w:cs="宋体"/>
                <w:color w:val="auto"/>
                <w:sz w:val="21"/>
                <w:szCs w:val="21"/>
                <w:highlight w:val="none"/>
                <w:lang w:val="en-US" w:eastAsia="zh-CN" w:bidi="ar-SA"/>
              </w:rPr>
              <w:t>一个高速公路桥梁荷载试验检测项目的项目负责人或技术负责人。</w:t>
            </w:r>
          </w:p>
        </w:tc>
        <w:tc>
          <w:tcPr>
            <w:tcW w:w="1581" w:type="dxa"/>
            <w:vMerge w:val="continue"/>
            <w:tcBorders>
              <w:tl2br w:val="nil"/>
              <w:tr2bl w:val="nil"/>
            </w:tcBorders>
            <w:noWrap w:val="0"/>
            <w:vAlign w:val="center"/>
          </w:tcPr>
          <w:p>
            <w:pPr>
              <w:shd w:val="clear" w:color="auto" w:fill="auto"/>
              <w:adjustRightInd w:val="0"/>
              <w:snapToGrid w:val="0"/>
              <w:jc w:val="center"/>
              <w:rPr>
                <w:rFonts w:hint="eastAsia" w:ascii="宋体" w:hAnsi="宋体" w:eastAsia="宋体" w:cs="宋体"/>
                <w:b/>
                <w:color w:val="auto"/>
                <w:sz w:val="21"/>
                <w:szCs w:val="21"/>
                <w:highlight w:val="none"/>
                <w:shd w:val="clear" w:color="auto" w:fill="auto"/>
                <w:lang w:eastAsia="zh-CN"/>
              </w:rPr>
            </w:pPr>
          </w:p>
        </w:tc>
      </w:tr>
    </w:tbl>
    <w:p>
      <w:pPr>
        <w:shd w:val="clear" w:color="auto" w:fill="auto"/>
        <w:tabs>
          <w:tab w:val="left" w:pos="1433"/>
        </w:tabs>
        <w:spacing w:before="13"/>
        <w:ind w:left="382" w:right="140"/>
        <w:jc w:val="center"/>
        <w:rPr>
          <w:rFonts w:hint="eastAsia" w:ascii="宋体" w:hAnsi="宋体" w:eastAsia="宋体" w:cs="宋体"/>
          <w:b/>
          <w:color w:val="auto"/>
          <w:sz w:val="24"/>
          <w:szCs w:val="24"/>
          <w:highlight w:val="none"/>
          <w:shd w:val="clear" w:color="auto" w:fill="auto"/>
          <w:lang w:eastAsia="zh-CN"/>
        </w:rPr>
      </w:pPr>
    </w:p>
    <w:p>
      <w:pPr>
        <w:rPr>
          <w:rFonts w:hint="eastAsia" w:ascii="宋体" w:hAnsi="宋体" w:cs="黑体"/>
          <w:b/>
          <w:color w:val="auto"/>
          <w:kern w:val="0"/>
          <w:sz w:val="36"/>
          <w:szCs w:val="36"/>
        </w:rPr>
      </w:pPr>
      <w:r>
        <w:rPr>
          <w:rFonts w:hint="eastAsia" w:ascii="宋体" w:hAnsi="宋体" w:cs="黑体"/>
          <w:b/>
          <w:color w:val="auto"/>
          <w:kern w:val="0"/>
          <w:sz w:val="36"/>
          <w:szCs w:val="36"/>
        </w:rPr>
        <w:br w:type="page"/>
      </w:r>
    </w:p>
    <w:p>
      <w:pPr>
        <w:keepNext w:val="0"/>
        <w:keepLines w:val="0"/>
        <w:pageBreakBefore w:val="0"/>
        <w:widowControl w:val="0"/>
        <w:shd w:val="clear" w:color="auto" w:fill="auto"/>
        <w:kinsoku/>
        <w:wordWrap/>
        <w:overflowPunct/>
        <w:topLinePunct w:val="0"/>
        <w:autoSpaceDE/>
        <w:autoSpaceDN/>
        <w:bidi w:val="0"/>
        <w:adjustRightInd/>
        <w:snapToGrid/>
        <w:spacing w:after="0" w:afterLines="50" w:line="360" w:lineRule="auto"/>
        <w:ind w:left="142"/>
        <w:jc w:val="center"/>
        <w:textAlignment w:val="auto"/>
        <w:outlineLvl w:val="0"/>
        <w:rPr>
          <w:rFonts w:hint="eastAsia" w:ascii="宋体" w:hAnsi="宋体" w:eastAsia="宋体" w:cs="Times New Roman"/>
          <w:b/>
          <w:bCs/>
          <w:color w:val="000000"/>
          <w:kern w:val="2"/>
          <w:sz w:val="32"/>
          <w:szCs w:val="32"/>
          <w:lang w:val="en-US" w:eastAsia="zh-CN" w:bidi="ar-SA"/>
        </w:rPr>
      </w:pPr>
      <w:r>
        <w:rPr>
          <w:rFonts w:hint="eastAsia" w:ascii="宋体" w:hAnsi="宋体" w:eastAsia="宋体" w:cs="Times New Roman"/>
          <w:b/>
          <w:bCs/>
          <w:color w:val="000000"/>
          <w:kern w:val="2"/>
          <w:sz w:val="32"/>
          <w:szCs w:val="32"/>
          <w:lang w:val="en-US" w:eastAsia="zh-CN" w:bidi="ar-SA"/>
        </w:rPr>
        <w:t>评标办法（综合评估法）</w:t>
      </w:r>
      <w:bookmarkEnd w:id="0"/>
    </w:p>
    <w:p>
      <w:pPr>
        <w:shd w:val="clear" w:color="auto" w:fill="auto"/>
        <w:ind w:left="142"/>
        <w:jc w:val="both"/>
        <w:rPr>
          <w:rFonts w:hint="eastAsia" w:ascii="宋体" w:hAnsi="宋体" w:eastAsia="宋体" w:cs="宋体"/>
          <w:color w:val="auto"/>
          <w:kern w:val="2"/>
          <w:sz w:val="13"/>
          <w:szCs w:val="14"/>
          <w:highlight w:val="none"/>
          <w:shd w:val="clear" w:color="auto" w:fill="auto"/>
          <w:lang w:eastAsia="zh-CN"/>
        </w:rPr>
      </w:pPr>
      <w:r>
        <w:rPr>
          <w:rFonts w:hint="eastAsia" w:ascii="宋体" w:hAnsi="宋体" w:eastAsia="宋体" w:cs="宋体"/>
          <w:b/>
          <w:bCs/>
          <w:color w:val="auto"/>
          <w:kern w:val="2"/>
          <w:sz w:val="24"/>
          <w:szCs w:val="28"/>
          <w:highlight w:val="none"/>
          <w:shd w:val="clear" w:color="auto" w:fill="auto"/>
          <w:lang w:eastAsia="zh-CN"/>
        </w:rPr>
        <w:t>评标办法前附表</w:t>
      </w:r>
    </w:p>
    <w:tbl>
      <w:tblPr>
        <w:tblStyle w:val="16"/>
        <w:tblW w:w="10303" w:type="dxa"/>
        <w:jc w:val="center"/>
        <w:tblLayout w:type="fixed"/>
        <w:tblCellMar>
          <w:top w:w="0" w:type="dxa"/>
          <w:left w:w="0" w:type="dxa"/>
          <w:bottom w:w="0" w:type="dxa"/>
          <w:right w:w="0" w:type="dxa"/>
        </w:tblCellMar>
      </w:tblPr>
      <w:tblGrid>
        <w:gridCol w:w="755"/>
        <w:gridCol w:w="840"/>
        <w:gridCol w:w="8708"/>
      </w:tblGrid>
      <w:tr>
        <w:tblPrEx>
          <w:tblCellMar>
            <w:top w:w="0" w:type="dxa"/>
            <w:left w:w="0" w:type="dxa"/>
            <w:bottom w:w="0" w:type="dxa"/>
            <w:right w:w="0" w:type="dxa"/>
          </w:tblCellMar>
        </w:tblPrEx>
        <w:trPr>
          <w:trHeight w:val="519" w:hRule="exact"/>
          <w:tblHeader/>
          <w:jc w:val="center"/>
        </w:trPr>
        <w:tc>
          <w:tcPr>
            <w:tcW w:w="1595"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before="54"/>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条款号</w:t>
            </w:r>
          </w:p>
        </w:tc>
        <w:tc>
          <w:tcPr>
            <w:tcW w:w="8708"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before="54"/>
              <w:ind w:right="2"/>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评审因素与评审标准</w:t>
            </w:r>
          </w:p>
        </w:tc>
      </w:tr>
      <w:tr>
        <w:tblPrEx>
          <w:tblCellMar>
            <w:top w:w="0" w:type="dxa"/>
            <w:left w:w="0" w:type="dxa"/>
            <w:bottom w:w="0" w:type="dxa"/>
            <w:right w:w="0" w:type="dxa"/>
          </w:tblCellMar>
        </w:tblPrEx>
        <w:trPr>
          <w:trHeight w:val="1883" w:hRule="exact"/>
          <w:jc w:val="center"/>
        </w:trPr>
        <w:tc>
          <w:tcPr>
            <w:tcW w:w="755"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highlight w:val="none"/>
                <w:shd w:val="clear" w:color="auto" w:fill="auto"/>
              </w:rPr>
              <w:t>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评标方法</w:t>
            </w:r>
          </w:p>
        </w:tc>
        <w:tc>
          <w:tcPr>
            <w:tcW w:w="8708" w:type="dxa"/>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before="85" w:line="276" w:lineRule="auto"/>
              <w:ind w:right="141" w:rightChars="67" w:firstLine="210" w:firstLineChars="100"/>
              <w:rPr>
                <w:rFonts w:hint="eastAsia"/>
                <w:color w:val="auto"/>
                <w:highlight w:val="none"/>
                <w:lang w:val="en-US" w:eastAsia="zh-CN"/>
              </w:rPr>
            </w:pPr>
            <w:r>
              <w:rPr>
                <w:rFonts w:hint="eastAsia"/>
                <w:color w:val="auto"/>
                <w:highlight w:val="none"/>
                <w:lang w:val="en-US" w:eastAsia="zh-CN"/>
              </w:rPr>
              <w:t>综合评分相等时，评标委员会依次按照以下优先顺序推荐中标候选人或确定中标人：</w:t>
            </w:r>
          </w:p>
          <w:p>
            <w:pPr>
              <w:shd w:val="clear" w:color="auto" w:fill="auto"/>
              <w:spacing w:before="85" w:line="276" w:lineRule="auto"/>
              <w:ind w:right="141" w:rightChars="67" w:firstLine="210" w:firstLineChars="100"/>
              <w:rPr>
                <w:rFonts w:hint="eastAsia"/>
                <w:color w:val="auto"/>
                <w:highlight w:val="none"/>
                <w:lang w:val="en-US" w:eastAsia="zh-CN"/>
              </w:rPr>
            </w:pPr>
            <w:r>
              <w:rPr>
                <w:rFonts w:hint="eastAsia"/>
                <w:color w:val="auto"/>
                <w:highlight w:val="none"/>
                <w:lang w:val="en-US" w:eastAsia="zh-CN"/>
              </w:rPr>
              <w:t>（1）评标价低的投标人优先；</w:t>
            </w:r>
          </w:p>
          <w:p>
            <w:pPr>
              <w:shd w:val="clear" w:color="auto" w:fill="auto"/>
              <w:spacing w:before="85" w:line="276" w:lineRule="auto"/>
              <w:ind w:right="141" w:rightChars="67" w:firstLine="210" w:firstLineChars="100"/>
              <w:rPr>
                <w:rFonts w:hint="eastAsia"/>
                <w:color w:val="auto"/>
                <w:highlight w:val="none"/>
                <w:lang w:val="en-US" w:eastAsia="zh-CN"/>
              </w:rPr>
            </w:pPr>
            <w:r>
              <w:rPr>
                <w:rFonts w:hint="eastAsia"/>
                <w:color w:val="auto"/>
                <w:highlight w:val="none"/>
                <w:lang w:val="en-US" w:eastAsia="zh-CN"/>
              </w:rPr>
              <w:t>（2）以评标时采用的信用等级较高的投标人优先；</w:t>
            </w:r>
          </w:p>
          <w:p>
            <w:pPr>
              <w:shd w:val="clear" w:color="auto" w:fill="auto"/>
              <w:spacing w:before="85" w:line="276" w:lineRule="auto"/>
              <w:ind w:right="141" w:rightChars="67" w:firstLine="210" w:firstLineChars="100"/>
              <w:rPr>
                <w:rFonts w:hint="eastAsia"/>
                <w:color w:val="auto"/>
                <w:highlight w:val="none"/>
                <w:lang w:eastAsia="zh-CN"/>
              </w:rPr>
            </w:pPr>
            <w:r>
              <w:rPr>
                <w:rFonts w:hint="eastAsia"/>
                <w:color w:val="auto"/>
                <w:highlight w:val="none"/>
                <w:lang w:val="en-US" w:eastAsia="zh-CN"/>
              </w:rPr>
              <w:t>（3）商务和技术得分较高的投标人优先。</w:t>
            </w:r>
          </w:p>
        </w:tc>
      </w:tr>
      <w:tr>
        <w:tblPrEx>
          <w:tblCellMar>
            <w:top w:w="0" w:type="dxa"/>
            <w:left w:w="0" w:type="dxa"/>
            <w:bottom w:w="0" w:type="dxa"/>
            <w:right w:w="0" w:type="dxa"/>
          </w:tblCellMar>
        </w:tblPrEx>
        <w:trPr>
          <w:trHeight w:val="9543" w:hRule="exact"/>
          <w:jc w:val="center"/>
        </w:trPr>
        <w:tc>
          <w:tcPr>
            <w:tcW w:w="755"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ind w:left="148"/>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highlight w:val="none"/>
                <w:shd w:val="clear" w:color="auto" w:fill="auto"/>
              </w:rPr>
              <w:t>2.1.1</w:t>
            </w:r>
          </w:p>
          <w:p>
            <w:pPr>
              <w:shd w:val="clear" w:color="auto" w:fill="auto"/>
              <w:spacing w:before="118"/>
              <w:ind w:left="148"/>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highlight w:val="none"/>
                <w:shd w:val="clear" w:color="auto" w:fill="auto"/>
              </w:rPr>
              <w:t>2.1.3</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276" w:lineRule="auto"/>
              <w:ind w:left="206" w:right="201"/>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pacing w:val="-1"/>
                <w:sz w:val="21"/>
                <w:szCs w:val="21"/>
                <w:highlight w:val="none"/>
                <w:shd w:val="clear" w:color="auto" w:fill="auto"/>
                <w:lang w:eastAsia="zh-CN"/>
              </w:rPr>
              <w:t>形式评审与响应性评审标准</w:t>
            </w:r>
          </w:p>
        </w:tc>
        <w:tc>
          <w:tcPr>
            <w:tcW w:w="870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170" w:right="134" w:rightChars="64"/>
              <w:textAlignment w:val="auto"/>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lang w:eastAsia="zh-CN"/>
              </w:rPr>
              <w:t>第一个信封（商务及技术文件）评审标准：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（1）投标文件按照招标文件规定的格式、内容填写，字迹清晰可辨；</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a.投标函按招标文件规定填报了项目名称、标段名称、补遗书编号（如有）、检测服务期限、项目负责人及证书号、技术负责人及证书号；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b.投标文件组成齐全完整，内容均按规定填写；</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val="en-US" w:eastAsia="zh-CN"/>
              </w:rPr>
              <w:t>C.投标文件包封标段号与投标文件标段号一致。</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（2）投标文件上法定代表人或其委托代理人的签字、投标人的单位章盖章齐全，符合招标文件规定；</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（3）投标人按照招标文件的规定提供了投标保证金：</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a.投标保证金金额符合招标文件规定的金额，且投标保证金有效期不少于投标有效期；</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b.若投标保证金采用现金或支票形式提交，投标人应在递交投标文件截止时间之前，将投标保证金由投标人的基本账户转入招标人指定账户：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c.若投标保证金采用银行保函或保证保险形式提交，银行保函或保证保险的格式、开具保函的银行或公司均满足招标文件要求，且在递交投标文件截止时间之前向招标人提交了银行保函或保证保险原件。</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w:t>
            </w:r>
            <w:r>
              <w:rPr>
                <w:rFonts w:hint="eastAsia" w:ascii="宋体" w:hAnsi="宋体" w:eastAsia="宋体" w:cs="宋体"/>
                <w:color w:val="auto"/>
                <w:spacing w:val="-3"/>
                <w:sz w:val="21"/>
                <w:szCs w:val="21"/>
                <w:highlight w:val="none"/>
                <w:shd w:val="clear" w:color="auto" w:fill="auto"/>
                <w:lang w:val="en-US" w:eastAsia="zh-CN"/>
              </w:rPr>
              <w:t>4</w:t>
            </w:r>
            <w:r>
              <w:rPr>
                <w:rFonts w:hint="eastAsia" w:ascii="宋体" w:hAnsi="宋体" w:eastAsia="宋体" w:cs="宋体"/>
                <w:color w:val="auto"/>
                <w:spacing w:val="-3"/>
                <w:sz w:val="21"/>
                <w:szCs w:val="21"/>
                <w:highlight w:val="none"/>
                <w:shd w:val="clear" w:color="auto" w:fill="auto"/>
                <w:lang w:eastAsia="zh-CN"/>
              </w:rPr>
              <w:t>）投标人法定代表人授权委托代理人签署投标文件的，须提交授权委托书，</w:t>
            </w:r>
            <w:r>
              <w:rPr>
                <w:rFonts w:hint="eastAsia" w:ascii="宋体" w:hAnsi="宋体" w:eastAsia="宋体" w:cs="宋体"/>
                <w:color w:val="auto"/>
                <w:spacing w:val="-3"/>
                <w:sz w:val="21"/>
                <w:szCs w:val="21"/>
                <w:highlight w:val="none"/>
                <w:shd w:val="clear" w:color="auto" w:fill="auto"/>
                <w:lang w:val="en-US" w:eastAsia="zh-CN"/>
              </w:rPr>
              <w:t>且</w:t>
            </w:r>
            <w:r>
              <w:rPr>
                <w:rFonts w:hint="eastAsia" w:ascii="宋体" w:hAnsi="宋体" w:eastAsia="宋体" w:cs="宋体"/>
                <w:color w:val="auto"/>
                <w:spacing w:val="-3"/>
                <w:sz w:val="21"/>
                <w:szCs w:val="21"/>
                <w:highlight w:val="none"/>
                <w:shd w:val="clear" w:color="auto" w:fill="auto"/>
                <w:lang w:eastAsia="zh-CN"/>
              </w:rPr>
              <w:t>授权人和被授权人均在授权委托书上签名，</w:t>
            </w:r>
            <w:r>
              <w:rPr>
                <w:rFonts w:hint="eastAsia" w:ascii="宋体" w:hAnsi="宋体" w:eastAsia="宋体" w:cs="宋体"/>
                <w:color w:val="auto"/>
                <w:spacing w:val="-3"/>
                <w:sz w:val="21"/>
                <w:szCs w:val="21"/>
                <w:highlight w:val="none"/>
                <w:shd w:val="clear" w:color="auto" w:fill="auto"/>
                <w:lang w:val="en-US" w:eastAsia="zh-CN"/>
              </w:rPr>
              <w:t>未</w:t>
            </w:r>
            <w:r>
              <w:rPr>
                <w:rFonts w:hint="eastAsia" w:ascii="宋体" w:hAnsi="宋体" w:eastAsia="宋体" w:cs="宋体"/>
                <w:color w:val="auto"/>
                <w:spacing w:val="-3"/>
                <w:sz w:val="21"/>
                <w:szCs w:val="21"/>
                <w:highlight w:val="none"/>
                <w:shd w:val="clear" w:color="auto" w:fill="auto"/>
                <w:lang w:eastAsia="zh-CN"/>
              </w:rPr>
              <w:t>使用印章、签名章或其他电子制版签名代替；</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w:t>
            </w:r>
            <w:r>
              <w:rPr>
                <w:rFonts w:hint="eastAsia" w:ascii="宋体" w:hAnsi="宋体" w:eastAsia="宋体" w:cs="宋体"/>
                <w:color w:val="auto"/>
                <w:spacing w:val="-3"/>
                <w:sz w:val="21"/>
                <w:szCs w:val="21"/>
                <w:highlight w:val="none"/>
                <w:shd w:val="clear" w:color="auto" w:fill="auto"/>
                <w:lang w:val="en-US" w:eastAsia="zh-CN"/>
              </w:rPr>
              <w:t>5</w:t>
            </w:r>
            <w:r>
              <w:rPr>
                <w:rFonts w:hint="eastAsia" w:ascii="宋体" w:hAnsi="宋体" w:eastAsia="宋体" w:cs="宋体"/>
                <w:color w:val="auto"/>
                <w:spacing w:val="-3"/>
                <w:sz w:val="21"/>
                <w:szCs w:val="21"/>
                <w:highlight w:val="none"/>
                <w:shd w:val="clear" w:color="auto" w:fill="auto"/>
                <w:lang w:eastAsia="zh-CN"/>
              </w:rPr>
              <w:t>）投标人法定代表人亲自签署投标文件的，提供了法定代表人身份证明，且法定代表人在法定代表人身份证明上签名，未使用印章、签名章或其他电子制版签名代替；</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w:t>
            </w:r>
            <w:r>
              <w:rPr>
                <w:rFonts w:hint="eastAsia" w:ascii="宋体" w:hAnsi="宋体" w:eastAsia="宋体" w:cs="宋体"/>
                <w:color w:val="auto"/>
                <w:spacing w:val="-3"/>
                <w:sz w:val="21"/>
                <w:szCs w:val="21"/>
                <w:highlight w:val="none"/>
                <w:shd w:val="clear" w:color="auto" w:fill="auto"/>
                <w:lang w:val="en-US" w:eastAsia="zh-CN"/>
              </w:rPr>
              <w:t>6</w:t>
            </w:r>
            <w:r>
              <w:rPr>
                <w:rFonts w:hint="eastAsia" w:ascii="宋体" w:hAnsi="宋体" w:eastAsia="宋体" w:cs="宋体"/>
                <w:color w:val="auto"/>
                <w:spacing w:val="-3"/>
                <w:sz w:val="21"/>
                <w:szCs w:val="21"/>
                <w:highlight w:val="none"/>
                <w:shd w:val="clear" w:color="auto" w:fill="auto"/>
                <w:lang w:eastAsia="zh-CN"/>
              </w:rPr>
              <w:t>）投标人未以联合体形式投标；</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w:t>
            </w:r>
            <w:r>
              <w:rPr>
                <w:rFonts w:hint="eastAsia" w:ascii="宋体" w:hAnsi="宋体" w:eastAsia="宋体" w:cs="宋体"/>
                <w:color w:val="auto"/>
                <w:spacing w:val="-3"/>
                <w:sz w:val="21"/>
                <w:szCs w:val="21"/>
                <w:highlight w:val="none"/>
                <w:shd w:val="clear" w:color="auto" w:fill="auto"/>
                <w:lang w:val="en-US" w:eastAsia="zh-CN"/>
              </w:rPr>
              <w:t>7</w:t>
            </w:r>
            <w:r>
              <w:rPr>
                <w:rFonts w:hint="eastAsia" w:ascii="宋体" w:hAnsi="宋体" w:eastAsia="宋体" w:cs="宋体"/>
                <w:color w:val="auto"/>
                <w:spacing w:val="-3"/>
                <w:sz w:val="21"/>
                <w:szCs w:val="21"/>
                <w:highlight w:val="none"/>
                <w:shd w:val="clear" w:color="auto" w:fill="auto"/>
                <w:lang w:eastAsia="zh-CN"/>
              </w:rPr>
              <w:t>）同一投标人未提交两个以上不同的投标文件，但招标文件要求提交备选投标的除外；</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w:t>
            </w:r>
            <w:r>
              <w:rPr>
                <w:rFonts w:hint="eastAsia" w:ascii="宋体" w:hAnsi="宋体" w:eastAsia="宋体" w:cs="宋体"/>
                <w:color w:val="auto"/>
                <w:spacing w:val="-3"/>
                <w:sz w:val="21"/>
                <w:szCs w:val="21"/>
                <w:highlight w:val="none"/>
                <w:shd w:val="clear" w:color="auto" w:fill="auto"/>
                <w:lang w:val="en-US" w:eastAsia="zh-CN"/>
              </w:rPr>
              <w:t>8</w:t>
            </w:r>
            <w:r>
              <w:rPr>
                <w:rFonts w:hint="eastAsia" w:ascii="宋体" w:hAnsi="宋体" w:eastAsia="宋体" w:cs="宋体"/>
                <w:color w:val="auto"/>
                <w:spacing w:val="-3"/>
                <w:sz w:val="21"/>
                <w:szCs w:val="21"/>
                <w:highlight w:val="none"/>
                <w:shd w:val="clear" w:color="auto" w:fill="auto"/>
                <w:lang w:eastAsia="zh-CN"/>
              </w:rPr>
              <w:t>）投标文件中未出现有关投标报价的内容；</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w:t>
            </w:r>
            <w:r>
              <w:rPr>
                <w:rFonts w:hint="eastAsia" w:ascii="宋体" w:hAnsi="宋体" w:eastAsia="宋体" w:cs="宋体"/>
                <w:color w:val="auto"/>
                <w:spacing w:val="-3"/>
                <w:sz w:val="21"/>
                <w:szCs w:val="21"/>
                <w:highlight w:val="none"/>
                <w:shd w:val="clear" w:color="auto" w:fill="auto"/>
                <w:lang w:val="en-US" w:eastAsia="zh-CN"/>
              </w:rPr>
              <w:t>9</w:t>
            </w:r>
            <w:r>
              <w:rPr>
                <w:rFonts w:hint="eastAsia" w:ascii="宋体" w:hAnsi="宋体" w:eastAsia="宋体" w:cs="宋体"/>
                <w:color w:val="auto"/>
                <w:spacing w:val="-3"/>
                <w:sz w:val="21"/>
                <w:szCs w:val="21"/>
                <w:highlight w:val="none"/>
                <w:shd w:val="clear" w:color="auto" w:fill="auto"/>
                <w:lang w:eastAsia="zh-CN"/>
              </w:rPr>
              <w:t>）投标文件载明的招标项目完成期限未超过招标文件规定的时限；</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34" w:rightChars="64" w:firstLine="210" w:firstLineChars="100"/>
              <w:textAlignment w:val="auto"/>
              <w:rPr>
                <w:rFonts w:hint="eastAsia" w:ascii="宋体" w:hAnsi="宋体" w:eastAsia="宋体" w:cs="宋体"/>
                <w:color w:val="auto"/>
                <w:sz w:val="21"/>
                <w:szCs w:val="21"/>
                <w:highlight w:val="none"/>
                <w:shd w:val="clear" w:color="auto" w:fill="auto"/>
                <w:lang w:eastAsia="zh-CN"/>
              </w:rPr>
            </w:pPr>
          </w:p>
        </w:tc>
      </w:tr>
      <w:tr>
        <w:tblPrEx>
          <w:tblCellMar>
            <w:top w:w="0" w:type="dxa"/>
            <w:left w:w="0" w:type="dxa"/>
            <w:bottom w:w="0" w:type="dxa"/>
            <w:right w:w="0" w:type="dxa"/>
          </w:tblCellMar>
        </w:tblPrEx>
        <w:trPr>
          <w:trHeight w:val="9270" w:hRule="exact"/>
          <w:jc w:val="center"/>
        </w:trPr>
        <w:tc>
          <w:tcPr>
            <w:tcW w:w="755"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ind w:left="148"/>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highlight w:val="none"/>
                <w:shd w:val="clear" w:color="auto" w:fill="auto"/>
              </w:rPr>
              <w:t>2.1.1</w:t>
            </w:r>
          </w:p>
          <w:p>
            <w:pPr>
              <w:shd w:val="clear" w:color="auto" w:fill="auto"/>
              <w:spacing w:before="118"/>
              <w:ind w:left="148"/>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highlight w:val="none"/>
                <w:shd w:val="clear" w:color="auto" w:fill="auto"/>
              </w:rPr>
              <w:t>2.1.3</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276" w:lineRule="auto"/>
              <w:ind w:left="206" w:right="201"/>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pacing w:val="-1"/>
                <w:sz w:val="21"/>
                <w:szCs w:val="21"/>
                <w:highlight w:val="none"/>
                <w:shd w:val="clear" w:color="auto" w:fill="auto"/>
                <w:lang w:eastAsia="zh-CN"/>
              </w:rPr>
              <w:t>形式评审与响应性评审标准</w:t>
            </w:r>
          </w:p>
        </w:tc>
        <w:tc>
          <w:tcPr>
            <w:tcW w:w="870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(1</w:t>
            </w:r>
            <w:r>
              <w:rPr>
                <w:rFonts w:hint="eastAsia" w:ascii="宋体" w:hAnsi="宋体" w:eastAsia="宋体" w:cs="宋体"/>
                <w:color w:val="auto"/>
                <w:spacing w:val="-3"/>
                <w:sz w:val="21"/>
                <w:szCs w:val="21"/>
                <w:highlight w:val="none"/>
                <w:shd w:val="clear" w:color="auto" w:fill="auto"/>
                <w:lang w:val="en-US" w:eastAsia="zh-CN"/>
              </w:rPr>
              <w:t>0</w:t>
            </w:r>
            <w:r>
              <w:rPr>
                <w:rFonts w:hint="eastAsia" w:ascii="宋体" w:hAnsi="宋体" w:eastAsia="宋体" w:cs="宋体"/>
                <w:color w:val="auto"/>
                <w:spacing w:val="-3"/>
                <w:sz w:val="21"/>
                <w:szCs w:val="21"/>
                <w:highlight w:val="none"/>
                <w:shd w:val="clear" w:color="auto" w:fill="auto"/>
                <w:lang w:eastAsia="zh-CN"/>
              </w:rPr>
              <w:t>）投标文件对招标文件的实质性要求和条件作出响应；</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(1</w:t>
            </w:r>
            <w:r>
              <w:rPr>
                <w:rFonts w:hint="eastAsia" w:ascii="宋体" w:hAnsi="宋体" w:eastAsia="宋体" w:cs="宋体"/>
                <w:color w:val="auto"/>
                <w:spacing w:val="-3"/>
                <w:sz w:val="21"/>
                <w:szCs w:val="21"/>
                <w:highlight w:val="none"/>
                <w:shd w:val="clear" w:color="auto" w:fill="auto"/>
                <w:lang w:val="en-US" w:eastAsia="zh-CN"/>
              </w:rPr>
              <w:t>1</w:t>
            </w:r>
            <w:r>
              <w:rPr>
                <w:rFonts w:hint="eastAsia" w:ascii="宋体" w:hAnsi="宋体" w:eastAsia="宋体" w:cs="宋体"/>
                <w:color w:val="auto"/>
                <w:spacing w:val="-3"/>
                <w:sz w:val="21"/>
                <w:szCs w:val="21"/>
                <w:highlight w:val="none"/>
                <w:shd w:val="clear" w:color="auto" w:fill="auto"/>
                <w:lang w:eastAsia="zh-CN"/>
              </w:rPr>
              <w:t>）权利义务符合招标文件规定：</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a.投标人应接受招标文件规定的风险划分原则，未提出新的风险划分办法；</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b.投标人未增加委托人的责任范围，或减少投标人义务；</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c.投标人未提出不同的支付办法；</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d.投标人对合同纠纷、事故处理办法未提出异议；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e.投标人在投标活动中无欺诈行为；</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f.投标人未对合同条款有重要保留。</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w:t>
            </w:r>
            <w:r>
              <w:rPr>
                <w:rFonts w:hint="eastAsia" w:ascii="宋体" w:hAnsi="宋体" w:eastAsia="宋体" w:cs="宋体"/>
                <w:color w:val="auto"/>
                <w:spacing w:val="-3"/>
                <w:sz w:val="21"/>
                <w:szCs w:val="21"/>
                <w:highlight w:val="none"/>
                <w:shd w:val="clear" w:color="auto" w:fill="auto"/>
                <w:lang w:val="en-US" w:eastAsia="zh-CN"/>
              </w:rPr>
              <w:t>12</w:t>
            </w:r>
            <w:r>
              <w:rPr>
                <w:rFonts w:hint="eastAsia" w:ascii="宋体" w:hAnsi="宋体" w:eastAsia="宋体" w:cs="宋体"/>
                <w:color w:val="auto"/>
                <w:spacing w:val="-3"/>
                <w:sz w:val="21"/>
                <w:szCs w:val="21"/>
                <w:highlight w:val="none"/>
                <w:shd w:val="clear" w:color="auto" w:fill="auto"/>
                <w:lang w:eastAsia="zh-CN"/>
              </w:rPr>
              <w:t>）投标文件正、副本份数符合招标文件第二章“投标人须知”第3.7.4项规定。</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168" w:leftChars="80" w:right="141" w:rightChars="67" w:firstLine="138" w:firstLineChars="68"/>
              <w:textAlignment w:val="auto"/>
              <w:rPr>
                <w:rFonts w:hint="eastAsia" w:ascii="宋体" w:hAnsi="宋体" w:eastAsia="宋体" w:cs="宋体"/>
                <w:color w:val="auto"/>
                <w:spacing w:val="-3"/>
                <w:sz w:val="21"/>
                <w:szCs w:val="21"/>
                <w:highlight w:val="none"/>
                <w:shd w:val="clear" w:color="auto" w:fill="auto"/>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168" w:leftChars="80" w:right="141" w:rightChars="67"/>
              <w:textAlignment w:val="auto"/>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lang w:eastAsia="zh-CN"/>
              </w:rPr>
              <w:t>第二个信封（报价文件）评审标准：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0"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z w:val="20"/>
                <w:szCs w:val="20"/>
                <w:highlight w:val="none"/>
                <w:shd w:val="clear" w:color="auto" w:fill="auto"/>
                <w:lang w:eastAsia="zh-CN"/>
              </w:rPr>
              <w:t>（</w:t>
            </w:r>
            <w:r>
              <w:rPr>
                <w:rFonts w:hint="eastAsia" w:ascii="宋体" w:hAnsi="宋体" w:eastAsia="宋体" w:cs="宋体"/>
                <w:color w:val="auto"/>
                <w:spacing w:val="-3"/>
                <w:sz w:val="21"/>
                <w:szCs w:val="21"/>
                <w:highlight w:val="none"/>
                <w:shd w:val="clear" w:color="auto" w:fill="auto"/>
                <w:lang w:eastAsia="zh-CN"/>
              </w:rPr>
              <w:t>1）投标文件按照招标文件规定的格式、内容填写，字迹清晰可辨，内容齐全完整：</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default"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a.投标函按招标文件规定填报了项目名称、标段名称、补遗书编号（如有）、投标价（包括大写金额和小写金额）</w:t>
            </w:r>
            <w:r>
              <w:rPr>
                <w:rFonts w:hint="default" w:ascii="宋体" w:hAnsi="宋体" w:eastAsia="宋体" w:cs="宋体"/>
                <w:color w:val="auto"/>
                <w:spacing w:val="-3"/>
                <w:sz w:val="21"/>
                <w:szCs w:val="21"/>
                <w:highlight w:val="none"/>
                <w:shd w:val="clear" w:color="auto" w:fill="auto"/>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b.己标价报价清单说明文字与招标文件规定一致，未进行实质性修改和删减；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c.投标文件组成齐全完整，内容均按规定填写；</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default" w:ascii="宋体" w:hAnsi="宋体" w:eastAsia="宋体" w:cs="宋体"/>
                <w:color w:val="auto"/>
                <w:spacing w:val="-3"/>
                <w:sz w:val="21"/>
                <w:szCs w:val="21"/>
                <w:highlight w:val="none"/>
                <w:shd w:val="clear" w:color="auto" w:fill="auto"/>
                <w:lang w:val="en-US" w:eastAsia="zh-CN"/>
              </w:rPr>
            </w:pPr>
            <w:r>
              <w:rPr>
                <w:rFonts w:hint="eastAsia" w:ascii="宋体" w:hAnsi="宋体" w:eastAsia="宋体" w:cs="宋体"/>
                <w:color w:val="auto"/>
                <w:spacing w:val="-3"/>
                <w:sz w:val="21"/>
                <w:szCs w:val="21"/>
                <w:highlight w:val="none"/>
                <w:shd w:val="clear" w:color="auto" w:fill="auto"/>
                <w:lang w:val="en-US" w:eastAsia="zh-CN"/>
              </w:rPr>
              <w:t>d.投标文件包封标段号与投标文件标段号一致。</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（2）投标文件上法定代表人或其委托代理人的签字、投标人的单位章盖章齐全，符合招标文件规定；</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（3）投标报价未超过招标文件设定的最高投标限价（如有，</w:t>
            </w:r>
            <w:r>
              <w:rPr>
                <w:rFonts w:hint="eastAsia" w:ascii="宋体" w:hAnsi="宋体" w:eastAsia="宋体" w:cs="宋体"/>
                <w:color w:val="auto"/>
                <w:spacing w:val="-3"/>
                <w:sz w:val="21"/>
                <w:szCs w:val="21"/>
                <w:highlight w:val="none"/>
                <w:shd w:val="clear" w:color="auto" w:fill="auto"/>
                <w:lang w:val="en-US" w:eastAsia="zh-CN"/>
              </w:rPr>
              <w:t>超限价的招标文件无效</w:t>
            </w:r>
            <w:r>
              <w:rPr>
                <w:rFonts w:hint="eastAsia" w:ascii="宋体" w:hAnsi="宋体" w:eastAsia="宋体" w:cs="宋体"/>
                <w:color w:val="auto"/>
                <w:spacing w:val="-3"/>
                <w:sz w:val="21"/>
                <w:szCs w:val="21"/>
                <w:highlight w:val="none"/>
                <w:shd w:val="clear" w:color="auto" w:fill="auto"/>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（4）投标报价的大写金额能够确定具体数值；</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w:t>
            </w:r>
            <w:r>
              <w:rPr>
                <w:rFonts w:hint="eastAsia" w:ascii="宋体" w:hAnsi="宋体" w:eastAsia="宋体" w:cs="宋体"/>
                <w:color w:val="auto"/>
                <w:spacing w:val="-3"/>
                <w:sz w:val="21"/>
                <w:szCs w:val="21"/>
                <w:highlight w:val="none"/>
                <w:shd w:val="clear" w:color="auto" w:fill="auto"/>
                <w:lang w:val="en-US" w:eastAsia="zh-CN"/>
              </w:rPr>
              <w:t>5</w:t>
            </w:r>
            <w:r>
              <w:rPr>
                <w:rFonts w:hint="eastAsia" w:ascii="宋体" w:hAnsi="宋体" w:eastAsia="宋体" w:cs="宋体"/>
                <w:color w:val="auto"/>
                <w:spacing w:val="-3"/>
                <w:sz w:val="21"/>
                <w:szCs w:val="21"/>
                <w:highlight w:val="none"/>
                <w:shd w:val="clear" w:color="auto" w:fill="auto"/>
                <w:lang w:eastAsia="zh-CN"/>
              </w:rPr>
              <w:t>）同一投标人未提交两个以上不同的投标报价，但招标文件要求提交备选投标的除外；</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w:t>
            </w:r>
            <w:r>
              <w:rPr>
                <w:rFonts w:hint="eastAsia" w:ascii="宋体" w:hAnsi="宋体" w:eastAsia="宋体" w:cs="宋体"/>
                <w:color w:val="auto"/>
                <w:spacing w:val="-3"/>
                <w:sz w:val="21"/>
                <w:szCs w:val="21"/>
                <w:highlight w:val="none"/>
                <w:shd w:val="clear" w:color="auto" w:fill="auto"/>
                <w:lang w:val="en-US" w:eastAsia="zh-CN"/>
              </w:rPr>
              <w:t>6</w:t>
            </w:r>
            <w:r>
              <w:rPr>
                <w:rFonts w:hint="eastAsia" w:ascii="宋体" w:hAnsi="宋体" w:eastAsia="宋体" w:cs="宋体"/>
                <w:color w:val="auto"/>
                <w:spacing w:val="-3"/>
                <w:sz w:val="21"/>
                <w:szCs w:val="21"/>
                <w:highlight w:val="none"/>
                <w:shd w:val="clear" w:color="auto" w:fill="auto"/>
                <w:lang w:eastAsia="zh-CN"/>
              </w:rPr>
              <w:t>）投标文件正、副本份数符合招标文件第二章“投标人须知”第3.7.4项规定。</w:t>
            </w:r>
          </w:p>
        </w:tc>
      </w:tr>
      <w:tr>
        <w:tblPrEx>
          <w:tblCellMar>
            <w:top w:w="0" w:type="dxa"/>
            <w:left w:w="0" w:type="dxa"/>
            <w:bottom w:w="0" w:type="dxa"/>
            <w:right w:w="0" w:type="dxa"/>
          </w:tblCellMar>
        </w:tblPrEx>
        <w:trPr>
          <w:trHeight w:val="4026" w:hRule="exact"/>
          <w:jc w:val="center"/>
        </w:trPr>
        <w:tc>
          <w:tcPr>
            <w:tcW w:w="755"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ind w:left="148"/>
              <w:jc w:val="center"/>
              <w:rPr>
                <w:rFonts w:hint="eastAsia" w:ascii="宋体" w:hAnsi="宋体" w:eastAsia="宋体" w:cs="宋体"/>
                <w:color w:val="auto"/>
                <w:sz w:val="21"/>
                <w:highlight w:val="none"/>
                <w:shd w:val="clear" w:color="auto" w:fill="auto"/>
                <w:lang w:eastAsia="zh-CN"/>
              </w:rPr>
            </w:pPr>
            <w:r>
              <w:rPr>
                <w:rFonts w:hint="eastAsia" w:ascii="宋体" w:hAnsi="宋体" w:eastAsia="宋体" w:cs="宋体"/>
                <w:color w:val="auto"/>
                <w:sz w:val="20"/>
                <w:highlight w:val="none"/>
                <w:shd w:val="clear" w:color="auto" w:fill="auto"/>
              </w:rPr>
              <w:t>2.1.2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314" w:lineRule="auto"/>
              <w:ind w:left="206" w:right="201"/>
              <w:jc w:val="center"/>
              <w:rPr>
                <w:rFonts w:hint="eastAsia" w:ascii="宋体" w:hAnsi="宋体" w:eastAsia="宋体" w:cs="宋体"/>
                <w:color w:val="auto"/>
                <w:spacing w:val="-1"/>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资格评审标准</w:t>
            </w:r>
          </w:p>
        </w:tc>
        <w:tc>
          <w:tcPr>
            <w:tcW w:w="8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（1）投标人具备有效的营业执照、组织机构代码证（如“三证合一”或“五证合一”可不提供）、基本账户开户许可证（或基本存款账户信息）；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（2）投标人的资质等级及计量认证证书（CMA)符合招标文件规定；</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（3）投标人的类似项目业绩符合招标文件规定；</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（4）投标人的信誉符合招标文件规定；</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w:t>
            </w:r>
            <w:r>
              <w:rPr>
                <w:rFonts w:hint="eastAsia" w:ascii="宋体" w:hAnsi="宋体" w:eastAsia="宋体" w:cs="宋体"/>
                <w:color w:val="auto"/>
                <w:spacing w:val="-3"/>
                <w:sz w:val="21"/>
                <w:szCs w:val="21"/>
                <w:highlight w:val="none"/>
                <w:shd w:val="clear" w:color="auto" w:fill="auto"/>
                <w:lang w:val="en-US" w:eastAsia="zh-CN"/>
              </w:rPr>
              <w:t>5</w:t>
            </w:r>
            <w:r>
              <w:rPr>
                <w:rFonts w:hint="eastAsia" w:ascii="宋体" w:hAnsi="宋体" w:eastAsia="宋体" w:cs="宋体"/>
                <w:color w:val="auto"/>
                <w:spacing w:val="-3"/>
                <w:sz w:val="21"/>
                <w:szCs w:val="21"/>
                <w:highlight w:val="none"/>
                <w:shd w:val="clear" w:color="auto" w:fill="auto"/>
                <w:lang w:eastAsia="zh-CN"/>
              </w:rPr>
              <w:t>）投标人的项目负责人及技术负责人资格、在岗情况符合招标文件规定；</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w:t>
            </w:r>
            <w:r>
              <w:rPr>
                <w:rFonts w:hint="eastAsia" w:ascii="宋体" w:hAnsi="宋体" w:eastAsia="宋体" w:cs="宋体"/>
                <w:color w:val="auto"/>
                <w:spacing w:val="-3"/>
                <w:sz w:val="21"/>
                <w:szCs w:val="21"/>
                <w:highlight w:val="none"/>
                <w:shd w:val="clear" w:color="auto" w:fill="auto"/>
                <w:lang w:val="en-US" w:eastAsia="zh-CN"/>
              </w:rPr>
              <w:t>6</w:t>
            </w:r>
            <w:r>
              <w:rPr>
                <w:rFonts w:hint="eastAsia" w:ascii="宋体" w:hAnsi="宋体" w:eastAsia="宋体" w:cs="宋体"/>
                <w:color w:val="auto"/>
                <w:spacing w:val="-3"/>
                <w:sz w:val="21"/>
                <w:szCs w:val="21"/>
                <w:highlight w:val="none"/>
                <w:shd w:val="clear" w:color="auto" w:fill="auto"/>
                <w:lang w:eastAsia="zh-CN"/>
              </w:rPr>
              <w:t>）投标人的其他要求符合招标文件规定；</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ascii="宋体" w:hAnsi="宋体" w:eastAsia="宋体" w:cs="宋体"/>
                <w:color w:val="auto"/>
                <w:spacing w:val="-3"/>
                <w:sz w:val="21"/>
                <w:szCs w:val="21"/>
                <w:highlight w:val="none"/>
                <w:shd w:val="clear" w:color="auto" w:fill="auto"/>
                <w:lang w:eastAsia="zh-CN"/>
              </w:rPr>
            </w:pPr>
            <w:r>
              <w:rPr>
                <w:rFonts w:hint="eastAsia" w:ascii="宋体" w:hAnsi="宋体" w:eastAsia="宋体" w:cs="宋体"/>
                <w:color w:val="auto"/>
                <w:spacing w:val="-3"/>
                <w:sz w:val="21"/>
                <w:szCs w:val="21"/>
                <w:highlight w:val="none"/>
                <w:shd w:val="clear" w:color="auto" w:fill="auto"/>
                <w:lang w:eastAsia="zh-CN"/>
              </w:rPr>
              <w:t>（</w:t>
            </w:r>
            <w:r>
              <w:rPr>
                <w:rFonts w:hint="eastAsia" w:ascii="宋体" w:hAnsi="宋体" w:eastAsia="宋体" w:cs="宋体"/>
                <w:color w:val="auto"/>
                <w:spacing w:val="-3"/>
                <w:sz w:val="21"/>
                <w:szCs w:val="21"/>
                <w:highlight w:val="none"/>
                <w:shd w:val="clear" w:color="auto" w:fill="auto"/>
                <w:lang w:val="en-US" w:eastAsia="zh-CN"/>
              </w:rPr>
              <w:t>7</w:t>
            </w:r>
            <w:r>
              <w:rPr>
                <w:rFonts w:hint="eastAsia" w:ascii="宋体" w:hAnsi="宋体" w:eastAsia="宋体" w:cs="宋体"/>
                <w:color w:val="auto"/>
                <w:spacing w:val="-3"/>
                <w:sz w:val="21"/>
                <w:szCs w:val="21"/>
                <w:highlight w:val="none"/>
                <w:shd w:val="clear" w:color="auto" w:fill="auto"/>
                <w:lang w:eastAsia="zh-CN"/>
              </w:rPr>
              <w:t>）投标人不存在第二章“投标人须知”第1.4.3项</w:t>
            </w:r>
            <w:r>
              <w:rPr>
                <w:rFonts w:hint="default" w:ascii="宋体" w:hAnsi="宋体" w:eastAsia="宋体" w:cs="宋体"/>
                <w:color w:val="auto"/>
                <w:spacing w:val="-3"/>
                <w:sz w:val="21"/>
                <w:szCs w:val="21"/>
                <w:highlight w:val="none"/>
                <w:shd w:val="clear" w:color="auto" w:fill="auto"/>
                <w:lang w:eastAsia="zh-CN"/>
              </w:rPr>
              <w:t>和</w:t>
            </w:r>
            <w:r>
              <w:rPr>
                <w:rFonts w:hint="eastAsia" w:ascii="宋体" w:hAnsi="宋体" w:eastAsia="宋体" w:cs="宋体"/>
                <w:color w:val="auto"/>
                <w:spacing w:val="-3"/>
                <w:sz w:val="21"/>
                <w:szCs w:val="21"/>
                <w:highlight w:val="none"/>
                <w:shd w:val="clear" w:color="auto" w:fill="auto"/>
                <w:lang w:eastAsia="zh-CN"/>
              </w:rPr>
              <w:t>第1.4.4项规定的任何一种情形；</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41" w:rightChars="67" w:firstLine="204" w:firstLineChars="100"/>
              <w:textAlignment w:val="auto"/>
              <w:rPr>
                <w:rFonts w:hint="eastAsia"/>
                <w:color w:val="auto"/>
                <w:highlight w:val="none"/>
                <w:lang w:eastAsia="zh-CN"/>
              </w:rPr>
            </w:pPr>
            <w:r>
              <w:rPr>
                <w:rFonts w:hint="eastAsia" w:ascii="宋体" w:hAnsi="宋体" w:eastAsia="宋体" w:cs="宋体"/>
                <w:color w:val="auto"/>
                <w:spacing w:val="-3"/>
                <w:sz w:val="21"/>
                <w:szCs w:val="21"/>
                <w:highlight w:val="none"/>
                <w:shd w:val="clear" w:color="auto" w:fill="auto"/>
                <w:lang w:eastAsia="zh-CN"/>
              </w:rPr>
              <w:t>（</w:t>
            </w:r>
            <w:r>
              <w:rPr>
                <w:rFonts w:hint="eastAsia" w:ascii="宋体" w:hAnsi="宋体" w:eastAsia="宋体" w:cs="宋体"/>
                <w:color w:val="auto"/>
                <w:spacing w:val="-3"/>
                <w:sz w:val="21"/>
                <w:szCs w:val="21"/>
                <w:highlight w:val="none"/>
                <w:shd w:val="clear" w:color="auto" w:fill="auto"/>
                <w:lang w:val="en-US" w:eastAsia="zh-CN"/>
              </w:rPr>
              <w:t>8</w:t>
            </w:r>
            <w:r>
              <w:rPr>
                <w:rFonts w:hint="eastAsia" w:ascii="宋体" w:hAnsi="宋体" w:eastAsia="宋体" w:cs="宋体"/>
                <w:color w:val="auto"/>
                <w:spacing w:val="-3"/>
                <w:sz w:val="21"/>
                <w:szCs w:val="21"/>
                <w:highlight w:val="none"/>
                <w:shd w:val="clear" w:color="auto" w:fill="auto"/>
                <w:lang w:eastAsia="zh-CN"/>
              </w:rPr>
              <w:t>）投标人符合第二章“投标人须知”第1.4.</w:t>
            </w:r>
            <w:r>
              <w:rPr>
                <w:rFonts w:hint="eastAsia" w:ascii="宋体" w:hAnsi="宋体" w:eastAsia="宋体" w:cs="宋体"/>
                <w:color w:val="auto"/>
                <w:spacing w:val="-3"/>
                <w:sz w:val="21"/>
                <w:szCs w:val="21"/>
                <w:highlight w:val="none"/>
                <w:shd w:val="clear" w:color="auto" w:fill="auto"/>
                <w:lang w:val="en-US" w:eastAsia="zh-CN"/>
              </w:rPr>
              <w:t>5</w:t>
            </w:r>
            <w:r>
              <w:rPr>
                <w:rFonts w:hint="eastAsia" w:ascii="宋体" w:hAnsi="宋体" w:eastAsia="宋体" w:cs="宋体"/>
                <w:color w:val="auto"/>
                <w:spacing w:val="-3"/>
                <w:sz w:val="21"/>
                <w:szCs w:val="21"/>
                <w:highlight w:val="none"/>
                <w:shd w:val="clear" w:color="auto" w:fill="auto"/>
                <w:lang w:eastAsia="zh-CN"/>
              </w:rPr>
              <w:t>项规定。</w:t>
            </w:r>
          </w:p>
        </w:tc>
      </w:tr>
    </w:tbl>
    <w:p>
      <w:pPr>
        <w:pStyle w:val="2"/>
        <w:tabs>
          <w:tab w:val="left" w:pos="7200"/>
        </w:tabs>
        <w:rPr>
          <w:rFonts w:hint="eastAsia"/>
          <w:color w:val="auto"/>
          <w:highlight w:val="none"/>
          <w:lang w:eastAsia="zh-CN"/>
        </w:rPr>
      </w:pPr>
    </w:p>
    <w:tbl>
      <w:tblPr>
        <w:tblStyle w:val="16"/>
        <w:tblW w:w="8938" w:type="dxa"/>
        <w:jc w:val="center"/>
        <w:tblLayout w:type="fixed"/>
        <w:tblCellMar>
          <w:top w:w="0" w:type="dxa"/>
          <w:left w:w="0" w:type="dxa"/>
          <w:bottom w:w="0" w:type="dxa"/>
          <w:right w:w="0" w:type="dxa"/>
        </w:tblCellMar>
      </w:tblPr>
      <w:tblGrid>
        <w:gridCol w:w="900"/>
        <w:gridCol w:w="1563"/>
        <w:gridCol w:w="6475"/>
      </w:tblGrid>
      <w:tr>
        <w:tblPrEx>
          <w:tblCellMar>
            <w:top w:w="0" w:type="dxa"/>
            <w:left w:w="0" w:type="dxa"/>
            <w:bottom w:w="0" w:type="dxa"/>
            <w:right w:w="0" w:type="dxa"/>
          </w:tblCellMar>
        </w:tblPrEx>
        <w:trPr>
          <w:trHeight w:val="575" w:hRule="exac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before="74"/>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条款号</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before="74"/>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条款内容</w:t>
            </w:r>
          </w:p>
        </w:tc>
        <w:tc>
          <w:tcPr>
            <w:tcW w:w="6475"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before="74"/>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编列内容</w:t>
            </w:r>
          </w:p>
        </w:tc>
      </w:tr>
      <w:tr>
        <w:tblPrEx>
          <w:tblCellMar>
            <w:top w:w="0" w:type="dxa"/>
            <w:left w:w="0" w:type="dxa"/>
            <w:bottom w:w="0" w:type="dxa"/>
            <w:right w:w="0" w:type="dxa"/>
          </w:tblCellMar>
        </w:tblPrEx>
        <w:trPr>
          <w:trHeight w:val="3247" w:hRule="exac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before="173"/>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highlight w:val="none"/>
                <w:shd w:val="clear" w:color="auto" w:fill="auto"/>
              </w:rPr>
              <w:t>2.2.1</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before="154" w:line="276"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分值构成</w:t>
            </w:r>
          </w:p>
          <w:p>
            <w:pPr>
              <w:shd w:val="clear" w:color="auto" w:fill="auto"/>
              <w:spacing w:before="154" w:line="276" w:lineRule="auto"/>
              <w:jc w:val="center"/>
              <w:rPr>
                <w:rFonts w:hint="eastAsia" w:ascii="宋体" w:hAnsi="宋体" w:eastAsia="宋体" w:cs="宋体"/>
                <w:color w:val="auto"/>
                <w:sz w:val="21"/>
                <w:szCs w:val="21"/>
                <w:highlight w:val="none"/>
                <w:shd w:val="clear" w:color="auto" w:fill="auto"/>
                <w:vertAlign w:val="superscript"/>
                <w:lang w:eastAsia="zh-CN"/>
              </w:rPr>
            </w:pPr>
            <w:r>
              <w:rPr>
                <w:rFonts w:hint="eastAsia" w:ascii="宋体" w:hAnsi="宋体" w:eastAsia="宋体" w:cs="宋体"/>
                <w:color w:val="auto"/>
                <w:sz w:val="21"/>
                <w:szCs w:val="21"/>
                <w:highlight w:val="none"/>
                <w:shd w:val="clear" w:color="auto" w:fill="auto"/>
                <w:lang w:eastAsia="zh-CN"/>
              </w:rPr>
              <w:t>（总分100分）</w:t>
            </w:r>
          </w:p>
        </w:tc>
        <w:tc>
          <w:tcPr>
            <w:tcW w:w="6475"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tabs>
                <w:tab w:val="left" w:pos="2626"/>
              </w:tabs>
              <w:spacing w:before="54" w:line="314" w:lineRule="auto"/>
              <w:ind w:right="85" w:rightChars="0"/>
              <w:jc w:val="both"/>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b/>
                <w:bCs/>
                <w:color w:val="auto"/>
                <w:spacing w:val="-1"/>
                <w:sz w:val="21"/>
                <w:szCs w:val="21"/>
                <w:highlight w:val="none"/>
                <w:shd w:val="clear" w:color="auto" w:fill="auto"/>
                <w:lang w:eastAsia="zh-CN"/>
              </w:rPr>
              <w:t>第一个信封（商务及技术文件）评分分值构成：</w:t>
            </w:r>
          </w:p>
          <w:p>
            <w:pPr>
              <w:shd w:val="clear" w:color="auto" w:fill="auto"/>
              <w:tabs>
                <w:tab w:val="left" w:pos="2626"/>
              </w:tabs>
              <w:spacing w:before="54" w:line="314" w:lineRule="auto"/>
              <w:ind w:left="523" w:right="1659" w:firstLine="2"/>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pacing w:val="-2"/>
                <w:sz w:val="21"/>
                <w:szCs w:val="21"/>
                <w:highlight w:val="none"/>
                <w:shd w:val="clear" w:color="auto" w:fill="auto"/>
                <w:lang w:eastAsia="zh-CN"/>
              </w:rPr>
              <w:t>技术建议书：</w:t>
            </w:r>
            <w:r>
              <w:rPr>
                <w:rFonts w:hint="eastAsia" w:ascii="宋体" w:hAnsi="宋体" w:eastAsia="宋体" w:cs="宋体"/>
                <w:color w:val="auto"/>
                <w:spacing w:val="-2"/>
                <w:sz w:val="21"/>
                <w:szCs w:val="21"/>
                <w:highlight w:val="none"/>
                <w:u w:val="single" w:color="000000"/>
                <w:shd w:val="clear" w:color="auto" w:fill="auto"/>
                <w:lang w:val="en-US" w:eastAsia="zh-CN"/>
              </w:rPr>
              <w:t>4</w:t>
            </w:r>
            <w:r>
              <w:rPr>
                <w:rFonts w:hint="eastAsia" w:ascii="宋体" w:hAnsi="宋体" w:eastAsia="宋体" w:cs="宋体"/>
                <w:color w:val="auto"/>
                <w:spacing w:val="-2"/>
                <w:sz w:val="21"/>
                <w:szCs w:val="21"/>
                <w:highlight w:val="none"/>
                <w:u w:val="single" w:color="000000"/>
                <w:shd w:val="clear" w:color="auto" w:fill="auto"/>
                <w:lang w:eastAsia="zh-CN"/>
              </w:rPr>
              <w:t>0</w:t>
            </w:r>
            <w:r>
              <w:rPr>
                <w:rFonts w:hint="eastAsia" w:ascii="宋体" w:hAnsi="宋体" w:eastAsia="宋体" w:cs="宋体"/>
                <w:color w:val="auto"/>
                <w:sz w:val="21"/>
                <w:szCs w:val="21"/>
                <w:highlight w:val="none"/>
                <w:shd w:val="clear" w:color="auto" w:fill="auto"/>
                <w:lang w:eastAsia="zh-CN"/>
              </w:rPr>
              <w:t>分</w:t>
            </w:r>
          </w:p>
          <w:p>
            <w:pPr>
              <w:shd w:val="clear" w:color="auto" w:fill="auto"/>
              <w:tabs>
                <w:tab w:val="left" w:pos="1785"/>
                <w:tab w:val="left" w:pos="2205"/>
              </w:tabs>
              <w:spacing w:before="20" w:line="314" w:lineRule="auto"/>
              <w:ind w:left="523" w:right="4086"/>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pacing w:val="-2"/>
                <w:sz w:val="21"/>
                <w:szCs w:val="21"/>
                <w:highlight w:val="none"/>
                <w:shd w:val="clear" w:color="auto" w:fill="auto"/>
                <w:lang w:eastAsia="zh-CN"/>
              </w:rPr>
              <w:t>主要人员：</w:t>
            </w:r>
            <w:r>
              <w:rPr>
                <w:rFonts w:hint="eastAsia" w:ascii="宋体" w:hAnsi="宋体" w:eastAsia="宋体" w:cs="宋体"/>
                <w:color w:val="auto"/>
                <w:spacing w:val="-2"/>
                <w:sz w:val="21"/>
                <w:szCs w:val="21"/>
                <w:highlight w:val="none"/>
                <w:u w:val="single" w:color="000000"/>
                <w:shd w:val="clear" w:color="auto" w:fill="auto"/>
                <w:lang w:val="en-US" w:eastAsia="zh-CN"/>
              </w:rPr>
              <w:t>1</w:t>
            </w:r>
            <w:r>
              <w:rPr>
                <w:rFonts w:hint="eastAsia" w:ascii="宋体" w:hAnsi="宋体" w:eastAsia="宋体" w:cs="宋体"/>
                <w:color w:val="auto"/>
                <w:spacing w:val="-2"/>
                <w:sz w:val="21"/>
                <w:szCs w:val="21"/>
                <w:highlight w:val="none"/>
                <w:u w:val="single" w:color="000000"/>
                <w:shd w:val="clear" w:color="auto" w:fill="auto"/>
                <w:lang w:eastAsia="zh-CN"/>
              </w:rPr>
              <w:t>5</w:t>
            </w:r>
            <w:r>
              <w:rPr>
                <w:rFonts w:hint="eastAsia" w:ascii="宋体" w:hAnsi="宋体" w:eastAsia="宋体" w:cs="宋体"/>
                <w:color w:val="auto"/>
                <w:sz w:val="21"/>
                <w:szCs w:val="21"/>
                <w:highlight w:val="none"/>
                <w:shd w:val="clear" w:color="auto" w:fill="auto"/>
                <w:lang w:eastAsia="zh-CN"/>
              </w:rPr>
              <w:t>分</w:t>
            </w:r>
          </w:p>
          <w:p>
            <w:pPr>
              <w:shd w:val="clear" w:color="auto" w:fill="auto"/>
              <w:tabs>
                <w:tab w:val="left" w:pos="1785"/>
                <w:tab w:val="left" w:pos="2205"/>
              </w:tabs>
              <w:spacing w:before="20" w:line="314" w:lineRule="auto"/>
              <w:ind w:left="523" w:right="4086"/>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pacing w:val="-1"/>
                <w:sz w:val="21"/>
                <w:szCs w:val="21"/>
                <w:highlight w:val="none"/>
                <w:shd w:val="clear" w:color="auto" w:fill="auto"/>
                <w:lang w:eastAsia="zh-CN"/>
              </w:rPr>
              <w:t>业绩：</w:t>
            </w:r>
            <w:r>
              <w:rPr>
                <w:rFonts w:hint="eastAsia" w:ascii="宋体" w:hAnsi="宋体" w:eastAsia="宋体" w:cs="宋体"/>
                <w:color w:val="auto"/>
                <w:spacing w:val="-1"/>
                <w:sz w:val="21"/>
                <w:szCs w:val="21"/>
                <w:highlight w:val="none"/>
                <w:u w:val="single" w:color="000000"/>
                <w:shd w:val="clear" w:color="auto" w:fill="auto"/>
                <w:lang w:eastAsia="zh-CN"/>
              </w:rPr>
              <w:t xml:space="preserve"> </w:t>
            </w:r>
            <w:r>
              <w:rPr>
                <w:rFonts w:hint="eastAsia" w:ascii="宋体" w:hAnsi="宋体" w:eastAsia="宋体" w:cs="宋体"/>
                <w:color w:val="auto"/>
                <w:spacing w:val="-1"/>
                <w:sz w:val="21"/>
                <w:szCs w:val="21"/>
                <w:highlight w:val="none"/>
                <w:u w:val="single" w:color="000000"/>
                <w:shd w:val="clear" w:color="auto" w:fill="auto"/>
                <w:lang w:val="en-US" w:eastAsia="zh-CN"/>
              </w:rPr>
              <w:t xml:space="preserve">30 </w:t>
            </w:r>
            <w:r>
              <w:rPr>
                <w:rFonts w:hint="eastAsia" w:ascii="宋体" w:hAnsi="宋体" w:eastAsia="宋体" w:cs="宋体"/>
                <w:color w:val="auto"/>
                <w:sz w:val="21"/>
                <w:szCs w:val="21"/>
                <w:highlight w:val="none"/>
                <w:shd w:val="clear" w:color="auto" w:fill="auto"/>
                <w:lang w:eastAsia="zh-CN"/>
              </w:rPr>
              <w:t>分</w:t>
            </w:r>
          </w:p>
          <w:p>
            <w:pPr>
              <w:shd w:val="clear" w:color="auto" w:fill="auto"/>
              <w:tabs>
                <w:tab w:val="left" w:pos="1785"/>
                <w:tab w:val="left" w:pos="2205"/>
              </w:tabs>
              <w:spacing w:before="20" w:line="314" w:lineRule="auto"/>
              <w:ind w:left="523" w:right="4086"/>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pacing w:val="-2"/>
                <w:sz w:val="21"/>
                <w:szCs w:val="21"/>
                <w:highlight w:val="none"/>
                <w:shd w:val="clear" w:color="auto" w:fill="auto"/>
                <w:lang w:eastAsia="zh-CN"/>
              </w:rPr>
              <w:t>履约信誉：</w:t>
            </w:r>
            <w:r>
              <w:rPr>
                <w:rFonts w:hint="eastAsia" w:ascii="宋体" w:hAnsi="宋体" w:eastAsia="宋体" w:cs="宋体"/>
                <w:color w:val="auto"/>
                <w:spacing w:val="-2"/>
                <w:sz w:val="21"/>
                <w:szCs w:val="21"/>
                <w:highlight w:val="none"/>
                <w:u w:val="single" w:color="auto"/>
                <w:shd w:val="clear" w:color="auto" w:fill="auto"/>
                <w:lang w:val="en-US" w:eastAsia="zh-CN"/>
              </w:rPr>
              <w:t xml:space="preserve"> 5 </w:t>
            </w:r>
            <w:r>
              <w:rPr>
                <w:rFonts w:hint="eastAsia" w:ascii="宋体" w:hAnsi="宋体" w:eastAsia="宋体" w:cs="宋体"/>
                <w:color w:val="auto"/>
                <w:sz w:val="21"/>
                <w:szCs w:val="21"/>
                <w:highlight w:val="none"/>
                <w:shd w:val="clear" w:color="auto" w:fill="auto"/>
                <w:lang w:eastAsia="zh-CN"/>
              </w:rPr>
              <w:t>分</w:t>
            </w:r>
          </w:p>
          <w:p>
            <w:pPr>
              <w:shd w:val="clear" w:color="auto" w:fill="auto"/>
              <w:tabs>
                <w:tab w:val="left" w:pos="2630"/>
              </w:tabs>
              <w:spacing w:before="79"/>
              <w:ind w:left="523" w:right="2290"/>
              <w:jc w:val="both"/>
              <w:rPr>
                <w:rFonts w:hint="eastAsia" w:ascii="宋体" w:hAnsi="宋体" w:eastAsia="宋体" w:cs="宋体"/>
                <w:b/>
                <w:bCs/>
                <w:color w:val="auto"/>
                <w:spacing w:val="-1"/>
                <w:sz w:val="21"/>
                <w:szCs w:val="21"/>
                <w:highlight w:val="none"/>
                <w:shd w:val="clear" w:color="auto" w:fill="auto"/>
                <w:lang w:eastAsia="zh-CN"/>
              </w:rPr>
            </w:pPr>
          </w:p>
          <w:p>
            <w:pPr>
              <w:shd w:val="clear" w:color="auto" w:fill="auto"/>
              <w:tabs>
                <w:tab w:val="left" w:pos="2630"/>
              </w:tabs>
              <w:spacing w:before="79"/>
              <w:ind w:right="305" w:rightChars="0"/>
              <w:jc w:val="both"/>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b/>
                <w:bCs/>
                <w:color w:val="auto"/>
                <w:spacing w:val="-1"/>
                <w:sz w:val="21"/>
                <w:szCs w:val="21"/>
                <w:highlight w:val="none"/>
                <w:shd w:val="clear" w:color="auto" w:fill="auto"/>
                <w:lang w:eastAsia="zh-CN"/>
              </w:rPr>
              <w:t>第二个信封（报价文件）评分分值构成：</w:t>
            </w:r>
          </w:p>
          <w:p>
            <w:pPr>
              <w:shd w:val="clear" w:color="auto" w:fill="auto"/>
              <w:tabs>
                <w:tab w:val="left" w:pos="2630"/>
              </w:tabs>
              <w:spacing w:before="79"/>
              <w:ind w:left="523" w:right="229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pacing w:val="-1"/>
                <w:sz w:val="21"/>
                <w:szCs w:val="21"/>
                <w:highlight w:val="none"/>
                <w:shd w:val="clear" w:color="auto" w:fill="auto"/>
                <w:lang w:eastAsia="zh-CN"/>
              </w:rPr>
              <w:t>评标价：</w:t>
            </w:r>
            <w:r>
              <w:rPr>
                <w:rFonts w:hint="eastAsia" w:ascii="宋体" w:hAnsi="宋体" w:eastAsia="宋体" w:cs="宋体"/>
                <w:color w:val="auto"/>
                <w:spacing w:val="-1"/>
                <w:sz w:val="21"/>
                <w:szCs w:val="21"/>
                <w:highlight w:val="none"/>
                <w:u w:val="single"/>
                <w:shd w:val="clear" w:color="auto" w:fill="auto"/>
                <w:lang w:eastAsia="zh-CN"/>
              </w:rPr>
              <w:t xml:space="preserve"> </w:t>
            </w:r>
            <w:r>
              <w:rPr>
                <w:rFonts w:hint="eastAsia" w:ascii="宋体" w:hAnsi="宋体" w:eastAsia="宋体" w:cs="宋体"/>
                <w:color w:val="auto"/>
                <w:spacing w:val="-1"/>
                <w:sz w:val="21"/>
                <w:szCs w:val="21"/>
                <w:highlight w:val="none"/>
                <w:u w:val="single"/>
                <w:shd w:val="clear" w:color="auto" w:fill="auto"/>
                <w:lang w:val="en-US" w:eastAsia="zh-CN"/>
              </w:rPr>
              <w:t>1</w:t>
            </w:r>
            <w:r>
              <w:rPr>
                <w:rFonts w:hint="eastAsia" w:ascii="宋体" w:hAnsi="宋体" w:eastAsia="宋体" w:cs="宋体"/>
                <w:color w:val="auto"/>
                <w:spacing w:val="-1"/>
                <w:sz w:val="21"/>
                <w:szCs w:val="21"/>
                <w:highlight w:val="none"/>
                <w:u w:val="single"/>
                <w:shd w:val="clear" w:color="auto" w:fill="auto"/>
                <w:lang w:eastAsia="zh-CN"/>
              </w:rPr>
              <w:t>0</w:t>
            </w:r>
            <w:r>
              <w:rPr>
                <w:rFonts w:hint="eastAsia" w:ascii="宋体" w:hAnsi="宋体" w:eastAsia="宋体" w:cs="宋体"/>
                <w:color w:val="auto"/>
                <w:sz w:val="21"/>
                <w:szCs w:val="21"/>
                <w:highlight w:val="none"/>
                <w:shd w:val="clear" w:color="auto" w:fill="auto"/>
                <w:lang w:eastAsia="zh-CN"/>
              </w:rPr>
              <w:t>分</w:t>
            </w:r>
          </w:p>
        </w:tc>
      </w:tr>
      <w:tr>
        <w:tblPrEx>
          <w:tblCellMar>
            <w:top w:w="0" w:type="dxa"/>
            <w:left w:w="0" w:type="dxa"/>
            <w:bottom w:w="0" w:type="dxa"/>
            <w:right w:w="0" w:type="dxa"/>
          </w:tblCellMar>
        </w:tblPrEx>
        <w:trPr>
          <w:trHeight w:val="7161" w:hRule="exac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highlight w:val="none"/>
                <w:shd w:val="clear" w:color="auto" w:fill="auto"/>
              </w:rPr>
              <w:t>2.2.2</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276" w:lineRule="auto"/>
              <w:ind w:left="213" w:right="105" w:hanging="106"/>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评标基准价 计算方法</w:t>
            </w:r>
          </w:p>
        </w:tc>
        <w:tc>
          <w:tcPr>
            <w:tcW w:w="6475"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before="20" w:line="297" w:lineRule="auto"/>
              <w:ind w:right="142"/>
              <w:jc w:val="both"/>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eastAsia="zh-CN"/>
              </w:rPr>
              <w:t>评标基准价的计算：</w:t>
            </w:r>
          </w:p>
          <w:p>
            <w:pPr>
              <w:keepNext w:val="0"/>
              <w:keepLines w:val="0"/>
              <w:pageBreakBefore w:val="0"/>
              <w:widowControl w:val="0"/>
              <w:shd w:val="clear" w:color="auto" w:fill="auto"/>
              <w:kinsoku/>
              <w:wordWrap/>
              <w:overflowPunct/>
              <w:topLinePunct w:val="0"/>
              <w:autoSpaceDE/>
              <w:autoSpaceDN/>
              <w:bidi w:val="0"/>
              <w:adjustRightInd/>
              <w:snapToGrid/>
              <w:spacing w:before="20" w:line="298" w:lineRule="auto"/>
              <w:ind w:left="0" w:right="0" w:firstLine="420" w:firstLineChars="200"/>
              <w:jc w:val="both"/>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在第二个信封</w:t>
            </w:r>
            <w:r>
              <w:rPr>
                <w:rFonts w:hint="eastAsia" w:ascii="宋体" w:hAnsi="宋体" w:eastAsia="宋体" w:cs="宋体"/>
                <w:b/>
                <w:bCs/>
                <w:color w:val="auto"/>
                <w:spacing w:val="-1"/>
                <w:sz w:val="21"/>
                <w:szCs w:val="21"/>
                <w:highlight w:val="none"/>
                <w:shd w:val="clear" w:color="auto" w:fill="auto"/>
                <w:lang w:eastAsia="zh-CN"/>
              </w:rPr>
              <w:t>（报价文件）</w:t>
            </w:r>
            <w:r>
              <w:rPr>
                <w:rFonts w:hint="eastAsia" w:ascii="宋体" w:hAnsi="宋体" w:eastAsia="宋体" w:cs="宋体"/>
                <w:color w:val="auto"/>
                <w:sz w:val="21"/>
                <w:szCs w:val="21"/>
                <w:highlight w:val="none"/>
                <w:shd w:val="clear" w:color="auto" w:fill="auto"/>
                <w:lang w:eastAsia="zh-CN"/>
              </w:rPr>
              <w:t>开标现场，招标人将当场计算并宣布评标基准价。</w:t>
            </w:r>
          </w:p>
          <w:p>
            <w:pPr>
              <w:shd w:val="clear" w:color="auto" w:fill="auto"/>
              <w:spacing w:before="20" w:line="297" w:lineRule="auto"/>
              <w:ind w:left="523" w:right="142"/>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（1）评标价的确定：评标价=投标函文字报价</w:t>
            </w:r>
          </w:p>
          <w:p>
            <w:pPr>
              <w:shd w:val="clear" w:color="auto" w:fill="auto"/>
              <w:spacing w:before="20" w:line="297" w:lineRule="auto"/>
              <w:ind w:left="523" w:right="142"/>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（2）评标价平均值的确定</w:t>
            </w:r>
          </w:p>
          <w:p>
            <w:pPr>
              <w:keepNext w:val="0"/>
              <w:keepLines w:val="0"/>
              <w:pageBreakBefore w:val="0"/>
              <w:widowControl w:val="0"/>
              <w:shd w:val="clear" w:color="auto" w:fill="auto"/>
              <w:kinsoku/>
              <w:wordWrap/>
              <w:overflowPunct/>
              <w:topLinePunct w:val="0"/>
              <w:autoSpaceDE/>
              <w:autoSpaceDN/>
              <w:bidi w:val="0"/>
              <w:adjustRightInd/>
              <w:snapToGrid/>
              <w:spacing w:before="20" w:line="298" w:lineRule="auto"/>
              <w:ind w:left="0" w:right="0" w:firstLine="420" w:firstLineChars="200"/>
              <w:jc w:val="both"/>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除按第二章“投标人须知”第5.2.4项规定开标现场被宣布为不进入评标基准价计算的投标报价外，投标人的评标价在最高限价100%</w:t>
            </w:r>
            <w:r>
              <w:rPr>
                <w:rFonts w:hint="eastAsia" w:ascii="宋体" w:hAnsi="宋体" w:eastAsia="宋体" w:cs="宋体"/>
                <w:color w:val="auto"/>
                <w:sz w:val="21"/>
                <w:szCs w:val="21"/>
                <w:highlight w:val="none"/>
                <w:shd w:val="clear" w:color="auto" w:fill="auto"/>
                <w:lang w:val="en-US" w:eastAsia="zh-CN"/>
              </w:rPr>
              <w:t>~85</w:t>
            </w:r>
            <w:r>
              <w:rPr>
                <w:rFonts w:hint="eastAsia" w:ascii="宋体" w:hAnsi="宋体" w:eastAsia="宋体" w:cs="宋体"/>
                <w:color w:val="auto"/>
                <w:sz w:val="21"/>
                <w:szCs w:val="21"/>
                <w:highlight w:val="none"/>
                <w:shd w:val="clear" w:color="auto" w:fill="auto"/>
                <w:lang w:eastAsia="zh-CN"/>
              </w:rPr>
              <w:t>%（含100%、</w:t>
            </w:r>
            <w:r>
              <w:rPr>
                <w:rFonts w:hint="eastAsia" w:ascii="宋体" w:hAnsi="宋体" w:eastAsia="宋体" w:cs="宋体"/>
                <w:color w:val="auto"/>
                <w:sz w:val="21"/>
                <w:szCs w:val="21"/>
                <w:highlight w:val="none"/>
                <w:shd w:val="clear" w:color="auto" w:fill="auto"/>
                <w:lang w:val="en-US" w:eastAsia="zh-CN"/>
              </w:rPr>
              <w:t>85</w:t>
            </w:r>
            <w:r>
              <w:rPr>
                <w:rFonts w:hint="eastAsia" w:ascii="宋体" w:hAnsi="宋体" w:eastAsia="宋体" w:cs="宋体"/>
                <w:color w:val="auto"/>
                <w:sz w:val="21"/>
                <w:szCs w:val="21"/>
                <w:highlight w:val="none"/>
                <w:shd w:val="clear" w:color="auto" w:fill="auto"/>
                <w:lang w:eastAsia="zh-CN"/>
              </w:rPr>
              <w:t>%）之间的所有报价的二次算术平均值为评标价平均值。</w:t>
            </w:r>
          </w:p>
          <w:p>
            <w:pPr>
              <w:spacing w:line="360" w:lineRule="exact"/>
              <w:rPr>
                <w:rFonts w:ascii="宋体" w:hAnsi="宋体"/>
                <w:color w:val="auto"/>
                <w:szCs w:val="21"/>
                <w:highlight w:val="none"/>
              </w:rPr>
            </w:pPr>
            <w:r>
              <w:rPr>
                <w:rFonts w:hint="eastAsia" w:ascii="宋体" w:hAnsi="宋体" w:eastAsia="宋体" w:cs="宋体"/>
                <w:color w:val="auto"/>
                <w:sz w:val="21"/>
                <w:szCs w:val="21"/>
                <w:highlight w:val="none"/>
                <w:shd w:val="clear" w:color="auto" w:fill="auto"/>
                <w:lang w:val="en-US" w:eastAsia="zh-CN"/>
              </w:rPr>
              <w:t xml:space="preserve">    报价</w:t>
            </w:r>
            <w:r>
              <w:rPr>
                <w:rFonts w:hint="eastAsia" w:ascii="宋体" w:hAnsi="宋体" w:eastAsia="宋体" w:cs="宋体"/>
                <w:color w:val="auto"/>
                <w:sz w:val="21"/>
                <w:szCs w:val="21"/>
                <w:highlight w:val="none"/>
                <w:shd w:val="clear" w:color="auto" w:fill="auto"/>
                <w:lang w:eastAsia="zh-CN"/>
              </w:rPr>
              <w:t>一次算术平均值</w:t>
            </w:r>
            <w:r>
              <w:rPr>
                <w:rFonts w:hint="eastAsia" w:ascii="宋体" w:hAnsi="宋体" w:eastAsia="宋体"/>
                <w:color w:val="auto"/>
                <w:szCs w:val="21"/>
                <w:highlight w:val="none"/>
                <w:lang w:val="en-US" w:eastAsia="zh-CN"/>
              </w:rPr>
              <w:t>A</w:t>
            </w:r>
            <w:r>
              <w:rPr>
                <w:rFonts w:hint="eastAsia" w:ascii="宋体" w:hAnsi="宋体" w:eastAsia="宋体" w:cs="宋体"/>
                <w:color w:val="auto"/>
                <w:sz w:val="21"/>
                <w:szCs w:val="21"/>
                <w:highlight w:val="none"/>
                <w:shd w:val="clear" w:color="auto" w:fill="auto"/>
                <w:lang w:val="en-US" w:eastAsia="zh-CN"/>
              </w:rPr>
              <w:t>：</w:t>
            </w:r>
            <w:r>
              <w:rPr>
                <w:rFonts w:ascii="宋体" w:hAnsi="宋体"/>
                <w:color w:val="auto"/>
                <w:szCs w:val="21"/>
                <w:highlight w:val="none"/>
              </w:rPr>
              <w:t>即</w:t>
            </w:r>
            <w:r>
              <w:rPr>
                <w:rFonts w:hint="eastAsia" w:ascii="宋体" w:hAnsi="宋体"/>
                <w:color w:val="auto"/>
                <w:szCs w:val="21"/>
                <w:highlight w:val="none"/>
                <w:lang w:val="en-US" w:eastAsia="zh-CN"/>
              </w:rPr>
              <w:t>A</w:t>
            </w:r>
            <w:r>
              <w:rPr>
                <w:rFonts w:ascii="宋体" w:hAnsi="宋体"/>
                <w:color w:val="auto"/>
                <w:szCs w:val="21"/>
                <w:highlight w:val="none"/>
              </w:rPr>
              <w:t>＝（C1＋C2＋…＋Ci＋…＋Cn）/n；</w:t>
            </w:r>
          </w:p>
          <w:p>
            <w:pPr>
              <w:keepNext w:val="0"/>
              <w:keepLines w:val="0"/>
              <w:pageBreakBefore w:val="0"/>
              <w:widowControl w:val="0"/>
              <w:shd w:val="clear" w:color="auto" w:fill="auto"/>
              <w:kinsoku/>
              <w:wordWrap/>
              <w:overflowPunct/>
              <w:topLinePunct w:val="0"/>
              <w:autoSpaceDE/>
              <w:autoSpaceDN/>
              <w:bidi w:val="0"/>
              <w:adjustRightInd/>
              <w:snapToGrid/>
              <w:spacing w:before="20" w:line="298" w:lineRule="auto"/>
              <w:ind w:left="0" w:right="0" w:firstLine="420" w:firstLineChars="200"/>
              <w:jc w:val="both"/>
              <w:textAlignment w:val="auto"/>
              <w:rPr>
                <w:rFonts w:ascii="宋体" w:hAnsi="宋体"/>
                <w:color w:val="auto"/>
                <w:szCs w:val="21"/>
                <w:highlight w:val="none"/>
              </w:rPr>
            </w:pPr>
            <w:r>
              <w:rPr>
                <w:rFonts w:hint="eastAsia" w:ascii="宋体" w:hAnsi="宋体" w:eastAsia="宋体" w:cs="宋体"/>
                <w:color w:val="auto"/>
                <w:sz w:val="21"/>
                <w:szCs w:val="21"/>
                <w:highlight w:val="none"/>
                <w:shd w:val="clear" w:color="auto" w:fill="auto"/>
                <w:lang w:val="en-US" w:eastAsia="zh-CN"/>
              </w:rPr>
              <w:t>报价</w:t>
            </w:r>
            <w:r>
              <w:rPr>
                <w:rFonts w:hint="eastAsia" w:ascii="宋体" w:hAnsi="宋体" w:eastAsia="宋体" w:cs="宋体"/>
                <w:color w:val="auto"/>
                <w:sz w:val="21"/>
                <w:szCs w:val="21"/>
                <w:highlight w:val="none"/>
                <w:shd w:val="clear" w:color="auto" w:fill="auto"/>
                <w:lang w:eastAsia="zh-CN"/>
              </w:rPr>
              <w:t>二次算术平均值</w:t>
            </w:r>
            <w:r>
              <w:rPr>
                <w:rFonts w:hint="eastAsia" w:ascii="宋体" w:hAnsi="宋体" w:eastAsia="宋体"/>
                <w:color w:val="auto"/>
                <w:szCs w:val="21"/>
                <w:highlight w:val="none"/>
                <w:lang w:val="en-US" w:eastAsia="zh-CN"/>
              </w:rPr>
              <w:t>B：报价</w:t>
            </w:r>
            <w:r>
              <w:rPr>
                <w:rFonts w:ascii="宋体" w:hAnsi="宋体"/>
                <w:color w:val="auto"/>
                <w:szCs w:val="21"/>
                <w:highlight w:val="none"/>
              </w:rPr>
              <w:t>Ci</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A的有效报价</w:t>
            </w:r>
            <w:r>
              <w:rPr>
                <w:rFonts w:hint="eastAsia" w:ascii="宋体" w:hAnsi="宋体" w:eastAsia="宋体"/>
                <w:color w:val="auto"/>
                <w:szCs w:val="21"/>
                <w:highlight w:val="none"/>
                <w:lang w:val="en-US" w:eastAsia="zh-CN"/>
              </w:rPr>
              <w:t>，再进行算术平均值，</w:t>
            </w:r>
            <w:r>
              <w:rPr>
                <w:rFonts w:ascii="宋体" w:hAnsi="宋体"/>
                <w:color w:val="auto"/>
                <w:szCs w:val="21"/>
                <w:highlight w:val="none"/>
              </w:rPr>
              <w:t>即</w:t>
            </w:r>
            <w:r>
              <w:rPr>
                <w:rFonts w:hint="eastAsia" w:ascii="宋体" w:hAnsi="宋体"/>
                <w:color w:val="auto"/>
                <w:szCs w:val="21"/>
                <w:highlight w:val="none"/>
                <w:lang w:val="en-US" w:eastAsia="zh-CN"/>
              </w:rPr>
              <w:t>B</w:t>
            </w:r>
            <w:r>
              <w:rPr>
                <w:rFonts w:ascii="宋体" w:hAnsi="宋体"/>
                <w:color w:val="auto"/>
                <w:szCs w:val="21"/>
                <w:highlight w:val="none"/>
              </w:rPr>
              <w:t>＝（C1＋C2＋…＋Ci＋…＋Cn）/n；</w:t>
            </w:r>
          </w:p>
          <w:p>
            <w:pPr>
              <w:keepNext w:val="0"/>
              <w:keepLines w:val="0"/>
              <w:pageBreakBefore w:val="0"/>
              <w:widowControl w:val="0"/>
              <w:shd w:val="clear" w:color="auto" w:fill="auto"/>
              <w:kinsoku/>
              <w:wordWrap/>
              <w:overflowPunct/>
              <w:topLinePunct w:val="0"/>
              <w:autoSpaceDE/>
              <w:autoSpaceDN/>
              <w:bidi w:val="0"/>
              <w:adjustRightInd/>
              <w:snapToGrid/>
              <w:spacing w:before="20" w:line="298" w:lineRule="auto"/>
              <w:ind w:left="0" w:right="0" w:firstLine="420" w:firstLineChars="200"/>
              <w:jc w:val="both"/>
              <w:textAlignment w:val="auto"/>
              <w:rPr>
                <w:rFonts w:hint="default" w:ascii="宋体" w:hAnsi="宋体" w:eastAsia="宋体" w:cs="宋体"/>
                <w:color w:val="auto"/>
                <w:sz w:val="21"/>
                <w:szCs w:val="21"/>
                <w:highlight w:val="none"/>
                <w:shd w:val="clear" w:color="auto" w:fill="auto"/>
                <w:lang w:val="en-US" w:eastAsia="zh-CN"/>
              </w:rPr>
            </w:pPr>
            <w:r>
              <w:rPr>
                <w:rFonts w:hint="eastAsia" w:ascii="宋体" w:hAnsi="宋体"/>
                <w:color w:val="auto"/>
                <w:szCs w:val="21"/>
                <w:highlight w:val="none"/>
              </w:rPr>
              <w:t>式中：</w:t>
            </w:r>
            <w:r>
              <w:rPr>
                <w:rFonts w:ascii="宋体" w:hAnsi="宋体"/>
                <w:color w:val="auto"/>
                <w:szCs w:val="21"/>
                <w:highlight w:val="none"/>
              </w:rPr>
              <w:t>Ci——第i个投标人的有效报价</w:t>
            </w:r>
          </w:p>
          <w:p>
            <w:pPr>
              <w:shd w:val="clear" w:color="auto" w:fill="auto"/>
              <w:spacing w:before="20" w:line="297" w:lineRule="auto"/>
              <w:ind w:left="523" w:right="142"/>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（3）评标基准价</w:t>
            </w:r>
            <w:r>
              <w:rPr>
                <w:rFonts w:hint="eastAsia" w:ascii="宋体" w:hAnsi="宋体" w:eastAsia="宋体" w:cs="宋体"/>
                <w:color w:val="auto"/>
                <w:sz w:val="21"/>
                <w:szCs w:val="21"/>
                <w:highlight w:val="none"/>
                <w:shd w:val="clear" w:color="auto" w:fill="auto"/>
                <w:lang w:val="en-US" w:eastAsia="zh-CN"/>
              </w:rPr>
              <w:t>B</w:t>
            </w:r>
            <w:r>
              <w:rPr>
                <w:rFonts w:hint="eastAsia" w:ascii="宋体" w:hAnsi="宋体" w:eastAsia="宋体" w:cs="宋体"/>
                <w:color w:val="auto"/>
                <w:sz w:val="21"/>
                <w:szCs w:val="21"/>
                <w:highlight w:val="none"/>
                <w:shd w:val="clear" w:color="auto" w:fill="auto"/>
                <w:lang w:eastAsia="zh-CN"/>
              </w:rPr>
              <w:t>的确定</w:t>
            </w:r>
          </w:p>
          <w:p>
            <w:pPr>
              <w:shd w:val="clear" w:color="auto" w:fill="auto"/>
              <w:spacing w:before="20" w:line="297" w:lineRule="auto"/>
              <w:ind w:left="523" w:right="142"/>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评标基准价=报价二次算术平均值</w:t>
            </w:r>
          </w:p>
          <w:p>
            <w:pPr>
              <w:shd w:val="clear" w:color="auto" w:fill="auto"/>
              <w:spacing w:before="20" w:line="297" w:lineRule="auto"/>
              <w:ind w:left="178" w:right="142" w:firstLine="410" w:firstLineChars="204"/>
              <w:jc w:val="both"/>
              <w:rPr>
                <w:rFonts w:hint="eastAsia" w:ascii="宋体" w:hAnsi="宋体" w:eastAsia="宋体" w:cs="宋体"/>
                <w:b/>
                <w:color w:val="auto"/>
                <w:sz w:val="21"/>
                <w:szCs w:val="21"/>
                <w:highlight w:val="none"/>
                <w:shd w:val="clear" w:color="auto" w:fill="auto"/>
                <w:lang w:eastAsia="zh-CN"/>
              </w:rPr>
            </w:pPr>
            <w:r>
              <w:rPr>
                <w:rFonts w:hint="eastAsia" w:ascii="宋体" w:hAnsi="宋体" w:eastAsia="宋体" w:cs="宋体"/>
                <w:b/>
                <w:color w:val="auto"/>
                <w:spacing w:val="-5"/>
                <w:sz w:val="21"/>
                <w:szCs w:val="21"/>
                <w:highlight w:val="none"/>
                <w:shd w:val="clear" w:color="auto" w:fill="auto"/>
                <w:lang w:eastAsia="zh-CN"/>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CellMar>
            <w:top w:w="0" w:type="dxa"/>
            <w:left w:w="0" w:type="dxa"/>
            <w:bottom w:w="0" w:type="dxa"/>
            <w:right w:w="0" w:type="dxa"/>
          </w:tblCellMar>
        </w:tblPrEx>
        <w:trPr>
          <w:trHeight w:val="1414" w:hRule="exac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hint="eastAsia" w:ascii="宋体" w:hAnsi="宋体" w:eastAsia="宋体" w:cs="宋体"/>
                <w:color w:val="auto"/>
                <w:sz w:val="21"/>
                <w:highlight w:val="none"/>
                <w:shd w:val="clear" w:color="auto" w:fill="auto"/>
                <w:lang w:eastAsia="zh-CN"/>
              </w:rPr>
            </w:pPr>
            <w:r>
              <w:rPr>
                <w:rFonts w:hint="eastAsia" w:ascii="宋体" w:hAnsi="宋体" w:eastAsia="宋体" w:cs="宋体"/>
                <w:color w:val="auto"/>
                <w:w w:val="105"/>
                <w:sz w:val="20"/>
                <w:highlight w:val="none"/>
                <w:shd w:val="clear" w:color="auto" w:fill="auto"/>
              </w:rPr>
              <w:t>2.2.3</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276" w:lineRule="auto"/>
              <w:ind w:left="213" w:right="105" w:hanging="106"/>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pacing w:val="-5"/>
                <w:sz w:val="21"/>
                <w:szCs w:val="21"/>
                <w:highlight w:val="none"/>
                <w:shd w:val="clear" w:color="auto" w:fill="auto"/>
                <w:lang w:eastAsia="zh-CN"/>
              </w:rPr>
              <w:t>评标价的偏差率计算公式</w:t>
            </w:r>
          </w:p>
        </w:tc>
        <w:tc>
          <w:tcPr>
            <w:tcW w:w="6475"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before="34" w:line="314" w:lineRule="auto"/>
              <w:ind w:right="68" w:firstLine="172" w:firstLineChars="86"/>
              <w:jc w:val="both"/>
              <w:rPr>
                <w:rFonts w:hint="eastAsia" w:ascii="宋体" w:hAnsi="宋体" w:eastAsia="宋体" w:cs="宋体"/>
                <w:color w:val="auto"/>
                <w:spacing w:val="-5"/>
                <w:sz w:val="21"/>
                <w:szCs w:val="21"/>
                <w:highlight w:val="none"/>
                <w:shd w:val="clear" w:color="auto" w:fill="auto"/>
                <w:lang w:eastAsia="zh-CN"/>
              </w:rPr>
            </w:pPr>
            <w:r>
              <w:rPr>
                <w:rFonts w:hint="eastAsia" w:ascii="宋体" w:hAnsi="宋体" w:eastAsia="宋体" w:cs="宋体"/>
                <w:color w:val="auto"/>
                <w:spacing w:val="-5"/>
                <w:sz w:val="21"/>
                <w:szCs w:val="21"/>
                <w:highlight w:val="none"/>
                <w:shd w:val="clear" w:color="auto" w:fill="auto"/>
                <w:lang w:eastAsia="zh-CN"/>
              </w:rPr>
              <w:t>偏差率</w:t>
            </w:r>
            <w:r>
              <w:rPr>
                <w:rFonts w:hint="eastAsia" w:ascii="宋体" w:hAnsi="宋体" w:eastAsia="宋体" w:cs="宋体"/>
                <w:color w:val="auto"/>
                <w:spacing w:val="-5"/>
                <w:sz w:val="21"/>
                <w:szCs w:val="21"/>
                <w:highlight w:val="none"/>
                <w:shd w:val="clear" w:color="auto" w:fill="auto"/>
                <w:lang w:val="en-US" w:eastAsia="zh-CN"/>
              </w:rPr>
              <w:t>=</w:t>
            </w:r>
            <w:r>
              <w:rPr>
                <w:rFonts w:hint="eastAsia" w:ascii="宋体" w:hAnsi="宋体" w:eastAsia="宋体" w:cs="宋体"/>
                <w:color w:val="auto"/>
                <w:spacing w:val="-5"/>
                <w:sz w:val="21"/>
                <w:szCs w:val="21"/>
                <w:highlight w:val="none"/>
                <w:shd w:val="clear" w:color="auto" w:fill="auto"/>
                <w:lang w:eastAsia="zh-CN"/>
              </w:rPr>
              <w:t>100</w:t>
            </w:r>
            <w:r>
              <w:rPr>
                <w:rFonts w:hint="eastAsia" w:ascii="宋体" w:hAnsi="宋体" w:eastAsia="宋体" w:cs="宋体"/>
                <w:color w:val="auto"/>
                <w:spacing w:val="-5"/>
                <w:sz w:val="21"/>
                <w:szCs w:val="21"/>
                <w:highlight w:val="none"/>
                <w:shd w:val="clear" w:color="auto" w:fill="auto"/>
                <w:lang w:val="en-US" w:eastAsia="zh-CN"/>
              </w:rPr>
              <w:t>%</w:t>
            </w:r>
            <w:r>
              <w:rPr>
                <w:rFonts w:hint="eastAsia" w:ascii="宋体" w:hAnsi="宋体" w:eastAsia="宋体" w:cs="宋体"/>
                <w:color w:val="auto"/>
                <w:spacing w:val="-5"/>
                <w:sz w:val="21"/>
                <w:szCs w:val="21"/>
                <w:highlight w:val="none"/>
                <w:shd w:val="clear" w:color="auto" w:fill="auto"/>
                <w:lang w:eastAsia="zh-CN"/>
              </w:rPr>
              <w:t>×（投标人评标价</w:t>
            </w:r>
            <w:r>
              <w:rPr>
                <w:rFonts w:hint="eastAsia" w:ascii="宋体" w:hAnsi="宋体" w:eastAsia="宋体" w:cs="宋体"/>
                <w:color w:val="auto"/>
                <w:spacing w:val="-5"/>
                <w:sz w:val="21"/>
                <w:szCs w:val="21"/>
                <w:highlight w:val="none"/>
                <w:shd w:val="clear" w:color="auto" w:fill="auto"/>
                <w:lang w:val="en-US" w:eastAsia="zh-CN"/>
              </w:rPr>
              <w:t>-</w:t>
            </w:r>
            <w:r>
              <w:rPr>
                <w:rFonts w:hint="eastAsia" w:ascii="宋体" w:hAnsi="宋体" w:eastAsia="宋体" w:cs="宋体"/>
                <w:color w:val="auto"/>
                <w:spacing w:val="-5"/>
                <w:sz w:val="21"/>
                <w:szCs w:val="21"/>
                <w:highlight w:val="none"/>
                <w:shd w:val="clear" w:color="auto" w:fill="auto"/>
                <w:lang w:eastAsia="zh-CN"/>
              </w:rPr>
              <w:t>评标基准价）/评标基准价</w:t>
            </w:r>
          </w:p>
          <w:p>
            <w:pPr>
              <w:shd w:val="clear" w:color="auto" w:fill="auto"/>
              <w:spacing w:before="20" w:line="297" w:lineRule="auto"/>
              <w:ind w:right="142" w:firstLine="172" w:firstLineChars="86"/>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pacing w:val="-5"/>
                <w:sz w:val="21"/>
                <w:szCs w:val="21"/>
                <w:highlight w:val="none"/>
                <w:shd w:val="clear" w:color="auto" w:fill="auto"/>
                <w:lang w:eastAsia="zh-CN"/>
              </w:rPr>
              <w:t>偏差率保留</w:t>
            </w:r>
            <w:r>
              <w:rPr>
                <w:rFonts w:hint="eastAsia" w:ascii="宋体" w:hAnsi="宋体" w:eastAsia="宋体" w:cs="宋体"/>
                <w:color w:val="auto"/>
                <w:spacing w:val="-5"/>
                <w:sz w:val="21"/>
                <w:szCs w:val="21"/>
                <w:highlight w:val="none"/>
                <w:u w:val="single"/>
                <w:shd w:val="clear" w:color="auto" w:fill="auto"/>
                <w:lang w:val="en-US" w:eastAsia="zh-CN"/>
              </w:rPr>
              <w:t xml:space="preserve"> </w:t>
            </w:r>
            <w:r>
              <w:rPr>
                <w:rFonts w:hint="eastAsia" w:ascii="宋体" w:hAnsi="宋体" w:eastAsia="宋体" w:cs="宋体"/>
                <w:color w:val="auto"/>
                <w:spacing w:val="-5"/>
                <w:sz w:val="21"/>
                <w:szCs w:val="21"/>
                <w:highlight w:val="none"/>
                <w:u w:val="single"/>
                <w:shd w:val="clear" w:color="auto" w:fill="auto"/>
                <w:lang w:eastAsia="zh-CN"/>
              </w:rPr>
              <w:t>2</w:t>
            </w:r>
            <w:r>
              <w:rPr>
                <w:rFonts w:hint="eastAsia" w:ascii="宋体" w:hAnsi="宋体" w:eastAsia="宋体" w:cs="宋体"/>
                <w:color w:val="auto"/>
                <w:spacing w:val="-5"/>
                <w:sz w:val="21"/>
                <w:szCs w:val="21"/>
                <w:highlight w:val="none"/>
                <w:u w:val="single"/>
                <w:shd w:val="clear" w:color="auto" w:fill="auto"/>
                <w:lang w:val="en-US" w:eastAsia="zh-CN"/>
              </w:rPr>
              <w:t xml:space="preserve"> </w:t>
            </w:r>
            <w:r>
              <w:rPr>
                <w:rFonts w:hint="eastAsia" w:ascii="宋体" w:hAnsi="宋体" w:eastAsia="宋体" w:cs="宋体"/>
                <w:color w:val="auto"/>
                <w:spacing w:val="-5"/>
                <w:sz w:val="21"/>
                <w:szCs w:val="21"/>
                <w:highlight w:val="none"/>
                <w:shd w:val="clear" w:color="auto" w:fill="auto"/>
                <w:lang w:eastAsia="zh-CN"/>
              </w:rPr>
              <w:t>位小数</w:t>
            </w:r>
          </w:p>
        </w:tc>
      </w:tr>
    </w:tbl>
    <w:p>
      <w:pPr>
        <w:shd w:val="clear" w:color="auto" w:fill="auto"/>
        <w:spacing w:before="9"/>
        <w:jc w:val="both"/>
        <w:rPr>
          <w:rFonts w:hint="eastAsia" w:ascii="宋体" w:hAnsi="宋体" w:eastAsia="宋体" w:cs="宋体"/>
          <w:color w:val="auto"/>
          <w:kern w:val="2"/>
          <w:sz w:val="11"/>
          <w:szCs w:val="11"/>
          <w:highlight w:val="none"/>
          <w:shd w:val="clear" w:color="auto" w:fill="auto"/>
          <w:lang w:eastAsia="zh-CN"/>
        </w:rPr>
      </w:pPr>
    </w:p>
    <w:p>
      <w:pPr>
        <w:rPr>
          <w:rFonts w:hint="eastAsia" w:ascii="宋体" w:hAnsi="宋体" w:eastAsia="宋体" w:cs="宋体"/>
          <w:color w:val="auto"/>
          <w:kern w:val="2"/>
          <w:sz w:val="20"/>
          <w:szCs w:val="20"/>
          <w:highlight w:val="none"/>
          <w:shd w:val="clear" w:color="auto" w:fill="auto"/>
          <w:lang w:eastAsia="zh-CN"/>
        </w:rPr>
      </w:pPr>
      <w:r>
        <w:rPr>
          <w:rFonts w:hint="eastAsia" w:ascii="宋体" w:hAnsi="宋体" w:eastAsia="宋体" w:cs="宋体"/>
          <w:color w:val="auto"/>
          <w:kern w:val="2"/>
          <w:sz w:val="20"/>
          <w:szCs w:val="20"/>
          <w:highlight w:val="none"/>
          <w:shd w:val="clear" w:color="auto" w:fill="auto"/>
          <w:lang w:eastAsia="zh-CN"/>
        </w:rPr>
        <w:br w:type="page"/>
      </w:r>
    </w:p>
    <w:tbl>
      <w:tblPr>
        <w:tblStyle w:val="16"/>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0"/>
        <w:gridCol w:w="1012"/>
        <w:gridCol w:w="1020"/>
        <w:gridCol w:w="857"/>
        <w:gridCol w:w="733"/>
        <w:gridCol w:w="780"/>
        <w:gridCol w:w="50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exact"/>
          <w:jc w:val="center"/>
        </w:trPr>
        <w:tc>
          <w:tcPr>
            <w:tcW w:w="5222" w:type="dxa"/>
            <w:gridSpan w:val="6"/>
            <w:noWrap w:val="0"/>
            <w:vAlign w:val="center"/>
          </w:tcPr>
          <w:p>
            <w:pP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评分因素与权重分值</w:t>
            </w:r>
          </w:p>
        </w:tc>
        <w:tc>
          <w:tcPr>
            <w:tcW w:w="5076" w:type="dxa"/>
            <w:vMerge w:val="restart"/>
            <w:noWrap w:val="0"/>
            <w:vAlign w:val="center"/>
          </w:tcPr>
          <w:p>
            <w:pPr>
              <w:shd w:val="clear" w:color="auto" w:fill="auto"/>
              <w:ind w:left="2"/>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exact"/>
          <w:jc w:val="center"/>
        </w:trPr>
        <w:tc>
          <w:tcPr>
            <w:tcW w:w="820" w:type="dxa"/>
            <w:noWrap w:val="0"/>
            <w:vAlign w:val="center"/>
          </w:tcPr>
          <w:p>
            <w:pPr>
              <w:shd w:val="clear" w:color="auto" w:fill="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条款号</w:t>
            </w:r>
          </w:p>
        </w:tc>
        <w:tc>
          <w:tcPr>
            <w:tcW w:w="1012" w:type="dxa"/>
            <w:noWrap w:val="0"/>
            <w:vAlign w:val="center"/>
          </w:tcPr>
          <w:p>
            <w:pPr>
              <w:shd w:val="clear" w:color="auto" w:fill="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评分因素</w:t>
            </w:r>
          </w:p>
        </w:tc>
        <w:tc>
          <w:tcPr>
            <w:tcW w:w="1020" w:type="dxa"/>
            <w:noWrap w:val="0"/>
            <w:vAlign w:val="center"/>
          </w:tcPr>
          <w:p>
            <w:pPr>
              <w:shd w:val="clear" w:color="auto" w:fill="auto"/>
              <w:spacing w:before="27"/>
              <w:ind w:left="57" w:right="48"/>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评分因素</w:t>
            </w:r>
          </w:p>
          <w:p>
            <w:pPr>
              <w:shd w:val="clear" w:color="auto" w:fill="auto"/>
              <w:spacing w:before="27"/>
              <w:ind w:left="57" w:right="48"/>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权重分值</w:t>
            </w:r>
          </w:p>
        </w:tc>
        <w:tc>
          <w:tcPr>
            <w:tcW w:w="1590" w:type="dxa"/>
            <w:gridSpan w:val="2"/>
            <w:noWrap w:val="0"/>
            <w:vAlign w:val="center"/>
          </w:tcPr>
          <w:p>
            <w:pPr>
              <w:shd w:val="clear" w:color="auto" w:fill="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各评分因素</w:t>
            </w:r>
          </w:p>
          <w:p>
            <w:pPr>
              <w:shd w:val="clear" w:color="auto" w:fill="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细分项</w:t>
            </w:r>
          </w:p>
        </w:tc>
        <w:tc>
          <w:tcPr>
            <w:tcW w:w="780" w:type="dxa"/>
            <w:noWrap w:val="0"/>
            <w:vAlign w:val="center"/>
          </w:tcPr>
          <w:p>
            <w:pPr>
              <w:shd w:val="clear" w:color="auto" w:fill="auto"/>
              <w:ind w:right="84"/>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分值</w:t>
            </w:r>
          </w:p>
        </w:tc>
        <w:tc>
          <w:tcPr>
            <w:tcW w:w="5076" w:type="dxa"/>
            <w:vMerge w:val="continue"/>
            <w:noWrap w:val="0"/>
            <w:vAlign w:val="center"/>
          </w:tcPr>
          <w:p>
            <w:pPr>
              <w:shd w:val="clear" w:color="auto" w:fill="auto"/>
              <w:jc w:val="center"/>
              <w:rPr>
                <w:rFonts w:hint="eastAsia" w:ascii="宋体" w:hAnsi="宋体" w:eastAsia="宋体" w:cs="宋体"/>
                <w:color w:val="auto"/>
                <w:sz w:val="21"/>
                <w:szCs w:val="21"/>
                <w:highlight w:val="none"/>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exact"/>
          <w:jc w:val="center"/>
        </w:trPr>
        <w:tc>
          <w:tcPr>
            <w:tcW w:w="820" w:type="dxa"/>
            <w:vMerge w:val="restart"/>
            <w:noWrap w:val="0"/>
            <w:vAlign w:val="center"/>
          </w:tcPr>
          <w:p>
            <w:pPr>
              <w:shd w:val="clear" w:color="auto" w:fill="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2.2</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lang w:eastAsia="zh-CN"/>
              </w:rPr>
              <w:t>4</w:t>
            </w:r>
          </w:p>
          <w:p>
            <w:pPr>
              <w:shd w:val="clear" w:color="auto" w:fill="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(1)</w:t>
            </w:r>
          </w:p>
        </w:tc>
        <w:tc>
          <w:tcPr>
            <w:tcW w:w="1012" w:type="dxa"/>
            <w:vMerge w:val="restart"/>
            <w:noWrap w:val="0"/>
            <w:vAlign w:val="center"/>
          </w:tcPr>
          <w:p>
            <w:pPr>
              <w:shd w:val="clear" w:color="auto" w:fill="auto"/>
              <w:ind w:left="139"/>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技术建议书</w:t>
            </w:r>
          </w:p>
        </w:tc>
        <w:tc>
          <w:tcPr>
            <w:tcW w:w="1020" w:type="dxa"/>
            <w:vMerge w:val="restart"/>
            <w:noWrap w:val="0"/>
            <w:vAlign w:val="center"/>
          </w:tcPr>
          <w:p>
            <w:pPr>
              <w:shd w:val="clear" w:color="auto" w:fill="auto"/>
              <w:ind w:right="35"/>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u w:val="none"/>
                <w:shd w:val="clear" w:color="auto" w:fill="auto"/>
                <w:lang w:val="en-US" w:eastAsia="zh-CN"/>
              </w:rPr>
              <w:t>4</w:t>
            </w:r>
            <w:r>
              <w:rPr>
                <w:rFonts w:hint="eastAsia" w:ascii="宋体" w:hAnsi="宋体" w:eastAsia="宋体" w:cs="宋体"/>
                <w:color w:val="auto"/>
                <w:sz w:val="21"/>
                <w:szCs w:val="21"/>
                <w:highlight w:val="none"/>
                <w:u w:val="none"/>
                <w:shd w:val="clear" w:color="auto" w:fill="auto"/>
                <w:lang w:eastAsia="zh-CN"/>
              </w:rPr>
              <w:t>0</w:t>
            </w:r>
            <w:r>
              <w:rPr>
                <w:rFonts w:hint="eastAsia" w:ascii="宋体" w:hAnsi="宋体" w:eastAsia="宋体" w:cs="宋体"/>
                <w:color w:val="auto"/>
                <w:sz w:val="21"/>
                <w:szCs w:val="21"/>
                <w:highlight w:val="none"/>
                <w:shd w:val="clear" w:color="auto" w:fill="auto"/>
              </w:rPr>
              <w:t>分</w:t>
            </w:r>
          </w:p>
        </w:tc>
        <w:tc>
          <w:tcPr>
            <w:tcW w:w="1590" w:type="dxa"/>
            <w:gridSpan w:val="2"/>
            <w:noWrap w:val="0"/>
            <w:vAlign w:val="center"/>
          </w:tcPr>
          <w:p>
            <w:pPr>
              <w:shd w:val="clear" w:color="auto" w:fill="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检测服务大纲和措施</w:t>
            </w:r>
          </w:p>
        </w:tc>
        <w:tc>
          <w:tcPr>
            <w:tcW w:w="780" w:type="dxa"/>
            <w:noWrap w:val="0"/>
            <w:vAlign w:val="center"/>
          </w:tcPr>
          <w:p>
            <w:pPr>
              <w:shd w:val="clear" w:color="auto" w:fill="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15分</w:t>
            </w:r>
          </w:p>
        </w:tc>
        <w:tc>
          <w:tcPr>
            <w:tcW w:w="5076" w:type="dxa"/>
            <w:noWrap w:val="0"/>
            <w:vAlign w:val="center"/>
          </w:tcPr>
          <w:p>
            <w:pPr>
              <w:shd w:val="clear" w:color="auto" w:fill="auto"/>
              <w:spacing w:before="90"/>
              <w:ind w:right="94" w:rightChars="45" w:firstLine="210" w:firstLineChars="1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基本合理得基本分</w:t>
            </w:r>
            <w:r>
              <w:rPr>
                <w:rFonts w:hint="eastAsia" w:ascii="宋体" w:hAnsi="宋体" w:eastAsia="宋体" w:cs="宋体"/>
                <w:color w:val="auto"/>
                <w:sz w:val="21"/>
                <w:szCs w:val="21"/>
                <w:highlight w:val="none"/>
                <w:shd w:val="clear" w:color="auto" w:fill="auto"/>
                <w:lang w:val="en-US" w:eastAsia="zh-CN"/>
              </w:rPr>
              <w:t>9</w:t>
            </w:r>
            <w:r>
              <w:rPr>
                <w:rFonts w:hint="eastAsia" w:ascii="宋体" w:hAnsi="宋体" w:eastAsia="宋体" w:cs="宋体"/>
                <w:color w:val="auto"/>
                <w:sz w:val="21"/>
                <w:szCs w:val="21"/>
                <w:highlight w:val="none"/>
                <w:shd w:val="clear" w:color="auto" w:fill="auto"/>
                <w:lang w:eastAsia="zh-CN"/>
              </w:rPr>
              <w:t>分；较好得</w:t>
            </w:r>
            <w:r>
              <w:rPr>
                <w:rFonts w:hint="eastAsia" w:ascii="宋体" w:hAnsi="宋体" w:eastAsia="宋体" w:cs="宋体"/>
                <w:color w:val="auto"/>
                <w:sz w:val="21"/>
                <w:szCs w:val="21"/>
                <w:highlight w:val="none"/>
                <w:shd w:val="clear" w:color="auto" w:fill="auto"/>
                <w:lang w:val="en-US" w:eastAsia="zh-CN"/>
              </w:rPr>
              <w:t>9</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12</w:t>
            </w:r>
            <w:r>
              <w:rPr>
                <w:rFonts w:hint="eastAsia" w:ascii="宋体" w:hAnsi="宋体" w:eastAsia="宋体" w:cs="宋体"/>
                <w:color w:val="auto"/>
                <w:sz w:val="21"/>
                <w:szCs w:val="21"/>
                <w:highlight w:val="none"/>
                <w:shd w:val="clear" w:color="auto" w:fill="auto"/>
                <w:lang w:eastAsia="zh-CN"/>
              </w:rPr>
              <w:t>分；优秀得</w:t>
            </w:r>
            <w:r>
              <w:rPr>
                <w:rFonts w:hint="eastAsia" w:ascii="宋体" w:hAnsi="宋体" w:eastAsia="宋体" w:cs="宋体"/>
                <w:color w:val="auto"/>
                <w:sz w:val="21"/>
                <w:szCs w:val="21"/>
                <w:highlight w:val="none"/>
                <w:shd w:val="clear" w:color="auto" w:fill="auto"/>
                <w:lang w:val="en-US" w:eastAsia="zh-CN"/>
              </w:rPr>
              <w:t>12</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15</w:t>
            </w:r>
            <w:r>
              <w:rPr>
                <w:rFonts w:hint="eastAsia" w:ascii="宋体" w:hAnsi="宋体" w:eastAsia="宋体" w:cs="宋体"/>
                <w:color w:val="auto"/>
                <w:sz w:val="21"/>
                <w:szCs w:val="21"/>
                <w:highlight w:val="none"/>
                <w:shd w:val="clear" w:color="auto" w:fill="auto"/>
                <w:lang w:eastAsia="zh-CN"/>
              </w:rPr>
              <w:t>分</w:t>
            </w:r>
            <w:r>
              <w:rPr>
                <w:rFonts w:hint="eastAsia" w:ascii="宋体" w:hAnsi="宋体" w:cs="宋体"/>
                <w:color w:val="auto"/>
                <w:sz w:val="21"/>
                <w:szCs w:val="21"/>
                <w:highlight w:val="none"/>
                <w:shd w:val="clear" w:color="auto" w:fill="auto"/>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820" w:type="dxa"/>
            <w:vMerge w:val="continue"/>
            <w:noWrap w:val="0"/>
            <w:vAlign w:val="center"/>
          </w:tcPr>
          <w:p>
            <w:pPr>
              <w:shd w:val="clear" w:color="auto" w:fill="auto"/>
              <w:jc w:val="center"/>
              <w:rPr>
                <w:rFonts w:hint="eastAsia" w:ascii="宋体" w:hAnsi="宋体" w:eastAsia="宋体" w:cs="宋体"/>
                <w:color w:val="auto"/>
                <w:sz w:val="21"/>
                <w:szCs w:val="21"/>
                <w:highlight w:val="none"/>
                <w:shd w:val="clear" w:color="auto" w:fill="auto"/>
                <w:lang w:eastAsia="zh-CN"/>
              </w:rPr>
            </w:pPr>
          </w:p>
        </w:tc>
        <w:tc>
          <w:tcPr>
            <w:tcW w:w="1012" w:type="dxa"/>
            <w:vMerge w:val="continue"/>
            <w:noWrap w:val="0"/>
            <w:vAlign w:val="center"/>
          </w:tcPr>
          <w:p>
            <w:pPr>
              <w:shd w:val="clear" w:color="auto" w:fill="auto"/>
              <w:jc w:val="center"/>
              <w:rPr>
                <w:rFonts w:hint="eastAsia" w:ascii="宋体" w:hAnsi="宋体" w:eastAsia="宋体" w:cs="宋体"/>
                <w:color w:val="auto"/>
                <w:sz w:val="21"/>
                <w:szCs w:val="21"/>
                <w:highlight w:val="none"/>
                <w:shd w:val="clear" w:color="auto" w:fill="auto"/>
                <w:lang w:eastAsia="zh-CN"/>
              </w:rPr>
            </w:pPr>
          </w:p>
        </w:tc>
        <w:tc>
          <w:tcPr>
            <w:tcW w:w="1020" w:type="dxa"/>
            <w:vMerge w:val="continue"/>
            <w:noWrap w:val="0"/>
            <w:vAlign w:val="center"/>
          </w:tcPr>
          <w:p>
            <w:pPr>
              <w:shd w:val="clear" w:color="auto" w:fill="auto"/>
              <w:jc w:val="both"/>
              <w:rPr>
                <w:rFonts w:hint="eastAsia" w:ascii="宋体" w:hAnsi="宋体" w:eastAsia="宋体" w:cs="宋体"/>
                <w:color w:val="auto"/>
                <w:sz w:val="21"/>
                <w:szCs w:val="21"/>
                <w:highlight w:val="none"/>
                <w:shd w:val="clear" w:color="auto" w:fill="auto"/>
                <w:lang w:eastAsia="zh-CN"/>
              </w:rPr>
            </w:pPr>
          </w:p>
        </w:tc>
        <w:tc>
          <w:tcPr>
            <w:tcW w:w="1590" w:type="dxa"/>
            <w:gridSpan w:val="2"/>
            <w:noWrap w:val="0"/>
            <w:vAlign w:val="center"/>
          </w:tcPr>
          <w:p>
            <w:pPr>
              <w:shd w:val="clear" w:color="auto" w:fill="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对本工程重点难点分析</w:t>
            </w:r>
          </w:p>
        </w:tc>
        <w:tc>
          <w:tcPr>
            <w:tcW w:w="780" w:type="dxa"/>
            <w:noWrap w:val="0"/>
            <w:vAlign w:val="center"/>
          </w:tcPr>
          <w:p>
            <w:pPr>
              <w:shd w:val="clear" w:color="auto" w:fill="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15</w:t>
            </w:r>
            <w:r>
              <w:rPr>
                <w:rFonts w:hint="eastAsia" w:ascii="宋体" w:hAnsi="宋体" w:eastAsia="宋体" w:cs="宋体"/>
                <w:color w:val="auto"/>
                <w:sz w:val="21"/>
                <w:szCs w:val="21"/>
                <w:highlight w:val="none"/>
                <w:shd w:val="clear" w:color="auto" w:fill="auto"/>
              </w:rPr>
              <w:t>分</w:t>
            </w:r>
          </w:p>
        </w:tc>
        <w:tc>
          <w:tcPr>
            <w:tcW w:w="5076" w:type="dxa"/>
            <w:noWrap w:val="0"/>
            <w:vAlign w:val="center"/>
          </w:tcPr>
          <w:p>
            <w:pPr>
              <w:shd w:val="clear" w:color="auto" w:fill="auto"/>
              <w:spacing w:before="85"/>
              <w:ind w:right="94" w:rightChars="45" w:firstLine="210" w:firstLineChars="1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基本合理得基本分</w:t>
            </w:r>
            <w:r>
              <w:rPr>
                <w:rFonts w:hint="eastAsia" w:ascii="宋体" w:hAnsi="宋体" w:eastAsia="宋体" w:cs="宋体"/>
                <w:color w:val="auto"/>
                <w:sz w:val="21"/>
                <w:szCs w:val="21"/>
                <w:highlight w:val="none"/>
                <w:shd w:val="clear" w:color="auto" w:fill="auto"/>
                <w:lang w:val="en-US" w:eastAsia="zh-CN"/>
              </w:rPr>
              <w:t>9</w:t>
            </w:r>
            <w:r>
              <w:rPr>
                <w:rFonts w:hint="eastAsia" w:ascii="宋体" w:hAnsi="宋体" w:eastAsia="宋体" w:cs="宋体"/>
                <w:color w:val="auto"/>
                <w:sz w:val="21"/>
                <w:szCs w:val="21"/>
                <w:highlight w:val="none"/>
                <w:shd w:val="clear" w:color="auto" w:fill="auto"/>
                <w:lang w:eastAsia="zh-CN"/>
              </w:rPr>
              <w:t>分；较好得</w:t>
            </w:r>
            <w:r>
              <w:rPr>
                <w:rFonts w:hint="eastAsia" w:ascii="宋体" w:hAnsi="宋体" w:eastAsia="宋体" w:cs="宋体"/>
                <w:color w:val="auto"/>
                <w:sz w:val="21"/>
                <w:szCs w:val="21"/>
                <w:highlight w:val="none"/>
                <w:shd w:val="clear" w:color="auto" w:fill="auto"/>
                <w:lang w:val="en-US" w:eastAsia="zh-CN"/>
              </w:rPr>
              <w:t>9</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12</w:t>
            </w:r>
            <w:r>
              <w:rPr>
                <w:rFonts w:hint="eastAsia" w:ascii="宋体" w:hAnsi="宋体" w:eastAsia="宋体" w:cs="宋体"/>
                <w:color w:val="auto"/>
                <w:sz w:val="21"/>
                <w:szCs w:val="21"/>
                <w:highlight w:val="none"/>
                <w:shd w:val="clear" w:color="auto" w:fill="auto"/>
                <w:lang w:eastAsia="zh-CN"/>
              </w:rPr>
              <w:t>分；优秀得</w:t>
            </w:r>
            <w:r>
              <w:rPr>
                <w:rFonts w:hint="eastAsia" w:ascii="宋体" w:hAnsi="宋体" w:eastAsia="宋体" w:cs="宋体"/>
                <w:color w:val="auto"/>
                <w:sz w:val="21"/>
                <w:szCs w:val="21"/>
                <w:highlight w:val="none"/>
                <w:shd w:val="clear" w:color="auto" w:fill="auto"/>
                <w:lang w:val="en-US" w:eastAsia="zh-CN"/>
              </w:rPr>
              <w:t>12</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15</w:t>
            </w:r>
            <w:r>
              <w:rPr>
                <w:rFonts w:hint="eastAsia" w:ascii="宋体" w:hAnsi="宋体" w:eastAsia="宋体" w:cs="宋体"/>
                <w:color w:val="auto"/>
                <w:sz w:val="21"/>
                <w:szCs w:val="21"/>
                <w:highlight w:val="none"/>
                <w:shd w:val="clear" w:color="auto" w:fill="auto"/>
                <w:lang w:eastAsia="zh-CN"/>
              </w:rPr>
              <w:t>分</w:t>
            </w:r>
            <w:r>
              <w:rPr>
                <w:rFonts w:hint="eastAsia" w:ascii="宋体" w:hAnsi="宋体" w:cs="宋体"/>
                <w:color w:val="auto"/>
                <w:sz w:val="21"/>
                <w:szCs w:val="21"/>
                <w:highlight w:val="none"/>
                <w:shd w:val="clear" w:color="auto" w:fill="auto"/>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3" w:hRule="exact"/>
          <w:jc w:val="center"/>
        </w:trPr>
        <w:tc>
          <w:tcPr>
            <w:tcW w:w="820" w:type="dxa"/>
            <w:vMerge w:val="continue"/>
            <w:noWrap w:val="0"/>
            <w:vAlign w:val="center"/>
          </w:tcPr>
          <w:p>
            <w:pPr>
              <w:shd w:val="clear" w:color="auto" w:fill="auto"/>
              <w:jc w:val="center"/>
              <w:rPr>
                <w:rFonts w:hint="eastAsia" w:ascii="宋体" w:hAnsi="宋体" w:eastAsia="宋体" w:cs="宋体"/>
                <w:color w:val="auto"/>
                <w:sz w:val="21"/>
                <w:szCs w:val="21"/>
                <w:highlight w:val="none"/>
                <w:shd w:val="clear" w:color="auto" w:fill="auto"/>
                <w:lang w:eastAsia="zh-CN"/>
              </w:rPr>
            </w:pPr>
          </w:p>
        </w:tc>
        <w:tc>
          <w:tcPr>
            <w:tcW w:w="1012" w:type="dxa"/>
            <w:vMerge w:val="continue"/>
            <w:noWrap w:val="0"/>
            <w:vAlign w:val="center"/>
          </w:tcPr>
          <w:p>
            <w:pPr>
              <w:shd w:val="clear" w:color="auto" w:fill="auto"/>
              <w:jc w:val="center"/>
              <w:rPr>
                <w:rFonts w:hint="eastAsia" w:ascii="宋体" w:hAnsi="宋体" w:eastAsia="宋体" w:cs="宋体"/>
                <w:color w:val="auto"/>
                <w:sz w:val="21"/>
                <w:szCs w:val="21"/>
                <w:highlight w:val="none"/>
                <w:shd w:val="clear" w:color="auto" w:fill="auto"/>
                <w:lang w:eastAsia="zh-CN"/>
              </w:rPr>
            </w:pPr>
          </w:p>
        </w:tc>
        <w:tc>
          <w:tcPr>
            <w:tcW w:w="1020" w:type="dxa"/>
            <w:vMerge w:val="continue"/>
            <w:noWrap w:val="0"/>
            <w:vAlign w:val="center"/>
          </w:tcPr>
          <w:p>
            <w:pPr>
              <w:shd w:val="clear" w:color="auto" w:fill="auto"/>
              <w:jc w:val="both"/>
              <w:rPr>
                <w:rFonts w:hint="eastAsia" w:ascii="宋体" w:hAnsi="宋体" w:eastAsia="宋体" w:cs="宋体"/>
                <w:color w:val="auto"/>
                <w:sz w:val="21"/>
                <w:szCs w:val="21"/>
                <w:highlight w:val="none"/>
                <w:shd w:val="clear" w:color="auto" w:fill="auto"/>
                <w:lang w:eastAsia="zh-CN"/>
              </w:rPr>
            </w:pPr>
          </w:p>
        </w:tc>
        <w:tc>
          <w:tcPr>
            <w:tcW w:w="1590" w:type="dxa"/>
            <w:gridSpan w:val="2"/>
            <w:noWrap w:val="0"/>
            <w:vAlign w:val="center"/>
          </w:tcPr>
          <w:p>
            <w:pPr>
              <w:shd w:val="clear" w:color="auto" w:fill="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对本项目的建议</w:t>
            </w:r>
          </w:p>
        </w:tc>
        <w:tc>
          <w:tcPr>
            <w:tcW w:w="780" w:type="dxa"/>
            <w:noWrap w:val="0"/>
            <w:vAlign w:val="center"/>
          </w:tcPr>
          <w:p>
            <w:pPr>
              <w:shd w:val="clear" w:color="auto" w:fill="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10分</w:t>
            </w:r>
          </w:p>
        </w:tc>
        <w:tc>
          <w:tcPr>
            <w:tcW w:w="5076" w:type="dxa"/>
            <w:noWrap w:val="0"/>
            <w:vAlign w:val="center"/>
          </w:tcPr>
          <w:p>
            <w:pPr>
              <w:shd w:val="clear" w:color="auto" w:fill="auto"/>
              <w:spacing w:before="85"/>
              <w:ind w:right="94" w:rightChars="45" w:firstLine="210" w:firstLineChars="1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基本合理得基本分6分；较好得6-8分；优秀得8-10分</w:t>
            </w:r>
            <w:r>
              <w:rPr>
                <w:rFonts w:hint="eastAsia" w:ascii="宋体" w:hAnsi="宋体" w:cs="宋体"/>
                <w:color w:val="auto"/>
                <w:sz w:val="21"/>
                <w:szCs w:val="21"/>
                <w:highlight w:val="none"/>
                <w:shd w:val="clear" w:color="auto" w:fill="auto"/>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0" w:hRule="exact"/>
          <w:jc w:val="center"/>
        </w:trPr>
        <w:tc>
          <w:tcPr>
            <w:tcW w:w="820" w:type="dxa"/>
            <w:vMerge w:val="restart"/>
            <w:noWrap w:val="0"/>
            <w:vAlign w:val="center"/>
          </w:tcPr>
          <w:p>
            <w:pPr>
              <w:shd w:val="clear" w:color="auto" w:fill="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2.2.4</w:t>
            </w:r>
          </w:p>
          <w:p>
            <w:pPr>
              <w:shd w:val="clear" w:color="auto" w:fill="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w:t>
            </w:r>
          </w:p>
        </w:tc>
        <w:tc>
          <w:tcPr>
            <w:tcW w:w="1012" w:type="dxa"/>
            <w:vMerge w:val="restart"/>
            <w:noWrap w:val="0"/>
            <w:vAlign w:val="center"/>
          </w:tcPr>
          <w:p>
            <w:pPr>
              <w:shd w:val="clear" w:color="auto" w:fill="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主要人员</w:t>
            </w:r>
          </w:p>
        </w:tc>
        <w:tc>
          <w:tcPr>
            <w:tcW w:w="1020" w:type="dxa"/>
            <w:vMerge w:val="restart"/>
            <w:noWrap w:val="0"/>
            <w:vAlign w:val="center"/>
          </w:tcPr>
          <w:p>
            <w:pPr>
              <w:shd w:val="clear" w:color="auto" w:fill="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u w:val="none"/>
                <w:shd w:val="clear" w:color="auto" w:fill="auto"/>
                <w:lang w:val="en-US" w:eastAsia="zh-CN"/>
              </w:rPr>
              <w:t>1</w:t>
            </w:r>
            <w:r>
              <w:rPr>
                <w:rFonts w:hint="eastAsia" w:ascii="宋体" w:hAnsi="宋体" w:eastAsia="宋体" w:cs="宋体"/>
                <w:color w:val="auto"/>
                <w:sz w:val="21"/>
                <w:szCs w:val="21"/>
                <w:highlight w:val="none"/>
                <w:u w:val="none"/>
                <w:shd w:val="clear" w:color="auto" w:fill="auto"/>
                <w:lang w:eastAsia="zh-CN"/>
              </w:rPr>
              <w:t>5</w:t>
            </w:r>
            <w:r>
              <w:rPr>
                <w:rFonts w:hint="eastAsia" w:ascii="宋体" w:hAnsi="宋体" w:eastAsia="宋体" w:cs="宋体"/>
                <w:color w:val="auto"/>
                <w:sz w:val="21"/>
                <w:szCs w:val="21"/>
                <w:highlight w:val="none"/>
                <w:shd w:val="clear" w:color="auto" w:fill="auto"/>
              </w:rPr>
              <w:t>分</w:t>
            </w:r>
          </w:p>
        </w:tc>
        <w:tc>
          <w:tcPr>
            <w:tcW w:w="1590" w:type="dxa"/>
            <w:gridSpan w:val="2"/>
            <w:noWrap w:val="0"/>
            <w:vAlign w:val="center"/>
          </w:tcPr>
          <w:p>
            <w:pPr>
              <w:shd w:val="clear" w:color="auto" w:fill="auto"/>
              <w:spacing w:before="22" w:line="374" w:lineRule="exact"/>
              <w:ind w:left="100" w:right="147" w:firstLine="9"/>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项目负责人任职资格与业绩</w:t>
            </w:r>
          </w:p>
        </w:tc>
        <w:tc>
          <w:tcPr>
            <w:tcW w:w="780" w:type="dxa"/>
            <w:noWrap w:val="0"/>
            <w:vAlign w:val="center"/>
          </w:tcPr>
          <w:p>
            <w:pPr>
              <w:shd w:val="clear" w:color="auto" w:fill="auto"/>
              <w:spacing w:before="85"/>
              <w:ind w:left="105" w:right="94" w:rightChars="45"/>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分</w:t>
            </w:r>
          </w:p>
        </w:tc>
        <w:tc>
          <w:tcPr>
            <w:tcW w:w="5076" w:type="dxa"/>
            <w:noWrap w:val="0"/>
            <w:vAlign w:val="center"/>
          </w:tcPr>
          <w:p>
            <w:pPr>
              <w:shd w:val="clear" w:color="auto" w:fill="auto"/>
              <w:spacing w:before="85"/>
              <w:ind w:left="105" w:right="94" w:rightChars="45" w:firstLine="105" w:firstLineChars="5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a.满足资格审查要求得4分，项目负责人为高级及以上职称加1分；</w:t>
            </w:r>
          </w:p>
          <w:p>
            <w:pPr>
              <w:shd w:val="clear" w:color="auto" w:fill="auto"/>
              <w:spacing w:before="85"/>
              <w:ind w:left="105" w:right="94" w:rightChars="45" w:firstLine="105" w:firstLineChars="5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b1.每增加一条主线里程20km及以上高速公路交工或竣工验收试验检测或每增加一个合同金额800万及以上高速公路桥梁荷载试验项目负责人或技术负责人业绩加1分，最多加3分</w:t>
            </w:r>
            <w:r>
              <w:rPr>
                <w:rFonts w:hint="eastAsia" w:ascii="宋体" w:hAnsi="宋体" w:eastAsia="宋体" w:cs="宋体"/>
                <w:b/>
                <w:bCs/>
                <w:color w:val="auto"/>
                <w:sz w:val="21"/>
                <w:szCs w:val="21"/>
                <w:highlight w:val="none"/>
                <w:shd w:val="clear" w:color="auto" w:fill="auto"/>
                <w:lang w:val="en-US" w:eastAsia="zh-CN"/>
              </w:rPr>
              <w:t>（适用于HLJC01标、HLJC02标、HLJC03标）</w:t>
            </w:r>
            <w:r>
              <w:rPr>
                <w:rFonts w:hint="eastAsia" w:ascii="宋体" w:hAnsi="宋体" w:eastAsia="宋体" w:cs="宋体"/>
                <w:color w:val="auto"/>
                <w:sz w:val="21"/>
                <w:szCs w:val="21"/>
                <w:highlight w:val="none"/>
                <w:shd w:val="clear" w:color="auto" w:fill="auto"/>
                <w:lang w:val="en-US" w:eastAsia="zh-CN"/>
              </w:rPr>
              <w:t>。</w:t>
            </w:r>
          </w:p>
          <w:p>
            <w:pPr>
              <w:shd w:val="clear" w:color="auto" w:fill="auto"/>
              <w:spacing w:before="85"/>
              <w:ind w:left="105" w:right="94" w:rightChars="45" w:firstLine="105" w:firstLineChars="5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b2.每增加一条主线里程15km及以上高速公路交工或竣工验收试验检测或每增加一个合同金额500万及以上高速公路桥梁荷载试验项目负责人或技术负责人业绩加1分，最多加3分</w:t>
            </w:r>
            <w:r>
              <w:rPr>
                <w:rFonts w:hint="eastAsia" w:ascii="宋体" w:hAnsi="宋体" w:eastAsia="宋体" w:cs="宋体"/>
                <w:b/>
                <w:bCs/>
                <w:color w:val="auto"/>
                <w:sz w:val="21"/>
                <w:szCs w:val="21"/>
                <w:highlight w:val="none"/>
                <w:shd w:val="clear" w:color="auto" w:fill="auto"/>
                <w:lang w:val="en-US" w:eastAsia="zh-CN"/>
              </w:rPr>
              <w:t>（适用于ZHJC01标、ZHJC02标）</w:t>
            </w:r>
            <w:r>
              <w:rPr>
                <w:rFonts w:hint="eastAsia" w:ascii="宋体" w:hAnsi="宋体" w:eastAsia="宋体" w:cs="宋体"/>
                <w:color w:val="auto"/>
                <w:sz w:val="21"/>
                <w:szCs w:val="21"/>
                <w:highlight w:val="none"/>
                <w:shd w:val="clear" w:color="auto" w:fill="auto"/>
                <w:lang w:val="en-US" w:eastAsia="zh-CN"/>
              </w:rPr>
              <w:t>。</w:t>
            </w:r>
          </w:p>
          <w:p>
            <w:pPr>
              <w:shd w:val="clear" w:color="auto" w:fill="auto"/>
              <w:spacing w:before="85"/>
              <w:ind w:left="105" w:right="94" w:rightChars="45" w:firstLine="105" w:firstLineChars="5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注：业绩材料要求提供中标通知书或合同协议书或省级及以上交通质量监督部门或省级及以上交通运输主管部门的证明材料，如未能反映出个人业绩，可由业主单位出具证明材料，未按要求提交业绩证明材料的，该业绩不予认可（复印件或扫描件，加盖投标单位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0" w:hRule="exact"/>
          <w:jc w:val="center"/>
        </w:trPr>
        <w:tc>
          <w:tcPr>
            <w:tcW w:w="820" w:type="dxa"/>
            <w:vMerge w:val="continue"/>
            <w:noWrap w:val="0"/>
            <w:vAlign w:val="center"/>
          </w:tcPr>
          <w:p>
            <w:pPr>
              <w:shd w:val="clear" w:color="auto" w:fill="auto"/>
              <w:jc w:val="center"/>
              <w:rPr>
                <w:rFonts w:hint="eastAsia" w:ascii="宋体" w:hAnsi="宋体" w:eastAsia="宋体" w:cs="宋体"/>
                <w:color w:val="auto"/>
                <w:sz w:val="21"/>
                <w:szCs w:val="21"/>
                <w:highlight w:val="none"/>
                <w:shd w:val="clear" w:color="auto" w:fill="auto"/>
                <w:lang w:eastAsia="zh-CN"/>
              </w:rPr>
            </w:pPr>
          </w:p>
        </w:tc>
        <w:tc>
          <w:tcPr>
            <w:tcW w:w="1012" w:type="dxa"/>
            <w:vMerge w:val="continue"/>
            <w:noWrap w:val="0"/>
            <w:vAlign w:val="center"/>
          </w:tcPr>
          <w:p>
            <w:pPr>
              <w:shd w:val="clear" w:color="auto" w:fill="auto"/>
              <w:jc w:val="both"/>
              <w:rPr>
                <w:rFonts w:hint="eastAsia" w:ascii="宋体" w:hAnsi="宋体" w:eastAsia="宋体" w:cs="宋体"/>
                <w:color w:val="auto"/>
                <w:sz w:val="21"/>
                <w:szCs w:val="21"/>
                <w:highlight w:val="none"/>
                <w:shd w:val="clear" w:color="auto" w:fill="auto"/>
                <w:lang w:eastAsia="zh-CN"/>
              </w:rPr>
            </w:pPr>
          </w:p>
        </w:tc>
        <w:tc>
          <w:tcPr>
            <w:tcW w:w="1020" w:type="dxa"/>
            <w:vMerge w:val="continue"/>
            <w:noWrap w:val="0"/>
            <w:vAlign w:val="center"/>
          </w:tcPr>
          <w:p>
            <w:pPr>
              <w:shd w:val="clear" w:color="auto" w:fill="auto"/>
              <w:jc w:val="both"/>
              <w:rPr>
                <w:rFonts w:hint="eastAsia" w:ascii="宋体" w:hAnsi="宋体" w:eastAsia="宋体" w:cs="宋体"/>
                <w:color w:val="auto"/>
                <w:sz w:val="21"/>
                <w:szCs w:val="21"/>
                <w:highlight w:val="none"/>
                <w:shd w:val="clear" w:color="auto" w:fill="auto"/>
                <w:lang w:eastAsia="zh-CN"/>
              </w:rPr>
            </w:pPr>
          </w:p>
        </w:tc>
        <w:tc>
          <w:tcPr>
            <w:tcW w:w="1590" w:type="dxa"/>
            <w:gridSpan w:val="2"/>
            <w:noWrap w:val="0"/>
            <w:vAlign w:val="center"/>
          </w:tcPr>
          <w:p>
            <w:pPr>
              <w:shd w:val="clear" w:color="auto" w:fill="auto"/>
              <w:spacing w:before="85"/>
              <w:ind w:right="94" w:rightChars="45"/>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技术负责人任职资格与业绩</w:t>
            </w:r>
          </w:p>
        </w:tc>
        <w:tc>
          <w:tcPr>
            <w:tcW w:w="780" w:type="dxa"/>
            <w:noWrap w:val="0"/>
            <w:vAlign w:val="center"/>
          </w:tcPr>
          <w:p>
            <w:pPr>
              <w:shd w:val="clear" w:color="auto" w:fill="auto"/>
              <w:spacing w:before="85"/>
              <w:ind w:left="105" w:right="94" w:rightChars="45" w:firstLine="35" w:firstLineChars="17"/>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lang w:eastAsia="zh-CN"/>
              </w:rPr>
              <w:t>分</w:t>
            </w:r>
          </w:p>
        </w:tc>
        <w:tc>
          <w:tcPr>
            <w:tcW w:w="5076" w:type="dxa"/>
            <w:noWrap w:val="0"/>
            <w:vAlign w:val="center"/>
          </w:tcPr>
          <w:p>
            <w:pPr>
              <w:shd w:val="clear" w:color="auto" w:fill="auto"/>
              <w:spacing w:before="85"/>
              <w:ind w:left="105" w:right="94" w:rightChars="45" w:firstLine="105" w:firstLineChars="5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a.满足资格审查要求得4分；</w:t>
            </w:r>
          </w:p>
          <w:p>
            <w:pPr>
              <w:shd w:val="clear" w:color="auto" w:fill="auto"/>
              <w:spacing w:before="85"/>
              <w:ind w:left="105" w:right="94" w:rightChars="45" w:firstLine="105" w:firstLineChars="5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b1.每增加一条主线里程20km及以上高速公路交工或竣工验收试验检测或一个合同金额800万及以上高速公路桥梁荷载试验项目负责人或技术负责人业绩加1分，最多加3分（适用于HLJC01标、HLJC02标、HLJC03标）。</w:t>
            </w:r>
          </w:p>
          <w:p>
            <w:pPr>
              <w:shd w:val="clear" w:color="auto" w:fill="auto"/>
              <w:spacing w:before="85"/>
              <w:ind w:left="105" w:right="94" w:rightChars="45" w:firstLine="105" w:firstLineChars="5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b2.每增加一条主线里程15km及以上高速公路交工或竣工验收试验检测或一个合同金额500万及以上高速公路桥梁荷载试验项目负责人或技术负责人业绩加1分，最多加3分（适用于ZHJC01标、ZHJC02标）。</w:t>
            </w:r>
          </w:p>
          <w:p>
            <w:pPr>
              <w:shd w:val="clear" w:color="auto" w:fill="auto"/>
              <w:spacing w:before="85"/>
              <w:ind w:left="105" w:right="94" w:rightChars="45" w:firstLine="105" w:firstLineChars="5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注：业绩材料要求提供中标通知书或合同协议书或省级及以上交通质量监督部门或省级及以上交通运输主管部门的证明材料，如未能反映出个人业绩，可由业主单位出具证明材料，未按要求提交业绩证明材料的，该业绩不予认可（复印件或扫描件，加盖投标单位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8" w:hRule="exact"/>
          <w:jc w:val="center"/>
        </w:trPr>
        <w:tc>
          <w:tcPr>
            <w:tcW w:w="820" w:type="dxa"/>
            <w:tcBorders>
              <w:bottom w:val="single" w:color="000000" w:sz="6" w:space="0"/>
            </w:tcBorders>
            <w:noWrap w:val="0"/>
            <w:vAlign w:val="center"/>
          </w:tcPr>
          <w:p>
            <w:pPr>
              <w:shd w:val="clear" w:color="auto" w:fill="auto"/>
              <w:ind w:left="2"/>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2.2.4</w:t>
            </w:r>
          </w:p>
          <w:p>
            <w:pPr>
              <w:shd w:val="clear" w:color="auto" w:fill="auto"/>
              <w:ind w:left="2"/>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w:t>
            </w:r>
          </w:p>
        </w:tc>
        <w:tc>
          <w:tcPr>
            <w:tcW w:w="1012" w:type="dxa"/>
            <w:tcBorders>
              <w:bottom w:val="single" w:color="000000" w:sz="6" w:space="0"/>
            </w:tcBorders>
            <w:noWrap w:val="0"/>
            <w:vAlign w:val="center"/>
          </w:tcPr>
          <w:p>
            <w:pPr>
              <w:shd w:val="clear" w:color="auto" w:fill="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评标价</w:t>
            </w:r>
          </w:p>
        </w:tc>
        <w:tc>
          <w:tcPr>
            <w:tcW w:w="1020" w:type="dxa"/>
            <w:tcBorders>
              <w:bottom w:val="single" w:color="000000" w:sz="6" w:space="0"/>
            </w:tcBorders>
            <w:noWrap w:val="0"/>
            <w:vAlign w:val="center"/>
          </w:tcPr>
          <w:p>
            <w:pPr>
              <w:shd w:val="clear" w:color="auto" w:fill="auto"/>
              <w:ind w:right="93"/>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u w:val="none"/>
                <w:shd w:val="clear" w:color="auto" w:fill="auto"/>
                <w:lang w:val="en-US" w:eastAsia="zh-CN"/>
              </w:rPr>
              <w:t>1</w:t>
            </w:r>
            <w:r>
              <w:rPr>
                <w:rFonts w:hint="eastAsia" w:ascii="宋体" w:hAnsi="宋体" w:eastAsia="宋体" w:cs="宋体"/>
                <w:color w:val="auto"/>
                <w:sz w:val="21"/>
                <w:szCs w:val="21"/>
                <w:highlight w:val="none"/>
                <w:u w:val="none"/>
                <w:shd w:val="clear" w:color="auto" w:fill="auto"/>
                <w:lang w:eastAsia="zh-CN"/>
              </w:rPr>
              <w:t>0</w:t>
            </w:r>
            <w:r>
              <w:rPr>
                <w:rFonts w:hint="eastAsia" w:ascii="宋体" w:hAnsi="宋体" w:eastAsia="宋体" w:cs="宋体"/>
                <w:color w:val="auto"/>
                <w:sz w:val="21"/>
                <w:szCs w:val="21"/>
                <w:highlight w:val="none"/>
                <w:shd w:val="clear" w:color="auto" w:fill="auto"/>
              </w:rPr>
              <w:t>分</w:t>
            </w:r>
          </w:p>
        </w:tc>
        <w:tc>
          <w:tcPr>
            <w:tcW w:w="7446" w:type="dxa"/>
            <w:gridSpan w:val="4"/>
            <w:tcBorders>
              <w:bottom w:val="single" w:color="000000"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left="100"/>
              <w:jc w:val="both"/>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评标价得分计算公式示例：</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left="95" w:right="301" w:firstLine="9"/>
              <w:jc w:val="both"/>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（1）如果投标人的评标价＞评标基准价，则评标价得分</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lang w:eastAsia="zh-CN"/>
              </w:rPr>
              <w:t>F</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lang w:eastAsia="zh-CN"/>
              </w:rPr>
              <w:t>偏差率×100×E</w:t>
            </w:r>
            <w:r>
              <w:rPr>
                <w:rFonts w:hint="eastAsia" w:ascii="宋体" w:hAnsi="宋体" w:eastAsia="宋体" w:cs="宋体"/>
                <w:color w:val="auto"/>
                <w:sz w:val="21"/>
                <w:szCs w:val="21"/>
                <w:highlight w:val="none"/>
                <w:shd w:val="clear" w:color="auto" w:fill="auto"/>
                <w:vertAlign w:val="subscript"/>
                <w:lang w:eastAsia="zh-CN"/>
              </w:rPr>
              <w:t>1</w:t>
            </w:r>
            <w:r>
              <w:rPr>
                <w:rFonts w:hint="eastAsia" w:ascii="宋体" w:hAnsi="宋体" w:eastAsia="宋体" w:cs="宋体"/>
                <w:color w:val="auto"/>
                <w:sz w:val="21"/>
                <w:szCs w:val="21"/>
                <w:highlight w:val="none"/>
                <w:shd w:val="clear" w:color="auto" w:fill="auto"/>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left="95" w:right="301" w:firstLine="9"/>
              <w:jc w:val="both"/>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（2）如果投标人的评标价≤评标基准价，则评标价得分</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lang w:eastAsia="zh-CN"/>
              </w:rPr>
              <w:t>F＋偏差率×100×E</w:t>
            </w:r>
            <w:r>
              <w:rPr>
                <w:rFonts w:hint="eastAsia" w:ascii="宋体" w:hAnsi="宋体" w:eastAsia="宋体" w:cs="宋体"/>
                <w:color w:val="auto"/>
                <w:sz w:val="21"/>
                <w:szCs w:val="21"/>
                <w:highlight w:val="none"/>
                <w:shd w:val="clear" w:color="auto" w:fill="auto"/>
                <w:vertAlign w:val="subscript"/>
                <w:lang w:eastAsia="zh-CN"/>
              </w:rPr>
              <w:t>2</w:t>
            </w:r>
            <w:r>
              <w:rPr>
                <w:rFonts w:hint="eastAsia" w:ascii="宋体" w:hAnsi="宋体" w:eastAsia="宋体" w:cs="宋体"/>
                <w:color w:val="auto"/>
                <w:sz w:val="21"/>
                <w:szCs w:val="21"/>
                <w:highlight w:val="none"/>
                <w:shd w:val="clear" w:color="auto" w:fill="auto"/>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left="105" w:right="94" w:firstLine="210" w:firstLineChars="100"/>
              <w:jc w:val="both"/>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其中：F是评标价所占的权重分值，F=</w:t>
            </w: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lang w:eastAsia="zh-CN"/>
              </w:rPr>
              <w:t>0；</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right="94" w:firstLine="420" w:firstLineChars="200"/>
              <w:jc w:val="both"/>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E</w:t>
            </w:r>
            <w:r>
              <w:rPr>
                <w:rFonts w:hint="eastAsia" w:ascii="宋体" w:hAnsi="宋体" w:eastAsia="宋体" w:cs="宋体"/>
                <w:color w:val="auto"/>
                <w:sz w:val="21"/>
                <w:szCs w:val="21"/>
                <w:highlight w:val="none"/>
                <w:shd w:val="clear" w:color="auto" w:fill="auto"/>
                <w:vertAlign w:val="subscript"/>
                <w:lang w:eastAsia="zh-CN"/>
              </w:rPr>
              <w:t>1</w:t>
            </w:r>
            <w:r>
              <w:rPr>
                <w:rFonts w:hint="eastAsia" w:ascii="宋体" w:hAnsi="宋体" w:eastAsia="宋体" w:cs="宋体"/>
                <w:color w:val="auto"/>
                <w:sz w:val="21"/>
                <w:szCs w:val="21"/>
                <w:highlight w:val="none"/>
                <w:shd w:val="clear" w:color="auto" w:fill="auto"/>
                <w:lang w:eastAsia="zh-CN"/>
              </w:rPr>
              <w:t>是评标价每高于评标基准价一个百分点的扣分值，E</w:t>
            </w:r>
            <w:r>
              <w:rPr>
                <w:rFonts w:hint="eastAsia" w:ascii="宋体" w:hAnsi="宋体" w:eastAsia="宋体" w:cs="宋体"/>
                <w:color w:val="auto"/>
                <w:sz w:val="21"/>
                <w:szCs w:val="21"/>
                <w:highlight w:val="none"/>
                <w:shd w:val="clear" w:color="auto" w:fill="auto"/>
                <w:vertAlign w:val="subscript"/>
                <w:lang w:eastAsia="zh-CN"/>
              </w:rPr>
              <w:t>1</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0.2</w:t>
            </w:r>
            <w:r>
              <w:rPr>
                <w:rFonts w:hint="eastAsia" w:ascii="宋体" w:hAnsi="宋体" w:eastAsia="宋体" w:cs="宋体"/>
                <w:color w:val="auto"/>
                <w:sz w:val="21"/>
                <w:szCs w:val="21"/>
                <w:highlight w:val="none"/>
                <w:shd w:val="clear" w:color="auto" w:fill="auto"/>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right="94" w:firstLine="420" w:firstLineChars="200"/>
              <w:jc w:val="both"/>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E</w:t>
            </w:r>
            <w:r>
              <w:rPr>
                <w:rFonts w:hint="eastAsia" w:ascii="宋体" w:hAnsi="宋体" w:eastAsia="宋体" w:cs="宋体"/>
                <w:color w:val="auto"/>
                <w:sz w:val="21"/>
                <w:szCs w:val="21"/>
                <w:highlight w:val="none"/>
                <w:shd w:val="clear" w:color="auto" w:fill="auto"/>
                <w:vertAlign w:val="subscript"/>
                <w:lang w:eastAsia="zh-CN"/>
              </w:rPr>
              <w:t>2</w:t>
            </w:r>
            <w:r>
              <w:rPr>
                <w:rFonts w:hint="eastAsia" w:ascii="宋体" w:hAnsi="宋体" w:eastAsia="宋体" w:cs="宋体"/>
                <w:color w:val="auto"/>
                <w:sz w:val="21"/>
                <w:szCs w:val="21"/>
                <w:highlight w:val="none"/>
                <w:shd w:val="clear" w:color="auto" w:fill="auto"/>
                <w:lang w:eastAsia="zh-CN"/>
              </w:rPr>
              <w:t>是评标价每低于评标基准价一个百分点的扣分值，E</w:t>
            </w:r>
            <w:r>
              <w:rPr>
                <w:rFonts w:hint="eastAsia" w:ascii="宋体" w:hAnsi="宋体" w:eastAsia="宋体" w:cs="宋体"/>
                <w:color w:val="auto"/>
                <w:sz w:val="21"/>
                <w:szCs w:val="21"/>
                <w:highlight w:val="none"/>
                <w:shd w:val="clear" w:color="auto" w:fill="auto"/>
                <w:vertAlign w:val="subscript"/>
                <w:lang w:eastAsia="zh-CN"/>
              </w:rPr>
              <w:t>2</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0.1</w:t>
            </w:r>
            <w:r>
              <w:rPr>
                <w:rFonts w:hint="eastAsia" w:ascii="宋体" w:hAnsi="宋体" w:eastAsia="宋体" w:cs="宋体"/>
                <w:color w:val="auto"/>
                <w:sz w:val="21"/>
                <w:szCs w:val="21"/>
                <w:highlight w:val="none"/>
                <w:shd w:val="clear" w:color="auto" w:fill="auto"/>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right="94" w:firstLine="420" w:firstLineChars="200"/>
              <w:jc w:val="both"/>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最高得分</w:t>
            </w:r>
            <w:r>
              <w:rPr>
                <w:rFonts w:hint="eastAsia" w:ascii="宋体" w:hAnsi="宋体" w:eastAsia="宋体" w:cs="宋体"/>
                <w:color w:val="auto"/>
                <w:sz w:val="21"/>
                <w:szCs w:val="21"/>
                <w:highlight w:val="none"/>
                <w:shd w:val="clear" w:color="auto" w:fill="auto"/>
                <w:lang w:val="en-US" w:eastAsia="zh-CN"/>
              </w:rPr>
              <w:t>10分，</w:t>
            </w:r>
            <w:r>
              <w:rPr>
                <w:rFonts w:hint="eastAsia" w:ascii="宋体" w:hAnsi="宋体" w:eastAsia="宋体" w:cs="宋体"/>
                <w:color w:val="auto"/>
                <w:sz w:val="21"/>
                <w:szCs w:val="21"/>
                <w:highlight w:val="none"/>
                <w:shd w:val="clear" w:color="auto" w:fill="auto"/>
                <w:lang w:eastAsia="zh-CN"/>
              </w:rPr>
              <w:t>最低得分为0分。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15" w:hRule="exact"/>
          <w:jc w:val="center"/>
        </w:trPr>
        <w:tc>
          <w:tcPr>
            <w:tcW w:w="820" w:type="dxa"/>
            <w:vMerge w:val="restart"/>
            <w:tcBorders>
              <w:right w:val="single" w:color="000000" w:sz="6" w:space="0"/>
            </w:tcBorders>
            <w:noWrap w:val="0"/>
            <w:vAlign w:val="center"/>
          </w:tcPr>
          <w:p>
            <w:pPr>
              <w:shd w:val="clear" w:color="auto" w:fill="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2.2.4</w:t>
            </w:r>
          </w:p>
          <w:p>
            <w:pPr>
              <w:shd w:val="clear" w:color="auto" w:fill="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w:t>
            </w:r>
          </w:p>
        </w:tc>
        <w:tc>
          <w:tcPr>
            <w:tcW w:w="1012" w:type="dxa"/>
            <w:vMerge w:val="restart"/>
            <w:tcBorders>
              <w:top w:val="single" w:color="000000" w:sz="6" w:space="0"/>
              <w:left w:val="single" w:color="000000" w:sz="6" w:space="0"/>
              <w:right w:val="single" w:color="000000" w:sz="6" w:space="0"/>
            </w:tcBorders>
            <w:noWrap w:val="0"/>
            <w:vAlign w:val="center"/>
          </w:tcPr>
          <w:p>
            <w:pPr>
              <w:shd w:val="clear" w:color="auto" w:fill="auto"/>
              <w:spacing w:before="100" w:line="276" w:lineRule="auto"/>
              <w:ind w:left="105" w:right="-15"/>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其他因素</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hd w:val="clear" w:color="auto" w:fill="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业绩</w:t>
            </w:r>
          </w:p>
        </w:tc>
        <w:tc>
          <w:tcPr>
            <w:tcW w:w="857" w:type="dxa"/>
            <w:tcBorders>
              <w:left w:val="single" w:color="000000" w:sz="6" w:space="0"/>
            </w:tcBorders>
            <w:noWrap w:val="0"/>
            <w:vAlign w:val="center"/>
          </w:tcPr>
          <w:p>
            <w:pPr>
              <w:shd w:val="clear" w:color="auto" w:fill="auto"/>
              <w:ind w:right="88"/>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u w:val="none"/>
                <w:shd w:val="clear" w:color="auto" w:fill="auto"/>
                <w:lang w:val="en-US" w:eastAsia="zh-CN"/>
              </w:rPr>
              <w:t>30</w:t>
            </w:r>
            <w:r>
              <w:rPr>
                <w:rFonts w:hint="eastAsia" w:ascii="宋体" w:hAnsi="宋体" w:eastAsia="宋体" w:cs="宋体"/>
                <w:color w:val="auto"/>
                <w:sz w:val="21"/>
                <w:szCs w:val="21"/>
                <w:highlight w:val="none"/>
                <w:shd w:val="clear" w:color="auto" w:fill="auto"/>
              </w:rPr>
              <w:t>分</w:t>
            </w:r>
          </w:p>
        </w:tc>
        <w:tc>
          <w:tcPr>
            <w:tcW w:w="6589" w:type="dxa"/>
            <w:gridSpan w:val="3"/>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84" w:lineRule="auto"/>
              <w:ind w:firstLine="211" w:firstLineChars="100"/>
              <w:jc w:val="left"/>
              <w:textAlignment w:val="auto"/>
              <w:outlineLvl w:val="9"/>
              <w:rPr>
                <w:rFonts w:hint="eastAsia" w:ascii="宋体" w:hAnsi="宋体" w:eastAsia="宋体" w:cs="宋体"/>
                <w:b/>
                <w:bCs/>
                <w:color w:val="auto"/>
                <w:sz w:val="21"/>
                <w:szCs w:val="21"/>
                <w:highlight w:val="none"/>
                <w:lang w:val="en-US" w:eastAsia="zh-CN" w:bidi="ar-SA"/>
              </w:rPr>
            </w:pPr>
            <w:r>
              <w:rPr>
                <w:rFonts w:hint="eastAsia" w:ascii="宋体" w:hAnsi="宋体" w:cs="宋体"/>
                <w:b/>
                <w:bCs/>
                <w:color w:val="auto"/>
                <w:sz w:val="21"/>
                <w:szCs w:val="21"/>
                <w:highlight w:val="none"/>
                <w:lang w:val="en-US" w:eastAsia="zh-CN" w:bidi="ar-SA"/>
              </w:rPr>
              <w:t>1、HL</w:t>
            </w:r>
            <w:r>
              <w:rPr>
                <w:rFonts w:hint="eastAsia" w:ascii="宋体" w:hAnsi="宋体" w:eastAsia="宋体" w:cs="宋体"/>
                <w:b/>
                <w:bCs/>
                <w:color w:val="auto"/>
                <w:sz w:val="21"/>
                <w:szCs w:val="21"/>
                <w:highlight w:val="none"/>
                <w:lang w:val="en-US" w:eastAsia="zh-CN" w:bidi="ar-SA"/>
              </w:rPr>
              <w:t>JC0</w:t>
            </w:r>
            <w:r>
              <w:rPr>
                <w:rFonts w:hint="eastAsia" w:ascii="宋体" w:hAnsi="宋体" w:cs="宋体"/>
                <w:b/>
                <w:bCs/>
                <w:color w:val="auto"/>
                <w:sz w:val="21"/>
                <w:szCs w:val="21"/>
                <w:highlight w:val="none"/>
                <w:lang w:val="en-US" w:eastAsia="zh-CN" w:bidi="ar-SA"/>
              </w:rPr>
              <w:t>1</w:t>
            </w:r>
            <w:r>
              <w:rPr>
                <w:rFonts w:hint="eastAsia" w:ascii="宋体" w:hAnsi="宋体" w:eastAsia="宋体" w:cs="宋体"/>
                <w:b/>
                <w:bCs/>
                <w:color w:val="auto"/>
                <w:sz w:val="21"/>
                <w:szCs w:val="21"/>
                <w:highlight w:val="none"/>
                <w:lang w:val="en-US" w:eastAsia="zh-CN" w:bidi="ar-SA"/>
              </w:rPr>
              <w:t>标、</w:t>
            </w:r>
            <w:r>
              <w:rPr>
                <w:rFonts w:hint="eastAsia" w:ascii="宋体" w:hAnsi="宋体" w:cs="宋体"/>
                <w:b/>
                <w:bCs/>
                <w:color w:val="auto"/>
                <w:sz w:val="21"/>
                <w:szCs w:val="21"/>
                <w:highlight w:val="none"/>
                <w:lang w:val="en-US" w:eastAsia="zh-CN" w:bidi="ar-SA"/>
              </w:rPr>
              <w:t>HL</w:t>
            </w:r>
            <w:r>
              <w:rPr>
                <w:rFonts w:hint="eastAsia" w:ascii="宋体" w:hAnsi="宋体" w:eastAsia="宋体" w:cs="宋体"/>
                <w:b/>
                <w:bCs/>
                <w:color w:val="auto"/>
                <w:sz w:val="21"/>
                <w:szCs w:val="21"/>
                <w:highlight w:val="none"/>
                <w:lang w:val="en-US" w:eastAsia="zh-CN" w:bidi="ar-SA"/>
              </w:rPr>
              <w:t>JC0</w:t>
            </w:r>
            <w:r>
              <w:rPr>
                <w:rFonts w:hint="eastAsia" w:ascii="宋体" w:hAnsi="宋体" w:cs="宋体"/>
                <w:b/>
                <w:bCs/>
                <w:color w:val="auto"/>
                <w:sz w:val="21"/>
                <w:szCs w:val="21"/>
                <w:highlight w:val="none"/>
                <w:lang w:val="en-US" w:eastAsia="zh-CN" w:bidi="ar-SA"/>
              </w:rPr>
              <w:t>2标、HL</w:t>
            </w:r>
            <w:r>
              <w:rPr>
                <w:rFonts w:hint="eastAsia" w:ascii="宋体" w:hAnsi="宋体" w:eastAsia="宋体" w:cs="宋体"/>
                <w:b/>
                <w:bCs/>
                <w:color w:val="auto"/>
                <w:sz w:val="21"/>
                <w:szCs w:val="21"/>
                <w:highlight w:val="none"/>
                <w:lang w:val="en-US" w:eastAsia="zh-CN" w:bidi="ar-SA"/>
              </w:rPr>
              <w:t>JC0</w:t>
            </w:r>
            <w:r>
              <w:rPr>
                <w:rFonts w:hint="eastAsia" w:ascii="宋体" w:hAnsi="宋体" w:cs="宋体"/>
                <w:b/>
                <w:bCs/>
                <w:color w:val="auto"/>
                <w:sz w:val="21"/>
                <w:szCs w:val="21"/>
                <w:highlight w:val="none"/>
                <w:lang w:val="en-US" w:eastAsia="zh-CN" w:bidi="ar-SA"/>
              </w:rPr>
              <w:t>3</w:t>
            </w:r>
            <w:r>
              <w:rPr>
                <w:rFonts w:hint="eastAsia" w:ascii="宋体" w:hAnsi="宋体" w:eastAsia="宋体" w:cs="宋体"/>
                <w:b/>
                <w:bCs/>
                <w:color w:val="auto"/>
                <w:sz w:val="21"/>
                <w:szCs w:val="21"/>
                <w:highlight w:val="none"/>
                <w:lang w:val="en-US" w:eastAsia="zh-CN" w:bidi="ar-SA"/>
              </w:rPr>
              <w:t>标</w:t>
            </w:r>
            <w:r>
              <w:rPr>
                <w:rFonts w:hint="eastAsia" w:ascii="宋体" w:hAnsi="宋体" w:cs="宋体"/>
                <w:b/>
                <w:bCs/>
                <w:color w:val="auto"/>
                <w:sz w:val="21"/>
                <w:szCs w:val="21"/>
                <w:highlight w:val="none"/>
                <w:lang w:val="en-US" w:eastAsia="zh-CN" w:bidi="ar-SA"/>
              </w:rPr>
              <w:t>业绩要求：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84" w:lineRule="auto"/>
              <w:ind w:firstLine="211" w:firstLineChars="100"/>
              <w:jc w:val="left"/>
              <w:textAlignment w:val="auto"/>
              <w:outlineLvl w:val="9"/>
              <w:rPr>
                <w:rFonts w:hint="eastAsia" w:ascii="宋体" w:hAnsi="宋体" w:eastAsia="宋体" w:cs="宋体"/>
                <w:b/>
                <w:bCs/>
                <w:color w:val="auto"/>
                <w:sz w:val="21"/>
                <w:szCs w:val="21"/>
                <w:highlight w:val="none"/>
                <w:lang w:val="en-US" w:eastAsia="zh-CN" w:bidi="ar-SA"/>
              </w:rPr>
            </w:pPr>
            <w:r>
              <w:rPr>
                <w:rFonts w:hint="eastAsia" w:ascii="宋体" w:hAnsi="宋体" w:cs="宋体"/>
                <w:b/>
                <w:bCs/>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近5年（2015年1月1日至今，以合同项目完成时间为准）</w:t>
            </w:r>
            <w:r>
              <w:rPr>
                <w:rFonts w:hint="eastAsia" w:ascii="宋体" w:hAnsi="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完成1条主线里程</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en-US" w:eastAsia="zh-CN" w:bidi="ar-SA"/>
              </w:rPr>
              <w:t>0km及以上高速公路且合同金额</w:t>
            </w:r>
            <w:r>
              <w:rPr>
                <w:rFonts w:hint="eastAsia" w:ascii="宋体" w:hAnsi="宋体" w:cs="宋体"/>
                <w:color w:val="auto"/>
                <w:sz w:val="21"/>
                <w:szCs w:val="21"/>
                <w:highlight w:val="none"/>
                <w:lang w:val="en-US" w:eastAsia="zh-CN" w:bidi="ar-SA"/>
              </w:rPr>
              <w:t>800</w:t>
            </w:r>
            <w:r>
              <w:rPr>
                <w:rFonts w:hint="eastAsia" w:ascii="宋体" w:hAnsi="宋体" w:eastAsia="宋体" w:cs="宋体"/>
                <w:color w:val="auto"/>
                <w:sz w:val="21"/>
                <w:szCs w:val="21"/>
                <w:highlight w:val="none"/>
                <w:lang w:val="en-US" w:eastAsia="zh-CN" w:bidi="ar-SA"/>
              </w:rPr>
              <w:t>万元及以上的试验检测项目</w:t>
            </w:r>
            <w:r>
              <w:rPr>
                <w:rFonts w:hint="eastAsia" w:ascii="宋体" w:hAnsi="宋体" w:cs="宋体"/>
                <w:color w:val="auto"/>
                <w:sz w:val="21"/>
                <w:szCs w:val="21"/>
                <w:highlight w:val="none"/>
                <w:lang w:val="en-US" w:eastAsia="zh-CN" w:bidi="ar-SA"/>
              </w:rPr>
              <w:t>(主要包括交工或竣工验收及桥梁荷载试验检测)；或</w:t>
            </w:r>
            <w:r>
              <w:rPr>
                <w:rFonts w:hint="eastAsia" w:ascii="宋体" w:hAnsi="宋体" w:eastAsia="宋体" w:cs="宋体"/>
                <w:color w:val="auto"/>
                <w:sz w:val="21"/>
                <w:szCs w:val="21"/>
                <w:highlight w:val="none"/>
                <w:lang w:val="en-US" w:eastAsia="zh-CN" w:bidi="ar-SA"/>
              </w:rPr>
              <w:t>完成1条主线里程</w:t>
            </w:r>
            <w:r>
              <w:rPr>
                <w:rFonts w:hint="eastAsia" w:ascii="宋体" w:hAnsi="宋体" w:cs="宋体"/>
                <w:color w:val="auto"/>
                <w:sz w:val="21"/>
                <w:szCs w:val="21"/>
                <w:highlight w:val="none"/>
                <w:lang w:val="en-US" w:eastAsia="zh-CN" w:bidi="ar-SA"/>
              </w:rPr>
              <w:t>20km</w:t>
            </w:r>
            <w:r>
              <w:rPr>
                <w:rFonts w:hint="eastAsia" w:ascii="宋体" w:hAnsi="宋体" w:eastAsia="宋体" w:cs="宋体"/>
                <w:color w:val="auto"/>
                <w:sz w:val="21"/>
                <w:szCs w:val="21"/>
                <w:highlight w:val="none"/>
                <w:lang w:val="en-US" w:eastAsia="zh-CN" w:bidi="ar-SA"/>
              </w:rPr>
              <w:t>及以上高速公路且合同金额</w:t>
            </w: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00万元及以上的交工</w:t>
            </w:r>
            <w:r>
              <w:rPr>
                <w:rFonts w:hint="eastAsia" w:ascii="宋体" w:hAnsi="宋体" w:cs="宋体"/>
                <w:color w:val="auto"/>
                <w:sz w:val="21"/>
                <w:szCs w:val="21"/>
                <w:highlight w:val="none"/>
                <w:lang w:val="en-US" w:eastAsia="zh-CN" w:bidi="ar-SA"/>
              </w:rPr>
              <w:t>或</w:t>
            </w:r>
            <w:r>
              <w:rPr>
                <w:rFonts w:hint="eastAsia" w:ascii="宋体" w:hAnsi="宋体" w:eastAsia="宋体" w:cs="宋体"/>
                <w:color w:val="auto"/>
                <w:sz w:val="21"/>
                <w:szCs w:val="21"/>
                <w:highlight w:val="none"/>
                <w:lang w:val="en-US" w:eastAsia="zh-CN" w:bidi="ar-SA"/>
              </w:rPr>
              <w:t>竣工验收试验检测项目</w:t>
            </w:r>
            <w:r>
              <w:rPr>
                <w:rFonts w:hint="eastAsia" w:ascii="宋体" w:hAnsi="宋体" w:cs="宋体"/>
                <w:color w:val="auto"/>
                <w:sz w:val="21"/>
                <w:szCs w:val="21"/>
                <w:highlight w:val="none"/>
                <w:lang w:val="en-US" w:eastAsia="zh-CN" w:bidi="ar-SA"/>
              </w:rPr>
              <w:t>，同时完成一个</w:t>
            </w:r>
            <w:r>
              <w:rPr>
                <w:rFonts w:hint="eastAsia" w:ascii="宋体" w:hAnsi="宋体" w:eastAsia="宋体" w:cs="宋体"/>
                <w:color w:val="auto"/>
                <w:sz w:val="21"/>
                <w:szCs w:val="21"/>
                <w:highlight w:val="none"/>
                <w:lang w:val="en-US" w:eastAsia="zh-CN" w:bidi="ar-SA"/>
              </w:rPr>
              <w:t>合同金额</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00万元</w:t>
            </w:r>
            <w:r>
              <w:rPr>
                <w:rFonts w:hint="eastAsia" w:ascii="宋体" w:hAnsi="宋体" w:cs="宋体"/>
                <w:color w:val="auto"/>
                <w:sz w:val="21"/>
                <w:szCs w:val="21"/>
                <w:highlight w:val="none"/>
                <w:lang w:val="en-US" w:eastAsia="zh-CN" w:bidi="ar-SA"/>
              </w:rPr>
              <w:t>及以上高速公路</w:t>
            </w:r>
            <w:r>
              <w:rPr>
                <w:rFonts w:hint="eastAsia" w:ascii="宋体" w:hAnsi="宋体" w:eastAsia="宋体" w:cs="宋体"/>
                <w:color w:val="auto"/>
                <w:sz w:val="21"/>
                <w:szCs w:val="21"/>
                <w:highlight w:val="none"/>
                <w:lang w:val="en-US" w:eastAsia="zh-CN" w:bidi="ar-SA"/>
              </w:rPr>
              <w:t>桥梁荷载试验检测项目业绩的得</w:t>
            </w:r>
            <w:r>
              <w:rPr>
                <w:rFonts w:hint="eastAsia" w:ascii="宋体" w:hAnsi="宋体" w:cs="宋体"/>
                <w:color w:val="auto"/>
                <w:sz w:val="21"/>
                <w:szCs w:val="21"/>
                <w:highlight w:val="none"/>
                <w:lang w:val="en-US" w:eastAsia="zh-CN" w:bidi="ar-SA"/>
              </w:rPr>
              <w:t>18</w:t>
            </w:r>
            <w:r>
              <w:rPr>
                <w:rFonts w:hint="eastAsia" w:ascii="宋体" w:hAnsi="宋体" w:eastAsia="宋体" w:cs="宋体"/>
                <w:color w:val="auto"/>
                <w:sz w:val="21"/>
                <w:szCs w:val="21"/>
                <w:highlight w:val="none"/>
                <w:lang w:val="en-US" w:eastAsia="zh-CN" w:bidi="ar-SA"/>
              </w:rPr>
              <w:t>分</w:t>
            </w:r>
            <w:r>
              <w:rPr>
                <w:rFonts w:hint="eastAsia" w:ascii="宋体" w:hAnsi="宋体" w:cs="宋体"/>
                <w:color w:val="auto"/>
                <w:sz w:val="21"/>
                <w:szCs w:val="21"/>
                <w:highlight w:val="none"/>
                <w:lang w:val="en-US" w:eastAsia="zh-CN" w:bidi="ar-SA"/>
              </w:rPr>
              <w:t>（</w:t>
            </w:r>
            <w:r>
              <w:rPr>
                <w:rFonts w:hint="eastAsia" w:ascii="宋体" w:hAnsi="宋体" w:eastAsia="宋体" w:cs="宋体"/>
                <w:b/>
                <w:bCs/>
                <w:color w:val="auto"/>
                <w:sz w:val="21"/>
                <w:szCs w:val="21"/>
                <w:highlight w:val="none"/>
                <w:lang w:val="en-US" w:eastAsia="zh-CN" w:bidi="ar-SA"/>
              </w:rPr>
              <w:t>适用于</w:t>
            </w:r>
            <w:r>
              <w:rPr>
                <w:rFonts w:hint="eastAsia" w:ascii="宋体" w:hAnsi="宋体" w:cs="宋体"/>
                <w:b/>
                <w:bCs/>
                <w:color w:val="auto"/>
                <w:sz w:val="21"/>
                <w:szCs w:val="21"/>
                <w:highlight w:val="none"/>
                <w:lang w:val="en-US" w:eastAsia="zh-CN" w:bidi="ar-SA"/>
              </w:rPr>
              <w:t>HL</w:t>
            </w:r>
            <w:r>
              <w:rPr>
                <w:rFonts w:hint="eastAsia" w:ascii="宋体" w:hAnsi="宋体" w:eastAsia="宋体" w:cs="宋体"/>
                <w:b/>
                <w:bCs/>
                <w:color w:val="auto"/>
                <w:sz w:val="21"/>
                <w:szCs w:val="21"/>
                <w:highlight w:val="none"/>
                <w:lang w:val="en-US" w:eastAsia="zh-CN" w:bidi="ar-SA"/>
              </w:rPr>
              <w:t>JC0</w:t>
            </w:r>
            <w:r>
              <w:rPr>
                <w:rFonts w:hint="eastAsia" w:ascii="宋体" w:hAnsi="宋体" w:cs="宋体"/>
                <w:b/>
                <w:bCs/>
                <w:color w:val="auto"/>
                <w:sz w:val="21"/>
                <w:szCs w:val="21"/>
                <w:highlight w:val="none"/>
                <w:lang w:val="en-US" w:eastAsia="zh-CN" w:bidi="ar-SA"/>
              </w:rPr>
              <w:t>1</w:t>
            </w:r>
            <w:r>
              <w:rPr>
                <w:rFonts w:hint="eastAsia" w:ascii="宋体" w:hAnsi="宋体" w:eastAsia="宋体" w:cs="宋体"/>
                <w:b/>
                <w:bCs/>
                <w:color w:val="auto"/>
                <w:sz w:val="21"/>
                <w:szCs w:val="21"/>
                <w:highlight w:val="none"/>
                <w:lang w:val="en-US" w:eastAsia="zh-CN" w:bidi="ar-SA"/>
              </w:rPr>
              <w:t>标、</w:t>
            </w:r>
            <w:r>
              <w:rPr>
                <w:rFonts w:hint="eastAsia" w:ascii="宋体" w:hAnsi="宋体" w:cs="宋体"/>
                <w:b/>
                <w:bCs/>
                <w:color w:val="auto"/>
                <w:sz w:val="21"/>
                <w:szCs w:val="21"/>
                <w:highlight w:val="none"/>
                <w:lang w:val="en-US" w:eastAsia="zh-CN" w:bidi="ar-SA"/>
              </w:rPr>
              <w:t>HL</w:t>
            </w:r>
            <w:r>
              <w:rPr>
                <w:rFonts w:hint="eastAsia" w:ascii="宋体" w:hAnsi="宋体" w:eastAsia="宋体" w:cs="宋体"/>
                <w:b/>
                <w:bCs/>
                <w:color w:val="auto"/>
                <w:sz w:val="21"/>
                <w:szCs w:val="21"/>
                <w:highlight w:val="none"/>
                <w:lang w:val="en-US" w:eastAsia="zh-CN" w:bidi="ar-SA"/>
              </w:rPr>
              <w:t>JC0</w:t>
            </w:r>
            <w:r>
              <w:rPr>
                <w:rFonts w:hint="eastAsia" w:ascii="宋体" w:hAnsi="宋体" w:cs="宋体"/>
                <w:b/>
                <w:bCs/>
                <w:color w:val="auto"/>
                <w:sz w:val="21"/>
                <w:szCs w:val="21"/>
                <w:highlight w:val="none"/>
                <w:lang w:val="en-US" w:eastAsia="zh-CN" w:bidi="ar-SA"/>
              </w:rPr>
              <w:t>2标、HL</w:t>
            </w:r>
            <w:r>
              <w:rPr>
                <w:rFonts w:hint="eastAsia" w:ascii="宋体" w:hAnsi="宋体" w:eastAsia="宋体" w:cs="宋体"/>
                <w:b/>
                <w:bCs/>
                <w:color w:val="auto"/>
                <w:sz w:val="21"/>
                <w:szCs w:val="21"/>
                <w:highlight w:val="none"/>
                <w:lang w:val="en-US" w:eastAsia="zh-CN" w:bidi="ar-SA"/>
              </w:rPr>
              <w:t>JC0</w:t>
            </w:r>
            <w:r>
              <w:rPr>
                <w:rFonts w:hint="eastAsia" w:ascii="宋体" w:hAnsi="宋体" w:cs="宋体"/>
                <w:b/>
                <w:bCs/>
                <w:color w:val="auto"/>
                <w:sz w:val="21"/>
                <w:szCs w:val="21"/>
                <w:highlight w:val="none"/>
                <w:lang w:val="en-US" w:eastAsia="zh-CN" w:bidi="ar-SA"/>
              </w:rPr>
              <w:t>3</w:t>
            </w:r>
            <w:r>
              <w:rPr>
                <w:rFonts w:hint="eastAsia" w:ascii="宋体" w:hAnsi="宋体" w:eastAsia="宋体" w:cs="宋体"/>
                <w:b/>
                <w:bCs/>
                <w:color w:val="auto"/>
                <w:sz w:val="21"/>
                <w:szCs w:val="21"/>
                <w:highlight w:val="none"/>
                <w:lang w:val="en-US" w:eastAsia="zh-CN" w:bidi="ar-SA"/>
              </w:rPr>
              <w:t>标</w:t>
            </w:r>
            <w:r>
              <w:rPr>
                <w:rFonts w:hint="eastAsia" w:ascii="宋体" w:hAnsi="宋体" w:cs="宋体"/>
                <w:b/>
                <w:bCs/>
                <w:color w:val="auto"/>
                <w:sz w:val="21"/>
                <w:szCs w:val="21"/>
                <w:highlight w:val="none"/>
                <w:lang w:val="en-US" w:eastAsia="zh-CN" w:bidi="ar-SA"/>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84" w:lineRule="auto"/>
              <w:ind w:firstLine="211" w:firstLineChars="100"/>
              <w:jc w:val="left"/>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cs="宋体"/>
                <w:b/>
                <w:bCs/>
                <w:color w:val="auto"/>
                <w:sz w:val="21"/>
                <w:szCs w:val="21"/>
                <w:highlight w:val="none"/>
                <w:lang w:val="en-US" w:eastAsia="zh-CN" w:bidi="ar-SA"/>
              </w:rPr>
              <w:t>（2）</w:t>
            </w:r>
            <w:r>
              <w:rPr>
                <w:rFonts w:hint="eastAsia" w:ascii="宋体" w:hAnsi="宋体" w:eastAsia="宋体" w:cs="宋体"/>
                <w:color w:val="auto"/>
                <w:sz w:val="21"/>
                <w:szCs w:val="21"/>
                <w:highlight w:val="none"/>
                <w:lang w:val="en-US" w:eastAsia="zh-CN" w:bidi="ar-SA"/>
              </w:rPr>
              <w:t>每增加</w:t>
            </w:r>
            <w:r>
              <w:rPr>
                <w:rFonts w:hint="eastAsia" w:ascii="宋体" w:hAnsi="宋体" w:cs="宋体"/>
                <w:color w:val="auto"/>
                <w:sz w:val="21"/>
                <w:szCs w:val="21"/>
                <w:highlight w:val="none"/>
                <w:lang w:val="en-US" w:eastAsia="zh-CN" w:bidi="ar-SA"/>
              </w:rPr>
              <w:t>一个</w:t>
            </w:r>
            <w:r>
              <w:rPr>
                <w:rFonts w:hint="eastAsia" w:ascii="宋体" w:hAnsi="宋体" w:eastAsia="宋体" w:cs="宋体"/>
                <w:color w:val="auto"/>
                <w:sz w:val="21"/>
                <w:szCs w:val="21"/>
                <w:highlight w:val="none"/>
                <w:lang w:val="en-US" w:eastAsia="zh-CN" w:bidi="ar-SA"/>
              </w:rPr>
              <w:t>合同金额</w:t>
            </w: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00万元及以上高速公路交工验收业绩加</w:t>
            </w: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w:t>
            </w:r>
            <w:r>
              <w:rPr>
                <w:rFonts w:hint="eastAsia" w:ascii="宋体" w:hAnsi="宋体" w:cs="宋体"/>
                <w:color w:val="auto"/>
                <w:sz w:val="21"/>
                <w:szCs w:val="21"/>
                <w:highlight w:val="none"/>
                <w:lang w:val="en-US" w:eastAsia="zh-CN" w:bidi="ar-SA"/>
              </w:rPr>
              <w:t>，最多加3分；</w:t>
            </w:r>
            <w:r>
              <w:rPr>
                <w:rFonts w:hint="eastAsia" w:ascii="宋体" w:hAnsi="宋体" w:eastAsia="宋体" w:cs="宋体"/>
                <w:color w:val="auto"/>
                <w:sz w:val="21"/>
                <w:szCs w:val="21"/>
                <w:highlight w:val="none"/>
                <w:lang w:val="en-US" w:eastAsia="zh-CN" w:bidi="ar-SA"/>
              </w:rPr>
              <w:t>每增加</w:t>
            </w:r>
            <w:r>
              <w:rPr>
                <w:rFonts w:hint="eastAsia" w:ascii="宋体" w:hAnsi="宋体" w:cs="宋体"/>
                <w:color w:val="auto"/>
                <w:sz w:val="21"/>
                <w:szCs w:val="21"/>
                <w:highlight w:val="none"/>
                <w:lang w:val="en-US" w:eastAsia="zh-CN" w:bidi="ar-SA"/>
              </w:rPr>
              <w:t>一个</w:t>
            </w:r>
            <w:r>
              <w:rPr>
                <w:rFonts w:hint="eastAsia" w:ascii="宋体" w:hAnsi="宋体" w:eastAsia="宋体" w:cs="宋体"/>
                <w:color w:val="auto"/>
                <w:sz w:val="21"/>
                <w:szCs w:val="21"/>
                <w:highlight w:val="none"/>
                <w:lang w:val="en-US" w:eastAsia="zh-CN" w:bidi="ar-SA"/>
              </w:rPr>
              <w:t>合同金额</w:t>
            </w:r>
            <w:r>
              <w:rPr>
                <w:rFonts w:hint="eastAsia" w:ascii="宋体" w:hAnsi="宋体" w:cs="宋体"/>
                <w:color w:val="auto"/>
                <w:sz w:val="21"/>
                <w:szCs w:val="21"/>
                <w:highlight w:val="none"/>
                <w:lang w:val="en-US" w:eastAsia="zh-CN" w:bidi="ar-SA"/>
              </w:rPr>
              <w:t>800</w:t>
            </w:r>
            <w:r>
              <w:rPr>
                <w:rFonts w:hint="eastAsia" w:ascii="宋体" w:hAnsi="宋体" w:eastAsia="宋体" w:cs="宋体"/>
                <w:color w:val="auto"/>
                <w:sz w:val="21"/>
                <w:szCs w:val="21"/>
                <w:highlight w:val="none"/>
                <w:lang w:val="en-US" w:eastAsia="zh-CN" w:bidi="ar-SA"/>
              </w:rPr>
              <w:t>万元</w:t>
            </w:r>
            <w:r>
              <w:rPr>
                <w:rFonts w:hint="eastAsia" w:ascii="宋体" w:hAnsi="宋体" w:cs="宋体"/>
                <w:color w:val="auto"/>
                <w:sz w:val="21"/>
                <w:szCs w:val="21"/>
                <w:highlight w:val="none"/>
                <w:lang w:val="en-US" w:eastAsia="zh-CN" w:bidi="ar-SA"/>
              </w:rPr>
              <w:t>及以上高速公路</w:t>
            </w:r>
            <w:r>
              <w:rPr>
                <w:rFonts w:hint="eastAsia" w:ascii="宋体" w:hAnsi="宋体" w:eastAsia="宋体" w:cs="宋体"/>
                <w:color w:val="auto"/>
                <w:sz w:val="21"/>
                <w:szCs w:val="21"/>
                <w:highlight w:val="none"/>
                <w:lang w:val="en-US" w:eastAsia="zh-CN" w:bidi="ar-SA"/>
              </w:rPr>
              <w:t>桥梁荷载试验检测业绩加</w:t>
            </w: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zh-CN" w:bidi="ar-SA"/>
              </w:rPr>
              <w:t>分，最多加</w:t>
            </w:r>
            <w:r>
              <w:rPr>
                <w:rFonts w:hint="eastAsia" w:ascii="宋体" w:hAnsi="宋体" w:cs="宋体"/>
                <w:color w:val="auto"/>
                <w:sz w:val="21"/>
                <w:szCs w:val="21"/>
                <w:highlight w:val="none"/>
                <w:lang w:val="en-US" w:eastAsia="zh-CN" w:bidi="ar-SA"/>
              </w:rPr>
              <w:t>9</w:t>
            </w:r>
            <w:r>
              <w:rPr>
                <w:rFonts w:hint="eastAsia" w:ascii="宋体" w:hAnsi="宋体" w:eastAsia="宋体" w:cs="宋体"/>
                <w:color w:val="auto"/>
                <w:sz w:val="21"/>
                <w:szCs w:val="21"/>
                <w:highlight w:val="none"/>
                <w:lang w:val="en-US" w:eastAsia="zh-CN" w:bidi="ar-SA"/>
              </w:rPr>
              <w:t>分</w:t>
            </w:r>
            <w:r>
              <w:rPr>
                <w:rFonts w:hint="eastAsia" w:ascii="宋体" w:hAnsi="宋体" w:cs="宋体"/>
                <w:color w:val="auto"/>
                <w:sz w:val="21"/>
                <w:szCs w:val="21"/>
                <w:highlight w:val="none"/>
                <w:lang w:val="en-US" w:eastAsia="zh-CN" w:bidi="ar-SA"/>
              </w:rPr>
              <w:t>（</w:t>
            </w:r>
            <w:r>
              <w:rPr>
                <w:rFonts w:hint="eastAsia" w:ascii="宋体" w:hAnsi="宋体" w:eastAsia="宋体" w:cs="宋体"/>
                <w:b/>
                <w:bCs/>
                <w:color w:val="auto"/>
                <w:sz w:val="21"/>
                <w:szCs w:val="21"/>
                <w:highlight w:val="none"/>
                <w:lang w:val="en-US" w:eastAsia="zh-CN" w:bidi="ar-SA"/>
              </w:rPr>
              <w:t>适用于</w:t>
            </w:r>
            <w:r>
              <w:rPr>
                <w:rFonts w:hint="eastAsia" w:ascii="宋体" w:hAnsi="宋体" w:cs="宋体"/>
                <w:b/>
                <w:bCs/>
                <w:color w:val="auto"/>
                <w:sz w:val="21"/>
                <w:szCs w:val="21"/>
                <w:highlight w:val="none"/>
                <w:lang w:val="en-US" w:eastAsia="zh-CN" w:bidi="ar-SA"/>
              </w:rPr>
              <w:t>HL</w:t>
            </w:r>
            <w:r>
              <w:rPr>
                <w:rFonts w:hint="eastAsia" w:ascii="宋体" w:hAnsi="宋体" w:eastAsia="宋体" w:cs="宋体"/>
                <w:b/>
                <w:bCs/>
                <w:color w:val="auto"/>
                <w:sz w:val="21"/>
                <w:szCs w:val="21"/>
                <w:highlight w:val="none"/>
                <w:lang w:val="en-US" w:eastAsia="zh-CN" w:bidi="ar-SA"/>
              </w:rPr>
              <w:t>JC0</w:t>
            </w:r>
            <w:r>
              <w:rPr>
                <w:rFonts w:hint="eastAsia" w:ascii="宋体" w:hAnsi="宋体" w:cs="宋体"/>
                <w:b/>
                <w:bCs/>
                <w:color w:val="auto"/>
                <w:sz w:val="21"/>
                <w:szCs w:val="21"/>
                <w:highlight w:val="none"/>
                <w:lang w:val="en-US" w:eastAsia="zh-CN" w:bidi="ar-SA"/>
              </w:rPr>
              <w:t>1</w:t>
            </w:r>
            <w:r>
              <w:rPr>
                <w:rFonts w:hint="eastAsia" w:ascii="宋体" w:hAnsi="宋体" w:eastAsia="宋体" w:cs="宋体"/>
                <w:b/>
                <w:bCs/>
                <w:color w:val="auto"/>
                <w:sz w:val="21"/>
                <w:szCs w:val="21"/>
                <w:highlight w:val="none"/>
                <w:lang w:val="en-US" w:eastAsia="zh-CN" w:bidi="ar-SA"/>
              </w:rPr>
              <w:t>标</w:t>
            </w:r>
            <w:r>
              <w:rPr>
                <w:rFonts w:hint="eastAsia" w:ascii="宋体" w:hAnsi="宋体" w:cs="宋体"/>
                <w:b/>
                <w:bCs/>
                <w:color w:val="auto"/>
                <w:sz w:val="21"/>
                <w:szCs w:val="21"/>
                <w:highlight w:val="none"/>
                <w:lang w:val="en-US" w:eastAsia="zh-CN" w:bidi="ar-SA"/>
              </w:rPr>
              <w:t>）</w:t>
            </w:r>
            <w:r>
              <w:rPr>
                <w:rFonts w:hint="eastAsia" w:ascii="宋体" w:hAnsi="宋体" w:cs="宋体"/>
                <w:b w:val="0"/>
                <w:bCs w:val="0"/>
                <w:color w:val="auto"/>
                <w:sz w:val="21"/>
                <w:szCs w:val="21"/>
                <w:highlight w:val="none"/>
                <w:lang w:val="en-US" w:eastAsia="zh-CN" w:bidi="ar-SA"/>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84" w:lineRule="auto"/>
              <w:ind w:firstLine="211" w:firstLineChars="100"/>
              <w:jc w:val="left"/>
              <w:textAlignment w:val="auto"/>
              <w:outlineLvl w:val="9"/>
              <w:rPr>
                <w:rFonts w:hint="default" w:ascii="宋体" w:hAnsi="宋体" w:eastAsia="宋体" w:cs="宋体"/>
                <w:b w:val="0"/>
                <w:bCs w:val="0"/>
                <w:color w:val="auto"/>
                <w:sz w:val="21"/>
                <w:szCs w:val="21"/>
                <w:highlight w:val="none"/>
                <w:lang w:val="en-US" w:eastAsia="zh-CN" w:bidi="ar-SA"/>
              </w:rPr>
            </w:pPr>
            <w:r>
              <w:rPr>
                <w:rFonts w:hint="eastAsia" w:ascii="宋体" w:hAnsi="宋体" w:cs="宋体"/>
                <w:b/>
                <w:bCs/>
                <w:color w:val="auto"/>
                <w:sz w:val="21"/>
                <w:szCs w:val="21"/>
                <w:highlight w:val="none"/>
                <w:lang w:val="en-US" w:eastAsia="zh-CN" w:bidi="ar-SA"/>
              </w:rPr>
              <w:t>（2）</w:t>
            </w:r>
            <w:r>
              <w:rPr>
                <w:rFonts w:hint="eastAsia" w:ascii="宋体" w:hAnsi="宋体" w:eastAsia="宋体" w:cs="宋体"/>
                <w:color w:val="auto"/>
                <w:sz w:val="21"/>
                <w:szCs w:val="21"/>
                <w:highlight w:val="none"/>
                <w:lang w:val="en-US" w:eastAsia="zh-CN" w:bidi="ar-SA"/>
              </w:rPr>
              <w:t>每增加</w:t>
            </w:r>
            <w:r>
              <w:rPr>
                <w:rFonts w:hint="eastAsia" w:ascii="宋体" w:hAnsi="宋体" w:cs="宋体"/>
                <w:color w:val="auto"/>
                <w:sz w:val="21"/>
                <w:szCs w:val="21"/>
                <w:highlight w:val="none"/>
                <w:lang w:val="en-US" w:eastAsia="zh-CN" w:bidi="ar-SA"/>
              </w:rPr>
              <w:t>一个</w:t>
            </w:r>
            <w:r>
              <w:rPr>
                <w:rFonts w:hint="eastAsia" w:ascii="宋体" w:hAnsi="宋体" w:eastAsia="宋体" w:cs="宋体"/>
                <w:color w:val="auto"/>
                <w:sz w:val="21"/>
                <w:szCs w:val="21"/>
                <w:highlight w:val="none"/>
                <w:lang w:val="en-US" w:eastAsia="zh-CN" w:bidi="ar-SA"/>
              </w:rPr>
              <w:t>合同金额</w:t>
            </w: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zh-CN" w:bidi="ar-SA"/>
              </w:rPr>
              <w:t>00万元及以上高速公路交工或竣工验收业绩加</w:t>
            </w: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w:t>
            </w:r>
            <w:r>
              <w:rPr>
                <w:rFonts w:hint="eastAsia" w:ascii="宋体" w:hAnsi="宋体" w:cs="宋体"/>
                <w:color w:val="auto"/>
                <w:sz w:val="21"/>
                <w:szCs w:val="21"/>
                <w:highlight w:val="none"/>
                <w:lang w:val="en-US" w:eastAsia="zh-CN" w:bidi="ar-SA"/>
              </w:rPr>
              <w:t>，最多加3分；</w:t>
            </w:r>
            <w:r>
              <w:rPr>
                <w:rFonts w:hint="eastAsia" w:ascii="宋体" w:hAnsi="宋体" w:eastAsia="宋体" w:cs="宋体"/>
                <w:color w:val="auto"/>
                <w:sz w:val="21"/>
                <w:szCs w:val="21"/>
                <w:highlight w:val="none"/>
                <w:lang w:val="en-US" w:eastAsia="zh-CN" w:bidi="ar-SA"/>
              </w:rPr>
              <w:t>每增加</w:t>
            </w:r>
            <w:r>
              <w:rPr>
                <w:rFonts w:hint="eastAsia" w:ascii="宋体" w:hAnsi="宋体" w:cs="宋体"/>
                <w:color w:val="auto"/>
                <w:sz w:val="21"/>
                <w:szCs w:val="21"/>
                <w:highlight w:val="none"/>
                <w:lang w:val="en-US" w:eastAsia="zh-CN" w:bidi="ar-SA"/>
              </w:rPr>
              <w:t>一个</w:t>
            </w:r>
            <w:r>
              <w:rPr>
                <w:rFonts w:hint="eastAsia" w:ascii="宋体" w:hAnsi="宋体" w:eastAsia="宋体" w:cs="宋体"/>
                <w:color w:val="auto"/>
                <w:sz w:val="21"/>
                <w:szCs w:val="21"/>
                <w:highlight w:val="none"/>
                <w:lang w:val="en-US" w:eastAsia="zh-CN" w:bidi="ar-SA"/>
              </w:rPr>
              <w:t>合同金额</w:t>
            </w:r>
            <w:r>
              <w:rPr>
                <w:rFonts w:hint="eastAsia" w:ascii="宋体" w:hAnsi="宋体" w:cs="宋体"/>
                <w:color w:val="auto"/>
                <w:sz w:val="21"/>
                <w:szCs w:val="21"/>
                <w:highlight w:val="none"/>
                <w:lang w:val="en-US" w:eastAsia="zh-CN" w:bidi="ar-SA"/>
              </w:rPr>
              <w:t>500</w:t>
            </w:r>
            <w:r>
              <w:rPr>
                <w:rFonts w:hint="eastAsia" w:ascii="宋体" w:hAnsi="宋体" w:eastAsia="宋体" w:cs="宋体"/>
                <w:color w:val="auto"/>
                <w:sz w:val="21"/>
                <w:szCs w:val="21"/>
                <w:highlight w:val="none"/>
                <w:lang w:val="en-US" w:eastAsia="zh-CN" w:bidi="ar-SA"/>
              </w:rPr>
              <w:t>万元</w:t>
            </w:r>
            <w:r>
              <w:rPr>
                <w:rFonts w:hint="eastAsia" w:ascii="宋体" w:hAnsi="宋体" w:cs="宋体"/>
                <w:color w:val="auto"/>
                <w:sz w:val="21"/>
                <w:szCs w:val="21"/>
                <w:highlight w:val="none"/>
                <w:lang w:val="en-US" w:eastAsia="zh-CN" w:bidi="ar-SA"/>
              </w:rPr>
              <w:t>及以上高速公路</w:t>
            </w:r>
            <w:r>
              <w:rPr>
                <w:rFonts w:hint="eastAsia" w:ascii="宋体" w:hAnsi="宋体" w:eastAsia="宋体" w:cs="宋体"/>
                <w:color w:val="auto"/>
                <w:sz w:val="21"/>
                <w:szCs w:val="21"/>
                <w:highlight w:val="none"/>
                <w:lang w:val="en-US" w:eastAsia="zh-CN" w:bidi="ar-SA"/>
              </w:rPr>
              <w:t>桥梁荷载试验检测业绩加</w:t>
            </w: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zh-CN" w:bidi="ar-SA"/>
              </w:rPr>
              <w:t>分，最多加</w:t>
            </w:r>
            <w:r>
              <w:rPr>
                <w:rFonts w:hint="eastAsia" w:ascii="宋体" w:hAnsi="宋体" w:cs="宋体"/>
                <w:color w:val="auto"/>
                <w:sz w:val="21"/>
                <w:szCs w:val="21"/>
                <w:highlight w:val="none"/>
                <w:lang w:val="en-US" w:eastAsia="zh-CN" w:bidi="ar-SA"/>
              </w:rPr>
              <w:t>9</w:t>
            </w:r>
            <w:r>
              <w:rPr>
                <w:rFonts w:hint="eastAsia" w:ascii="宋体" w:hAnsi="宋体" w:eastAsia="宋体" w:cs="宋体"/>
                <w:color w:val="auto"/>
                <w:sz w:val="21"/>
                <w:szCs w:val="21"/>
                <w:highlight w:val="none"/>
                <w:lang w:val="en-US" w:eastAsia="zh-CN" w:bidi="ar-SA"/>
              </w:rPr>
              <w:t>分</w:t>
            </w:r>
            <w:r>
              <w:rPr>
                <w:rFonts w:hint="eastAsia" w:ascii="宋体" w:hAnsi="宋体" w:cs="宋体"/>
                <w:color w:val="auto"/>
                <w:sz w:val="21"/>
                <w:szCs w:val="21"/>
                <w:highlight w:val="none"/>
                <w:lang w:val="en-US" w:eastAsia="zh-CN" w:bidi="ar-SA"/>
              </w:rPr>
              <w:t>（</w:t>
            </w:r>
            <w:r>
              <w:rPr>
                <w:rFonts w:hint="eastAsia" w:ascii="宋体" w:hAnsi="宋体" w:eastAsia="宋体" w:cs="宋体"/>
                <w:b/>
                <w:bCs/>
                <w:color w:val="auto"/>
                <w:sz w:val="21"/>
                <w:szCs w:val="21"/>
                <w:highlight w:val="none"/>
                <w:lang w:val="en-US" w:eastAsia="zh-CN" w:bidi="ar-SA"/>
              </w:rPr>
              <w:t>适用于</w:t>
            </w:r>
            <w:r>
              <w:rPr>
                <w:rFonts w:hint="eastAsia" w:ascii="宋体" w:hAnsi="宋体" w:cs="宋体"/>
                <w:b/>
                <w:bCs/>
                <w:color w:val="auto"/>
                <w:sz w:val="21"/>
                <w:szCs w:val="21"/>
                <w:highlight w:val="none"/>
                <w:lang w:val="en-US" w:eastAsia="zh-CN" w:bidi="ar-SA"/>
              </w:rPr>
              <w:t>HL</w:t>
            </w:r>
            <w:r>
              <w:rPr>
                <w:rFonts w:hint="eastAsia" w:ascii="宋体" w:hAnsi="宋体" w:eastAsia="宋体" w:cs="宋体"/>
                <w:b/>
                <w:bCs/>
                <w:color w:val="auto"/>
                <w:sz w:val="21"/>
                <w:szCs w:val="21"/>
                <w:highlight w:val="none"/>
                <w:lang w:val="en-US" w:eastAsia="zh-CN" w:bidi="ar-SA"/>
              </w:rPr>
              <w:t>JC0</w:t>
            </w:r>
            <w:r>
              <w:rPr>
                <w:rFonts w:hint="eastAsia" w:ascii="宋体" w:hAnsi="宋体" w:cs="宋体"/>
                <w:b/>
                <w:bCs/>
                <w:color w:val="auto"/>
                <w:sz w:val="21"/>
                <w:szCs w:val="21"/>
                <w:highlight w:val="none"/>
                <w:lang w:val="en-US" w:eastAsia="zh-CN" w:bidi="ar-SA"/>
              </w:rPr>
              <w:t>2</w:t>
            </w:r>
            <w:r>
              <w:rPr>
                <w:rFonts w:hint="eastAsia" w:ascii="宋体" w:hAnsi="宋体" w:eastAsia="宋体" w:cs="宋体"/>
                <w:b/>
                <w:bCs/>
                <w:color w:val="auto"/>
                <w:sz w:val="21"/>
                <w:szCs w:val="21"/>
                <w:highlight w:val="none"/>
                <w:lang w:val="en-US" w:eastAsia="zh-CN" w:bidi="ar-SA"/>
              </w:rPr>
              <w:t>标</w:t>
            </w:r>
            <w:r>
              <w:rPr>
                <w:rFonts w:hint="eastAsia" w:ascii="宋体" w:hAnsi="宋体" w:cs="宋体"/>
                <w:b/>
                <w:bCs/>
                <w:color w:val="auto"/>
                <w:sz w:val="21"/>
                <w:szCs w:val="21"/>
                <w:highlight w:val="none"/>
                <w:lang w:val="en-US" w:eastAsia="zh-CN" w:bidi="ar-SA"/>
              </w:rPr>
              <w:t>）</w:t>
            </w:r>
            <w:r>
              <w:rPr>
                <w:rFonts w:hint="eastAsia" w:ascii="宋体" w:hAnsi="宋体" w:cs="宋体"/>
                <w:b w:val="0"/>
                <w:bCs w:val="0"/>
                <w:color w:val="auto"/>
                <w:sz w:val="21"/>
                <w:szCs w:val="21"/>
                <w:highlight w:val="none"/>
                <w:lang w:val="en-US" w:eastAsia="zh-CN" w:bidi="ar-SA"/>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84" w:lineRule="auto"/>
              <w:ind w:firstLine="211" w:firstLineChars="100"/>
              <w:jc w:val="left"/>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cs="宋体"/>
                <w:b/>
                <w:bCs/>
                <w:color w:val="auto"/>
                <w:sz w:val="21"/>
                <w:szCs w:val="21"/>
                <w:highlight w:val="none"/>
                <w:lang w:val="en-US" w:eastAsia="zh-CN" w:bidi="ar-SA"/>
              </w:rPr>
              <w:t>（2）</w:t>
            </w:r>
            <w:r>
              <w:rPr>
                <w:rFonts w:hint="eastAsia" w:ascii="宋体" w:hAnsi="宋体" w:eastAsia="宋体" w:cs="宋体"/>
                <w:color w:val="auto"/>
                <w:sz w:val="21"/>
                <w:szCs w:val="21"/>
                <w:highlight w:val="none"/>
                <w:lang w:val="en-US" w:eastAsia="zh-CN" w:bidi="ar-SA"/>
              </w:rPr>
              <w:t>每增加</w:t>
            </w:r>
            <w:r>
              <w:rPr>
                <w:rFonts w:hint="eastAsia" w:ascii="宋体" w:hAnsi="宋体" w:cs="宋体"/>
                <w:color w:val="auto"/>
                <w:sz w:val="21"/>
                <w:szCs w:val="21"/>
                <w:highlight w:val="none"/>
                <w:lang w:val="en-US" w:eastAsia="zh-CN" w:bidi="ar-SA"/>
              </w:rPr>
              <w:t>一个</w:t>
            </w:r>
            <w:r>
              <w:rPr>
                <w:rFonts w:hint="eastAsia" w:ascii="宋体" w:hAnsi="宋体" w:eastAsia="宋体" w:cs="宋体"/>
                <w:color w:val="auto"/>
                <w:sz w:val="21"/>
                <w:szCs w:val="21"/>
                <w:highlight w:val="none"/>
                <w:lang w:val="en-US" w:eastAsia="zh-CN" w:bidi="ar-SA"/>
              </w:rPr>
              <w:t>合同金额</w:t>
            </w:r>
            <w:r>
              <w:rPr>
                <w:rFonts w:hint="eastAsia" w:ascii="宋体" w:hAnsi="宋体" w:cs="宋体"/>
                <w:color w:val="auto"/>
                <w:sz w:val="21"/>
                <w:szCs w:val="21"/>
                <w:highlight w:val="none"/>
                <w:lang w:val="en-US" w:eastAsia="zh-CN" w:bidi="ar-SA"/>
              </w:rPr>
              <w:t>100</w:t>
            </w:r>
            <w:r>
              <w:rPr>
                <w:rFonts w:hint="eastAsia" w:ascii="宋体" w:hAnsi="宋体" w:eastAsia="宋体" w:cs="宋体"/>
                <w:color w:val="auto"/>
                <w:sz w:val="21"/>
                <w:szCs w:val="21"/>
                <w:highlight w:val="none"/>
                <w:lang w:val="en-US" w:eastAsia="zh-CN" w:bidi="ar-SA"/>
              </w:rPr>
              <w:t>万元及以上高速公路交工验收业绩加</w:t>
            </w: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w:t>
            </w:r>
            <w:r>
              <w:rPr>
                <w:rFonts w:hint="eastAsia" w:ascii="宋体" w:hAnsi="宋体" w:cs="宋体"/>
                <w:color w:val="auto"/>
                <w:sz w:val="21"/>
                <w:szCs w:val="21"/>
                <w:highlight w:val="none"/>
                <w:lang w:val="en-US" w:eastAsia="zh-CN" w:bidi="ar-SA"/>
              </w:rPr>
              <w:t>，最多加3分；</w:t>
            </w:r>
            <w:r>
              <w:rPr>
                <w:rFonts w:hint="eastAsia" w:ascii="宋体" w:hAnsi="宋体" w:eastAsia="宋体" w:cs="宋体"/>
                <w:color w:val="auto"/>
                <w:sz w:val="21"/>
                <w:szCs w:val="21"/>
                <w:highlight w:val="none"/>
                <w:lang w:val="en-US" w:eastAsia="zh-CN" w:bidi="ar-SA"/>
              </w:rPr>
              <w:t>每增加</w:t>
            </w:r>
            <w:r>
              <w:rPr>
                <w:rFonts w:hint="eastAsia" w:ascii="宋体" w:hAnsi="宋体" w:cs="宋体"/>
                <w:color w:val="auto"/>
                <w:sz w:val="21"/>
                <w:szCs w:val="21"/>
                <w:highlight w:val="none"/>
                <w:lang w:val="en-US" w:eastAsia="zh-CN" w:bidi="ar-SA"/>
              </w:rPr>
              <w:t>一个</w:t>
            </w:r>
            <w:r>
              <w:rPr>
                <w:rFonts w:hint="eastAsia" w:ascii="宋体" w:hAnsi="宋体" w:eastAsia="宋体" w:cs="宋体"/>
                <w:color w:val="auto"/>
                <w:sz w:val="21"/>
                <w:szCs w:val="21"/>
                <w:highlight w:val="none"/>
                <w:lang w:val="en-US" w:eastAsia="zh-CN" w:bidi="ar-SA"/>
              </w:rPr>
              <w:t>合同金额</w:t>
            </w:r>
            <w:r>
              <w:rPr>
                <w:rFonts w:hint="eastAsia" w:ascii="宋体" w:hAnsi="宋体" w:cs="宋体"/>
                <w:color w:val="auto"/>
                <w:sz w:val="21"/>
                <w:szCs w:val="21"/>
                <w:highlight w:val="none"/>
                <w:lang w:val="en-US" w:eastAsia="zh-CN" w:bidi="ar-SA"/>
              </w:rPr>
              <w:t>600</w:t>
            </w:r>
            <w:r>
              <w:rPr>
                <w:rFonts w:hint="eastAsia" w:ascii="宋体" w:hAnsi="宋体" w:eastAsia="宋体" w:cs="宋体"/>
                <w:color w:val="auto"/>
                <w:sz w:val="21"/>
                <w:szCs w:val="21"/>
                <w:highlight w:val="none"/>
                <w:lang w:val="en-US" w:eastAsia="zh-CN" w:bidi="ar-SA"/>
              </w:rPr>
              <w:t>万元</w:t>
            </w:r>
            <w:r>
              <w:rPr>
                <w:rFonts w:hint="eastAsia" w:ascii="宋体" w:hAnsi="宋体" w:cs="宋体"/>
                <w:color w:val="auto"/>
                <w:sz w:val="21"/>
                <w:szCs w:val="21"/>
                <w:highlight w:val="none"/>
                <w:lang w:val="en-US" w:eastAsia="zh-CN" w:bidi="ar-SA"/>
              </w:rPr>
              <w:t>及以上高速公路</w:t>
            </w:r>
            <w:r>
              <w:rPr>
                <w:rFonts w:hint="eastAsia" w:ascii="宋体" w:hAnsi="宋体" w:eastAsia="宋体" w:cs="宋体"/>
                <w:color w:val="auto"/>
                <w:sz w:val="21"/>
                <w:szCs w:val="21"/>
                <w:highlight w:val="none"/>
                <w:lang w:val="en-US" w:eastAsia="zh-CN" w:bidi="ar-SA"/>
              </w:rPr>
              <w:t>桥梁荷载试验检测业绩加</w:t>
            </w: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zh-CN" w:bidi="ar-SA"/>
              </w:rPr>
              <w:t>分，最多加</w:t>
            </w:r>
            <w:r>
              <w:rPr>
                <w:rFonts w:hint="eastAsia" w:ascii="宋体" w:hAnsi="宋体" w:cs="宋体"/>
                <w:color w:val="auto"/>
                <w:sz w:val="21"/>
                <w:szCs w:val="21"/>
                <w:highlight w:val="none"/>
                <w:lang w:val="en-US" w:eastAsia="zh-CN" w:bidi="ar-SA"/>
              </w:rPr>
              <w:t>9</w:t>
            </w:r>
            <w:r>
              <w:rPr>
                <w:rFonts w:hint="eastAsia" w:ascii="宋体" w:hAnsi="宋体" w:eastAsia="宋体" w:cs="宋体"/>
                <w:color w:val="auto"/>
                <w:sz w:val="21"/>
                <w:szCs w:val="21"/>
                <w:highlight w:val="none"/>
                <w:lang w:val="en-US" w:eastAsia="zh-CN" w:bidi="ar-SA"/>
              </w:rPr>
              <w:t>分</w:t>
            </w:r>
            <w:r>
              <w:rPr>
                <w:rFonts w:hint="eastAsia" w:ascii="宋体" w:hAnsi="宋体" w:cs="宋体"/>
                <w:color w:val="auto"/>
                <w:sz w:val="21"/>
                <w:szCs w:val="21"/>
                <w:highlight w:val="none"/>
                <w:lang w:val="en-US" w:eastAsia="zh-CN" w:bidi="ar-SA"/>
              </w:rPr>
              <w:t>（</w:t>
            </w:r>
            <w:r>
              <w:rPr>
                <w:rFonts w:hint="eastAsia" w:ascii="宋体" w:hAnsi="宋体" w:eastAsia="宋体" w:cs="宋体"/>
                <w:b/>
                <w:bCs/>
                <w:color w:val="auto"/>
                <w:sz w:val="21"/>
                <w:szCs w:val="21"/>
                <w:highlight w:val="none"/>
                <w:lang w:val="en-US" w:eastAsia="zh-CN" w:bidi="ar-SA"/>
              </w:rPr>
              <w:t>适用于</w:t>
            </w:r>
            <w:r>
              <w:rPr>
                <w:rFonts w:hint="eastAsia" w:ascii="宋体" w:hAnsi="宋体" w:cs="宋体"/>
                <w:b/>
                <w:bCs/>
                <w:color w:val="auto"/>
                <w:sz w:val="21"/>
                <w:szCs w:val="21"/>
                <w:highlight w:val="none"/>
                <w:lang w:val="en-US" w:eastAsia="zh-CN" w:bidi="ar-SA"/>
              </w:rPr>
              <w:t>HL</w:t>
            </w:r>
            <w:r>
              <w:rPr>
                <w:rFonts w:hint="eastAsia" w:ascii="宋体" w:hAnsi="宋体" w:eastAsia="宋体" w:cs="宋体"/>
                <w:b/>
                <w:bCs/>
                <w:color w:val="auto"/>
                <w:sz w:val="21"/>
                <w:szCs w:val="21"/>
                <w:highlight w:val="none"/>
                <w:lang w:val="en-US" w:eastAsia="zh-CN" w:bidi="ar-SA"/>
              </w:rPr>
              <w:t>JC0</w:t>
            </w:r>
            <w:r>
              <w:rPr>
                <w:rFonts w:hint="eastAsia" w:ascii="宋体" w:hAnsi="宋体" w:cs="宋体"/>
                <w:b/>
                <w:bCs/>
                <w:color w:val="auto"/>
                <w:sz w:val="21"/>
                <w:szCs w:val="21"/>
                <w:highlight w:val="none"/>
                <w:lang w:val="en-US" w:eastAsia="zh-CN" w:bidi="ar-SA"/>
              </w:rPr>
              <w:t>3</w:t>
            </w:r>
            <w:r>
              <w:rPr>
                <w:rFonts w:hint="eastAsia" w:ascii="宋体" w:hAnsi="宋体" w:eastAsia="宋体" w:cs="宋体"/>
                <w:b/>
                <w:bCs/>
                <w:color w:val="auto"/>
                <w:sz w:val="21"/>
                <w:szCs w:val="21"/>
                <w:highlight w:val="none"/>
                <w:lang w:val="en-US" w:eastAsia="zh-CN" w:bidi="ar-SA"/>
              </w:rPr>
              <w:t>标</w:t>
            </w:r>
            <w:r>
              <w:rPr>
                <w:rFonts w:hint="eastAsia" w:ascii="宋体" w:hAnsi="宋体" w:cs="宋体"/>
                <w:b/>
                <w:bCs/>
                <w:color w:val="auto"/>
                <w:sz w:val="21"/>
                <w:szCs w:val="21"/>
                <w:highlight w:val="none"/>
                <w:lang w:val="en-US" w:eastAsia="zh-CN" w:bidi="ar-SA"/>
              </w:rPr>
              <w:t>）</w:t>
            </w:r>
            <w:r>
              <w:rPr>
                <w:rFonts w:hint="eastAsia" w:ascii="宋体" w:hAnsi="宋体" w:cs="宋体"/>
                <w:b w:val="0"/>
                <w:bCs w:val="0"/>
                <w:color w:val="auto"/>
                <w:sz w:val="21"/>
                <w:szCs w:val="21"/>
                <w:highlight w:val="none"/>
                <w:u w:val="none"/>
                <w:lang w:val="en-US" w:eastAsia="zh-CN" w:bidi="ar-SA"/>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84" w:lineRule="auto"/>
              <w:ind w:firstLine="211" w:firstLineChars="100"/>
              <w:jc w:val="left"/>
              <w:textAlignment w:val="auto"/>
              <w:outlineLvl w:val="9"/>
              <w:rPr>
                <w:rFonts w:hint="eastAsia" w:ascii="宋体" w:hAnsi="宋体" w:cs="宋体"/>
                <w:b/>
                <w:bCs/>
                <w:color w:val="auto"/>
                <w:sz w:val="21"/>
                <w:szCs w:val="21"/>
                <w:highlight w:val="none"/>
                <w:lang w:val="en-US" w:eastAsia="zh-CN" w:bidi="ar-SA"/>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84" w:lineRule="auto"/>
              <w:ind w:firstLine="211" w:firstLineChars="100"/>
              <w:jc w:val="left"/>
              <w:textAlignment w:val="auto"/>
              <w:outlineLvl w:val="9"/>
              <w:rPr>
                <w:rFonts w:hint="eastAsia" w:ascii="宋体" w:hAnsi="宋体" w:eastAsia="宋体" w:cs="宋体"/>
                <w:b/>
                <w:bCs/>
                <w:color w:val="auto"/>
                <w:sz w:val="21"/>
                <w:szCs w:val="21"/>
                <w:highlight w:val="none"/>
                <w:lang w:val="en-US" w:eastAsia="zh-CN" w:bidi="ar-SA"/>
              </w:rPr>
            </w:pPr>
            <w:r>
              <w:rPr>
                <w:rFonts w:hint="eastAsia" w:ascii="宋体" w:hAnsi="宋体" w:cs="宋体"/>
                <w:b/>
                <w:bCs/>
                <w:color w:val="auto"/>
                <w:sz w:val="21"/>
                <w:szCs w:val="21"/>
                <w:highlight w:val="none"/>
                <w:lang w:val="en-US" w:eastAsia="zh-CN" w:bidi="ar-SA"/>
              </w:rPr>
              <w:t>2、ZH</w:t>
            </w:r>
            <w:r>
              <w:rPr>
                <w:rFonts w:hint="eastAsia" w:ascii="宋体" w:hAnsi="宋体" w:eastAsia="宋体" w:cs="宋体"/>
                <w:b/>
                <w:bCs/>
                <w:color w:val="auto"/>
                <w:sz w:val="21"/>
                <w:szCs w:val="21"/>
                <w:highlight w:val="none"/>
                <w:lang w:val="en-US" w:eastAsia="zh-CN" w:bidi="ar-SA"/>
              </w:rPr>
              <w:t>JC</w:t>
            </w:r>
            <w:r>
              <w:rPr>
                <w:rFonts w:hint="eastAsia" w:ascii="宋体" w:hAnsi="宋体" w:cs="宋体"/>
                <w:b/>
                <w:bCs/>
                <w:color w:val="auto"/>
                <w:sz w:val="21"/>
                <w:szCs w:val="21"/>
                <w:highlight w:val="none"/>
                <w:lang w:val="en-US" w:eastAsia="zh-CN" w:bidi="ar-SA"/>
              </w:rPr>
              <w:t>01</w:t>
            </w:r>
            <w:r>
              <w:rPr>
                <w:rFonts w:hint="eastAsia" w:ascii="宋体" w:hAnsi="宋体" w:eastAsia="宋体" w:cs="宋体"/>
                <w:b/>
                <w:bCs/>
                <w:color w:val="auto"/>
                <w:sz w:val="21"/>
                <w:szCs w:val="21"/>
                <w:highlight w:val="none"/>
                <w:lang w:val="en-US" w:eastAsia="zh-CN" w:bidi="ar-SA"/>
              </w:rPr>
              <w:t>标</w:t>
            </w:r>
            <w:r>
              <w:rPr>
                <w:rFonts w:hint="eastAsia" w:ascii="宋体" w:hAnsi="宋体" w:cs="宋体"/>
                <w:b/>
                <w:bCs/>
                <w:color w:val="auto"/>
                <w:sz w:val="21"/>
                <w:szCs w:val="21"/>
                <w:highlight w:val="none"/>
                <w:lang w:val="en-US" w:eastAsia="zh-CN" w:bidi="ar-SA"/>
              </w:rPr>
              <w:t>、ZH</w:t>
            </w:r>
            <w:r>
              <w:rPr>
                <w:rFonts w:hint="eastAsia" w:ascii="宋体" w:hAnsi="宋体" w:eastAsia="宋体" w:cs="宋体"/>
                <w:b/>
                <w:bCs/>
                <w:color w:val="auto"/>
                <w:sz w:val="21"/>
                <w:szCs w:val="21"/>
                <w:highlight w:val="none"/>
                <w:lang w:val="en-US" w:eastAsia="zh-CN" w:bidi="ar-SA"/>
              </w:rPr>
              <w:t>JC</w:t>
            </w:r>
            <w:r>
              <w:rPr>
                <w:rFonts w:hint="eastAsia" w:ascii="宋体" w:hAnsi="宋体" w:cs="宋体"/>
                <w:b/>
                <w:bCs/>
                <w:color w:val="auto"/>
                <w:sz w:val="21"/>
                <w:szCs w:val="21"/>
                <w:highlight w:val="none"/>
                <w:lang w:val="en-US" w:eastAsia="zh-CN" w:bidi="ar-SA"/>
              </w:rPr>
              <w:t>02</w:t>
            </w:r>
            <w:r>
              <w:rPr>
                <w:rFonts w:hint="eastAsia" w:ascii="宋体" w:hAnsi="宋体" w:eastAsia="宋体" w:cs="宋体"/>
                <w:b/>
                <w:bCs/>
                <w:color w:val="auto"/>
                <w:sz w:val="21"/>
                <w:szCs w:val="21"/>
                <w:highlight w:val="none"/>
                <w:lang w:val="en-US" w:eastAsia="zh-CN" w:bidi="ar-SA"/>
              </w:rPr>
              <w:t>标</w:t>
            </w:r>
            <w:r>
              <w:rPr>
                <w:rFonts w:hint="eastAsia" w:ascii="宋体" w:hAnsi="宋体" w:cs="宋体"/>
                <w:b/>
                <w:bCs/>
                <w:color w:val="auto"/>
                <w:sz w:val="21"/>
                <w:szCs w:val="21"/>
                <w:highlight w:val="none"/>
                <w:lang w:val="en-US" w:eastAsia="zh-CN" w:bidi="ar-SA"/>
              </w:rPr>
              <w:t>业绩要求：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284" w:lineRule="auto"/>
              <w:ind w:firstLine="420" w:firstLineChars="200"/>
              <w:jc w:val="left"/>
              <w:textAlignment w:val="auto"/>
              <w:outlineLvl w:val="9"/>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近5年（2015年1月1日至今，以合同项目完成时间为准），完成1条主线里程15km及以上高速公路且合同金额</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00万元及以上的试验检测项目(主要包括交工或竣工验收及桥梁荷载试验检测)；或完成1条主线里程15km及以上高速公路且合同金额</w:t>
            </w: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00万元及以上的交工或竣工验收试验检测项目，同时完成一个合同金额400万元及以上高速公路桥梁荷载试验检测项目业绩的得18分。每增加一个合同金额100万元及以上高速公路交工或竣工验收试验检测业绩加</w:t>
            </w: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分，最多加</w:t>
            </w: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zh-CN" w:bidi="ar-SA"/>
              </w:rPr>
              <w:t>分；每增加一个合同金额400万元及以上高速公路桥梁荷载试验检测业绩加</w:t>
            </w: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zh-CN" w:bidi="ar-SA"/>
              </w:rPr>
              <w:t>分，最多加</w:t>
            </w:r>
            <w:r>
              <w:rPr>
                <w:rFonts w:hint="eastAsia" w:ascii="宋体" w:hAnsi="宋体" w:cs="宋体"/>
                <w:color w:val="auto"/>
                <w:sz w:val="21"/>
                <w:szCs w:val="21"/>
                <w:highlight w:val="none"/>
                <w:lang w:val="en-US" w:eastAsia="zh-CN" w:bidi="ar-SA"/>
              </w:rPr>
              <w:t>9</w:t>
            </w:r>
            <w:r>
              <w:rPr>
                <w:rFonts w:hint="eastAsia" w:ascii="宋体" w:hAnsi="宋体" w:eastAsia="宋体" w:cs="宋体"/>
                <w:color w:val="auto"/>
                <w:sz w:val="21"/>
                <w:szCs w:val="21"/>
                <w:highlight w:val="none"/>
                <w:lang w:val="en-US" w:eastAsia="zh-CN" w:bidi="ar-SA"/>
              </w:rPr>
              <w:t>分</w:t>
            </w:r>
            <w:r>
              <w:rPr>
                <w:rFonts w:hint="eastAsia" w:ascii="宋体" w:hAnsi="宋体" w:cs="宋体"/>
                <w:b/>
                <w:bCs/>
                <w:color w:val="auto"/>
                <w:sz w:val="21"/>
                <w:szCs w:val="21"/>
                <w:highlight w:val="none"/>
                <w:lang w:val="en-US" w:eastAsia="zh-CN" w:bidi="ar-SA"/>
              </w:rPr>
              <w:t>（</w:t>
            </w:r>
            <w:r>
              <w:rPr>
                <w:rFonts w:hint="eastAsia" w:ascii="宋体" w:hAnsi="宋体" w:eastAsia="宋体" w:cs="宋体"/>
                <w:b/>
                <w:bCs/>
                <w:color w:val="auto"/>
                <w:sz w:val="21"/>
                <w:szCs w:val="21"/>
                <w:highlight w:val="none"/>
                <w:lang w:val="en-US" w:eastAsia="zh-CN" w:bidi="ar-SA"/>
              </w:rPr>
              <w:t>适用于</w:t>
            </w:r>
            <w:r>
              <w:rPr>
                <w:rFonts w:hint="eastAsia" w:ascii="宋体" w:hAnsi="宋体" w:cs="宋体"/>
                <w:b/>
                <w:bCs/>
                <w:color w:val="auto"/>
                <w:sz w:val="21"/>
                <w:szCs w:val="21"/>
                <w:highlight w:val="none"/>
                <w:lang w:val="en-US" w:eastAsia="zh-CN" w:bidi="ar-SA"/>
              </w:rPr>
              <w:t>ZH</w:t>
            </w:r>
            <w:r>
              <w:rPr>
                <w:rFonts w:hint="eastAsia" w:ascii="宋体" w:hAnsi="宋体" w:eastAsia="宋体" w:cs="宋体"/>
                <w:b/>
                <w:bCs/>
                <w:color w:val="auto"/>
                <w:sz w:val="21"/>
                <w:szCs w:val="21"/>
                <w:highlight w:val="none"/>
                <w:lang w:val="en-US" w:eastAsia="zh-CN" w:bidi="ar-SA"/>
              </w:rPr>
              <w:t>JC</w:t>
            </w:r>
            <w:r>
              <w:rPr>
                <w:rFonts w:hint="eastAsia" w:ascii="宋体" w:hAnsi="宋体" w:cs="宋体"/>
                <w:b/>
                <w:bCs/>
                <w:color w:val="auto"/>
                <w:sz w:val="21"/>
                <w:szCs w:val="21"/>
                <w:highlight w:val="none"/>
                <w:lang w:val="en-US" w:eastAsia="zh-CN" w:bidi="ar-SA"/>
              </w:rPr>
              <w:t>01</w:t>
            </w:r>
            <w:r>
              <w:rPr>
                <w:rFonts w:hint="eastAsia" w:ascii="宋体" w:hAnsi="宋体" w:eastAsia="宋体" w:cs="宋体"/>
                <w:b/>
                <w:bCs/>
                <w:color w:val="auto"/>
                <w:sz w:val="21"/>
                <w:szCs w:val="21"/>
                <w:highlight w:val="none"/>
                <w:lang w:val="en-US" w:eastAsia="zh-CN" w:bidi="ar-SA"/>
              </w:rPr>
              <w:t>标</w:t>
            </w:r>
            <w:r>
              <w:rPr>
                <w:rFonts w:hint="eastAsia" w:ascii="宋体" w:hAnsi="宋体" w:cs="宋体"/>
                <w:b/>
                <w:bCs/>
                <w:color w:val="auto"/>
                <w:sz w:val="21"/>
                <w:szCs w:val="21"/>
                <w:highlight w:val="none"/>
                <w:lang w:val="en-US" w:eastAsia="zh-CN" w:bidi="ar-SA"/>
              </w:rPr>
              <w:t>、ZH</w:t>
            </w:r>
            <w:r>
              <w:rPr>
                <w:rFonts w:hint="eastAsia" w:ascii="宋体" w:hAnsi="宋体" w:eastAsia="宋体" w:cs="宋体"/>
                <w:b/>
                <w:bCs/>
                <w:color w:val="auto"/>
                <w:sz w:val="21"/>
                <w:szCs w:val="21"/>
                <w:highlight w:val="none"/>
                <w:lang w:val="en-US" w:eastAsia="zh-CN" w:bidi="ar-SA"/>
              </w:rPr>
              <w:t>JC</w:t>
            </w:r>
            <w:r>
              <w:rPr>
                <w:rFonts w:hint="eastAsia" w:ascii="宋体" w:hAnsi="宋体" w:cs="宋体"/>
                <w:b/>
                <w:bCs/>
                <w:color w:val="auto"/>
                <w:sz w:val="21"/>
                <w:szCs w:val="21"/>
                <w:highlight w:val="none"/>
                <w:lang w:val="en-US" w:eastAsia="zh-CN" w:bidi="ar-SA"/>
              </w:rPr>
              <w:t>02</w:t>
            </w:r>
            <w:r>
              <w:rPr>
                <w:rFonts w:hint="eastAsia" w:ascii="宋体" w:hAnsi="宋体" w:eastAsia="宋体" w:cs="宋体"/>
                <w:b/>
                <w:bCs/>
                <w:color w:val="auto"/>
                <w:sz w:val="21"/>
                <w:szCs w:val="21"/>
                <w:highlight w:val="none"/>
                <w:lang w:val="en-US" w:eastAsia="zh-CN" w:bidi="ar-SA"/>
              </w:rPr>
              <w:t>标</w:t>
            </w:r>
            <w:r>
              <w:rPr>
                <w:rFonts w:hint="eastAsia" w:ascii="宋体" w:hAnsi="宋体" w:cs="宋体"/>
                <w:b/>
                <w:bCs/>
                <w:color w:val="auto"/>
                <w:sz w:val="21"/>
                <w:szCs w:val="21"/>
                <w:highlight w:val="none"/>
                <w:lang w:val="en-US" w:eastAsia="zh-CN" w:bidi="ar-SA"/>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284" w:lineRule="auto"/>
              <w:ind w:firstLine="210" w:firstLineChars="100"/>
              <w:jc w:val="left"/>
              <w:textAlignment w:val="auto"/>
              <w:outlineLvl w:val="9"/>
              <w:rPr>
                <w:rFonts w:hint="eastAsia" w:ascii="宋体" w:hAnsi="宋体" w:eastAsia="宋体" w:cs="宋体"/>
                <w:color w:val="auto"/>
                <w:sz w:val="21"/>
                <w:szCs w:val="21"/>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284" w:lineRule="auto"/>
              <w:ind w:firstLine="211" w:firstLineChars="100"/>
              <w:jc w:val="left"/>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注：</w:t>
            </w:r>
            <w:r>
              <w:rPr>
                <w:rFonts w:hint="eastAsia" w:ascii="宋体" w:hAnsi="宋体" w:eastAsia="宋体" w:cs="宋体"/>
                <w:color w:val="auto"/>
                <w:sz w:val="21"/>
                <w:szCs w:val="21"/>
                <w:highlight w:val="none"/>
                <w:lang w:val="en-US" w:eastAsia="zh-CN" w:bidi="ar-SA"/>
              </w:rPr>
              <w:t>①、业绩材料要求提供中标通知书或合同协议书或省级及以上交通质量监督部门或交通运输主管部门或业主（或发包人）单位出具的证明材料。未按要求提交业绩证明材料的，该业绩不予认可。（复印件或扫描件，加盖投标单位公章）。</w:t>
            </w:r>
          </w:p>
          <w:p>
            <w:pPr>
              <w:keepNext w:val="0"/>
              <w:keepLines w:val="0"/>
              <w:pageBreakBefore w:val="0"/>
              <w:widowControl w:val="0"/>
              <w:shd w:val="clear" w:color="auto" w:fill="auto"/>
              <w:kinsoku/>
              <w:wordWrap/>
              <w:overflowPunct/>
              <w:topLinePunct w:val="0"/>
              <w:autoSpaceDE/>
              <w:autoSpaceDN/>
              <w:bidi w:val="0"/>
              <w:adjustRightInd w:val="0"/>
              <w:snapToGrid w:val="0"/>
              <w:spacing w:line="284" w:lineRule="auto"/>
              <w:ind w:firstLine="210" w:firstLineChars="100"/>
              <w:jc w:val="left"/>
              <w:textAlignment w:val="auto"/>
              <w:outlineLvl w:val="9"/>
              <w:rPr>
                <w:rFonts w:hint="default"/>
                <w:color w:val="auto"/>
                <w:highlight w:val="none"/>
                <w:lang w:val="en-US" w:eastAsia="zh-CN"/>
              </w:rPr>
            </w:pPr>
            <w:r>
              <w:rPr>
                <w:rFonts w:hint="eastAsia" w:ascii="宋体" w:hAnsi="宋体" w:cs="宋体"/>
                <w:color w:val="auto"/>
                <w:sz w:val="21"/>
                <w:szCs w:val="21"/>
                <w:highlight w:val="none"/>
                <w:lang w:val="en-US" w:eastAsia="zh-CN" w:bidi="ar-SA"/>
              </w:rPr>
              <w:t>②、以上加分业绩，如果同一项目，同时满足两个条件可累计计分</w:t>
            </w:r>
            <w:r>
              <w:rPr>
                <w:rFonts w:hint="eastAsia" w:ascii="宋体" w:hAnsi="宋体" w:eastAsia="宋体" w:cs="宋体"/>
                <w:color w:val="auto"/>
                <w:sz w:val="21"/>
                <w:szCs w:val="21"/>
                <w:highlight w:val="none"/>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3" w:hRule="exact"/>
          <w:jc w:val="center"/>
        </w:trPr>
        <w:tc>
          <w:tcPr>
            <w:tcW w:w="820" w:type="dxa"/>
            <w:vMerge w:val="continue"/>
            <w:tcBorders>
              <w:right w:val="single" w:color="000000" w:sz="6" w:space="0"/>
            </w:tcBorders>
            <w:noWrap w:val="0"/>
            <w:vAlign w:val="center"/>
          </w:tcPr>
          <w:p>
            <w:pPr>
              <w:shd w:val="clear" w:color="auto" w:fill="auto"/>
              <w:ind w:left="362"/>
              <w:jc w:val="both"/>
              <w:rPr>
                <w:rFonts w:hint="eastAsia" w:ascii="宋体" w:hAnsi="宋体" w:eastAsia="宋体" w:cs="宋体"/>
                <w:color w:val="auto"/>
                <w:sz w:val="21"/>
                <w:szCs w:val="21"/>
                <w:highlight w:val="none"/>
                <w:shd w:val="clear" w:color="auto" w:fill="auto"/>
                <w:lang w:eastAsia="zh-CN"/>
              </w:rPr>
            </w:pPr>
          </w:p>
        </w:tc>
        <w:tc>
          <w:tcPr>
            <w:tcW w:w="1012" w:type="dxa"/>
            <w:vMerge w:val="continue"/>
            <w:tcBorders>
              <w:left w:val="single" w:color="000000" w:sz="6" w:space="0"/>
              <w:right w:val="single" w:color="000000" w:sz="6" w:space="0"/>
            </w:tcBorders>
            <w:noWrap w:val="0"/>
            <w:vAlign w:val="center"/>
          </w:tcPr>
          <w:p>
            <w:pPr>
              <w:shd w:val="clear" w:color="auto" w:fill="auto"/>
              <w:jc w:val="both"/>
              <w:rPr>
                <w:rFonts w:hint="eastAsia" w:ascii="宋体" w:hAnsi="宋体" w:eastAsia="宋体" w:cs="宋体"/>
                <w:color w:val="auto"/>
                <w:sz w:val="21"/>
                <w:szCs w:val="21"/>
                <w:highlight w:val="none"/>
                <w:shd w:val="clear" w:color="auto" w:fill="auto"/>
                <w:lang w:eastAsia="zh-CN"/>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hd w:val="clear" w:color="auto" w:fill="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信誉</w:t>
            </w:r>
          </w:p>
        </w:tc>
        <w:tc>
          <w:tcPr>
            <w:tcW w:w="857" w:type="dxa"/>
            <w:tcBorders>
              <w:left w:val="single" w:color="000000" w:sz="6" w:space="0"/>
            </w:tcBorders>
            <w:noWrap w:val="0"/>
            <w:vAlign w:val="center"/>
          </w:tcPr>
          <w:p>
            <w:pPr>
              <w:keepNext w:val="0"/>
              <w:keepLines w:val="0"/>
              <w:pageBreakBefore w:val="0"/>
              <w:shd w:val="clear" w:color="auto" w:fill="auto"/>
              <w:kinsoku/>
              <w:wordWrap/>
              <w:overflowPunct/>
              <w:topLinePunct w:val="0"/>
              <w:bidi w:val="0"/>
              <w:adjustRightInd w:val="0"/>
              <w:snapToGrid w:val="0"/>
              <w:spacing w:line="360" w:lineRule="auto"/>
              <w:ind w:firstLine="210" w:firstLineChars="100"/>
              <w:jc w:val="both"/>
              <w:textAlignment w:val="auto"/>
              <w:outlineLvl w:val="9"/>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5分</w:t>
            </w:r>
          </w:p>
        </w:tc>
        <w:tc>
          <w:tcPr>
            <w:tcW w:w="6589" w:type="dxa"/>
            <w:gridSpan w:val="3"/>
            <w:noWrap w:val="0"/>
            <w:vAlign w:val="center"/>
          </w:tcPr>
          <w:p>
            <w:pPr>
              <w:keepNext w:val="0"/>
              <w:keepLines w:val="0"/>
              <w:pageBreakBefore w:val="0"/>
              <w:numPr>
                <w:ilvl w:val="0"/>
                <w:numId w:val="1"/>
              </w:numPr>
              <w:shd w:val="clear" w:color="auto" w:fill="auto"/>
              <w:kinsoku/>
              <w:wordWrap/>
              <w:overflowPunct/>
              <w:topLinePunct w:val="0"/>
              <w:bidi w:val="0"/>
              <w:adjustRightInd w:val="0"/>
              <w:snapToGrid w:val="0"/>
              <w:spacing w:line="360" w:lineRule="auto"/>
              <w:ind w:firstLine="210" w:firstLineChars="100"/>
              <w:jc w:val="left"/>
              <w:textAlignment w:val="auto"/>
              <w:outlineLvl w:val="9"/>
              <w:rPr>
                <w:rFonts w:hint="default"/>
                <w:color w:val="auto"/>
                <w:highlight w:val="none"/>
                <w:lang w:val="en-US" w:eastAsia="zh-CN"/>
              </w:rPr>
            </w:pPr>
            <w:r>
              <w:rPr>
                <w:rFonts w:hint="eastAsia"/>
                <w:color w:val="auto"/>
                <w:highlight w:val="none"/>
                <w:lang w:val="en-US" w:eastAsia="zh-CN"/>
              </w:rPr>
              <w:t>信用等级评价为AA级得3分；A级得1.5分；B级得0分；C级得-3分；</w:t>
            </w:r>
          </w:p>
          <w:p>
            <w:pPr>
              <w:keepNext w:val="0"/>
              <w:keepLines w:val="0"/>
              <w:pageBreakBefore w:val="0"/>
              <w:numPr>
                <w:ilvl w:val="0"/>
                <w:numId w:val="0"/>
              </w:numPr>
              <w:shd w:val="clear" w:color="auto" w:fill="auto"/>
              <w:kinsoku/>
              <w:wordWrap/>
              <w:overflowPunct/>
              <w:topLinePunct w:val="0"/>
              <w:bidi w:val="0"/>
              <w:adjustRightInd w:val="0"/>
              <w:snapToGrid w:val="0"/>
              <w:spacing w:line="360" w:lineRule="auto"/>
              <w:ind w:firstLine="210" w:firstLineChars="100"/>
              <w:jc w:val="left"/>
              <w:textAlignment w:val="auto"/>
              <w:outlineLvl w:val="9"/>
              <w:rPr>
                <w:rFonts w:hint="default"/>
                <w:color w:val="auto"/>
                <w:highlight w:val="none"/>
                <w:lang w:val="en-US" w:eastAsia="zh-CN"/>
              </w:rPr>
            </w:pPr>
            <w:r>
              <w:rPr>
                <w:rFonts w:hint="eastAsia"/>
                <w:color w:val="auto"/>
                <w:highlight w:val="none"/>
                <w:lang w:val="en-US" w:eastAsia="zh-CN"/>
              </w:rPr>
              <w:t>2、</w:t>
            </w:r>
            <w:r>
              <w:rPr>
                <w:rFonts w:hint="eastAsia" w:ascii="宋体" w:hAnsi="宋体" w:eastAsia="宋体" w:cs="宋体"/>
                <w:b w:val="0"/>
                <w:bCs/>
                <w:color w:val="auto"/>
                <w:sz w:val="21"/>
                <w:szCs w:val="22"/>
                <w:highlight w:val="none"/>
                <w:lang w:val="en-US" w:eastAsia="zh-CN" w:bidi="ar-SA"/>
              </w:rPr>
              <w:t>投标人具有国家认证的CNAS证书或高新技术企业且在有限期内得2分。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5" w:hRule="exact"/>
          <w:jc w:val="center"/>
        </w:trPr>
        <w:tc>
          <w:tcPr>
            <w:tcW w:w="10298" w:type="dxa"/>
            <w:gridSpan w:val="7"/>
            <w:noWrap w:val="0"/>
            <w:vAlign w:val="center"/>
          </w:tcPr>
          <w:p>
            <w:pPr>
              <w:shd w:val="clear" w:color="auto" w:fill="auto"/>
              <w:spacing w:before="85" w:line="360" w:lineRule="auto"/>
              <w:ind w:left="112"/>
              <w:rPr>
                <w:rFonts w:hint="eastAsia"/>
                <w:color w:val="auto"/>
                <w:highlight w:val="none"/>
                <w:lang w:eastAsia="zh-CN"/>
              </w:rPr>
            </w:pPr>
            <w:r>
              <w:rPr>
                <w:rFonts w:hint="eastAsia"/>
                <w:color w:val="auto"/>
                <w:highlight w:val="none"/>
                <w:lang w:eastAsia="zh-CN"/>
              </w:rPr>
              <w:t>需要补充的其他内容：</w:t>
            </w:r>
          </w:p>
          <w:p>
            <w:pPr>
              <w:keepNext w:val="0"/>
              <w:keepLines w:val="0"/>
              <w:pageBreakBefore w:val="0"/>
              <w:widowControl w:val="0"/>
              <w:kinsoku/>
              <w:wordWrap/>
              <w:overflowPunct/>
              <w:topLinePunct w:val="0"/>
              <w:bidi w:val="0"/>
              <w:adjustRightInd w:val="0"/>
              <w:snapToGrid/>
              <w:spacing w:line="360" w:lineRule="auto"/>
              <w:ind w:left="0" w:leftChars="0" w:firstLine="422" w:firstLineChars="200"/>
              <w:textAlignment w:val="baseline"/>
              <w:rPr>
                <w:rFonts w:hint="eastAsia"/>
                <w:color w:val="auto"/>
                <w:highlight w:val="none"/>
                <w:lang w:eastAsia="zh-CN"/>
              </w:rPr>
            </w:pPr>
            <w:r>
              <w:rPr>
                <w:rFonts w:hint="eastAsia"/>
                <w:b/>
                <w:bCs/>
                <w:color w:val="auto"/>
                <w:highlight w:val="none"/>
              </w:rPr>
              <w:t>1</w:t>
            </w:r>
            <w:r>
              <w:rPr>
                <w:rFonts w:hint="eastAsia"/>
                <w:b/>
                <w:bCs/>
                <w:color w:val="auto"/>
                <w:highlight w:val="none"/>
                <w:lang w:eastAsia="zh-CN"/>
              </w:rPr>
              <w:t>、</w:t>
            </w:r>
            <w:r>
              <w:rPr>
                <w:rFonts w:hint="eastAsia"/>
                <w:b/>
                <w:bCs/>
                <w:color w:val="auto"/>
                <w:highlight w:val="none"/>
              </w:rPr>
              <w:t>若通过第一信封初步评审的投标人仅2名，经评标委员会一致认为通过第一信封初步评审的投标人具备竞争性，可进入详细评审；若通过第二信封初步评审的投标人仅1名，应否决投标，并按相关规定重新招标。</w:t>
            </w:r>
          </w:p>
          <w:p>
            <w:pPr>
              <w:keepNext w:val="0"/>
              <w:keepLines w:val="0"/>
              <w:pageBreakBefore w:val="0"/>
              <w:widowControl w:val="0"/>
              <w:kinsoku/>
              <w:wordWrap/>
              <w:overflowPunct/>
              <w:topLinePunct w:val="0"/>
              <w:bidi w:val="0"/>
              <w:adjustRightInd w:val="0"/>
              <w:snapToGrid/>
              <w:spacing w:line="360" w:lineRule="auto"/>
              <w:ind w:left="0" w:leftChars="0" w:firstLine="422" w:firstLineChars="200"/>
              <w:textAlignment w:val="baseline"/>
              <w:rPr>
                <w:rFonts w:hint="eastAsia"/>
                <w:b/>
                <w:bCs/>
                <w:color w:val="auto"/>
                <w:highlight w:val="none"/>
                <w:lang w:eastAsia="zh-CN"/>
              </w:rPr>
            </w:pPr>
            <w:r>
              <w:rPr>
                <w:rFonts w:hint="eastAsia"/>
                <w:b/>
                <w:bCs/>
                <w:color w:val="auto"/>
                <w:highlight w:val="none"/>
                <w:lang w:val="en-US" w:eastAsia="zh-CN"/>
              </w:rPr>
              <w:t>2、</w:t>
            </w:r>
            <w:r>
              <w:rPr>
                <w:rFonts w:hint="eastAsia"/>
                <w:b/>
                <w:bCs/>
                <w:color w:val="auto"/>
                <w:highlight w:val="none"/>
                <w:lang w:eastAsia="zh-CN"/>
              </w:rPr>
              <w:t>各评分因素（评标价和履约信誉评分项除外）得分一般不得低于其权重分值的60%，且各评分因素得分以评标委员会各成员的打分平均值确定，评标委员会成员总数为</w:t>
            </w:r>
            <w:r>
              <w:rPr>
                <w:rFonts w:hint="eastAsia"/>
                <w:b/>
                <w:bCs/>
                <w:color w:val="auto"/>
                <w:highlight w:val="none"/>
                <w:lang w:val="en-US" w:eastAsia="zh-CN"/>
              </w:rPr>
              <w:t>7</w:t>
            </w:r>
            <w:r>
              <w:rPr>
                <w:rFonts w:hint="eastAsia"/>
                <w:b/>
                <w:bCs/>
                <w:color w:val="auto"/>
                <w:highlight w:val="none"/>
                <w:lang w:eastAsia="zh-CN"/>
              </w:rPr>
              <w:t>人（含</w:t>
            </w:r>
            <w:r>
              <w:rPr>
                <w:rFonts w:hint="eastAsia"/>
                <w:b/>
                <w:bCs/>
                <w:color w:val="auto"/>
                <w:highlight w:val="none"/>
                <w:lang w:val="en-US" w:eastAsia="zh-CN"/>
              </w:rPr>
              <w:t>7人</w:t>
            </w:r>
            <w:r>
              <w:rPr>
                <w:rFonts w:hint="eastAsia"/>
                <w:b/>
                <w:bCs/>
                <w:color w:val="auto"/>
                <w:highlight w:val="none"/>
                <w:lang w:eastAsia="zh-CN"/>
              </w:rPr>
              <w:t>）以上时，该平均值以去掉一个最高分和一个最低分后计算。评标委员会成员对某一项评分因素的评分低于权重分值60%的，应在评标报告中作出说明。</w:t>
            </w:r>
          </w:p>
          <w:p>
            <w:pPr>
              <w:keepNext w:val="0"/>
              <w:keepLines w:val="0"/>
              <w:pageBreakBefore w:val="0"/>
              <w:widowControl w:val="0"/>
              <w:kinsoku/>
              <w:wordWrap/>
              <w:overflowPunct/>
              <w:topLinePunct w:val="0"/>
              <w:bidi w:val="0"/>
              <w:adjustRightInd w:val="0"/>
              <w:snapToGrid/>
              <w:spacing w:line="360" w:lineRule="auto"/>
              <w:ind w:left="0" w:leftChars="0" w:firstLine="422" w:firstLineChars="200"/>
              <w:textAlignment w:val="baseline"/>
              <w:rPr>
                <w:rFonts w:hint="eastAsia"/>
                <w:color w:val="auto"/>
                <w:highlight w:val="none"/>
                <w:lang w:eastAsia="zh-CN"/>
              </w:rPr>
            </w:pPr>
            <w:r>
              <w:rPr>
                <w:rFonts w:hint="eastAsia"/>
                <w:b/>
                <w:bCs/>
                <w:color w:val="auto"/>
                <w:highlight w:val="none"/>
                <w:lang w:val="en-US" w:eastAsia="zh-CN"/>
              </w:rPr>
              <w:t>3、投标人若同时在2个及以上标段排名均为第一，评标委员会将按投标价高的标段推荐为第一中标候选人。已被推荐为第一中标候选人的投标人，其他的标段则不作为中标候选人推荐，推荐排序第二的投标人为第一中标候选人，依次类推。</w:t>
            </w:r>
          </w:p>
        </w:tc>
      </w:tr>
    </w:tbl>
    <w:p>
      <w:pPr>
        <w:shd w:val="clear" w:color="auto" w:fill="auto"/>
        <w:spacing w:before="1"/>
        <w:jc w:val="both"/>
        <w:rPr>
          <w:rFonts w:hint="eastAsia" w:ascii="宋体" w:hAnsi="宋体" w:eastAsia="宋体" w:cs="宋体"/>
          <w:color w:val="auto"/>
          <w:kern w:val="2"/>
          <w:sz w:val="20"/>
          <w:szCs w:val="20"/>
          <w:highlight w:val="none"/>
          <w:shd w:val="clear" w:color="auto" w:fill="auto"/>
          <w:lang w:eastAsia="zh-CN"/>
        </w:rPr>
      </w:pPr>
    </w:p>
    <w:p>
      <w:pPr>
        <w:shd w:val="clear" w:color="auto" w:fill="auto"/>
        <w:jc w:val="right"/>
        <w:rPr>
          <w:rFonts w:hint="eastAsia" w:ascii="宋体" w:hAnsi="宋体" w:eastAsia="宋体" w:cs="宋体"/>
          <w:color w:val="auto"/>
          <w:kern w:val="2"/>
          <w:sz w:val="20"/>
          <w:szCs w:val="20"/>
          <w:highlight w:val="none"/>
          <w:shd w:val="clear" w:color="auto" w:fill="auto"/>
          <w:lang w:eastAsia="zh-CN"/>
        </w:rPr>
        <w:sectPr>
          <w:footerReference r:id="rId3" w:type="default"/>
          <w:pgSz w:w="11910" w:h="16840"/>
          <w:pgMar w:top="1134" w:right="1134" w:bottom="1134" w:left="1134" w:header="889" w:footer="1065" w:gutter="170"/>
          <w:pgBorders>
            <w:top w:val="none" w:sz="0" w:space="0"/>
            <w:left w:val="none" w:sz="0" w:space="0"/>
            <w:bottom w:val="none" w:sz="0" w:space="0"/>
            <w:right w:val="none" w:sz="0" w:space="0"/>
          </w:pgBorders>
          <w:pgNumType w:fmt="decimal"/>
          <w:cols w:space="720" w:num="1"/>
          <w:rtlGutter w:val="0"/>
          <w:docGrid w:linePitch="1" w:charSpace="0"/>
        </w:sectPr>
      </w:pP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Lines="50" w:after="0" w:afterLines="50" w:line="360" w:lineRule="auto"/>
        <w:jc w:val="both"/>
        <w:textAlignment w:val="auto"/>
        <w:outlineLvl w:val="0"/>
        <w:rPr>
          <w:rFonts w:hint="eastAsia" w:ascii="宋体" w:hAnsi="宋体" w:eastAsia="宋体" w:cs="宋体"/>
          <w:b/>
          <w:color w:val="auto"/>
          <w:kern w:val="2"/>
          <w:sz w:val="24"/>
          <w:szCs w:val="24"/>
          <w:highlight w:val="none"/>
          <w:shd w:val="clear" w:color="auto" w:fill="auto"/>
          <w:lang w:eastAsia="zh-CN"/>
        </w:rPr>
      </w:pPr>
      <w:r>
        <w:rPr>
          <w:rFonts w:hint="eastAsia" w:ascii="宋体" w:hAnsi="宋体" w:eastAsia="宋体" w:cs="宋体"/>
          <w:b/>
          <w:color w:val="auto"/>
          <w:kern w:val="2"/>
          <w:sz w:val="24"/>
          <w:szCs w:val="24"/>
          <w:highlight w:val="none"/>
          <w:shd w:val="clear" w:color="auto" w:fill="auto"/>
          <w:lang w:eastAsia="zh-CN"/>
        </w:rPr>
        <w:t>1. 评标方法</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keepNext w:val="0"/>
        <w:keepLines w:val="0"/>
        <w:pageBreakBefore w:val="0"/>
        <w:widowControl w:val="0"/>
        <w:numPr>
          <w:ilvl w:val="0"/>
          <w:numId w:val="2"/>
        </w:numPr>
        <w:shd w:val="clear" w:color="auto" w:fill="auto"/>
        <w:kinsoku/>
        <w:wordWrap/>
        <w:overflowPunct/>
        <w:topLinePunct w:val="0"/>
        <w:autoSpaceDE/>
        <w:autoSpaceDN/>
        <w:bidi w:val="0"/>
        <w:adjustRightInd w:val="0"/>
        <w:snapToGrid w:val="0"/>
        <w:spacing w:before="0" w:beforeLines="50" w:after="0" w:afterLines="50" w:line="360" w:lineRule="auto"/>
        <w:jc w:val="both"/>
        <w:textAlignment w:val="auto"/>
        <w:outlineLvl w:val="0"/>
        <w:rPr>
          <w:rFonts w:hint="eastAsia" w:ascii="宋体" w:hAnsi="宋体" w:eastAsia="宋体" w:cs="宋体"/>
          <w:b/>
          <w:color w:val="auto"/>
          <w:kern w:val="2"/>
          <w:sz w:val="24"/>
          <w:szCs w:val="24"/>
          <w:highlight w:val="none"/>
          <w:shd w:val="clear" w:color="auto" w:fill="auto"/>
          <w:lang w:eastAsia="zh-CN"/>
        </w:rPr>
      </w:pPr>
      <w:r>
        <w:rPr>
          <w:rFonts w:hint="eastAsia" w:ascii="宋体" w:hAnsi="宋体" w:eastAsia="宋体" w:cs="宋体"/>
          <w:b/>
          <w:color w:val="auto"/>
          <w:kern w:val="2"/>
          <w:sz w:val="24"/>
          <w:szCs w:val="24"/>
          <w:highlight w:val="none"/>
          <w:shd w:val="clear" w:color="auto" w:fill="auto"/>
          <w:lang w:eastAsia="zh-CN"/>
        </w:rPr>
        <w:t>评审标准</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Lines="50" w:after="0" w:afterLines="50" w:line="360" w:lineRule="auto"/>
        <w:ind w:firstLine="241" w:firstLineChars="100"/>
        <w:textAlignment w:val="auto"/>
        <w:outlineLvl w:val="1"/>
        <w:rPr>
          <w:rFonts w:hint="eastAsia" w:ascii="宋体" w:hAnsi="宋体" w:eastAsia="宋体" w:cs="宋体"/>
          <w:b/>
          <w:color w:val="auto"/>
          <w:sz w:val="24"/>
          <w:szCs w:val="24"/>
          <w:highlight w:val="none"/>
          <w:shd w:val="clear" w:color="auto" w:fill="auto"/>
          <w:lang w:eastAsia="zh-CN"/>
        </w:rPr>
      </w:pPr>
      <w:r>
        <w:rPr>
          <w:rFonts w:hint="eastAsia" w:ascii="宋体" w:hAnsi="宋体" w:eastAsia="宋体" w:cs="宋体"/>
          <w:b/>
          <w:color w:val="auto"/>
          <w:sz w:val="24"/>
          <w:szCs w:val="24"/>
          <w:highlight w:val="none"/>
          <w:shd w:val="clear" w:color="auto" w:fill="auto"/>
          <w:lang w:eastAsia="zh-CN"/>
        </w:rPr>
        <w:t>2.1 初步评审标准</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2.1.1</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形式评审标准：见评标办法前附表。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2.1.2</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资格评审标准：见评标办法前附表。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2.1.3</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响应性评审标准：见评标办法前附表。</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Lines="50" w:after="0" w:afterLines="50" w:line="360" w:lineRule="auto"/>
        <w:ind w:firstLine="241" w:firstLineChars="100"/>
        <w:textAlignment w:val="auto"/>
        <w:outlineLvl w:val="1"/>
        <w:rPr>
          <w:rFonts w:hint="eastAsia" w:ascii="宋体" w:hAnsi="宋体" w:eastAsia="宋体" w:cs="宋体"/>
          <w:b/>
          <w:color w:val="auto"/>
          <w:sz w:val="24"/>
          <w:szCs w:val="24"/>
          <w:highlight w:val="none"/>
          <w:shd w:val="clear" w:color="auto" w:fill="auto"/>
          <w:lang w:eastAsia="zh-CN"/>
        </w:rPr>
      </w:pPr>
      <w:r>
        <w:rPr>
          <w:rFonts w:hint="eastAsia" w:ascii="宋体" w:hAnsi="宋体" w:eastAsia="宋体" w:cs="宋体"/>
          <w:b/>
          <w:color w:val="auto"/>
          <w:sz w:val="24"/>
          <w:szCs w:val="24"/>
          <w:highlight w:val="none"/>
          <w:shd w:val="clear" w:color="auto" w:fill="auto"/>
          <w:lang w:eastAsia="zh-CN"/>
        </w:rPr>
        <w:t>2.2 分值构成与评分标准</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2.2.1 分值构成</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）技术建议书：见评标办法前附表；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（2）主要人员：见评标办法前附表；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（3）评标价：见评标办法前附表；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（4）其他评分因素：见评标办法前附表。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2.2.2 评标基准价计算</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 xml:space="preserve">2.2.3 评标价的偏差率计算 </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评标价的偏差率计算公式：见评标办法前附表。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2.2.4 评分标准</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（1）技术建议书评分标准：见评标办法前附表；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（2）主要人员评分标准：见评标办法前附表；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（3）评标价评分标准：见评标办法前附表；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（4）其他因素评分标准：见评标办法前附表。</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Lines="50" w:after="0" w:afterLines="50" w:line="360" w:lineRule="auto"/>
        <w:jc w:val="both"/>
        <w:textAlignment w:val="auto"/>
        <w:outlineLvl w:val="0"/>
        <w:rPr>
          <w:rFonts w:hint="eastAsia" w:ascii="宋体" w:hAnsi="宋体" w:eastAsia="宋体" w:cs="宋体"/>
          <w:b/>
          <w:color w:val="auto"/>
          <w:kern w:val="2"/>
          <w:sz w:val="24"/>
          <w:szCs w:val="24"/>
          <w:highlight w:val="none"/>
          <w:shd w:val="clear" w:color="auto" w:fill="auto"/>
          <w:lang w:eastAsia="zh-CN"/>
        </w:rPr>
      </w:pPr>
      <w:r>
        <w:rPr>
          <w:rFonts w:hint="eastAsia" w:ascii="宋体" w:hAnsi="宋体" w:eastAsia="宋体" w:cs="宋体"/>
          <w:b/>
          <w:color w:val="auto"/>
          <w:kern w:val="2"/>
          <w:sz w:val="24"/>
          <w:szCs w:val="24"/>
          <w:highlight w:val="none"/>
          <w:shd w:val="clear" w:color="auto" w:fill="auto"/>
          <w:lang w:eastAsia="zh-CN"/>
        </w:rPr>
        <w:t>3.</w:t>
      </w:r>
      <w:r>
        <w:rPr>
          <w:rFonts w:hint="eastAsia" w:ascii="宋体" w:hAnsi="宋体" w:eastAsia="宋体" w:cs="宋体"/>
          <w:b/>
          <w:color w:val="auto"/>
          <w:kern w:val="2"/>
          <w:sz w:val="24"/>
          <w:szCs w:val="24"/>
          <w:highlight w:val="none"/>
          <w:shd w:val="clear" w:color="auto" w:fill="auto"/>
          <w:lang w:val="en-US" w:eastAsia="zh-CN"/>
        </w:rPr>
        <w:t xml:space="preserve"> </w:t>
      </w:r>
      <w:r>
        <w:rPr>
          <w:rFonts w:hint="eastAsia" w:ascii="宋体" w:hAnsi="宋体" w:eastAsia="宋体" w:cs="宋体"/>
          <w:b/>
          <w:color w:val="auto"/>
          <w:kern w:val="2"/>
          <w:sz w:val="24"/>
          <w:szCs w:val="24"/>
          <w:highlight w:val="none"/>
          <w:shd w:val="clear" w:color="auto" w:fill="auto"/>
          <w:lang w:eastAsia="zh-CN"/>
        </w:rPr>
        <w:t>评标程序</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Lines="50" w:after="0" w:afterLines="50" w:line="360" w:lineRule="auto"/>
        <w:ind w:firstLine="241" w:firstLineChars="100"/>
        <w:textAlignment w:val="auto"/>
        <w:outlineLvl w:val="1"/>
        <w:rPr>
          <w:rFonts w:hint="eastAsia" w:ascii="宋体" w:hAnsi="宋体" w:eastAsia="宋体" w:cs="宋体"/>
          <w:b/>
          <w:color w:val="auto"/>
          <w:sz w:val="24"/>
          <w:szCs w:val="24"/>
          <w:highlight w:val="none"/>
          <w:shd w:val="clear" w:color="auto" w:fill="auto"/>
          <w:lang w:eastAsia="zh-CN"/>
        </w:rPr>
      </w:pPr>
      <w:r>
        <w:rPr>
          <w:rFonts w:hint="eastAsia" w:ascii="宋体" w:hAnsi="宋体" w:eastAsia="宋体" w:cs="宋体"/>
          <w:b/>
          <w:color w:val="auto"/>
          <w:sz w:val="24"/>
          <w:szCs w:val="24"/>
          <w:highlight w:val="none"/>
          <w:shd w:val="clear" w:color="auto" w:fill="auto"/>
          <w:lang w:eastAsia="zh-CN"/>
        </w:rPr>
        <w:t>3.1 第一个信封初步评审</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3.1.1 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Lines="50" w:after="0" w:afterLines="50" w:line="360" w:lineRule="auto"/>
        <w:ind w:firstLine="241" w:firstLineChars="100"/>
        <w:textAlignment w:val="auto"/>
        <w:outlineLvl w:val="1"/>
        <w:rPr>
          <w:rFonts w:hint="eastAsia" w:ascii="宋体" w:hAnsi="宋体" w:eastAsia="宋体" w:cs="宋体"/>
          <w:b/>
          <w:color w:val="auto"/>
          <w:sz w:val="24"/>
          <w:szCs w:val="24"/>
          <w:highlight w:val="none"/>
          <w:shd w:val="clear" w:color="auto" w:fill="auto"/>
          <w:lang w:eastAsia="zh-CN"/>
        </w:rPr>
      </w:pPr>
      <w:r>
        <w:rPr>
          <w:rFonts w:hint="eastAsia" w:ascii="宋体" w:hAnsi="宋体" w:eastAsia="宋体" w:cs="宋体"/>
          <w:b/>
          <w:color w:val="auto"/>
          <w:sz w:val="24"/>
          <w:szCs w:val="24"/>
          <w:highlight w:val="none"/>
          <w:shd w:val="clear" w:color="auto" w:fill="auto"/>
          <w:lang w:eastAsia="zh-CN"/>
        </w:rPr>
        <w:t>3.2 第一个信封详细评审</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3.2.1 评标委员会按本章第2.2款规定的量化因素和分值进行打分，并计算出各投标人的商务和技术得分。</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 按本章第2.2.4项(1)目规定的评审因素和分值对技术建议书部分计算出得分A；</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 按本章第2.2.4项(2)目规定的评审因素和分值对主要人员部分计算出得分B；</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 按本章第2.2.4项(4)目规定的评审因素和分值对其他部分计算出得分D。</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3.2.2 投标人的商务和技术得分分值计算保留小数点后两位，小数点后第三位“四舍五入”。</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3.2.3 投标人的商务和技术得分A+B+D。</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Lines="50" w:after="0" w:afterLines="50" w:line="360" w:lineRule="auto"/>
        <w:ind w:firstLine="241" w:firstLineChars="100"/>
        <w:textAlignment w:val="auto"/>
        <w:outlineLvl w:val="1"/>
        <w:rPr>
          <w:rFonts w:hint="eastAsia" w:ascii="宋体" w:hAnsi="宋体" w:eastAsia="宋体" w:cs="宋体"/>
          <w:b/>
          <w:color w:val="auto"/>
          <w:sz w:val="24"/>
          <w:szCs w:val="24"/>
          <w:highlight w:val="none"/>
          <w:shd w:val="clear" w:color="auto" w:fill="auto"/>
          <w:lang w:eastAsia="zh-CN"/>
        </w:rPr>
      </w:pPr>
      <w:r>
        <w:rPr>
          <w:rFonts w:hint="eastAsia" w:ascii="宋体" w:hAnsi="宋体" w:eastAsia="宋体" w:cs="宋体"/>
          <w:b/>
          <w:color w:val="auto"/>
          <w:sz w:val="24"/>
          <w:szCs w:val="24"/>
          <w:highlight w:val="none"/>
          <w:shd w:val="clear" w:color="auto" w:fill="auto"/>
          <w:lang w:eastAsia="zh-CN"/>
        </w:rPr>
        <w:t>3.3 第二个信封开标</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第一个信封（商务及技术文件）评审结束后，招标人将按照第二章“投标人须知”第5.1款规定的时间和地点对通过投标文件第一个信封（商务及技术文件）评审的投标文件第二个信封（报价文件）进行开标。</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Lines="50" w:after="0" w:afterLines="50" w:line="360" w:lineRule="auto"/>
        <w:ind w:firstLine="241" w:firstLineChars="100"/>
        <w:textAlignment w:val="auto"/>
        <w:outlineLvl w:val="1"/>
        <w:rPr>
          <w:rFonts w:hint="eastAsia" w:ascii="宋体" w:hAnsi="宋体" w:eastAsia="宋体" w:cs="宋体"/>
          <w:b/>
          <w:color w:val="auto"/>
          <w:sz w:val="24"/>
          <w:szCs w:val="24"/>
          <w:highlight w:val="none"/>
          <w:shd w:val="clear" w:color="auto" w:fill="auto"/>
          <w:lang w:eastAsia="zh-CN"/>
        </w:rPr>
      </w:pPr>
      <w:r>
        <w:rPr>
          <w:rFonts w:hint="eastAsia" w:ascii="宋体" w:hAnsi="宋体" w:eastAsia="宋体" w:cs="宋体"/>
          <w:b/>
          <w:color w:val="auto"/>
          <w:sz w:val="24"/>
          <w:szCs w:val="24"/>
          <w:highlight w:val="none"/>
          <w:shd w:val="clear" w:color="auto" w:fill="auto"/>
          <w:lang w:eastAsia="zh-CN"/>
        </w:rPr>
        <w:t>3.4 第二个信封初步评审</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3.4.1 评标委员会依据本章第2.1.1项、第2.1.3项规定的评审标准对投标文件第二个信封（报价文件）进行初步评审。有一项不符合评审标准的，评标委员会应否决其投标。</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3.4.2 投标报价有算术错误的，评标委员会按以下原则对投标报价进行修正，修正的价格经投标人书面确认后具有约束力。投标人不接受修正价格的，评标委员会应否决其投标。</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投标文件中的大写金额与小写金额不一致的，以大写金额为准；</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总价金额与依据单价计算出的结果不一致的，以单价金额为准修正总价，但单价金额小数点有明显错误的除外：</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当单价与数量相乘不等于合价时，以单价计算为准，如果单价有明显的小 数点位置差错，应以标出的合价为准，同时对单价予以修正：</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(4)</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当各子目的合价累计不等于总价时，应以各子目合价累计数为准，修正总价。</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3.4.3 修正后的最终投标报价若超过最高投标限价（如有），评标委员会应否决其投标。</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3.4.4 修正后的最终投标报价仅作为签订合同的一个依据，不参与评标价得分的计算。</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Lines="50" w:after="0" w:afterLines="50" w:line="360" w:lineRule="auto"/>
        <w:ind w:firstLine="241" w:firstLineChars="100"/>
        <w:textAlignment w:val="auto"/>
        <w:outlineLvl w:val="1"/>
        <w:rPr>
          <w:rFonts w:hint="eastAsia" w:ascii="宋体" w:hAnsi="宋体" w:eastAsia="宋体" w:cs="宋体"/>
          <w:b/>
          <w:color w:val="auto"/>
          <w:sz w:val="24"/>
          <w:szCs w:val="24"/>
          <w:highlight w:val="none"/>
          <w:shd w:val="clear" w:color="auto" w:fill="auto"/>
          <w:lang w:eastAsia="zh-CN"/>
        </w:rPr>
      </w:pPr>
      <w:r>
        <w:rPr>
          <w:rFonts w:hint="eastAsia" w:ascii="宋体" w:hAnsi="宋体" w:eastAsia="宋体" w:cs="宋体"/>
          <w:b/>
          <w:color w:val="auto"/>
          <w:sz w:val="24"/>
          <w:szCs w:val="24"/>
          <w:highlight w:val="none"/>
          <w:shd w:val="clear" w:color="auto" w:fill="auto"/>
          <w:lang w:eastAsia="zh-CN"/>
        </w:rPr>
        <w:t>3.5 第二个信封详细评审</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3.5.1 评标委员会按本章第2.2.4项（3）目规定的评审因素和分值对评标价计算出得分C。评标价得分分值计算保留小数点后两位，小数点后第三位“四舍五入”。</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3.5.2 投标人综合得分=投标人的商务和技术得分＋C。</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3.5.3 评标委员会发现投标人的报价明显低于其他投标报价，使得其投标报价可能低于其个别成本的，应要求该投标人作出书面说明并提供相应的证明材料 。投标人不能合理说明或不能提供相应证明材料的，评标委员会应认定该投标人以低于成本报价竞标，并否决其投标。</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Lines="50" w:after="0" w:afterLines="50" w:line="360" w:lineRule="auto"/>
        <w:ind w:firstLine="241" w:firstLineChars="100"/>
        <w:textAlignment w:val="auto"/>
        <w:outlineLvl w:val="1"/>
        <w:rPr>
          <w:rFonts w:hint="eastAsia" w:ascii="宋体" w:hAnsi="宋体" w:eastAsia="宋体" w:cs="宋体"/>
          <w:b/>
          <w:color w:val="auto"/>
          <w:sz w:val="24"/>
          <w:szCs w:val="24"/>
          <w:highlight w:val="none"/>
          <w:shd w:val="clear" w:color="auto" w:fill="auto"/>
          <w:lang w:eastAsia="zh-CN"/>
        </w:rPr>
      </w:pPr>
      <w:r>
        <w:rPr>
          <w:rFonts w:hint="eastAsia" w:ascii="宋体" w:hAnsi="宋体" w:eastAsia="宋体" w:cs="宋体"/>
          <w:b/>
          <w:color w:val="auto"/>
          <w:sz w:val="24"/>
          <w:szCs w:val="24"/>
          <w:highlight w:val="none"/>
          <w:shd w:val="clear" w:color="auto" w:fill="auto"/>
          <w:lang w:eastAsia="zh-CN"/>
        </w:rPr>
        <w:t>3.6 投标文件相关信息的核查</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3.6.1</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评标委员会应对在评标过程中发现的投标人与投标人之间、投标人与招标人之间存在的串通投标的情形进行评审和认定。</w:t>
      </w:r>
      <w:r>
        <w:rPr>
          <w:rFonts w:hint="eastAsia" w:ascii="宋体" w:hAnsi="宋体" w:eastAsia="宋体" w:cs="宋体"/>
          <w:b/>
          <w:bCs/>
          <w:color w:val="auto"/>
          <w:sz w:val="24"/>
          <w:szCs w:val="24"/>
          <w:highlight w:val="none"/>
          <w:shd w:val="clear" w:color="auto" w:fill="auto"/>
          <w:lang w:eastAsia="zh-CN"/>
        </w:rPr>
        <w:t>投标人存在串通投标、弄虚作假、行贿等违法行为的，评标委员会应否决其投标。</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（1）有下列情形之一的，属于投标人相互串通投标：</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a.投标人之间协商投标报价等投标文件的实质性内容；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b.投标人之间约定中标人：</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val="en-US" w:eastAsia="zh-CN"/>
        </w:rPr>
        <w:t>c.</w:t>
      </w:r>
      <w:r>
        <w:rPr>
          <w:rFonts w:hint="eastAsia" w:ascii="宋体" w:hAnsi="宋体" w:eastAsia="宋体" w:cs="宋体"/>
          <w:b/>
          <w:bCs/>
          <w:color w:val="auto"/>
          <w:sz w:val="24"/>
          <w:szCs w:val="24"/>
          <w:highlight w:val="none"/>
          <w:shd w:val="clear" w:color="auto" w:fill="auto"/>
          <w:lang w:eastAsia="zh-CN"/>
        </w:rPr>
        <w:t>投标人之间约定部分投标人放弃投标或中标：</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d.属于同一集团、协会、商会等组织成员的投标人按照该组织要求协同投标；</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e.投标人之间为谋取中标或排斥特定投标人而采取的其他联合行动。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（2）有下列情形之一的，视为投标人相互串通投标：</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a.不同投标人的投标文件由同一单位或个人编制：</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b.不同投标人委托同一单位或个人办理投标事宜；</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val="en-US" w:eastAsia="zh-CN"/>
        </w:rPr>
        <w:t>c.</w:t>
      </w:r>
      <w:r>
        <w:rPr>
          <w:rFonts w:hint="eastAsia" w:ascii="宋体" w:hAnsi="宋体" w:eastAsia="宋体" w:cs="宋体"/>
          <w:b/>
          <w:bCs/>
          <w:color w:val="auto"/>
          <w:sz w:val="24"/>
          <w:szCs w:val="24"/>
          <w:highlight w:val="none"/>
          <w:shd w:val="clear" w:color="auto" w:fill="auto"/>
          <w:lang w:eastAsia="zh-CN"/>
        </w:rPr>
        <w:t>不同投标人的投标文件载明的项目管理成员为同一人；</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 xml:space="preserve">d.不同投标人的投标文件异常一致或投标报价呈规律性差异： </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e.不同投标人的投标文件相互混装：</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f.不同投标人的投标保证金从同 一单位或个人的账户转出。</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（3）有下列情形之一的 ，属于招标人与投标人串通投标：</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a.招标人在开标前开启投标文件并将有关信息泄露给其他投标人；</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b招标人直接或间接向投标人泄露标底、评标委员会成员等信息；</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c招标人明示或暗示投标人压低或抬高投标报价：</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d.招标人授意投标人撤换、修改投标文件；</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e.招标人明示或暗示投标人为特定投标人中标提供方便：</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f.招标人与投标人为谋求特定投标人中标而采取的其他串通行为。</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（4）投标人有下列情形之一的，属于弄虚作假的行为：</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a.使用通过受让或租借等方式获取的资格、资质证书投标：</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b.使用伪造、变造的许可证件：</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val="en-US" w:eastAsia="zh-CN"/>
        </w:rPr>
        <w:t>c.</w:t>
      </w:r>
      <w:r>
        <w:rPr>
          <w:rFonts w:hint="eastAsia" w:ascii="宋体" w:hAnsi="宋体" w:eastAsia="宋体" w:cs="宋体"/>
          <w:b/>
          <w:bCs/>
          <w:color w:val="auto"/>
          <w:sz w:val="24"/>
          <w:szCs w:val="24"/>
          <w:highlight w:val="none"/>
          <w:shd w:val="clear" w:color="auto" w:fill="auto"/>
          <w:lang w:eastAsia="zh-CN"/>
        </w:rPr>
        <w:t>提供虚假的业绩；</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d.提供虚假的项目负责人或主要技术人员简历、劳动关系证明：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e.提供虚假的信用状况；</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f.其他弄虚作假的行为。</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Lines="50" w:after="0" w:afterLines="50" w:line="360" w:lineRule="auto"/>
        <w:ind w:firstLine="241" w:firstLineChars="100"/>
        <w:textAlignment w:val="auto"/>
        <w:outlineLvl w:val="1"/>
        <w:rPr>
          <w:rFonts w:hint="eastAsia" w:ascii="宋体" w:hAnsi="宋体" w:eastAsia="宋体" w:cs="宋体"/>
          <w:b/>
          <w:color w:val="auto"/>
          <w:sz w:val="24"/>
          <w:szCs w:val="24"/>
          <w:highlight w:val="none"/>
          <w:shd w:val="clear" w:color="auto" w:fill="auto"/>
          <w:lang w:eastAsia="zh-CN"/>
        </w:rPr>
      </w:pPr>
      <w:r>
        <w:rPr>
          <w:rFonts w:hint="eastAsia" w:ascii="宋体" w:hAnsi="宋体" w:eastAsia="宋体" w:cs="宋体"/>
          <w:b/>
          <w:color w:val="auto"/>
          <w:sz w:val="24"/>
          <w:szCs w:val="24"/>
          <w:highlight w:val="none"/>
          <w:shd w:val="clear" w:color="auto" w:fill="auto"/>
          <w:lang w:eastAsia="zh-CN"/>
        </w:rPr>
        <w:t>3.7 投标文件的澄清和说明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3.7.2 澄清和说明不得超出投标文件的范围或改 变投标文件的实质性内容（算术性错误的修正除外）。投标人的书面澄清、说明属于投标文件的组成部分。</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3.7.3 评标委员会不得暗示或诱导投标人作出澄清、说明，对投标人提交的澄清、说明有疑问的，可以要求投标人进一步澄清或说明，直至满足评标委员会的要求。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3.7.4 凡超出招标文件规定的或给委托人带来未曾要求的利益的变化、偏差或其他因素在评标时不予考虑。</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Lines="50" w:after="0" w:afterLines="50" w:line="360" w:lineRule="auto"/>
        <w:ind w:firstLine="241" w:firstLineChars="100"/>
        <w:textAlignment w:val="auto"/>
        <w:outlineLvl w:val="1"/>
        <w:rPr>
          <w:rFonts w:hint="eastAsia" w:ascii="宋体" w:hAnsi="宋体" w:eastAsia="宋体" w:cs="宋体"/>
          <w:b/>
          <w:color w:val="auto"/>
          <w:sz w:val="24"/>
          <w:szCs w:val="24"/>
          <w:highlight w:val="none"/>
          <w:shd w:val="clear" w:color="auto" w:fill="auto"/>
          <w:lang w:eastAsia="zh-CN"/>
        </w:rPr>
      </w:pPr>
      <w:r>
        <w:rPr>
          <w:rFonts w:hint="eastAsia" w:ascii="宋体" w:hAnsi="宋体" w:eastAsia="宋体" w:cs="宋体"/>
          <w:b/>
          <w:color w:val="auto"/>
          <w:sz w:val="24"/>
          <w:szCs w:val="24"/>
          <w:highlight w:val="none"/>
          <w:shd w:val="clear" w:color="auto" w:fill="auto"/>
          <w:lang w:eastAsia="zh-CN"/>
        </w:rPr>
        <w:t>3.8 不得否决投标的情形</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投标文件存在第二章“投标人须知”第1.12.3项所列情形的，均视为细微偏差，评标委员会不得否决投标人的投标，应按照第二章“投标人须知”第1.12.4项规定的原则处理。</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Lines="50" w:after="0" w:afterLines="50" w:line="360" w:lineRule="auto"/>
        <w:ind w:firstLine="241" w:firstLineChars="100"/>
        <w:textAlignment w:val="auto"/>
        <w:outlineLvl w:val="1"/>
        <w:rPr>
          <w:rFonts w:hint="eastAsia" w:ascii="宋体" w:hAnsi="宋体" w:eastAsia="宋体" w:cs="宋体"/>
          <w:b/>
          <w:color w:val="auto"/>
          <w:sz w:val="24"/>
          <w:szCs w:val="24"/>
          <w:highlight w:val="none"/>
          <w:shd w:val="clear" w:color="auto" w:fill="auto"/>
          <w:lang w:eastAsia="zh-CN"/>
        </w:rPr>
      </w:pPr>
      <w:r>
        <w:rPr>
          <w:rFonts w:hint="eastAsia" w:ascii="宋体" w:hAnsi="宋体" w:eastAsia="宋体" w:cs="宋体"/>
          <w:b/>
          <w:color w:val="auto"/>
          <w:sz w:val="24"/>
          <w:szCs w:val="24"/>
          <w:highlight w:val="none"/>
          <w:shd w:val="clear" w:color="auto" w:fill="auto"/>
          <w:lang w:eastAsia="zh-CN"/>
        </w:rPr>
        <w:t>3.9 评标结果</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3.9.1 除第二章“投标人须知”前附表授权直接确定中标人外，评标委员会按照得分由高到低的顺序推荐中标候选人，并标明排序。</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color w:val="auto"/>
          <w:kern w:val="0"/>
          <w:sz w:val="24"/>
          <w:lang w:val="en-US" w:eastAsia="zh-CN"/>
        </w:rPr>
      </w:pPr>
      <w:r>
        <w:rPr>
          <w:rFonts w:hint="eastAsia" w:ascii="宋体" w:hAnsi="宋体" w:eastAsia="宋体" w:cs="宋体"/>
          <w:color w:val="auto"/>
          <w:sz w:val="24"/>
          <w:szCs w:val="24"/>
          <w:highlight w:val="none"/>
          <w:shd w:val="clear" w:color="auto" w:fill="auto"/>
          <w:lang w:eastAsia="zh-CN"/>
        </w:rPr>
        <w:t>3.9.2 评标委员会完成评标后，应向招标人提交书面评标报告。</w:t>
      </w:r>
    </w:p>
    <w:sectPr>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jc w:val="center"/>
                          </w:pPr>
                          <w:r>
                            <w:fldChar w:fldCharType="begin"/>
                          </w:r>
                          <w:r>
                            <w:instrText xml:space="preserve">PAGE   \* MERGEFORMAT</w:instrText>
                          </w:r>
                          <w:r>
                            <w:fldChar w:fldCharType="separate"/>
                          </w:r>
                          <w:r>
                            <w:rPr>
                              <w:lang w:val="zh-CN" w:eastAsia="zh-CN"/>
                            </w:rPr>
                            <w:t>49</w:t>
                          </w:r>
                          <w:r>
                            <w:fldChar w:fldCharType="end"/>
                          </w:r>
                        </w:p>
                        <w:p>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rPr>
                        <w:lang w:val="zh-CN" w:eastAsia="zh-CN"/>
                      </w:rPr>
                      <w:t>49</w:t>
                    </w:r>
                    <w:r>
                      <w:fldChar w:fldCharType="end"/>
                    </w:r>
                  </w:p>
                  <w:p>
                    <w:pPr>
                      <w:pStyle w:val="17"/>
                    </w:pPr>
                  </w:p>
                </w:txbxContent>
              </v:textbox>
            </v:shape>
          </w:pict>
        </mc:Fallback>
      </mc:AlternateContent>
    </w:r>
  </w:p>
  <w:p>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55</w:t>
                    </w:r>
                    <w: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A46120"/>
    <w:multiLevelType w:val="singleLevel"/>
    <w:tmpl w:val="CAA46120"/>
    <w:lvl w:ilvl="0" w:tentative="0">
      <w:start w:val="2"/>
      <w:numFmt w:val="decimal"/>
      <w:suff w:val="space"/>
      <w:lvlText w:val="%1."/>
      <w:lvlJc w:val="left"/>
    </w:lvl>
  </w:abstractNum>
  <w:abstractNum w:abstractNumId="1">
    <w:nsid w:val="69570DFC"/>
    <w:multiLevelType w:val="singleLevel"/>
    <w:tmpl w:val="69570DF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NTUyY2M5NmRkMjJhZWIyOTgyYWMwZGEzOTE2NzQifQ=="/>
  </w:docVars>
  <w:rsids>
    <w:rsidRoot w:val="2AF33AFE"/>
    <w:rsid w:val="13B8235C"/>
    <w:rsid w:val="1995610C"/>
    <w:rsid w:val="20C15429"/>
    <w:rsid w:val="23CE653A"/>
    <w:rsid w:val="257E3CD2"/>
    <w:rsid w:val="27213E84"/>
    <w:rsid w:val="2AF33AFE"/>
    <w:rsid w:val="37033EC3"/>
    <w:rsid w:val="3EC00406"/>
    <w:rsid w:val="48803FD2"/>
    <w:rsid w:val="49003D98"/>
    <w:rsid w:val="50CA005D"/>
    <w:rsid w:val="511023C4"/>
    <w:rsid w:val="69BC574B"/>
    <w:rsid w:val="6BD82422"/>
    <w:rsid w:val="74FD1EBB"/>
    <w:rsid w:val="7DAA1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jc w:val="center"/>
      <w:outlineLvl w:val="0"/>
    </w:pPr>
    <w:rPr>
      <w:rFonts w:ascii="Times New Roman" w:hAnsi="Times New Roman"/>
      <w:b/>
      <w:kern w:val="44"/>
      <w:sz w:val="44"/>
      <w:szCs w:val="20"/>
    </w:rPr>
  </w:style>
  <w:style w:type="paragraph" w:styleId="4">
    <w:name w:val="heading 3"/>
    <w:basedOn w:val="1"/>
    <w:next w:val="1"/>
    <w:qFormat/>
    <w:uiPriority w:val="0"/>
    <w:pPr>
      <w:keepNext/>
      <w:keepLines/>
      <w:spacing w:before="260" w:after="260" w:line="416" w:lineRule="auto"/>
      <w:outlineLvl w:val="2"/>
    </w:pPr>
    <w:rPr>
      <w:b/>
      <w:sz w:val="32"/>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5">
    <w:name w:val="Body Text"/>
    <w:basedOn w:val="1"/>
    <w:qFormat/>
    <w:uiPriority w:val="99"/>
    <w:pPr>
      <w:spacing w:after="120"/>
    </w:pPr>
    <w:rPr>
      <w:kern w:val="0"/>
      <w:sz w:val="20"/>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Normal"/>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styleId="13">
    <w:name w:val="List Paragraph"/>
    <w:basedOn w:val="1"/>
    <w:qFormat/>
    <w:uiPriority w:val="99"/>
    <w:pPr>
      <w:ind w:firstLine="420" w:firstLineChars="200"/>
    </w:pPr>
    <w:rPr>
      <w:rFonts w:ascii="Calibri" w:hAnsi="Calibri"/>
      <w:szCs w:val="22"/>
    </w:rPr>
  </w:style>
  <w:style w:type="paragraph" w:customStyle="1" w:styleId="14">
    <w:name w:val="Table Paragraph"/>
    <w:basedOn w:val="1"/>
    <w:qFormat/>
    <w:uiPriority w:val="0"/>
    <w:pPr>
      <w:autoSpaceDE w:val="0"/>
      <w:autoSpaceDN w:val="0"/>
      <w:adjustRightInd w:val="0"/>
      <w:jc w:val="left"/>
    </w:pPr>
    <w:rPr>
      <w:rFonts w:ascii="宋体" w:cs="宋体"/>
      <w:kern w:val="0"/>
      <w:sz w:val="24"/>
    </w:rPr>
  </w:style>
  <w:style w:type="character" w:customStyle="1" w:styleId="15">
    <w:name w:val="font31"/>
    <w:basedOn w:val="10"/>
    <w:qFormat/>
    <w:uiPriority w:val="0"/>
    <w:rPr>
      <w:rFonts w:hint="default" w:ascii="仿宋_GB2312" w:eastAsia="仿宋_GB2312" w:cs="仿宋_GB2312"/>
      <w:color w:val="000000"/>
      <w:sz w:val="18"/>
      <w:szCs w:val="18"/>
      <w:u w:val="none"/>
    </w:rPr>
  </w:style>
  <w:style w:type="table" w:customStyle="1" w:styleId="16">
    <w:name w:val="Table Normal3"/>
    <w:unhideWhenUsed/>
    <w:qFormat/>
    <w:uiPriority w:val="2"/>
    <w:tblPr>
      <w:tblCellMar>
        <w:top w:w="0" w:type="dxa"/>
        <w:left w:w="0" w:type="dxa"/>
        <w:bottom w:w="0" w:type="dxa"/>
        <w:right w:w="0" w:type="dxa"/>
      </w:tblCellMar>
    </w:tblPr>
  </w:style>
  <w:style w:type="paragraph" w:customStyle="1" w:styleId="17">
    <w:name w:val="标题 Char Char"/>
    <w:basedOn w:val="18"/>
    <w:qFormat/>
    <w:uiPriority w:val="0"/>
    <w:pPr>
      <w:jc w:val="center"/>
      <w:outlineLvl w:val="0"/>
    </w:pPr>
    <w:rPr>
      <w:rFonts w:ascii="Arial" w:hAnsi="Arial" w:cs="Arial"/>
      <w:b/>
      <w:bCs/>
      <w:sz w:val="32"/>
      <w:szCs w:val="32"/>
    </w:rPr>
  </w:style>
  <w:style w:type="paragraph" w:customStyle="1" w:styleId="18">
    <w:name w:val="正文 New New New New New New New New New New New New New New New New New New New New New New New New New New New New New New New New New New New New New New New New New New New New New New New New New"/>
    <w:next w:val="17"/>
    <w:qFormat/>
    <w:uiPriority w:val="0"/>
    <w:pPr>
      <w:adjustRightInd w:val="0"/>
      <w:snapToGrid w:val="0"/>
      <w:spacing w:after="200"/>
    </w:pPr>
    <w:rPr>
      <w:rFonts w:ascii="Tahoma" w:hAnsi="Tahoma"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7831</Words>
  <Characters>8452</Characters>
  <Lines>0</Lines>
  <Paragraphs>0</Paragraphs>
  <TotalTime>119</TotalTime>
  <ScaleCrop>false</ScaleCrop>
  <LinksUpToDate>false</LinksUpToDate>
  <CharactersWithSpaces>8547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2020-09-02T08:35:00Z</dcterms:created>
  <dc:creator>月叶明</dc:creator>
  <cp:lastModifiedBy>芳芳</cp:lastModifiedBy>
  <cp:lastPrinted>2020-09-02T08:48:00Z</cp:lastPrinted>
  <dcterms:modified xsi:type="dcterms:W3CDTF">2023-02-14T03:41:00Z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AB424CFA4A3E4D3CA18C63275AEC8D20</vt:lpwstr>
  </property>
</Properties>
</file>