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仿宋"/>
          <w:b/>
          <w:sz w:val="24"/>
          <w:szCs w:val="24"/>
        </w:rPr>
      </w:pPr>
      <w:bookmarkStart w:id="0" w:name="_GoBack"/>
      <w:bookmarkEnd w:id="0"/>
      <w:r>
        <w:rPr>
          <w:rFonts w:hint="eastAsia" w:hAnsi="宋体" w:cs="仿宋"/>
          <w:b/>
          <w:sz w:val="24"/>
          <w:szCs w:val="24"/>
        </w:rPr>
        <w:t>附录1 资格审查条件（资质最低条件）</w:t>
      </w:r>
    </w:p>
    <w:p>
      <w:pPr>
        <w:jc w:val="center"/>
        <w:rPr>
          <w:rFonts w:hint="eastAsia" w:hAnsi="宋体" w:cs="仿宋"/>
          <w:b/>
          <w:sz w:val="24"/>
          <w:szCs w:val="24"/>
        </w:rPr>
      </w:pP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PrEx>
        <w:trPr>
          <w:trHeight w:val="90" w:hRule="atLeast"/>
          <w:tblHeader/>
        </w:trPr>
        <w:tc>
          <w:tcPr>
            <w:tcW w:w="9288" w:type="dxa"/>
            <w:vAlign w:val="center"/>
          </w:tcPr>
          <w:p>
            <w:pPr>
              <w:jc w:val="center"/>
              <w:rPr>
                <w:rFonts w:hint="eastAsia" w:hAnsi="宋体" w:cs="仿宋"/>
                <w:b/>
                <w:sz w:val="24"/>
                <w:szCs w:val="24"/>
              </w:rPr>
            </w:pPr>
            <w:r>
              <w:rPr>
                <w:rFonts w:hint="eastAsia" w:hAnsi="宋体" w:cs="仿宋"/>
                <w:b/>
                <w:sz w:val="24"/>
                <w:szCs w:val="24"/>
              </w:rPr>
              <w:t>投标单位资质等级要求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6778" w:hRule="atLeast"/>
        </w:trPr>
        <w:tc>
          <w:tcPr>
            <w:tcW w:w="9288" w:type="dxa"/>
            <w:vAlign w:val="center"/>
          </w:tcPr>
          <w:p>
            <w:pPr>
              <w:snapToGrid w:val="0"/>
              <w:spacing w:line="360" w:lineRule="auto"/>
              <w:ind w:firstLine="480" w:firstLineChars="200"/>
              <w:rPr>
                <w:rFonts w:hint="eastAsia" w:hAnsi="宋体" w:cs="仿宋"/>
                <w:sz w:val="24"/>
                <w:szCs w:val="24"/>
              </w:rPr>
            </w:pPr>
            <w:r>
              <w:rPr>
                <w:rFonts w:hint="eastAsia" w:hAnsi="宋体" w:cs="仿宋"/>
                <w:sz w:val="24"/>
                <w:szCs w:val="24"/>
              </w:rPr>
              <w:t>①本次招标要求具有独立法人资格的制造商或者取得制造商授权的合法代理商（代理商须具有制造商针对本项目投标的唯一授权书），具有合法的经营资格。</w:t>
            </w:r>
          </w:p>
          <w:p>
            <w:pPr>
              <w:snapToGrid w:val="0"/>
              <w:spacing w:line="360" w:lineRule="auto"/>
              <w:ind w:firstLine="480" w:firstLineChars="200"/>
              <w:rPr>
                <w:rFonts w:hint="eastAsia" w:hAnsi="宋体" w:cs="仿宋"/>
                <w:sz w:val="24"/>
                <w:szCs w:val="24"/>
              </w:rPr>
            </w:pPr>
            <w:r>
              <w:rPr>
                <w:rFonts w:hint="eastAsia" w:hAnsi="宋体" w:cs="仿宋"/>
                <w:sz w:val="24"/>
                <w:szCs w:val="24"/>
              </w:rPr>
              <w:t>②若为波形梁制造商，投标人须提供有相应资质单位出具的《交通工程产品批量生产合格证书》（产品范围包括波形梁钢护栏）；应具有有效的ISO9000质量认证。同时提供2020年1月1日至今，省部级质量检测机构出具的要投标产品中任意的一个品规的质量检测报告。</w:t>
            </w:r>
          </w:p>
          <w:p>
            <w:pPr>
              <w:snapToGrid w:val="0"/>
              <w:spacing w:line="360" w:lineRule="auto"/>
              <w:ind w:firstLine="480" w:firstLineChars="200"/>
              <w:rPr>
                <w:rFonts w:hint="eastAsia" w:hAnsi="宋体" w:cs="仿宋"/>
                <w:sz w:val="24"/>
                <w:szCs w:val="24"/>
              </w:rPr>
            </w:pPr>
            <w:r>
              <w:rPr>
                <w:rFonts w:hint="eastAsia" w:hAnsi="宋体" w:cs="仿宋"/>
                <w:sz w:val="24"/>
                <w:szCs w:val="24"/>
              </w:rPr>
              <w:t>③若为特许代理商，其投标货物的制造商具有相应资质单位出具的《交通工程产品批量生产合格证书》（产品范围包括波形梁钢护栏），其投标货物的制造商应具有有效的ISO9000质量认证。同时提供2020年1月1日至今，省部级质量检测机构出具的要投标产品中任意的一个品规的质量检测报告。</w:t>
            </w:r>
          </w:p>
          <w:p>
            <w:pPr>
              <w:snapToGrid w:val="0"/>
              <w:spacing w:line="360" w:lineRule="auto"/>
              <w:ind w:firstLine="480" w:firstLineChars="200"/>
              <w:rPr>
                <w:rFonts w:hint="eastAsia" w:hAnsi="宋体" w:cs="仿宋"/>
                <w:sz w:val="24"/>
                <w:szCs w:val="24"/>
              </w:rPr>
            </w:pPr>
            <w:r>
              <w:rPr>
                <w:rFonts w:hint="eastAsia" w:hAnsi="宋体" w:cs="仿宋"/>
                <w:sz w:val="24"/>
                <w:szCs w:val="24"/>
              </w:rPr>
              <w:t>④本次招标采取资格后审方式，不接受联合体，不允许分包。</w:t>
            </w:r>
          </w:p>
          <w:p>
            <w:pPr>
              <w:snapToGrid w:val="0"/>
              <w:spacing w:line="360" w:lineRule="auto"/>
              <w:ind w:firstLine="480" w:firstLineChars="200"/>
              <w:rPr>
                <w:rFonts w:hint="eastAsia" w:hAnsi="宋体" w:cs="仿宋"/>
                <w:sz w:val="24"/>
                <w:szCs w:val="24"/>
              </w:rPr>
            </w:pPr>
            <w:r>
              <w:rPr>
                <w:rFonts w:hint="eastAsia" w:hAnsi="宋体" w:cs="仿宋"/>
                <w:sz w:val="24"/>
                <w:szCs w:val="24"/>
              </w:rPr>
              <w:t>⑤与招标人存在利害关系可能影响招标公正性的法人、其他组织或者个人，不得参加投标。</w:t>
            </w:r>
          </w:p>
          <w:p>
            <w:pPr>
              <w:snapToGrid w:val="0"/>
              <w:spacing w:line="360" w:lineRule="auto"/>
              <w:ind w:firstLine="480" w:firstLineChars="200"/>
              <w:rPr>
                <w:rFonts w:hint="eastAsia" w:hAnsi="宋体" w:cs="仿宋"/>
                <w:sz w:val="24"/>
                <w:szCs w:val="24"/>
              </w:rPr>
            </w:pPr>
            <w:r>
              <w:rPr>
                <w:rFonts w:hint="eastAsia" w:hAnsi="宋体" w:cs="仿宋"/>
                <w:sz w:val="24"/>
                <w:szCs w:val="24"/>
              </w:rPr>
              <w:t>单位负责人为同一人或者存在控股、管理关系的不同单位，不得参加同一标段投标或者未划分标段的统一招标项目投标。</w:t>
            </w:r>
          </w:p>
          <w:p>
            <w:pPr>
              <w:snapToGrid w:val="0"/>
              <w:spacing w:line="360" w:lineRule="auto"/>
              <w:ind w:firstLine="480" w:firstLineChars="200"/>
              <w:rPr>
                <w:rFonts w:hint="eastAsia" w:hAnsi="宋体" w:cs="仿宋"/>
                <w:sz w:val="24"/>
                <w:szCs w:val="24"/>
              </w:rPr>
            </w:pPr>
            <w:r>
              <w:rPr>
                <w:rFonts w:hint="eastAsia" w:hAnsi="宋体" w:cs="仿宋"/>
                <w:sz w:val="24"/>
                <w:szCs w:val="24"/>
              </w:rPr>
              <w:t>违反前两款规定的，相关投标均无效。</w:t>
            </w:r>
          </w:p>
          <w:p>
            <w:pPr>
              <w:widowControl/>
              <w:shd w:val="clear" w:color="auto" w:fill="FFFFFF"/>
              <w:spacing w:line="300" w:lineRule="auto"/>
              <w:ind w:firstLine="480" w:firstLineChars="200"/>
              <w:rPr>
                <w:rFonts w:hint="eastAsia" w:hAnsi="宋体" w:cs="仿宋"/>
                <w:sz w:val="24"/>
                <w:szCs w:val="24"/>
              </w:rPr>
            </w:pPr>
            <w:r>
              <w:rPr>
                <w:rFonts w:hint="eastAsia" w:hAnsi="宋体" w:cs="仿宋"/>
                <w:sz w:val="24"/>
                <w:szCs w:val="24"/>
              </w:rPr>
              <w:t>⑥一个生产商对同一品牌同一型号的货物，仅能由生产商自身或由其委托的一个代理商参加本项目投标，否则投标文件均将被否决。</w:t>
            </w:r>
          </w:p>
        </w:tc>
      </w:tr>
    </w:tbl>
    <w:p>
      <w:pPr>
        <w:jc w:val="center"/>
        <w:rPr>
          <w:rFonts w:hint="eastAsia" w:hAnsi="宋体" w:cs="仿宋"/>
          <w:b/>
          <w:sz w:val="24"/>
          <w:szCs w:val="24"/>
        </w:rPr>
      </w:pPr>
    </w:p>
    <w:p>
      <w:pPr>
        <w:rPr>
          <w:rFonts w:hint="eastAsia" w:hAnsi="宋体" w:cs="仿宋"/>
          <w:b/>
          <w:sz w:val="24"/>
          <w:szCs w:val="24"/>
        </w:rPr>
      </w:pPr>
    </w:p>
    <w:p>
      <w:pPr>
        <w:jc w:val="center"/>
        <w:rPr>
          <w:rFonts w:hint="eastAsia" w:hAnsi="宋体" w:cs="仿宋"/>
          <w:b/>
          <w:sz w:val="24"/>
          <w:szCs w:val="24"/>
        </w:rPr>
      </w:pPr>
      <w:r>
        <w:rPr>
          <w:rFonts w:hint="eastAsia" w:hAnsi="宋体" w:cs="仿宋"/>
          <w:b/>
          <w:sz w:val="24"/>
          <w:szCs w:val="24"/>
        </w:rPr>
        <w:t>附录2 资格审查条件（财务最低要求）</w:t>
      </w:r>
    </w:p>
    <w:p>
      <w:pPr>
        <w:jc w:val="center"/>
        <w:rPr>
          <w:rFonts w:hint="eastAsia" w:hAnsi="宋体" w:cs="仿宋"/>
          <w:b/>
          <w:sz w:val="24"/>
          <w:szCs w:val="24"/>
        </w:rPr>
      </w:pP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595" w:hRule="atLeast"/>
          <w:tblHeader/>
        </w:trPr>
        <w:tc>
          <w:tcPr>
            <w:tcW w:w="9288" w:type="dxa"/>
            <w:vAlign w:val="center"/>
          </w:tcPr>
          <w:p>
            <w:pPr>
              <w:ind w:firstLine="480" w:firstLineChars="200"/>
              <w:jc w:val="center"/>
              <w:rPr>
                <w:rFonts w:hint="eastAsia" w:hAnsi="宋体" w:cs="仿宋"/>
                <w:sz w:val="24"/>
                <w:szCs w:val="24"/>
              </w:rPr>
            </w:pPr>
            <w:r>
              <w:rPr>
                <w:rFonts w:hint="eastAsia" w:hAnsi="宋体" w:cs="仿宋"/>
                <w:sz w:val="24"/>
                <w:szCs w:val="24"/>
              </w:rPr>
              <w:t>财务要求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1204" w:hRule="atLeast"/>
        </w:trPr>
        <w:tc>
          <w:tcPr>
            <w:tcW w:w="9288" w:type="dxa"/>
            <w:vAlign w:val="center"/>
          </w:tcPr>
          <w:p>
            <w:pPr>
              <w:spacing w:line="300" w:lineRule="auto"/>
              <w:jc w:val="center"/>
              <w:rPr>
                <w:rFonts w:hint="eastAsia" w:hAnsi="宋体" w:cs="仿宋"/>
                <w:sz w:val="24"/>
                <w:szCs w:val="24"/>
              </w:rPr>
            </w:pPr>
            <w:r>
              <w:rPr>
                <w:rFonts w:hint="eastAsia" w:hAnsi="宋体" w:cs="仿宋"/>
                <w:sz w:val="24"/>
                <w:szCs w:val="24"/>
              </w:rPr>
              <w:t>须提供2018、2019年度经审计的财务报表。</w:t>
            </w:r>
          </w:p>
          <w:p>
            <w:pPr>
              <w:spacing w:line="300" w:lineRule="auto"/>
              <w:rPr>
                <w:rFonts w:hint="eastAsia" w:hAnsi="宋体" w:cs="仿宋"/>
                <w:sz w:val="24"/>
                <w:szCs w:val="24"/>
              </w:rPr>
            </w:pPr>
            <w:r>
              <w:rPr>
                <w:rFonts w:hint="eastAsia" w:hAnsi="宋体" w:cs="仿宋"/>
                <w:sz w:val="24"/>
                <w:szCs w:val="24"/>
              </w:rPr>
              <w:t xml:space="preserve">             </w:t>
            </w:r>
          </w:p>
          <w:p>
            <w:pPr>
              <w:spacing w:line="300" w:lineRule="auto"/>
              <w:jc w:val="center"/>
              <w:rPr>
                <w:rFonts w:hint="eastAsia" w:hAnsi="宋体" w:cs="仿宋"/>
                <w:sz w:val="24"/>
                <w:szCs w:val="24"/>
              </w:rPr>
            </w:pPr>
          </w:p>
          <w:p>
            <w:pPr>
              <w:spacing w:line="300" w:lineRule="auto"/>
              <w:jc w:val="both"/>
              <w:rPr>
                <w:rFonts w:hint="eastAsia" w:hAnsi="宋体" w:cs="仿宋"/>
                <w:sz w:val="24"/>
                <w:szCs w:val="24"/>
              </w:rPr>
            </w:pPr>
          </w:p>
        </w:tc>
      </w:tr>
    </w:tbl>
    <w:p>
      <w:pPr>
        <w:spacing w:line="360" w:lineRule="auto"/>
        <w:jc w:val="center"/>
        <w:rPr>
          <w:rFonts w:hint="eastAsia" w:hAnsi="宋体" w:cs="仿宋"/>
          <w:b/>
          <w:sz w:val="24"/>
          <w:szCs w:val="24"/>
        </w:rPr>
      </w:pPr>
    </w:p>
    <w:p>
      <w:pPr>
        <w:spacing w:line="360" w:lineRule="auto"/>
        <w:jc w:val="center"/>
        <w:rPr>
          <w:rFonts w:hint="eastAsia" w:hAnsi="宋体" w:cs="仿宋"/>
          <w:b/>
          <w:sz w:val="24"/>
          <w:szCs w:val="24"/>
        </w:rPr>
      </w:pPr>
    </w:p>
    <w:p>
      <w:pPr>
        <w:pStyle w:val="2"/>
        <w:ind w:left="0" w:leftChars="0" w:firstLine="0" w:firstLineChars="0"/>
        <w:rPr>
          <w:rFonts w:hint="eastAsia" w:hAnsi="宋体"/>
        </w:rPr>
      </w:pPr>
    </w:p>
    <w:p>
      <w:pPr>
        <w:pStyle w:val="2"/>
        <w:ind w:left="680" w:firstLine="480"/>
        <w:rPr>
          <w:rFonts w:hint="eastAsia" w:hAnsi="宋体"/>
        </w:rPr>
      </w:pPr>
    </w:p>
    <w:p>
      <w:pPr>
        <w:spacing w:line="360" w:lineRule="auto"/>
        <w:jc w:val="center"/>
        <w:rPr>
          <w:rFonts w:hint="eastAsia" w:hAnsi="宋体" w:cs="仿宋"/>
          <w:b/>
          <w:sz w:val="24"/>
          <w:szCs w:val="24"/>
        </w:rPr>
      </w:pPr>
      <w:r>
        <w:rPr>
          <w:rFonts w:hint="eastAsia" w:hAnsi="宋体" w:cs="仿宋"/>
          <w:b/>
          <w:sz w:val="24"/>
          <w:szCs w:val="24"/>
        </w:rPr>
        <w:t>附录3 业绩要求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9306" w:type="dxa"/>
            <w:vAlign w:val="center"/>
          </w:tcPr>
          <w:p>
            <w:pPr>
              <w:jc w:val="center"/>
              <w:rPr>
                <w:rFonts w:hint="eastAsia" w:hAnsi="宋体" w:cs="仿宋"/>
                <w:sz w:val="24"/>
                <w:szCs w:val="24"/>
              </w:rPr>
            </w:pPr>
            <w:r>
              <w:rPr>
                <w:rFonts w:hint="eastAsia" w:hAnsi="宋体" w:cs="仿宋"/>
                <w:sz w:val="24"/>
                <w:szCs w:val="24"/>
              </w:rPr>
              <w:t>无最低业绩要求</w:t>
            </w:r>
          </w:p>
        </w:tc>
      </w:tr>
    </w:tbl>
    <w:p>
      <w:pPr>
        <w:jc w:val="center"/>
        <w:rPr>
          <w:rFonts w:hint="eastAsia" w:hAnsi="宋体" w:cs="仿宋"/>
          <w:b/>
          <w:sz w:val="24"/>
          <w:szCs w:val="24"/>
        </w:rPr>
      </w:pPr>
    </w:p>
    <w:p>
      <w:pPr>
        <w:jc w:val="center"/>
        <w:rPr>
          <w:rFonts w:hint="eastAsia" w:hAnsi="宋体" w:cs="仿宋"/>
          <w:b/>
          <w:sz w:val="24"/>
          <w:szCs w:val="24"/>
        </w:rPr>
      </w:pPr>
    </w:p>
    <w:p>
      <w:pPr>
        <w:jc w:val="center"/>
        <w:rPr>
          <w:rFonts w:hint="eastAsia" w:hAnsi="宋体" w:cs="仿宋"/>
          <w:b/>
          <w:sz w:val="24"/>
          <w:szCs w:val="24"/>
        </w:rPr>
      </w:pPr>
    </w:p>
    <w:p>
      <w:pPr>
        <w:jc w:val="center"/>
        <w:rPr>
          <w:rFonts w:hint="eastAsia" w:hAnsi="宋体" w:cs="仿宋"/>
          <w:b/>
          <w:sz w:val="24"/>
          <w:szCs w:val="24"/>
        </w:rPr>
      </w:pPr>
    </w:p>
    <w:p>
      <w:pPr>
        <w:jc w:val="center"/>
        <w:rPr>
          <w:rFonts w:hint="eastAsia" w:hAnsi="宋体" w:cs="仿宋"/>
          <w:b/>
          <w:sz w:val="24"/>
          <w:szCs w:val="24"/>
        </w:rPr>
      </w:pPr>
      <w:r>
        <w:rPr>
          <w:rFonts w:hint="eastAsia" w:hAnsi="宋体" w:cs="仿宋"/>
          <w:b/>
          <w:sz w:val="24"/>
          <w:szCs w:val="24"/>
        </w:rPr>
        <w:t>附录4 资格审查条件（信誉最低要求）</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595" w:hRule="atLeast"/>
          <w:tblHeader/>
        </w:trPr>
        <w:tc>
          <w:tcPr>
            <w:tcW w:w="9118" w:type="dxa"/>
            <w:vAlign w:val="center"/>
          </w:tcPr>
          <w:p>
            <w:pPr>
              <w:jc w:val="center"/>
              <w:rPr>
                <w:rFonts w:hint="eastAsia" w:hAnsi="宋体" w:cs="仿宋"/>
                <w:sz w:val="24"/>
                <w:szCs w:val="24"/>
              </w:rPr>
            </w:pPr>
            <w:r>
              <w:rPr>
                <w:rFonts w:hint="eastAsia" w:hAnsi="宋体" w:cs="仿宋"/>
                <w:sz w:val="24"/>
                <w:szCs w:val="24"/>
              </w:rPr>
              <w:t>信誉要求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2179" w:hRule="atLeast"/>
        </w:trPr>
        <w:tc>
          <w:tcPr>
            <w:tcW w:w="9118" w:type="dxa"/>
            <w:vAlign w:val="center"/>
          </w:tcPr>
          <w:p>
            <w:pPr>
              <w:spacing w:line="300" w:lineRule="auto"/>
              <w:jc w:val="both"/>
              <w:rPr>
                <w:rFonts w:hint="eastAsia" w:hAnsi="宋体" w:cs="仿宋"/>
                <w:sz w:val="24"/>
                <w:szCs w:val="24"/>
              </w:rPr>
            </w:pPr>
            <w:r>
              <w:rPr>
                <w:rFonts w:hint="eastAsia" w:hAnsi="宋体" w:cs="仿宋"/>
                <w:sz w:val="24"/>
                <w:szCs w:val="24"/>
              </w:rPr>
              <w:t>（1）未被省级及以上交通运输主管部门取消招标项目所在地的投标资格且处于有效期内；</w:t>
            </w:r>
            <w:r>
              <w:rPr>
                <w:rFonts w:hint="eastAsia" w:hAnsi="宋体" w:cs="仿宋"/>
                <w:sz w:val="24"/>
                <w:szCs w:val="24"/>
              </w:rPr>
              <w:br w:type="textWrapping"/>
            </w:r>
            <w:r>
              <w:rPr>
                <w:rFonts w:hint="eastAsia" w:hAnsi="宋体" w:cs="仿宋"/>
                <w:sz w:val="24"/>
                <w:szCs w:val="24"/>
              </w:rPr>
              <w:t>（2）未被责令停业，未暂扣或吊销执照，或未吊销资质证书；</w:t>
            </w:r>
            <w:r>
              <w:rPr>
                <w:rFonts w:hint="eastAsia" w:hAnsi="宋体" w:cs="仿宋"/>
                <w:sz w:val="24"/>
                <w:szCs w:val="24"/>
              </w:rPr>
              <w:br w:type="textWrapping"/>
            </w:r>
            <w:r>
              <w:rPr>
                <w:rFonts w:hint="eastAsia" w:hAnsi="宋体" w:cs="仿宋"/>
                <w:sz w:val="24"/>
                <w:szCs w:val="24"/>
              </w:rPr>
              <w:t>（3）未进入清算程序，或未被宣告破产，或未发生其他丧失履约能力的情形；</w:t>
            </w:r>
            <w:r>
              <w:rPr>
                <w:rFonts w:hint="eastAsia" w:hAnsi="宋体" w:cs="仿宋"/>
                <w:sz w:val="24"/>
                <w:szCs w:val="24"/>
              </w:rPr>
              <w:br w:type="textWrapping"/>
            </w:r>
            <w:r>
              <w:rPr>
                <w:rFonts w:hint="eastAsia" w:hAnsi="宋体" w:cs="仿宋"/>
                <w:sz w:val="24"/>
                <w:szCs w:val="24"/>
              </w:rPr>
              <w:t>（4）未在国家企业信用信息公示系统（</w:t>
            </w:r>
            <w:r>
              <w:rPr>
                <w:rFonts w:hint="eastAsia" w:hAnsi="宋体" w:cs="仿宋"/>
                <w:sz w:val="24"/>
                <w:szCs w:val="24"/>
              </w:rPr>
              <w:drawing>
                <wp:inline distT="0" distB="0" distL="0" distR="0">
                  <wp:extent cx="186055" cy="144145"/>
                  <wp:effectExtent l="19050" t="0" r="4445"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noChangeArrowheads="1"/>
                          </pic:cNvPicPr>
                        </pic:nvPicPr>
                        <pic:blipFill>
                          <a:blip r:embed="rId5" cstate="print"/>
                          <a:srcRect/>
                          <a:stretch>
                            <a:fillRect/>
                          </a:stretch>
                        </pic:blipFill>
                        <pic:spPr>
                          <a:xfrm>
                            <a:off x="0" y="0"/>
                            <a:ext cx="186055" cy="144145"/>
                          </a:xfrm>
                          <a:prstGeom prst="rect">
                            <a:avLst/>
                          </a:prstGeom>
                          <a:noFill/>
                          <a:ln w="9525">
                            <a:noFill/>
                            <a:miter lim="800000"/>
                            <a:headEnd/>
                            <a:tailEnd/>
                          </a:ln>
                        </pic:spPr>
                      </pic:pic>
                    </a:graphicData>
                  </a:graphic>
                </wp:inline>
              </w:drawing>
            </w:r>
            <w:r>
              <w:rPr>
                <w:rFonts w:hint="eastAsia" w:hAnsi="宋体" w:cs="仿宋"/>
                <w:sz w:val="24"/>
                <w:szCs w:val="24"/>
              </w:rPr>
              <w:t>http://www.gsxt.gov.cn/）中被列入严重违法失信企业名单；</w:t>
            </w:r>
            <w:r>
              <w:rPr>
                <w:rFonts w:hint="eastAsia" w:hAnsi="宋体" w:cs="仿宋"/>
                <w:sz w:val="24"/>
                <w:szCs w:val="24"/>
              </w:rPr>
              <w:br w:type="textWrapping"/>
            </w:r>
            <w:r>
              <w:rPr>
                <w:rFonts w:hint="eastAsia" w:hAnsi="宋体" w:cs="仿宋"/>
                <w:sz w:val="24"/>
                <w:szCs w:val="24"/>
              </w:rPr>
              <w:t>（5）未在“信用中国”网站（</w:t>
            </w:r>
            <w:r>
              <w:rPr>
                <w:rFonts w:hint="eastAsia" w:hAnsi="宋体" w:cs="仿宋"/>
                <w:sz w:val="24"/>
                <w:szCs w:val="24"/>
              </w:rPr>
              <w:drawing>
                <wp:inline distT="0" distB="0" distL="0" distR="0">
                  <wp:extent cx="186055" cy="144145"/>
                  <wp:effectExtent l="19050" t="0" r="444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5" cstate="print"/>
                          <a:srcRect/>
                          <a:stretch>
                            <a:fillRect/>
                          </a:stretch>
                        </pic:blipFill>
                        <pic:spPr>
                          <a:xfrm>
                            <a:off x="0" y="0"/>
                            <a:ext cx="186055" cy="144145"/>
                          </a:xfrm>
                          <a:prstGeom prst="rect">
                            <a:avLst/>
                          </a:prstGeom>
                          <a:noFill/>
                          <a:ln w="9525">
                            <a:noFill/>
                            <a:miter lim="800000"/>
                            <a:headEnd/>
                            <a:tailEnd/>
                          </a:ln>
                        </pic:spPr>
                      </pic:pic>
                    </a:graphicData>
                  </a:graphic>
                </wp:inline>
              </w:drawing>
            </w:r>
            <w:r>
              <w:rPr>
                <w:rFonts w:hint="eastAsia" w:hAnsi="宋体" w:cs="仿宋"/>
                <w:sz w:val="24"/>
                <w:szCs w:val="24"/>
              </w:rPr>
              <w:t>http://www.creditchina.gov.cn/）中被列入失信被执行人名单；</w:t>
            </w:r>
            <w:r>
              <w:rPr>
                <w:rFonts w:hint="eastAsia" w:hAnsi="宋体" w:cs="仿宋"/>
                <w:sz w:val="24"/>
                <w:szCs w:val="24"/>
              </w:rPr>
              <w:br w:type="textWrapping"/>
            </w:r>
            <w:r>
              <w:rPr>
                <w:rFonts w:hint="eastAsia" w:hAnsi="宋体" w:cs="仿宋"/>
                <w:sz w:val="24"/>
                <w:szCs w:val="24"/>
              </w:rPr>
              <w:t xml:space="preserve">（6）未发生法律法规或投标人须知前附表规定的其他情形。 </w:t>
            </w:r>
          </w:p>
          <w:p>
            <w:pPr>
              <w:spacing w:line="300" w:lineRule="auto"/>
              <w:jc w:val="both"/>
              <w:rPr>
                <w:rFonts w:hAnsi="宋体" w:cs="仿宋"/>
                <w:sz w:val="24"/>
                <w:szCs w:val="24"/>
              </w:rPr>
            </w:pPr>
            <w:r>
              <w:rPr>
                <w:rFonts w:hint="eastAsia" w:hAnsi="宋体" w:cs="仿宋"/>
                <w:sz w:val="24"/>
                <w:szCs w:val="24"/>
              </w:rPr>
              <w:t>上述印证资料应附在投标文件格式（四）资格审查材料4.4信誉情况附表后。</w:t>
            </w:r>
          </w:p>
          <w:p>
            <w:pPr>
              <w:spacing w:line="0" w:lineRule="atLeast"/>
              <w:jc w:val="both"/>
              <w:rPr>
                <w:rFonts w:hint="eastAsia" w:hAnsi="宋体" w:cs="仿宋"/>
                <w:sz w:val="24"/>
                <w:szCs w:val="24"/>
              </w:rPr>
            </w:pPr>
          </w:p>
        </w:tc>
      </w:tr>
    </w:tbl>
    <w:p>
      <w:pPr>
        <w:spacing w:line="300" w:lineRule="auto"/>
        <w:jc w:val="both"/>
        <w:rPr>
          <w:rFonts w:hint="eastAsia" w:hAnsi="宋体" w:cs="仿宋"/>
          <w:b/>
          <w:sz w:val="24"/>
          <w:szCs w:val="24"/>
        </w:rPr>
      </w:pPr>
    </w:p>
    <w:p>
      <w:pPr>
        <w:jc w:val="center"/>
        <w:rPr>
          <w:rFonts w:hint="eastAsia" w:hAnsi="宋体" w:cs="仿宋"/>
          <w:b/>
          <w:sz w:val="24"/>
          <w:szCs w:val="24"/>
        </w:rPr>
      </w:pPr>
      <w:r>
        <w:rPr>
          <w:rFonts w:hint="eastAsia" w:hAnsi="宋体" w:cs="仿宋"/>
          <w:sz w:val="24"/>
          <w:szCs w:val="24"/>
        </w:rPr>
        <w:br w:type="page"/>
      </w:r>
      <w:r>
        <w:rPr>
          <w:rFonts w:hint="eastAsia" w:hAnsi="宋体" w:cs="仿宋"/>
          <w:b/>
          <w:sz w:val="24"/>
          <w:szCs w:val="24"/>
        </w:rPr>
        <w:t>评标办法（综合评分法）</w:t>
      </w:r>
    </w:p>
    <w:p>
      <w:pPr>
        <w:rPr>
          <w:rFonts w:hint="eastAsia" w:hAnsi="宋体" w:cs="仿宋"/>
          <w:b/>
          <w:sz w:val="24"/>
          <w:szCs w:val="24"/>
        </w:rPr>
      </w:pPr>
      <w:r>
        <w:rPr>
          <w:rFonts w:hint="eastAsia" w:hAnsi="宋体" w:cs="仿宋"/>
          <w:b/>
          <w:sz w:val="24"/>
          <w:szCs w:val="24"/>
        </w:rPr>
        <w:t>评标办法前附表</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5"/>
        <w:gridCol w:w="899"/>
        <w:gridCol w:w="367"/>
        <w:gridCol w:w="200"/>
        <w:gridCol w:w="284"/>
        <w:gridCol w:w="2976"/>
        <w:gridCol w:w="802"/>
        <w:gridCol w:w="74"/>
        <w:gridCol w:w="2760"/>
        <w:gridCol w:w="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blHeader/>
        </w:trPr>
        <w:tc>
          <w:tcPr>
            <w:tcW w:w="2318" w:type="dxa"/>
            <w:gridSpan w:val="4"/>
          </w:tcPr>
          <w:p>
            <w:pPr>
              <w:spacing w:line="300" w:lineRule="auto"/>
              <w:ind w:firstLine="420"/>
              <w:jc w:val="center"/>
              <w:rPr>
                <w:rFonts w:hint="eastAsia" w:hAnsi="宋体" w:cs="仿宋"/>
                <w:b/>
                <w:kern w:val="2"/>
                <w:sz w:val="24"/>
                <w:szCs w:val="24"/>
              </w:rPr>
            </w:pPr>
            <w:r>
              <w:rPr>
                <w:rFonts w:hint="eastAsia" w:hAnsi="宋体" w:cs="仿宋"/>
                <w:b/>
                <w:kern w:val="2"/>
                <w:sz w:val="24"/>
                <w:szCs w:val="24"/>
              </w:rPr>
              <w:t>条款号</w:t>
            </w:r>
          </w:p>
        </w:tc>
        <w:tc>
          <w:tcPr>
            <w:tcW w:w="7096" w:type="dxa"/>
            <w:gridSpan w:val="6"/>
          </w:tcPr>
          <w:p>
            <w:pPr>
              <w:spacing w:line="300" w:lineRule="auto"/>
              <w:ind w:firstLine="420"/>
              <w:jc w:val="both"/>
              <w:rPr>
                <w:rFonts w:hint="eastAsia" w:hAnsi="宋体" w:cs="仿宋"/>
                <w:b/>
                <w:kern w:val="2"/>
                <w:sz w:val="24"/>
                <w:szCs w:val="24"/>
              </w:rPr>
            </w:pPr>
            <w:r>
              <w:rPr>
                <w:rFonts w:hint="eastAsia" w:hAnsi="宋体" w:cs="仿宋"/>
                <w:b/>
                <w:kern w:val="2"/>
                <w:sz w:val="24"/>
                <w:szCs w:val="24"/>
              </w:rPr>
              <w:t>评审因素与标准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vAlign w:val="center"/>
          </w:tcPr>
          <w:p>
            <w:pPr>
              <w:spacing w:line="300" w:lineRule="auto"/>
              <w:rPr>
                <w:rFonts w:hint="eastAsia" w:hAnsi="宋体" w:cs="仿宋"/>
                <w:kern w:val="2"/>
                <w:sz w:val="24"/>
                <w:szCs w:val="24"/>
              </w:rPr>
            </w:pPr>
            <w:r>
              <w:rPr>
                <w:rFonts w:hint="eastAsia" w:hAnsi="宋体" w:cs="仿宋"/>
                <w:kern w:val="2"/>
                <w:sz w:val="24"/>
                <w:szCs w:val="24"/>
              </w:rPr>
              <w:t>2.1.1</w:t>
            </w:r>
          </w:p>
          <w:p>
            <w:pPr>
              <w:spacing w:line="300" w:lineRule="auto"/>
              <w:rPr>
                <w:rFonts w:hint="eastAsia" w:hAnsi="宋体" w:cs="仿宋"/>
                <w:b/>
                <w:kern w:val="2"/>
                <w:sz w:val="24"/>
                <w:szCs w:val="24"/>
              </w:rPr>
            </w:pPr>
            <w:r>
              <w:rPr>
                <w:rFonts w:hint="eastAsia" w:hAnsi="宋体" w:cs="仿宋"/>
                <w:kern w:val="2"/>
                <w:sz w:val="24"/>
                <w:szCs w:val="24"/>
              </w:rPr>
              <w:t>2.1.3</w:t>
            </w:r>
          </w:p>
        </w:tc>
        <w:tc>
          <w:tcPr>
            <w:tcW w:w="1266" w:type="dxa"/>
            <w:gridSpan w:val="2"/>
            <w:vAlign w:val="center"/>
          </w:tcPr>
          <w:p>
            <w:pPr>
              <w:spacing w:line="300" w:lineRule="auto"/>
              <w:rPr>
                <w:rFonts w:hint="eastAsia" w:hAnsi="宋体" w:cs="仿宋"/>
                <w:b/>
                <w:kern w:val="2"/>
                <w:sz w:val="24"/>
                <w:szCs w:val="24"/>
              </w:rPr>
            </w:pPr>
            <w:r>
              <w:rPr>
                <w:rFonts w:hint="eastAsia" w:hAnsi="宋体" w:cs="仿宋"/>
                <w:b/>
                <w:kern w:val="2"/>
                <w:sz w:val="24"/>
                <w:szCs w:val="24"/>
              </w:rPr>
              <w:t>第一信封形式评审与响应性评审标准</w:t>
            </w:r>
          </w:p>
        </w:tc>
        <w:tc>
          <w:tcPr>
            <w:tcW w:w="7096" w:type="dxa"/>
            <w:gridSpan w:val="6"/>
          </w:tcPr>
          <w:p>
            <w:pPr>
              <w:spacing w:line="300" w:lineRule="auto"/>
              <w:jc w:val="both"/>
              <w:rPr>
                <w:rFonts w:hint="eastAsia" w:hAnsi="宋体" w:cs="仿宋"/>
                <w:kern w:val="2"/>
                <w:sz w:val="24"/>
                <w:szCs w:val="24"/>
              </w:rPr>
            </w:pPr>
            <w:r>
              <w:rPr>
                <w:rFonts w:hint="eastAsia" w:hAnsi="宋体" w:cs="仿宋"/>
                <w:kern w:val="2"/>
                <w:sz w:val="24"/>
                <w:szCs w:val="24"/>
              </w:rPr>
              <w:t>（1）投标文件按照招标文件规定的格式、内容填写，字迹清晰可辨：</w:t>
            </w:r>
          </w:p>
          <w:p>
            <w:pPr>
              <w:spacing w:line="300" w:lineRule="auto"/>
              <w:jc w:val="both"/>
              <w:rPr>
                <w:rFonts w:hint="eastAsia" w:hAnsi="宋体" w:cs="仿宋"/>
                <w:kern w:val="2"/>
                <w:sz w:val="24"/>
                <w:szCs w:val="24"/>
              </w:rPr>
            </w:pPr>
            <w:r>
              <w:rPr>
                <w:rFonts w:hint="eastAsia" w:hAnsi="宋体" w:cs="仿宋"/>
                <w:kern w:val="2"/>
                <w:sz w:val="24"/>
                <w:szCs w:val="24"/>
              </w:rPr>
              <w:t>（2）投标文件上法定代表人的签字或者印章，或其授权代理人的签字、投标人的单位章盖章齐全，符合招标文件规定（投标人须知前附表3.7.3款）。</w:t>
            </w:r>
          </w:p>
          <w:p>
            <w:pPr>
              <w:spacing w:line="300" w:lineRule="auto"/>
              <w:jc w:val="both"/>
              <w:rPr>
                <w:rFonts w:hint="eastAsia" w:hAnsi="宋体" w:cs="仿宋"/>
                <w:kern w:val="2"/>
                <w:sz w:val="24"/>
                <w:szCs w:val="24"/>
              </w:rPr>
            </w:pPr>
            <w:r>
              <w:rPr>
                <w:rFonts w:hint="eastAsia" w:hAnsi="宋体" w:cs="仿宋"/>
                <w:kern w:val="2"/>
                <w:sz w:val="24"/>
                <w:szCs w:val="24"/>
              </w:rPr>
              <w:t>投标文件应用不褪色的材料书写或打印，</w:t>
            </w:r>
            <w:r>
              <w:rPr>
                <w:rFonts w:hint="eastAsia" w:hAnsi="宋体" w:cs="仿宋"/>
                <w:b/>
                <w:kern w:val="2"/>
                <w:sz w:val="24"/>
                <w:szCs w:val="24"/>
                <w:u w:val="single"/>
              </w:rPr>
              <w:t>投标函</w:t>
            </w:r>
            <w:r>
              <w:rPr>
                <w:rFonts w:hint="eastAsia" w:hAnsi="宋体" w:cs="仿宋"/>
                <w:kern w:val="2"/>
                <w:sz w:val="24"/>
                <w:szCs w:val="24"/>
              </w:rPr>
              <w:t>、</w:t>
            </w:r>
            <w:r>
              <w:rPr>
                <w:rFonts w:hint="eastAsia" w:hAnsi="宋体" w:cs="仿宋"/>
                <w:b/>
                <w:kern w:val="2"/>
                <w:sz w:val="24"/>
                <w:szCs w:val="24"/>
                <w:u w:val="single"/>
              </w:rPr>
              <w:t>投标货物数量、承诺函</w:t>
            </w:r>
            <w:r>
              <w:rPr>
                <w:rFonts w:hint="eastAsia" w:hAnsi="宋体" w:cs="仿宋"/>
                <w:kern w:val="2"/>
                <w:sz w:val="24"/>
                <w:szCs w:val="24"/>
              </w:rPr>
              <w:t>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00" w:lineRule="auto"/>
              <w:jc w:val="both"/>
              <w:rPr>
                <w:rFonts w:hint="eastAsia" w:hAnsi="宋体" w:cs="仿宋"/>
                <w:sz w:val="24"/>
                <w:szCs w:val="24"/>
              </w:rPr>
            </w:pPr>
            <w:r>
              <w:rPr>
                <w:rFonts w:hint="eastAsia" w:hAnsi="宋体" w:cs="仿宋"/>
                <w:sz w:val="24"/>
                <w:szCs w:val="24"/>
              </w:rPr>
              <w:t>制造商出具的产品代理/销售授权书要求法定代表人或者授权代理人签字或印章</w:t>
            </w:r>
            <w:r>
              <w:rPr>
                <w:rFonts w:hint="eastAsia" w:hAnsi="宋体" w:cs="仿宋"/>
                <w:b/>
                <w:sz w:val="24"/>
                <w:szCs w:val="24"/>
              </w:rPr>
              <w:t>（需提供制造商营业执照）</w:t>
            </w:r>
            <w:r>
              <w:rPr>
                <w:rFonts w:hint="eastAsia" w:hAnsi="宋体" w:cs="仿宋"/>
                <w:sz w:val="24"/>
                <w:szCs w:val="24"/>
              </w:rPr>
              <w:t>，若为授权代理人签署，应提供授权书（或者委托书）复印件。</w:t>
            </w:r>
          </w:p>
          <w:p>
            <w:pPr>
              <w:spacing w:line="300" w:lineRule="auto"/>
              <w:jc w:val="both"/>
              <w:rPr>
                <w:rFonts w:hint="eastAsia" w:hAnsi="宋体" w:cs="仿宋"/>
                <w:kern w:val="2"/>
                <w:sz w:val="24"/>
                <w:szCs w:val="24"/>
              </w:rPr>
            </w:pPr>
            <w:r>
              <w:rPr>
                <w:rFonts w:hint="eastAsia" w:hAnsi="宋体" w:cs="仿宋"/>
                <w:kern w:val="2"/>
                <w:sz w:val="24"/>
                <w:szCs w:val="24"/>
              </w:rPr>
              <w:t>若由授权代理人签署，投标函、投标货物数量及分项报价表、</w:t>
            </w:r>
            <w:r>
              <w:rPr>
                <w:rFonts w:hint="eastAsia" w:hAnsi="宋体" w:cs="仿宋"/>
                <w:b/>
                <w:kern w:val="2"/>
                <w:sz w:val="24"/>
                <w:szCs w:val="24"/>
                <w:u w:val="single"/>
              </w:rPr>
              <w:t>承诺函</w:t>
            </w:r>
            <w:r>
              <w:rPr>
                <w:rFonts w:hint="eastAsia" w:hAnsi="宋体" w:cs="仿宋"/>
                <w:kern w:val="2"/>
                <w:sz w:val="24"/>
                <w:szCs w:val="24"/>
              </w:rPr>
              <w:t>签署的日期应在授权委托书委托期限以内。</w:t>
            </w:r>
          </w:p>
          <w:p>
            <w:pPr>
              <w:spacing w:line="300" w:lineRule="auto"/>
              <w:jc w:val="both"/>
              <w:rPr>
                <w:rFonts w:hint="eastAsia" w:hAnsi="宋体" w:cs="仿宋"/>
                <w:kern w:val="2"/>
                <w:sz w:val="24"/>
                <w:szCs w:val="24"/>
              </w:rPr>
            </w:pPr>
            <w:r>
              <w:rPr>
                <w:rFonts w:hint="eastAsia" w:hAnsi="宋体" w:cs="仿宋"/>
                <w:kern w:val="2"/>
                <w:sz w:val="24"/>
                <w:szCs w:val="24"/>
              </w:rPr>
              <w:t>（3）投标人按照招标文件规定的金额、形式、时效和内容提供了投标担保，并符合投标人须知3.4.1款的要求：</w:t>
            </w:r>
          </w:p>
          <w:p>
            <w:pPr>
              <w:spacing w:line="300" w:lineRule="auto"/>
              <w:jc w:val="both"/>
              <w:rPr>
                <w:rFonts w:hint="eastAsia" w:hAnsi="宋体" w:cs="仿宋"/>
                <w:kern w:val="2"/>
                <w:sz w:val="24"/>
                <w:szCs w:val="24"/>
              </w:rPr>
            </w:pPr>
            <w:r>
              <w:rPr>
                <w:rFonts w:hint="eastAsia" w:hAnsi="宋体" w:cs="仿宋"/>
                <w:kern w:val="2"/>
                <w:sz w:val="24"/>
                <w:szCs w:val="24"/>
              </w:rPr>
              <w:t>a.投标担保金额符合招标文件规定的金额；</w:t>
            </w:r>
          </w:p>
          <w:p>
            <w:pPr>
              <w:spacing w:line="300" w:lineRule="auto"/>
              <w:jc w:val="both"/>
              <w:rPr>
                <w:rFonts w:hint="eastAsia" w:hAnsi="宋体" w:cs="仿宋"/>
                <w:kern w:val="2"/>
                <w:sz w:val="24"/>
                <w:szCs w:val="24"/>
              </w:rPr>
            </w:pPr>
            <w:r>
              <w:rPr>
                <w:rFonts w:hint="eastAsia" w:hAnsi="宋体" w:cs="仿宋"/>
                <w:kern w:val="2"/>
                <w:sz w:val="24"/>
                <w:szCs w:val="24"/>
              </w:rPr>
              <w:t>b.若采用电汇，投标人在投标人须知前附表规定的时间之前，将投标保证金由投标人的基本账户一次性汇入招标人指定账户，并按照要求在投标文件中附</w:t>
            </w:r>
            <w:r>
              <w:rPr>
                <w:rFonts w:hint="eastAsia" w:hAnsi="宋体" w:cs="仿宋"/>
                <w:b/>
                <w:kern w:val="2"/>
                <w:sz w:val="24"/>
                <w:szCs w:val="24"/>
              </w:rPr>
              <w:t>汇款单据（或银行进帐单）</w:t>
            </w:r>
            <w:r>
              <w:rPr>
                <w:rFonts w:hint="eastAsia" w:hAnsi="宋体" w:cs="仿宋"/>
                <w:kern w:val="2"/>
                <w:sz w:val="24"/>
                <w:szCs w:val="24"/>
              </w:rPr>
              <w:t>及</w:t>
            </w:r>
            <w:r>
              <w:rPr>
                <w:rFonts w:hint="eastAsia" w:hAnsi="宋体" w:cs="仿宋"/>
                <w:b/>
                <w:kern w:val="2"/>
                <w:sz w:val="24"/>
                <w:szCs w:val="24"/>
              </w:rPr>
              <w:t>基本账户开户许可证复印件</w:t>
            </w:r>
            <w:r>
              <w:rPr>
                <w:rFonts w:hint="eastAsia" w:hAnsi="宋体" w:cs="仿宋"/>
                <w:b/>
                <w:sz w:val="24"/>
                <w:szCs w:val="24"/>
              </w:rPr>
              <w:t>（或者扫描彩色打印件）</w:t>
            </w:r>
            <w:r>
              <w:rPr>
                <w:rFonts w:hint="eastAsia" w:hAnsi="宋体" w:cs="仿宋"/>
                <w:kern w:val="2"/>
                <w:sz w:val="24"/>
                <w:szCs w:val="24"/>
              </w:rPr>
              <w:t>；</w:t>
            </w:r>
          </w:p>
          <w:p>
            <w:pPr>
              <w:spacing w:line="300" w:lineRule="auto"/>
              <w:jc w:val="both"/>
              <w:rPr>
                <w:rFonts w:hint="eastAsia" w:hAnsi="宋体" w:cs="仿宋"/>
                <w:kern w:val="2"/>
                <w:sz w:val="24"/>
                <w:szCs w:val="24"/>
              </w:rPr>
            </w:pPr>
            <w:r>
              <w:rPr>
                <w:rFonts w:hint="eastAsia" w:hAnsi="宋体" w:cs="仿宋"/>
                <w:sz w:val="24"/>
                <w:szCs w:val="24"/>
              </w:rPr>
              <w:t>c.若采用银行保函，银行保函的格式、开具保函的银行、银行保函的有效期均满足招标文件要求，且银行保函原件装订在投标文件的正本之中，若基本账户开户银行不具备开具保函资格，则必须由开户银行的上级银行开具并附相关证明材料。</w:t>
            </w:r>
          </w:p>
          <w:p>
            <w:pPr>
              <w:spacing w:line="300" w:lineRule="auto"/>
              <w:jc w:val="both"/>
              <w:rPr>
                <w:rFonts w:hint="eastAsia" w:hAnsi="宋体" w:cs="仿宋"/>
                <w:kern w:val="2"/>
                <w:sz w:val="24"/>
                <w:szCs w:val="24"/>
              </w:rPr>
            </w:pPr>
            <w:r>
              <w:rPr>
                <w:rFonts w:hint="eastAsia" w:hAnsi="宋体" w:cs="仿宋"/>
                <w:kern w:val="2"/>
                <w:sz w:val="24"/>
                <w:szCs w:val="24"/>
              </w:rPr>
              <w:t>（4）投标人法定代表人的授权代理人，需提交附有法定代表人身份证明的授权委托书，并符合下列要求：</w:t>
            </w:r>
          </w:p>
          <w:p>
            <w:pPr>
              <w:spacing w:line="300" w:lineRule="auto"/>
              <w:jc w:val="both"/>
              <w:rPr>
                <w:rFonts w:hint="eastAsia" w:hAnsi="宋体" w:cs="仿宋"/>
                <w:kern w:val="2"/>
                <w:sz w:val="24"/>
                <w:szCs w:val="24"/>
              </w:rPr>
            </w:pPr>
            <w:r>
              <w:rPr>
                <w:rFonts w:hint="eastAsia" w:hAnsi="宋体" w:cs="仿宋"/>
                <w:kern w:val="2"/>
                <w:sz w:val="24"/>
                <w:szCs w:val="24"/>
              </w:rPr>
              <w:t>a.授权人和被授权人均在授权书上签名，未使用印章、签名章或其他电子制版签名；</w:t>
            </w:r>
          </w:p>
          <w:p>
            <w:pPr>
              <w:spacing w:line="300" w:lineRule="auto"/>
              <w:jc w:val="both"/>
              <w:rPr>
                <w:rFonts w:hint="eastAsia" w:hAnsi="宋体" w:cs="仿宋"/>
                <w:kern w:val="2"/>
                <w:sz w:val="24"/>
                <w:szCs w:val="24"/>
              </w:rPr>
            </w:pPr>
            <w:r>
              <w:rPr>
                <w:rFonts w:hint="eastAsia" w:hAnsi="宋体" w:cs="仿宋"/>
                <w:kern w:val="2"/>
                <w:sz w:val="24"/>
                <w:szCs w:val="24"/>
              </w:rPr>
              <w:t>（5）投标人法定代表人若亲自签署投标文件，提供了法定代表人身份证明，并符合下列要求：</w:t>
            </w:r>
          </w:p>
          <w:p>
            <w:pPr>
              <w:spacing w:line="300" w:lineRule="auto"/>
              <w:jc w:val="both"/>
              <w:rPr>
                <w:rFonts w:hint="eastAsia" w:hAnsi="宋体" w:cs="仿宋"/>
                <w:kern w:val="2"/>
                <w:sz w:val="24"/>
                <w:szCs w:val="24"/>
              </w:rPr>
            </w:pPr>
            <w:r>
              <w:rPr>
                <w:rFonts w:hint="eastAsia" w:hAnsi="宋体" w:cs="仿宋"/>
                <w:kern w:val="2"/>
                <w:sz w:val="24"/>
                <w:szCs w:val="24"/>
              </w:rPr>
              <w:t>a.法定代表人在法定代表人身份证明上签名，未使用印章、签名章或其他电子制版签名；</w:t>
            </w:r>
          </w:p>
          <w:p>
            <w:pPr>
              <w:spacing w:line="300" w:lineRule="auto"/>
              <w:jc w:val="both"/>
              <w:rPr>
                <w:rFonts w:hint="eastAsia" w:hAnsi="宋体" w:cs="仿宋"/>
                <w:kern w:val="2"/>
                <w:sz w:val="24"/>
                <w:szCs w:val="24"/>
              </w:rPr>
            </w:pPr>
            <w:r>
              <w:rPr>
                <w:rFonts w:hint="eastAsia" w:hAnsi="宋体" w:cs="仿宋"/>
                <w:kern w:val="2"/>
                <w:sz w:val="24"/>
                <w:szCs w:val="24"/>
              </w:rPr>
              <w:t>（6）投标文件正、副本份数符合投标人须知3.7.4款的要求；（正本一册、副本一册）</w:t>
            </w:r>
          </w:p>
          <w:p>
            <w:pPr>
              <w:spacing w:line="300" w:lineRule="auto"/>
              <w:jc w:val="both"/>
              <w:rPr>
                <w:rFonts w:hint="eastAsia" w:hAnsi="宋体" w:cs="仿宋"/>
                <w:kern w:val="2"/>
                <w:sz w:val="24"/>
                <w:szCs w:val="24"/>
              </w:rPr>
            </w:pPr>
            <w:r>
              <w:rPr>
                <w:rFonts w:hint="eastAsia" w:hAnsi="宋体" w:cs="仿宋"/>
                <w:kern w:val="2"/>
                <w:sz w:val="24"/>
                <w:szCs w:val="24"/>
              </w:rPr>
              <w:t>（7）投标文件载明的交货期限未超过招标文件规定的时限。</w:t>
            </w:r>
          </w:p>
          <w:p>
            <w:pPr>
              <w:spacing w:line="300" w:lineRule="auto"/>
              <w:jc w:val="both"/>
              <w:rPr>
                <w:rFonts w:hint="eastAsia" w:hAnsi="宋体" w:cs="仿宋"/>
                <w:kern w:val="2"/>
                <w:sz w:val="24"/>
                <w:szCs w:val="24"/>
              </w:rPr>
            </w:pPr>
            <w:r>
              <w:rPr>
                <w:rFonts w:hint="eastAsia" w:hAnsi="宋体" w:cs="仿宋"/>
                <w:kern w:val="2"/>
                <w:sz w:val="24"/>
                <w:szCs w:val="24"/>
              </w:rPr>
              <w:t>（8）投标文件未附有招标人不能接受的条件。</w:t>
            </w:r>
          </w:p>
          <w:p>
            <w:pPr>
              <w:spacing w:line="300" w:lineRule="auto"/>
              <w:jc w:val="both"/>
              <w:rPr>
                <w:rFonts w:hint="eastAsia" w:hAnsi="宋体" w:cs="仿宋"/>
                <w:kern w:val="2"/>
                <w:sz w:val="24"/>
                <w:szCs w:val="24"/>
              </w:rPr>
            </w:pPr>
            <w:r>
              <w:rPr>
                <w:rFonts w:hint="eastAsia" w:hAnsi="宋体" w:cs="仿宋"/>
                <w:kern w:val="2"/>
                <w:sz w:val="24"/>
                <w:szCs w:val="24"/>
              </w:rPr>
              <w:t>（9）权利义务符合招标文件规定：</w:t>
            </w:r>
          </w:p>
          <w:p>
            <w:pPr>
              <w:spacing w:line="300" w:lineRule="auto"/>
              <w:jc w:val="both"/>
              <w:rPr>
                <w:rFonts w:hint="eastAsia" w:hAnsi="宋体" w:cs="仿宋"/>
                <w:kern w:val="2"/>
                <w:sz w:val="24"/>
                <w:szCs w:val="24"/>
              </w:rPr>
            </w:pPr>
            <w:r>
              <w:rPr>
                <w:rFonts w:hint="eastAsia" w:hAnsi="宋体" w:cs="仿宋"/>
                <w:kern w:val="2"/>
                <w:sz w:val="24"/>
                <w:szCs w:val="24"/>
              </w:rPr>
              <w:t>a.投标人应接受招标文件规定的风险划分原则，未提出新的风险划分办法；</w:t>
            </w:r>
          </w:p>
          <w:p>
            <w:pPr>
              <w:spacing w:line="300" w:lineRule="auto"/>
              <w:ind w:firstLine="1217"/>
              <w:jc w:val="both"/>
              <w:rPr>
                <w:rFonts w:hint="eastAsia" w:hAnsi="宋体" w:cs="仿宋"/>
                <w:kern w:val="2"/>
                <w:sz w:val="24"/>
                <w:szCs w:val="24"/>
              </w:rPr>
            </w:pPr>
            <w:r>
              <w:rPr>
                <w:rFonts w:hint="eastAsia" w:hAnsi="宋体" w:cs="仿宋"/>
                <w:kern w:val="2"/>
                <w:sz w:val="24"/>
                <w:szCs w:val="24"/>
              </w:rPr>
              <w:t>b.投标人未增加招标人的责任范围，或减少投标人义务；</w:t>
            </w:r>
          </w:p>
          <w:p>
            <w:pPr>
              <w:spacing w:line="300" w:lineRule="auto"/>
              <w:ind w:firstLine="1217"/>
              <w:jc w:val="both"/>
              <w:rPr>
                <w:rFonts w:hint="eastAsia" w:hAnsi="宋体" w:cs="仿宋"/>
                <w:kern w:val="2"/>
                <w:sz w:val="24"/>
                <w:szCs w:val="24"/>
              </w:rPr>
            </w:pPr>
            <w:r>
              <w:rPr>
                <w:rFonts w:hint="eastAsia" w:hAnsi="宋体" w:cs="仿宋"/>
                <w:kern w:val="2"/>
                <w:sz w:val="24"/>
                <w:szCs w:val="24"/>
              </w:rPr>
              <w:t>c.投标人未提出不同的工程验收、计量、支付办法；</w:t>
            </w:r>
          </w:p>
          <w:p>
            <w:pPr>
              <w:spacing w:line="300" w:lineRule="auto"/>
              <w:ind w:firstLine="1217"/>
              <w:jc w:val="both"/>
              <w:rPr>
                <w:rFonts w:hint="eastAsia" w:hAnsi="宋体" w:cs="仿宋"/>
                <w:kern w:val="2"/>
                <w:sz w:val="24"/>
                <w:szCs w:val="24"/>
              </w:rPr>
            </w:pPr>
            <w:r>
              <w:rPr>
                <w:rFonts w:hint="eastAsia" w:hAnsi="宋体" w:cs="仿宋"/>
                <w:kern w:val="2"/>
                <w:sz w:val="24"/>
                <w:szCs w:val="24"/>
              </w:rPr>
              <w:t>d.投标人对合同纠纷、事故处理办法未提出异议；</w:t>
            </w:r>
          </w:p>
          <w:p>
            <w:pPr>
              <w:spacing w:line="300" w:lineRule="auto"/>
              <w:ind w:firstLine="1217"/>
              <w:jc w:val="both"/>
              <w:rPr>
                <w:rFonts w:hint="eastAsia" w:hAnsi="宋体" w:cs="仿宋"/>
                <w:kern w:val="2"/>
                <w:sz w:val="24"/>
                <w:szCs w:val="24"/>
              </w:rPr>
            </w:pPr>
            <w:r>
              <w:rPr>
                <w:rFonts w:hint="eastAsia" w:hAnsi="宋体" w:cs="仿宋"/>
                <w:kern w:val="2"/>
                <w:sz w:val="24"/>
                <w:szCs w:val="24"/>
              </w:rPr>
              <w:t>e.投标人在投标活动中无欺诈行为；</w:t>
            </w:r>
          </w:p>
          <w:p>
            <w:pPr>
              <w:spacing w:line="300" w:lineRule="auto"/>
              <w:ind w:firstLine="1217"/>
              <w:jc w:val="both"/>
              <w:rPr>
                <w:rFonts w:hint="eastAsia" w:hAnsi="宋体" w:cs="仿宋"/>
                <w:kern w:val="2"/>
                <w:sz w:val="24"/>
                <w:szCs w:val="24"/>
              </w:rPr>
            </w:pPr>
            <w:r>
              <w:rPr>
                <w:rFonts w:hint="eastAsia" w:hAnsi="宋体" w:cs="仿宋"/>
                <w:kern w:val="2"/>
                <w:sz w:val="24"/>
                <w:szCs w:val="24"/>
              </w:rPr>
              <w:t>f.投标人未对合同条款有重要保留。</w:t>
            </w:r>
          </w:p>
          <w:p>
            <w:pPr>
              <w:spacing w:line="300" w:lineRule="auto"/>
              <w:jc w:val="both"/>
              <w:rPr>
                <w:rFonts w:hint="eastAsia" w:hAnsi="宋体" w:cs="仿宋"/>
                <w:kern w:val="2"/>
                <w:sz w:val="24"/>
                <w:szCs w:val="24"/>
              </w:rPr>
            </w:pPr>
            <w:r>
              <w:rPr>
                <w:rFonts w:hint="eastAsia" w:hAnsi="宋体" w:cs="仿宋"/>
                <w:kern w:val="2"/>
                <w:sz w:val="24"/>
                <w:szCs w:val="24"/>
              </w:rPr>
              <w:t>（10）投标人未提供虚假资料。</w:t>
            </w:r>
          </w:p>
          <w:p>
            <w:pPr>
              <w:spacing w:line="300" w:lineRule="auto"/>
              <w:jc w:val="both"/>
              <w:rPr>
                <w:rFonts w:hint="eastAsia" w:hAnsi="宋体" w:cs="仿宋"/>
                <w:kern w:val="2"/>
                <w:sz w:val="24"/>
                <w:szCs w:val="24"/>
              </w:rPr>
            </w:pPr>
            <w:r>
              <w:rPr>
                <w:rFonts w:hint="eastAsia" w:hAnsi="宋体" w:cs="仿宋"/>
                <w:kern w:val="2"/>
                <w:sz w:val="24"/>
                <w:szCs w:val="24"/>
              </w:rPr>
              <w:t>（11）投标人不存在《中华人民共和国招标投标法实施条例》（国务院令第613号）第三十九条、第四十条、第四十一条所列的投标人相互串通投标、或者招标人与投标人串通投标情形之一的。</w:t>
            </w:r>
          </w:p>
          <w:p>
            <w:pPr>
              <w:spacing w:line="300" w:lineRule="auto"/>
              <w:jc w:val="both"/>
              <w:rPr>
                <w:rFonts w:hint="eastAsia" w:hAnsi="宋体" w:cs="仿宋"/>
                <w:kern w:val="2"/>
                <w:sz w:val="24"/>
                <w:szCs w:val="24"/>
              </w:rPr>
            </w:pPr>
            <w:r>
              <w:rPr>
                <w:rFonts w:hint="eastAsia" w:hAnsi="宋体" w:cs="仿宋"/>
                <w:kern w:val="2"/>
                <w:sz w:val="24"/>
                <w:szCs w:val="24"/>
              </w:rPr>
              <w:t>（12）按照招标文件要求提供的相关证明材料原件应附在投标文件正本内，否则，其投标文件将被拒绝。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tcPr>
          <w:p>
            <w:pPr>
              <w:spacing w:line="300" w:lineRule="auto"/>
              <w:jc w:val="both"/>
              <w:rPr>
                <w:rFonts w:hint="eastAsia" w:hAnsi="宋体" w:cs="仿宋"/>
                <w:kern w:val="2"/>
                <w:sz w:val="24"/>
                <w:szCs w:val="24"/>
              </w:rPr>
            </w:pPr>
            <w:r>
              <w:rPr>
                <w:rFonts w:hint="eastAsia" w:hAnsi="宋体" w:cs="仿宋"/>
                <w:kern w:val="2"/>
                <w:sz w:val="24"/>
                <w:szCs w:val="24"/>
              </w:rPr>
              <w:t>2.1.2</w:t>
            </w:r>
          </w:p>
        </w:tc>
        <w:tc>
          <w:tcPr>
            <w:tcW w:w="1266" w:type="dxa"/>
            <w:gridSpan w:val="2"/>
            <w:vAlign w:val="center"/>
          </w:tcPr>
          <w:p>
            <w:pPr>
              <w:spacing w:line="300" w:lineRule="auto"/>
              <w:jc w:val="both"/>
              <w:rPr>
                <w:rFonts w:hAnsi="宋体" w:cs="仿宋"/>
                <w:kern w:val="2"/>
                <w:sz w:val="24"/>
                <w:szCs w:val="24"/>
              </w:rPr>
            </w:pPr>
            <w:r>
              <w:rPr>
                <w:rFonts w:hint="eastAsia" w:hAnsi="宋体" w:cs="仿宋"/>
                <w:b/>
                <w:bCs/>
                <w:kern w:val="2"/>
                <w:sz w:val="24"/>
                <w:szCs w:val="24"/>
              </w:rPr>
              <w:t>资格评审标准</w:t>
            </w:r>
          </w:p>
        </w:tc>
        <w:tc>
          <w:tcPr>
            <w:tcW w:w="7096" w:type="dxa"/>
            <w:gridSpan w:val="6"/>
          </w:tcPr>
          <w:p>
            <w:pPr>
              <w:spacing w:line="300" w:lineRule="auto"/>
              <w:jc w:val="both"/>
              <w:rPr>
                <w:rFonts w:hint="eastAsia" w:hAnsi="宋体" w:cs="仿宋"/>
                <w:kern w:val="2"/>
                <w:sz w:val="24"/>
                <w:szCs w:val="24"/>
              </w:rPr>
            </w:pPr>
            <w:r>
              <w:rPr>
                <w:rFonts w:hint="eastAsia" w:hAnsi="宋体" w:cs="仿宋"/>
                <w:kern w:val="2"/>
                <w:sz w:val="24"/>
                <w:szCs w:val="24"/>
              </w:rPr>
              <w:t>（1）投标人具备有效的企业法人营业执照、基本账户开户许可证；</w:t>
            </w:r>
          </w:p>
          <w:p>
            <w:pPr>
              <w:spacing w:line="300" w:lineRule="auto"/>
              <w:jc w:val="both"/>
              <w:rPr>
                <w:rFonts w:hint="eastAsia" w:hAnsi="宋体" w:cs="仿宋"/>
                <w:kern w:val="2"/>
                <w:sz w:val="24"/>
                <w:szCs w:val="24"/>
              </w:rPr>
            </w:pPr>
            <w:r>
              <w:rPr>
                <w:rFonts w:hint="eastAsia" w:hAnsi="宋体" w:cs="仿宋"/>
                <w:kern w:val="2"/>
                <w:sz w:val="24"/>
                <w:szCs w:val="24"/>
              </w:rPr>
              <w:t>（2）投标人的资格条件满足招标文件投标人须知附录1的要求；</w:t>
            </w:r>
          </w:p>
          <w:p>
            <w:pPr>
              <w:spacing w:line="300" w:lineRule="auto"/>
              <w:jc w:val="both"/>
              <w:rPr>
                <w:rFonts w:hint="eastAsia" w:hAnsi="宋体" w:cs="仿宋"/>
                <w:kern w:val="2"/>
                <w:sz w:val="24"/>
                <w:szCs w:val="24"/>
              </w:rPr>
            </w:pPr>
            <w:r>
              <w:rPr>
                <w:rFonts w:hint="eastAsia" w:hAnsi="宋体" w:cs="仿宋"/>
                <w:kern w:val="2"/>
                <w:sz w:val="24"/>
                <w:szCs w:val="24"/>
              </w:rPr>
              <w:t>（3）投标人的财务能力满足招标文件投标人须知附录2的要求；</w:t>
            </w:r>
          </w:p>
          <w:p>
            <w:pPr>
              <w:spacing w:line="300" w:lineRule="auto"/>
              <w:jc w:val="both"/>
              <w:rPr>
                <w:rFonts w:hint="eastAsia" w:hAnsi="宋体" w:cs="仿宋"/>
                <w:kern w:val="2"/>
                <w:sz w:val="24"/>
                <w:szCs w:val="24"/>
              </w:rPr>
            </w:pPr>
            <w:r>
              <w:rPr>
                <w:rFonts w:hint="eastAsia" w:hAnsi="宋体" w:cs="仿宋"/>
                <w:kern w:val="2"/>
                <w:sz w:val="24"/>
                <w:szCs w:val="24"/>
              </w:rPr>
              <w:t>（4）投标人的业绩能力满足招标文件投标人须知附录3的要求；</w:t>
            </w:r>
          </w:p>
          <w:p>
            <w:pPr>
              <w:spacing w:line="300" w:lineRule="auto"/>
              <w:jc w:val="both"/>
              <w:rPr>
                <w:rFonts w:hint="eastAsia" w:hAnsi="宋体" w:cs="仿宋"/>
                <w:kern w:val="2"/>
                <w:sz w:val="24"/>
                <w:szCs w:val="24"/>
              </w:rPr>
            </w:pPr>
            <w:r>
              <w:rPr>
                <w:rFonts w:hint="eastAsia" w:hAnsi="宋体" w:cs="仿宋"/>
                <w:kern w:val="2"/>
                <w:sz w:val="24"/>
                <w:szCs w:val="24"/>
              </w:rPr>
              <w:t>（5）投标人的信誉状况符合招标文件投标人须知附录4的要求；</w:t>
            </w:r>
          </w:p>
          <w:p>
            <w:pPr>
              <w:spacing w:line="300" w:lineRule="auto"/>
              <w:jc w:val="both"/>
              <w:rPr>
                <w:rFonts w:hint="eastAsia" w:hAnsi="宋体" w:cs="仿宋"/>
                <w:kern w:val="2"/>
                <w:sz w:val="24"/>
                <w:szCs w:val="24"/>
              </w:rPr>
            </w:pPr>
            <w:r>
              <w:rPr>
                <w:rFonts w:hint="eastAsia" w:hAnsi="宋体" w:cs="仿宋"/>
                <w:kern w:val="2"/>
                <w:sz w:val="24"/>
                <w:szCs w:val="24"/>
              </w:rPr>
              <w:t>（6）投标人的其他状况符合招标文件投标人须知附录5的要求；</w:t>
            </w:r>
          </w:p>
          <w:p>
            <w:pPr>
              <w:spacing w:line="300" w:lineRule="auto"/>
              <w:jc w:val="both"/>
              <w:rPr>
                <w:rFonts w:hint="eastAsia" w:hAnsi="宋体" w:cs="仿宋"/>
                <w:kern w:val="2"/>
                <w:sz w:val="24"/>
                <w:szCs w:val="24"/>
              </w:rPr>
            </w:pPr>
            <w:r>
              <w:rPr>
                <w:rFonts w:hint="eastAsia" w:hAnsi="宋体" w:cs="仿宋"/>
                <w:kern w:val="2"/>
                <w:sz w:val="24"/>
                <w:szCs w:val="24"/>
              </w:rPr>
              <w:t>（7）投标人未出现本招标文件招标公告第三条第（五）、（六）规定的情形。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tcPr>
          <w:p>
            <w:pPr>
              <w:spacing w:line="300" w:lineRule="auto"/>
              <w:jc w:val="both"/>
              <w:rPr>
                <w:rFonts w:hint="eastAsia" w:hAnsi="宋体" w:cs="仿宋"/>
                <w:kern w:val="2"/>
                <w:sz w:val="24"/>
                <w:szCs w:val="24"/>
              </w:rPr>
            </w:pPr>
            <w:r>
              <w:rPr>
                <w:rFonts w:hint="eastAsia" w:hAnsi="宋体" w:cs="仿宋"/>
                <w:kern w:val="2"/>
                <w:sz w:val="24"/>
                <w:szCs w:val="24"/>
              </w:rPr>
              <w:t>2.1.4</w:t>
            </w:r>
          </w:p>
        </w:tc>
        <w:tc>
          <w:tcPr>
            <w:tcW w:w="5602" w:type="dxa"/>
            <w:gridSpan w:val="7"/>
          </w:tcPr>
          <w:p>
            <w:pPr>
              <w:spacing w:line="300" w:lineRule="auto"/>
              <w:jc w:val="both"/>
              <w:rPr>
                <w:rFonts w:hint="eastAsia" w:hAnsi="宋体" w:cs="仿宋"/>
                <w:kern w:val="2"/>
                <w:sz w:val="24"/>
                <w:szCs w:val="24"/>
              </w:rPr>
            </w:pPr>
            <w:r>
              <w:rPr>
                <w:rFonts w:hint="eastAsia" w:hAnsi="宋体" w:cs="仿宋"/>
                <w:kern w:val="2"/>
                <w:sz w:val="24"/>
                <w:szCs w:val="24"/>
              </w:rPr>
              <w:t>供货组织方案和项目管理机构评审标准</w:t>
            </w:r>
          </w:p>
        </w:tc>
        <w:tc>
          <w:tcPr>
            <w:tcW w:w="2760" w:type="dxa"/>
          </w:tcPr>
          <w:p>
            <w:pPr>
              <w:spacing w:line="300" w:lineRule="auto"/>
              <w:ind w:firstLine="420"/>
              <w:jc w:val="both"/>
              <w:rPr>
                <w:rFonts w:hAnsi="宋体" w:cs="仿宋"/>
                <w:kern w:val="2"/>
                <w:sz w:val="24"/>
                <w:szCs w:val="24"/>
              </w:rPr>
            </w:pPr>
            <w:r>
              <w:rPr>
                <w:rFonts w:hint="eastAsia" w:hAnsi="宋体" w:cs="仿宋"/>
                <w:kern w:val="2"/>
                <w:sz w:val="24"/>
                <w:szCs w:val="24"/>
              </w:rPr>
              <w:t>详见后表2.1.4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tcPr>
          <w:p>
            <w:pPr>
              <w:spacing w:line="300" w:lineRule="auto"/>
              <w:jc w:val="both"/>
              <w:rPr>
                <w:rFonts w:hint="eastAsia" w:hAnsi="宋体" w:cs="仿宋"/>
                <w:kern w:val="2"/>
                <w:sz w:val="24"/>
                <w:szCs w:val="24"/>
              </w:rPr>
            </w:pPr>
            <w:r>
              <w:rPr>
                <w:rFonts w:hint="eastAsia" w:hAnsi="宋体" w:cs="仿宋"/>
                <w:kern w:val="2"/>
                <w:sz w:val="24"/>
                <w:szCs w:val="24"/>
              </w:rPr>
              <w:t>补</w:t>
            </w:r>
          </w:p>
        </w:tc>
        <w:tc>
          <w:tcPr>
            <w:tcW w:w="8362" w:type="dxa"/>
            <w:gridSpan w:val="8"/>
          </w:tcPr>
          <w:p>
            <w:pPr>
              <w:spacing w:line="300" w:lineRule="auto"/>
              <w:ind w:firstLine="420"/>
              <w:jc w:val="both"/>
              <w:rPr>
                <w:rFonts w:hint="eastAsia" w:hAnsi="宋体" w:cs="仿宋"/>
                <w:kern w:val="2"/>
                <w:sz w:val="24"/>
                <w:szCs w:val="24"/>
              </w:rPr>
            </w:pPr>
            <w:r>
              <w:rPr>
                <w:rFonts w:hint="eastAsia" w:hAnsi="宋体" w:cs="仿宋"/>
                <w:kern w:val="2"/>
                <w:sz w:val="24"/>
                <w:szCs w:val="24"/>
              </w:rPr>
              <w:t xml:space="preserve"> 第一信封评审结束后，按照招标人约定的时间和地点对通过第一信封评审的投标人的投标文件第二信封进行开启，并当场宣读投标人第二个信封（报价文件）的投标报价，当场计算并公布评标基准价。经投标人和监督人员签字确认后，在整个评标过程中保持不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tcPr>
          <w:p>
            <w:pPr>
              <w:spacing w:line="300" w:lineRule="auto"/>
              <w:jc w:val="both"/>
              <w:rPr>
                <w:rFonts w:hint="eastAsia" w:hAnsi="宋体" w:cs="仿宋"/>
                <w:kern w:val="2"/>
                <w:sz w:val="24"/>
                <w:szCs w:val="24"/>
              </w:rPr>
            </w:pPr>
            <w:r>
              <w:rPr>
                <w:rFonts w:hint="eastAsia" w:hAnsi="宋体" w:cs="仿宋"/>
                <w:kern w:val="2"/>
                <w:sz w:val="24"/>
                <w:szCs w:val="24"/>
              </w:rPr>
              <w:t>补2.1.1</w:t>
            </w:r>
          </w:p>
          <w:p>
            <w:pPr>
              <w:spacing w:line="300" w:lineRule="auto"/>
              <w:jc w:val="both"/>
              <w:rPr>
                <w:rFonts w:hint="eastAsia" w:hAnsi="宋体" w:cs="仿宋"/>
                <w:kern w:val="2"/>
                <w:sz w:val="24"/>
                <w:szCs w:val="24"/>
              </w:rPr>
            </w:pPr>
            <w:r>
              <w:rPr>
                <w:rFonts w:hint="eastAsia" w:hAnsi="宋体" w:cs="仿宋"/>
                <w:kern w:val="2"/>
                <w:sz w:val="24"/>
                <w:szCs w:val="24"/>
              </w:rPr>
              <w:t>2.1.3</w:t>
            </w:r>
          </w:p>
        </w:tc>
        <w:tc>
          <w:tcPr>
            <w:tcW w:w="1466" w:type="dxa"/>
            <w:gridSpan w:val="3"/>
          </w:tcPr>
          <w:p>
            <w:pPr>
              <w:spacing w:line="300" w:lineRule="auto"/>
              <w:jc w:val="both"/>
              <w:rPr>
                <w:rFonts w:hint="eastAsia" w:hAnsi="宋体" w:cs="仿宋"/>
                <w:kern w:val="2"/>
                <w:sz w:val="24"/>
                <w:szCs w:val="24"/>
              </w:rPr>
            </w:pPr>
            <w:r>
              <w:rPr>
                <w:rFonts w:hint="eastAsia" w:hAnsi="宋体" w:cs="仿宋"/>
                <w:b/>
                <w:bCs/>
                <w:kern w:val="2"/>
                <w:sz w:val="24"/>
                <w:szCs w:val="24"/>
              </w:rPr>
              <w:t>第二信封形式评审与响应性评审标准</w:t>
            </w:r>
          </w:p>
        </w:tc>
        <w:tc>
          <w:tcPr>
            <w:tcW w:w="6896" w:type="dxa"/>
            <w:gridSpan w:val="5"/>
          </w:tcPr>
          <w:p>
            <w:pPr>
              <w:spacing w:line="300" w:lineRule="auto"/>
              <w:ind w:firstLine="420"/>
              <w:jc w:val="both"/>
              <w:rPr>
                <w:rFonts w:hint="eastAsia" w:hAnsi="宋体" w:cs="仿宋"/>
                <w:kern w:val="2"/>
                <w:sz w:val="24"/>
                <w:szCs w:val="24"/>
              </w:rPr>
            </w:pPr>
            <w:r>
              <w:rPr>
                <w:rFonts w:hint="eastAsia" w:hAnsi="宋体" w:cs="仿宋"/>
                <w:kern w:val="2"/>
                <w:sz w:val="24"/>
                <w:szCs w:val="24"/>
              </w:rPr>
              <w:t>（1）投标文件按照招标文件规定的格式、内容填写，字迹清晰可辨：</w:t>
            </w:r>
          </w:p>
          <w:p>
            <w:pPr>
              <w:spacing w:line="300" w:lineRule="auto"/>
              <w:ind w:firstLine="420"/>
              <w:jc w:val="both"/>
              <w:rPr>
                <w:rFonts w:hint="eastAsia" w:hAnsi="宋体" w:cs="仿宋"/>
                <w:kern w:val="2"/>
                <w:sz w:val="24"/>
                <w:szCs w:val="24"/>
              </w:rPr>
            </w:pPr>
            <w:r>
              <w:rPr>
                <w:rFonts w:hint="eastAsia" w:hAnsi="宋体" w:cs="仿宋"/>
                <w:kern w:val="2"/>
                <w:sz w:val="24"/>
                <w:szCs w:val="24"/>
              </w:rPr>
              <w:t>a．投标报价及承诺函文字应符合招标文件的规定，未进行修改和删减；</w:t>
            </w:r>
          </w:p>
          <w:p>
            <w:pPr>
              <w:spacing w:line="300" w:lineRule="auto"/>
              <w:ind w:firstLine="420"/>
              <w:jc w:val="both"/>
              <w:rPr>
                <w:rFonts w:hint="eastAsia" w:hAnsi="宋体" w:cs="仿宋"/>
                <w:kern w:val="2"/>
                <w:sz w:val="24"/>
                <w:szCs w:val="24"/>
              </w:rPr>
            </w:pPr>
            <w:r>
              <w:rPr>
                <w:rFonts w:hint="eastAsia" w:hAnsi="宋体" w:cs="仿宋"/>
                <w:kern w:val="2"/>
                <w:sz w:val="24"/>
                <w:szCs w:val="24"/>
              </w:rPr>
              <w:t>b．投标文件组成齐全完整，内容均按规定填写；</w:t>
            </w:r>
          </w:p>
          <w:p>
            <w:pPr>
              <w:spacing w:line="300" w:lineRule="auto"/>
              <w:ind w:firstLine="420"/>
              <w:jc w:val="both"/>
              <w:rPr>
                <w:rFonts w:hint="eastAsia" w:hAnsi="宋体" w:cs="仿宋"/>
                <w:kern w:val="2"/>
                <w:sz w:val="24"/>
                <w:szCs w:val="24"/>
              </w:rPr>
            </w:pPr>
            <w:r>
              <w:rPr>
                <w:rFonts w:hint="eastAsia" w:hAnsi="宋体" w:cs="仿宋"/>
                <w:kern w:val="2"/>
                <w:sz w:val="24"/>
                <w:szCs w:val="24"/>
              </w:rPr>
              <w:t>（2）投标文件上法定代表人或其授权代理人的签字、投标人的单位章盖章齐全，符合招标文件规定：</w:t>
            </w:r>
          </w:p>
          <w:p>
            <w:pPr>
              <w:spacing w:line="300" w:lineRule="auto"/>
              <w:ind w:firstLine="420"/>
              <w:jc w:val="both"/>
              <w:rPr>
                <w:rFonts w:hint="eastAsia" w:hAnsi="宋体" w:cs="仿宋"/>
                <w:kern w:val="2"/>
                <w:sz w:val="24"/>
                <w:szCs w:val="24"/>
              </w:rPr>
            </w:pPr>
            <w:r>
              <w:rPr>
                <w:rFonts w:hint="eastAsia" w:hAnsi="宋体" w:cs="仿宋"/>
                <w:kern w:val="2"/>
                <w:sz w:val="24"/>
                <w:szCs w:val="24"/>
              </w:rPr>
              <w:t>投标报价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00" w:lineRule="auto"/>
              <w:ind w:firstLine="420"/>
              <w:jc w:val="both"/>
              <w:rPr>
                <w:rFonts w:hint="eastAsia" w:hAnsi="宋体" w:cs="仿宋"/>
                <w:kern w:val="2"/>
                <w:sz w:val="24"/>
                <w:szCs w:val="24"/>
              </w:rPr>
            </w:pPr>
            <w:r>
              <w:rPr>
                <w:rFonts w:hint="eastAsia" w:hAnsi="宋体" w:cs="仿宋"/>
                <w:kern w:val="2"/>
                <w:sz w:val="24"/>
                <w:szCs w:val="24"/>
              </w:rPr>
              <w:t>（3）一份投标文件应只有一个投标报价，未提交选择性报价。</w:t>
            </w:r>
          </w:p>
          <w:p>
            <w:pPr>
              <w:spacing w:line="300" w:lineRule="auto"/>
              <w:ind w:firstLine="420"/>
              <w:jc w:val="both"/>
              <w:rPr>
                <w:rFonts w:hint="eastAsia" w:hAnsi="宋体" w:cs="仿宋"/>
                <w:kern w:val="2"/>
                <w:sz w:val="24"/>
                <w:szCs w:val="24"/>
              </w:rPr>
            </w:pPr>
            <w:r>
              <w:rPr>
                <w:rFonts w:hint="eastAsia" w:hAnsi="宋体" w:cs="仿宋"/>
                <w:kern w:val="2"/>
                <w:sz w:val="24"/>
                <w:szCs w:val="24"/>
              </w:rPr>
              <w:t>（4）投标文件中未出现下列情况：</w:t>
            </w:r>
          </w:p>
          <w:p>
            <w:pPr>
              <w:spacing w:line="300" w:lineRule="auto"/>
              <w:ind w:firstLine="420"/>
              <w:jc w:val="both"/>
              <w:rPr>
                <w:rFonts w:hint="eastAsia" w:hAnsi="宋体" w:cs="仿宋"/>
                <w:kern w:val="2"/>
                <w:sz w:val="24"/>
                <w:szCs w:val="24"/>
              </w:rPr>
            </w:pPr>
            <w:r>
              <w:rPr>
                <w:rFonts w:hint="eastAsia" w:hAnsi="宋体" w:cs="仿宋"/>
                <w:kern w:val="2"/>
                <w:sz w:val="24"/>
                <w:szCs w:val="24"/>
              </w:rPr>
              <w:t>a. 未在投标函上填写投标总价大写金额；</w:t>
            </w:r>
          </w:p>
          <w:p>
            <w:pPr>
              <w:spacing w:line="300" w:lineRule="auto"/>
              <w:ind w:firstLine="420"/>
              <w:jc w:val="both"/>
              <w:rPr>
                <w:rFonts w:hint="eastAsia" w:hAnsi="宋体" w:cs="仿宋"/>
                <w:kern w:val="2"/>
                <w:sz w:val="24"/>
                <w:szCs w:val="24"/>
              </w:rPr>
            </w:pPr>
            <w:r>
              <w:rPr>
                <w:rFonts w:hint="eastAsia" w:hAnsi="宋体" w:cs="仿宋"/>
                <w:kern w:val="2"/>
                <w:sz w:val="24"/>
                <w:szCs w:val="24"/>
              </w:rPr>
              <w:t xml:space="preserve">b. 投标函上的投标报价超出了招标人公布的最高投标限价； </w:t>
            </w:r>
          </w:p>
          <w:p>
            <w:pPr>
              <w:spacing w:line="300" w:lineRule="auto"/>
              <w:ind w:firstLine="420"/>
              <w:jc w:val="both"/>
              <w:rPr>
                <w:rFonts w:hint="eastAsia" w:hAnsi="宋体" w:cs="仿宋"/>
                <w:kern w:val="2"/>
                <w:sz w:val="24"/>
                <w:szCs w:val="24"/>
              </w:rPr>
            </w:pPr>
            <w:r>
              <w:rPr>
                <w:rFonts w:hint="eastAsia" w:hAnsi="宋体" w:cs="仿宋"/>
                <w:kern w:val="2"/>
                <w:sz w:val="24"/>
                <w:szCs w:val="24"/>
              </w:rPr>
              <w:t>c. 投标函中的投标报价大写有错误且无法唱出；</w:t>
            </w:r>
          </w:p>
          <w:p>
            <w:pPr>
              <w:spacing w:line="300" w:lineRule="auto"/>
              <w:ind w:firstLine="420"/>
              <w:jc w:val="both"/>
              <w:rPr>
                <w:rFonts w:hint="eastAsia" w:hAnsi="宋体" w:cs="仿宋"/>
                <w:kern w:val="2"/>
                <w:sz w:val="24"/>
                <w:szCs w:val="24"/>
              </w:rPr>
            </w:pPr>
            <w:r>
              <w:rPr>
                <w:rFonts w:hint="eastAsia" w:hAnsi="宋体" w:cs="仿宋"/>
                <w:kern w:val="2"/>
                <w:sz w:val="24"/>
                <w:szCs w:val="24"/>
              </w:rPr>
              <w:t>d. 提交了调价函；</w:t>
            </w:r>
          </w:p>
          <w:p>
            <w:pPr>
              <w:spacing w:line="300" w:lineRule="auto"/>
              <w:ind w:firstLine="420"/>
              <w:jc w:val="both"/>
              <w:rPr>
                <w:rFonts w:hint="eastAsia" w:hAnsi="宋体" w:cs="仿宋"/>
                <w:kern w:val="2"/>
                <w:sz w:val="24"/>
                <w:szCs w:val="24"/>
              </w:rPr>
            </w:pPr>
            <w:r>
              <w:rPr>
                <w:rFonts w:hint="eastAsia" w:hAnsi="宋体" w:cs="仿宋"/>
                <w:kern w:val="2"/>
                <w:sz w:val="24"/>
                <w:szCs w:val="24"/>
              </w:rPr>
              <w:t>e. 开启的外层封套标段编号、投标文件封面的标段编号及投标函载明的标段编号不一致；</w:t>
            </w:r>
          </w:p>
          <w:p>
            <w:pPr>
              <w:spacing w:line="300" w:lineRule="auto"/>
              <w:ind w:firstLine="420"/>
              <w:jc w:val="both"/>
              <w:rPr>
                <w:rFonts w:hint="eastAsia" w:hAnsi="宋体" w:cs="仿宋"/>
                <w:kern w:val="2"/>
                <w:sz w:val="24"/>
                <w:szCs w:val="24"/>
              </w:rPr>
            </w:pPr>
            <w:r>
              <w:rPr>
                <w:rFonts w:hint="eastAsia" w:hAnsi="宋体" w:cs="仿宋"/>
                <w:kern w:val="2"/>
                <w:sz w:val="24"/>
                <w:szCs w:val="24"/>
              </w:rPr>
              <w:t>f. 投标文件正、副本份数不符合招标文件规定。</w:t>
            </w:r>
          </w:p>
          <w:p>
            <w:pPr>
              <w:spacing w:line="300" w:lineRule="auto"/>
              <w:ind w:firstLine="420"/>
              <w:jc w:val="both"/>
              <w:rPr>
                <w:rFonts w:hint="eastAsia" w:hAnsi="宋体" w:cs="仿宋"/>
                <w:kern w:val="2"/>
                <w:sz w:val="24"/>
                <w:szCs w:val="24"/>
              </w:rPr>
            </w:pPr>
            <w:r>
              <w:rPr>
                <w:rFonts w:hint="eastAsia" w:hAnsi="宋体" w:cs="仿宋"/>
                <w:kern w:val="2"/>
                <w:sz w:val="24"/>
                <w:szCs w:val="24"/>
              </w:rPr>
              <w:t>（5）投标文件未附有招标人不能接受的条件。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tcPr>
          <w:p>
            <w:pPr>
              <w:spacing w:line="300" w:lineRule="auto"/>
              <w:jc w:val="both"/>
              <w:rPr>
                <w:rFonts w:hint="eastAsia" w:hAnsi="宋体" w:cs="仿宋"/>
                <w:b/>
                <w:kern w:val="2"/>
                <w:sz w:val="24"/>
                <w:szCs w:val="24"/>
              </w:rPr>
            </w:pPr>
            <w:r>
              <w:rPr>
                <w:rFonts w:hint="eastAsia" w:hAnsi="宋体" w:cs="仿宋"/>
                <w:b/>
                <w:kern w:val="2"/>
                <w:sz w:val="24"/>
                <w:szCs w:val="24"/>
              </w:rPr>
              <w:t>条款号</w:t>
            </w:r>
          </w:p>
        </w:tc>
        <w:tc>
          <w:tcPr>
            <w:tcW w:w="1466" w:type="dxa"/>
            <w:gridSpan w:val="3"/>
          </w:tcPr>
          <w:p>
            <w:pPr>
              <w:spacing w:line="300" w:lineRule="auto"/>
              <w:jc w:val="both"/>
              <w:rPr>
                <w:rFonts w:hint="eastAsia" w:hAnsi="宋体" w:cs="仿宋"/>
                <w:b/>
                <w:kern w:val="2"/>
                <w:sz w:val="24"/>
                <w:szCs w:val="24"/>
              </w:rPr>
            </w:pPr>
            <w:r>
              <w:rPr>
                <w:rFonts w:hint="eastAsia" w:hAnsi="宋体" w:cs="仿宋"/>
                <w:b/>
                <w:kern w:val="2"/>
                <w:sz w:val="24"/>
                <w:szCs w:val="24"/>
              </w:rPr>
              <w:t>条款内容</w:t>
            </w:r>
          </w:p>
        </w:tc>
        <w:tc>
          <w:tcPr>
            <w:tcW w:w="6896" w:type="dxa"/>
            <w:gridSpan w:val="5"/>
          </w:tcPr>
          <w:p>
            <w:pPr>
              <w:spacing w:line="300" w:lineRule="auto"/>
              <w:ind w:firstLine="420"/>
              <w:jc w:val="both"/>
              <w:rPr>
                <w:rFonts w:hint="eastAsia" w:hAnsi="宋体" w:cs="仿宋"/>
                <w:b/>
                <w:kern w:val="2"/>
                <w:sz w:val="24"/>
                <w:szCs w:val="24"/>
              </w:rPr>
            </w:pPr>
            <w:r>
              <w:rPr>
                <w:rFonts w:hint="eastAsia" w:hAnsi="宋体" w:cs="仿宋"/>
                <w:b/>
                <w:kern w:val="2"/>
                <w:sz w:val="24"/>
                <w:szCs w:val="24"/>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1052" w:type="dxa"/>
            <w:gridSpan w:val="2"/>
            <w:vAlign w:val="center"/>
          </w:tcPr>
          <w:p>
            <w:pPr>
              <w:spacing w:line="300" w:lineRule="auto"/>
              <w:rPr>
                <w:rFonts w:hint="eastAsia" w:hAnsi="宋体" w:cs="仿宋"/>
                <w:kern w:val="2"/>
                <w:sz w:val="24"/>
                <w:szCs w:val="24"/>
              </w:rPr>
            </w:pPr>
            <w:r>
              <w:rPr>
                <w:rFonts w:hint="eastAsia" w:hAnsi="宋体" w:cs="仿宋"/>
                <w:kern w:val="2"/>
                <w:sz w:val="24"/>
                <w:szCs w:val="24"/>
              </w:rPr>
              <w:t>2.1.4</w:t>
            </w:r>
          </w:p>
        </w:tc>
        <w:tc>
          <w:tcPr>
            <w:tcW w:w="1466" w:type="dxa"/>
            <w:gridSpan w:val="3"/>
          </w:tcPr>
          <w:p>
            <w:pPr>
              <w:spacing w:line="300" w:lineRule="auto"/>
              <w:jc w:val="center"/>
              <w:rPr>
                <w:rFonts w:hint="eastAsia" w:hAnsi="宋体" w:cs="仿宋"/>
                <w:kern w:val="2"/>
                <w:sz w:val="24"/>
                <w:szCs w:val="24"/>
              </w:rPr>
            </w:pPr>
            <w:r>
              <w:rPr>
                <w:rFonts w:hint="eastAsia" w:hAnsi="宋体" w:cs="仿宋"/>
                <w:kern w:val="2"/>
                <w:sz w:val="24"/>
                <w:szCs w:val="24"/>
              </w:rPr>
              <w:t>分值构成</w:t>
            </w:r>
          </w:p>
          <w:p>
            <w:pPr>
              <w:spacing w:line="300" w:lineRule="auto"/>
              <w:jc w:val="center"/>
              <w:rPr>
                <w:rFonts w:hint="eastAsia" w:hAnsi="宋体" w:cs="仿宋"/>
                <w:kern w:val="2"/>
                <w:sz w:val="24"/>
                <w:szCs w:val="24"/>
              </w:rPr>
            </w:pPr>
            <w:r>
              <w:rPr>
                <w:rFonts w:hint="eastAsia" w:hAnsi="宋体" w:cs="仿宋"/>
                <w:kern w:val="2"/>
                <w:sz w:val="24"/>
                <w:szCs w:val="24"/>
              </w:rPr>
              <w:t>（总分100分）</w:t>
            </w:r>
          </w:p>
        </w:tc>
        <w:tc>
          <w:tcPr>
            <w:tcW w:w="6896" w:type="dxa"/>
            <w:gridSpan w:val="5"/>
          </w:tcPr>
          <w:p>
            <w:pPr>
              <w:numPr>
                <w:ilvl w:val="0"/>
                <w:numId w:val="1"/>
              </w:numPr>
              <w:spacing w:line="300" w:lineRule="auto"/>
              <w:rPr>
                <w:rFonts w:hAnsi="宋体" w:cs="宋体"/>
                <w:kern w:val="2"/>
                <w:sz w:val="24"/>
                <w:szCs w:val="21"/>
              </w:rPr>
            </w:pPr>
            <w:r>
              <w:rPr>
                <w:rFonts w:hAnsi="宋体" w:cs="宋体"/>
                <w:kern w:val="2"/>
                <w:sz w:val="24"/>
                <w:szCs w:val="21"/>
              </w:rPr>
              <w:t>技术质量（</w:t>
            </w:r>
            <w:r>
              <w:rPr>
                <w:rFonts w:hint="eastAsia" w:hAnsi="宋体" w:cs="宋体"/>
                <w:kern w:val="2"/>
                <w:sz w:val="24"/>
                <w:szCs w:val="21"/>
              </w:rPr>
              <w:t>6</w:t>
            </w:r>
            <w:r>
              <w:rPr>
                <w:rFonts w:hAnsi="宋体" w:cs="宋体"/>
                <w:kern w:val="2"/>
                <w:sz w:val="24"/>
                <w:szCs w:val="21"/>
              </w:rPr>
              <w:t>分）</w:t>
            </w:r>
          </w:p>
          <w:p>
            <w:pPr>
              <w:numPr>
                <w:ilvl w:val="0"/>
                <w:numId w:val="1"/>
              </w:numPr>
              <w:spacing w:line="300" w:lineRule="auto"/>
              <w:rPr>
                <w:rFonts w:hAnsi="宋体" w:cs="宋体"/>
                <w:kern w:val="2"/>
                <w:sz w:val="24"/>
                <w:szCs w:val="21"/>
              </w:rPr>
            </w:pPr>
            <w:r>
              <w:rPr>
                <w:rFonts w:hAnsi="宋体" w:cs="宋体"/>
                <w:kern w:val="2"/>
                <w:sz w:val="24"/>
                <w:szCs w:val="21"/>
              </w:rPr>
              <w:t>制造商或者供应商业绩（</w:t>
            </w:r>
            <w:r>
              <w:rPr>
                <w:rFonts w:hint="eastAsia" w:hAnsi="宋体" w:cs="宋体"/>
                <w:kern w:val="2"/>
                <w:sz w:val="24"/>
                <w:szCs w:val="21"/>
              </w:rPr>
              <w:t>26</w:t>
            </w:r>
            <w:r>
              <w:rPr>
                <w:rFonts w:hAnsi="宋体" w:cs="宋体"/>
                <w:kern w:val="2"/>
                <w:sz w:val="24"/>
                <w:szCs w:val="21"/>
              </w:rPr>
              <w:t>分）</w:t>
            </w:r>
          </w:p>
          <w:p>
            <w:pPr>
              <w:numPr>
                <w:ilvl w:val="0"/>
                <w:numId w:val="1"/>
              </w:numPr>
              <w:spacing w:line="300" w:lineRule="auto"/>
              <w:rPr>
                <w:rFonts w:hAnsi="宋体" w:cs="宋体"/>
                <w:kern w:val="2"/>
                <w:sz w:val="24"/>
                <w:szCs w:val="21"/>
              </w:rPr>
            </w:pPr>
            <w:r>
              <w:rPr>
                <w:rFonts w:hint="eastAsia" w:hAnsi="宋体" w:cs="宋体"/>
                <w:kern w:val="2"/>
                <w:sz w:val="24"/>
                <w:szCs w:val="21"/>
              </w:rPr>
              <w:t>生产能力（10分）</w:t>
            </w:r>
          </w:p>
          <w:p>
            <w:pPr>
              <w:numPr>
                <w:ilvl w:val="0"/>
                <w:numId w:val="1"/>
              </w:numPr>
              <w:spacing w:line="300" w:lineRule="auto"/>
              <w:rPr>
                <w:rFonts w:hAnsi="宋体" w:cs="宋体"/>
                <w:kern w:val="2"/>
                <w:sz w:val="24"/>
                <w:szCs w:val="21"/>
              </w:rPr>
            </w:pPr>
            <w:r>
              <w:rPr>
                <w:rFonts w:hAnsi="宋体" w:cs="宋体"/>
                <w:kern w:val="2"/>
                <w:sz w:val="24"/>
                <w:szCs w:val="21"/>
              </w:rPr>
              <w:t>售后服务、供应保障及优惠条件（</w:t>
            </w:r>
            <w:r>
              <w:rPr>
                <w:rFonts w:hint="eastAsia" w:hAnsi="宋体" w:cs="宋体"/>
                <w:kern w:val="2"/>
                <w:sz w:val="24"/>
                <w:szCs w:val="21"/>
              </w:rPr>
              <w:t>4</w:t>
            </w:r>
            <w:r>
              <w:rPr>
                <w:rFonts w:hAnsi="宋体" w:cs="宋体"/>
                <w:kern w:val="2"/>
                <w:sz w:val="24"/>
                <w:szCs w:val="21"/>
              </w:rPr>
              <w:t>分）</w:t>
            </w:r>
          </w:p>
          <w:p>
            <w:pPr>
              <w:numPr>
                <w:ilvl w:val="0"/>
                <w:numId w:val="1"/>
              </w:numPr>
              <w:spacing w:line="300" w:lineRule="auto"/>
              <w:rPr>
                <w:rFonts w:hAnsi="宋体" w:cs="宋体"/>
                <w:kern w:val="2"/>
                <w:sz w:val="24"/>
                <w:szCs w:val="21"/>
              </w:rPr>
            </w:pPr>
            <w:r>
              <w:rPr>
                <w:rFonts w:hint="eastAsia" w:hAnsi="宋体" w:cs="宋体"/>
                <w:kern w:val="2"/>
                <w:sz w:val="24"/>
                <w:szCs w:val="21"/>
              </w:rPr>
              <w:t>学术专利（4分）</w:t>
            </w:r>
          </w:p>
          <w:p>
            <w:pPr>
              <w:numPr>
                <w:ilvl w:val="0"/>
                <w:numId w:val="1"/>
              </w:numPr>
              <w:spacing w:line="300" w:lineRule="auto"/>
              <w:jc w:val="both"/>
              <w:rPr>
                <w:rFonts w:hint="eastAsia" w:hAnsi="宋体" w:cs="仿宋"/>
                <w:kern w:val="2"/>
                <w:sz w:val="24"/>
                <w:szCs w:val="24"/>
              </w:rPr>
            </w:pPr>
            <w:r>
              <w:rPr>
                <w:rFonts w:hAnsi="宋体" w:cs="宋体"/>
                <w:kern w:val="2"/>
                <w:sz w:val="24"/>
                <w:szCs w:val="21"/>
              </w:rPr>
              <w:t>评标价（</w:t>
            </w:r>
            <w:r>
              <w:rPr>
                <w:rFonts w:hint="eastAsia" w:hAnsi="宋体" w:cs="宋体"/>
                <w:kern w:val="2"/>
                <w:sz w:val="24"/>
                <w:szCs w:val="21"/>
              </w:rPr>
              <w:t>5</w:t>
            </w:r>
            <w:r>
              <w:rPr>
                <w:rFonts w:hAnsi="宋体" w:cs="宋体"/>
                <w:kern w:val="2"/>
                <w:sz w:val="24"/>
                <w:szCs w:val="21"/>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blHeader/>
        </w:trPr>
        <w:tc>
          <w:tcPr>
            <w:tcW w:w="6580" w:type="dxa"/>
            <w:gridSpan w:val="8"/>
            <w:vAlign w:val="center"/>
          </w:tcPr>
          <w:p>
            <w:pPr>
              <w:jc w:val="center"/>
              <w:rPr>
                <w:rFonts w:hint="eastAsia" w:hAnsi="宋体" w:cs="仿宋"/>
                <w:b/>
                <w:sz w:val="24"/>
                <w:szCs w:val="24"/>
              </w:rPr>
            </w:pPr>
            <w:r>
              <w:rPr>
                <w:rFonts w:hint="eastAsia" w:hAnsi="宋体" w:cs="仿宋"/>
                <w:b/>
                <w:sz w:val="24"/>
                <w:szCs w:val="24"/>
              </w:rPr>
              <w:t>评分因素与权重分值</w:t>
            </w:r>
            <w:r>
              <w:rPr>
                <w:rStyle w:val="12"/>
                <w:rFonts w:hint="eastAsia" w:hAnsi="宋体" w:cs="仿宋"/>
                <w:b/>
                <w:sz w:val="24"/>
                <w:szCs w:val="24"/>
              </w:rPr>
              <w:footnoteReference w:id="0"/>
            </w:r>
          </w:p>
        </w:tc>
        <w:tc>
          <w:tcPr>
            <w:tcW w:w="2834" w:type="dxa"/>
            <w:gridSpan w:val="2"/>
            <w:vMerge w:val="restart"/>
            <w:vAlign w:val="center"/>
          </w:tcPr>
          <w:p>
            <w:pPr>
              <w:jc w:val="center"/>
              <w:rPr>
                <w:rFonts w:hint="eastAsia" w:hAnsi="宋体" w:cs="仿宋"/>
                <w:b/>
                <w:sz w:val="24"/>
                <w:szCs w:val="24"/>
              </w:rPr>
            </w:pPr>
            <w:r>
              <w:rPr>
                <w:rFonts w:hint="eastAsia" w:hAnsi="宋体" w:cs="仿宋"/>
                <w:b/>
                <w:sz w:val="24"/>
                <w:szCs w:val="24"/>
              </w:rPr>
              <w:t>评分标准</w:t>
            </w:r>
            <w:r>
              <w:rPr>
                <w:rStyle w:val="12"/>
                <w:rFonts w:hint="eastAsia" w:hAnsi="宋体" w:cs="仿宋"/>
                <w:b/>
                <w:sz w:val="24"/>
                <w:szCs w:val="24"/>
              </w:rPr>
              <w:footnoteReference w:id="1"/>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blHeader/>
        </w:trPr>
        <w:tc>
          <w:tcPr>
            <w:tcW w:w="817" w:type="dxa"/>
            <w:vAlign w:val="center"/>
          </w:tcPr>
          <w:p>
            <w:pPr>
              <w:jc w:val="center"/>
              <w:rPr>
                <w:rFonts w:hint="eastAsia" w:hAnsi="宋体" w:cs="仿宋"/>
                <w:b/>
                <w:sz w:val="24"/>
                <w:szCs w:val="24"/>
              </w:rPr>
            </w:pPr>
            <w:r>
              <w:rPr>
                <w:rFonts w:hint="eastAsia" w:hAnsi="宋体" w:cs="仿宋"/>
                <w:b/>
                <w:sz w:val="24"/>
                <w:szCs w:val="24"/>
              </w:rPr>
              <w:t>条款号</w:t>
            </w:r>
          </w:p>
        </w:tc>
        <w:tc>
          <w:tcPr>
            <w:tcW w:w="1134" w:type="dxa"/>
            <w:gridSpan w:val="2"/>
            <w:vAlign w:val="center"/>
          </w:tcPr>
          <w:p>
            <w:pPr>
              <w:jc w:val="center"/>
              <w:rPr>
                <w:rFonts w:hint="eastAsia" w:hAnsi="宋体" w:cs="仿宋"/>
                <w:b/>
                <w:sz w:val="24"/>
                <w:szCs w:val="24"/>
              </w:rPr>
            </w:pPr>
            <w:r>
              <w:rPr>
                <w:rFonts w:hint="eastAsia" w:hAnsi="宋体" w:cs="仿宋"/>
                <w:b/>
                <w:sz w:val="24"/>
                <w:szCs w:val="24"/>
              </w:rPr>
              <w:t>评分因素</w:t>
            </w:r>
          </w:p>
        </w:tc>
        <w:tc>
          <w:tcPr>
            <w:tcW w:w="851" w:type="dxa"/>
            <w:gridSpan w:val="3"/>
            <w:vAlign w:val="center"/>
          </w:tcPr>
          <w:p>
            <w:pPr>
              <w:jc w:val="center"/>
              <w:rPr>
                <w:rFonts w:hint="eastAsia" w:hAnsi="宋体" w:cs="仿宋"/>
                <w:b/>
                <w:sz w:val="24"/>
                <w:szCs w:val="24"/>
              </w:rPr>
            </w:pPr>
            <w:r>
              <w:rPr>
                <w:rFonts w:hint="eastAsia" w:hAnsi="宋体" w:cs="仿宋"/>
                <w:b/>
                <w:sz w:val="24"/>
                <w:szCs w:val="24"/>
              </w:rPr>
              <w:t>评分因素</w:t>
            </w:r>
          </w:p>
          <w:p>
            <w:pPr>
              <w:jc w:val="center"/>
              <w:rPr>
                <w:rFonts w:hint="eastAsia" w:hAnsi="宋体" w:cs="仿宋"/>
                <w:b/>
                <w:sz w:val="24"/>
                <w:szCs w:val="24"/>
              </w:rPr>
            </w:pPr>
            <w:r>
              <w:rPr>
                <w:rFonts w:hint="eastAsia" w:hAnsi="宋体" w:cs="仿宋"/>
                <w:b/>
                <w:sz w:val="24"/>
                <w:szCs w:val="24"/>
              </w:rPr>
              <w:t>权重分值</w:t>
            </w:r>
          </w:p>
        </w:tc>
        <w:tc>
          <w:tcPr>
            <w:tcW w:w="2976" w:type="dxa"/>
            <w:vAlign w:val="center"/>
          </w:tcPr>
          <w:p>
            <w:pPr>
              <w:jc w:val="center"/>
              <w:rPr>
                <w:rFonts w:hint="eastAsia" w:hAnsi="宋体" w:cs="仿宋"/>
                <w:b/>
                <w:sz w:val="24"/>
                <w:szCs w:val="24"/>
              </w:rPr>
            </w:pPr>
            <w:r>
              <w:rPr>
                <w:rFonts w:hint="eastAsia" w:hAnsi="宋体" w:cs="仿宋"/>
                <w:b/>
                <w:sz w:val="24"/>
                <w:szCs w:val="24"/>
              </w:rPr>
              <w:t>各评分因素细分项</w:t>
            </w:r>
          </w:p>
        </w:tc>
        <w:tc>
          <w:tcPr>
            <w:tcW w:w="802" w:type="dxa"/>
            <w:vAlign w:val="center"/>
          </w:tcPr>
          <w:p>
            <w:pPr>
              <w:jc w:val="center"/>
              <w:rPr>
                <w:rFonts w:hint="eastAsia" w:hAnsi="宋体" w:cs="仿宋"/>
                <w:b/>
                <w:sz w:val="24"/>
                <w:szCs w:val="24"/>
              </w:rPr>
            </w:pPr>
            <w:r>
              <w:rPr>
                <w:rFonts w:hint="eastAsia" w:hAnsi="宋体" w:cs="仿宋"/>
                <w:b/>
                <w:sz w:val="24"/>
                <w:szCs w:val="24"/>
              </w:rPr>
              <w:t>分值</w:t>
            </w:r>
          </w:p>
        </w:tc>
        <w:tc>
          <w:tcPr>
            <w:tcW w:w="2834" w:type="dxa"/>
            <w:gridSpan w:val="2"/>
            <w:vMerge w:val="continue"/>
            <w:vAlign w:val="center"/>
          </w:tcPr>
          <w:p>
            <w:pPr>
              <w:jc w:val="center"/>
              <w:rPr>
                <w:rFonts w:hint="eastAsia" w:hAnsi="宋体"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708" w:hRule="atLeast"/>
        </w:trPr>
        <w:tc>
          <w:tcPr>
            <w:tcW w:w="817" w:type="dxa"/>
            <w:vMerge w:val="restart"/>
            <w:vAlign w:val="center"/>
          </w:tcPr>
          <w:p>
            <w:pPr>
              <w:jc w:val="center"/>
              <w:rPr>
                <w:rFonts w:hint="eastAsia" w:hAnsi="宋体" w:cs="仿宋"/>
                <w:sz w:val="24"/>
                <w:szCs w:val="24"/>
              </w:rPr>
            </w:pPr>
            <w:r>
              <w:rPr>
                <w:rFonts w:hint="eastAsia" w:hAnsi="宋体" w:cs="仿宋"/>
                <w:sz w:val="24"/>
                <w:szCs w:val="24"/>
              </w:rPr>
              <w:t>2.1.4（1）</w:t>
            </w:r>
          </w:p>
        </w:tc>
        <w:tc>
          <w:tcPr>
            <w:tcW w:w="1134" w:type="dxa"/>
            <w:gridSpan w:val="2"/>
            <w:vMerge w:val="restart"/>
            <w:vAlign w:val="center"/>
          </w:tcPr>
          <w:p>
            <w:pPr>
              <w:ind w:left="113" w:right="113"/>
              <w:jc w:val="center"/>
              <w:rPr>
                <w:rFonts w:hAnsi="宋体" w:cs="宋体"/>
                <w:kern w:val="2"/>
                <w:sz w:val="22"/>
                <w:szCs w:val="22"/>
              </w:rPr>
            </w:pPr>
            <w:r>
              <w:rPr>
                <w:rFonts w:hAnsi="宋体" w:cs="宋体"/>
                <w:kern w:val="2"/>
                <w:sz w:val="22"/>
                <w:szCs w:val="22"/>
              </w:rPr>
              <w:t>技术</w:t>
            </w:r>
          </w:p>
          <w:p>
            <w:pPr>
              <w:ind w:left="113" w:right="113"/>
              <w:jc w:val="center"/>
              <w:rPr>
                <w:rFonts w:hAnsi="宋体" w:cs="宋体"/>
                <w:kern w:val="2"/>
                <w:sz w:val="22"/>
                <w:szCs w:val="22"/>
              </w:rPr>
            </w:pPr>
            <w:r>
              <w:rPr>
                <w:rFonts w:hAnsi="宋体" w:cs="宋体"/>
                <w:kern w:val="2"/>
                <w:sz w:val="22"/>
                <w:szCs w:val="22"/>
              </w:rPr>
              <w:t>质量</w:t>
            </w:r>
          </w:p>
        </w:tc>
        <w:tc>
          <w:tcPr>
            <w:tcW w:w="851" w:type="dxa"/>
            <w:gridSpan w:val="3"/>
            <w:vMerge w:val="restart"/>
            <w:vAlign w:val="center"/>
          </w:tcPr>
          <w:p>
            <w:pPr>
              <w:jc w:val="center"/>
              <w:rPr>
                <w:rFonts w:hAnsi="宋体" w:cs="宋体"/>
                <w:kern w:val="2"/>
                <w:sz w:val="22"/>
                <w:szCs w:val="22"/>
              </w:rPr>
            </w:pPr>
            <w:r>
              <w:rPr>
                <w:rFonts w:hint="eastAsia" w:hAnsi="宋体" w:cs="宋体"/>
                <w:kern w:val="2"/>
                <w:sz w:val="22"/>
                <w:szCs w:val="22"/>
              </w:rPr>
              <w:t>6</w:t>
            </w:r>
            <w:r>
              <w:rPr>
                <w:rFonts w:hAnsi="宋体" w:cs="宋体"/>
                <w:kern w:val="2"/>
                <w:sz w:val="22"/>
                <w:szCs w:val="22"/>
              </w:rPr>
              <w:t>分</w:t>
            </w:r>
          </w:p>
        </w:tc>
        <w:tc>
          <w:tcPr>
            <w:tcW w:w="2976" w:type="dxa"/>
            <w:vAlign w:val="center"/>
          </w:tcPr>
          <w:p>
            <w:pPr>
              <w:jc w:val="both"/>
              <w:rPr>
                <w:rFonts w:hAnsi="宋体" w:cs="宋体"/>
                <w:kern w:val="2"/>
                <w:sz w:val="20"/>
              </w:rPr>
            </w:pPr>
            <w:r>
              <w:rPr>
                <w:rFonts w:hAnsi="宋体" w:cs="宋体"/>
                <w:kern w:val="2"/>
                <w:sz w:val="20"/>
              </w:rPr>
              <w:t>护栏板及拼接套管、立柱、柱帽、托架等的质量要求，满足招标文件要求，符合国家标准，交货时承诺提交产品质量合格证书和检验报告、有详细、可靠、合理的质量保障措施</w:t>
            </w:r>
            <w:r>
              <w:rPr>
                <w:rFonts w:hint="eastAsia" w:hAnsi="宋体" w:cs="宋体"/>
                <w:kern w:val="2"/>
                <w:sz w:val="20"/>
              </w:rPr>
              <w:t>。</w:t>
            </w:r>
          </w:p>
        </w:tc>
        <w:tc>
          <w:tcPr>
            <w:tcW w:w="802" w:type="dxa"/>
            <w:vAlign w:val="center"/>
          </w:tcPr>
          <w:p>
            <w:pPr>
              <w:jc w:val="center"/>
              <w:rPr>
                <w:rFonts w:hAnsi="宋体" w:cs="宋体"/>
                <w:kern w:val="2"/>
                <w:sz w:val="22"/>
                <w:szCs w:val="22"/>
              </w:rPr>
            </w:pPr>
            <w:r>
              <w:rPr>
                <w:rFonts w:hAnsi="宋体" w:cs="宋体"/>
                <w:kern w:val="2"/>
                <w:sz w:val="22"/>
                <w:szCs w:val="22"/>
              </w:rPr>
              <w:t>2分</w:t>
            </w:r>
          </w:p>
        </w:tc>
        <w:tc>
          <w:tcPr>
            <w:tcW w:w="2834" w:type="dxa"/>
            <w:gridSpan w:val="2"/>
            <w:vMerge w:val="restart"/>
            <w:vAlign w:val="center"/>
          </w:tcPr>
          <w:p>
            <w:pPr>
              <w:spacing w:line="400" w:lineRule="exact"/>
              <w:ind w:firstLine="420" w:firstLineChars="200"/>
              <w:jc w:val="both"/>
              <w:rPr>
                <w:rFonts w:hAnsi="宋体" w:cs="仿宋"/>
                <w:sz w:val="21"/>
                <w:szCs w:val="24"/>
              </w:rPr>
            </w:pPr>
            <w:r>
              <w:rPr>
                <w:rFonts w:hAnsi="宋体" w:cs="仿宋"/>
                <w:sz w:val="21"/>
                <w:szCs w:val="24"/>
              </w:rPr>
              <w:t>均按4个等级评定：“很好”计90%</w:t>
            </w:r>
            <w:r>
              <w:rPr>
                <w:rFonts w:hint="eastAsia" w:hAnsi="宋体" w:cs="仿宋"/>
                <w:sz w:val="21"/>
                <w:szCs w:val="24"/>
              </w:rPr>
              <w:t>～</w:t>
            </w:r>
            <w:r>
              <w:rPr>
                <w:rFonts w:hAnsi="宋体" w:cs="仿宋"/>
                <w:sz w:val="21"/>
                <w:szCs w:val="24"/>
              </w:rPr>
              <w:t>100%，“较好”计80</w:t>
            </w:r>
            <w:r>
              <w:rPr>
                <w:rFonts w:hint="eastAsia" w:hAnsi="宋体" w:cs="仿宋"/>
                <w:sz w:val="21"/>
                <w:szCs w:val="24"/>
              </w:rPr>
              <w:t>～</w:t>
            </w:r>
            <w:r>
              <w:rPr>
                <w:rFonts w:hAnsi="宋体" w:cs="仿宋"/>
                <w:sz w:val="21"/>
                <w:szCs w:val="24"/>
              </w:rPr>
              <w:t>90%，“一般”计70%</w:t>
            </w:r>
            <w:r>
              <w:rPr>
                <w:rFonts w:hint="eastAsia" w:hAnsi="宋体" w:cs="仿宋"/>
                <w:sz w:val="21"/>
                <w:szCs w:val="24"/>
              </w:rPr>
              <w:t>～</w:t>
            </w:r>
            <w:r>
              <w:rPr>
                <w:rFonts w:hAnsi="宋体" w:cs="仿宋"/>
                <w:sz w:val="21"/>
                <w:szCs w:val="24"/>
              </w:rPr>
              <w:t>80%，“较差但可行”计60%</w:t>
            </w:r>
            <w:r>
              <w:rPr>
                <w:rFonts w:hint="eastAsia" w:hAnsi="宋体" w:cs="仿宋"/>
                <w:sz w:val="21"/>
                <w:szCs w:val="24"/>
              </w:rPr>
              <w:t>～</w:t>
            </w:r>
            <w:r>
              <w:rPr>
                <w:rFonts w:hAnsi="宋体" w:cs="仿宋"/>
                <w:sz w:val="21"/>
                <w:szCs w:val="24"/>
              </w:rPr>
              <w:t>70%</w:t>
            </w:r>
            <w:r>
              <w:rPr>
                <w:rFonts w:hint="eastAsia" w:hAnsi="宋体" w:cs="仿宋"/>
                <w:sz w:val="21"/>
                <w:szCs w:val="24"/>
              </w:rPr>
              <w:t>，评标委员会成员对各项因素的评分一般不得低于招标文件规定该因素满分值的60%，低于满分值60%的，评标委员会成员应当在评标报告中作出说明</w:t>
            </w:r>
            <w:r>
              <w:rPr>
                <w:rFonts w:hAnsi="宋体" w:cs="仿宋"/>
                <w:sz w:val="21"/>
                <w:szCs w:val="24"/>
              </w:rPr>
              <w:t>。</w:t>
            </w:r>
          </w:p>
          <w:p>
            <w:pPr>
              <w:jc w:val="both"/>
              <w:rPr>
                <w:rFonts w:hint="eastAsia" w:hAnsi="宋体" w:cs="仿宋"/>
                <w:sz w:val="24"/>
                <w:szCs w:val="24"/>
              </w:rPr>
            </w:pPr>
            <w:r>
              <w:rPr>
                <w:rFonts w:hint="eastAsia" w:hAnsi="宋体" w:cs="仿宋"/>
                <w:sz w:val="21"/>
                <w:szCs w:val="24"/>
              </w:rPr>
              <w:t>本项目由评标委员会按照上述规定，独立评分并签名，各项目以专家打分的平均值确定（当</w:t>
            </w:r>
            <w:r>
              <w:rPr>
                <w:rFonts w:hAnsi="宋体" w:cs="仿宋"/>
                <w:sz w:val="21"/>
                <w:szCs w:val="24"/>
              </w:rPr>
              <w:t>评标委员会</w:t>
            </w:r>
            <w:r>
              <w:rPr>
                <w:rFonts w:hint="eastAsia" w:hAnsi="宋体" w:cs="仿宋"/>
                <w:sz w:val="21"/>
                <w:szCs w:val="24"/>
              </w:rPr>
              <w:t>成员为5人时该平均值以</w:t>
            </w:r>
            <w:r>
              <w:rPr>
                <w:rFonts w:hAnsi="宋体" w:cs="仿宋"/>
                <w:sz w:val="21"/>
                <w:szCs w:val="24"/>
              </w:rPr>
              <w:t>各成员打分的</w:t>
            </w:r>
            <w:r>
              <w:rPr>
                <w:rFonts w:hint="eastAsia" w:hAnsi="宋体" w:cs="仿宋"/>
                <w:sz w:val="21"/>
                <w:szCs w:val="24"/>
              </w:rPr>
              <w:t>算术</w:t>
            </w:r>
            <w:r>
              <w:rPr>
                <w:rFonts w:hAnsi="宋体" w:cs="仿宋"/>
                <w:sz w:val="21"/>
                <w:szCs w:val="24"/>
              </w:rPr>
              <w:t>平均值确定</w:t>
            </w:r>
            <w:r>
              <w:rPr>
                <w:rFonts w:hint="eastAsia" w:hAnsi="宋体" w:cs="仿宋"/>
                <w:sz w:val="21"/>
                <w:szCs w:val="24"/>
              </w:rPr>
              <w:t>；当</w:t>
            </w:r>
            <w:r>
              <w:rPr>
                <w:rFonts w:hAnsi="宋体" w:cs="仿宋"/>
                <w:sz w:val="21"/>
                <w:szCs w:val="24"/>
              </w:rPr>
              <w:t>评标委员会</w:t>
            </w:r>
            <w:r>
              <w:rPr>
                <w:rFonts w:hint="eastAsia" w:hAnsi="宋体" w:cs="仿宋"/>
                <w:sz w:val="21"/>
                <w:szCs w:val="24"/>
              </w:rPr>
              <w:t>成员为7人及以上时，</w:t>
            </w:r>
            <w:r>
              <w:rPr>
                <w:rFonts w:hAnsi="宋体" w:cs="仿宋"/>
                <w:sz w:val="21"/>
                <w:szCs w:val="24"/>
              </w:rPr>
              <w:t>该平均值以去掉一个最高分和一个最低分后</w:t>
            </w:r>
            <w:r>
              <w:rPr>
                <w:rFonts w:hint="eastAsia" w:hAnsi="宋体" w:cs="仿宋"/>
                <w:sz w:val="21"/>
                <w:szCs w:val="24"/>
              </w:rPr>
              <w:t>的平均值</w:t>
            </w:r>
            <w:r>
              <w:rPr>
                <w:rFonts w:hAnsi="宋体" w:cs="仿宋"/>
                <w:sz w:val="21"/>
                <w:szCs w:val="24"/>
              </w:rPr>
              <w:t>计算</w:t>
            </w:r>
            <w:r>
              <w:rPr>
                <w:rFonts w:hint="eastAsia" w:hAnsi="宋体" w:cs="仿宋"/>
                <w:sz w:val="21"/>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2257" w:hRule="atLeast"/>
        </w:trPr>
        <w:tc>
          <w:tcPr>
            <w:tcW w:w="817" w:type="dxa"/>
            <w:vMerge w:val="continue"/>
            <w:vAlign w:val="center"/>
          </w:tcPr>
          <w:p>
            <w:pPr>
              <w:jc w:val="center"/>
              <w:rPr>
                <w:rFonts w:hint="eastAsia" w:hAnsi="宋体" w:cs="仿宋"/>
                <w:sz w:val="24"/>
                <w:szCs w:val="24"/>
              </w:rPr>
            </w:pPr>
          </w:p>
        </w:tc>
        <w:tc>
          <w:tcPr>
            <w:tcW w:w="1134" w:type="dxa"/>
            <w:gridSpan w:val="2"/>
            <w:vMerge w:val="continue"/>
            <w:vAlign w:val="center"/>
          </w:tcPr>
          <w:p>
            <w:pPr>
              <w:jc w:val="center"/>
              <w:rPr>
                <w:rFonts w:hint="eastAsia" w:hAnsi="宋体" w:cs="仿宋"/>
                <w:sz w:val="24"/>
                <w:szCs w:val="24"/>
              </w:rPr>
            </w:pPr>
          </w:p>
        </w:tc>
        <w:tc>
          <w:tcPr>
            <w:tcW w:w="851" w:type="dxa"/>
            <w:gridSpan w:val="3"/>
            <w:vMerge w:val="continue"/>
            <w:vAlign w:val="center"/>
          </w:tcPr>
          <w:p>
            <w:pPr>
              <w:jc w:val="center"/>
              <w:rPr>
                <w:rFonts w:hint="eastAsia" w:hAnsi="宋体" w:cs="仿宋"/>
                <w:sz w:val="24"/>
                <w:szCs w:val="24"/>
              </w:rPr>
            </w:pPr>
          </w:p>
        </w:tc>
        <w:tc>
          <w:tcPr>
            <w:tcW w:w="2976" w:type="dxa"/>
            <w:vAlign w:val="center"/>
          </w:tcPr>
          <w:p>
            <w:pPr>
              <w:ind w:left="113" w:right="113"/>
              <w:jc w:val="center"/>
              <w:rPr>
                <w:rFonts w:hint="eastAsia" w:hAnsi="宋体" w:cs="仿宋"/>
                <w:sz w:val="24"/>
                <w:szCs w:val="24"/>
              </w:rPr>
            </w:pPr>
            <w:r>
              <w:rPr>
                <w:rFonts w:hAnsi="宋体" w:cs="宋体"/>
                <w:kern w:val="2"/>
                <w:sz w:val="20"/>
              </w:rPr>
              <w:t>护栏板及拼接套管、立柱、柱帽、托架等的选用材料，完全满足招标文件要求、选用的钢材可靠，提供了钢材</w:t>
            </w:r>
            <w:r>
              <w:rPr>
                <w:rFonts w:hint="eastAsia" w:hAnsi="宋体" w:cs="宋体"/>
                <w:kern w:val="2"/>
                <w:sz w:val="20"/>
              </w:rPr>
              <w:t>制造商质量证明书</w:t>
            </w:r>
            <w:r>
              <w:rPr>
                <w:rFonts w:hAnsi="宋体" w:cs="宋体"/>
                <w:kern w:val="2"/>
                <w:sz w:val="20"/>
              </w:rPr>
              <w:t>和</w:t>
            </w:r>
            <w:r>
              <w:rPr>
                <w:rFonts w:hint="eastAsia" w:hAnsi="宋体" w:cs="宋体"/>
                <w:kern w:val="2"/>
                <w:sz w:val="20"/>
              </w:rPr>
              <w:t>相关</w:t>
            </w:r>
            <w:r>
              <w:rPr>
                <w:rFonts w:hAnsi="宋体" w:cs="宋体"/>
                <w:kern w:val="2"/>
                <w:sz w:val="20"/>
              </w:rPr>
              <w:t>检验</w:t>
            </w:r>
            <w:r>
              <w:rPr>
                <w:rFonts w:hint="eastAsia" w:hAnsi="宋体" w:cs="宋体"/>
                <w:kern w:val="2"/>
                <w:sz w:val="20"/>
              </w:rPr>
              <w:t>检测</w:t>
            </w:r>
            <w:r>
              <w:rPr>
                <w:rFonts w:hAnsi="宋体" w:cs="宋体"/>
                <w:kern w:val="2"/>
                <w:sz w:val="20"/>
              </w:rPr>
              <w:t>报告</w:t>
            </w:r>
            <w:r>
              <w:rPr>
                <w:rFonts w:hint="eastAsia" w:hAnsi="宋体" w:cs="宋体"/>
                <w:kern w:val="2"/>
                <w:sz w:val="20"/>
              </w:rPr>
              <w:t>。</w:t>
            </w:r>
          </w:p>
        </w:tc>
        <w:tc>
          <w:tcPr>
            <w:tcW w:w="802" w:type="dxa"/>
            <w:vAlign w:val="center"/>
          </w:tcPr>
          <w:p>
            <w:pPr>
              <w:jc w:val="center"/>
              <w:rPr>
                <w:rFonts w:hAnsi="宋体" w:cs="宋体"/>
                <w:kern w:val="2"/>
                <w:sz w:val="22"/>
                <w:szCs w:val="22"/>
              </w:rPr>
            </w:pPr>
            <w:r>
              <w:rPr>
                <w:rFonts w:hAnsi="宋体" w:cs="宋体"/>
                <w:kern w:val="2"/>
                <w:sz w:val="22"/>
                <w:szCs w:val="22"/>
              </w:rPr>
              <w:t>2分</w:t>
            </w:r>
          </w:p>
        </w:tc>
        <w:tc>
          <w:tcPr>
            <w:tcW w:w="2834" w:type="dxa"/>
            <w:gridSpan w:val="2"/>
            <w:vMerge w:val="continue"/>
            <w:vAlign w:val="center"/>
          </w:tcPr>
          <w:p>
            <w:pPr>
              <w:jc w:val="center"/>
              <w:rPr>
                <w:rFonts w:hint="eastAsia" w:hAnsi="宋体"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2539" w:hRule="atLeast"/>
        </w:trPr>
        <w:tc>
          <w:tcPr>
            <w:tcW w:w="817" w:type="dxa"/>
            <w:vMerge w:val="continue"/>
            <w:vAlign w:val="center"/>
          </w:tcPr>
          <w:p>
            <w:pPr>
              <w:jc w:val="center"/>
              <w:rPr>
                <w:rFonts w:hint="eastAsia" w:hAnsi="宋体" w:cs="仿宋"/>
                <w:sz w:val="24"/>
                <w:szCs w:val="24"/>
              </w:rPr>
            </w:pPr>
          </w:p>
        </w:tc>
        <w:tc>
          <w:tcPr>
            <w:tcW w:w="1134" w:type="dxa"/>
            <w:gridSpan w:val="2"/>
            <w:vMerge w:val="continue"/>
            <w:vAlign w:val="center"/>
          </w:tcPr>
          <w:p>
            <w:pPr>
              <w:jc w:val="center"/>
              <w:rPr>
                <w:rFonts w:hint="eastAsia" w:hAnsi="宋体" w:cs="仿宋"/>
                <w:sz w:val="24"/>
                <w:szCs w:val="24"/>
              </w:rPr>
            </w:pPr>
          </w:p>
        </w:tc>
        <w:tc>
          <w:tcPr>
            <w:tcW w:w="851" w:type="dxa"/>
            <w:gridSpan w:val="3"/>
            <w:vMerge w:val="continue"/>
            <w:vAlign w:val="center"/>
          </w:tcPr>
          <w:p>
            <w:pPr>
              <w:jc w:val="center"/>
              <w:rPr>
                <w:rFonts w:hint="eastAsia" w:hAnsi="宋体" w:cs="仿宋"/>
                <w:sz w:val="24"/>
                <w:szCs w:val="24"/>
              </w:rPr>
            </w:pPr>
          </w:p>
        </w:tc>
        <w:tc>
          <w:tcPr>
            <w:tcW w:w="2976" w:type="dxa"/>
            <w:vAlign w:val="center"/>
          </w:tcPr>
          <w:p>
            <w:pPr>
              <w:ind w:left="113" w:right="113"/>
              <w:jc w:val="center"/>
              <w:rPr>
                <w:rFonts w:hAnsi="宋体" w:cs="仿宋"/>
                <w:sz w:val="24"/>
                <w:szCs w:val="24"/>
              </w:rPr>
            </w:pPr>
            <w:r>
              <w:rPr>
                <w:rFonts w:hAnsi="宋体" w:cs="宋体"/>
                <w:kern w:val="2"/>
                <w:sz w:val="20"/>
              </w:rPr>
              <w:t>护栏板及拼接套管、立柱、柱帽、托架等</w:t>
            </w:r>
            <w:r>
              <w:rPr>
                <w:rFonts w:hint="eastAsia" w:hAnsi="宋体" w:cs="宋体"/>
                <w:kern w:val="2"/>
                <w:sz w:val="20"/>
              </w:rPr>
              <w:t>以及喷涂</w:t>
            </w:r>
            <w:r>
              <w:rPr>
                <w:rFonts w:hAnsi="宋体" w:cs="宋体"/>
                <w:kern w:val="2"/>
                <w:sz w:val="20"/>
              </w:rPr>
              <w:t>的加工工艺完全满足招标文件要求，有详细、合理的工艺保证措施</w:t>
            </w:r>
            <w:r>
              <w:rPr>
                <w:rFonts w:hint="eastAsia" w:hAnsi="宋体" w:cs="宋体"/>
                <w:kern w:val="2"/>
                <w:sz w:val="20"/>
              </w:rPr>
              <w:t>。</w:t>
            </w:r>
          </w:p>
        </w:tc>
        <w:tc>
          <w:tcPr>
            <w:tcW w:w="802" w:type="dxa"/>
            <w:vAlign w:val="center"/>
          </w:tcPr>
          <w:p>
            <w:pPr>
              <w:jc w:val="center"/>
              <w:rPr>
                <w:rFonts w:hAnsi="宋体" w:cs="宋体"/>
                <w:kern w:val="2"/>
                <w:sz w:val="22"/>
                <w:szCs w:val="22"/>
              </w:rPr>
            </w:pPr>
            <w:r>
              <w:rPr>
                <w:rFonts w:hAnsi="宋体" w:cs="宋体"/>
                <w:kern w:val="2"/>
                <w:sz w:val="22"/>
                <w:szCs w:val="22"/>
              </w:rPr>
              <w:t>2分</w:t>
            </w:r>
          </w:p>
        </w:tc>
        <w:tc>
          <w:tcPr>
            <w:tcW w:w="2834" w:type="dxa"/>
            <w:gridSpan w:val="2"/>
            <w:vMerge w:val="continue"/>
            <w:vAlign w:val="center"/>
          </w:tcPr>
          <w:p>
            <w:pPr>
              <w:jc w:val="center"/>
              <w:rPr>
                <w:rFonts w:hint="eastAsia" w:hAnsi="宋体"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rPr>
        <w:tc>
          <w:tcPr>
            <w:tcW w:w="817" w:type="dxa"/>
            <w:vAlign w:val="center"/>
          </w:tcPr>
          <w:p>
            <w:pPr>
              <w:jc w:val="center"/>
              <w:rPr>
                <w:rFonts w:hint="eastAsia" w:hAnsi="宋体" w:cs="仿宋"/>
                <w:sz w:val="24"/>
                <w:szCs w:val="24"/>
              </w:rPr>
            </w:pPr>
            <w:r>
              <w:rPr>
                <w:rFonts w:hint="eastAsia" w:hAnsi="宋体" w:cs="仿宋"/>
                <w:sz w:val="24"/>
                <w:szCs w:val="24"/>
              </w:rPr>
              <w:t>2.1.4（2）</w:t>
            </w:r>
          </w:p>
        </w:tc>
        <w:tc>
          <w:tcPr>
            <w:tcW w:w="1134" w:type="dxa"/>
            <w:gridSpan w:val="2"/>
            <w:vAlign w:val="center"/>
          </w:tcPr>
          <w:p>
            <w:pPr>
              <w:jc w:val="center"/>
              <w:rPr>
                <w:rFonts w:hint="eastAsia" w:hAnsi="宋体" w:cs="仿宋"/>
                <w:sz w:val="24"/>
                <w:szCs w:val="24"/>
              </w:rPr>
            </w:pPr>
            <w:r>
              <w:rPr>
                <w:rFonts w:hint="eastAsia" w:hAnsi="宋体" w:cs="仿宋"/>
                <w:sz w:val="24"/>
                <w:szCs w:val="24"/>
              </w:rPr>
              <w:t>代理商或制造商业绩</w:t>
            </w:r>
          </w:p>
        </w:tc>
        <w:tc>
          <w:tcPr>
            <w:tcW w:w="851" w:type="dxa"/>
            <w:gridSpan w:val="3"/>
            <w:vAlign w:val="center"/>
          </w:tcPr>
          <w:p>
            <w:pPr>
              <w:jc w:val="center"/>
              <w:rPr>
                <w:rFonts w:hint="eastAsia" w:hAnsi="宋体" w:cs="仿宋"/>
                <w:sz w:val="24"/>
                <w:szCs w:val="24"/>
              </w:rPr>
            </w:pPr>
            <w:r>
              <w:rPr>
                <w:rFonts w:hint="eastAsia" w:hAnsi="宋体" w:cs="仿宋"/>
                <w:sz w:val="24"/>
                <w:szCs w:val="24"/>
              </w:rPr>
              <w:t>26分</w:t>
            </w:r>
          </w:p>
        </w:tc>
        <w:tc>
          <w:tcPr>
            <w:tcW w:w="6612" w:type="dxa"/>
            <w:gridSpan w:val="4"/>
            <w:vAlign w:val="center"/>
          </w:tcPr>
          <w:p>
            <w:pPr>
              <w:jc w:val="both"/>
              <w:rPr>
                <w:rFonts w:hint="eastAsia" w:hAnsi="宋体" w:cs="仿宋"/>
                <w:sz w:val="21"/>
                <w:szCs w:val="24"/>
              </w:rPr>
            </w:pPr>
            <w:r>
              <w:rPr>
                <w:rFonts w:hAnsi="宋体" w:cs="仿宋"/>
                <w:sz w:val="21"/>
                <w:szCs w:val="24"/>
              </w:rPr>
              <w:t>近三年内（201</w:t>
            </w:r>
            <w:r>
              <w:rPr>
                <w:rFonts w:hint="eastAsia" w:hAnsi="宋体" w:cs="仿宋"/>
                <w:sz w:val="21"/>
                <w:szCs w:val="24"/>
              </w:rPr>
              <w:t>8</w:t>
            </w:r>
            <w:r>
              <w:rPr>
                <w:rFonts w:hAnsi="宋体" w:cs="仿宋"/>
                <w:sz w:val="21"/>
                <w:szCs w:val="24"/>
              </w:rPr>
              <w:t>年1月1日至投标文件递交截至时间）每完成一个高速公路波形梁供货项目，且单项合同金额大于等于</w:t>
            </w:r>
            <w:r>
              <w:rPr>
                <w:rFonts w:hint="eastAsia" w:hAnsi="宋体" w:cs="仿宋"/>
                <w:sz w:val="21"/>
                <w:szCs w:val="24"/>
              </w:rPr>
              <w:t>20</w:t>
            </w:r>
            <w:r>
              <w:rPr>
                <w:rFonts w:hAnsi="宋体" w:cs="仿宋"/>
                <w:sz w:val="21"/>
                <w:szCs w:val="24"/>
              </w:rPr>
              <w:t>00万元的加2分，最高加26分。（业绩认定以签订的合同协议书复印件作为证明材料，认定时间周期为 201</w:t>
            </w:r>
            <w:r>
              <w:rPr>
                <w:rFonts w:hint="eastAsia" w:hAnsi="宋体" w:cs="仿宋"/>
                <w:sz w:val="21"/>
                <w:szCs w:val="24"/>
              </w:rPr>
              <w:t>8</w:t>
            </w:r>
            <w:r>
              <w:rPr>
                <w:rFonts w:hAnsi="宋体" w:cs="仿宋"/>
                <w:sz w:val="21"/>
                <w:szCs w:val="24"/>
              </w:rPr>
              <w:t>年1月1日至投标文件递交截止时间。2020年1月1日之后签订的合同已经完成供货，</w:t>
            </w:r>
            <w:r>
              <w:rPr>
                <w:rFonts w:hint="eastAsia" w:hAnsi="宋体" w:cs="仿宋"/>
                <w:sz w:val="21"/>
                <w:szCs w:val="24"/>
              </w:rPr>
              <w:t>需</w:t>
            </w:r>
            <w:r>
              <w:rPr>
                <w:rFonts w:hAnsi="宋体" w:cs="仿宋"/>
                <w:sz w:val="21"/>
                <w:szCs w:val="24"/>
              </w:rPr>
              <w:t>补充用户单位出具的相关证明，以证明已经完成了上述合同的波形梁供应，否则业绩不予认可。合同协议书或者用户单位出具的相关证明中未明确表述合同金额的，投标人应当提供注明有合同金额的中标通知书或由业主单位出具的注明有合同金额的证明材料或者相关发票复印件予以补充， 否则业绩将不予认定。</w:t>
            </w:r>
          </w:p>
          <w:p>
            <w:pPr>
              <w:jc w:val="both"/>
              <w:rPr>
                <w:rFonts w:hint="eastAsia" w:hAnsi="宋体" w:cs="仿宋"/>
                <w:sz w:val="24"/>
                <w:szCs w:val="24"/>
              </w:rPr>
            </w:pPr>
            <w:r>
              <w:rPr>
                <w:rFonts w:hAnsi="宋体" w:cs="仿宋"/>
                <w:sz w:val="21"/>
                <w:szCs w:val="24"/>
              </w:rPr>
              <w:t>若为代理商投标，则业绩认定对象可为代理商或授权给代理商的波形梁制造商。）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rPr>
        <w:tc>
          <w:tcPr>
            <w:tcW w:w="817" w:type="dxa"/>
            <w:vAlign w:val="center"/>
          </w:tcPr>
          <w:p>
            <w:pPr>
              <w:jc w:val="center"/>
              <w:rPr>
                <w:rFonts w:hint="eastAsia" w:hAnsi="宋体" w:cs="仿宋"/>
                <w:sz w:val="24"/>
                <w:szCs w:val="24"/>
              </w:rPr>
            </w:pPr>
            <w:r>
              <w:rPr>
                <w:rFonts w:hint="eastAsia" w:hAnsi="宋体" w:cs="仿宋"/>
                <w:sz w:val="24"/>
                <w:szCs w:val="24"/>
              </w:rPr>
              <w:t>2.1.4（3）</w:t>
            </w:r>
          </w:p>
        </w:tc>
        <w:tc>
          <w:tcPr>
            <w:tcW w:w="1134" w:type="dxa"/>
            <w:gridSpan w:val="2"/>
            <w:vAlign w:val="center"/>
          </w:tcPr>
          <w:p>
            <w:pPr>
              <w:ind w:left="113" w:right="113"/>
              <w:jc w:val="center"/>
              <w:rPr>
                <w:rFonts w:hint="eastAsia" w:hAnsi="宋体" w:cs="仿宋"/>
                <w:sz w:val="24"/>
                <w:szCs w:val="24"/>
              </w:rPr>
            </w:pPr>
            <w:r>
              <w:rPr>
                <w:rFonts w:hint="eastAsia" w:hAnsi="宋体" w:cs="仿宋"/>
                <w:sz w:val="24"/>
                <w:szCs w:val="24"/>
              </w:rPr>
              <w:t>生产能力</w:t>
            </w:r>
          </w:p>
        </w:tc>
        <w:tc>
          <w:tcPr>
            <w:tcW w:w="851" w:type="dxa"/>
            <w:gridSpan w:val="3"/>
            <w:vAlign w:val="center"/>
          </w:tcPr>
          <w:p>
            <w:pPr>
              <w:jc w:val="center"/>
              <w:rPr>
                <w:rFonts w:hint="eastAsia" w:hAnsi="宋体" w:cs="仿宋"/>
                <w:sz w:val="24"/>
                <w:szCs w:val="24"/>
              </w:rPr>
            </w:pPr>
            <w:r>
              <w:rPr>
                <w:rFonts w:hint="eastAsia" w:hAnsi="宋体" w:cs="仿宋"/>
                <w:sz w:val="24"/>
                <w:szCs w:val="24"/>
                <w:u w:val="single"/>
              </w:rPr>
              <w:t>10</w:t>
            </w:r>
            <w:r>
              <w:rPr>
                <w:rFonts w:hint="eastAsia" w:hAnsi="宋体" w:cs="仿宋"/>
                <w:sz w:val="24"/>
                <w:szCs w:val="24"/>
              </w:rPr>
              <w:t>分</w:t>
            </w:r>
          </w:p>
        </w:tc>
        <w:tc>
          <w:tcPr>
            <w:tcW w:w="2976" w:type="dxa"/>
            <w:vAlign w:val="center"/>
          </w:tcPr>
          <w:p>
            <w:pPr>
              <w:jc w:val="both"/>
              <w:rPr>
                <w:rFonts w:hint="eastAsia" w:hAnsi="宋体" w:cs="仿宋"/>
                <w:sz w:val="21"/>
                <w:szCs w:val="24"/>
              </w:rPr>
            </w:pPr>
            <w:r>
              <w:rPr>
                <w:rFonts w:hint="eastAsia" w:hAnsi="宋体" w:cs="仿宋"/>
                <w:sz w:val="21"/>
              </w:rPr>
              <w:t>生产商要求拥有（镀锌、纵剪、成型三位一体）生产线3条，得基本分1分；每增加1条生产线得1分，最多加9分；共计10分；</w:t>
            </w:r>
          </w:p>
        </w:tc>
        <w:tc>
          <w:tcPr>
            <w:tcW w:w="802" w:type="dxa"/>
            <w:vAlign w:val="center"/>
          </w:tcPr>
          <w:p>
            <w:pPr>
              <w:jc w:val="center"/>
              <w:rPr>
                <w:rFonts w:hAnsi="宋体" w:cs="仿宋"/>
                <w:sz w:val="21"/>
                <w:szCs w:val="24"/>
                <w:u w:val="single"/>
              </w:rPr>
            </w:pPr>
            <w:r>
              <w:rPr>
                <w:rFonts w:hint="eastAsia" w:hAnsi="宋体" w:cs="仿宋"/>
                <w:sz w:val="21"/>
                <w:szCs w:val="24"/>
                <w:u w:val="single"/>
              </w:rPr>
              <w:t>10</w:t>
            </w:r>
            <w:r>
              <w:rPr>
                <w:rFonts w:hint="eastAsia" w:hAnsi="宋体" w:cs="仿宋"/>
                <w:sz w:val="21"/>
                <w:szCs w:val="24"/>
              </w:rPr>
              <w:t>分</w:t>
            </w:r>
          </w:p>
        </w:tc>
        <w:tc>
          <w:tcPr>
            <w:tcW w:w="2834" w:type="dxa"/>
            <w:gridSpan w:val="2"/>
            <w:vAlign w:val="center"/>
          </w:tcPr>
          <w:p>
            <w:pPr>
              <w:widowControl/>
              <w:rPr>
                <w:rFonts w:hAnsi="宋体" w:cs="仿宋"/>
                <w:sz w:val="21"/>
                <w:szCs w:val="24"/>
              </w:rPr>
            </w:pPr>
            <w:r>
              <w:rPr>
                <w:rFonts w:hint="eastAsia" w:hAnsi="宋体" w:cs="仿宋"/>
                <w:sz w:val="21"/>
              </w:rPr>
              <w:t>需提供生产线相关发票扫描件作为证明材料，未提供证明材料的不予加分。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rPr>
        <w:tc>
          <w:tcPr>
            <w:tcW w:w="817" w:type="dxa"/>
            <w:vAlign w:val="center"/>
          </w:tcPr>
          <w:p>
            <w:pPr>
              <w:jc w:val="center"/>
              <w:rPr>
                <w:rFonts w:hint="eastAsia" w:hAnsi="宋体" w:cs="仿宋"/>
                <w:sz w:val="24"/>
                <w:szCs w:val="24"/>
              </w:rPr>
            </w:pPr>
            <w:r>
              <w:rPr>
                <w:rFonts w:hint="eastAsia" w:hAnsi="宋体" w:cs="仿宋"/>
                <w:sz w:val="24"/>
                <w:szCs w:val="24"/>
              </w:rPr>
              <w:t>2.1.4（4）</w:t>
            </w:r>
          </w:p>
        </w:tc>
        <w:tc>
          <w:tcPr>
            <w:tcW w:w="1134" w:type="dxa"/>
            <w:gridSpan w:val="2"/>
            <w:vAlign w:val="center"/>
          </w:tcPr>
          <w:p>
            <w:pPr>
              <w:ind w:left="113" w:right="113"/>
              <w:jc w:val="center"/>
              <w:rPr>
                <w:rFonts w:hint="eastAsia" w:hAnsi="宋体" w:cs="仿宋"/>
                <w:sz w:val="24"/>
                <w:szCs w:val="24"/>
              </w:rPr>
            </w:pPr>
            <w:r>
              <w:rPr>
                <w:rFonts w:hint="eastAsia" w:hAnsi="宋体" w:cs="仿宋"/>
                <w:sz w:val="24"/>
                <w:szCs w:val="24"/>
              </w:rPr>
              <w:t>售后服务、供应保障及优惠条件</w:t>
            </w:r>
          </w:p>
        </w:tc>
        <w:tc>
          <w:tcPr>
            <w:tcW w:w="851" w:type="dxa"/>
            <w:gridSpan w:val="3"/>
            <w:vAlign w:val="center"/>
          </w:tcPr>
          <w:p>
            <w:pPr>
              <w:jc w:val="center"/>
              <w:rPr>
                <w:rFonts w:hint="eastAsia" w:hAnsi="宋体" w:cs="仿宋"/>
                <w:sz w:val="24"/>
                <w:szCs w:val="24"/>
                <w:u w:val="single"/>
              </w:rPr>
            </w:pPr>
            <w:r>
              <w:rPr>
                <w:rFonts w:hint="eastAsia" w:hAnsi="宋体" w:cs="仿宋"/>
                <w:sz w:val="24"/>
                <w:szCs w:val="24"/>
                <w:u w:val="single"/>
              </w:rPr>
              <w:t>4分</w:t>
            </w:r>
          </w:p>
        </w:tc>
        <w:tc>
          <w:tcPr>
            <w:tcW w:w="2976" w:type="dxa"/>
            <w:vAlign w:val="center"/>
          </w:tcPr>
          <w:p>
            <w:pPr>
              <w:jc w:val="both"/>
              <w:rPr>
                <w:rFonts w:hint="eastAsia" w:hAnsi="宋体" w:cs="仿宋"/>
                <w:sz w:val="24"/>
              </w:rPr>
            </w:pPr>
            <w:r>
              <w:rPr>
                <w:rFonts w:hint="eastAsia" w:hAnsi="宋体" w:cs="仿宋"/>
                <w:sz w:val="21"/>
              </w:rPr>
              <w:t>①售后服务完善，措施合理，支付条件满足或者优于招标文件设定条件；②供货保证，承诺若买方设计或数量变更能保证及时供货并且保证措施可靠；③承诺接到买方书面通知后在最短的合理时间内将货物送达买方指定的施工现场，并有详细、可靠的保证措施、对临时急需的少量货物能短时间送达施工现场，产品质量保证及承诺详细、可靠，并承诺保证喷涂后的产品运至工地完好无损。④其他优惠措施。</w:t>
            </w:r>
          </w:p>
        </w:tc>
        <w:tc>
          <w:tcPr>
            <w:tcW w:w="802" w:type="dxa"/>
            <w:vAlign w:val="center"/>
          </w:tcPr>
          <w:p>
            <w:pPr>
              <w:jc w:val="center"/>
              <w:rPr>
                <w:rFonts w:hint="eastAsia" w:hAnsi="宋体" w:cs="仿宋"/>
                <w:sz w:val="24"/>
                <w:szCs w:val="24"/>
                <w:u w:val="single"/>
              </w:rPr>
            </w:pPr>
            <w:r>
              <w:rPr>
                <w:rFonts w:hint="eastAsia" w:hAnsi="宋体" w:cs="仿宋"/>
                <w:sz w:val="24"/>
                <w:szCs w:val="24"/>
                <w:u w:val="single"/>
              </w:rPr>
              <w:t>4分</w:t>
            </w:r>
          </w:p>
        </w:tc>
        <w:tc>
          <w:tcPr>
            <w:tcW w:w="2834" w:type="dxa"/>
            <w:gridSpan w:val="2"/>
            <w:vAlign w:val="center"/>
          </w:tcPr>
          <w:p>
            <w:pPr>
              <w:widowControl/>
              <w:rPr>
                <w:rFonts w:hint="eastAsia" w:hAnsi="宋体" w:cs="仿宋"/>
                <w:sz w:val="24"/>
              </w:rPr>
            </w:pPr>
            <w:r>
              <w:rPr>
                <w:rFonts w:hint="eastAsia" w:hAnsi="宋体" w:cs="仿宋"/>
                <w:sz w:val="21"/>
              </w:rPr>
              <w:t>按4个等级评定：“很好”计分值的90%~100%，“较好”计80~90%，“一般”计70%~80%，“较差但可行”计60%~70%。本项目由评标委员会按照上述规定，独立评分并签名，各评审因素得分一般不得低于其满分的60%，评标委员会成员对某一项评分因素的评分低于权重分值60%的，应在评标报告中做出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rPr>
        <w:tc>
          <w:tcPr>
            <w:tcW w:w="817" w:type="dxa"/>
            <w:vAlign w:val="center"/>
          </w:tcPr>
          <w:p>
            <w:pPr>
              <w:jc w:val="center"/>
              <w:rPr>
                <w:rFonts w:hint="eastAsia" w:hAnsi="宋体" w:cs="仿宋"/>
                <w:sz w:val="24"/>
                <w:szCs w:val="24"/>
              </w:rPr>
            </w:pPr>
            <w:r>
              <w:rPr>
                <w:rFonts w:hint="eastAsia" w:hAnsi="宋体" w:cs="仿宋"/>
                <w:sz w:val="24"/>
                <w:szCs w:val="24"/>
              </w:rPr>
              <w:t>2.1.4（5）</w:t>
            </w:r>
          </w:p>
        </w:tc>
        <w:tc>
          <w:tcPr>
            <w:tcW w:w="1134" w:type="dxa"/>
            <w:gridSpan w:val="2"/>
            <w:vAlign w:val="center"/>
          </w:tcPr>
          <w:p>
            <w:pPr>
              <w:ind w:left="113" w:right="113"/>
              <w:jc w:val="center"/>
              <w:rPr>
                <w:rFonts w:hint="eastAsia" w:hAnsi="宋体" w:cs="仿宋"/>
                <w:sz w:val="24"/>
                <w:szCs w:val="24"/>
              </w:rPr>
            </w:pPr>
            <w:r>
              <w:rPr>
                <w:rFonts w:hint="eastAsia" w:hAnsi="宋体" w:cs="仿宋"/>
                <w:sz w:val="24"/>
                <w:szCs w:val="24"/>
              </w:rPr>
              <w:t>代理商或者制造商取得的学术专利</w:t>
            </w:r>
          </w:p>
        </w:tc>
        <w:tc>
          <w:tcPr>
            <w:tcW w:w="851" w:type="dxa"/>
            <w:gridSpan w:val="3"/>
            <w:vAlign w:val="center"/>
          </w:tcPr>
          <w:p>
            <w:pPr>
              <w:jc w:val="center"/>
              <w:rPr>
                <w:rFonts w:hint="eastAsia" w:hAnsi="宋体" w:cs="仿宋"/>
                <w:sz w:val="24"/>
                <w:szCs w:val="24"/>
                <w:u w:val="single"/>
              </w:rPr>
            </w:pPr>
            <w:r>
              <w:rPr>
                <w:rFonts w:hint="eastAsia" w:hAnsi="宋体" w:cs="仿宋"/>
                <w:sz w:val="24"/>
                <w:szCs w:val="24"/>
                <w:u w:val="single"/>
              </w:rPr>
              <w:t>4分</w:t>
            </w:r>
          </w:p>
        </w:tc>
        <w:tc>
          <w:tcPr>
            <w:tcW w:w="2976" w:type="dxa"/>
            <w:vAlign w:val="center"/>
          </w:tcPr>
          <w:p>
            <w:pPr>
              <w:jc w:val="both"/>
              <w:rPr>
                <w:rFonts w:hint="eastAsia" w:hAnsi="宋体" w:cs="仿宋"/>
                <w:sz w:val="21"/>
              </w:rPr>
            </w:pPr>
            <w:r>
              <w:rPr>
                <w:rFonts w:hint="eastAsia" w:hAnsi="宋体" w:cs="仿宋"/>
                <w:sz w:val="21"/>
              </w:rPr>
              <w:t>1、产品拥有护栏产品专利的得4分；</w:t>
            </w:r>
          </w:p>
          <w:p>
            <w:pPr>
              <w:jc w:val="both"/>
              <w:rPr>
                <w:rFonts w:hint="eastAsia" w:hAnsi="宋体" w:cs="仿宋"/>
                <w:sz w:val="24"/>
              </w:rPr>
            </w:pPr>
          </w:p>
        </w:tc>
        <w:tc>
          <w:tcPr>
            <w:tcW w:w="802" w:type="dxa"/>
            <w:vAlign w:val="center"/>
          </w:tcPr>
          <w:p>
            <w:pPr>
              <w:jc w:val="center"/>
              <w:rPr>
                <w:rFonts w:hAnsi="宋体" w:cs="宋体"/>
                <w:kern w:val="2"/>
                <w:sz w:val="21"/>
                <w:szCs w:val="21"/>
              </w:rPr>
            </w:pPr>
            <w:r>
              <w:rPr>
                <w:rFonts w:hint="eastAsia" w:hAnsi="宋体" w:cs="宋体"/>
                <w:kern w:val="2"/>
                <w:sz w:val="21"/>
                <w:szCs w:val="21"/>
              </w:rPr>
              <w:t>4分</w:t>
            </w:r>
          </w:p>
        </w:tc>
        <w:tc>
          <w:tcPr>
            <w:tcW w:w="2834" w:type="dxa"/>
            <w:gridSpan w:val="2"/>
            <w:vAlign w:val="center"/>
          </w:tcPr>
          <w:p>
            <w:pPr>
              <w:rPr>
                <w:rFonts w:hAnsi="宋体" w:cs="宋体"/>
                <w:kern w:val="2"/>
                <w:sz w:val="21"/>
                <w:szCs w:val="21"/>
              </w:rPr>
            </w:pPr>
            <w:r>
              <w:rPr>
                <w:rFonts w:hint="eastAsia" w:hAnsi="宋体" w:cs="宋体"/>
                <w:kern w:val="2"/>
                <w:sz w:val="21"/>
                <w:szCs w:val="21"/>
              </w:rPr>
              <w:t>需提供专利证书的复印件或扫描件作为证明材料，未提供证明材料的不予加分。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8" w:type="dxa"/>
          <w:trHeight w:val="454" w:hRule="atLeast"/>
        </w:trPr>
        <w:tc>
          <w:tcPr>
            <w:tcW w:w="817" w:type="dxa"/>
            <w:vAlign w:val="center"/>
          </w:tcPr>
          <w:p>
            <w:pPr>
              <w:ind w:right="113"/>
              <w:rPr>
                <w:rFonts w:hint="eastAsia" w:hAnsi="宋体" w:cs="仿宋"/>
                <w:sz w:val="24"/>
                <w:szCs w:val="24"/>
              </w:rPr>
            </w:pPr>
            <w:r>
              <w:rPr>
                <w:rFonts w:hint="eastAsia" w:hAnsi="宋体" w:cs="仿宋"/>
                <w:sz w:val="24"/>
                <w:szCs w:val="24"/>
              </w:rPr>
              <w:t>2.1.4（6）</w:t>
            </w:r>
          </w:p>
        </w:tc>
        <w:tc>
          <w:tcPr>
            <w:tcW w:w="1134" w:type="dxa"/>
            <w:gridSpan w:val="2"/>
            <w:vAlign w:val="center"/>
          </w:tcPr>
          <w:p>
            <w:pPr>
              <w:ind w:left="113" w:right="113"/>
              <w:rPr>
                <w:rFonts w:hint="eastAsia" w:hAnsi="宋体" w:cs="仿宋"/>
                <w:sz w:val="24"/>
                <w:szCs w:val="24"/>
              </w:rPr>
            </w:pPr>
            <w:r>
              <w:rPr>
                <w:rFonts w:hint="eastAsia" w:hAnsi="宋体" w:cs="仿宋"/>
                <w:sz w:val="24"/>
                <w:szCs w:val="24"/>
              </w:rPr>
              <w:t>评标价</w:t>
            </w:r>
          </w:p>
        </w:tc>
        <w:tc>
          <w:tcPr>
            <w:tcW w:w="851" w:type="dxa"/>
            <w:gridSpan w:val="3"/>
            <w:vAlign w:val="center"/>
          </w:tcPr>
          <w:p>
            <w:pPr>
              <w:jc w:val="center"/>
              <w:rPr>
                <w:rFonts w:hint="eastAsia" w:hAnsi="宋体" w:cs="仿宋"/>
                <w:sz w:val="24"/>
                <w:szCs w:val="24"/>
              </w:rPr>
            </w:pPr>
            <w:r>
              <w:rPr>
                <w:rFonts w:hint="eastAsia" w:hAnsi="宋体" w:cs="仿宋"/>
                <w:sz w:val="24"/>
                <w:szCs w:val="24"/>
                <w:u w:val="single"/>
              </w:rPr>
              <w:t>50</w:t>
            </w:r>
            <w:r>
              <w:rPr>
                <w:rFonts w:hint="eastAsia" w:hAnsi="宋体" w:cs="仿宋"/>
                <w:sz w:val="24"/>
                <w:szCs w:val="24"/>
              </w:rPr>
              <w:t>分</w:t>
            </w:r>
          </w:p>
        </w:tc>
        <w:tc>
          <w:tcPr>
            <w:tcW w:w="6612" w:type="dxa"/>
            <w:gridSpan w:val="4"/>
            <w:vAlign w:val="center"/>
          </w:tcPr>
          <w:p>
            <w:pPr>
              <w:ind w:left="113" w:right="113" w:firstLine="240" w:firstLineChars="100"/>
              <w:rPr>
                <w:rFonts w:hint="eastAsia" w:hAnsi="宋体" w:cs="仿宋"/>
                <w:sz w:val="24"/>
                <w:szCs w:val="24"/>
              </w:rPr>
            </w:pPr>
            <w:r>
              <w:rPr>
                <w:rFonts w:hint="eastAsia" w:hAnsi="宋体" w:cs="仿宋"/>
                <w:sz w:val="24"/>
                <w:szCs w:val="24"/>
              </w:rPr>
              <w:t>（1）如果投标人的评标价＞评标基准价，则评标价得分=50-偏差率×100×E</w:t>
            </w:r>
            <w:r>
              <w:rPr>
                <w:rFonts w:hint="eastAsia" w:hAnsi="宋体" w:cs="仿宋"/>
                <w:sz w:val="24"/>
                <w:szCs w:val="24"/>
                <w:vertAlign w:val="subscript"/>
              </w:rPr>
              <w:t>1</w:t>
            </w:r>
            <w:r>
              <w:rPr>
                <w:rFonts w:hint="eastAsia" w:hAnsi="宋体" w:cs="仿宋"/>
                <w:sz w:val="24"/>
                <w:szCs w:val="24"/>
              </w:rPr>
              <w:t>；</w:t>
            </w:r>
          </w:p>
          <w:p>
            <w:pPr>
              <w:ind w:left="113" w:right="113" w:firstLine="240" w:firstLineChars="100"/>
              <w:rPr>
                <w:rFonts w:hint="eastAsia" w:hAnsi="宋体" w:cs="仿宋"/>
                <w:sz w:val="24"/>
                <w:szCs w:val="24"/>
              </w:rPr>
            </w:pPr>
            <w:r>
              <w:rPr>
                <w:rFonts w:hint="eastAsia" w:hAnsi="宋体" w:cs="仿宋"/>
                <w:sz w:val="24"/>
                <w:szCs w:val="24"/>
              </w:rPr>
              <w:t>（2）如果投标人的评标价≤评标基准价，则评标价得分=50+偏差率×100×E</w:t>
            </w:r>
            <w:r>
              <w:rPr>
                <w:rFonts w:hint="eastAsia" w:hAnsi="宋体" w:cs="仿宋"/>
                <w:sz w:val="24"/>
                <w:szCs w:val="24"/>
                <w:vertAlign w:val="subscript"/>
              </w:rPr>
              <w:t>2</w:t>
            </w:r>
            <w:r>
              <w:rPr>
                <w:rFonts w:hint="eastAsia" w:hAnsi="宋体" w:cs="仿宋"/>
                <w:sz w:val="24"/>
                <w:szCs w:val="24"/>
              </w:rPr>
              <w:t>；</w:t>
            </w:r>
          </w:p>
          <w:p>
            <w:pPr>
              <w:rPr>
                <w:rFonts w:hint="eastAsia" w:hAnsi="宋体" w:cs="仿宋"/>
                <w:sz w:val="24"/>
                <w:szCs w:val="24"/>
              </w:rPr>
            </w:pPr>
            <w:r>
              <w:rPr>
                <w:rFonts w:hint="eastAsia" w:hAnsi="宋体" w:cs="仿宋"/>
                <w:sz w:val="24"/>
                <w:szCs w:val="24"/>
              </w:rPr>
              <w:t>其中：E</w:t>
            </w:r>
            <w:r>
              <w:rPr>
                <w:rFonts w:hint="eastAsia" w:hAnsi="宋体" w:cs="仿宋"/>
                <w:sz w:val="24"/>
                <w:szCs w:val="24"/>
                <w:vertAlign w:val="subscript"/>
              </w:rPr>
              <w:t>1</w:t>
            </w:r>
            <w:r>
              <w:rPr>
                <w:rFonts w:hint="eastAsia" w:hAnsi="宋体" w:cs="仿宋"/>
                <w:sz w:val="24"/>
                <w:szCs w:val="24"/>
              </w:rPr>
              <w:t>=0.2；E</w:t>
            </w:r>
            <w:r>
              <w:rPr>
                <w:rFonts w:hint="eastAsia" w:hAnsi="宋体" w:cs="仿宋"/>
                <w:sz w:val="24"/>
                <w:szCs w:val="24"/>
                <w:vertAlign w:val="subscript"/>
              </w:rPr>
              <w:t>2</w:t>
            </w:r>
            <w:r>
              <w:rPr>
                <w:rFonts w:hint="eastAsia" w:hAnsi="宋体" w:cs="仿宋"/>
                <w:sz w:val="24"/>
                <w:szCs w:val="24"/>
              </w:rPr>
              <w:t>=0.1。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00" w:lineRule="auto"/>
              <w:rPr>
                <w:rFonts w:hint="eastAsia" w:hAnsi="宋体" w:cs="仿宋"/>
                <w:kern w:val="2"/>
                <w:sz w:val="24"/>
                <w:szCs w:val="24"/>
              </w:rPr>
            </w:pPr>
            <w:r>
              <w:rPr>
                <w:rFonts w:hint="eastAsia" w:hAnsi="宋体" w:cs="仿宋"/>
                <w:kern w:val="2"/>
                <w:sz w:val="24"/>
                <w:szCs w:val="24"/>
              </w:rPr>
              <w:t>2.1.4（6）</w:t>
            </w:r>
          </w:p>
        </w:tc>
        <w:tc>
          <w:tcPr>
            <w:tcW w:w="1134" w:type="dxa"/>
            <w:gridSpan w:val="2"/>
          </w:tcPr>
          <w:p>
            <w:pPr>
              <w:spacing w:line="300" w:lineRule="auto"/>
              <w:jc w:val="both"/>
              <w:rPr>
                <w:rFonts w:hint="eastAsia" w:hAnsi="宋体" w:cs="仿宋"/>
                <w:kern w:val="2"/>
                <w:sz w:val="24"/>
                <w:szCs w:val="24"/>
              </w:rPr>
            </w:pPr>
            <w:r>
              <w:rPr>
                <w:rFonts w:hint="eastAsia" w:hAnsi="宋体" w:cs="仿宋"/>
                <w:kern w:val="2"/>
                <w:sz w:val="24"/>
                <w:szCs w:val="24"/>
              </w:rPr>
              <w:t>评标基准价计算方法</w:t>
            </w:r>
          </w:p>
        </w:tc>
        <w:tc>
          <w:tcPr>
            <w:tcW w:w="7521" w:type="dxa"/>
            <w:gridSpan w:val="8"/>
          </w:tcPr>
          <w:p>
            <w:pPr>
              <w:spacing w:line="300" w:lineRule="auto"/>
              <w:jc w:val="both"/>
              <w:rPr>
                <w:rFonts w:hint="eastAsia" w:hAnsi="宋体" w:cs="仿宋"/>
                <w:kern w:val="2"/>
                <w:sz w:val="24"/>
                <w:szCs w:val="24"/>
              </w:rPr>
            </w:pPr>
            <w:r>
              <w:rPr>
                <w:rFonts w:hint="eastAsia" w:hAnsi="宋体" w:cs="仿宋"/>
                <w:kern w:val="2"/>
                <w:sz w:val="24"/>
                <w:szCs w:val="24"/>
              </w:rPr>
              <w:t>评标基准价的计算：</w:t>
            </w:r>
          </w:p>
          <w:p>
            <w:pPr>
              <w:spacing w:line="300" w:lineRule="auto"/>
              <w:jc w:val="both"/>
              <w:rPr>
                <w:rFonts w:hint="eastAsia" w:hAnsi="宋体" w:cs="仿宋"/>
                <w:kern w:val="2"/>
                <w:sz w:val="24"/>
                <w:szCs w:val="24"/>
              </w:rPr>
            </w:pPr>
            <w:r>
              <w:rPr>
                <w:rFonts w:hint="eastAsia" w:hAnsi="宋体" w:cs="仿宋"/>
                <w:kern w:val="2"/>
                <w:sz w:val="24"/>
                <w:szCs w:val="24"/>
              </w:rPr>
              <w:t>1、评标价=投标函的文字报价</w:t>
            </w:r>
          </w:p>
          <w:p>
            <w:pPr>
              <w:spacing w:line="300" w:lineRule="auto"/>
              <w:jc w:val="both"/>
              <w:rPr>
                <w:rFonts w:hint="eastAsia" w:hAnsi="宋体" w:cs="仿宋"/>
                <w:kern w:val="2"/>
                <w:sz w:val="24"/>
                <w:szCs w:val="24"/>
              </w:rPr>
            </w:pPr>
            <w:r>
              <w:rPr>
                <w:rFonts w:hint="eastAsia" w:hAnsi="宋体" w:cs="仿宋"/>
                <w:kern w:val="2"/>
                <w:sz w:val="24"/>
                <w:szCs w:val="24"/>
              </w:rPr>
              <w:t>2、评标价平均值的计算</w:t>
            </w:r>
          </w:p>
          <w:p>
            <w:pPr>
              <w:jc w:val="both"/>
              <w:rPr>
                <w:rFonts w:hint="eastAsia" w:hAnsi="宋体" w:cs="仿宋"/>
                <w:kern w:val="2"/>
                <w:sz w:val="24"/>
                <w:szCs w:val="24"/>
              </w:rPr>
            </w:pPr>
            <w:r>
              <w:rPr>
                <w:rFonts w:hint="eastAsia" w:hAnsi="宋体" w:cs="仿宋"/>
                <w:kern w:val="2"/>
                <w:sz w:val="24"/>
                <w:szCs w:val="24"/>
              </w:rPr>
              <w:t xml:space="preserve"> 除投标人须知前附表5.2.4中列明的不计入评标基准价的计算的投标报价之外，所有投标人的评标价的算术平均值</w:t>
            </w:r>
            <w:r>
              <w:rPr>
                <w:rFonts w:hint="eastAsia" w:hAnsi="宋体" w:cs="仿宋"/>
                <w:sz w:val="24"/>
                <w:szCs w:val="24"/>
              </w:rPr>
              <w:t>即为评标价平均值。</w:t>
            </w:r>
          </w:p>
          <w:p>
            <w:pPr>
              <w:spacing w:line="300" w:lineRule="auto"/>
              <w:jc w:val="both"/>
              <w:rPr>
                <w:rFonts w:hint="eastAsia" w:hAnsi="宋体" w:cs="仿宋"/>
                <w:kern w:val="2"/>
                <w:sz w:val="24"/>
                <w:szCs w:val="24"/>
              </w:rPr>
            </w:pPr>
            <w:r>
              <w:rPr>
                <w:rFonts w:hint="eastAsia" w:hAnsi="宋体" w:cs="仿宋"/>
                <w:kern w:val="2"/>
                <w:sz w:val="24"/>
                <w:szCs w:val="24"/>
              </w:rPr>
              <w:t>3、评标基准价的确定</w:t>
            </w:r>
          </w:p>
          <w:p>
            <w:pPr>
              <w:spacing w:line="300" w:lineRule="auto"/>
              <w:jc w:val="both"/>
              <w:rPr>
                <w:rFonts w:hint="eastAsia" w:hAnsi="宋体" w:cs="仿宋"/>
                <w:kern w:val="2"/>
                <w:sz w:val="24"/>
                <w:szCs w:val="24"/>
              </w:rPr>
            </w:pPr>
            <w:r>
              <w:rPr>
                <w:rFonts w:hint="eastAsia" w:hAnsi="宋体" w:cs="仿宋"/>
                <w:kern w:val="2"/>
                <w:sz w:val="24"/>
                <w:szCs w:val="24"/>
              </w:rPr>
              <w:t xml:space="preserve">   评标价的平均值直接作为评标基准价。</w:t>
            </w:r>
          </w:p>
          <w:p>
            <w:pPr>
              <w:spacing w:line="300" w:lineRule="auto"/>
              <w:jc w:val="both"/>
              <w:rPr>
                <w:rFonts w:hint="eastAsia" w:hAnsi="宋体" w:cs="仿宋"/>
                <w:kern w:val="2"/>
                <w:sz w:val="24"/>
                <w:szCs w:val="24"/>
              </w:rPr>
            </w:pPr>
            <w:r>
              <w:rPr>
                <w:rFonts w:hint="eastAsia" w:hAnsi="宋体" w:cs="仿宋"/>
                <w:kern w:val="2"/>
                <w:sz w:val="24"/>
                <w:szCs w:val="24"/>
              </w:rPr>
              <w:t>4、</w:t>
            </w:r>
            <w:r>
              <w:rPr>
                <w:rFonts w:hint="eastAsia" w:hAnsi="宋体" w:cs="仿宋"/>
                <w:sz w:val="24"/>
                <w:szCs w:val="24"/>
              </w:rPr>
              <w:t>低于最高投标限价85%的投标报价不参与计算评标基准价。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9"/>
              <w:ind w:left="360" w:hanging="360" w:hangingChars="150"/>
              <w:rPr>
                <w:rFonts w:hint="eastAsia" w:cs="仿宋"/>
                <w:kern w:val="2"/>
              </w:rPr>
            </w:pPr>
            <w:r>
              <w:rPr>
                <w:rFonts w:hint="eastAsia" w:cs="仿宋"/>
                <w:kern w:val="2"/>
              </w:rPr>
              <w:t>2.1.4</w:t>
            </w:r>
          </w:p>
          <w:p>
            <w:pPr>
              <w:pStyle w:val="9"/>
              <w:ind w:left="360" w:hanging="360" w:hangingChars="150"/>
              <w:rPr>
                <w:rFonts w:hint="eastAsia" w:cs="仿宋"/>
                <w:kern w:val="2"/>
              </w:rPr>
            </w:pPr>
            <w:r>
              <w:rPr>
                <w:rFonts w:hint="eastAsia" w:cs="仿宋"/>
                <w:kern w:val="2"/>
              </w:rPr>
              <w:t>（6）</w:t>
            </w:r>
          </w:p>
        </w:tc>
        <w:tc>
          <w:tcPr>
            <w:tcW w:w="1134" w:type="dxa"/>
            <w:gridSpan w:val="2"/>
            <w:vAlign w:val="center"/>
          </w:tcPr>
          <w:p>
            <w:pPr>
              <w:spacing w:line="440" w:lineRule="exact"/>
              <w:rPr>
                <w:rFonts w:hint="eastAsia" w:hAnsi="宋体" w:cs="仿宋"/>
                <w:sz w:val="24"/>
                <w:szCs w:val="24"/>
              </w:rPr>
            </w:pPr>
            <w:r>
              <w:rPr>
                <w:rFonts w:hint="eastAsia" w:hAnsi="宋体" w:cs="仿宋"/>
                <w:sz w:val="24"/>
                <w:szCs w:val="24"/>
              </w:rPr>
              <w:t>评标价的偏差率计算公式</w:t>
            </w:r>
          </w:p>
        </w:tc>
        <w:tc>
          <w:tcPr>
            <w:tcW w:w="7521" w:type="dxa"/>
            <w:gridSpan w:val="8"/>
            <w:vAlign w:val="center"/>
          </w:tcPr>
          <w:p>
            <w:pPr>
              <w:spacing w:line="360" w:lineRule="atLeast"/>
              <w:rPr>
                <w:rFonts w:hint="eastAsia" w:hAnsi="宋体" w:cs="仿宋"/>
                <w:sz w:val="24"/>
                <w:szCs w:val="24"/>
              </w:rPr>
            </w:pPr>
            <w:r>
              <w:rPr>
                <w:rFonts w:hint="eastAsia" w:hAnsi="宋体" w:cs="仿宋"/>
                <w:sz w:val="24"/>
                <w:szCs w:val="24"/>
              </w:rPr>
              <w:t>偏差率=100%×（投标人评标价－评标基准价）/评标基准价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817" w:type="dxa"/>
            <w:vAlign w:val="center"/>
          </w:tcPr>
          <w:p>
            <w:pPr>
              <w:spacing w:line="300" w:lineRule="auto"/>
              <w:rPr>
                <w:rFonts w:hint="eastAsia" w:hAnsi="宋体" w:cs="仿宋"/>
                <w:kern w:val="2"/>
                <w:sz w:val="24"/>
                <w:szCs w:val="24"/>
              </w:rPr>
            </w:pPr>
            <w:r>
              <w:rPr>
                <w:rFonts w:hint="eastAsia" w:hAnsi="宋体" w:cs="仿宋"/>
                <w:kern w:val="2"/>
                <w:sz w:val="24"/>
                <w:szCs w:val="24"/>
              </w:rPr>
              <w:t>2.2</w:t>
            </w:r>
          </w:p>
        </w:tc>
        <w:tc>
          <w:tcPr>
            <w:tcW w:w="1701" w:type="dxa"/>
            <w:gridSpan w:val="4"/>
            <w:vAlign w:val="center"/>
          </w:tcPr>
          <w:p>
            <w:pPr>
              <w:spacing w:line="300" w:lineRule="auto"/>
              <w:jc w:val="center"/>
              <w:rPr>
                <w:rFonts w:hint="eastAsia" w:hAnsi="宋体" w:cs="仿宋"/>
                <w:kern w:val="2"/>
                <w:sz w:val="24"/>
                <w:szCs w:val="24"/>
              </w:rPr>
            </w:pPr>
            <w:r>
              <w:rPr>
                <w:rFonts w:hint="eastAsia" w:hAnsi="宋体" w:cs="仿宋"/>
                <w:kern w:val="2"/>
                <w:sz w:val="24"/>
                <w:szCs w:val="24"/>
              </w:rPr>
              <w:t>详细评审</w:t>
            </w:r>
          </w:p>
          <w:p>
            <w:pPr>
              <w:spacing w:line="300" w:lineRule="auto"/>
              <w:jc w:val="center"/>
              <w:rPr>
                <w:rFonts w:hint="eastAsia" w:hAnsi="宋体" w:cs="仿宋"/>
                <w:kern w:val="2"/>
                <w:sz w:val="24"/>
                <w:szCs w:val="24"/>
              </w:rPr>
            </w:pPr>
            <w:r>
              <w:rPr>
                <w:rFonts w:hint="eastAsia" w:hAnsi="宋体" w:cs="仿宋"/>
                <w:kern w:val="2"/>
                <w:sz w:val="24"/>
                <w:szCs w:val="24"/>
              </w:rPr>
              <w:t>标准</w:t>
            </w:r>
          </w:p>
        </w:tc>
        <w:tc>
          <w:tcPr>
            <w:tcW w:w="6896" w:type="dxa"/>
            <w:gridSpan w:val="5"/>
          </w:tcPr>
          <w:p>
            <w:pPr>
              <w:spacing w:line="300" w:lineRule="auto"/>
              <w:jc w:val="both"/>
              <w:rPr>
                <w:rFonts w:hint="eastAsia" w:hAnsi="宋体" w:cs="仿宋"/>
                <w:kern w:val="2"/>
                <w:sz w:val="24"/>
                <w:szCs w:val="24"/>
              </w:rPr>
            </w:pPr>
            <w:r>
              <w:rPr>
                <w:rFonts w:hint="eastAsia" w:hAnsi="宋体" w:cs="仿宋"/>
                <w:kern w:val="2"/>
                <w:sz w:val="24"/>
                <w:szCs w:val="24"/>
              </w:rPr>
              <w:t>1. 经评审的投标价（评标价）=第二个信封（投标报价文件）投标函的文字报价</w:t>
            </w:r>
          </w:p>
          <w:p>
            <w:pPr>
              <w:spacing w:line="300" w:lineRule="auto"/>
              <w:jc w:val="both"/>
              <w:rPr>
                <w:rFonts w:hint="eastAsia" w:hAnsi="宋体" w:cs="仿宋"/>
                <w:kern w:val="2"/>
                <w:sz w:val="24"/>
                <w:szCs w:val="24"/>
              </w:rPr>
            </w:pPr>
            <w:r>
              <w:rPr>
                <w:rFonts w:hint="eastAsia" w:hAnsi="宋体" w:cs="仿宋"/>
                <w:kern w:val="2"/>
                <w:sz w:val="24"/>
                <w:szCs w:val="24"/>
              </w:rPr>
              <w:t>2. 按综合得分由高到低的顺序推荐中标候选人。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Pr>
        <w:tc>
          <w:tcPr>
            <w:tcW w:w="817" w:type="dxa"/>
            <w:vAlign w:val="center"/>
          </w:tcPr>
          <w:p>
            <w:pPr>
              <w:spacing w:line="300" w:lineRule="auto"/>
              <w:rPr>
                <w:rFonts w:hint="eastAsia" w:hAnsi="宋体" w:cs="仿宋"/>
                <w:kern w:val="2"/>
                <w:sz w:val="24"/>
                <w:szCs w:val="24"/>
              </w:rPr>
            </w:pPr>
            <w:r>
              <w:rPr>
                <w:rFonts w:hint="eastAsia" w:hAnsi="宋体" w:cs="仿宋"/>
                <w:kern w:val="2"/>
                <w:sz w:val="24"/>
                <w:szCs w:val="24"/>
              </w:rPr>
              <w:t>补充</w:t>
            </w:r>
          </w:p>
          <w:p>
            <w:pPr>
              <w:spacing w:line="300" w:lineRule="auto"/>
              <w:rPr>
                <w:rFonts w:hint="eastAsia" w:hAnsi="宋体" w:cs="仿宋"/>
                <w:kern w:val="2"/>
                <w:sz w:val="24"/>
                <w:szCs w:val="24"/>
              </w:rPr>
            </w:pPr>
            <w:r>
              <w:rPr>
                <w:rFonts w:hint="eastAsia" w:hAnsi="宋体" w:cs="仿宋"/>
                <w:kern w:val="2"/>
                <w:sz w:val="24"/>
                <w:szCs w:val="24"/>
              </w:rPr>
              <w:t>条款</w:t>
            </w:r>
          </w:p>
        </w:tc>
        <w:tc>
          <w:tcPr>
            <w:tcW w:w="8597" w:type="dxa"/>
            <w:gridSpan w:val="9"/>
          </w:tcPr>
          <w:p>
            <w:pPr>
              <w:spacing w:line="360" w:lineRule="auto"/>
              <w:rPr>
                <w:rFonts w:hint="eastAsia" w:hAnsi="宋体" w:cs="仿宋"/>
                <w:kern w:val="2"/>
                <w:sz w:val="24"/>
                <w:szCs w:val="24"/>
              </w:rPr>
            </w:pPr>
            <w:r>
              <w:rPr>
                <w:rFonts w:hint="eastAsia" w:hAnsi="宋体" w:cs="仿宋"/>
                <w:kern w:val="2"/>
                <w:sz w:val="24"/>
                <w:szCs w:val="24"/>
              </w:rPr>
              <w:t>1、本次评标采用经评审的综合评分法。评标委员会对满足招标文件实质性要求的投标文件，按照本章第2.2款规定的评分标准进行打分，并按综合评分由高到低的顺序推荐2名中标候选人，但投标报价低于其成本的除外。若通过第一信封的投标人不足3名，评标委员会应否决所有投标文件；若通过第二信封初步评审的投标人为2名，评标委员会应讨论是否存在竞争性进而确定是否继续推荐中标候选人；若通过第二信封初步评审的投标人仅1名，应按相关规定重新招标。</w:t>
            </w:r>
          </w:p>
          <w:p>
            <w:pPr>
              <w:widowControl/>
              <w:adjustRightInd/>
              <w:spacing w:line="360" w:lineRule="auto"/>
              <w:textAlignment w:val="auto"/>
              <w:rPr>
                <w:rFonts w:hAnsi="宋体" w:cs="仿宋"/>
                <w:kern w:val="2"/>
                <w:sz w:val="24"/>
                <w:szCs w:val="24"/>
              </w:rPr>
            </w:pPr>
            <w:r>
              <w:rPr>
                <w:rFonts w:hint="eastAsia" w:hAnsi="宋体" w:cs="仿宋"/>
                <w:kern w:val="2"/>
                <w:sz w:val="24"/>
                <w:szCs w:val="24"/>
              </w:rPr>
              <w:t>2、综合评分相等时，评标委员会依次按照以下优先顺序推荐中标候选人：</w:t>
            </w:r>
          </w:p>
          <w:p>
            <w:pPr>
              <w:spacing w:line="360" w:lineRule="auto"/>
              <w:rPr>
                <w:rFonts w:hAnsi="宋体" w:cs="仿宋"/>
                <w:sz w:val="24"/>
                <w:szCs w:val="24"/>
              </w:rPr>
            </w:pPr>
            <w:r>
              <w:rPr>
                <w:rFonts w:hint="eastAsia" w:hAnsi="宋体" w:cs="仿宋"/>
                <w:sz w:val="24"/>
                <w:szCs w:val="24"/>
              </w:rPr>
              <w:t>（1）业绩得分高的投标人优先；</w:t>
            </w:r>
          </w:p>
          <w:p>
            <w:pPr>
              <w:spacing w:line="360" w:lineRule="auto"/>
              <w:rPr>
                <w:rFonts w:hAnsi="宋体" w:cs="仿宋"/>
                <w:sz w:val="24"/>
                <w:szCs w:val="24"/>
              </w:rPr>
            </w:pPr>
            <w:r>
              <w:rPr>
                <w:rFonts w:hint="eastAsia" w:hAnsi="宋体" w:cs="仿宋"/>
                <w:sz w:val="24"/>
                <w:szCs w:val="24"/>
              </w:rPr>
              <w:t>（2）2019年流动资产高的投标人优先</w:t>
            </w:r>
          </w:p>
          <w:p>
            <w:pPr>
              <w:spacing w:line="360" w:lineRule="auto"/>
              <w:rPr>
                <w:rFonts w:hint="eastAsia" w:hAnsi="宋体" w:cs="仿宋"/>
                <w:sz w:val="24"/>
                <w:szCs w:val="24"/>
              </w:rPr>
            </w:pPr>
            <w:r>
              <w:rPr>
                <w:rFonts w:hint="eastAsia" w:hAnsi="宋体" w:cs="仿宋"/>
                <w:sz w:val="24"/>
                <w:szCs w:val="24"/>
              </w:rPr>
              <w:t>（3）评标价低的投标人优先；</w:t>
            </w:r>
          </w:p>
          <w:p>
            <w:pPr>
              <w:spacing w:line="360" w:lineRule="auto"/>
              <w:rPr>
                <w:rFonts w:hint="eastAsia" w:hAnsi="宋体" w:cs="仿宋"/>
                <w:sz w:val="24"/>
                <w:szCs w:val="24"/>
              </w:rPr>
            </w:pPr>
            <w:r>
              <w:rPr>
                <w:rFonts w:hint="eastAsia" w:hAnsi="宋体" w:cs="仿宋"/>
                <w:sz w:val="24"/>
                <w:szCs w:val="24"/>
              </w:rPr>
              <w:t>（4）较早购买招标文件的投标人优先。</w:t>
            </w:r>
          </w:p>
          <w:p>
            <w:pPr>
              <w:spacing w:line="360" w:lineRule="auto"/>
              <w:rPr>
                <w:rFonts w:hint="eastAsia" w:hAnsi="宋体" w:cs="仿宋"/>
                <w:kern w:val="2"/>
                <w:sz w:val="24"/>
                <w:szCs w:val="24"/>
              </w:rPr>
            </w:pPr>
            <w:r>
              <w:rPr>
                <w:rFonts w:hint="eastAsia" w:hAnsi="宋体" w:cs="仿宋"/>
                <w:kern w:val="2"/>
                <w:sz w:val="24"/>
                <w:szCs w:val="24"/>
              </w:rPr>
              <w:t>3、修正后的最终报价仅作为签定合同的一个依据，不参与评标价排序。</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ind w:firstLine="0"/>
        <w:jc w:val="both"/>
        <w:rPr>
          <w:rFonts w:ascii="Garamond" w:hAnsi="Garamond" w:eastAsia="楷体"/>
        </w:rPr>
      </w:pPr>
    </w:p>
  </w:footnote>
  <w:footnote w:id="1">
    <w:p>
      <w:pPr>
        <w:pStyle w:val="8"/>
        <w:ind w:firstLine="0"/>
        <w:jc w:val="both"/>
        <w:rPr>
          <w:rFonts w:ascii="Garamond" w:hAnsi="Garamond" w:eastAsia="楷体"/>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753E"/>
    <w:multiLevelType w:val="multilevel"/>
    <w:tmpl w:val="1252753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45C"/>
    <w:rsid w:val="000058FC"/>
    <w:rsid w:val="0000592A"/>
    <w:rsid w:val="00005C84"/>
    <w:rsid w:val="00007F89"/>
    <w:rsid w:val="000107F1"/>
    <w:rsid w:val="00012E5B"/>
    <w:rsid w:val="00013FF1"/>
    <w:rsid w:val="00014211"/>
    <w:rsid w:val="00016865"/>
    <w:rsid w:val="000239A5"/>
    <w:rsid w:val="00023ADF"/>
    <w:rsid w:val="00025647"/>
    <w:rsid w:val="00026728"/>
    <w:rsid w:val="00026EBB"/>
    <w:rsid w:val="00027565"/>
    <w:rsid w:val="00027C91"/>
    <w:rsid w:val="0003633D"/>
    <w:rsid w:val="00037BEF"/>
    <w:rsid w:val="000429A5"/>
    <w:rsid w:val="00042ACF"/>
    <w:rsid w:val="000441CF"/>
    <w:rsid w:val="00046189"/>
    <w:rsid w:val="0004740A"/>
    <w:rsid w:val="00047721"/>
    <w:rsid w:val="00053F81"/>
    <w:rsid w:val="00054560"/>
    <w:rsid w:val="00054627"/>
    <w:rsid w:val="00060A39"/>
    <w:rsid w:val="00060FAA"/>
    <w:rsid w:val="00061E08"/>
    <w:rsid w:val="00061FF7"/>
    <w:rsid w:val="00064E5C"/>
    <w:rsid w:val="00064E73"/>
    <w:rsid w:val="000667EE"/>
    <w:rsid w:val="000719F5"/>
    <w:rsid w:val="0007322C"/>
    <w:rsid w:val="00074776"/>
    <w:rsid w:val="00075A3B"/>
    <w:rsid w:val="00081A71"/>
    <w:rsid w:val="00082F6E"/>
    <w:rsid w:val="00086CFF"/>
    <w:rsid w:val="000923B2"/>
    <w:rsid w:val="000933A3"/>
    <w:rsid w:val="0009370F"/>
    <w:rsid w:val="000937A5"/>
    <w:rsid w:val="00096B44"/>
    <w:rsid w:val="00097761"/>
    <w:rsid w:val="00097CDC"/>
    <w:rsid w:val="00097F23"/>
    <w:rsid w:val="00097F7A"/>
    <w:rsid w:val="000A708D"/>
    <w:rsid w:val="000A7B9B"/>
    <w:rsid w:val="000B0BE9"/>
    <w:rsid w:val="000B0D92"/>
    <w:rsid w:val="000B1756"/>
    <w:rsid w:val="000B34A5"/>
    <w:rsid w:val="000B391F"/>
    <w:rsid w:val="000B4ECA"/>
    <w:rsid w:val="000B4FC4"/>
    <w:rsid w:val="000B7F94"/>
    <w:rsid w:val="000C08FE"/>
    <w:rsid w:val="000C2BCA"/>
    <w:rsid w:val="000C369A"/>
    <w:rsid w:val="000C533F"/>
    <w:rsid w:val="000C574D"/>
    <w:rsid w:val="000D1092"/>
    <w:rsid w:val="000D147E"/>
    <w:rsid w:val="000D1886"/>
    <w:rsid w:val="000D1A07"/>
    <w:rsid w:val="000D1EDC"/>
    <w:rsid w:val="000D211C"/>
    <w:rsid w:val="000D3CFF"/>
    <w:rsid w:val="000D3E2A"/>
    <w:rsid w:val="000D67D1"/>
    <w:rsid w:val="000D6CB6"/>
    <w:rsid w:val="000E05A3"/>
    <w:rsid w:val="000E1195"/>
    <w:rsid w:val="000E16FA"/>
    <w:rsid w:val="000E3254"/>
    <w:rsid w:val="000E50CD"/>
    <w:rsid w:val="000E5611"/>
    <w:rsid w:val="000E5825"/>
    <w:rsid w:val="000E58EA"/>
    <w:rsid w:val="000E5BB3"/>
    <w:rsid w:val="000E65CC"/>
    <w:rsid w:val="000E6ED9"/>
    <w:rsid w:val="000E77A1"/>
    <w:rsid w:val="000F104E"/>
    <w:rsid w:val="000F1BAC"/>
    <w:rsid w:val="000F2D2B"/>
    <w:rsid w:val="00100F3C"/>
    <w:rsid w:val="0010131A"/>
    <w:rsid w:val="00101FEF"/>
    <w:rsid w:val="00102E6B"/>
    <w:rsid w:val="00103FCB"/>
    <w:rsid w:val="00104B47"/>
    <w:rsid w:val="00105377"/>
    <w:rsid w:val="001064C4"/>
    <w:rsid w:val="00106A16"/>
    <w:rsid w:val="0011052C"/>
    <w:rsid w:val="0011287F"/>
    <w:rsid w:val="001131FD"/>
    <w:rsid w:val="00113E00"/>
    <w:rsid w:val="00120637"/>
    <w:rsid w:val="00121894"/>
    <w:rsid w:val="00122444"/>
    <w:rsid w:val="00123293"/>
    <w:rsid w:val="00123D27"/>
    <w:rsid w:val="00124054"/>
    <w:rsid w:val="001247B4"/>
    <w:rsid w:val="001257D3"/>
    <w:rsid w:val="001262C2"/>
    <w:rsid w:val="00126572"/>
    <w:rsid w:val="001266BC"/>
    <w:rsid w:val="001271EA"/>
    <w:rsid w:val="001277F0"/>
    <w:rsid w:val="00131F8A"/>
    <w:rsid w:val="00134132"/>
    <w:rsid w:val="001350E0"/>
    <w:rsid w:val="00136505"/>
    <w:rsid w:val="00136F16"/>
    <w:rsid w:val="00140189"/>
    <w:rsid w:val="001404E4"/>
    <w:rsid w:val="00140B1C"/>
    <w:rsid w:val="00142895"/>
    <w:rsid w:val="00142D2C"/>
    <w:rsid w:val="00145AA9"/>
    <w:rsid w:val="00146DE9"/>
    <w:rsid w:val="00150D78"/>
    <w:rsid w:val="00150F10"/>
    <w:rsid w:val="00151254"/>
    <w:rsid w:val="00152CD9"/>
    <w:rsid w:val="00153EFA"/>
    <w:rsid w:val="00155B19"/>
    <w:rsid w:val="00155B62"/>
    <w:rsid w:val="001560EC"/>
    <w:rsid w:val="00160F55"/>
    <w:rsid w:val="00161458"/>
    <w:rsid w:val="00164C8B"/>
    <w:rsid w:val="0016505E"/>
    <w:rsid w:val="00165277"/>
    <w:rsid w:val="001753F2"/>
    <w:rsid w:val="00175963"/>
    <w:rsid w:val="00175B88"/>
    <w:rsid w:val="00176332"/>
    <w:rsid w:val="00176393"/>
    <w:rsid w:val="0017714F"/>
    <w:rsid w:val="001775D7"/>
    <w:rsid w:val="0018009D"/>
    <w:rsid w:val="001800EF"/>
    <w:rsid w:val="00181EE7"/>
    <w:rsid w:val="00182007"/>
    <w:rsid w:val="00182338"/>
    <w:rsid w:val="001823CC"/>
    <w:rsid w:val="00183D30"/>
    <w:rsid w:val="001840CD"/>
    <w:rsid w:val="00185BDB"/>
    <w:rsid w:val="00185E63"/>
    <w:rsid w:val="00187A41"/>
    <w:rsid w:val="00190119"/>
    <w:rsid w:val="0019263E"/>
    <w:rsid w:val="00194451"/>
    <w:rsid w:val="00194C73"/>
    <w:rsid w:val="00197ACF"/>
    <w:rsid w:val="001A1D97"/>
    <w:rsid w:val="001A249D"/>
    <w:rsid w:val="001A36A4"/>
    <w:rsid w:val="001A398E"/>
    <w:rsid w:val="001A4218"/>
    <w:rsid w:val="001A5BE4"/>
    <w:rsid w:val="001A6E19"/>
    <w:rsid w:val="001B0CA5"/>
    <w:rsid w:val="001B1843"/>
    <w:rsid w:val="001B20D6"/>
    <w:rsid w:val="001B3CC0"/>
    <w:rsid w:val="001B42C3"/>
    <w:rsid w:val="001B70D9"/>
    <w:rsid w:val="001C014B"/>
    <w:rsid w:val="001C0CD3"/>
    <w:rsid w:val="001C2D61"/>
    <w:rsid w:val="001C522D"/>
    <w:rsid w:val="001C6FEB"/>
    <w:rsid w:val="001C78AB"/>
    <w:rsid w:val="001D1571"/>
    <w:rsid w:val="001D1A9B"/>
    <w:rsid w:val="001D2714"/>
    <w:rsid w:val="001D27D6"/>
    <w:rsid w:val="001D4316"/>
    <w:rsid w:val="001D5FB5"/>
    <w:rsid w:val="001E1720"/>
    <w:rsid w:val="001E3761"/>
    <w:rsid w:val="001E3DD7"/>
    <w:rsid w:val="001E4385"/>
    <w:rsid w:val="001F1264"/>
    <w:rsid w:val="001F34CE"/>
    <w:rsid w:val="001F4A34"/>
    <w:rsid w:val="001F685A"/>
    <w:rsid w:val="001F7976"/>
    <w:rsid w:val="001F7B98"/>
    <w:rsid w:val="001F7C4F"/>
    <w:rsid w:val="002016C2"/>
    <w:rsid w:val="00203DE6"/>
    <w:rsid w:val="00204620"/>
    <w:rsid w:val="00206F2D"/>
    <w:rsid w:val="002106AA"/>
    <w:rsid w:val="00210AFF"/>
    <w:rsid w:val="0021120C"/>
    <w:rsid w:val="0021150F"/>
    <w:rsid w:val="0021476C"/>
    <w:rsid w:val="00214B91"/>
    <w:rsid w:val="00215E4F"/>
    <w:rsid w:val="00217FBF"/>
    <w:rsid w:val="00221C7F"/>
    <w:rsid w:val="00222562"/>
    <w:rsid w:val="0022592F"/>
    <w:rsid w:val="00225968"/>
    <w:rsid w:val="00226A68"/>
    <w:rsid w:val="002301C6"/>
    <w:rsid w:val="00230345"/>
    <w:rsid w:val="00230BC0"/>
    <w:rsid w:val="002314C7"/>
    <w:rsid w:val="0023295C"/>
    <w:rsid w:val="00233018"/>
    <w:rsid w:val="00241375"/>
    <w:rsid w:val="00241640"/>
    <w:rsid w:val="00241E2A"/>
    <w:rsid w:val="00245018"/>
    <w:rsid w:val="00246AF4"/>
    <w:rsid w:val="00246C9C"/>
    <w:rsid w:val="0025113A"/>
    <w:rsid w:val="0025137E"/>
    <w:rsid w:val="00251B37"/>
    <w:rsid w:val="00253DDD"/>
    <w:rsid w:val="00254969"/>
    <w:rsid w:val="00254B2E"/>
    <w:rsid w:val="00255A75"/>
    <w:rsid w:val="002611D9"/>
    <w:rsid w:val="00261302"/>
    <w:rsid w:val="00261E5B"/>
    <w:rsid w:val="0026230F"/>
    <w:rsid w:val="00262622"/>
    <w:rsid w:val="00263438"/>
    <w:rsid w:val="00263727"/>
    <w:rsid w:val="00263C95"/>
    <w:rsid w:val="00266DF4"/>
    <w:rsid w:val="002676BF"/>
    <w:rsid w:val="00267EDB"/>
    <w:rsid w:val="00270046"/>
    <w:rsid w:val="002711CC"/>
    <w:rsid w:val="00273D01"/>
    <w:rsid w:val="002753A9"/>
    <w:rsid w:val="00275E8A"/>
    <w:rsid w:val="00277B9C"/>
    <w:rsid w:val="00281885"/>
    <w:rsid w:val="002841D3"/>
    <w:rsid w:val="00286A5D"/>
    <w:rsid w:val="00291DE7"/>
    <w:rsid w:val="002932D6"/>
    <w:rsid w:val="002935A7"/>
    <w:rsid w:val="002A00BE"/>
    <w:rsid w:val="002A026D"/>
    <w:rsid w:val="002A314D"/>
    <w:rsid w:val="002A45C7"/>
    <w:rsid w:val="002A4D17"/>
    <w:rsid w:val="002A6132"/>
    <w:rsid w:val="002A78DA"/>
    <w:rsid w:val="002B0035"/>
    <w:rsid w:val="002B0D76"/>
    <w:rsid w:val="002B19E8"/>
    <w:rsid w:val="002B2C92"/>
    <w:rsid w:val="002B33E7"/>
    <w:rsid w:val="002B4E16"/>
    <w:rsid w:val="002B5248"/>
    <w:rsid w:val="002B6634"/>
    <w:rsid w:val="002B6DFB"/>
    <w:rsid w:val="002C016E"/>
    <w:rsid w:val="002C04E3"/>
    <w:rsid w:val="002C2015"/>
    <w:rsid w:val="002C30AC"/>
    <w:rsid w:val="002C3AA1"/>
    <w:rsid w:val="002C5DC9"/>
    <w:rsid w:val="002C64F7"/>
    <w:rsid w:val="002C6647"/>
    <w:rsid w:val="002D0813"/>
    <w:rsid w:val="002D39C1"/>
    <w:rsid w:val="002D466E"/>
    <w:rsid w:val="002D4E97"/>
    <w:rsid w:val="002D5347"/>
    <w:rsid w:val="002D5E17"/>
    <w:rsid w:val="002D6089"/>
    <w:rsid w:val="002D6ECE"/>
    <w:rsid w:val="002D71DD"/>
    <w:rsid w:val="002E033F"/>
    <w:rsid w:val="002E26B7"/>
    <w:rsid w:val="002E42EA"/>
    <w:rsid w:val="002E4784"/>
    <w:rsid w:val="002E6510"/>
    <w:rsid w:val="002E67FA"/>
    <w:rsid w:val="002E712C"/>
    <w:rsid w:val="002E75CE"/>
    <w:rsid w:val="002E76D6"/>
    <w:rsid w:val="002E7DC0"/>
    <w:rsid w:val="002F1C2B"/>
    <w:rsid w:val="002F2459"/>
    <w:rsid w:val="002F4E4F"/>
    <w:rsid w:val="003000FF"/>
    <w:rsid w:val="003016DF"/>
    <w:rsid w:val="00302097"/>
    <w:rsid w:val="0030406B"/>
    <w:rsid w:val="00304FDE"/>
    <w:rsid w:val="00306E13"/>
    <w:rsid w:val="00307ECC"/>
    <w:rsid w:val="00310D12"/>
    <w:rsid w:val="00310DE9"/>
    <w:rsid w:val="00310E01"/>
    <w:rsid w:val="0031239E"/>
    <w:rsid w:val="00313291"/>
    <w:rsid w:val="00322196"/>
    <w:rsid w:val="003221C1"/>
    <w:rsid w:val="003234FE"/>
    <w:rsid w:val="003237D0"/>
    <w:rsid w:val="003243C7"/>
    <w:rsid w:val="00324A82"/>
    <w:rsid w:val="00325902"/>
    <w:rsid w:val="003263FE"/>
    <w:rsid w:val="00326E2A"/>
    <w:rsid w:val="00327D13"/>
    <w:rsid w:val="003316CC"/>
    <w:rsid w:val="003320D3"/>
    <w:rsid w:val="00333AEB"/>
    <w:rsid w:val="00334146"/>
    <w:rsid w:val="003360D0"/>
    <w:rsid w:val="00336562"/>
    <w:rsid w:val="003369D9"/>
    <w:rsid w:val="00336ABD"/>
    <w:rsid w:val="003375A9"/>
    <w:rsid w:val="00337C40"/>
    <w:rsid w:val="00340134"/>
    <w:rsid w:val="00340E28"/>
    <w:rsid w:val="00341026"/>
    <w:rsid w:val="00342E6C"/>
    <w:rsid w:val="00350D7C"/>
    <w:rsid w:val="0035125B"/>
    <w:rsid w:val="0035313C"/>
    <w:rsid w:val="00355EDB"/>
    <w:rsid w:val="00356437"/>
    <w:rsid w:val="00356975"/>
    <w:rsid w:val="00356CC7"/>
    <w:rsid w:val="00356D5C"/>
    <w:rsid w:val="00357B61"/>
    <w:rsid w:val="00360CD1"/>
    <w:rsid w:val="00361DF7"/>
    <w:rsid w:val="003628A3"/>
    <w:rsid w:val="00364439"/>
    <w:rsid w:val="00365D44"/>
    <w:rsid w:val="00365F9F"/>
    <w:rsid w:val="003668CE"/>
    <w:rsid w:val="003678A3"/>
    <w:rsid w:val="0037017E"/>
    <w:rsid w:val="0037420A"/>
    <w:rsid w:val="00374216"/>
    <w:rsid w:val="003745C0"/>
    <w:rsid w:val="00374A21"/>
    <w:rsid w:val="0037551E"/>
    <w:rsid w:val="003756E5"/>
    <w:rsid w:val="00376AC0"/>
    <w:rsid w:val="00376BA2"/>
    <w:rsid w:val="00377549"/>
    <w:rsid w:val="00377A4E"/>
    <w:rsid w:val="00380D9E"/>
    <w:rsid w:val="0038451F"/>
    <w:rsid w:val="00385AF3"/>
    <w:rsid w:val="00385D48"/>
    <w:rsid w:val="0038678B"/>
    <w:rsid w:val="00386F59"/>
    <w:rsid w:val="003900EB"/>
    <w:rsid w:val="00391531"/>
    <w:rsid w:val="0039303F"/>
    <w:rsid w:val="00393056"/>
    <w:rsid w:val="00393647"/>
    <w:rsid w:val="00394A2F"/>
    <w:rsid w:val="003952F1"/>
    <w:rsid w:val="00395CB5"/>
    <w:rsid w:val="00396AB6"/>
    <w:rsid w:val="00396FD2"/>
    <w:rsid w:val="00397A34"/>
    <w:rsid w:val="003A2566"/>
    <w:rsid w:val="003A4A57"/>
    <w:rsid w:val="003A53AD"/>
    <w:rsid w:val="003A64FD"/>
    <w:rsid w:val="003A7E13"/>
    <w:rsid w:val="003B07BA"/>
    <w:rsid w:val="003B1590"/>
    <w:rsid w:val="003B2B37"/>
    <w:rsid w:val="003B33E5"/>
    <w:rsid w:val="003B3937"/>
    <w:rsid w:val="003C2082"/>
    <w:rsid w:val="003C2B87"/>
    <w:rsid w:val="003C362B"/>
    <w:rsid w:val="003C485B"/>
    <w:rsid w:val="003C4AAE"/>
    <w:rsid w:val="003C4FB5"/>
    <w:rsid w:val="003C7199"/>
    <w:rsid w:val="003D0013"/>
    <w:rsid w:val="003D246A"/>
    <w:rsid w:val="003D3C3D"/>
    <w:rsid w:val="003D4988"/>
    <w:rsid w:val="003D5F5B"/>
    <w:rsid w:val="003D7A7F"/>
    <w:rsid w:val="003E17F5"/>
    <w:rsid w:val="003E3240"/>
    <w:rsid w:val="003E3A8B"/>
    <w:rsid w:val="003E3C16"/>
    <w:rsid w:val="003E6F0F"/>
    <w:rsid w:val="003F167D"/>
    <w:rsid w:val="003F1934"/>
    <w:rsid w:val="003F230D"/>
    <w:rsid w:val="003F4263"/>
    <w:rsid w:val="003F4FB8"/>
    <w:rsid w:val="003F65CC"/>
    <w:rsid w:val="003F6F4B"/>
    <w:rsid w:val="00400BE0"/>
    <w:rsid w:val="004017E6"/>
    <w:rsid w:val="00401FC5"/>
    <w:rsid w:val="00405C7D"/>
    <w:rsid w:val="0041090A"/>
    <w:rsid w:val="00410C5B"/>
    <w:rsid w:val="00410DAF"/>
    <w:rsid w:val="0041102A"/>
    <w:rsid w:val="004120A3"/>
    <w:rsid w:val="00412340"/>
    <w:rsid w:val="00412DF5"/>
    <w:rsid w:val="004137F6"/>
    <w:rsid w:val="00416916"/>
    <w:rsid w:val="00417228"/>
    <w:rsid w:val="0042169C"/>
    <w:rsid w:val="00421C08"/>
    <w:rsid w:val="00423657"/>
    <w:rsid w:val="004237D1"/>
    <w:rsid w:val="00423FDA"/>
    <w:rsid w:val="004240E2"/>
    <w:rsid w:val="004242CB"/>
    <w:rsid w:val="004249FF"/>
    <w:rsid w:val="00425ADE"/>
    <w:rsid w:val="0042792B"/>
    <w:rsid w:val="00430059"/>
    <w:rsid w:val="004304EC"/>
    <w:rsid w:val="00431D65"/>
    <w:rsid w:val="004320D1"/>
    <w:rsid w:val="00432263"/>
    <w:rsid w:val="00432EC1"/>
    <w:rsid w:val="00435221"/>
    <w:rsid w:val="004352F4"/>
    <w:rsid w:val="00436CD4"/>
    <w:rsid w:val="0043728A"/>
    <w:rsid w:val="00437C95"/>
    <w:rsid w:val="004403E4"/>
    <w:rsid w:val="00442985"/>
    <w:rsid w:val="0044315E"/>
    <w:rsid w:val="0044527D"/>
    <w:rsid w:val="004467B1"/>
    <w:rsid w:val="00446BE5"/>
    <w:rsid w:val="00450004"/>
    <w:rsid w:val="00451B68"/>
    <w:rsid w:val="0045237B"/>
    <w:rsid w:val="004524C3"/>
    <w:rsid w:val="004610D1"/>
    <w:rsid w:val="00462082"/>
    <w:rsid w:val="004632E8"/>
    <w:rsid w:val="00463AFF"/>
    <w:rsid w:val="00465297"/>
    <w:rsid w:val="0046684A"/>
    <w:rsid w:val="0047108B"/>
    <w:rsid w:val="004767A2"/>
    <w:rsid w:val="00476EAE"/>
    <w:rsid w:val="004810EB"/>
    <w:rsid w:val="00482436"/>
    <w:rsid w:val="004829D5"/>
    <w:rsid w:val="00482BD6"/>
    <w:rsid w:val="0048312B"/>
    <w:rsid w:val="004834A8"/>
    <w:rsid w:val="00483C49"/>
    <w:rsid w:val="004858A6"/>
    <w:rsid w:val="004859DA"/>
    <w:rsid w:val="00485EBE"/>
    <w:rsid w:val="00485ED6"/>
    <w:rsid w:val="0049045A"/>
    <w:rsid w:val="00492CE9"/>
    <w:rsid w:val="004948EE"/>
    <w:rsid w:val="00495E9A"/>
    <w:rsid w:val="004962C1"/>
    <w:rsid w:val="0049646B"/>
    <w:rsid w:val="00496D04"/>
    <w:rsid w:val="004A2A9E"/>
    <w:rsid w:val="004A3ACE"/>
    <w:rsid w:val="004A3E0F"/>
    <w:rsid w:val="004A44B2"/>
    <w:rsid w:val="004A44C9"/>
    <w:rsid w:val="004A5E61"/>
    <w:rsid w:val="004A6B2F"/>
    <w:rsid w:val="004A7D58"/>
    <w:rsid w:val="004B02EF"/>
    <w:rsid w:val="004B0572"/>
    <w:rsid w:val="004B07F0"/>
    <w:rsid w:val="004B25D2"/>
    <w:rsid w:val="004B34DE"/>
    <w:rsid w:val="004B392B"/>
    <w:rsid w:val="004B49C8"/>
    <w:rsid w:val="004B695D"/>
    <w:rsid w:val="004C02AA"/>
    <w:rsid w:val="004C1D19"/>
    <w:rsid w:val="004C3ED0"/>
    <w:rsid w:val="004C42C8"/>
    <w:rsid w:val="004C61F8"/>
    <w:rsid w:val="004C7E4E"/>
    <w:rsid w:val="004D25AE"/>
    <w:rsid w:val="004D3522"/>
    <w:rsid w:val="004D3F4C"/>
    <w:rsid w:val="004D560C"/>
    <w:rsid w:val="004D5843"/>
    <w:rsid w:val="004D720E"/>
    <w:rsid w:val="004D76AF"/>
    <w:rsid w:val="004E0377"/>
    <w:rsid w:val="004E4304"/>
    <w:rsid w:val="004E699C"/>
    <w:rsid w:val="004F2030"/>
    <w:rsid w:val="004F3DD0"/>
    <w:rsid w:val="004F437F"/>
    <w:rsid w:val="004F5A46"/>
    <w:rsid w:val="004F60B8"/>
    <w:rsid w:val="004F680A"/>
    <w:rsid w:val="00501142"/>
    <w:rsid w:val="005025BA"/>
    <w:rsid w:val="005041CF"/>
    <w:rsid w:val="00504827"/>
    <w:rsid w:val="0051302F"/>
    <w:rsid w:val="0051357F"/>
    <w:rsid w:val="00513968"/>
    <w:rsid w:val="00514009"/>
    <w:rsid w:val="00514F33"/>
    <w:rsid w:val="00522D6A"/>
    <w:rsid w:val="00522E12"/>
    <w:rsid w:val="0052402F"/>
    <w:rsid w:val="005240CA"/>
    <w:rsid w:val="005241CE"/>
    <w:rsid w:val="005244F8"/>
    <w:rsid w:val="00526F77"/>
    <w:rsid w:val="005270B5"/>
    <w:rsid w:val="005314B6"/>
    <w:rsid w:val="00532114"/>
    <w:rsid w:val="005328C5"/>
    <w:rsid w:val="00532EC2"/>
    <w:rsid w:val="005332AC"/>
    <w:rsid w:val="00533975"/>
    <w:rsid w:val="00533F4D"/>
    <w:rsid w:val="005404C0"/>
    <w:rsid w:val="005422C0"/>
    <w:rsid w:val="00543A05"/>
    <w:rsid w:val="00545525"/>
    <w:rsid w:val="00547A53"/>
    <w:rsid w:val="00547A6D"/>
    <w:rsid w:val="005500E6"/>
    <w:rsid w:val="00553B1A"/>
    <w:rsid w:val="0055423C"/>
    <w:rsid w:val="00556BA8"/>
    <w:rsid w:val="00557CB0"/>
    <w:rsid w:val="0056187A"/>
    <w:rsid w:val="005641F2"/>
    <w:rsid w:val="005670C3"/>
    <w:rsid w:val="005706BD"/>
    <w:rsid w:val="0057213C"/>
    <w:rsid w:val="00574AFB"/>
    <w:rsid w:val="00582B0B"/>
    <w:rsid w:val="00583621"/>
    <w:rsid w:val="00583B37"/>
    <w:rsid w:val="0058508E"/>
    <w:rsid w:val="005851E3"/>
    <w:rsid w:val="00585500"/>
    <w:rsid w:val="00585545"/>
    <w:rsid w:val="00585F2B"/>
    <w:rsid w:val="005867BD"/>
    <w:rsid w:val="0059166D"/>
    <w:rsid w:val="0059200C"/>
    <w:rsid w:val="00593B5B"/>
    <w:rsid w:val="00596D16"/>
    <w:rsid w:val="00597B63"/>
    <w:rsid w:val="005A2FA0"/>
    <w:rsid w:val="005A56C9"/>
    <w:rsid w:val="005A75CA"/>
    <w:rsid w:val="005A796B"/>
    <w:rsid w:val="005B0E53"/>
    <w:rsid w:val="005B138F"/>
    <w:rsid w:val="005B32DD"/>
    <w:rsid w:val="005B3A58"/>
    <w:rsid w:val="005B47B5"/>
    <w:rsid w:val="005B782F"/>
    <w:rsid w:val="005C0C81"/>
    <w:rsid w:val="005C193A"/>
    <w:rsid w:val="005C19ED"/>
    <w:rsid w:val="005C1CBA"/>
    <w:rsid w:val="005C2364"/>
    <w:rsid w:val="005C3D09"/>
    <w:rsid w:val="005C58FB"/>
    <w:rsid w:val="005C6290"/>
    <w:rsid w:val="005C6E40"/>
    <w:rsid w:val="005C7A15"/>
    <w:rsid w:val="005D0FCF"/>
    <w:rsid w:val="005D1336"/>
    <w:rsid w:val="005D42A0"/>
    <w:rsid w:val="005D533B"/>
    <w:rsid w:val="005D5BE8"/>
    <w:rsid w:val="005D6166"/>
    <w:rsid w:val="005D688F"/>
    <w:rsid w:val="005D7A43"/>
    <w:rsid w:val="005D7CAD"/>
    <w:rsid w:val="005E1271"/>
    <w:rsid w:val="005E1886"/>
    <w:rsid w:val="005E299E"/>
    <w:rsid w:val="005E2E8C"/>
    <w:rsid w:val="005E7451"/>
    <w:rsid w:val="005E7D00"/>
    <w:rsid w:val="005F042C"/>
    <w:rsid w:val="005F1B9C"/>
    <w:rsid w:val="005F4319"/>
    <w:rsid w:val="005F642D"/>
    <w:rsid w:val="006023A1"/>
    <w:rsid w:val="00602E59"/>
    <w:rsid w:val="00603DCA"/>
    <w:rsid w:val="00606AE9"/>
    <w:rsid w:val="00607303"/>
    <w:rsid w:val="006131C9"/>
    <w:rsid w:val="00614D2D"/>
    <w:rsid w:val="00615E7F"/>
    <w:rsid w:val="006164DD"/>
    <w:rsid w:val="00616611"/>
    <w:rsid w:val="00616FF5"/>
    <w:rsid w:val="006221AA"/>
    <w:rsid w:val="00622379"/>
    <w:rsid w:val="006245E0"/>
    <w:rsid w:val="006246F2"/>
    <w:rsid w:val="006256F6"/>
    <w:rsid w:val="00625A31"/>
    <w:rsid w:val="0062688D"/>
    <w:rsid w:val="00627978"/>
    <w:rsid w:val="006309C2"/>
    <w:rsid w:val="00631551"/>
    <w:rsid w:val="00632674"/>
    <w:rsid w:val="00632F13"/>
    <w:rsid w:val="00634E49"/>
    <w:rsid w:val="00635220"/>
    <w:rsid w:val="006364B0"/>
    <w:rsid w:val="00637F1B"/>
    <w:rsid w:val="006424F0"/>
    <w:rsid w:val="006433EF"/>
    <w:rsid w:val="0064389E"/>
    <w:rsid w:val="006439FE"/>
    <w:rsid w:val="006453D0"/>
    <w:rsid w:val="00646EC7"/>
    <w:rsid w:val="006522A8"/>
    <w:rsid w:val="00652F07"/>
    <w:rsid w:val="00654E31"/>
    <w:rsid w:val="006638AB"/>
    <w:rsid w:val="00664E8D"/>
    <w:rsid w:val="00666906"/>
    <w:rsid w:val="00666ED9"/>
    <w:rsid w:val="00666F44"/>
    <w:rsid w:val="0066751B"/>
    <w:rsid w:val="006676F2"/>
    <w:rsid w:val="00674192"/>
    <w:rsid w:val="006811AF"/>
    <w:rsid w:val="00681E81"/>
    <w:rsid w:val="006832DD"/>
    <w:rsid w:val="00683450"/>
    <w:rsid w:val="00685363"/>
    <w:rsid w:val="00685F9D"/>
    <w:rsid w:val="00690CD4"/>
    <w:rsid w:val="00691705"/>
    <w:rsid w:val="00691BA4"/>
    <w:rsid w:val="0069285F"/>
    <w:rsid w:val="006958F5"/>
    <w:rsid w:val="00696025"/>
    <w:rsid w:val="006978D9"/>
    <w:rsid w:val="006A21A2"/>
    <w:rsid w:val="006A25B6"/>
    <w:rsid w:val="006A2651"/>
    <w:rsid w:val="006A3F44"/>
    <w:rsid w:val="006A47A8"/>
    <w:rsid w:val="006A5029"/>
    <w:rsid w:val="006A6C3D"/>
    <w:rsid w:val="006A6EF1"/>
    <w:rsid w:val="006A75C9"/>
    <w:rsid w:val="006A76FC"/>
    <w:rsid w:val="006B3249"/>
    <w:rsid w:val="006B3851"/>
    <w:rsid w:val="006B407C"/>
    <w:rsid w:val="006B41CF"/>
    <w:rsid w:val="006B4BC7"/>
    <w:rsid w:val="006B4CBF"/>
    <w:rsid w:val="006B4FB3"/>
    <w:rsid w:val="006B56C6"/>
    <w:rsid w:val="006B5EA8"/>
    <w:rsid w:val="006B63E2"/>
    <w:rsid w:val="006B7730"/>
    <w:rsid w:val="006C17DB"/>
    <w:rsid w:val="006C21C7"/>
    <w:rsid w:val="006C27AF"/>
    <w:rsid w:val="006C334F"/>
    <w:rsid w:val="006C42B2"/>
    <w:rsid w:val="006C6459"/>
    <w:rsid w:val="006C6628"/>
    <w:rsid w:val="006C6D98"/>
    <w:rsid w:val="006D0C91"/>
    <w:rsid w:val="006D171B"/>
    <w:rsid w:val="006D1B08"/>
    <w:rsid w:val="006D2ECB"/>
    <w:rsid w:val="006D4C52"/>
    <w:rsid w:val="006E1B94"/>
    <w:rsid w:val="006E1D04"/>
    <w:rsid w:val="006E545F"/>
    <w:rsid w:val="006E572E"/>
    <w:rsid w:val="006F0ECE"/>
    <w:rsid w:val="006F1D45"/>
    <w:rsid w:val="006F2850"/>
    <w:rsid w:val="006F3EC2"/>
    <w:rsid w:val="006F49E2"/>
    <w:rsid w:val="006F568C"/>
    <w:rsid w:val="006F6ED9"/>
    <w:rsid w:val="006F70C7"/>
    <w:rsid w:val="006F7583"/>
    <w:rsid w:val="006F7BD9"/>
    <w:rsid w:val="006F7CC5"/>
    <w:rsid w:val="0070030A"/>
    <w:rsid w:val="0070290B"/>
    <w:rsid w:val="00703C74"/>
    <w:rsid w:val="0070456A"/>
    <w:rsid w:val="00706BD9"/>
    <w:rsid w:val="00707B6A"/>
    <w:rsid w:val="00707E4F"/>
    <w:rsid w:val="00712C3D"/>
    <w:rsid w:val="00712F28"/>
    <w:rsid w:val="007137A8"/>
    <w:rsid w:val="00715A07"/>
    <w:rsid w:val="0072145C"/>
    <w:rsid w:val="00721998"/>
    <w:rsid w:val="00723B40"/>
    <w:rsid w:val="007251A8"/>
    <w:rsid w:val="007256F3"/>
    <w:rsid w:val="00725840"/>
    <w:rsid w:val="00727F1E"/>
    <w:rsid w:val="00730390"/>
    <w:rsid w:val="00731280"/>
    <w:rsid w:val="00731820"/>
    <w:rsid w:val="00731FC3"/>
    <w:rsid w:val="007363B2"/>
    <w:rsid w:val="007376C6"/>
    <w:rsid w:val="007406E3"/>
    <w:rsid w:val="007407EA"/>
    <w:rsid w:val="00740C5E"/>
    <w:rsid w:val="007410B3"/>
    <w:rsid w:val="007417E7"/>
    <w:rsid w:val="00741A95"/>
    <w:rsid w:val="0074432D"/>
    <w:rsid w:val="00745DA7"/>
    <w:rsid w:val="007464D8"/>
    <w:rsid w:val="00747334"/>
    <w:rsid w:val="00747537"/>
    <w:rsid w:val="00750B20"/>
    <w:rsid w:val="00751FC7"/>
    <w:rsid w:val="007554FF"/>
    <w:rsid w:val="00760574"/>
    <w:rsid w:val="007606F8"/>
    <w:rsid w:val="00760853"/>
    <w:rsid w:val="00762662"/>
    <w:rsid w:val="00762F59"/>
    <w:rsid w:val="00763DF5"/>
    <w:rsid w:val="00766189"/>
    <w:rsid w:val="00766224"/>
    <w:rsid w:val="00767392"/>
    <w:rsid w:val="00767FB0"/>
    <w:rsid w:val="00773711"/>
    <w:rsid w:val="0077467D"/>
    <w:rsid w:val="00777529"/>
    <w:rsid w:val="00780611"/>
    <w:rsid w:val="007808E7"/>
    <w:rsid w:val="00780C9A"/>
    <w:rsid w:val="00782CB6"/>
    <w:rsid w:val="00786191"/>
    <w:rsid w:val="0078738E"/>
    <w:rsid w:val="00790A31"/>
    <w:rsid w:val="00792707"/>
    <w:rsid w:val="00795759"/>
    <w:rsid w:val="007978E7"/>
    <w:rsid w:val="007A0F0E"/>
    <w:rsid w:val="007A4FC1"/>
    <w:rsid w:val="007A5C57"/>
    <w:rsid w:val="007A743B"/>
    <w:rsid w:val="007A7776"/>
    <w:rsid w:val="007B0087"/>
    <w:rsid w:val="007B0901"/>
    <w:rsid w:val="007B166A"/>
    <w:rsid w:val="007B2D20"/>
    <w:rsid w:val="007B3A6C"/>
    <w:rsid w:val="007B5270"/>
    <w:rsid w:val="007B551E"/>
    <w:rsid w:val="007C0B00"/>
    <w:rsid w:val="007C3706"/>
    <w:rsid w:val="007C3DB8"/>
    <w:rsid w:val="007C4AEA"/>
    <w:rsid w:val="007C6940"/>
    <w:rsid w:val="007C6C75"/>
    <w:rsid w:val="007C750C"/>
    <w:rsid w:val="007D37DB"/>
    <w:rsid w:val="007D4617"/>
    <w:rsid w:val="007D48AC"/>
    <w:rsid w:val="007D49C7"/>
    <w:rsid w:val="007D4CAC"/>
    <w:rsid w:val="007D6A6E"/>
    <w:rsid w:val="007D7149"/>
    <w:rsid w:val="007E000F"/>
    <w:rsid w:val="007E06E7"/>
    <w:rsid w:val="007E1BC8"/>
    <w:rsid w:val="007E29B9"/>
    <w:rsid w:val="007E2BF7"/>
    <w:rsid w:val="007E6FDE"/>
    <w:rsid w:val="007E7AA9"/>
    <w:rsid w:val="007F04EA"/>
    <w:rsid w:val="007F25B0"/>
    <w:rsid w:val="007F26F8"/>
    <w:rsid w:val="007F502A"/>
    <w:rsid w:val="007F6240"/>
    <w:rsid w:val="00801D2C"/>
    <w:rsid w:val="00807569"/>
    <w:rsid w:val="00807657"/>
    <w:rsid w:val="0081366A"/>
    <w:rsid w:val="008136C2"/>
    <w:rsid w:val="00813A84"/>
    <w:rsid w:val="00816152"/>
    <w:rsid w:val="008164B4"/>
    <w:rsid w:val="00816534"/>
    <w:rsid w:val="008221E6"/>
    <w:rsid w:val="0082317C"/>
    <w:rsid w:val="00823868"/>
    <w:rsid w:val="00824F46"/>
    <w:rsid w:val="0082696B"/>
    <w:rsid w:val="00831E64"/>
    <w:rsid w:val="00832031"/>
    <w:rsid w:val="00833D4F"/>
    <w:rsid w:val="00833F5F"/>
    <w:rsid w:val="008358E4"/>
    <w:rsid w:val="008366ED"/>
    <w:rsid w:val="00837980"/>
    <w:rsid w:val="0084076C"/>
    <w:rsid w:val="00843924"/>
    <w:rsid w:val="00845C57"/>
    <w:rsid w:val="00846EA5"/>
    <w:rsid w:val="0084715C"/>
    <w:rsid w:val="008477C5"/>
    <w:rsid w:val="00850B17"/>
    <w:rsid w:val="008513CE"/>
    <w:rsid w:val="0085267A"/>
    <w:rsid w:val="00852846"/>
    <w:rsid w:val="00853992"/>
    <w:rsid w:val="0085417D"/>
    <w:rsid w:val="00856303"/>
    <w:rsid w:val="008569F0"/>
    <w:rsid w:val="00862B02"/>
    <w:rsid w:val="0086339D"/>
    <w:rsid w:val="00866EE8"/>
    <w:rsid w:val="00871438"/>
    <w:rsid w:val="00872090"/>
    <w:rsid w:val="00874B12"/>
    <w:rsid w:val="00877303"/>
    <w:rsid w:val="00880AEE"/>
    <w:rsid w:val="0088112E"/>
    <w:rsid w:val="00890345"/>
    <w:rsid w:val="00890577"/>
    <w:rsid w:val="008907DF"/>
    <w:rsid w:val="00891355"/>
    <w:rsid w:val="008A0BDB"/>
    <w:rsid w:val="008A1082"/>
    <w:rsid w:val="008A1F57"/>
    <w:rsid w:val="008A449E"/>
    <w:rsid w:val="008A495C"/>
    <w:rsid w:val="008A4E82"/>
    <w:rsid w:val="008A5D91"/>
    <w:rsid w:val="008A78F1"/>
    <w:rsid w:val="008A7A21"/>
    <w:rsid w:val="008B12B5"/>
    <w:rsid w:val="008B2E92"/>
    <w:rsid w:val="008B419C"/>
    <w:rsid w:val="008B4C53"/>
    <w:rsid w:val="008B669B"/>
    <w:rsid w:val="008B6907"/>
    <w:rsid w:val="008B6E72"/>
    <w:rsid w:val="008B703B"/>
    <w:rsid w:val="008C4170"/>
    <w:rsid w:val="008C6346"/>
    <w:rsid w:val="008C697F"/>
    <w:rsid w:val="008C6E70"/>
    <w:rsid w:val="008C74EF"/>
    <w:rsid w:val="008D250D"/>
    <w:rsid w:val="008D4884"/>
    <w:rsid w:val="008D5819"/>
    <w:rsid w:val="008D5AFC"/>
    <w:rsid w:val="008D5D04"/>
    <w:rsid w:val="008D75CD"/>
    <w:rsid w:val="008E0C4E"/>
    <w:rsid w:val="008E1609"/>
    <w:rsid w:val="008F1499"/>
    <w:rsid w:val="008F36B0"/>
    <w:rsid w:val="008F3FC3"/>
    <w:rsid w:val="008F3FD7"/>
    <w:rsid w:val="008F5789"/>
    <w:rsid w:val="008F6052"/>
    <w:rsid w:val="008F60FA"/>
    <w:rsid w:val="009005D3"/>
    <w:rsid w:val="009017B5"/>
    <w:rsid w:val="009032D3"/>
    <w:rsid w:val="00903648"/>
    <w:rsid w:val="00903BB1"/>
    <w:rsid w:val="00904CAB"/>
    <w:rsid w:val="00905823"/>
    <w:rsid w:val="00906C05"/>
    <w:rsid w:val="00906DEE"/>
    <w:rsid w:val="00907BA4"/>
    <w:rsid w:val="00907F34"/>
    <w:rsid w:val="00911D38"/>
    <w:rsid w:val="00913083"/>
    <w:rsid w:val="009131FD"/>
    <w:rsid w:val="0091628B"/>
    <w:rsid w:val="00916DA0"/>
    <w:rsid w:val="00917737"/>
    <w:rsid w:val="00921FF7"/>
    <w:rsid w:val="00925A07"/>
    <w:rsid w:val="009273A5"/>
    <w:rsid w:val="00927CB3"/>
    <w:rsid w:val="00932737"/>
    <w:rsid w:val="00933821"/>
    <w:rsid w:val="00934C48"/>
    <w:rsid w:val="00935374"/>
    <w:rsid w:val="00936B05"/>
    <w:rsid w:val="00937B22"/>
    <w:rsid w:val="00937EDB"/>
    <w:rsid w:val="0094133E"/>
    <w:rsid w:val="00942BBF"/>
    <w:rsid w:val="00946B10"/>
    <w:rsid w:val="00950110"/>
    <w:rsid w:val="00951728"/>
    <w:rsid w:val="00951FDA"/>
    <w:rsid w:val="009520A5"/>
    <w:rsid w:val="00952387"/>
    <w:rsid w:val="00952399"/>
    <w:rsid w:val="00953465"/>
    <w:rsid w:val="009549FC"/>
    <w:rsid w:val="00955E0A"/>
    <w:rsid w:val="00955F7E"/>
    <w:rsid w:val="0095762A"/>
    <w:rsid w:val="00957DE3"/>
    <w:rsid w:val="00962259"/>
    <w:rsid w:val="009623B5"/>
    <w:rsid w:val="00963929"/>
    <w:rsid w:val="00964FFB"/>
    <w:rsid w:val="00966581"/>
    <w:rsid w:val="00970223"/>
    <w:rsid w:val="00970F6B"/>
    <w:rsid w:val="00972B4A"/>
    <w:rsid w:val="00972D09"/>
    <w:rsid w:val="00975198"/>
    <w:rsid w:val="0097553C"/>
    <w:rsid w:val="00976891"/>
    <w:rsid w:val="00977464"/>
    <w:rsid w:val="00977CF2"/>
    <w:rsid w:val="00977DE6"/>
    <w:rsid w:val="009807EE"/>
    <w:rsid w:val="00983F50"/>
    <w:rsid w:val="009865A3"/>
    <w:rsid w:val="00987549"/>
    <w:rsid w:val="00990539"/>
    <w:rsid w:val="00991D6C"/>
    <w:rsid w:val="00991D76"/>
    <w:rsid w:val="0099794F"/>
    <w:rsid w:val="009A0A8B"/>
    <w:rsid w:val="009A0C5A"/>
    <w:rsid w:val="009A12B1"/>
    <w:rsid w:val="009A1447"/>
    <w:rsid w:val="009A18C6"/>
    <w:rsid w:val="009A1D43"/>
    <w:rsid w:val="009A28F6"/>
    <w:rsid w:val="009A471F"/>
    <w:rsid w:val="009A6B67"/>
    <w:rsid w:val="009B02FA"/>
    <w:rsid w:val="009B5690"/>
    <w:rsid w:val="009B5BC2"/>
    <w:rsid w:val="009B6498"/>
    <w:rsid w:val="009B77FF"/>
    <w:rsid w:val="009C1CBF"/>
    <w:rsid w:val="009C3872"/>
    <w:rsid w:val="009C47BC"/>
    <w:rsid w:val="009C5578"/>
    <w:rsid w:val="009D0053"/>
    <w:rsid w:val="009D1B5B"/>
    <w:rsid w:val="009D21C3"/>
    <w:rsid w:val="009D3ECC"/>
    <w:rsid w:val="009D7F95"/>
    <w:rsid w:val="009E3E18"/>
    <w:rsid w:val="009E5D25"/>
    <w:rsid w:val="009E707E"/>
    <w:rsid w:val="009F03EB"/>
    <w:rsid w:val="009F095C"/>
    <w:rsid w:val="00A02B73"/>
    <w:rsid w:val="00A02E51"/>
    <w:rsid w:val="00A03026"/>
    <w:rsid w:val="00A0377F"/>
    <w:rsid w:val="00A04479"/>
    <w:rsid w:val="00A05A58"/>
    <w:rsid w:val="00A06368"/>
    <w:rsid w:val="00A10EB2"/>
    <w:rsid w:val="00A115C2"/>
    <w:rsid w:val="00A12441"/>
    <w:rsid w:val="00A13D33"/>
    <w:rsid w:val="00A1552B"/>
    <w:rsid w:val="00A16015"/>
    <w:rsid w:val="00A16019"/>
    <w:rsid w:val="00A166E2"/>
    <w:rsid w:val="00A174B3"/>
    <w:rsid w:val="00A174B7"/>
    <w:rsid w:val="00A17C55"/>
    <w:rsid w:val="00A228E6"/>
    <w:rsid w:val="00A24CE6"/>
    <w:rsid w:val="00A24D2D"/>
    <w:rsid w:val="00A251FD"/>
    <w:rsid w:val="00A256A6"/>
    <w:rsid w:val="00A303C6"/>
    <w:rsid w:val="00A30F71"/>
    <w:rsid w:val="00A31F10"/>
    <w:rsid w:val="00A32042"/>
    <w:rsid w:val="00A32D11"/>
    <w:rsid w:val="00A34BD2"/>
    <w:rsid w:val="00A354CC"/>
    <w:rsid w:val="00A36859"/>
    <w:rsid w:val="00A4088D"/>
    <w:rsid w:val="00A4139D"/>
    <w:rsid w:val="00A43300"/>
    <w:rsid w:val="00A444DC"/>
    <w:rsid w:val="00A477DB"/>
    <w:rsid w:val="00A50FA0"/>
    <w:rsid w:val="00A529AB"/>
    <w:rsid w:val="00A52AA4"/>
    <w:rsid w:val="00A53A65"/>
    <w:rsid w:val="00A53B00"/>
    <w:rsid w:val="00A54604"/>
    <w:rsid w:val="00A56E7D"/>
    <w:rsid w:val="00A5705E"/>
    <w:rsid w:val="00A5788B"/>
    <w:rsid w:val="00A612D8"/>
    <w:rsid w:val="00A64F59"/>
    <w:rsid w:val="00A70EDF"/>
    <w:rsid w:val="00A7190F"/>
    <w:rsid w:val="00A72BB1"/>
    <w:rsid w:val="00A7472C"/>
    <w:rsid w:val="00A75EEE"/>
    <w:rsid w:val="00A76302"/>
    <w:rsid w:val="00A77BB2"/>
    <w:rsid w:val="00A8044F"/>
    <w:rsid w:val="00A807BA"/>
    <w:rsid w:val="00A8081C"/>
    <w:rsid w:val="00A80D50"/>
    <w:rsid w:val="00A810C6"/>
    <w:rsid w:val="00A8127C"/>
    <w:rsid w:val="00A83B44"/>
    <w:rsid w:val="00A86086"/>
    <w:rsid w:val="00A86158"/>
    <w:rsid w:val="00A864B3"/>
    <w:rsid w:val="00A86562"/>
    <w:rsid w:val="00A868AA"/>
    <w:rsid w:val="00A87F38"/>
    <w:rsid w:val="00A9209B"/>
    <w:rsid w:val="00A93B00"/>
    <w:rsid w:val="00A9472E"/>
    <w:rsid w:val="00A960DF"/>
    <w:rsid w:val="00A961F1"/>
    <w:rsid w:val="00A97227"/>
    <w:rsid w:val="00AA1369"/>
    <w:rsid w:val="00AA660F"/>
    <w:rsid w:val="00AB1650"/>
    <w:rsid w:val="00AB2D6A"/>
    <w:rsid w:val="00AB41E3"/>
    <w:rsid w:val="00AB490E"/>
    <w:rsid w:val="00AB4D0E"/>
    <w:rsid w:val="00AC062C"/>
    <w:rsid w:val="00AC20DD"/>
    <w:rsid w:val="00AC281D"/>
    <w:rsid w:val="00AC2BC9"/>
    <w:rsid w:val="00AC415F"/>
    <w:rsid w:val="00AC4B99"/>
    <w:rsid w:val="00AC7141"/>
    <w:rsid w:val="00AD069B"/>
    <w:rsid w:val="00AD1145"/>
    <w:rsid w:val="00AD2A43"/>
    <w:rsid w:val="00AD3CD7"/>
    <w:rsid w:val="00AD431F"/>
    <w:rsid w:val="00AD434D"/>
    <w:rsid w:val="00AD5DF5"/>
    <w:rsid w:val="00AD78F5"/>
    <w:rsid w:val="00AE0BC8"/>
    <w:rsid w:val="00AE0C13"/>
    <w:rsid w:val="00AE0D49"/>
    <w:rsid w:val="00AE2AD8"/>
    <w:rsid w:val="00AE3084"/>
    <w:rsid w:val="00AE42B2"/>
    <w:rsid w:val="00AE499E"/>
    <w:rsid w:val="00AE5A5C"/>
    <w:rsid w:val="00AE7AC3"/>
    <w:rsid w:val="00AF3A17"/>
    <w:rsid w:val="00AF67BF"/>
    <w:rsid w:val="00AF7B49"/>
    <w:rsid w:val="00AF7FA0"/>
    <w:rsid w:val="00B00760"/>
    <w:rsid w:val="00B02796"/>
    <w:rsid w:val="00B0548B"/>
    <w:rsid w:val="00B1118A"/>
    <w:rsid w:val="00B1122B"/>
    <w:rsid w:val="00B13B4F"/>
    <w:rsid w:val="00B15D3A"/>
    <w:rsid w:val="00B15F20"/>
    <w:rsid w:val="00B17288"/>
    <w:rsid w:val="00B179EB"/>
    <w:rsid w:val="00B207EF"/>
    <w:rsid w:val="00B23D64"/>
    <w:rsid w:val="00B30829"/>
    <w:rsid w:val="00B31E93"/>
    <w:rsid w:val="00B35078"/>
    <w:rsid w:val="00B37F84"/>
    <w:rsid w:val="00B40917"/>
    <w:rsid w:val="00B42A12"/>
    <w:rsid w:val="00B43111"/>
    <w:rsid w:val="00B43DA8"/>
    <w:rsid w:val="00B442B9"/>
    <w:rsid w:val="00B512F9"/>
    <w:rsid w:val="00B53178"/>
    <w:rsid w:val="00B53E97"/>
    <w:rsid w:val="00B55D34"/>
    <w:rsid w:val="00B57428"/>
    <w:rsid w:val="00B57430"/>
    <w:rsid w:val="00B607C4"/>
    <w:rsid w:val="00B6149A"/>
    <w:rsid w:val="00B62C70"/>
    <w:rsid w:val="00B635F9"/>
    <w:rsid w:val="00B63917"/>
    <w:rsid w:val="00B63F14"/>
    <w:rsid w:val="00B6482F"/>
    <w:rsid w:val="00B64A0A"/>
    <w:rsid w:val="00B67B14"/>
    <w:rsid w:val="00B7116C"/>
    <w:rsid w:val="00B72A5C"/>
    <w:rsid w:val="00B74412"/>
    <w:rsid w:val="00B74F58"/>
    <w:rsid w:val="00B7508B"/>
    <w:rsid w:val="00B76A89"/>
    <w:rsid w:val="00B8127F"/>
    <w:rsid w:val="00B824E6"/>
    <w:rsid w:val="00B85191"/>
    <w:rsid w:val="00B87340"/>
    <w:rsid w:val="00B906BA"/>
    <w:rsid w:val="00B91741"/>
    <w:rsid w:val="00B92EC1"/>
    <w:rsid w:val="00B932DB"/>
    <w:rsid w:val="00B9414C"/>
    <w:rsid w:val="00B95C6B"/>
    <w:rsid w:val="00BA2D39"/>
    <w:rsid w:val="00BA3CC5"/>
    <w:rsid w:val="00BA7BAA"/>
    <w:rsid w:val="00BB07A5"/>
    <w:rsid w:val="00BB56D9"/>
    <w:rsid w:val="00BB5D03"/>
    <w:rsid w:val="00BC03E6"/>
    <w:rsid w:val="00BC0AED"/>
    <w:rsid w:val="00BC137C"/>
    <w:rsid w:val="00BC242B"/>
    <w:rsid w:val="00BC2A71"/>
    <w:rsid w:val="00BC3384"/>
    <w:rsid w:val="00BD0C9C"/>
    <w:rsid w:val="00BD2E07"/>
    <w:rsid w:val="00BD67D8"/>
    <w:rsid w:val="00BD71E0"/>
    <w:rsid w:val="00BD7D64"/>
    <w:rsid w:val="00BE2E53"/>
    <w:rsid w:val="00BE37D1"/>
    <w:rsid w:val="00BE4BB4"/>
    <w:rsid w:val="00BE6038"/>
    <w:rsid w:val="00BE7C58"/>
    <w:rsid w:val="00BE7C99"/>
    <w:rsid w:val="00BF235E"/>
    <w:rsid w:val="00BF254E"/>
    <w:rsid w:val="00BF28EB"/>
    <w:rsid w:val="00BF2EFC"/>
    <w:rsid w:val="00BF458D"/>
    <w:rsid w:val="00BF4C45"/>
    <w:rsid w:val="00BF5EE5"/>
    <w:rsid w:val="00BF6AE9"/>
    <w:rsid w:val="00C03EE0"/>
    <w:rsid w:val="00C0466F"/>
    <w:rsid w:val="00C0526F"/>
    <w:rsid w:val="00C05F0D"/>
    <w:rsid w:val="00C068D2"/>
    <w:rsid w:val="00C06E4E"/>
    <w:rsid w:val="00C070D3"/>
    <w:rsid w:val="00C072CD"/>
    <w:rsid w:val="00C12FE2"/>
    <w:rsid w:val="00C13DBF"/>
    <w:rsid w:val="00C166B9"/>
    <w:rsid w:val="00C171AF"/>
    <w:rsid w:val="00C17A9E"/>
    <w:rsid w:val="00C17BC0"/>
    <w:rsid w:val="00C20F05"/>
    <w:rsid w:val="00C2110B"/>
    <w:rsid w:val="00C25EC8"/>
    <w:rsid w:val="00C26D5D"/>
    <w:rsid w:val="00C30BD2"/>
    <w:rsid w:val="00C30C58"/>
    <w:rsid w:val="00C327DF"/>
    <w:rsid w:val="00C35335"/>
    <w:rsid w:val="00C356B5"/>
    <w:rsid w:val="00C35ED8"/>
    <w:rsid w:val="00C40A6D"/>
    <w:rsid w:val="00C40FC2"/>
    <w:rsid w:val="00C41007"/>
    <w:rsid w:val="00C46B74"/>
    <w:rsid w:val="00C47C5C"/>
    <w:rsid w:val="00C50D29"/>
    <w:rsid w:val="00C53045"/>
    <w:rsid w:val="00C531EE"/>
    <w:rsid w:val="00C53DD1"/>
    <w:rsid w:val="00C554BF"/>
    <w:rsid w:val="00C61A6A"/>
    <w:rsid w:val="00C644E5"/>
    <w:rsid w:val="00C661FF"/>
    <w:rsid w:val="00C6659C"/>
    <w:rsid w:val="00C6704C"/>
    <w:rsid w:val="00C71C5A"/>
    <w:rsid w:val="00C7291B"/>
    <w:rsid w:val="00C72C02"/>
    <w:rsid w:val="00C747B4"/>
    <w:rsid w:val="00C74822"/>
    <w:rsid w:val="00C755E6"/>
    <w:rsid w:val="00C75A05"/>
    <w:rsid w:val="00C75D51"/>
    <w:rsid w:val="00C80082"/>
    <w:rsid w:val="00C803F9"/>
    <w:rsid w:val="00C822FF"/>
    <w:rsid w:val="00C82577"/>
    <w:rsid w:val="00C831B0"/>
    <w:rsid w:val="00C84837"/>
    <w:rsid w:val="00C86F29"/>
    <w:rsid w:val="00C904DD"/>
    <w:rsid w:val="00C90AF0"/>
    <w:rsid w:val="00C90DA2"/>
    <w:rsid w:val="00C91D01"/>
    <w:rsid w:val="00C92408"/>
    <w:rsid w:val="00C9325B"/>
    <w:rsid w:val="00C97496"/>
    <w:rsid w:val="00CA0A3C"/>
    <w:rsid w:val="00CA1727"/>
    <w:rsid w:val="00CA1DC7"/>
    <w:rsid w:val="00CA2F55"/>
    <w:rsid w:val="00CA3DAC"/>
    <w:rsid w:val="00CA4DCA"/>
    <w:rsid w:val="00CA4F7B"/>
    <w:rsid w:val="00CA5165"/>
    <w:rsid w:val="00CA5452"/>
    <w:rsid w:val="00CA65FD"/>
    <w:rsid w:val="00CA6974"/>
    <w:rsid w:val="00CA6E03"/>
    <w:rsid w:val="00CA6EF8"/>
    <w:rsid w:val="00CA77F7"/>
    <w:rsid w:val="00CB33EA"/>
    <w:rsid w:val="00CB369D"/>
    <w:rsid w:val="00CB3A69"/>
    <w:rsid w:val="00CB64BF"/>
    <w:rsid w:val="00CB6D3B"/>
    <w:rsid w:val="00CC01EA"/>
    <w:rsid w:val="00CC02E0"/>
    <w:rsid w:val="00CC10D9"/>
    <w:rsid w:val="00CC59DF"/>
    <w:rsid w:val="00CC70AF"/>
    <w:rsid w:val="00CD2DEE"/>
    <w:rsid w:val="00CD36F7"/>
    <w:rsid w:val="00CD4EFE"/>
    <w:rsid w:val="00CD500C"/>
    <w:rsid w:val="00CD711F"/>
    <w:rsid w:val="00CD78AE"/>
    <w:rsid w:val="00CE0329"/>
    <w:rsid w:val="00CE1BB9"/>
    <w:rsid w:val="00CE1C4E"/>
    <w:rsid w:val="00CE6608"/>
    <w:rsid w:val="00CF061E"/>
    <w:rsid w:val="00CF22B4"/>
    <w:rsid w:val="00CF23A2"/>
    <w:rsid w:val="00CF309A"/>
    <w:rsid w:val="00CF3260"/>
    <w:rsid w:val="00CF4EA0"/>
    <w:rsid w:val="00CF5D42"/>
    <w:rsid w:val="00CF7571"/>
    <w:rsid w:val="00D003E7"/>
    <w:rsid w:val="00D00F20"/>
    <w:rsid w:val="00D019C4"/>
    <w:rsid w:val="00D020E7"/>
    <w:rsid w:val="00D034AC"/>
    <w:rsid w:val="00D0500D"/>
    <w:rsid w:val="00D10233"/>
    <w:rsid w:val="00D10481"/>
    <w:rsid w:val="00D12C84"/>
    <w:rsid w:val="00D133A4"/>
    <w:rsid w:val="00D1655A"/>
    <w:rsid w:val="00D16DC1"/>
    <w:rsid w:val="00D17292"/>
    <w:rsid w:val="00D20A4E"/>
    <w:rsid w:val="00D227C8"/>
    <w:rsid w:val="00D242BA"/>
    <w:rsid w:val="00D25BB2"/>
    <w:rsid w:val="00D25FDD"/>
    <w:rsid w:val="00D265E6"/>
    <w:rsid w:val="00D271C7"/>
    <w:rsid w:val="00D33526"/>
    <w:rsid w:val="00D34AC4"/>
    <w:rsid w:val="00D34DCA"/>
    <w:rsid w:val="00D34E3B"/>
    <w:rsid w:val="00D35623"/>
    <w:rsid w:val="00D35654"/>
    <w:rsid w:val="00D35810"/>
    <w:rsid w:val="00D4030E"/>
    <w:rsid w:val="00D41A30"/>
    <w:rsid w:val="00D41CFD"/>
    <w:rsid w:val="00D45043"/>
    <w:rsid w:val="00D45935"/>
    <w:rsid w:val="00D45B82"/>
    <w:rsid w:val="00D4611A"/>
    <w:rsid w:val="00D4729A"/>
    <w:rsid w:val="00D50FCA"/>
    <w:rsid w:val="00D53EC4"/>
    <w:rsid w:val="00D5414F"/>
    <w:rsid w:val="00D544DC"/>
    <w:rsid w:val="00D54B3A"/>
    <w:rsid w:val="00D54CEF"/>
    <w:rsid w:val="00D56603"/>
    <w:rsid w:val="00D611DE"/>
    <w:rsid w:val="00D629BF"/>
    <w:rsid w:val="00D7065F"/>
    <w:rsid w:val="00D722DD"/>
    <w:rsid w:val="00D72BA8"/>
    <w:rsid w:val="00D73D32"/>
    <w:rsid w:val="00D778B9"/>
    <w:rsid w:val="00D81960"/>
    <w:rsid w:val="00D853E9"/>
    <w:rsid w:val="00D8617E"/>
    <w:rsid w:val="00D87810"/>
    <w:rsid w:val="00D87996"/>
    <w:rsid w:val="00D87F19"/>
    <w:rsid w:val="00D907C0"/>
    <w:rsid w:val="00D9352D"/>
    <w:rsid w:val="00D935FA"/>
    <w:rsid w:val="00D943AC"/>
    <w:rsid w:val="00D94739"/>
    <w:rsid w:val="00D94F4C"/>
    <w:rsid w:val="00D959E9"/>
    <w:rsid w:val="00D96145"/>
    <w:rsid w:val="00D96DD6"/>
    <w:rsid w:val="00D9759C"/>
    <w:rsid w:val="00D979D9"/>
    <w:rsid w:val="00DA1048"/>
    <w:rsid w:val="00DA227B"/>
    <w:rsid w:val="00DA39C6"/>
    <w:rsid w:val="00DA3B32"/>
    <w:rsid w:val="00DA3B8F"/>
    <w:rsid w:val="00DA55DF"/>
    <w:rsid w:val="00DA6796"/>
    <w:rsid w:val="00DB0356"/>
    <w:rsid w:val="00DB0F04"/>
    <w:rsid w:val="00DB1108"/>
    <w:rsid w:val="00DB183C"/>
    <w:rsid w:val="00DB495C"/>
    <w:rsid w:val="00DC0A05"/>
    <w:rsid w:val="00DC1576"/>
    <w:rsid w:val="00DC2514"/>
    <w:rsid w:val="00DC7423"/>
    <w:rsid w:val="00DD13BC"/>
    <w:rsid w:val="00DD1490"/>
    <w:rsid w:val="00DD176F"/>
    <w:rsid w:val="00DD519B"/>
    <w:rsid w:val="00DD5630"/>
    <w:rsid w:val="00DD5B5B"/>
    <w:rsid w:val="00DD6DAD"/>
    <w:rsid w:val="00DD6FE4"/>
    <w:rsid w:val="00DD7D46"/>
    <w:rsid w:val="00DE1A43"/>
    <w:rsid w:val="00DE30C8"/>
    <w:rsid w:val="00DE3517"/>
    <w:rsid w:val="00DE4096"/>
    <w:rsid w:val="00DE4581"/>
    <w:rsid w:val="00DE465F"/>
    <w:rsid w:val="00DE4CDA"/>
    <w:rsid w:val="00DE52EE"/>
    <w:rsid w:val="00DE6AD8"/>
    <w:rsid w:val="00DF0DB2"/>
    <w:rsid w:val="00DF4EB5"/>
    <w:rsid w:val="00DF5EF8"/>
    <w:rsid w:val="00DF78F9"/>
    <w:rsid w:val="00E008AF"/>
    <w:rsid w:val="00E00D41"/>
    <w:rsid w:val="00E0161A"/>
    <w:rsid w:val="00E02F62"/>
    <w:rsid w:val="00E05A2E"/>
    <w:rsid w:val="00E064AC"/>
    <w:rsid w:val="00E06B1F"/>
    <w:rsid w:val="00E073FD"/>
    <w:rsid w:val="00E07B15"/>
    <w:rsid w:val="00E1012F"/>
    <w:rsid w:val="00E1026D"/>
    <w:rsid w:val="00E102E8"/>
    <w:rsid w:val="00E10B98"/>
    <w:rsid w:val="00E1283C"/>
    <w:rsid w:val="00E138BF"/>
    <w:rsid w:val="00E141C8"/>
    <w:rsid w:val="00E15567"/>
    <w:rsid w:val="00E1574A"/>
    <w:rsid w:val="00E17729"/>
    <w:rsid w:val="00E17880"/>
    <w:rsid w:val="00E209E0"/>
    <w:rsid w:val="00E24AF0"/>
    <w:rsid w:val="00E27173"/>
    <w:rsid w:val="00E30E83"/>
    <w:rsid w:val="00E376C9"/>
    <w:rsid w:val="00E422AF"/>
    <w:rsid w:val="00E44D5B"/>
    <w:rsid w:val="00E45445"/>
    <w:rsid w:val="00E458B2"/>
    <w:rsid w:val="00E45D86"/>
    <w:rsid w:val="00E4686B"/>
    <w:rsid w:val="00E50EAE"/>
    <w:rsid w:val="00E52A6A"/>
    <w:rsid w:val="00E5387E"/>
    <w:rsid w:val="00E538B0"/>
    <w:rsid w:val="00E53F55"/>
    <w:rsid w:val="00E54941"/>
    <w:rsid w:val="00E56C78"/>
    <w:rsid w:val="00E57490"/>
    <w:rsid w:val="00E57AC9"/>
    <w:rsid w:val="00E60333"/>
    <w:rsid w:val="00E64FB0"/>
    <w:rsid w:val="00E6711F"/>
    <w:rsid w:val="00E714DF"/>
    <w:rsid w:val="00E7227C"/>
    <w:rsid w:val="00E73094"/>
    <w:rsid w:val="00E7348E"/>
    <w:rsid w:val="00E73D6F"/>
    <w:rsid w:val="00E747EE"/>
    <w:rsid w:val="00E76155"/>
    <w:rsid w:val="00E76451"/>
    <w:rsid w:val="00E76CE9"/>
    <w:rsid w:val="00E80664"/>
    <w:rsid w:val="00E865CC"/>
    <w:rsid w:val="00E9063E"/>
    <w:rsid w:val="00E908CC"/>
    <w:rsid w:val="00E915B2"/>
    <w:rsid w:val="00E918D6"/>
    <w:rsid w:val="00E944F0"/>
    <w:rsid w:val="00E948C0"/>
    <w:rsid w:val="00E94A68"/>
    <w:rsid w:val="00E96216"/>
    <w:rsid w:val="00EA1EE0"/>
    <w:rsid w:val="00EA2088"/>
    <w:rsid w:val="00EA2BA6"/>
    <w:rsid w:val="00EA4E7C"/>
    <w:rsid w:val="00EA57D4"/>
    <w:rsid w:val="00EA5819"/>
    <w:rsid w:val="00EA772E"/>
    <w:rsid w:val="00EA7731"/>
    <w:rsid w:val="00EB00E5"/>
    <w:rsid w:val="00EB1628"/>
    <w:rsid w:val="00EB17A8"/>
    <w:rsid w:val="00EB3274"/>
    <w:rsid w:val="00EB4527"/>
    <w:rsid w:val="00EB5C46"/>
    <w:rsid w:val="00EC0273"/>
    <w:rsid w:val="00EC4840"/>
    <w:rsid w:val="00EC4E65"/>
    <w:rsid w:val="00EC7465"/>
    <w:rsid w:val="00ED0860"/>
    <w:rsid w:val="00ED140A"/>
    <w:rsid w:val="00ED201A"/>
    <w:rsid w:val="00ED209D"/>
    <w:rsid w:val="00ED2DAE"/>
    <w:rsid w:val="00ED44CF"/>
    <w:rsid w:val="00ED4908"/>
    <w:rsid w:val="00ED57F3"/>
    <w:rsid w:val="00ED6658"/>
    <w:rsid w:val="00ED7E87"/>
    <w:rsid w:val="00EE0ECD"/>
    <w:rsid w:val="00EE1D2A"/>
    <w:rsid w:val="00EE3397"/>
    <w:rsid w:val="00EE47BA"/>
    <w:rsid w:val="00EE486D"/>
    <w:rsid w:val="00EE516E"/>
    <w:rsid w:val="00EE66AB"/>
    <w:rsid w:val="00EE673A"/>
    <w:rsid w:val="00EF0DEE"/>
    <w:rsid w:val="00EF4150"/>
    <w:rsid w:val="00EF6FB1"/>
    <w:rsid w:val="00EF7D8B"/>
    <w:rsid w:val="00F00191"/>
    <w:rsid w:val="00F012E6"/>
    <w:rsid w:val="00F018D7"/>
    <w:rsid w:val="00F01F1E"/>
    <w:rsid w:val="00F032A7"/>
    <w:rsid w:val="00F03617"/>
    <w:rsid w:val="00F06B9D"/>
    <w:rsid w:val="00F07593"/>
    <w:rsid w:val="00F128A8"/>
    <w:rsid w:val="00F12E5D"/>
    <w:rsid w:val="00F13E10"/>
    <w:rsid w:val="00F17994"/>
    <w:rsid w:val="00F2609C"/>
    <w:rsid w:val="00F3288B"/>
    <w:rsid w:val="00F32B85"/>
    <w:rsid w:val="00F339E0"/>
    <w:rsid w:val="00F33CD8"/>
    <w:rsid w:val="00F358C2"/>
    <w:rsid w:val="00F362FE"/>
    <w:rsid w:val="00F40758"/>
    <w:rsid w:val="00F40B05"/>
    <w:rsid w:val="00F41DBC"/>
    <w:rsid w:val="00F429FD"/>
    <w:rsid w:val="00F45E14"/>
    <w:rsid w:val="00F477C5"/>
    <w:rsid w:val="00F538BE"/>
    <w:rsid w:val="00F5412E"/>
    <w:rsid w:val="00F54347"/>
    <w:rsid w:val="00F54395"/>
    <w:rsid w:val="00F54C26"/>
    <w:rsid w:val="00F55628"/>
    <w:rsid w:val="00F601F0"/>
    <w:rsid w:val="00F6084A"/>
    <w:rsid w:val="00F6102C"/>
    <w:rsid w:val="00F6144C"/>
    <w:rsid w:val="00F61867"/>
    <w:rsid w:val="00F61CE4"/>
    <w:rsid w:val="00F628DF"/>
    <w:rsid w:val="00F633BA"/>
    <w:rsid w:val="00F64906"/>
    <w:rsid w:val="00F64C45"/>
    <w:rsid w:val="00F65C80"/>
    <w:rsid w:val="00F67418"/>
    <w:rsid w:val="00F70685"/>
    <w:rsid w:val="00F71D65"/>
    <w:rsid w:val="00F80FBB"/>
    <w:rsid w:val="00F816EE"/>
    <w:rsid w:val="00F82947"/>
    <w:rsid w:val="00F90B67"/>
    <w:rsid w:val="00F90EC2"/>
    <w:rsid w:val="00F915CD"/>
    <w:rsid w:val="00F91EC4"/>
    <w:rsid w:val="00F943A2"/>
    <w:rsid w:val="00F946B7"/>
    <w:rsid w:val="00F9490A"/>
    <w:rsid w:val="00F95070"/>
    <w:rsid w:val="00FA085E"/>
    <w:rsid w:val="00FA13CC"/>
    <w:rsid w:val="00FA19CA"/>
    <w:rsid w:val="00FA4708"/>
    <w:rsid w:val="00FA6C78"/>
    <w:rsid w:val="00FA74A4"/>
    <w:rsid w:val="00FA756C"/>
    <w:rsid w:val="00FB199A"/>
    <w:rsid w:val="00FB29E7"/>
    <w:rsid w:val="00FB49DA"/>
    <w:rsid w:val="00FB5E39"/>
    <w:rsid w:val="00FB66C1"/>
    <w:rsid w:val="00FB7727"/>
    <w:rsid w:val="00FB7A95"/>
    <w:rsid w:val="00FC05B6"/>
    <w:rsid w:val="00FC1417"/>
    <w:rsid w:val="00FC422D"/>
    <w:rsid w:val="00FC46BF"/>
    <w:rsid w:val="00FC4FD7"/>
    <w:rsid w:val="00FC522D"/>
    <w:rsid w:val="00FC7E8B"/>
    <w:rsid w:val="00FD0403"/>
    <w:rsid w:val="00FD0A17"/>
    <w:rsid w:val="00FD0B1A"/>
    <w:rsid w:val="00FD45B3"/>
    <w:rsid w:val="00FD4EE3"/>
    <w:rsid w:val="00FD5013"/>
    <w:rsid w:val="00FD539A"/>
    <w:rsid w:val="00FE20EF"/>
    <w:rsid w:val="00FE2CF8"/>
    <w:rsid w:val="00FE2DAE"/>
    <w:rsid w:val="00FE4551"/>
    <w:rsid w:val="00FE457A"/>
    <w:rsid w:val="00FE4A53"/>
    <w:rsid w:val="00FF260B"/>
    <w:rsid w:val="00FF2970"/>
    <w:rsid w:val="00FF3168"/>
    <w:rsid w:val="00FF380A"/>
    <w:rsid w:val="00FF465A"/>
    <w:rsid w:val="00FF476D"/>
    <w:rsid w:val="00FF5AB5"/>
    <w:rsid w:val="00FF618D"/>
    <w:rsid w:val="00FF6A6E"/>
    <w:rsid w:val="00FF786A"/>
    <w:rsid w:val="00FF7B3E"/>
    <w:rsid w:val="0C07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Calibri" w:eastAsia="宋体" w:cs="Times New Roman"/>
      <w:kern w:val="0"/>
      <w:sz w:val="34"/>
      <w:szCs w:val="20"/>
      <w:lang w:val="en-US" w:eastAsia="zh-CN" w:bidi="ar-SA"/>
    </w:rPr>
  </w:style>
  <w:style w:type="paragraph" w:styleId="4">
    <w:name w:val="heading 2"/>
    <w:basedOn w:val="1"/>
    <w:next w:val="1"/>
    <w:link w:val="13"/>
    <w:qFormat/>
    <w:uiPriority w:val="9"/>
    <w:pPr>
      <w:spacing w:before="100" w:beforeAutospacing="1" w:after="100" w:afterAutospacing="1"/>
      <w:outlineLvl w:val="1"/>
    </w:pPr>
    <w:rPr>
      <w:rFonts w:ascii="Times New Roman" w:hAnsi="Times New Roman"/>
      <w:smallCaps/>
      <w:sz w:val="32"/>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99"/>
    <w:pPr>
      <w:ind w:firstLine="420" w:firstLineChars="200"/>
    </w:pPr>
    <w:rPr>
      <w:sz w:val="24"/>
    </w:rPr>
  </w:style>
  <w:style w:type="paragraph" w:styleId="3">
    <w:name w:val="Body Text Indent"/>
    <w:basedOn w:val="1"/>
    <w:link w:val="14"/>
    <w:semiHidden/>
    <w:unhideWhenUsed/>
    <w:uiPriority w:val="99"/>
    <w:pPr>
      <w:spacing w:after="120"/>
      <w:ind w:left="420" w:leftChars="200"/>
    </w:pPr>
  </w:style>
  <w:style w:type="paragraph" w:styleId="5">
    <w:name w:val="Date"/>
    <w:basedOn w:val="1"/>
    <w:next w:val="1"/>
    <w:link w:val="16"/>
    <w:semiHidden/>
    <w:unhideWhenUsed/>
    <w:uiPriority w:val="99"/>
    <w:pPr>
      <w:ind w:left="100" w:leftChars="2500"/>
    </w:pPr>
  </w:style>
  <w:style w:type="paragraph" w:styleId="6">
    <w:name w:val="Balloon Text"/>
    <w:basedOn w:val="1"/>
    <w:link w:val="19"/>
    <w:semiHidden/>
    <w:unhideWhenUsed/>
    <w:uiPriority w:val="99"/>
    <w:rPr>
      <w:sz w:val="18"/>
      <w:szCs w:val="18"/>
    </w:rPr>
  </w:style>
  <w:style w:type="paragraph" w:styleId="7">
    <w:name w:val="footer"/>
    <w:basedOn w:val="1"/>
    <w:link w:val="18"/>
    <w:qFormat/>
    <w:uiPriority w:val="99"/>
    <w:pPr>
      <w:tabs>
        <w:tab w:val="center" w:pos="4153"/>
        <w:tab w:val="right" w:pos="8306"/>
      </w:tabs>
    </w:pPr>
    <w:rPr>
      <w:rFonts w:hAnsiTheme="minorHAnsi" w:eastAsiaTheme="minorEastAsia" w:cstheme="minorBidi"/>
      <w:kern w:val="2"/>
      <w:sz w:val="18"/>
      <w:szCs w:val="22"/>
    </w:rPr>
  </w:style>
  <w:style w:type="paragraph" w:styleId="8">
    <w:name w:val="footnote text"/>
    <w:basedOn w:val="1"/>
    <w:link w:val="20"/>
    <w:qFormat/>
    <w:uiPriority w:val="0"/>
    <w:pPr>
      <w:autoSpaceDE/>
      <w:autoSpaceDN/>
      <w:snapToGrid w:val="0"/>
      <w:spacing w:line="420" w:lineRule="atLeast"/>
      <w:ind w:firstLine="454"/>
    </w:pPr>
    <w:rPr>
      <w:rFonts w:ascii="Times New Roman"/>
      <w:sz w:val="18"/>
    </w:rPr>
  </w:style>
  <w:style w:type="paragraph" w:styleId="9">
    <w:name w:val="Normal (Web)"/>
    <w:basedOn w:val="1"/>
    <w:unhideWhenUsed/>
    <w:qFormat/>
    <w:uiPriority w:val="99"/>
    <w:pPr>
      <w:widowControl/>
      <w:autoSpaceDE/>
      <w:autoSpaceDN/>
      <w:adjustRightInd/>
      <w:spacing w:before="100" w:beforeAutospacing="1" w:after="100" w:afterAutospacing="1"/>
      <w:textAlignment w:val="auto"/>
    </w:pPr>
    <w:rPr>
      <w:rFonts w:hAnsi="宋体" w:cs="宋体"/>
      <w:sz w:val="24"/>
      <w:szCs w:val="24"/>
    </w:rPr>
  </w:style>
  <w:style w:type="character" w:styleId="12">
    <w:name w:val="footnote reference"/>
    <w:qFormat/>
    <w:uiPriority w:val="0"/>
    <w:rPr>
      <w:vertAlign w:val="superscript"/>
    </w:rPr>
  </w:style>
  <w:style w:type="character" w:customStyle="1" w:styleId="13">
    <w:name w:val="标题 2 Char"/>
    <w:basedOn w:val="11"/>
    <w:link w:val="4"/>
    <w:qFormat/>
    <w:uiPriority w:val="9"/>
    <w:rPr>
      <w:rFonts w:ascii="Times New Roman" w:hAnsi="Times New Roman" w:eastAsia="宋体" w:cs="Times New Roman"/>
      <w:smallCaps/>
      <w:kern w:val="0"/>
      <w:sz w:val="32"/>
      <w:szCs w:val="28"/>
    </w:rPr>
  </w:style>
  <w:style w:type="character" w:customStyle="1" w:styleId="14">
    <w:name w:val="正文文本缩进 Char"/>
    <w:basedOn w:val="11"/>
    <w:link w:val="3"/>
    <w:semiHidden/>
    <w:uiPriority w:val="99"/>
    <w:rPr>
      <w:rFonts w:ascii="宋体" w:hAnsi="Calibri" w:eastAsia="宋体" w:cs="Times New Roman"/>
      <w:kern w:val="0"/>
      <w:sz w:val="34"/>
      <w:szCs w:val="20"/>
    </w:rPr>
  </w:style>
  <w:style w:type="character" w:customStyle="1" w:styleId="15">
    <w:name w:val="正文首行缩进 2 Char"/>
    <w:basedOn w:val="14"/>
    <w:link w:val="2"/>
    <w:uiPriority w:val="99"/>
    <w:rPr>
      <w:sz w:val="24"/>
    </w:rPr>
  </w:style>
  <w:style w:type="character" w:customStyle="1" w:styleId="16">
    <w:name w:val="日期 Char"/>
    <w:basedOn w:val="11"/>
    <w:link w:val="5"/>
    <w:semiHidden/>
    <w:uiPriority w:val="99"/>
    <w:rPr>
      <w:rFonts w:ascii="宋体" w:hAnsi="Calibri" w:eastAsia="宋体" w:cs="Times New Roman"/>
      <w:kern w:val="0"/>
      <w:sz w:val="34"/>
      <w:szCs w:val="20"/>
    </w:rPr>
  </w:style>
  <w:style w:type="character" w:customStyle="1" w:styleId="17">
    <w:name w:val="页脚 Char"/>
    <w:basedOn w:val="11"/>
    <w:link w:val="7"/>
    <w:qFormat/>
    <w:locked/>
    <w:uiPriority w:val="99"/>
    <w:rPr>
      <w:rFonts w:ascii="宋体"/>
      <w:sz w:val="18"/>
    </w:rPr>
  </w:style>
  <w:style w:type="character" w:customStyle="1" w:styleId="18">
    <w:name w:val="页脚 Char1"/>
    <w:basedOn w:val="11"/>
    <w:link w:val="7"/>
    <w:semiHidden/>
    <w:uiPriority w:val="99"/>
    <w:rPr>
      <w:rFonts w:ascii="宋体" w:hAnsi="Calibri" w:eastAsia="宋体" w:cs="Times New Roman"/>
      <w:kern w:val="0"/>
      <w:sz w:val="18"/>
      <w:szCs w:val="18"/>
    </w:rPr>
  </w:style>
  <w:style w:type="character" w:customStyle="1" w:styleId="19">
    <w:name w:val="批注框文本 Char"/>
    <w:basedOn w:val="11"/>
    <w:link w:val="6"/>
    <w:semiHidden/>
    <w:uiPriority w:val="99"/>
    <w:rPr>
      <w:rFonts w:ascii="宋体" w:hAnsi="Calibri" w:eastAsia="宋体" w:cs="Times New Roman"/>
      <w:kern w:val="0"/>
      <w:sz w:val="18"/>
      <w:szCs w:val="18"/>
    </w:rPr>
  </w:style>
  <w:style w:type="character" w:customStyle="1" w:styleId="20">
    <w:name w:val="脚注文本 Char"/>
    <w:basedOn w:val="11"/>
    <w:link w:val="8"/>
    <w:uiPriority w:val="0"/>
    <w:rPr>
      <w:rFonts w:ascii="Times New Roman" w:hAnsi="Calibri" w:eastAsia="宋体" w:cs="Times New Roman"/>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1710</Words>
  <Characters>9751</Characters>
  <Lines>81</Lines>
  <Paragraphs>22</Paragraphs>
  <TotalTime>1</TotalTime>
  <ScaleCrop>false</ScaleCrop>
  <LinksUpToDate>false</LinksUpToDate>
  <CharactersWithSpaces>11439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2020-12-31T06:02:00Z</dcterms:created>
  <dc:creator>侯裔</dc:creator>
  <cp:lastModifiedBy>Administrator</cp:lastModifiedBy>
  <dcterms:modified xsi:type="dcterms:W3CDTF">2020-12-31T07:43:47Z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