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0" w:leftChars="0" w:firstLine="0" w:firstLineChars="0"/>
        <w:jc w:val="both"/>
        <w:rPr>
          <w:rFonts w:hint="default" w:eastAsia="宋体"/>
          <w:b/>
          <w:bCs w:val="0"/>
          <w:color w:val="auto"/>
          <w:kern w:val="0"/>
          <w:sz w:val="24"/>
          <w:szCs w:val="24"/>
          <w:highlight w:val="none"/>
          <w:lang w:val="en-US" w:eastAsia="zh-CN"/>
        </w:rPr>
      </w:pPr>
      <w:bookmarkStart w:id="0" w:name="_Toc179632784"/>
      <w:bookmarkStart w:id="1" w:name="_Toc238552285"/>
      <w:bookmarkStart w:id="2" w:name="_Toc532459927"/>
      <w:bookmarkStart w:id="3" w:name="_Toc8643"/>
      <w:bookmarkStart w:id="4" w:name="_Toc458173725"/>
      <w:bookmarkStart w:id="5" w:name="_Toc276110587"/>
      <w:bookmarkStart w:id="6" w:name="_Toc238797644"/>
      <w:bookmarkStart w:id="7" w:name="_Toc12092"/>
    </w:p>
    <w:p>
      <w:pPr>
        <w:pStyle w:val="8"/>
        <w:ind w:firstLine="0"/>
        <w:jc w:val="center"/>
        <w:rPr>
          <w:b/>
          <w:bCs w:val="0"/>
          <w:color w:val="auto"/>
          <w:kern w:val="0"/>
          <w:sz w:val="24"/>
          <w:szCs w:val="24"/>
          <w:highlight w:val="none"/>
        </w:rPr>
      </w:pPr>
      <w:r>
        <w:rPr>
          <w:b/>
          <w:bCs w:val="0"/>
          <w:color w:val="auto"/>
          <w:kern w:val="0"/>
          <w:sz w:val="24"/>
          <w:szCs w:val="24"/>
          <w:highlight w:val="none"/>
        </w:rPr>
        <w:t>第二节  专用合同条款</w:t>
      </w:r>
    </w:p>
    <w:p>
      <w:pPr>
        <w:rPr>
          <w:rFonts w:ascii="Times New Roman"/>
          <w:b/>
          <w:bCs w:val="0"/>
          <w:color w:val="auto"/>
          <w:sz w:val="24"/>
          <w:szCs w:val="24"/>
          <w:highlight w:val="none"/>
        </w:rPr>
      </w:pPr>
    </w:p>
    <w:p>
      <w:pPr>
        <w:pStyle w:val="23"/>
        <w:rPr>
          <w:rFonts w:eastAsia="宋体" w:cs="Times New Roman"/>
          <w:b/>
          <w:bCs w:val="0"/>
          <w:color w:val="auto"/>
          <w:sz w:val="24"/>
          <w:szCs w:val="24"/>
          <w:highlight w:val="none"/>
        </w:rPr>
      </w:pPr>
      <w:bookmarkStart w:id="8" w:name="_Toc489977350"/>
      <w:bookmarkStart w:id="9" w:name="_Toc1449"/>
      <w:r>
        <w:rPr>
          <w:rFonts w:eastAsia="宋体" w:cs="Times New Roman"/>
          <w:b/>
          <w:bCs w:val="0"/>
          <w:color w:val="auto"/>
          <w:sz w:val="24"/>
          <w:szCs w:val="24"/>
          <w:highlight w:val="none"/>
        </w:rPr>
        <w:t>1．定义</w:t>
      </w:r>
      <w:bookmarkEnd w:id="8"/>
      <w:bookmarkEnd w:id="9"/>
    </w:p>
    <w:p>
      <w:pPr>
        <w:spacing w:line="360" w:lineRule="auto"/>
        <w:rPr>
          <w:rFonts w:ascii="Times New Roman"/>
          <w:b/>
          <w:bCs w:val="0"/>
          <w:color w:val="auto"/>
          <w:sz w:val="24"/>
          <w:szCs w:val="24"/>
          <w:highlight w:val="none"/>
          <w:u w:val="single"/>
        </w:rPr>
      </w:pPr>
      <w:r>
        <w:rPr>
          <w:rFonts w:ascii="Times New Roman"/>
          <w:b/>
          <w:bCs w:val="0"/>
          <w:color w:val="auto"/>
          <w:sz w:val="24"/>
          <w:szCs w:val="24"/>
          <w:highlight w:val="none"/>
        </w:rPr>
        <w:t>1.6 买方：贵州高速公路集团有限公司</w:t>
      </w:r>
    </w:p>
    <w:p>
      <w:pPr>
        <w:spacing w:line="360" w:lineRule="auto"/>
        <w:rPr>
          <w:rFonts w:ascii="Times New Roman"/>
          <w:b/>
          <w:bCs w:val="0"/>
          <w:color w:val="auto"/>
          <w:sz w:val="24"/>
          <w:szCs w:val="24"/>
          <w:highlight w:val="none"/>
        </w:rPr>
      </w:pPr>
      <w:r>
        <w:rPr>
          <w:rFonts w:ascii="Times New Roman"/>
          <w:b/>
          <w:bCs w:val="0"/>
          <w:color w:val="auto"/>
          <w:sz w:val="24"/>
          <w:szCs w:val="24"/>
          <w:highlight w:val="none"/>
        </w:rPr>
        <w:t>单位地址：贵阳市小河经济技术开发区三江口开发大道1号</w:t>
      </w:r>
    </w:p>
    <w:p>
      <w:pPr>
        <w:spacing w:line="360" w:lineRule="auto"/>
        <w:rPr>
          <w:rFonts w:ascii="Times New Roman"/>
          <w:b/>
          <w:bCs w:val="0"/>
          <w:color w:val="auto"/>
          <w:sz w:val="24"/>
          <w:szCs w:val="24"/>
          <w:highlight w:val="none"/>
        </w:rPr>
      </w:pPr>
      <w:r>
        <w:rPr>
          <w:rFonts w:ascii="Times New Roman"/>
          <w:b/>
          <w:bCs w:val="0"/>
          <w:color w:val="auto"/>
          <w:sz w:val="24"/>
          <w:szCs w:val="24"/>
          <w:highlight w:val="none"/>
        </w:rPr>
        <w:t>联系人：</w:t>
      </w:r>
      <w:r>
        <w:rPr>
          <w:rFonts w:ascii="Times New Roman"/>
          <w:b/>
          <w:bCs w:val="0"/>
          <w:color w:val="auto"/>
          <w:sz w:val="24"/>
          <w:szCs w:val="24"/>
          <w:highlight w:val="none"/>
          <w:u w:val="single"/>
        </w:rPr>
        <w:t xml:space="preserve">                        </w:t>
      </w:r>
    </w:p>
    <w:p>
      <w:pPr>
        <w:spacing w:line="360" w:lineRule="auto"/>
        <w:rPr>
          <w:rFonts w:ascii="Times New Roman"/>
          <w:b/>
          <w:bCs w:val="0"/>
          <w:color w:val="auto"/>
          <w:sz w:val="24"/>
          <w:szCs w:val="24"/>
          <w:highlight w:val="none"/>
        </w:rPr>
      </w:pPr>
      <w:r>
        <w:rPr>
          <w:rFonts w:ascii="Times New Roman"/>
          <w:b/>
          <w:bCs w:val="0"/>
          <w:color w:val="auto"/>
          <w:sz w:val="24"/>
          <w:szCs w:val="24"/>
          <w:highlight w:val="none"/>
        </w:rPr>
        <w:t>电话：</w:t>
      </w:r>
      <w:r>
        <w:rPr>
          <w:rFonts w:ascii="Times New Roman"/>
          <w:b/>
          <w:bCs w:val="0"/>
          <w:color w:val="auto"/>
          <w:sz w:val="24"/>
          <w:szCs w:val="24"/>
          <w:highlight w:val="none"/>
          <w:u w:val="single"/>
        </w:rPr>
        <w:t xml:space="preserve">                          </w:t>
      </w:r>
    </w:p>
    <w:p>
      <w:pPr>
        <w:spacing w:line="360" w:lineRule="auto"/>
        <w:rPr>
          <w:rFonts w:ascii="Times New Roman"/>
          <w:b/>
          <w:bCs w:val="0"/>
          <w:color w:val="auto"/>
          <w:sz w:val="24"/>
          <w:szCs w:val="24"/>
          <w:highlight w:val="none"/>
          <w:u w:val="single"/>
        </w:rPr>
      </w:pPr>
      <w:r>
        <w:rPr>
          <w:rFonts w:ascii="Times New Roman"/>
          <w:b/>
          <w:bCs w:val="0"/>
          <w:color w:val="auto"/>
          <w:sz w:val="24"/>
          <w:szCs w:val="24"/>
          <w:highlight w:val="none"/>
        </w:rPr>
        <w:t>电子邮箱地址：</w:t>
      </w:r>
      <w:r>
        <w:rPr>
          <w:rFonts w:ascii="Times New Roman"/>
          <w:b/>
          <w:bCs w:val="0"/>
          <w:color w:val="auto"/>
          <w:sz w:val="24"/>
          <w:szCs w:val="24"/>
          <w:highlight w:val="none"/>
          <w:u w:val="single"/>
        </w:rPr>
        <w:t xml:space="preserve">                  </w:t>
      </w:r>
    </w:p>
    <w:p>
      <w:pPr>
        <w:spacing w:line="360" w:lineRule="auto"/>
        <w:rPr>
          <w:rFonts w:ascii="Times New Roman"/>
          <w:b/>
          <w:bCs w:val="0"/>
          <w:color w:val="auto"/>
          <w:sz w:val="24"/>
          <w:szCs w:val="24"/>
          <w:highlight w:val="none"/>
          <w:u w:val="single"/>
        </w:rPr>
      </w:pPr>
      <w:r>
        <w:rPr>
          <w:rFonts w:ascii="Times New Roman"/>
          <w:b/>
          <w:bCs w:val="0"/>
          <w:color w:val="auto"/>
          <w:sz w:val="24"/>
          <w:szCs w:val="24"/>
          <w:highlight w:val="none"/>
        </w:rPr>
        <w:t>1.7卖方：</w:t>
      </w:r>
      <w:r>
        <w:rPr>
          <w:rFonts w:ascii="Times New Roman"/>
          <w:b/>
          <w:bCs w:val="0"/>
          <w:color w:val="auto"/>
          <w:sz w:val="24"/>
          <w:szCs w:val="24"/>
          <w:highlight w:val="none"/>
          <w:u w:val="single"/>
        </w:rPr>
        <w:t xml:space="preserve">                       </w:t>
      </w:r>
    </w:p>
    <w:p>
      <w:pPr>
        <w:spacing w:line="360" w:lineRule="auto"/>
        <w:rPr>
          <w:rFonts w:ascii="Times New Roman"/>
          <w:b/>
          <w:bCs w:val="0"/>
          <w:color w:val="auto"/>
          <w:sz w:val="24"/>
          <w:szCs w:val="24"/>
          <w:highlight w:val="none"/>
        </w:rPr>
      </w:pPr>
      <w:r>
        <w:rPr>
          <w:rFonts w:ascii="Times New Roman"/>
          <w:b/>
          <w:bCs w:val="0"/>
          <w:color w:val="auto"/>
          <w:sz w:val="24"/>
          <w:szCs w:val="24"/>
          <w:highlight w:val="none"/>
        </w:rPr>
        <w:t>单位地址：</w:t>
      </w:r>
      <w:r>
        <w:rPr>
          <w:rFonts w:ascii="Times New Roman"/>
          <w:b/>
          <w:bCs w:val="0"/>
          <w:color w:val="auto"/>
          <w:sz w:val="24"/>
          <w:szCs w:val="24"/>
          <w:highlight w:val="none"/>
          <w:u w:val="single"/>
        </w:rPr>
        <w:t xml:space="preserve">                      </w:t>
      </w:r>
    </w:p>
    <w:p>
      <w:pPr>
        <w:spacing w:line="360" w:lineRule="auto"/>
        <w:rPr>
          <w:rFonts w:ascii="Times New Roman"/>
          <w:b/>
          <w:bCs w:val="0"/>
          <w:color w:val="auto"/>
          <w:sz w:val="24"/>
          <w:szCs w:val="24"/>
          <w:highlight w:val="none"/>
        </w:rPr>
      </w:pPr>
      <w:r>
        <w:rPr>
          <w:rFonts w:ascii="Times New Roman"/>
          <w:b/>
          <w:bCs w:val="0"/>
          <w:color w:val="auto"/>
          <w:sz w:val="24"/>
          <w:szCs w:val="24"/>
          <w:highlight w:val="none"/>
        </w:rPr>
        <w:t>联系人：</w:t>
      </w:r>
      <w:r>
        <w:rPr>
          <w:rFonts w:ascii="Times New Roman"/>
          <w:b/>
          <w:bCs w:val="0"/>
          <w:color w:val="auto"/>
          <w:sz w:val="24"/>
          <w:szCs w:val="24"/>
          <w:highlight w:val="none"/>
          <w:u w:val="single"/>
        </w:rPr>
        <w:t xml:space="preserve">                        </w:t>
      </w:r>
    </w:p>
    <w:p>
      <w:pPr>
        <w:spacing w:line="360" w:lineRule="auto"/>
        <w:rPr>
          <w:rFonts w:ascii="Times New Roman"/>
          <w:b/>
          <w:bCs w:val="0"/>
          <w:color w:val="auto"/>
          <w:sz w:val="24"/>
          <w:szCs w:val="24"/>
          <w:highlight w:val="none"/>
        </w:rPr>
      </w:pPr>
      <w:r>
        <w:rPr>
          <w:rFonts w:ascii="Times New Roman"/>
          <w:b/>
          <w:bCs w:val="0"/>
          <w:color w:val="auto"/>
          <w:sz w:val="24"/>
          <w:szCs w:val="24"/>
          <w:highlight w:val="none"/>
        </w:rPr>
        <w:t>电话：</w:t>
      </w:r>
      <w:r>
        <w:rPr>
          <w:rFonts w:ascii="Times New Roman"/>
          <w:b/>
          <w:bCs w:val="0"/>
          <w:color w:val="auto"/>
          <w:sz w:val="24"/>
          <w:szCs w:val="24"/>
          <w:highlight w:val="none"/>
          <w:u w:val="single"/>
        </w:rPr>
        <w:t xml:space="preserve">                          </w:t>
      </w:r>
    </w:p>
    <w:p>
      <w:pPr>
        <w:spacing w:line="360" w:lineRule="auto"/>
        <w:rPr>
          <w:rFonts w:ascii="Times New Roman"/>
          <w:b/>
          <w:bCs w:val="0"/>
          <w:color w:val="auto"/>
          <w:sz w:val="24"/>
          <w:szCs w:val="24"/>
          <w:highlight w:val="none"/>
          <w:u w:val="single"/>
        </w:rPr>
      </w:pPr>
      <w:r>
        <w:rPr>
          <w:rFonts w:ascii="Times New Roman"/>
          <w:b/>
          <w:bCs w:val="0"/>
          <w:color w:val="auto"/>
          <w:sz w:val="24"/>
          <w:szCs w:val="24"/>
          <w:highlight w:val="none"/>
        </w:rPr>
        <w:t>电子邮箱地址：</w:t>
      </w:r>
      <w:r>
        <w:rPr>
          <w:rFonts w:ascii="Times New Roman"/>
          <w:b/>
          <w:bCs w:val="0"/>
          <w:color w:val="auto"/>
          <w:sz w:val="24"/>
          <w:szCs w:val="24"/>
          <w:highlight w:val="none"/>
          <w:u w:val="single"/>
        </w:rPr>
        <w:t xml:space="preserve">                  </w:t>
      </w:r>
    </w:p>
    <w:p>
      <w:pPr>
        <w:spacing w:line="360" w:lineRule="auto"/>
        <w:rPr>
          <w:rFonts w:ascii="Times New Roman"/>
          <w:b/>
          <w:bCs w:val="0"/>
          <w:color w:val="auto"/>
          <w:sz w:val="24"/>
          <w:szCs w:val="24"/>
          <w:highlight w:val="none"/>
        </w:rPr>
      </w:pPr>
      <w:r>
        <w:rPr>
          <w:rFonts w:ascii="Times New Roman"/>
          <w:b/>
          <w:bCs w:val="0"/>
          <w:color w:val="auto"/>
          <w:sz w:val="24"/>
          <w:szCs w:val="24"/>
          <w:highlight w:val="none"/>
        </w:rPr>
        <w:t xml:space="preserve">1.8 建设项目：               </w:t>
      </w:r>
    </w:p>
    <w:p>
      <w:pPr>
        <w:spacing w:line="360" w:lineRule="auto"/>
        <w:rPr>
          <w:rFonts w:ascii="Times New Roman"/>
          <w:b/>
          <w:bCs w:val="0"/>
          <w:color w:val="auto"/>
          <w:sz w:val="24"/>
          <w:szCs w:val="24"/>
          <w:highlight w:val="none"/>
        </w:rPr>
      </w:pPr>
      <w:r>
        <w:rPr>
          <w:rFonts w:ascii="Times New Roman"/>
          <w:b/>
          <w:bCs w:val="0"/>
          <w:color w:val="auto"/>
          <w:sz w:val="24"/>
          <w:szCs w:val="24"/>
          <w:highlight w:val="none"/>
        </w:rPr>
        <w:t>1.9监理单位：</w:t>
      </w:r>
      <w:r>
        <w:rPr>
          <w:rFonts w:hint="eastAsia" w:ascii="Times New Roman"/>
          <w:b/>
          <w:bCs w:val="0"/>
          <w:color w:val="auto"/>
          <w:sz w:val="24"/>
          <w:szCs w:val="24"/>
          <w:highlight w:val="none"/>
        </w:rPr>
        <w:t xml:space="preserve"> </w:t>
      </w:r>
    </w:p>
    <w:p>
      <w:pPr>
        <w:spacing w:line="360" w:lineRule="auto"/>
        <w:rPr>
          <w:rFonts w:ascii="Times New Roman"/>
          <w:b/>
          <w:bCs w:val="0"/>
          <w:color w:val="auto"/>
          <w:sz w:val="24"/>
          <w:szCs w:val="24"/>
          <w:highlight w:val="none"/>
          <w:u w:val="single"/>
        </w:rPr>
      </w:pPr>
      <w:r>
        <w:rPr>
          <w:rFonts w:ascii="Times New Roman"/>
          <w:b/>
          <w:bCs w:val="0"/>
          <w:color w:val="auto"/>
          <w:sz w:val="24"/>
          <w:szCs w:val="24"/>
          <w:highlight w:val="none"/>
        </w:rPr>
        <w:t>总监理工程师：</w:t>
      </w:r>
    </w:p>
    <w:p>
      <w:pPr>
        <w:spacing w:line="360" w:lineRule="auto"/>
        <w:rPr>
          <w:rFonts w:ascii="Times New Roman"/>
          <w:b/>
          <w:bCs w:val="0"/>
          <w:color w:val="auto"/>
          <w:sz w:val="24"/>
          <w:szCs w:val="24"/>
          <w:highlight w:val="none"/>
        </w:rPr>
      </w:pPr>
      <w:r>
        <w:rPr>
          <w:rFonts w:ascii="Times New Roman"/>
          <w:b/>
          <w:bCs w:val="0"/>
          <w:color w:val="auto"/>
          <w:sz w:val="24"/>
          <w:szCs w:val="24"/>
          <w:highlight w:val="none"/>
        </w:rPr>
        <w:t>单位地址：</w:t>
      </w:r>
      <w:r>
        <w:rPr>
          <w:rFonts w:ascii="Times New Roman"/>
          <w:b/>
          <w:bCs w:val="0"/>
          <w:color w:val="auto"/>
          <w:sz w:val="24"/>
          <w:szCs w:val="24"/>
          <w:highlight w:val="none"/>
          <w:u w:val="single"/>
        </w:rPr>
        <w:t xml:space="preserve">                        </w:t>
      </w:r>
    </w:p>
    <w:p>
      <w:pPr>
        <w:spacing w:line="360" w:lineRule="auto"/>
        <w:rPr>
          <w:rFonts w:ascii="Times New Roman"/>
          <w:b/>
          <w:bCs w:val="0"/>
          <w:color w:val="auto"/>
          <w:sz w:val="24"/>
          <w:szCs w:val="24"/>
          <w:highlight w:val="none"/>
        </w:rPr>
      </w:pPr>
      <w:r>
        <w:rPr>
          <w:rFonts w:ascii="Times New Roman"/>
          <w:b/>
          <w:bCs w:val="0"/>
          <w:color w:val="auto"/>
          <w:sz w:val="24"/>
          <w:szCs w:val="24"/>
          <w:highlight w:val="none"/>
        </w:rPr>
        <w:t>联系人：</w:t>
      </w:r>
      <w:r>
        <w:rPr>
          <w:rFonts w:ascii="Times New Roman"/>
          <w:b/>
          <w:bCs w:val="0"/>
          <w:color w:val="auto"/>
          <w:sz w:val="24"/>
          <w:szCs w:val="24"/>
          <w:highlight w:val="none"/>
          <w:u w:val="single"/>
        </w:rPr>
        <w:t xml:space="preserve">                          </w:t>
      </w:r>
    </w:p>
    <w:p>
      <w:pPr>
        <w:spacing w:line="360" w:lineRule="auto"/>
        <w:rPr>
          <w:rFonts w:ascii="Times New Roman"/>
          <w:b/>
          <w:bCs w:val="0"/>
          <w:color w:val="auto"/>
          <w:sz w:val="24"/>
          <w:szCs w:val="24"/>
          <w:highlight w:val="none"/>
        </w:rPr>
      </w:pPr>
      <w:r>
        <w:rPr>
          <w:rFonts w:ascii="Times New Roman"/>
          <w:b/>
          <w:bCs w:val="0"/>
          <w:color w:val="auto"/>
          <w:sz w:val="24"/>
          <w:szCs w:val="24"/>
          <w:highlight w:val="none"/>
        </w:rPr>
        <w:t>电话：</w:t>
      </w:r>
      <w:r>
        <w:rPr>
          <w:rFonts w:ascii="Times New Roman"/>
          <w:b/>
          <w:bCs w:val="0"/>
          <w:color w:val="auto"/>
          <w:sz w:val="24"/>
          <w:szCs w:val="24"/>
          <w:highlight w:val="none"/>
          <w:u w:val="single"/>
        </w:rPr>
        <w:t xml:space="preserve">                            </w:t>
      </w:r>
    </w:p>
    <w:p>
      <w:pPr>
        <w:spacing w:line="360" w:lineRule="auto"/>
        <w:rPr>
          <w:rFonts w:ascii="Times New Roman"/>
          <w:b/>
          <w:bCs w:val="0"/>
          <w:color w:val="auto"/>
          <w:sz w:val="24"/>
          <w:szCs w:val="24"/>
          <w:highlight w:val="none"/>
          <w:u w:val="single"/>
        </w:rPr>
      </w:pPr>
      <w:r>
        <w:rPr>
          <w:rFonts w:ascii="Times New Roman"/>
          <w:b/>
          <w:bCs w:val="0"/>
          <w:color w:val="auto"/>
          <w:sz w:val="24"/>
          <w:szCs w:val="24"/>
          <w:highlight w:val="none"/>
        </w:rPr>
        <w:t>电子邮箱地址：</w:t>
      </w:r>
      <w:r>
        <w:rPr>
          <w:rFonts w:ascii="Times New Roman"/>
          <w:b/>
          <w:bCs w:val="0"/>
          <w:color w:val="auto"/>
          <w:sz w:val="24"/>
          <w:szCs w:val="24"/>
          <w:highlight w:val="none"/>
          <w:u w:val="single"/>
        </w:rPr>
        <w:t xml:space="preserve">                    </w:t>
      </w:r>
    </w:p>
    <w:p>
      <w:pPr>
        <w:spacing w:line="360" w:lineRule="auto"/>
        <w:rPr>
          <w:rFonts w:ascii="Times New Roman"/>
          <w:b/>
          <w:bCs w:val="0"/>
          <w:color w:val="auto"/>
          <w:sz w:val="24"/>
          <w:szCs w:val="24"/>
          <w:highlight w:val="none"/>
          <w:u w:val="single"/>
        </w:rPr>
      </w:pPr>
      <w:r>
        <w:rPr>
          <w:rFonts w:ascii="Times New Roman"/>
          <w:b/>
          <w:bCs w:val="0"/>
          <w:color w:val="auto"/>
          <w:sz w:val="24"/>
          <w:szCs w:val="24"/>
          <w:highlight w:val="none"/>
        </w:rPr>
        <w:t>1.10管理公司：</w:t>
      </w:r>
      <w:r>
        <w:rPr>
          <w:rFonts w:hint="eastAsia" w:ascii="Times New Roman"/>
          <w:b/>
          <w:bCs w:val="0"/>
          <w:color w:val="auto"/>
          <w:sz w:val="24"/>
          <w:szCs w:val="24"/>
          <w:highlight w:val="none"/>
          <w:u w:val="single"/>
        </w:rPr>
        <w:t>贵州交通物流集团</w:t>
      </w:r>
      <w:r>
        <w:rPr>
          <w:rFonts w:ascii="Times New Roman"/>
          <w:b/>
          <w:bCs w:val="0"/>
          <w:color w:val="auto"/>
          <w:sz w:val="24"/>
          <w:szCs w:val="24"/>
          <w:highlight w:val="none"/>
          <w:u w:val="single"/>
        </w:rPr>
        <w:t>有限公司</w:t>
      </w:r>
    </w:p>
    <w:p>
      <w:pPr>
        <w:spacing w:line="360" w:lineRule="auto"/>
        <w:rPr>
          <w:rFonts w:ascii="Times New Roman"/>
          <w:b/>
          <w:bCs w:val="0"/>
          <w:color w:val="auto"/>
          <w:sz w:val="24"/>
          <w:szCs w:val="24"/>
          <w:highlight w:val="none"/>
          <w:u w:val="single"/>
        </w:rPr>
      </w:pPr>
      <w:r>
        <w:rPr>
          <w:rFonts w:ascii="Times New Roman"/>
          <w:b/>
          <w:bCs w:val="0"/>
          <w:color w:val="auto"/>
          <w:sz w:val="24"/>
          <w:szCs w:val="24"/>
          <w:highlight w:val="none"/>
        </w:rPr>
        <w:t>单位地址：</w:t>
      </w:r>
      <w:r>
        <w:rPr>
          <w:rFonts w:ascii="Times New Roman"/>
          <w:b/>
          <w:bCs w:val="0"/>
          <w:color w:val="auto"/>
          <w:sz w:val="24"/>
          <w:szCs w:val="24"/>
          <w:highlight w:val="none"/>
          <w:u w:val="single"/>
        </w:rPr>
        <w:t xml:space="preserve">                        </w:t>
      </w:r>
    </w:p>
    <w:p>
      <w:pPr>
        <w:spacing w:line="360" w:lineRule="auto"/>
        <w:rPr>
          <w:rFonts w:ascii="Times New Roman"/>
          <w:b/>
          <w:bCs w:val="0"/>
          <w:color w:val="auto"/>
          <w:sz w:val="24"/>
          <w:szCs w:val="24"/>
          <w:highlight w:val="none"/>
          <w:u w:val="single"/>
        </w:rPr>
      </w:pPr>
      <w:r>
        <w:rPr>
          <w:rFonts w:ascii="Times New Roman"/>
          <w:b/>
          <w:bCs w:val="0"/>
          <w:color w:val="auto"/>
          <w:sz w:val="24"/>
          <w:szCs w:val="24"/>
          <w:highlight w:val="none"/>
        </w:rPr>
        <w:t>联系人：</w:t>
      </w:r>
      <w:r>
        <w:rPr>
          <w:rFonts w:ascii="Times New Roman"/>
          <w:b/>
          <w:bCs w:val="0"/>
          <w:color w:val="auto"/>
          <w:sz w:val="24"/>
          <w:szCs w:val="24"/>
          <w:highlight w:val="none"/>
          <w:u w:val="single"/>
        </w:rPr>
        <w:t xml:space="preserve">                          </w:t>
      </w:r>
    </w:p>
    <w:p>
      <w:pPr>
        <w:spacing w:line="360" w:lineRule="auto"/>
        <w:rPr>
          <w:rFonts w:ascii="Times New Roman"/>
          <w:b/>
          <w:bCs w:val="0"/>
          <w:color w:val="auto"/>
          <w:sz w:val="24"/>
          <w:szCs w:val="24"/>
          <w:highlight w:val="none"/>
          <w:u w:val="single"/>
        </w:rPr>
      </w:pPr>
      <w:r>
        <w:rPr>
          <w:rFonts w:ascii="Times New Roman"/>
          <w:b/>
          <w:bCs w:val="0"/>
          <w:color w:val="auto"/>
          <w:sz w:val="24"/>
          <w:szCs w:val="24"/>
          <w:highlight w:val="none"/>
        </w:rPr>
        <w:t>电话：</w:t>
      </w:r>
      <w:r>
        <w:rPr>
          <w:rFonts w:ascii="Times New Roman"/>
          <w:b/>
          <w:bCs w:val="0"/>
          <w:color w:val="auto"/>
          <w:sz w:val="24"/>
          <w:szCs w:val="24"/>
          <w:highlight w:val="none"/>
          <w:u w:val="single"/>
        </w:rPr>
        <w:t xml:space="preserve">                            </w:t>
      </w:r>
    </w:p>
    <w:p>
      <w:pPr>
        <w:spacing w:line="360" w:lineRule="auto"/>
        <w:rPr>
          <w:rFonts w:ascii="Times New Roman"/>
          <w:b/>
          <w:bCs w:val="0"/>
          <w:color w:val="auto"/>
          <w:sz w:val="24"/>
          <w:szCs w:val="24"/>
          <w:highlight w:val="none"/>
          <w:u w:val="single"/>
        </w:rPr>
      </w:pPr>
      <w:r>
        <w:rPr>
          <w:rFonts w:ascii="Times New Roman"/>
          <w:b/>
          <w:bCs w:val="0"/>
          <w:color w:val="auto"/>
          <w:sz w:val="24"/>
          <w:szCs w:val="24"/>
          <w:highlight w:val="none"/>
        </w:rPr>
        <w:t>电子邮箱地址：</w:t>
      </w:r>
      <w:r>
        <w:rPr>
          <w:rFonts w:ascii="Times New Roman"/>
          <w:b/>
          <w:bCs w:val="0"/>
          <w:color w:val="auto"/>
          <w:sz w:val="24"/>
          <w:szCs w:val="24"/>
          <w:highlight w:val="none"/>
          <w:u w:val="single"/>
        </w:rPr>
        <w:t xml:space="preserve">                    </w:t>
      </w:r>
    </w:p>
    <w:p>
      <w:pPr>
        <w:spacing w:line="360" w:lineRule="auto"/>
        <w:rPr>
          <w:rFonts w:ascii="Times New Roman"/>
          <w:b/>
          <w:bCs w:val="0"/>
          <w:color w:val="auto"/>
          <w:sz w:val="24"/>
          <w:szCs w:val="24"/>
          <w:highlight w:val="none"/>
          <w:u w:val="single"/>
        </w:rPr>
      </w:pPr>
      <w:r>
        <w:rPr>
          <w:rFonts w:ascii="Times New Roman"/>
          <w:b/>
          <w:bCs w:val="0"/>
          <w:color w:val="auto"/>
          <w:sz w:val="24"/>
          <w:szCs w:val="24"/>
          <w:highlight w:val="none"/>
        </w:rPr>
        <w:t>1.11卖方代表：</w:t>
      </w:r>
      <w:r>
        <w:rPr>
          <w:rFonts w:ascii="Times New Roman"/>
          <w:b/>
          <w:bCs w:val="0"/>
          <w:color w:val="auto"/>
          <w:sz w:val="24"/>
          <w:szCs w:val="24"/>
          <w:highlight w:val="none"/>
          <w:u w:val="single"/>
        </w:rPr>
        <w:t xml:space="preserve">                           </w:t>
      </w:r>
    </w:p>
    <w:p>
      <w:pPr>
        <w:spacing w:line="360" w:lineRule="auto"/>
        <w:rPr>
          <w:rFonts w:ascii="Times New Roman"/>
          <w:b/>
          <w:bCs w:val="0"/>
          <w:color w:val="auto"/>
          <w:sz w:val="24"/>
          <w:szCs w:val="24"/>
          <w:highlight w:val="none"/>
        </w:rPr>
      </w:pPr>
      <w:r>
        <w:rPr>
          <w:rFonts w:ascii="Times New Roman"/>
          <w:b/>
          <w:bCs w:val="0"/>
          <w:color w:val="auto"/>
          <w:sz w:val="24"/>
          <w:szCs w:val="24"/>
          <w:highlight w:val="none"/>
        </w:rPr>
        <w:t>姓名：</w:t>
      </w:r>
      <w:r>
        <w:rPr>
          <w:rFonts w:ascii="Times New Roman"/>
          <w:b/>
          <w:bCs w:val="0"/>
          <w:color w:val="auto"/>
          <w:sz w:val="24"/>
          <w:szCs w:val="24"/>
          <w:highlight w:val="none"/>
          <w:u w:val="single"/>
        </w:rPr>
        <w:t xml:space="preserve">                                                  </w:t>
      </w:r>
      <w:r>
        <w:rPr>
          <w:rFonts w:ascii="Times New Roman"/>
          <w:b/>
          <w:bCs w:val="0"/>
          <w:color w:val="auto"/>
          <w:sz w:val="24"/>
          <w:szCs w:val="24"/>
          <w:highlight w:val="none"/>
        </w:rPr>
        <w:t xml:space="preserve"> </w:t>
      </w:r>
    </w:p>
    <w:p>
      <w:pPr>
        <w:spacing w:line="360" w:lineRule="auto"/>
        <w:rPr>
          <w:rFonts w:ascii="Times New Roman"/>
          <w:b/>
          <w:bCs w:val="0"/>
          <w:color w:val="auto"/>
          <w:sz w:val="24"/>
          <w:szCs w:val="24"/>
          <w:highlight w:val="none"/>
        </w:rPr>
      </w:pPr>
      <w:r>
        <w:rPr>
          <w:rFonts w:ascii="Times New Roman"/>
          <w:b/>
          <w:bCs w:val="0"/>
          <w:color w:val="auto"/>
          <w:sz w:val="24"/>
          <w:szCs w:val="24"/>
          <w:highlight w:val="none"/>
        </w:rPr>
        <w:t>电话：</w:t>
      </w:r>
      <w:r>
        <w:rPr>
          <w:rFonts w:ascii="Times New Roman"/>
          <w:b/>
          <w:bCs w:val="0"/>
          <w:color w:val="auto"/>
          <w:sz w:val="24"/>
          <w:szCs w:val="24"/>
          <w:highlight w:val="none"/>
          <w:u w:val="single"/>
        </w:rPr>
        <w:t xml:space="preserve">                                                  </w:t>
      </w:r>
    </w:p>
    <w:p>
      <w:pPr>
        <w:spacing w:line="360" w:lineRule="auto"/>
        <w:rPr>
          <w:rFonts w:ascii="Times New Roman"/>
          <w:b/>
          <w:bCs w:val="0"/>
          <w:color w:val="auto"/>
          <w:sz w:val="24"/>
          <w:szCs w:val="24"/>
          <w:highlight w:val="none"/>
          <w:u w:val="single"/>
        </w:rPr>
      </w:pPr>
      <w:r>
        <w:rPr>
          <w:rFonts w:ascii="Times New Roman"/>
          <w:b/>
          <w:bCs w:val="0"/>
          <w:color w:val="auto"/>
          <w:sz w:val="24"/>
          <w:szCs w:val="24"/>
          <w:highlight w:val="none"/>
        </w:rPr>
        <w:t>电子邮箱地址：</w:t>
      </w:r>
      <w:r>
        <w:rPr>
          <w:rFonts w:ascii="Times New Roman"/>
          <w:b/>
          <w:bCs w:val="0"/>
          <w:color w:val="auto"/>
          <w:sz w:val="24"/>
          <w:szCs w:val="24"/>
          <w:highlight w:val="none"/>
          <w:u w:val="single"/>
        </w:rPr>
        <w:t xml:space="preserve">                                           </w:t>
      </w:r>
    </w:p>
    <w:p>
      <w:pPr>
        <w:spacing w:line="360" w:lineRule="auto"/>
        <w:rPr>
          <w:rFonts w:ascii="Times New Roman"/>
          <w:b/>
          <w:bCs w:val="0"/>
          <w:color w:val="auto"/>
          <w:sz w:val="24"/>
          <w:szCs w:val="24"/>
          <w:highlight w:val="none"/>
        </w:rPr>
      </w:pPr>
      <w:r>
        <w:rPr>
          <w:rFonts w:ascii="Times New Roman"/>
          <w:b/>
          <w:bCs w:val="0"/>
          <w:color w:val="auto"/>
          <w:sz w:val="24"/>
          <w:szCs w:val="24"/>
          <w:highlight w:val="none"/>
        </w:rPr>
        <w:t>1.12 施工单位：</w:t>
      </w:r>
    </w:p>
    <w:p>
      <w:pPr>
        <w:spacing w:line="360" w:lineRule="auto"/>
        <w:rPr>
          <w:rFonts w:ascii="Times New Roman"/>
          <w:b/>
          <w:bCs w:val="0"/>
          <w:color w:val="auto"/>
          <w:sz w:val="24"/>
          <w:szCs w:val="24"/>
          <w:highlight w:val="none"/>
          <w:u w:val="single"/>
        </w:rPr>
      </w:pPr>
      <w:r>
        <w:rPr>
          <w:rFonts w:ascii="Times New Roman"/>
          <w:b/>
          <w:bCs w:val="0"/>
          <w:color w:val="auto"/>
          <w:sz w:val="24"/>
          <w:szCs w:val="24"/>
          <w:highlight w:val="none"/>
        </w:rPr>
        <w:t>单位地址：</w:t>
      </w:r>
      <w:r>
        <w:rPr>
          <w:rFonts w:ascii="Times New Roman"/>
          <w:b/>
          <w:bCs w:val="0"/>
          <w:color w:val="auto"/>
          <w:sz w:val="24"/>
          <w:szCs w:val="24"/>
          <w:highlight w:val="none"/>
          <w:u w:val="single"/>
        </w:rPr>
        <w:t xml:space="preserve">                      </w:t>
      </w:r>
    </w:p>
    <w:p>
      <w:pPr>
        <w:spacing w:line="360" w:lineRule="auto"/>
        <w:rPr>
          <w:rFonts w:ascii="Times New Roman"/>
          <w:b/>
          <w:bCs w:val="0"/>
          <w:color w:val="auto"/>
          <w:sz w:val="24"/>
          <w:szCs w:val="24"/>
          <w:highlight w:val="none"/>
        </w:rPr>
      </w:pPr>
      <w:r>
        <w:rPr>
          <w:rFonts w:ascii="Times New Roman"/>
          <w:b/>
          <w:bCs w:val="0"/>
          <w:color w:val="auto"/>
          <w:sz w:val="24"/>
          <w:szCs w:val="24"/>
          <w:highlight w:val="none"/>
        </w:rPr>
        <w:t>联系人：</w:t>
      </w:r>
      <w:r>
        <w:rPr>
          <w:rFonts w:ascii="Times New Roman"/>
          <w:b/>
          <w:bCs w:val="0"/>
          <w:color w:val="auto"/>
          <w:sz w:val="24"/>
          <w:szCs w:val="24"/>
          <w:highlight w:val="none"/>
          <w:u w:val="single"/>
        </w:rPr>
        <w:t xml:space="preserve">                        </w:t>
      </w:r>
    </w:p>
    <w:p>
      <w:pPr>
        <w:spacing w:line="360" w:lineRule="auto"/>
        <w:rPr>
          <w:rFonts w:ascii="Times New Roman"/>
          <w:b/>
          <w:bCs w:val="0"/>
          <w:color w:val="auto"/>
          <w:sz w:val="24"/>
          <w:szCs w:val="24"/>
          <w:highlight w:val="none"/>
        </w:rPr>
      </w:pPr>
      <w:r>
        <w:rPr>
          <w:rFonts w:ascii="Times New Roman"/>
          <w:b/>
          <w:bCs w:val="0"/>
          <w:color w:val="auto"/>
          <w:sz w:val="24"/>
          <w:szCs w:val="24"/>
          <w:highlight w:val="none"/>
        </w:rPr>
        <w:t>电话：</w:t>
      </w:r>
      <w:r>
        <w:rPr>
          <w:rFonts w:ascii="Times New Roman"/>
          <w:b/>
          <w:bCs w:val="0"/>
          <w:color w:val="auto"/>
          <w:sz w:val="24"/>
          <w:szCs w:val="24"/>
          <w:highlight w:val="none"/>
          <w:u w:val="single"/>
        </w:rPr>
        <w:t xml:space="preserve">                          </w:t>
      </w:r>
    </w:p>
    <w:p>
      <w:pPr>
        <w:spacing w:line="360" w:lineRule="auto"/>
        <w:rPr>
          <w:rFonts w:ascii="Times New Roman"/>
          <w:b/>
          <w:bCs w:val="0"/>
          <w:color w:val="auto"/>
          <w:sz w:val="24"/>
          <w:szCs w:val="24"/>
          <w:highlight w:val="none"/>
          <w:u w:val="single"/>
        </w:rPr>
      </w:pPr>
      <w:r>
        <w:rPr>
          <w:rFonts w:ascii="Times New Roman"/>
          <w:b/>
          <w:bCs w:val="0"/>
          <w:color w:val="auto"/>
          <w:sz w:val="24"/>
          <w:szCs w:val="24"/>
          <w:highlight w:val="none"/>
        </w:rPr>
        <w:t>电子邮箱地址：</w:t>
      </w:r>
      <w:r>
        <w:rPr>
          <w:rFonts w:ascii="Times New Roman"/>
          <w:b/>
          <w:bCs w:val="0"/>
          <w:color w:val="auto"/>
          <w:sz w:val="24"/>
          <w:szCs w:val="24"/>
          <w:highlight w:val="none"/>
          <w:u w:val="single"/>
        </w:rPr>
        <w:t xml:space="preserve">                  </w:t>
      </w:r>
    </w:p>
    <w:p>
      <w:pPr>
        <w:spacing w:line="360" w:lineRule="auto"/>
        <w:rPr>
          <w:rFonts w:ascii="Times New Roman"/>
          <w:b/>
          <w:bCs w:val="0"/>
          <w:color w:val="auto"/>
          <w:sz w:val="24"/>
          <w:szCs w:val="24"/>
          <w:highlight w:val="none"/>
        </w:rPr>
      </w:pPr>
      <w:r>
        <w:rPr>
          <w:rFonts w:ascii="Times New Roman"/>
          <w:b/>
          <w:bCs w:val="0"/>
          <w:color w:val="auto"/>
          <w:sz w:val="24"/>
          <w:szCs w:val="24"/>
          <w:highlight w:val="none"/>
        </w:rPr>
        <w:t>1.17 开工日期： 见投标须知前附表</w:t>
      </w:r>
    </w:p>
    <w:p>
      <w:pPr>
        <w:spacing w:line="360" w:lineRule="auto"/>
        <w:rPr>
          <w:rFonts w:ascii="Times New Roman"/>
          <w:b/>
          <w:bCs w:val="0"/>
          <w:color w:val="auto"/>
          <w:sz w:val="24"/>
          <w:szCs w:val="24"/>
          <w:highlight w:val="none"/>
        </w:rPr>
      </w:pPr>
      <w:r>
        <w:rPr>
          <w:rFonts w:ascii="Times New Roman"/>
          <w:b/>
          <w:bCs w:val="0"/>
          <w:color w:val="auto"/>
          <w:sz w:val="24"/>
          <w:szCs w:val="24"/>
          <w:highlight w:val="none"/>
        </w:rPr>
        <w:t>1.18 交工日期：见投标须知前附表</w:t>
      </w:r>
    </w:p>
    <w:p>
      <w:pPr>
        <w:widowControl/>
        <w:autoSpaceDE/>
        <w:autoSpaceDN/>
        <w:spacing w:line="300" w:lineRule="auto"/>
        <w:textAlignment w:val="auto"/>
        <w:rPr>
          <w:rFonts w:ascii="Times New Roman"/>
          <w:b/>
          <w:bCs w:val="0"/>
          <w:color w:val="auto"/>
          <w:sz w:val="24"/>
          <w:szCs w:val="24"/>
          <w:highlight w:val="none"/>
        </w:rPr>
      </w:pPr>
      <w:r>
        <w:rPr>
          <w:rFonts w:ascii="Times New Roman"/>
          <w:b/>
          <w:bCs w:val="0"/>
          <w:color w:val="auto"/>
          <w:sz w:val="24"/>
          <w:szCs w:val="24"/>
          <w:highlight w:val="none"/>
        </w:rPr>
        <w:t>1.20 质量保证期：满足国家相关法律法规规定。</w:t>
      </w:r>
    </w:p>
    <w:p>
      <w:pPr>
        <w:spacing w:before="156" w:beforeLines="50" w:after="156" w:afterLines="50"/>
        <w:rPr>
          <w:rFonts w:hint="eastAsia" w:ascii="Times New Roman" w:hAnsi="Times New Roman" w:eastAsia="宋体" w:cs="Times New Roman"/>
          <w:b/>
          <w:bCs w:val="0"/>
          <w:iCs/>
          <w:color w:val="auto"/>
          <w:kern w:val="2"/>
          <w:sz w:val="24"/>
          <w:szCs w:val="24"/>
          <w:highlight w:val="none"/>
        </w:rPr>
      </w:pPr>
      <w:r>
        <w:rPr>
          <w:rFonts w:hint="eastAsia" w:ascii="Times New Roman" w:hAnsi="Times New Roman" w:eastAsia="宋体" w:cs="Times New Roman"/>
          <w:b/>
          <w:bCs w:val="0"/>
          <w:iCs/>
          <w:color w:val="auto"/>
          <w:kern w:val="2"/>
          <w:sz w:val="24"/>
          <w:szCs w:val="24"/>
          <w:highlight w:val="none"/>
        </w:rPr>
        <w:t>13.*装运与交货</w:t>
      </w:r>
    </w:p>
    <w:p>
      <w:pPr>
        <w:spacing w:before="156" w:beforeLines="50" w:after="156" w:afterLines="50"/>
        <w:ind w:firstLine="482" w:firstLineChars="200"/>
        <w:rPr>
          <w:rFonts w:hint="eastAsia" w:hAnsi="宋体" w:cs="宋体"/>
          <w:b/>
          <w:bCs w:val="0"/>
          <w:color w:val="auto"/>
          <w:sz w:val="24"/>
          <w:szCs w:val="24"/>
          <w:highlight w:val="none"/>
        </w:rPr>
      </w:pPr>
      <w:r>
        <w:rPr>
          <w:rFonts w:hint="eastAsia" w:hAnsi="宋体" w:cs="宋体"/>
          <w:b/>
          <w:bCs w:val="0"/>
          <w:color w:val="auto"/>
          <w:sz w:val="24"/>
          <w:szCs w:val="24"/>
          <w:highlight w:val="none"/>
        </w:rPr>
        <w:t>13.5卖方应按照“货物需求一览表” 规定的条件交货。卖方应</w:t>
      </w:r>
      <w:r>
        <w:rPr>
          <w:rFonts w:hint="eastAsia" w:hAnsi="宋体" w:cs="宋体"/>
          <w:b/>
          <w:bCs w:val="0"/>
          <w:color w:val="auto"/>
          <w:sz w:val="24"/>
          <w:szCs w:val="24"/>
          <w:highlight w:val="none"/>
          <w:lang w:eastAsia="zh-CN"/>
        </w:rPr>
        <w:t>按</w:t>
      </w:r>
      <w:r>
        <w:rPr>
          <w:rFonts w:hint="eastAsia" w:hAnsi="宋体" w:cs="宋体"/>
          <w:b/>
          <w:bCs w:val="0"/>
          <w:color w:val="auto"/>
          <w:sz w:val="24"/>
          <w:szCs w:val="24"/>
          <w:highlight w:val="none"/>
        </w:rPr>
        <w:t>本合同招标文件《</w:t>
      </w:r>
      <w:r>
        <w:rPr>
          <w:rFonts w:hint="eastAsia" w:hAnsi="宋体" w:cs="宋体"/>
          <w:b/>
          <w:bCs w:val="0"/>
          <w:color w:val="auto"/>
          <w:sz w:val="24"/>
          <w:szCs w:val="24"/>
          <w:highlight w:val="none"/>
          <w:lang w:val="en-US" w:eastAsia="zh-CN"/>
        </w:rPr>
        <w:t>重遵高速公路甲供沥青管理单位管理职责</w:t>
      </w:r>
      <w:r>
        <w:rPr>
          <w:rFonts w:hint="eastAsia" w:hAnsi="宋体" w:cs="宋体"/>
          <w:b/>
          <w:bCs w:val="0"/>
          <w:color w:val="auto"/>
          <w:sz w:val="24"/>
          <w:szCs w:val="24"/>
          <w:highlight w:val="none"/>
        </w:rPr>
        <w:t>》中</w:t>
      </w:r>
      <w:r>
        <w:rPr>
          <w:rFonts w:hint="eastAsia" w:hAnsi="宋体" w:cs="宋体"/>
          <w:b/>
          <w:bCs w:val="0"/>
          <w:color w:val="auto"/>
          <w:sz w:val="24"/>
          <w:szCs w:val="24"/>
          <w:highlight w:val="none"/>
          <w:lang w:eastAsia="zh-CN"/>
        </w:rPr>
        <w:t>相关规定执行</w:t>
      </w:r>
      <w:r>
        <w:rPr>
          <w:rFonts w:hint="eastAsia" w:hAnsi="宋体" w:cs="宋体"/>
          <w:b/>
          <w:bCs w:val="0"/>
          <w:color w:val="auto"/>
          <w:sz w:val="24"/>
          <w:szCs w:val="24"/>
          <w:highlight w:val="none"/>
        </w:rPr>
        <w:t>。</w:t>
      </w:r>
    </w:p>
    <w:p>
      <w:pPr>
        <w:spacing w:before="156" w:beforeLines="50" w:after="156" w:afterLines="50"/>
        <w:ind w:firstLine="482" w:firstLineChars="200"/>
        <w:rPr>
          <w:rFonts w:hint="eastAsia" w:hAnsi="宋体" w:cs="宋体"/>
          <w:b/>
          <w:bCs w:val="0"/>
          <w:color w:val="auto"/>
          <w:sz w:val="24"/>
          <w:szCs w:val="24"/>
          <w:highlight w:val="none"/>
          <w:lang w:eastAsia="zh-CN"/>
        </w:rPr>
      </w:pPr>
      <w:r>
        <w:rPr>
          <w:rFonts w:hint="eastAsia" w:hAnsi="宋体" w:cs="宋体"/>
          <w:b/>
          <w:bCs w:val="0"/>
          <w:color w:val="auto"/>
          <w:sz w:val="24"/>
          <w:szCs w:val="24"/>
          <w:highlight w:val="none"/>
          <w:lang w:val="en-US" w:eastAsia="zh-CN"/>
        </w:rPr>
        <w:t>13.6</w:t>
      </w:r>
      <w:r>
        <w:rPr>
          <w:rFonts w:hint="eastAsia" w:hAnsi="宋体" w:cs="宋体"/>
          <w:b/>
          <w:bCs w:val="0"/>
          <w:color w:val="auto"/>
          <w:sz w:val="24"/>
          <w:szCs w:val="24"/>
          <w:highlight w:val="none"/>
        </w:rPr>
        <w:t>交货数量验收按招标文件《贵州交通物流集团有限公司甲供材料管理办法（试行）》相关规定</w:t>
      </w:r>
      <w:r>
        <w:rPr>
          <w:rFonts w:hint="eastAsia" w:hAnsi="宋体" w:cs="宋体"/>
          <w:b/>
          <w:bCs w:val="0"/>
          <w:color w:val="auto"/>
          <w:sz w:val="24"/>
          <w:szCs w:val="24"/>
          <w:highlight w:val="none"/>
          <w:lang w:eastAsia="zh-CN"/>
        </w:rPr>
        <w:t>执行。</w:t>
      </w:r>
    </w:p>
    <w:p>
      <w:pPr>
        <w:spacing w:before="156" w:beforeLines="50" w:after="156" w:afterLines="50"/>
        <w:ind w:firstLine="482" w:firstLineChars="200"/>
        <w:rPr>
          <w:rFonts w:hint="eastAsia" w:hAnsi="宋体" w:eastAsia="宋体" w:cs="宋体"/>
          <w:b/>
          <w:bCs w:val="0"/>
          <w:color w:val="auto"/>
          <w:sz w:val="24"/>
          <w:szCs w:val="24"/>
          <w:highlight w:val="none"/>
          <w:lang w:val="en-US" w:eastAsia="zh-CN"/>
        </w:rPr>
      </w:pPr>
      <w:r>
        <w:rPr>
          <w:rFonts w:hint="eastAsia" w:hAnsi="宋体" w:eastAsia="宋体" w:cs="宋体"/>
          <w:b/>
          <w:bCs w:val="0"/>
          <w:color w:val="auto"/>
          <w:sz w:val="24"/>
          <w:szCs w:val="24"/>
          <w:highlight w:val="none"/>
          <w:lang w:val="en-US" w:eastAsia="zh-CN"/>
        </w:rPr>
        <w:t>13.10卖方在工程施工现场交货时，应同时提供货物质量检验单、产品合格证等相关证明，若未提供施工单位有权拒收，并按该批货物总价值的20%进行罚款。</w:t>
      </w:r>
    </w:p>
    <w:p>
      <w:pPr>
        <w:spacing w:before="156" w:beforeLines="50" w:after="156" w:afterLines="50"/>
        <w:ind w:firstLine="482" w:firstLineChars="200"/>
        <w:rPr>
          <w:rFonts w:hint="eastAsia" w:hAnsi="宋体" w:eastAsia="宋体" w:cs="宋体"/>
          <w:b/>
          <w:bCs w:val="0"/>
          <w:color w:val="auto"/>
          <w:sz w:val="24"/>
          <w:szCs w:val="24"/>
          <w:highlight w:val="none"/>
          <w:lang w:val="en-US" w:eastAsia="zh-CN"/>
        </w:rPr>
      </w:pPr>
      <w:r>
        <w:rPr>
          <w:rFonts w:hint="eastAsia" w:hAnsi="宋体" w:eastAsia="宋体" w:cs="宋体"/>
          <w:b/>
          <w:bCs w:val="0"/>
          <w:color w:val="auto"/>
          <w:sz w:val="24"/>
          <w:szCs w:val="24"/>
          <w:highlight w:val="none"/>
          <w:lang w:val="en-US" w:eastAsia="zh-CN"/>
        </w:rPr>
        <w:t>13.11卖方在对供货时，因运输过程造假的（如质量、数量等），施工单位有权拒收，并按该批货物总价值的20%进行罚款。</w:t>
      </w:r>
    </w:p>
    <w:p>
      <w:pPr>
        <w:spacing w:before="156" w:beforeLines="50" w:after="156" w:afterLines="50"/>
        <w:ind w:firstLine="482" w:firstLineChars="200"/>
        <w:rPr>
          <w:rFonts w:hint="eastAsia" w:hAnsi="宋体" w:eastAsia="宋体" w:cs="宋体"/>
          <w:b/>
          <w:bCs w:val="0"/>
          <w:color w:val="auto"/>
          <w:sz w:val="24"/>
          <w:szCs w:val="24"/>
          <w:highlight w:val="none"/>
          <w:lang w:val="en-US" w:eastAsia="zh-CN"/>
        </w:rPr>
      </w:pPr>
      <w:r>
        <w:rPr>
          <w:rFonts w:hint="eastAsia" w:hAnsi="宋体" w:eastAsia="宋体" w:cs="宋体"/>
          <w:b/>
          <w:bCs w:val="0"/>
          <w:color w:val="auto"/>
          <w:sz w:val="24"/>
          <w:szCs w:val="24"/>
          <w:highlight w:val="none"/>
          <w:lang w:val="en-US" w:eastAsia="zh-CN"/>
        </w:rPr>
        <w:t>13.12货物到场必须满足基质沥青120℃～145℃和改性沥青155℃～185℃温度要求，否则施工单位有权拒收，并按该批货物总价值的20%进行罚款。</w:t>
      </w:r>
    </w:p>
    <w:p>
      <w:pPr>
        <w:spacing w:before="156" w:beforeLines="50" w:after="156" w:afterLines="50"/>
        <w:ind w:firstLine="482" w:firstLineChars="200"/>
        <w:rPr>
          <w:rFonts w:hint="eastAsia" w:hAnsi="宋体" w:eastAsia="宋体" w:cs="宋体"/>
          <w:b/>
          <w:bCs w:val="0"/>
          <w:color w:val="auto"/>
          <w:sz w:val="24"/>
          <w:szCs w:val="24"/>
          <w:highlight w:val="none"/>
          <w:lang w:val="en-US" w:eastAsia="zh-CN"/>
        </w:rPr>
      </w:pPr>
      <w:r>
        <w:rPr>
          <w:rFonts w:hint="eastAsia" w:hAnsi="宋体" w:eastAsia="宋体" w:cs="宋体"/>
          <w:b/>
          <w:bCs w:val="0"/>
          <w:color w:val="auto"/>
          <w:sz w:val="24"/>
          <w:szCs w:val="24"/>
          <w:highlight w:val="none"/>
          <w:lang w:val="en-US" w:eastAsia="zh-CN"/>
        </w:rPr>
        <w:t>13.13到达施工现场的沥青材料，经甲方组织抽检后，若检测不合格，按该批次货物总价值的20%进行罚款。</w:t>
      </w:r>
    </w:p>
    <w:p>
      <w:pPr>
        <w:spacing w:before="156" w:beforeLines="50" w:after="156" w:afterLines="50"/>
        <w:ind w:firstLine="482" w:firstLineChars="200"/>
        <w:rPr>
          <w:rFonts w:hint="eastAsia" w:hAnsi="宋体" w:eastAsia="宋体" w:cs="宋体"/>
          <w:b/>
          <w:bCs w:val="0"/>
          <w:color w:val="auto"/>
          <w:sz w:val="24"/>
          <w:szCs w:val="24"/>
          <w:highlight w:val="none"/>
          <w:lang w:val="en-US" w:eastAsia="zh-CN"/>
        </w:rPr>
      </w:pPr>
      <w:r>
        <w:rPr>
          <w:rFonts w:hint="eastAsia" w:hAnsi="宋体" w:eastAsia="宋体" w:cs="宋体"/>
          <w:b/>
          <w:bCs w:val="0"/>
          <w:color w:val="auto"/>
          <w:sz w:val="24"/>
          <w:szCs w:val="24"/>
          <w:highlight w:val="none"/>
          <w:lang w:val="en-US" w:eastAsia="zh-CN"/>
        </w:rPr>
        <w:t>13.14卖方应根据甲方提供的供货计划按时供货，若未按计划及时足量供货的，按计划量总价值的20%进行罚款。</w:t>
      </w:r>
    </w:p>
    <w:p>
      <w:pPr>
        <w:spacing w:before="156" w:beforeLines="50" w:after="156" w:afterLines="50"/>
        <w:rPr>
          <w:rFonts w:hint="eastAsia" w:hAnsi="宋体" w:cs="宋体"/>
          <w:b/>
          <w:bCs w:val="0"/>
          <w:color w:val="auto"/>
          <w:sz w:val="24"/>
          <w:szCs w:val="24"/>
          <w:highlight w:val="none"/>
        </w:rPr>
      </w:pPr>
      <w:r>
        <w:rPr>
          <w:rFonts w:hint="eastAsia" w:hAnsi="宋体" w:cs="宋体"/>
          <w:b/>
          <w:bCs w:val="0"/>
          <w:color w:val="auto"/>
          <w:sz w:val="24"/>
          <w:szCs w:val="24"/>
          <w:highlight w:val="none"/>
        </w:rPr>
        <w:t>14.*检验和检测</w:t>
      </w:r>
    </w:p>
    <w:p>
      <w:pPr>
        <w:spacing w:line="360" w:lineRule="exact"/>
        <w:ind w:firstLine="482" w:firstLineChars="200"/>
        <w:rPr>
          <w:rFonts w:hint="eastAsia" w:hAnsi="宋体" w:cs="宋体"/>
          <w:b/>
          <w:bCs w:val="0"/>
          <w:color w:val="auto"/>
          <w:sz w:val="24"/>
          <w:szCs w:val="24"/>
          <w:highlight w:val="none"/>
          <w:lang w:eastAsia="zh-CN"/>
        </w:rPr>
      </w:pPr>
      <w:r>
        <w:rPr>
          <w:rFonts w:hint="eastAsia" w:hAnsi="宋体" w:cs="宋体"/>
          <w:b/>
          <w:bCs w:val="0"/>
          <w:color w:val="auto"/>
          <w:sz w:val="24"/>
          <w:szCs w:val="24"/>
          <w:highlight w:val="none"/>
        </w:rPr>
        <w:t>14.3如果监理工程师认为必要，可要求卖方执行合同中没有说明的检测或检查，由此发生的费用</w:t>
      </w:r>
      <w:r>
        <w:rPr>
          <w:rFonts w:hint="eastAsia" w:hAnsi="宋体" w:cs="宋体"/>
          <w:b/>
          <w:bCs w:val="0"/>
          <w:color w:val="auto"/>
          <w:sz w:val="24"/>
          <w:szCs w:val="24"/>
          <w:highlight w:val="none"/>
          <w:lang w:eastAsia="zh-CN"/>
        </w:rPr>
        <w:t>由卖方在投标报价时综合考虑，并在相关子目单价中，费用不再另行增加。</w:t>
      </w:r>
    </w:p>
    <w:p>
      <w:pPr>
        <w:spacing w:line="360" w:lineRule="exact"/>
        <w:ind w:firstLine="482" w:firstLineChars="200"/>
        <w:rPr>
          <w:rFonts w:hint="eastAsia" w:hAnsi="宋体" w:eastAsia="宋体" w:cs="宋体"/>
          <w:b/>
          <w:bCs w:val="0"/>
          <w:color w:val="auto"/>
          <w:sz w:val="24"/>
          <w:szCs w:val="24"/>
          <w:highlight w:val="none"/>
          <w:lang w:val="en-US" w:eastAsia="zh-CN"/>
        </w:rPr>
      </w:pPr>
      <w:r>
        <w:rPr>
          <w:rFonts w:hint="eastAsia" w:hAnsi="宋体" w:cs="宋体"/>
          <w:b/>
          <w:bCs w:val="0"/>
          <w:color w:val="auto"/>
          <w:sz w:val="24"/>
          <w:szCs w:val="24"/>
          <w:highlight w:val="none"/>
          <w:lang w:val="en-US" w:eastAsia="zh-CN"/>
        </w:rPr>
        <w:t>14.10卖方应</w:t>
      </w:r>
      <w:r>
        <w:rPr>
          <w:rFonts w:hint="eastAsia" w:hAnsi="宋体" w:eastAsia="宋体" w:cs="宋体"/>
          <w:b/>
          <w:bCs w:val="0"/>
          <w:color w:val="auto"/>
          <w:sz w:val="24"/>
          <w:szCs w:val="24"/>
          <w:highlight w:val="none"/>
          <w:lang w:val="en-US" w:eastAsia="zh-CN"/>
        </w:rPr>
        <w:t>服从甲方组织定期或不定期在源头和过程中对沥青材料的抽检，若抽检不合格的，严禁在本项目使用。</w:t>
      </w:r>
    </w:p>
    <w:p>
      <w:pPr>
        <w:spacing w:line="360" w:lineRule="exact"/>
        <w:ind w:firstLine="482" w:firstLineChars="200"/>
        <w:rPr>
          <w:rFonts w:hint="default" w:hAnsi="宋体" w:eastAsia="宋体" w:cs="宋体"/>
          <w:b/>
          <w:bCs w:val="0"/>
          <w:color w:val="auto"/>
          <w:sz w:val="24"/>
          <w:szCs w:val="24"/>
          <w:highlight w:val="none"/>
          <w:lang w:val="en-US" w:eastAsia="zh-CN"/>
        </w:rPr>
      </w:pPr>
      <w:r>
        <w:rPr>
          <w:rFonts w:hint="eastAsia" w:hAnsi="宋体" w:eastAsia="宋体" w:cs="宋体"/>
          <w:b/>
          <w:bCs w:val="0"/>
          <w:color w:val="auto"/>
          <w:sz w:val="24"/>
          <w:szCs w:val="24"/>
          <w:highlight w:val="none"/>
          <w:lang w:val="en-US" w:eastAsia="zh-CN"/>
        </w:rPr>
        <w:t>14.11</w:t>
      </w:r>
      <w:r>
        <w:rPr>
          <w:rFonts w:hint="eastAsia" w:hAnsi="宋体" w:cs="宋体"/>
          <w:b/>
          <w:bCs w:val="0"/>
          <w:color w:val="auto"/>
          <w:sz w:val="24"/>
          <w:szCs w:val="24"/>
          <w:highlight w:val="none"/>
          <w:lang w:val="en-US" w:eastAsia="zh-CN"/>
        </w:rPr>
        <w:t>卖方应</w:t>
      </w:r>
      <w:r>
        <w:rPr>
          <w:rFonts w:hint="eastAsia" w:hAnsi="宋体" w:eastAsia="宋体" w:cs="宋体"/>
          <w:b/>
          <w:bCs w:val="0"/>
          <w:color w:val="auto"/>
          <w:sz w:val="24"/>
          <w:szCs w:val="24"/>
          <w:highlight w:val="none"/>
          <w:lang w:val="en-US" w:eastAsia="zh-CN"/>
        </w:rPr>
        <w:t>服从甲方派驻现场质量监控人员所提出满足相关文件及规范要求的指标，否则处以1万元/次的违约金。</w:t>
      </w:r>
    </w:p>
    <w:p>
      <w:pPr>
        <w:spacing w:before="156" w:beforeLines="50" w:after="156" w:afterLines="50"/>
        <w:rPr>
          <w:rFonts w:hint="eastAsia" w:hAnsi="宋体" w:cs="宋体"/>
          <w:b/>
          <w:bCs w:val="0"/>
          <w:color w:val="auto"/>
          <w:sz w:val="24"/>
          <w:szCs w:val="24"/>
          <w:highlight w:val="none"/>
          <w:lang w:eastAsia="zh-CN"/>
        </w:rPr>
      </w:pPr>
      <w:r>
        <w:rPr>
          <w:rFonts w:hint="eastAsia" w:hAnsi="宋体" w:cs="宋体"/>
          <w:b/>
          <w:bCs w:val="0"/>
          <w:color w:val="auto"/>
          <w:sz w:val="24"/>
          <w:szCs w:val="24"/>
          <w:highlight w:val="none"/>
        </w:rPr>
        <w:t>16.*质量与责任</w:t>
      </w:r>
    </w:p>
    <w:p>
      <w:pPr>
        <w:spacing w:before="156" w:beforeLines="50" w:after="156" w:afterLines="50"/>
        <w:ind w:firstLine="482" w:firstLineChars="200"/>
        <w:rPr>
          <w:rFonts w:hint="eastAsia" w:hAnsi="宋体" w:cs="宋体"/>
          <w:b/>
          <w:bCs w:val="0"/>
          <w:color w:val="auto"/>
          <w:sz w:val="24"/>
          <w:szCs w:val="24"/>
          <w:highlight w:val="none"/>
          <w:lang w:eastAsia="zh-CN"/>
        </w:rPr>
      </w:pPr>
      <w:r>
        <w:rPr>
          <w:rFonts w:hint="eastAsia" w:hAnsi="宋体" w:eastAsia="宋体" w:cs="宋体"/>
          <w:b/>
          <w:bCs w:val="0"/>
          <w:color w:val="auto"/>
          <w:sz w:val="24"/>
          <w:szCs w:val="24"/>
          <w:highlight w:val="none"/>
          <w:lang w:val="en-US" w:eastAsia="zh-CN"/>
        </w:rPr>
        <w:t>16.6卖方在提供货物前，应明确沥青来源、品牌、规格以及存放地点，并按中标承诺的沥青品牌供货，严禁私自更换。否则将按弄虚作假处以不低于50万元/次的违约金。</w:t>
      </w:r>
    </w:p>
    <w:p>
      <w:pPr>
        <w:pStyle w:val="23"/>
        <w:keepNext w:val="0"/>
        <w:keepLines w:val="0"/>
        <w:widowControl/>
        <w:spacing w:before="0" w:line="300" w:lineRule="auto"/>
        <w:outlineLvl w:val="9"/>
        <w:rPr>
          <w:rFonts w:eastAsia="宋体" w:cs="Times New Roman"/>
          <w:b/>
          <w:bCs w:val="0"/>
          <w:color w:val="auto"/>
          <w:sz w:val="24"/>
          <w:szCs w:val="24"/>
          <w:highlight w:val="none"/>
        </w:rPr>
      </w:pPr>
      <w:bookmarkStart w:id="10" w:name="_Toc5935"/>
      <w:r>
        <w:rPr>
          <w:rFonts w:eastAsia="宋体" w:cs="Times New Roman"/>
          <w:b/>
          <w:bCs w:val="0"/>
          <w:color w:val="auto"/>
          <w:sz w:val="24"/>
          <w:szCs w:val="24"/>
          <w:highlight w:val="none"/>
        </w:rPr>
        <w:t>18.2．合同调差</w:t>
      </w:r>
      <w:bookmarkEnd w:id="10"/>
    </w:p>
    <w:p>
      <w:pPr>
        <w:spacing w:line="360" w:lineRule="exact"/>
        <w:rPr>
          <w:rFonts w:ascii="Times New Roman"/>
          <w:b/>
          <w:bCs w:val="0"/>
          <w:color w:val="auto"/>
          <w:sz w:val="24"/>
          <w:szCs w:val="24"/>
          <w:highlight w:val="none"/>
        </w:rPr>
      </w:pPr>
      <w:r>
        <w:rPr>
          <w:rFonts w:ascii="Times New Roman"/>
          <w:b/>
          <w:bCs w:val="0"/>
          <w:color w:val="auto"/>
          <w:sz w:val="24"/>
          <w:szCs w:val="24"/>
          <w:highlight w:val="none"/>
        </w:rPr>
        <w:t xml:space="preserve">   本次招标不考虑调价因素。在合同执行期间（包括工期拖延期间），由于人工、材料和设备价格的上涨而引起工程材料成本增加的风险由卖方自行承担，合同价格不会因此而调整。</w:t>
      </w:r>
    </w:p>
    <w:p>
      <w:pPr>
        <w:spacing w:line="360" w:lineRule="exact"/>
        <w:rPr>
          <w:rFonts w:ascii="Times New Roman"/>
          <w:b/>
          <w:bCs w:val="0"/>
          <w:color w:val="auto"/>
          <w:sz w:val="24"/>
          <w:szCs w:val="24"/>
          <w:highlight w:val="none"/>
        </w:rPr>
      </w:pPr>
    </w:p>
    <w:p>
      <w:pPr>
        <w:spacing w:line="360" w:lineRule="exact"/>
        <w:rPr>
          <w:rFonts w:hint="eastAsia" w:ascii="Times New Roman" w:eastAsia="宋体"/>
          <w:b/>
          <w:bCs w:val="0"/>
          <w:color w:val="auto"/>
          <w:sz w:val="24"/>
          <w:szCs w:val="24"/>
          <w:highlight w:val="none"/>
          <w:lang w:eastAsia="zh-CN"/>
        </w:rPr>
      </w:pPr>
      <w:r>
        <w:rPr>
          <w:rFonts w:ascii="Times New Roman"/>
          <w:b/>
          <w:bCs w:val="0"/>
          <w:color w:val="auto"/>
          <w:sz w:val="24"/>
          <w:szCs w:val="24"/>
          <w:highlight w:val="none"/>
        </w:rPr>
        <w:t>25.1争议的解决：买方卖方在履行合同时发生争议，可以和解或者申请有关主管部门调解。当事人不愿和解、调解或者和解、调解不成的，双方可以在合同专用条款资料表内约定</w:t>
      </w:r>
      <w:r>
        <w:rPr>
          <w:rFonts w:hint="eastAsia"/>
          <w:b/>
          <w:bCs w:val="0"/>
          <w:color w:val="auto"/>
          <w:sz w:val="24"/>
          <w:szCs w:val="24"/>
          <w:highlight w:val="none"/>
          <w:lang w:eastAsia="zh-CN"/>
        </w:rPr>
        <w:t>向工程所在地人民法院起诉。</w:t>
      </w:r>
    </w:p>
    <w:p>
      <w:pPr>
        <w:widowControl/>
        <w:autoSpaceDE/>
        <w:autoSpaceDN/>
        <w:spacing w:line="300" w:lineRule="auto"/>
        <w:textAlignment w:val="auto"/>
        <w:rPr>
          <w:rFonts w:ascii="Times New Roman"/>
          <w:b/>
          <w:bCs w:val="0"/>
          <w:color w:val="auto"/>
          <w:sz w:val="24"/>
          <w:szCs w:val="24"/>
          <w:highlight w:val="none"/>
        </w:rPr>
      </w:pPr>
      <w:r>
        <w:rPr>
          <w:rFonts w:ascii="Times New Roman"/>
          <w:b/>
          <w:bCs w:val="0"/>
          <w:color w:val="auto"/>
          <w:sz w:val="24"/>
          <w:szCs w:val="24"/>
          <w:highlight w:val="none"/>
        </w:rPr>
        <w:t>31.1质量保证期：满足国家相关法律法规规定。</w:t>
      </w:r>
    </w:p>
    <w:p>
      <w:pPr>
        <w:numPr>
          <w:ilvl w:val="0"/>
          <w:numId w:val="1"/>
        </w:numPr>
        <w:spacing w:before="156" w:beforeLines="50" w:after="156" w:afterLines="50"/>
        <w:rPr>
          <w:rFonts w:hint="eastAsia" w:hAnsi="宋体" w:cs="宋体"/>
          <w:b/>
          <w:bCs w:val="0"/>
          <w:color w:val="auto"/>
          <w:sz w:val="24"/>
          <w:szCs w:val="24"/>
          <w:highlight w:val="none"/>
        </w:rPr>
      </w:pPr>
      <w:r>
        <w:rPr>
          <w:rFonts w:hint="eastAsia" w:hAnsi="宋体" w:cs="宋体"/>
          <w:b/>
          <w:bCs w:val="0"/>
          <w:color w:val="auto"/>
          <w:sz w:val="24"/>
          <w:szCs w:val="24"/>
          <w:highlight w:val="none"/>
        </w:rPr>
        <w:t>*货款支付</w:t>
      </w:r>
    </w:p>
    <w:p>
      <w:pPr>
        <w:numPr>
          <w:ilvl w:val="0"/>
          <w:numId w:val="0"/>
        </w:numPr>
        <w:spacing w:before="156" w:beforeLines="50" w:after="156" w:afterLines="50"/>
        <w:rPr>
          <w:rFonts w:hint="default" w:hAnsi="宋体" w:cs="宋体"/>
          <w:b/>
          <w:bCs w:val="0"/>
          <w:color w:val="auto"/>
          <w:sz w:val="24"/>
          <w:szCs w:val="24"/>
          <w:highlight w:val="none"/>
          <w:lang w:val="en-US" w:eastAsia="zh-CN"/>
        </w:rPr>
      </w:pPr>
      <w:r>
        <w:rPr>
          <w:rFonts w:hint="eastAsia" w:hAnsi="宋体" w:cs="宋体"/>
          <w:b/>
          <w:bCs w:val="0"/>
          <w:color w:val="auto"/>
          <w:sz w:val="24"/>
          <w:szCs w:val="24"/>
          <w:highlight w:val="none"/>
          <w:lang w:val="en-US" w:eastAsia="zh-CN"/>
        </w:rPr>
        <w:t xml:space="preserve">  20.1</w:t>
      </w:r>
      <w:r>
        <w:rPr>
          <w:rFonts w:hint="eastAsia" w:hAnsi="宋体" w:cs="宋体"/>
          <w:b/>
          <w:bCs w:val="0"/>
          <w:color w:val="auto"/>
          <w:sz w:val="24"/>
          <w:szCs w:val="24"/>
          <w:highlight w:val="none"/>
        </w:rPr>
        <w:t>货款金额=交货货物单价×验收数量。</w:t>
      </w:r>
      <w:r>
        <w:rPr>
          <w:rFonts w:hint="eastAsia" w:hAnsi="宋体" w:cs="宋体"/>
          <w:b/>
          <w:bCs w:val="0"/>
          <w:color w:val="auto"/>
          <w:sz w:val="24"/>
          <w:szCs w:val="24"/>
          <w:highlight w:val="none"/>
          <w:lang w:eastAsia="zh-CN"/>
        </w:rPr>
        <w:t>实际</w:t>
      </w:r>
      <w:r>
        <w:rPr>
          <w:rFonts w:hint="eastAsia" w:hAnsi="宋体" w:cs="宋体"/>
          <w:b/>
          <w:bCs w:val="0"/>
          <w:color w:val="auto"/>
          <w:sz w:val="24"/>
          <w:szCs w:val="24"/>
          <w:highlight w:val="none"/>
          <w:lang w:val="en-US" w:eastAsia="zh-CN"/>
        </w:rPr>
        <w:t>支付金额为</w:t>
      </w:r>
      <w:r>
        <w:rPr>
          <w:rFonts w:hint="eastAsia" w:hAnsi="宋体" w:cs="宋体"/>
          <w:b/>
          <w:bCs w:val="0"/>
          <w:color w:val="auto"/>
          <w:sz w:val="24"/>
          <w:szCs w:val="24"/>
          <w:highlight w:val="none"/>
        </w:rPr>
        <w:t>货款金额</w:t>
      </w:r>
      <w:r>
        <w:rPr>
          <w:rFonts w:hint="eastAsia" w:hAnsi="宋体" w:cs="宋体"/>
          <w:b/>
          <w:bCs w:val="0"/>
          <w:color w:val="auto"/>
          <w:sz w:val="24"/>
          <w:szCs w:val="24"/>
          <w:highlight w:val="none"/>
          <w:lang w:val="en-US" w:eastAsia="zh-CN"/>
        </w:rPr>
        <w:t>的97%，3%作为质量保证金。</w:t>
      </w:r>
    </w:p>
    <w:p>
      <w:pPr>
        <w:spacing w:line="360" w:lineRule="exact"/>
        <w:rPr>
          <w:rFonts w:hint="eastAsia" w:hAnsi="宋体" w:cs="宋体"/>
          <w:b/>
          <w:bCs w:val="0"/>
          <w:color w:val="auto"/>
          <w:sz w:val="24"/>
          <w:szCs w:val="24"/>
          <w:highlight w:val="none"/>
        </w:rPr>
      </w:pPr>
      <w:r>
        <w:rPr>
          <w:rFonts w:hint="eastAsia" w:hAnsi="宋体" w:cs="宋体"/>
          <w:b/>
          <w:bCs w:val="0"/>
          <w:color w:val="auto"/>
          <w:sz w:val="24"/>
          <w:szCs w:val="24"/>
          <w:highlight w:val="none"/>
        </w:rPr>
        <w:t>20.2付款方式、期限及单据：</w:t>
      </w:r>
    </w:p>
    <w:p>
      <w:pPr>
        <w:numPr>
          <w:ilvl w:val="0"/>
          <w:numId w:val="2"/>
        </w:numPr>
        <w:spacing w:line="360" w:lineRule="exact"/>
        <w:ind w:firstLine="482" w:firstLineChars="200"/>
        <w:rPr>
          <w:rFonts w:hint="eastAsia" w:cs="Times New Roman"/>
          <w:b/>
          <w:bCs w:val="0"/>
          <w:color w:val="auto"/>
          <w:sz w:val="24"/>
          <w:szCs w:val="24"/>
          <w:highlight w:val="none"/>
          <w:lang w:val="en-US" w:eastAsia="zh-CN"/>
        </w:rPr>
      </w:pPr>
      <w:r>
        <w:rPr>
          <w:rFonts w:hint="eastAsia" w:cs="Times New Roman"/>
          <w:b/>
          <w:bCs w:val="0"/>
          <w:color w:val="auto"/>
          <w:sz w:val="24"/>
          <w:szCs w:val="24"/>
          <w:highlight w:val="none"/>
          <w:lang w:eastAsia="zh-CN"/>
        </w:rPr>
        <w:t>货物</w:t>
      </w:r>
      <w:r>
        <w:rPr>
          <w:rFonts w:hint="eastAsia" w:ascii="Times New Roman" w:hAnsi="Times New Roman" w:cs="Times New Roman"/>
          <w:b/>
          <w:bCs w:val="0"/>
          <w:color w:val="auto"/>
          <w:sz w:val="24"/>
          <w:szCs w:val="24"/>
          <w:highlight w:val="none"/>
        </w:rPr>
        <w:t>交货</w:t>
      </w:r>
      <w:r>
        <w:rPr>
          <w:rFonts w:hint="eastAsia" w:cs="Times New Roman"/>
          <w:b/>
          <w:bCs w:val="0"/>
          <w:color w:val="auto"/>
          <w:sz w:val="24"/>
          <w:szCs w:val="24"/>
          <w:highlight w:val="none"/>
          <w:lang w:eastAsia="zh-CN"/>
        </w:rPr>
        <w:t>后</w:t>
      </w:r>
      <w:r>
        <w:rPr>
          <w:rFonts w:hint="eastAsia" w:ascii="Times New Roman" w:hAnsi="Times New Roman" w:cs="Times New Roman"/>
          <w:b/>
          <w:bCs w:val="0"/>
          <w:color w:val="auto"/>
          <w:sz w:val="24"/>
          <w:szCs w:val="24"/>
          <w:highlight w:val="none"/>
        </w:rPr>
        <w:t>并经买方、管理公司、施工单位、监理方验收合格后确认的数量为货物的结算数量，每月</w:t>
      </w:r>
      <w:r>
        <w:rPr>
          <w:rFonts w:hint="eastAsia" w:cs="Times New Roman"/>
          <w:b/>
          <w:bCs w:val="0"/>
          <w:color w:val="auto"/>
          <w:sz w:val="24"/>
          <w:szCs w:val="24"/>
          <w:highlight w:val="none"/>
          <w:lang w:eastAsia="zh-CN"/>
        </w:rPr>
        <w:t>进行一次确认</w:t>
      </w:r>
      <w:r>
        <w:rPr>
          <w:rFonts w:hint="eastAsia" w:ascii="Times New Roman" w:hAnsi="Times New Roman" w:cs="Times New Roman"/>
          <w:b/>
          <w:bCs w:val="0"/>
          <w:color w:val="auto"/>
          <w:sz w:val="24"/>
          <w:szCs w:val="24"/>
          <w:highlight w:val="none"/>
        </w:rPr>
        <w:t>。</w:t>
      </w:r>
      <w:r>
        <w:rPr>
          <w:rFonts w:hint="eastAsia" w:cs="Times New Roman"/>
          <w:b/>
          <w:bCs w:val="0"/>
          <w:color w:val="auto"/>
          <w:sz w:val="24"/>
          <w:szCs w:val="24"/>
          <w:highlight w:val="none"/>
          <w:lang w:eastAsia="zh-CN"/>
        </w:rPr>
        <w:t>按确认后的货款金额在</w:t>
      </w:r>
      <w:r>
        <w:rPr>
          <w:rFonts w:hint="eastAsia" w:cs="Times New Roman"/>
          <w:b/>
          <w:bCs w:val="0"/>
          <w:color w:val="auto"/>
          <w:sz w:val="24"/>
          <w:szCs w:val="24"/>
          <w:highlight w:val="none"/>
          <w:lang w:val="en-US" w:eastAsia="zh-CN"/>
        </w:rPr>
        <w:t>90天内进行支付。</w:t>
      </w:r>
    </w:p>
    <w:p>
      <w:pPr>
        <w:numPr>
          <w:ilvl w:val="0"/>
          <w:numId w:val="2"/>
        </w:numPr>
        <w:spacing w:line="360" w:lineRule="exact"/>
        <w:ind w:firstLine="482" w:firstLineChars="200"/>
        <w:rPr>
          <w:rFonts w:hint="default" w:cs="Times New Roman"/>
          <w:b/>
          <w:bCs w:val="0"/>
          <w:color w:val="auto"/>
          <w:sz w:val="24"/>
          <w:szCs w:val="24"/>
          <w:highlight w:val="none"/>
          <w:lang w:val="en-US" w:eastAsia="zh-CN"/>
        </w:rPr>
      </w:pPr>
      <w:r>
        <w:rPr>
          <w:rFonts w:hint="eastAsia" w:cs="Times New Roman"/>
          <w:b/>
          <w:bCs w:val="0"/>
          <w:color w:val="auto"/>
          <w:sz w:val="24"/>
          <w:szCs w:val="24"/>
          <w:highlight w:val="none"/>
          <w:lang w:val="en-US" w:eastAsia="zh-CN"/>
        </w:rPr>
        <w:t>支付单据：出入库、运输及施工单位签收等单据，结算确认书。</w:t>
      </w:r>
    </w:p>
    <w:p>
      <w:pPr>
        <w:pStyle w:val="26"/>
        <w:jc w:val="left"/>
        <w:rPr>
          <w:rFonts w:hint="eastAsia" w:hAnsi="宋体" w:eastAsia="宋体" w:cs="宋体"/>
          <w:b/>
          <w:bCs w:val="0"/>
          <w:color w:val="auto"/>
          <w:sz w:val="24"/>
          <w:szCs w:val="24"/>
          <w:highlight w:val="none"/>
          <w:lang w:eastAsia="zh-CN"/>
        </w:rPr>
      </w:pPr>
      <w:r>
        <w:rPr>
          <w:rFonts w:hint="eastAsia" w:hAnsi="宋体" w:cs="宋体"/>
          <w:b/>
          <w:bCs w:val="0"/>
          <w:color w:val="auto"/>
          <w:sz w:val="24"/>
          <w:szCs w:val="24"/>
          <w:highlight w:val="none"/>
          <w:lang w:val="en-US" w:eastAsia="zh-CN"/>
        </w:rPr>
        <w:t xml:space="preserve">  </w:t>
      </w:r>
      <w:r>
        <w:rPr>
          <w:rFonts w:hint="eastAsia" w:hAnsi="宋体" w:cs="宋体"/>
          <w:b/>
          <w:bCs w:val="0"/>
          <w:color w:val="auto"/>
          <w:sz w:val="24"/>
          <w:szCs w:val="24"/>
          <w:highlight w:val="none"/>
        </w:rPr>
        <w:t>具体见招标文件</w:t>
      </w:r>
      <w:r>
        <w:rPr>
          <w:rFonts w:hint="eastAsia" w:cs="宋体"/>
          <w:b/>
          <w:bCs w:val="0"/>
          <w:color w:val="auto"/>
          <w:sz w:val="24"/>
          <w:szCs w:val="24"/>
          <w:highlight w:val="none"/>
          <w:lang w:eastAsia="zh-CN"/>
        </w:rPr>
        <w:t>附件</w:t>
      </w:r>
      <w:r>
        <w:rPr>
          <w:rFonts w:hint="eastAsia" w:hAnsi="宋体" w:cs="宋体"/>
          <w:b/>
          <w:bCs w:val="0"/>
          <w:color w:val="auto"/>
          <w:sz w:val="24"/>
          <w:szCs w:val="24"/>
          <w:highlight w:val="none"/>
        </w:rPr>
        <w:t>《</w:t>
      </w:r>
      <w:r>
        <w:rPr>
          <w:rFonts w:hint="eastAsia" w:ascii="Times New Roman" w:hAnsi="宋体" w:cs="宋体"/>
          <w:b/>
          <w:bCs w:val="0"/>
          <w:color w:val="auto"/>
          <w:sz w:val="24"/>
          <w:szCs w:val="24"/>
          <w:highlight w:val="none"/>
        </w:rPr>
        <w:t>兰海国家高速公路重庆至遵义段（贵州境）扩容工程甲供材料供应</w:t>
      </w:r>
      <w:r>
        <w:rPr>
          <w:rFonts w:hint="eastAsia" w:ascii="Times New Roman" w:hAnsi="宋体" w:cs="宋体"/>
          <w:b/>
          <w:bCs w:val="0"/>
          <w:color w:val="auto"/>
          <w:sz w:val="24"/>
          <w:szCs w:val="24"/>
          <w:highlight w:val="none"/>
          <w:lang w:eastAsia="zh-CN"/>
        </w:rPr>
        <w:t>管理</w:t>
      </w:r>
      <w:r>
        <w:rPr>
          <w:rFonts w:hint="eastAsia" w:ascii="Times New Roman" w:hAnsi="宋体" w:cs="宋体"/>
          <w:b/>
          <w:bCs w:val="0"/>
          <w:color w:val="auto"/>
          <w:sz w:val="24"/>
          <w:szCs w:val="24"/>
          <w:highlight w:val="none"/>
        </w:rPr>
        <w:t>办法</w:t>
      </w:r>
      <w:r>
        <w:rPr>
          <w:rFonts w:hint="eastAsia" w:ascii="Times New Roman" w:hAnsi="宋体" w:cs="宋体"/>
          <w:b/>
          <w:bCs w:val="0"/>
          <w:color w:val="auto"/>
          <w:sz w:val="24"/>
          <w:szCs w:val="24"/>
          <w:highlight w:val="none"/>
          <w:lang w:eastAsia="zh-CN"/>
        </w:rPr>
        <w:t>（供应商）</w:t>
      </w:r>
      <w:r>
        <w:rPr>
          <w:rFonts w:hint="eastAsia" w:hAnsi="宋体" w:cs="宋体"/>
          <w:b/>
          <w:bCs w:val="0"/>
          <w:color w:val="auto"/>
          <w:sz w:val="24"/>
          <w:szCs w:val="24"/>
          <w:highlight w:val="none"/>
        </w:rPr>
        <w:t>》的相关规定。</w:t>
      </w:r>
    </w:p>
    <w:p>
      <w:pPr>
        <w:spacing w:line="360" w:lineRule="exact"/>
        <w:ind w:firstLine="482" w:firstLineChars="200"/>
        <w:rPr>
          <w:rFonts w:hint="eastAsia" w:hAnsi="宋体" w:cs="宋体"/>
          <w:b/>
          <w:bCs w:val="0"/>
          <w:color w:val="auto"/>
          <w:sz w:val="24"/>
          <w:szCs w:val="24"/>
          <w:highlight w:val="none"/>
        </w:rPr>
      </w:pPr>
      <w:r>
        <w:rPr>
          <w:rFonts w:hint="eastAsia" w:hAnsi="宋体" w:cs="宋体"/>
          <w:b/>
          <w:bCs w:val="0"/>
          <w:color w:val="auto"/>
          <w:sz w:val="24"/>
          <w:szCs w:val="24"/>
          <w:highlight w:val="none"/>
        </w:rPr>
        <w:t>20.3除非双方另有协议，合同支付均按人民币进行支付、结算。</w:t>
      </w:r>
    </w:p>
    <w:p>
      <w:pPr>
        <w:numPr>
          <w:ilvl w:val="0"/>
          <w:numId w:val="0"/>
        </w:numPr>
        <w:spacing w:before="156" w:beforeLines="50" w:after="156" w:afterLines="50"/>
        <w:ind w:firstLine="482" w:firstLineChars="200"/>
        <w:rPr>
          <w:rFonts w:hint="default" w:hAnsi="宋体" w:cs="宋体"/>
          <w:b/>
          <w:bCs w:val="0"/>
          <w:color w:val="auto"/>
          <w:sz w:val="24"/>
          <w:szCs w:val="24"/>
          <w:highlight w:val="none"/>
          <w:lang w:val="en-US" w:eastAsia="zh-CN"/>
        </w:rPr>
      </w:pPr>
      <w:r>
        <w:rPr>
          <w:rFonts w:hint="eastAsia" w:hAnsi="宋体" w:cs="宋体"/>
          <w:b/>
          <w:bCs w:val="0"/>
          <w:color w:val="auto"/>
          <w:sz w:val="24"/>
          <w:szCs w:val="24"/>
          <w:highlight w:val="none"/>
        </w:rPr>
        <w:t>20.4质量保证期结束</w:t>
      </w:r>
      <w:r>
        <w:rPr>
          <w:rFonts w:hint="eastAsia" w:ascii="Times New Roman" w:hAnsi="Times New Roman" w:cs="Times New Roman"/>
          <w:b/>
          <w:bCs w:val="0"/>
          <w:color w:val="auto"/>
          <w:sz w:val="24"/>
          <w:szCs w:val="24"/>
          <w:highlight w:val="none"/>
        </w:rPr>
        <w:t>后余款支付：</w:t>
      </w:r>
      <w:r>
        <w:rPr>
          <w:rFonts w:hint="eastAsia" w:cs="Times New Roman"/>
          <w:b/>
          <w:bCs w:val="0"/>
          <w:color w:val="auto"/>
          <w:sz w:val="24"/>
          <w:szCs w:val="24"/>
          <w:highlight w:val="none"/>
          <w:lang w:eastAsia="zh-CN"/>
        </w:rPr>
        <w:t>项目</w:t>
      </w:r>
      <w:r>
        <w:rPr>
          <w:rFonts w:hint="eastAsia" w:ascii="Times New Roman" w:hAnsi="Times New Roman" w:cs="Times New Roman"/>
          <w:b/>
          <w:bCs w:val="0"/>
          <w:color w:val="auto"/>
          <w:sz w:val="24"/>
          <w:szCs w:val="24"/>
          <w:highlight w:val="none"/>
        </w:rPr>
        <w:t>路面</w:t>
      </w:r>
      <w:r>
        <w:rPr>
          <w:rFonts w:hint="eastAsia" w:cs="Times New Roman"/>
          <w:b/>
          <w:bCs w:val="0"/>
          <w:color w:val="auto"/>
          <w:sz w:val="24"/>
          <w:szCs w:val="24"/>
          <w:highlight w:val="none"/>
          <w:lang w:eastAsia="zh-CN"/>
        </w:rPr>
        <w:t>工程全部</w:t>
      </w:r>
      <w:r>
        <w:rPr>
          <w:rFonts w:hint="eastAsia" w:ascii="Times New Roman" w:hAnsi="Times New Roman" w:cs="Times New Roman"/>
          <w:b/>
          <w:bCs w:val="0"/>
          <w:color w:val="auto"/>
          <w:sz w:val="24"/>
          <w:szCs w:val="24"/>
          <w:highlight w:val="none"/>
        </w:rPr>
        <w:t>交工验收合格三个月后</w:t>
      </w:r>
      <w:r>
        <w:rPr>
          <w:rFonts w:hint="eastAsia" w:cs="Times New Roman"/>
          <w:b/>
          <w:bCs w:val="0"/>
          <w:color w:val="auto"/>
          <w:sz w:val="24"/>
          <w:szCs w:val="24"/>
          <w:highlight w:val="none"/>
          <w:lang w:eastAsia="zh-CN"/>
        </w:rPr>
        <w:t>，</w:t>
      </w:r>
      <w:r>
        <w:rPr>
          <w:rFonts w:hint="eastAsia" w:ascii="Times New Roman" w:hAnsi="Times New Roman" w:cs="Times New Roman"/>
          <w:b/>
          <w:bCs w:val="0"/>
          <w:color w:val="auto"/>
          <w:sz w:val="24"/>
          <w:szCs w:val="24"/>
          <w:highlight w:val="none"/>
        </w:rPr>
        <w:t>且在材料供应商与管理单位完成材料供应结算后，予以一次性返还。</w:t>
      </w:r>
    </w:p>
    <w:p>
      <w:pPr>
        <w:spacing w:before="156" w:beforeLines="50" w:after="156" w:afterLines="50"/>
        <w:rPr>
          <w:rFonts w:ascii="Times New Roman"/>
          <w:b/>
          <w:bCs w:val="0"/>
          <w:color w:val="auto"/>
          <w:sz w:val="24"/>
          <w:szCs w:val="24"/>
          <w:highlight w:val="none"/>
        </w:rPr>
      </w:pPr>
      <w:r>
        <w:rPr>
          <w:rFonts w:ascii="Times New Roman"/>
          <w:b/>
          <w:bCs w:val="0"/>
          <w:color w:val="auto"/>
          <w:sz w:val="24"/>
          <w:szCs w:val="24"/>
          <w:highlight w:val="none"/>
        </w:rPr>
        <w:t>35.补充条款</w:t>
      </w:r>
    </w:p>
    <w:p>
      <w:pPr>
        <w:widowControl/>
        <w:autoSpaceDE/>
        <w:autoSpaceDN/>
        <w:spacing w:line="360" w:lineRule="auto"/>
        <w:textAlignment w:val="auto"/>
        <w:rPr>
          <w:rFonts w:ascii="Times New Roman"/>
          <w:b/>
          <w:bCs w:val="0"/>
          <w:color w:val="auto"/>
          <w:sz w:val="24"/>
          <w:szCs w:val="24"/>
          <w:highlight w:val="none"/>
        </w:rPr>
      </w:pPr>
      <w:r>
        <w:rPr>
          <w:rFonts w:ascii="Times New Roman"/>
          <w:b/>
          <w:bCs w:val="0"/>
          <w:color w:val="auto"/>
          <w:sz w:val="24"/>
          <w:szCs w:val="24"/>
          <w:highlight w:val="none"/>
        </w:rPr>
        <w:t>35.</w:t>
      </w:r>
      <w:r>
        <w:rPr>
          <w:rFonts w:hint="eastAsia"/>
          <w:b/>
          <w:bCs w:val="0"/>
          <w:color w:val="auto"/>
          <w:sz w:val="24"/>
          <w:szCs w:val="24"/>
          <w:highlight w:val="none"/>
          <w:lang w:val="en-US" w:eastAsia="zh-CN"/>
        </w:rPr>
        <w:t>1</w:t>
      </w:r>
      <w:r>
        <w:rPr>
          <w:rFonts w:ascii="Times New Roman"/>
          <w:b/>
          <w:bCs w:val="0"/>
          <w:color w:val="auto"/>
          <w:sz w:val="24"/>
          <w:szCs w:val="24"/>
          <w:highlight w:val="none"/>
        </w:rPr>
        <w:t xml:space="preserve"> 伴随服务</w:t>
      </w:r>
    </w:p>
    <w:p>
      <w:pPr>
        <w:widowControl/>
        <w:autoSpaceDE/>
        <w:autoSpaceDN/>
        <w:spacing w:line="360" w:lineRule="auto"/>
        <w:ind w:firstLine="482" w:firstLineChars="200"/>
        <w:textAlignment w:val="auto"/>
        <w:rPr>
          <w:rFonts w:ascii="Times New Roman"/>
          <w:b/>
          <w:bCs w:val="0"/>
          <w:color w:val="auto"/>
          <w:sz w:val="24"/>
          <w:szCs w:val="24"/>
          <w:highlight w:val="none"/>
        </w:rPr>
      </w:pPr>
      <w:r>
        <w:rPr>
          <w:rFonts w:ascii="Times New Roman"/>
          <w:b/>
          <w:bCs w:val="0"/>
          <w:color w:val="auto"/>
          <w:sz w:val="24"/>
          <w:szCs w:val="24"/>
          <w:highlight w:val="none"/>
        </w:rPr>
        <w:t>卖方必须提供的伴随服务包括但不限于以下内容：</w:t>
      </w:r>
    </w:p>
    <w:p>
      <w:pPr>
        <w:widowControl/>
        <w:numPr>
          <w:ilvl w:val="0"/>
          <w:numId w:val="3"/>
        </w:numPr>
        <w:autoSpaceDE/>
        <w:autoSpaceDN/>
        <w:spacing w:line="360" w:lineRule="auto"/>
        <w:ind w:firstLine="482" w:firstLineChars="200"/>
        <w:textAlignment w:val="auto"/>
        <w:rPr>
          <w:rFonts w:ascii="Times New Roman"/>
          <w:b/>
          <w:bCs w:val="0"/>
          <w:color w:val="auto"/>
          <w:sz w:val="24"/>
          <w:szCs w:val="24"/>
          <w:highlight w:val="none"/>
        </w:rPr>
      </w:pPr>
      <w:r>
        <w:rPr>
          <w:rFonts w:ascii="Times New Roman"/>
          <w:b/>
          <w:bCs w:val="0"/>
          <w:color w:val="auto"/>
          <w:sz w:val="24"/>
          <w:szCs w:val="24"/>
          <w:highlight w:val="none"/>
        </w:rPr>
        <w:t>供应商应负责对买方的日常维护人员进行现场培训；</w:t>
      </w:r>
    </w:p>
    <w:p>
      <w:pPr>
        <w:widowControl/>
        <w:numPr>
          <w:ilvl w:val="0"/>
          <w:numId w:val="0"/>
        </w:numPr>
        <w:autoSpaceDE/>
        <w:autoSpaceDN/>
        <w:spacing w:line="360" w:lineRule="auto"/>
        <w:ind w:firstLine="482" w:firstLineChars="200"/>
        <w:textAlignment w:val="auto"/>
        <w:rPr>
          <w:rFonts w:ascii="Times New Roman"/>
          <w:b/>
          <w:bCs w:val="0"/>
          <w:color w:val="auto"/>
          <w:sz w:val="24"/>
          <w:szCs w:val="24"/>
          <w:highlight w:val="none"/>
        </w:rPr>
      </w:pPr>
      <w:r>
        <w:rPr>
          <w:rFonts w:ascii="Times New Roman"/>
          <w:b/>
          <w:bCs w:val="0"/>
          <w:color w:val="auto"/>
          <w:sz w:val="24"/>
          <w:szCs w:val="24"/>
          <w:highlight w:val="none"/>
        </w:rPr>
        <w:t>b. 其它售后服务。</w:t>
      </w:r>
    </w:p>
    <w:p>
      <w:pPr>
        <w:widowControl/>
        <w:autoSpaceDE/>
        <w:autoSpaceDN/>
        <w:spacing w:line="360" w:lineRule="auto"/>
        <w:textAlignment w:val="auto"/>
        <w:rPr>
          <w:rFonts w:ascii="Times New Roman"/>
          <w:b/>
          <w:bCs w:val="0"/>
          <w:color w:val="auto"/>
          <w:sz w:val="24"/>
          <w:szCs w:val="24"/>
          <w:highlight w:val="none"/>
        </w:rPr>
      </w:pPr>
      <w:r>
        <w:rPr>
          <w:rFonts w:ascii="Times New Roman"/>
          <w:b/>
          <w:bCs w:val="0"/>
          <w:color w:val="auto"/>
          <w:sz w:val="24"/>
          <w:szCs w:val="24"/>
          <w:highlight w:val="none"/>
        </w:rPr>
        <w:t>35.</w:t>
      </w:r>
      <w:r>
        <w:rPr>
          <w:rFonts w:hint="eastAsia"/>
          <w:b/>
          <w:bCs w:val="0"/>
          <w:color w:val="auto"/>
          <w:sz w:val="24"/>
          <w:szCs w:val="24"/>
          <w:highlight w:val="none"/>
          <w:lang w:val="en-US" w:eastAsia="zh-CN"/>
        </w:rPr>
        <w:t>2</w:t>
      </w:r>
      <w:r>
        <w:rPr>
          <w:rFonts w:ascii="Times New Roman"/>
          <w:b/>
          <w:bCs w:val="0"/>
          <w:color w:val="auto"/>
          <w:sz w:val="24"/>
          <w:szCs w:val="24"/>
          <w:highlight w:val="none"/>
        </w:rPr>
        <w:t xml:space="preserve"> 联络</w:t>
      </w:r>
    </w:p>
    <w:p>
      <w:pPr>
        <w:widowControl/>
        <w:autoSpaceDE/>
        <w:autoSpaceDN/>
        <w:spacing w:line="360" w:lineRule="auto"/>
        <w:ind w:firstLine="482" w:firstLineChars="200"/>
        <w:textAlignment w:val="auto"/>
        <w:rPr>
          <w:rFonts w:ascii="Times New Roman"/>
          <w:b/>
          <w:bCs w:val="0"/>
          <w:color w:val="auto"/>
          <w:sz w:val="24"/>
          <w:szCs w:val="24"/>
          <w:highlight w:val="none"/>
        </w:rPr>
      </w:pPr>
      <w:r>
        <w:rPr>
          <w:rFonts w:ascii="Times New Roman"/>
          <w:b/>
          <w:bCs w:val="0"/>
          <w:color w:val="auto"/>
          <w:sz w:val="24"/>
          <w:szCs w:val="24"/>
          <w:highlight w:val="none"/>
        </w:rPr>
        <w:t>买卖双方通过代表联络合同执行有关事宜，一切交往函电均应为书面形式。</w:t>
      </w:r>
    </w:p>
    <w:p>
      <w:pPr>
        <w:widowControl/>
        <w:autoSpaceDE/>
        <w:autoSpaceDN/>
        <w:spacing w:line="360" w:lineRule="auto"/>
        <w:textAlignment w:val="auto"/>
        <w:rPr>
          <w:rFonts w:ascii="Times New Roman"/>
          <w:b/>
          <w:bCs w:val="0"/>
          <w:color w:val="auto"/>
          <w:sz w:val="24"/>
          <w:szCs w:val="24"/>
          <w:highlight w:val="none"/>
        </w:rPr>
      </w:pPr>
      <w:r>
        <w:rPr>
          <w:rFonts w:ascii="Times New Roman"/>
          <w:b/>
          <w:bCs w:val="0"/>
          <w:color w:val="auto"/>
          <w:sz w:val="24"/>
          <w:szCs w:val="24"/>
          <w:highlight w:val="none"/>
        </w:rPr>
        <w:t>35.</w:t>
      </w:r>
      <w:r>
        <w:rPr>
          <w:rFonts w:hint="eastAsia"/>
          <w:b/>
          <w:bCs w:val="0"/>
          <w:color w:val="auto"/>
          <w:sz w:val="24"/>
          <w:szCs w:val="24"/>
          <w:highlight w:val="none"/>
          <w:lang w:val="en-US" w:eastAsia="zh-CN"/>
        </w:rPr>
        <w:t>3</w:t>
      </w:r>
      <w:r>
        <w:rPr>
          <w:rFonts w:ascii="Times New Roman"/>
          <w:b/>
          <w:bCs w:val="0"/>
          <w:color w:val="auto"/>
          <w:sz w:val="24"/>
          <w:szCs w:val="24"/>
          <w:highlight w:val="none"/>
        </w:rPr>
        <w:t>货物交货计划</w:t>
      </w:r>
    </w:p>
    <w:p>
      <w:pPr>
        <w:widowControl/>
        <w:autoSpaceDE/>
        <w:autoSpaceDN/>
        <w:spacing w:line="360" w:lineRule="auto"/>
        <w:ind w:firstLine="482" w:firstLineChars="200"/>
        <w:textAlignment w:val="auto"/>
        <w:rPr>
          <w:rFonts w:ascii="Times New Roman"/>
          <w:b/>
          <w:bCs w:val="0"/>
          <w:color w:val="auto"/>
          <w:sz w:val="24"/>
          <w:szCs w:val="24"/>
          <w:highlight w:val="none"/>
        </w:rPr>
      </w:pPr>
      <w:r>
        <w:rPr>
          <w:rFonts w:ascii="Times New Roman"/>
          <w:b/>
          <w:bCs w:val="0"/>
          <w:color w:val="auto"/>
          <w:sz w:val="24"/>
          <w:szCs w:val="24"/>
          <w:highlight w:val="none"/>
        </w:rPr>
        <w:t>交货期见《货物需求一览表》要求，详细交货计划由买方签约时提供。</w:t>
      </w:r>
    </w:p>
    <w:p>
      <w:pPr>
        <w:widowControl/>
        <w:autoSpaceDE/>
        <w:autoSpaceDN/>
        <w:spacing w:line="360" w:lineRule="auto"/>
        <w:textAlignment w:val="auto"/>
        <w:rPr>
          <w:rFonts w:ascii="Times New Roman"/>
          <w:b/>
          <w:bCs w:val="0"/>
          <w:color w:val="auto"/>
          <w:sz w:val="24"/>
          <w:szCs w:val="24"/>
          <w:highlight w:val="none"/>
        </w:rPr>
      </w:pPr>
      <w:r>
        <w:rPr>
          <w:rFonts w:ascii="Times New Roman"/>
          <w:b/>
          <w:bCs w:val="0"/>
          <w:color w:val="auto"/>
          <w:sz w:val="24"/>
          <w:szCs w:val="24"/>
          <w:highlight w:val="none"/>
        </w:rPr>
        <w:t>35.</w:t>
      </w:r>
      <w:r>
        <w:rPr>
          <w:rFonts w:hint="eastAsia"/>
          <w:b/>
          <w:bCs w:val="0"/>
          <w:color w:val="auto"/>
          <w:sz w:val="24"/>
          <w:szCs w:val="24"/>
          <w:highlight w:val="none"/>
          <w:lang w:val="en-US" w:eastAsia="zh-CN"/>
        </w:rPr>
        <w:t>4</w:t>
      </w:r>
      <w:r>
        <w:rPr>
          <w:rFonts w:ascii="Times New Roman"/>
          <w:b/>
          <w:bCs w:val="0"/>
          <w:color w:val="auto"/>
          <w:sz w:val="24"/>
          <w:szCs w:val="24"/>
          <w:highlight w:val="none"/>
        </w:rPr>
        <w:t>特殊情况下的紧急供应措施</w:t>
      </w:r>
    </w:p>
    <w:p>
      <w:pPr>
        <w:widowControl/>
        <w:autoSpaceDE/>
        <w:autoSpaceDN/>
        <w:spacing w:line="360" w:lineRule="auto"/>
        <w:ind w:firstLine="482" w:firstLineChars="200"/>
        <w:textAlignment w:val="auto"/>
        <w:rPr>
          <w:rFonts w:ascii="Times New Roman"/>
          <w:b/>
          <w:bCs w:val="0"/>
          <w:color w:val="auto"/>
          <w:sz w:val="24"/>
          <w:szCs w:val="24"/>
          <w:highlight w:val="none"/>
        </w:rPr>
      </w:pPr>
      <w:r>
        <w:rPr>
          <w:rFonts w:ascii="Times New Roman"/>
          <w:b/>
          <w:bCs w:val="0"/>
          <w:color w:val="auto"/>
          <w:sz w:val="24"/>
          <w:szCs w:val="24"/>
          <w:highlight w:val="none"/>
        </w:rPr>
        <w:t>当出现卖方供应的货物或发运不能满足买方需要时，并因此引发施工单位（承包人）向买方提出追加付款或者延长工期的索赔，管理公司经报告买方同意后，有权采取紧急措施削减合同数量并立即另行采购；也可采取终止合同措施并立即另行采购，以确保工程进度，减少损失，买方保留要求供应商承担由此造成的一切经济损失的权力。</w:t>
      </w:r>
    </w:p>
    <w:p>
      <w:pPr>
        <w:widowControl/>
        <w:autoSpaceDE/>
        <w:autoSpaceDN/>
        <w:spacing w:line="360" w:lineRule="auto"/>
        <w:textAlignment w:val="auto"/>
        <w:rPr>
          <w:rFonts w:ascii="Times New Roman"/>
          <w:b/>
          <w:bCs w:val="0"/>
          <w:color w:val="auto"/>
          <w:sz w:val="24"/>
          <w:szCs w:val="24"/>
          <w:highlight w:val="none"/>
        </w:rPr>
      </w:pPr>
      <w:r>
        <w:rPr>
          <w:rFonts w:ascii="Times New Roman"/>
          <w:b/>
          <w:bCs w:val="0"/>
          <w:color w:val="auto"/>
          <w:sz w:val="24"/>
          <w:szCs w:val="24"/>
          <w:highlight w:val="none"/>
        </w:rPr>
        <w:t>35.</w:t>
      </w:r>
      <w:r>
        <w:rPr>
          <w:rFonts w:hint="eastAsia"/>
          <w:b/>
          <w:bCs w:val="0"/>
          <w:color w:val="auto"/>
          <w:sz w:val="24"/>
          <w:szCs w:val="24"/>
          <w:highlight w:val="none"/>
          <w:lang w:val="en-US" w:eastAsia="zh-CN"/>
        </w:rPr>
        <w:t>5</w:t>
      </w:r>
      <w:r>
        <w:rPr>
          <w:rFonts w:ascii="Times New Roman"/>
          <w:b/>
          <w:bCs w:val="0"/>
          <w:color w:val="auto"/>
          <w:sz w:val="24"/>
          <w:szCs w:val="24"/>
          <w:highlight w:val="none"/>
        </w:rPr>
        <w:t>合同履行的特殊延续供应</w:t>
      </w:r>
    </w:p>
    <w:p>
      <w:pPr>
        <w:widowControl/>
        <w:autoSpaceDE/>
        <w:autoSpaceDN/>
        <w:spacing w:line="360" w:lineRule="auto"/>
        <w:ind w:firstLine="482" w:firstLineChars="200"/>
        <w:textAlignment w:val="auto"/>
        <w:rPr>
          <w:rFonts w:ascii="Times New Roman"/>
          <w:b/>
          <w:bCs w:val="0"/>
          <w:color w:val="auto"/>
          <w:sz w:val="24"/>
          <w:szCs w:val="24"/>
          <w:highlight w:val="none"/>
        </w:rPr>
      </w:pPr>
      <w:r>
        <w:rPr>
          <w:rFonts w:ascii="Times New Roman"/>
          <w:b/>
          <w:bCs w:val="0"/>
          <w:color w:val="auto"/>
          <w:sz w:val="24"/>
          <w:szCs w:val="24"/>
          <w:highlight w:val="none"/>
        </w:rPr>
        <w:t>合同期满后，基于本项目中对材料使用有连续一致性要求的特殊工程主体的需要，经建设单位核准后，买方有权要求卖方延续供应特殊工程主体的货物直至这种连续一致性要求结束。买方应在合同期满前一个月将延续供应货物的品种、规格、数量、期限以书面通知形式送达卖方，书面通知即为买卖双方在延续供应期内的合同，买卖双方享有的权利和承担的义务完全依照原合同规定办理。</w:t>
      </w:r>
    </w:p>
    <w:p>
      <w:pPr>
        <w:widowControl/>
        <w:autoSpaceDE/>
        <w:autoSpaceDN/>
        <w:spacing w:line="300" w:lineRule="auto"/>
        <w:textAlignment w:val="auto"/>
        <w:rPr>
          <w:rFonts w:ascii="Times New Roman"/>
          <w:b/>
          <w:bCs w:val="0"/>
          <w:color w:val="auto"/>
          <w:sz w:val="24"/>
          <w:szCs w:val="24"/>
          <w:highlight w:val="none"/>
        </w:rPr>
      </w:pPr>
      <w:r>
        <w:rPr>
          <w:rFonts w:ascii="Times New Roman"/>
          <w:b/>
          <w:bCs w:val="0"/>
          <w:color w:val="auto"/>
          <w:sz w:val="24"/>
          <w:szCs w:val="24"/>
          <w:highlight w:val="none"/>
        </w:rPr>
        <w:t>35.</w:t>
      </w:r>
      <w:r>
        <w:rPr>
          <w:rFonts w:hint="eastAsia"/>
          <w:b/>
          <w:bCs w:val="0"/>
          <w:color w:val="auto"/>
          <w:sz w:val="24"/>
          <w:szCs w:val="24"/>
          <w:highlight w:val="none"/>
          <w:lang w:val="en-US" w:eastAsia="zh-CN"/>
        </w:rPr>
        <w:t>6</w:t>
      </w:r>
      <w:r>
        <w:rPr>
          <w:rFonts w:ascii="Times New Roman"/>
          <w:b/>
          <w:bCs w:val="0"/>
          <w:color w:val="auto"/>
          <w:sz w:val="24"/>
          <w:szCs w:val="24"/>
          <w:highlight w:val="none"/>
        </w:rPr>
        <w:t xml:space="preserve"> 对管理公司的支持</w:t>
      </w:r>
    </w:p>
    <w:p>
      <w:pPr>
        <w:widowControl/>
        <w:autoSpaceDE/>
        <w:autoSpaceDN/>
        <w:spacing w:line="300" w:lineRule="auto"/>
        <w:ind w:firstLine="602" w:firstLineChars="250"/>
        <w:textAlignment w:val="auto"/>
        <w:rPr>
          <w:rFonts w:ascii="Times New Roman"/>
          <w:b/>
          <w:bCs w:val="0"/>
          <w:color w:val="auto"/>
          <w:sz w:val="24"/>
          <w:szCs w:val="24"/>
          <w:highlight w:val="none"/>
        </w:rPr>
      </w:pPr>
      <w:r>
        <w:rPr>
          <w:rFonts w:ascii="Times New Roman"/>
          <w:b/>
          <w:bCs w:val="0"/>
          <w:color w:val="auto"/>
          <w:sz w:val="24"/>
          <w:szCs w:val="24"/>
          <w:highlight w:val="none"/>
        </w:rPr>
        <w:t>卖方应配合和支持管理公司在本项目物资采购、保管、调配等方面的工作。</w:t>
      </w:r>
    </w:p>
    <w:p>
      <w:pPr>
        <w:widowControl/>
        <w:autoSpaceDE/>
        <w:autoSpaceDN/>
        <w:spacing w:line="300" w:lineRule="auto"/>
        <w:textAlignment w:val="auto"/>
        <w:rPr>
          <w:rFonts w:ascii="Times New Roman"/>
          <w:b/>
          <w:bCs w:val="0"/>
          <w:color w:val="auto"/>
          <w:sz w:val="24"/>
          <w:szCs w:val="24"/>
          <w:highlight w:val="none"/>
        </w:rPr>
      </w:pPr>
      <w:r>
        <w:rPr>
          <w:rFonts w:ascii="Times New Roman"/>
          <w:b/>
          <w:bCs w:val="0"/>
          <w:color w:val="auto"/>
          <w:sz w:val="24"/>
          <w:szCs w:val="24"/>
          <w:highlight w:val="none"/>
        </w:rPr>
        <w:t>35.</w:t>
      </w:r>
      <w:r>
        <w:rPr>
          <w:rFonts w:hint="eastAsia"/>
          <w:b/>
          <w:bCs w:val="0"/>
          <w:color w:val="auto"/>
          <w:sz w:val="24"/>
          <w:szCs w:val="24"/>
          <w:highlight w:val="none"/>
          <w:lang w:val="en-US" w:eastAsia="zh-CN"/>
        </w:rPr>
        <w:t xml:space="preserve">7 </w:t>
      </w:r>
      <w:r>
        <w:rPr>
          <w:rFonts w:ascii="Times New Roman"/>
          <w:b/>
          <w:bCs w:val="0"/>
          <w:color w:val="auto"/>
          <w:sz w:val="24"/>
          <w:szCs w:val="24"/>
          <w:highlight w:val="none"/>
        </w:rPr>
        <w:t>其他结算方式</w:t>
      </w:r>
    </w:p>
    <w:p>
      <w:pPr>
        <w:widowControl/>
        <w:autoSpaceDE/>
        <w:autoSpaceDN/>
        <w:adjustRightInd/>
        <w:spacing w:line="300" w:lineRule="auto"/>
        <w:ind w:firstLine="482" w:firstLineChars="200"/>
        <w:textAlignment w:val="auto"/>
        <w:rPr>
          <w:rFonts w:ascii="Times New Roman" w:hAnsi="Times New Roman" w:cs="Times New Roman"/>
          <w:b/>
          <w:bCs w:val="0"/>
          <w:color w:val="auto"/>
          <w:sz w:val="24"/>
          <w:szCs w:val="24"/>
          <w:highlight w:val="none"/>
        </w:rPr>
      </w:pPr>
      <w:bookmarkStart w:id="11" w:name="_Toc489977351"/>
      <w:r>
        <w:rPr>
          <w:rFonts w:ascii="Times New Roman"/>
          <w:b/>
          <w:bCs w:val="0"/>
          <w:color w:val="auto"/>
          <w:sz w:val="24"/>
          <w:szCs w:val="24"/>
          <w:highlight w:val="none"/>
        </w:rPr>
        <w:t>在国家资金宏观调控政策变化时，或者招标人在综合考虑资金筹措各种复杂状况且认为必要的情况下，招标人可采用其它金融工具或者支付方式进行结算。由此产生的一切费用由</w:t>
      </w:r>
      <w:r>
        <w:rPr>
          <w:rFonts w:hint="default" w:ascii="Times New Roman"/>
          <w:b/>
          <w:bCs w:val="0"/>
          <w:color w:val="auto"/>
          <w:sz w:val="24"/>
          <w:szCs w:val="24"/>
          <w:highlight w:val="none"/>
        </w:rPr>
        <w:t>卖方</w:t>
      </w:r>
      <w:r>
        <w:rPr>
          <w:rFonts w:ascii="Times New Roman"/>
          <w:b/>
          <w:bCs w:val="0"/>
          <w:color w:val="auto"/>
          <w:sz w:val="24"/>
          <w:szCs w:val="24"/>
          <w:highlight w:val="none"/>
        </w:rPr>
        <w:t>承担。</w:t>
      </w:r>
      <w:bookmarkEnd w:id="0"/>
      <w:bookmarkEnd w:id="1"/>
      <w:bookmarkEnd w:id="2"/>
      <w:bookmarkEnd w:id="3"/>
      <w:bookmarkEnd w:id="4"/>
      <w:bookmarkEnd w:id="5"/>
      <w:bookmarkEnd w:id="6"/>
      <w:bookmarkEnd w:id="7"/>
      <w:bookmarkEnd w:id="11"/>
    </w:p>
    <w:p>
      <w:pPr>
        <w:adjustRightInd/>
        <w:spacing w:before="157" w:line="360" w:lineRule="auto"/>
        <w:contextualSpacing/>
        <w:rPr>
          <w:rFonts w:hAnsi="宋体" w:cs="Arial"/>
          <w:b/>
          <w:bCs w:val="0"/>
          <w:color w:val="auto"/>
          <w:sz w:val="24"/>
          <w:szCs w:val="24"/>
          <w:highlight w:val="none"/>
        </w:rPr>
      </w:pPr>
      <w:r>
        <w:rPr>
          <w:rFonts w:hint="eastAsia" w:hAnsi="宋体" w:cs="宋体"/>
          <w:b/>
          <w:bCs w:val="0"/>
          <w:color w:val="auto"/>
          <w:sz w:val="24"/>
          <w:szCs w:val="24"/>
          <w:highlight w:val="none"/>
          <w:lang w:val="en-US" w:eastAsia="zh-CN"/>
        </w:rPr>
        <w:t xml:space="preserve">35.8 </w:t>
      </w:r>
      <w:r>
        <w:rPr>
          <w:rFonts w:hAnsi="宋体" w:cs="Arial"/>
          <w:b/>
          <w:bCs w:val="0"/>
          <w:color w:val="auto"/>
          <w:sz w:val="24"/>
          <w:szCs w:val="24"/>
          <w:highlight w:val="none"/>
        </w:rPr>
        <w:t>缺陷责任</w:t>
      </w:r>
    </w:p>
    <w:p>
      <w:pPr>
        <w:widowControl/>
        <w:autoSpaceDE/>
        <w:autoSpaceDN/>
        <w:adjustRightInd/>
        <w:spacing w:line="300" w:lineRule="auto"/>
        <w:ind w:firstLine="482" w:firstLineChars="200"/>
        <w:textAlignment w:val="auto"/>
        <w:rPr>
          <w:rFonts w:ascii="Times New Roman"/>
          <w:b/>
          <w:bCs w:val="0"/>
          <w:color w:val="auto"/>
          <w:sz w:val="24"/>
          <w:szCs w:val="24"/>
          <w:highlight w:val="none"/>
        </w:rPr>
      </w:pPr>
      <w:r>
        <w:rPr>
          <w:rFonts w:ascii="Times New Roman"/>
          <w:b/>
          <w:bCs w:val="0"/>
          <w:color w:val="auto"/>
          <w:sz w:val="24"/>
          <w:szCs w:val="24"/>
          <w:highlight w:val="none"/>
        </w:rPr>
        <w:t>本合同的缺陷责任期为自全部货物交运到合同指明的交货地点并经验收符合合同要求之日起到该项目公路</w:t>
      </w:r>
      <w:r>
        <w:rPr>
          <w:rFonts w:hint="eastAsia" w:ascii="Times New Roman"/>
          <w:b/>
          <w:bCs w:val="0"/>
          <w:color w:val="auto"/>
          <w:sz w:val="24"/>
          <w:szCs w:val="24"/>
          <w:highlight w:val="none"/>
        </w:rPr>
        <w:t>主体</w:t>
      </w:r>
      <w:r>
        <w:rPr>
          <w:rFonts w:ascii="Times New Roman"/>
          <w:b/>
          <w:bCs w:val="0"/>
          <w:color w:val="auto"/>
          <w:sz w:val="24"/>
          <w:szCs w:val="24"/>
          <w:highlight w:val="none"/>
        </w:rPr>
        <w:t>工程项目通过</w:t>
      </w:r>
      <w:r>
        <w:rPr>
          <w:rFonts w:hint="eastAsia" w:ascii="Times New Roman"/>
          <w:b/>
          <w:bCs w:val="0"/>
          <w:color w:val="auto"/>
          <w:sz w:val="24"/>
          <w:szCs w:val="24"/>
          <w:highlight w:val="none"/>
        </w:rPr>
        <w:t>交工</w:t>
      </w:r>
      <w:r>
        <w:rPr>
          <w:rFonts w:ascii="Times New Roman"/>
          <w:b/>
          <w:bCs w:val="0"/>
          <w:color w:val="auto"/>
          <w:sz w:val="24"/>
          <w:szCs w:val="24"/>
          <w:highlight w:val="none"/>
        </w:rPr>
        <w:t>验收之日</w:t>
      </w:r>
      <w:r>
        <w:rPr>
          <w:rFonts w:hint="eastAsia" w:ascii="Times New Roman"/>
          <w:b/>
          <w:bCs w:val="0"/>
          <w:color w:val="auto"/>
          <w:sz w:val="24"/>
          <w:szCs w:val="24"/>
          <w:highlight w:val="none"/>
        </w:rPr>
        <w:t>起三个月</w:t>
      </w:r>
      <w:r>
        <w:rPr>
          <w:rFonts w:ascii="Times New Roman"/>
          <w:b/>
          <w:bCs w:val="0"/>
          <w:color w:val="auto"/>
          <w:sz w:val="24"/>
          <w:szCs w:val="24"/>
          <w:highlight w:val="none"/>
        </w:rPr>
        <w:t>止的期间。</w:t>
      </w:r>
    </w:p>
    <w:p>
      <w:pPr>
        <w:widowControl/>
        <w:autoSpaceDE/>
        <w:autoSpaceDN/>
        <w:adjustRightInd/>
        <w:spacing w:line="300" w:lineRule="auto"/>
        <w:ind w:firstLine="482" w:firstLineChars="200"/>
        <w:textAlignment w:val="auto"/>
        <w:rPr>
          <w:rFonts w:ascii="Times New Roman"/>
          <w:b/>
          <w:bCs w:val="0"/>
          <w:color w:val="auto"/>
          <w:sz w:val="24"/>
          <w:szCs w:val="24"/>
          <w:highlight w:val="none"/>
        </w:rPr>
      </w:pPr>
      <w:r>
        <w:rPr>
          <w:rFonts w:ascii="Times New Roman"/>
          <w:b/>
          <w:bCs w:val="0"/>
          <w:color w:val="auto"/>
          <w:sz w:val="24"/>
          <w:szCs w:val="24"/>
          <w:highlight w:val="none"/>
        </w:rPr>
        <w:t>在缺陷责任期内，如发生因货物出现设计、材料或工艺上的缺陷等质量问题而造成工程缺陷，供货人应承担修复的一切费用。若供货人不主动承担此费用，发包人将从履约保证金和质量保证金中支付，而不需要征得供货人的同意。</w:t>
      </w:r>
    </w:p>
    <w:p>
      <w:pPr>
        <w:widowControl/>
        <w:autoSpaceDE/>
        <w:autoSpaceDN/>
        <w:spacing w:line="300" w:lineRule="auto"/>
        <w:ind w:firstLine="482" w:firstLineChars="200"/>
        <w:textAlignment w:val="auto"/>
        <w:rPr>
          <w:rFonts w:hint="default" w:hAnsi="宋体" w:eastAsia="宋体" w:cs="宋体"/>
          <w:b/>
          <w:bCs w:val="0"/>
          <w:color w:val="auto"/>
          <w:sz w:val="24"/>
          <w:szCs w:val="24"/>
          <w:highlight w:val="none"/>
          <w:lang w:val="en-US" w:eastAsia="zh-CN"/>
        </w:rPr>
      </w:pPr>
    </w:p>
    <w:p>
      <w:pPr>
        <w:ind w:firstLine="600"/>
        <w:rPr>
          <w:rFonts w:hint="eastAsia" w:hAnsi="宋体" w:cs="宋体"/>
          <w:b/>
          <w:bCs w:val="0"/>
          <w:color w:val="auto"/>
          <w:sz w:val="24"/>
          <w:szCs w:val="24"/>
          <w:highlight w:val="none"/>
        </w:rPr>
      </w:pPr>
    </w:p>
    <w:p>
      <w:pPr>
        <w:ind w:firstLine="600"/>
        <w:jc w:val="center"/>
        <w:rPr>
          <w:rFonts w:hint="eastAsia" w:hAnsi="宋体" w:cs="宋体"/>
          <w:b/>
          <w:bCs w:val="0"/>
          <w:color w:val="auto"/>
          <w:sz w:val="24"/>
          <w:szCs w:val="24"/>
          <w:highlight w:val="none"/>
        </w:rPr>
      </w:pPr>
      <w:r>
        <w:rPr>
          <w:rFonts w:hint="eastAsia" w:hAnsi="宋体" w:cs="宋体"/>
          <w:b/>
          <w:bCs w:val="0"/>
          <w:color w:val="auto"/>
          <w:sz w:val="24"/>
          <w:szCs w:val="24"/>
          <w:highlight w:val="none"/>
        </w:rPr>
        <w:br w:type="page"/>
      </w:r>
    </w:p>
    <w:p>
      <w:pPr>
        <w:spacing w:before="380" w:line="200" w:lineRule="exact"/>
        <w:jc w:val="center"/>
        <w:rPr>
          <w:rFonts w:hint="eastAsia"/>
          <w:b/>
          <w:bCs w:val="0"/>
          <w:color w:val="auto"/>
          <w:sz w:val="24"/>
          <w:szCs w:val="24"/>
          <w:highlight w:val="none"/>
        </w:rPr>
      </w:pPr>
    </w:p>
    <w:p>
      <w:pPr>
        <w:spacing w:before="380" w:line="200" w:lineRule="exact"/>
        <w:jc w:val="center"/>
        <w:rPr>
          <w:rFonts w:hint="eastAsia"/>
          <w:b/>
          <w:bCs w:val="0"/>
          <w:color w:val="auto"/>
          <w:sz w:val="24"/>
          <w:szCs w:val="24"/>
          <w:highlight w:val="none"/>
        </w:rPr>
      </w:pPr>
    </w:p>
    <w:p>
      <w:pPr>
        <w:pStyle w:val="4"/>
        <w:numPr>
          <w:ilvl w:val="0"/>
          <w:numId w:val="4"/>
        </w:numPr>
        <w:bidi w:val="0"/>
        <w:jc w:val="center"/>
        <w:rPr>
          <w:rFonts w:hint="eastAsia"/>
          <w:b/>
          <w:bCs w:val="0"/>
          <w:color w:val="auto"/>
          <w:sz w:val="24"/>
          <w:szCs w:val="24"/>
          <w:highlight w:val="none"/>
        </w:rPr>
      </w:pPr>
      <w:bookmarkStart w:id="12" w:name="_Toc22647"/>
      <w:r>
        <w:rPr>
          <w:rFonts w:hint="eastAsia"/>
          <w:b/>
          <w:bCs w:val="0"/>
          <w:color w:val="auto"/>
          <w:sz w:val="24"/>
          <w:szCs w:val="24"/>
          <w:highlight w:val="none"/>
        </w:rPr>
        <w:t>供货要求</w:t>
      </w:r>
      <w:bookmarkEnd w:id="12"/>
    </w:p>
    <w:p>
      <w:pPr>
        <w:numPr>
          <w:ilvl w:val="0"/>
          <w:numId w:val="0"/>
        </w:numPr>
        <w:spacing w:before="380" w:beforeLines="0" w:afterLines="0" w:line="200" w:lineRule="exact"/>
        <w:jc w:val="center"/>
        <w:rPr>
          <w:rFonts w:hint="default"/>
          <w:b/>
          <w:bCs w:val="0"/>
          <w:color w:val="auto"/>
          <w:sz w:val="24"/>
          <w:szCs w:val="24"/>
          <w:highlight w:val="none"/>
        </w:rPr>
      </w:pPr>
    </w:p>
    <w:p>
      <w:pPr>
        <w:numPr>
          <w:ilvl w:val="0"/>
          <w:numId w:val="0"/>
        </w:numPr>
        <w:spacing w:before="380" w:beforeLines="0" w:afterLines="0" w:line="200" w:lineRule="exact"/>
        <w:jc w:val="center"/>
        <w:rPr>
          <w:rFonts w:hint="default"/>
          <w:b/>
          <w:bCs w:val="0"/>
          <w:color w:val="auto"/>
          <w:sz w:val="24"/>
          <w:szCs w:val="24"/>
          <w:highlight w:val="none"/>
        </w:rPr>
      </w:pPr>
    </w:p>
    <w:p>
      <w:pPr>
        <w:numPr>
          <w:ilvl w:val="0"/>
          <w:numId w:val="0"/>
        </w:numPr>
        <w:spacing w:before="380" w:beforeLines="0" w:afterLines="0" w:line="200" w:lineRule="exact"/>
        <w:jc w:val="center"/>
        <w:rPr>
          <w:rFonts w:hint="default"/>
          <w:b/>
          <w:bCs w:val="0"/>
          <w:color w:val="auto"/>
          <w:sz w:val="24"/>
          <w:szCs w:val="24"/>
          <w:highlight w:val="none"/>
        </w:rPr>
      </w:pPr>
    </w:p>
    <w:p>
      <w:pPr>
        <w:numPr>
          <w:ilvl w:val="0"/>
          <w:numId w:val="0"/>
        </w:numPr>
        <w:spacing w:before="380" w:beforeLines="0" w:afterLines="0" w:line="200" w:lineRule="exact"/>
        <w:jc w:val="center"/>
        <w:rPr>
          <w:rFonts w:hint="default"/>
          <w:b/>
          <w:bCs w:val="0"/>
          <w:color w:val="auto"/>
          <w:sz w:val="24"/>
          <w:szCs w:val="24"/>
          <w:highlight w:val="none"/>
        </w:rPr>
      </w:pPr>
    </w:p>
    <w:p>
      <w:pPr>
        <w:numPr>
          <w:ilvl w:val="0"/>
          <w:numId w:val="0"/>
        </w:numPr>
        <w:spacing w:before="380" w:beforeLines="0" w:afterLines="0" w:line="200" w:lineRule="exact"/>
        <w:jc w:val="center"/>
        <w:rPr>
          <w:rFonts w:hint="default"/>
          <w:b/>
          <w:bCs w:val="0"/>
          <w:color w:val="auto"/>
          <w:sz w:val="24"/>
          <w:szCs w:val="24"/>
          <w:highlight w:val="none"/>
        </w:rPr>
      </w:pPr>
    </w:p>
    <w:p>
      <w:pPr>
        <w:numPr>
          <w:ilvl w:val="0"/>
          <w:numId w:val="0"/>
        </w:numPr>
        <w:spacing w:before="380" w:beforeLines="0" w:afterLines="0" w:line="200" w:lineRule="exact"/>
        <w:jc w:val="center"/>
        <w:rPr>
          <w:rFonts w:hint="default"/>
          <w:b/>
          <w:bCs w:val="0"/>
          <w:color w:val="auto"/>
          <w:sz w:val="24"/>
          <w:szCs w:val="24"/>
          <w:highlight w:val="none"/>
        </w:rPr>
      </w:pPr>
    </w:p>
    <w:p>
      <w:pPr>
        <w:numPr>
          <w:ilvl w:val="0"/>
          <w:numId w:val="0"/>
        </w:numPr>
        <w:spacing w:before="380" w:beforeLines="0" w:afterLines="0" w:line="200" w:lineRule="exact"/>
        <w:jc w:val="center"/>
        <w:rPr>
          <w:rFonts w:hint="default"/>
          <w:b/>
          <w:bCs w:val="0"/>
          <w:color w:val="auto"/>
          <w:sz w:val="24"/>
          <w:szCs w:val="24"/>
          <w:highlight w:val="none"/>
        </w:rPr>
      </w:pPr>
    </w:p>
    <w:p>
      <w:pPr>
        <w:numPr>
          <w:ilvl w:val="0"/>
          <w:numId w:val="0"/>
        </w:numPr>
        <w:spacing w:before="380" w:beforeLines="0" w:afterLines="0" w:line="200" w:lineRule="exact"/>
        <w:jc w:val="center"/>
        <w:rPr>
          <w:rFonts w:hint="default"/>
          <w:b/>
          <w:bCs w:val="0"/>
          <w:color w:val="auto"/>
          <w:sz w:val="24"/>
          <w:szCs w:val="24"/>
          <w:highlight w:val="none"/>
        </w:rPr>
      </w:pPr>
    </w:p>
    <w:p>
      <w:pPr>
        <w:numPr>
          <w:ilvl w:val="0"/>
          <w:numId w:val="0"/>
        </w:numPr>
        <w:spacing w:before="380" w:beforeLines="0" w:afterLines="0" w:line="200" w:lineRule="exact"/>
        <w:jc w:val="center"/>
        <w:rPr>
          <w:rFonts w:hint="default"/>
          <w:b/>
          <w:bCs w:val="0"/>
          <w:color w:val="auto"/>
          <w:sz w:val="24"/>
          <w:szCs w:val="24"/>
          <w:highlight w:val="none"/>
        </w:rPr>
      </w:pPr>
    </w:p>
    <w:p>
      <w:pPr>
        <w:numPr>
          <w:ilvl w:val="0"/>
          <w:numId w:val="0"/>
        </w:numPr>
        <w:spacing w:before="380" w:beforeLines="0" w:afterLines="0" w:line="200" w:lineRule="exact"/>
        <w:jc w:val="center"/>
        <w:rPr>
          <w:rFonts w:hint="default"/>
          <w:b/>
          <w:bCs w:val="0"/>
          <w:color w:val="auto"/>
          <w:sz w:val="24"/>
          <w:szCs w:val="24"/>
          <w:highlight w:val="none"/>
        </w:rPr>
      </w:pPr>
    </w:p>
    <w:p>
      <w:pPr>
        <w:numPr>
          <w:ilvl w:val="0"/>
          <w:numId w:val="0"/>
        </w:numPr>
        <w:spacing w:before="380" w:beforeLines="0" w:afterLines="0" w:line="200" w:lineRule="exact"/>
        <w:jc w:val="center"/>
        <w:rPr>
          <w:rFonts w:hint="default"/>
          <w:b/>
          <w:bCs w:val="0"/>
          <w:color w:val="auto"/>
          <w:sz w:val="24"/>
          <w:szCs w:val="24"/>
          <w:highlight w:val="none"/>
        </w:rPr>
      </w:pPr>
    </w:p>
    <w:p>
      <w:pPr>
        <w:numPr>
          <w:ilvl w:val="0"/>
          <w:numId w:val="0"/>
        </w:numPr>
        <w:spacing w:before="380" w:beforeLines="0" w:afterLines="0" w:line="200" w:lineRule="exact"/>
        <w:jc w:val="center"/>
        <w:rPr>
          <w:rFonts w:hint="default"/>
          <w:b/>
          <w:bCs w:val="0"/>
          <w:color w:val="auto"/>
          <w:sz w:val="24"/>
          <w:szCs w:val="24"/>
          <w:highlight w:val="none"/>
        </w:rPr>
      </w:pPr>
    </w:p>
    <w:p>
      <w:pPr>
        <w:spacing w:before="200" w:line="300" w:lineRule="exact"/>
        <w:ind w:left="3780"/>
        <w:jc w:val="left"/>
        <w:rPr>
          <w:rFonts w:hint="eastAsia"/>
          <w:b/>
          <w:bCs w:val="0"/>
          <w:color w:val="auto"/>
          <w:sz w:val="24"/>
          <w:szCs w:val="24"/>
          <w:highlight w:val="none"/>
        </w:rPr>
      </w:pPr>
    </w:p>
    <w:p>
      <w:pPr>
        <w:spacing w:before="200" w:line="300" w:lineRule="exact"/>
        <w:ind w:left="3780"/>
        <w:jc w:val="left"/>
        <w:rPr>
          <w:rFonts w:hint="default"/>
          <w:b/>
          <w:bCs w:val="0"/>
          <w:color w:val="auto"/>
          <w:sz w:val="24"/>
          <w:szCs w:val="24"/>
          <w:highlight w:val="none"/>
        </w:rPr>
        <w:sectPr>
          <w:headerReference r:id="rId3" w:type="default"/>
          <w:footerReference r:id="rId4" w:type="default"/>
          <w:type w:val="continuous"/>
          <w:pgSz w:w="12240" w:h="15860"/>
          <w:pgMar w:top="1260" w:right="1400" w:bottom="0" w:left="1680" w:header="720" w:footer="720" w:gutter="0"/>
          <w:lnNumType w:countBy="0" w:distance="360"/>
          <w:pgNumType w:fmt="decimal"/>
          <w:cols w:space="720" w:num="1"/>
        </w:sectPr>
      </w:pPr>
    </w:p>
    <w:p>
      <w:pPr>
        <w:spacing w:line="300" w:lineRule="exact"/>
        <w:jc w:val="left"/>
        <w:rPr>
          <w:rFonts w:hint="default"/>
          <w:b/>
          <w:bCs w:val="0"/>
          <w:color w:val="auto"/>
          <w:sz w:val="24"/>
          <w:szCs w:val="24"/>
          <w:highlight w:val="none"/>
        </w:rPr>
      </w:pPr>
    </w:p>
    <w:p>
      <w:pPr>
        <w:ind w:firstLine="482" w:firstLineChars="200"/>
        <w:rPr>
          <w:rFonts w:hint="eastAsia" w:hAnsi="宋体" w:cs="宋体"/>
          <w:b/>
          <w:bCs w:val="0"/>
          <w:color w:val="auto"/>
          <w:sz w:val="24"/>
          <w:szCs w:val="24"/>
          <w:highlight w:val="none"/>
        </w:rPr>
      </w:pPr>
    </w:p>
    <w:p>
      <w:pPr>
        <w:pStyle w:val="4"/>
        <w:jc w:val="center"/>
        <w:rPr>
          <w:rFonts w:hint="eastAsia"/>
          <w:b/>
          <w:bCs w:val="0"/>
          <w:color w:val="auto"/>
          <w:sz w:val="24"/>
          <w:szCs w:val="24"/>
          <w:highlight w:val="none"/>
        </w:rPr>
      </w:pPr>
      <w:bookmarkStart w:id="13" w:name="_Toc1347"/>
      <w:bookmarkStart w:id="14" w:name="_Toc17730"/>
      <w:bookmarkStart w:id="15" w:name="_Toc532459933"/>
      <w:r>
        <w:rPr>
          <w:rFonts w:hint="eastAsia"/>
          <w:b/>
          <w:bCs w:val="0"/>
          <w:color w:val="auto"/>
          <w:sz w:val="24"/>
          <w:szCs w:val="24"/>
          <w:highlight w:val="none"/>
        </w:rPr>
        <w:t xml:space="preserve"> </w:t>
      </w:r>
      <w:bookmarkStart w:id="16" w:name="_Toc3840"/>
      <w:r>
        <w:rPr>
          <w:rFonts w:hint="eastAsia"/>
          <w:b/>
          <w:bCs w:val="0"/>
          <w:color w:val="auto"/>
          <w:sz w:val="24"/>
          <w:szCs w:val="24"/>
          <w:highlight w:val="none"/>
        </w:rPr>
        <w:t>招标货物技术规范书</w:t>
      </w:r>
      <w:bookmarkEnd w:id="13"/>
      <w:bookmarkEnd w:id="14"/>
      <w:bookmarkEnd w:id="15"/>
      <w:bookmarkEnd w:id="16"/>
    </w:p>
    <w:p>
      <w:pPr>
        <w:spacing w:before="67"/>
        <w:ind w:firstLine="482" w:firstLineChars="200"/>
        <w:outlineLvl w:val="0"/>
        <w:rPr>
          <w:b/>
          <w:bCs w:val="0"/>
          <w:color w:val="auto"/>
          <w:sz w:val="24"/>
          <w:szCs w:val="24"/>
          <w:highlight w:val="none"/>
        </w:rPr>
      </w:pPr>
      <w:bookmarkStart w:id="17" w:name="_Toc22162"/>
      <w:bookmarkStart w:id="18" w:name="_Toc412"/>
      <w:bookmarkStart w:id="19" w:name="_Toc873"/>
      <w:bookmarkStart w:id="20" w:name="_Toc8417"/>
      <w:r>
        <w:rPr>
          <w:b/>
          <w:bCs w:val="0"/>
          <w:color w:val="auto"/>
          <w:sz w:val="24"/>
          <w:szCs w:val="24"/>
          <w:highlight w:val="none"/>
        </w:rPr>
        <w:t>一、沥青产品技术标准</w:t>
      </w:r>
      <w:bookmarkEnd w:id="17"/>
      <w:bookmarkEnd w:id="18"/>
      <w:bookmarkEnd w:id="19"/>
      <w:bookmarkEnd w:id="20"/>
    </w:p>
    <w:p>
      <w:pPr>
        <w:pStyle w:val="21"/>
        <w:numPr>
          <w:ilvl w:val="0"/>
          <w:numId w:val="5"/>
        </w:numPr>
        <w:tabs>
          <w:tab w:val="left" w:pos="1141"/>
        </w:tabs>
        <w:autoSpaceDE w:val="0"/>
        <w:autoSpaceDN w:val="0"/>
        <w:spacing w:before="158"/>
        <w:ind w:firstLineChars="0"/>
        <w:jc w:val="left"/>
        <w:rPr>
          <w:b/>
          <w:bCs w:val="0"/>
          <w:color w:val="auto"/>
          <w:sz w:val="24"/>
          <w:szCs w:val="24"/>
          <w:highlight w:val="none"/>
        </w:rPr>
      </w:pPr>
      <w:r>
        <w:rPr>
          <w:b/>
          <w:bCs w:val="0"/>
          <w:color w:val="auto"/>
          <w:sz w:val="24"/>
          <w:szCs w:val="24"/>
          <w:highlight w:val="none"/>
        </w:rPr>
        <w:t>产品的相关技术标准如下（包含但不限于下列标准）：</w:t>
      </w:r>
    </w:p>
    <w:p>
      <w:pPr>
        <w:pStyle w:val="21"/>
        <w:numPr>
          <w:ilvl w:val="1"/>
          <w:numId w:val="5"/>
        </w:numPr>
        <w:tabs>
          <w:tab w:val="left" w:pos="1508"/>
        </w:tabs>
        <w:autoSpaceDE w:val="0"/>
        <w:autoSpaceDN w:val="0"/>
        <w:spacing w:before="160"/>
        <w:ind w:firstLineChars="0"/>
        <w:rPr>
          <w:b/>
          <w:bCs w:val="0"/>
          <w:color w:val="auto"/>
          <w:sz w:val="24"/>
          <w:szCs w:val="24"/>
          <w:highlight w:val="none"/>
        </w:rPr>
      </w:pPr>
      <w:r>
        <w:rPr>
          <w:rFonts w:hint="eastAsia"/>
          <w:b/>
          <w:bCs w:val="0"/>
          <w:color w:val="auto"/>
          <w:sz w:val="24"/>
          <w:szCs w:val="24"/>
          <w:highlight w:val="none"/>
          <w:lang w:val="en-US" w:eastAsia="zh-CN"/>
        </w:rPr>
        <w:t xml:space="preserve"> </w:t>
      </w:r>
      <w:r>
        <w:rPr>
          <w:b/>
          <w:bCs w:val="0"/>
          <w:color w:val="auto"/>
          <w:sz w:val="24"/>
          <w:szCs w:val="24"/>
          <w:highlight w:val="none"/>
        </w:rPr>
        <w:t>贵州省高速公路集团有限公司沥青路面工程施工管理规定（第三版修订版）</w:t>
      </w:r>
    </w:p>
    <w:p>
      <w:pPr>
        <w:pStyle w:val="21"/>
        <w:numPr>
          <w:ilvl w:val="1"/>
          <w:numId w:val="5"/>
        </w:numPr>
        <w:tabs>
          <w:tab w:val="left" w:pos="1508"/>
        </w:tabs>
        <w:autoSpaceDE w:val="0"/>
        <w:autoSpaceDN w:val="0"/>
        <w:spacing w:before="160"/>
        <w:ind w:firstLineChars="0"/>
        <w:rPr>
          <w:b/>
          <w:bCs w:val="0"/>
          <w:color w:val="auto"/>
          <w:sz w:val="24"/>
          <w:szCs w:val="24"/>
          <w:highlight w:val="none"/>
        </w:rPr>
      </w:pPr>
      <w:r>
        <w:rPr>
          <w:rFonts w:hint="eastAsia"/>
          <w:b/>
          <w:bCs w:val="0"/>
          <w:color w:val="auto"/>
          <w:sz w:val="24"/>
          <w:szCs w:val="24"/>
          <w:highlight w:val="none"/>
          <w:lang w:val="en-US" w:eastAsia="zh-CN"/>
        </w:rPr>
        <w:t xml:space="preserve"> </w:t>
      </w:r>
      <w:r>
        <w:rPr>
          <w:b/>
          <w:bCs w:val="0"/>
          <w:color w:val="auto"/>
          <w:sz w:val="24"/>
          <w:szCs w:val="24"/>
          <w:highlight w:val="none"/>
        </w:rPr>
        <w:t>公路工程技术标准（JTG B01-2014）</w:t>
      </w:r>
    </w:p>
    <w:p>
      <w:pPr>
        <w:pStyle w:val="21"/>
        <w:numPr>
          <w:ilvl w:val="1"/>
          <w:numId w:val="5"/>
        </w:numPr>
        <w:tabs>
          <w:tab w:val="left" w:pos="1508"/>
        </w:tabs>
        <w:autoSpaceDE w:val="0"/>
        <w:autoSpaceDN w:val="0"/>
        <w:spacing w:before="160"/>
        <w:ind w:firstLineChars="0"/>
        <w:rPr>
          <w:b/>
          <w:bCs w:val="0"/>
          <w:color w:val="auto"/>
          <w:sz w:val="24"/>
          <w:szCs w:val="24"/>
          <w:highlight w:val="none"/>
        </w:rPr>
      </w:pPr>
      <w:r>
        <w:rPr>
          <w:rFonts w:hint="eastAsia"/>
          <w:b/>
          <w:bCs w:val="0"/>
          <w:color w:val="auto"/>
          <w:sz w:val="24"/>
          <w:szCs w:val="24"/>
          <w:highlight w:val="none"/>
          <w:lang w:val="en-US" w:eastAsia="zh-CN"/>
        </w:rPr>
        <w:t xml:space="preserve"> </w:t>
      </w:r>
      <w:r>
        <w:rPr>
          <w:b/>
          <w:bCs w:val="0"/>
          <w:color w:val="auto"/>
          <w:sz w:val="24"/>
          <w:szCs w:val="24"/>
          <w:highlight w:val="none"/>
        </w:rPr>
        <w:t>公路工程质量检验评定标准（JTG F80/1-2017）</w:t>
      </w:r>
    </w:p>
    <w:p>
      <w:pPr>
        <w:pStyle w:val="21"/>
        <w:numPr>
          <w:ilvl w:val="1"/>
          <w:numId w:val="5"/>
        </w:numPr>
        <w:tabs>
          <w:tab w:val="left" w:pos="1508"/>
        </w:tabs>
        <w:autoSpaceDE w:val="0"/>
        <w:autoSpaceDN w:val="0"/>
        <w:spacing w:before="160"/>
        <w:ind w:firstLineChars="0"/>
        <w:rPr>
          <w:b/>
          <w:bCs w:val="0"/>
          <w:color w:val="auto"/>
          <w:sz w:val="24"/>
          <w:szCs w:val="24"/>
          <w:highlight w:val="none"/>
        </w:rPr>
      </w:pPr>
      <w:r>
        <w:rPr>
          <w:rFonts w:hint="eastAsia"/>
          <w:b/>
          <w:bCs w:val="0"/>
          <w:color w:val="auto"/>
          <w:sz w:val="24"/>
          <w:szCs w:val="24"/>
          <w:highlight w:val="none"/>
          <w:lang w:val="en-US" w:eastAsia="zh-CN"/>
        </w:rPr>
        <w:t xml:space="preserve"> </w:t>
      </w:r>
      <w:r>
        <w:rPr>
          <w:b/>
          <w:bCs w:val="0"/>
          <w:color w:val="auto"/>
          <w:sz w:val="24"/>
          <w:szCs w:val="24"/>
          <w:highlight w:val="none"/>
        </w:rPr>
        <w:t>公路沥青路面设计规范（JTG D50-2017）</w:t>
      </w:r>
    </w:p>
    <w:p>
      <w:pPr>
        <w:pStyle w:val="21"/>
        <w:numPr>
          <w:ilvl w:val="1"/>
          <w:numId w:val="5"/>
        </w:numPr>
        <w:tabs>
          <w:tab w:val="left" w:pos="1508"/>
        </w:tabs>
        <w:autoSpaceDE w:val="0"/>
        <w:autoSpaceDN w:val="0"/>
        <w:spacing w:before="160"/>
        <w:ind w:firstLineChars="0"/>
        <w:rPr>
          <w:b/>
          <w:bCs w:val="0"/>
          <w:color w:val="auto"/>
          <w:sz w:val="24"/>
          <w:szCs w:val="24"/>
          <w:highlight w:val="none"/>
        </w:rPr>
      </w:pPr>
      <w:r>
        <w:rPr>
          <w:rFonts w:hint="eastAsia"/>
          <w:b/>
          <w:bCs w:val="0"/>
          <w:color w:val="auto"/>
          <w:sz w:val="24"/>
          <w:szCs w:val="24"/>
          <w:highlight w:val="none"/>
          <w:lang w:val="en-US" w:eastAsia="zh-CN"/>
        </w:rPr>
        <w:t xml:space="preserve"> </w:t>
      </w:r>
      <w:r>
        <w:rPr>
          <w:b/>
          <w:bCs w:val="0"/>
          <w:color w:val="auto"/>
          <w:sz w:val="24"/>
          <w:szCs w:val="24"/>
          <w:highlight w:val="none"/>
        </w:rPr>
        <w:t>公路沥青路面施工技术规范（JTG F40 2017）</w:t>
      </w:r>
    </w:p>
    <w:p>
      <w:pPr>
        <w:pStyle w:val="21"/>
        <w:numPr>
          <w:ilvl w:val="1"/>
          <w:numId w:val="5"/>
        </w:numPr>
        <w:tabs>
          <w:tab w:val="left" w:pos="1508"/>
        </w:tabs>
        <w:autoSpaceDE w:val="0"/>
        <w:autoSpaceDN w:val="0"/>
        <w:spacing w:before="160"/>
        <w:ind w:firstLineChars="0"/>
        <w:rPr>
          <w:b/>
          <w:bCs w:val="0"/>
          <w:color w:val="auto"/>
          <w:sz w:val="24"/>
          <w:szCs w:val="24"/>
          <w:highlight w:val="none"/>
        </w:rPr>
      </w:pPr>
      <w:r>
        <w:rPr>
          <w:rFonts w:hint="eastAsia"/>
          <w:b/>
          <w:bCs w:val="0"/>
          <w:color w:val="auto"/>
          <w:sz w:val="24"/>
          <w:szCs w:val="24"/>
          <w:highlight w:val="none"/>
          <w:lang w:val="en-US" w:eastAsia="zh-CN"/>
        </w:rPr>
        <w:t xml:space="preserve"> </w:t>
      </w:r>
      <w:r>
        <w:rPr>
          <w:b/>
          <w:bCs w:val="0"/>
          <w:color w:val="auto"/>
          <w:sz w:val="24"/>
          <w:szCs w:val="24"/>
          <w:highlight w:val="none"/>
        </w:rPr>
        <w:t>公路工程沥青及沥青混合料试验规程（JTG E20-2011）</w:t>
      </w:r>
    </w:p>
    <w:p>
      <w:pPr>
        <w:pStyle w:val="21"/>
        <w:numPr>
          <w:ilvl w:val="1"/>
          <w:numId w:val="5"/>
        </w:numPr>
        <w:tabs>
          <w:tab w:val="left" w:pos="1508"/>
        </w:tabs>
        <w:autoSpaceDE w:val="0"/>
        <w:autoSpaceDN w:val="0"/>
        <w:spacing w:before="160"/>
        <w:ind w:firstLineChars="0"/>
        <w:rPr>
          <w:b/>
          <w:bCs w:val="0"/>
          <w:color w:val="auto"/>
          <w:sz w:val="24"/>
          <w:szCs w:val="24"/>
          <w:highlight w:val="none"/>
        </w:rPr>
      </w:pPr>
      <w:r>
        <w:rPr>
          <w:rFonts w:hint="eastAsia"/>
          <w:b/>
          <w:bCs w:val="0"/>
          <w:color w:val="auto"/>
          <w:sz w:val="24"/>
          <w:szCs w:val="24"/>
          <w:highlight w:val="none"/>
          <w:lang w:val="en-US" w:eastAsia="zh-CN"/>
        </w:rPr>
        <w:t xml:space="preserve"> </w:t>
      </w:r>
      <w:r>
        <w:rPr>
          <w:b/>
          <w:bCs w:val="0"/>
          <w:color w:val="auto"/>
          <w:sz w:val="24"/>
          <w:szCs w:val="24"/>
          <w:highlight w:val="none"/>
        </w:rPr>
        <w:t>公路路基路面现场测试规程（JTG 3450-2019）</w:t>
      </w:r>
    </w:p>
    <w:p>
      <w:pPr>
        <w:pStyle w:val="21"/>
        <w:numPr>
          <w:ilvl w:val="1"/>
          <w:numId w:val="5"/>
        </w:numPr>
        <w:tabs>
          <w:tab w:val="left" w:pos="1508"/>
        </w:tabs>
        <w:autoSpaceDE w:val="0"/>
        <w:autoSpaceDN w:val="0"/>
        <w:spacing w:before="160"/>
        <w:ind w:firstLineChars="0"/>
        <w:rPr>
          <w:b/>
          <w:bCs w:val="0"/>
          <w:color w:val="auto"/>
          <w:sz w:val="24"/>
          <w:szCs w:val="24"/>
          <w:highlight w:val="none"/>
        </w:rPr>
      </w:pPr>
      <w:r>
        <w:rPr>
          <w:rFonts w:hint="eastAsia"/>
          <w:b/>
          <w:bCs w:val="0"/>
          <w:color w:val="auto"/>
          <w:sz w:val="24"/>
          <w:szCs w:val="24"/>
          <w:highlight w:val="none"/>
          <w:lang w:val="en-US" w:eastAsia="zh-CN"/>
        </w:rPr>
        <w:t xml:space="preserve"> </w:t>
      </w:r>
      <w:r>
        <w:rPr>
          <w:b/>
          <w:bCs w:val="0"/>
          <w:color w:val="auto"/>
          <w:sz w:val="24"/>
          <w:szCs w:val="24"/>
          <w:highlight w:val="none"/>
        </w:rPr>
        <w:t>公路沥青路面再生技术规范（JTG 5521-2019）</w:t>
      </w:r>
    </w:p>
    <w:p>
      <w:pPr>
        <w:pStyle w:val="21"/>
        <w:numPr>
          <w:ilvl w:val="1"/>
          <w:numId w:val="5"/>
        </w:numPr>
        <w:tabs>
          <w:tab w:val="left" w:pos="1508"/>
        </w:tabs>
        <w:autoSpaceDE w:val="0"/>
        <w:autoSpaceDN w:val="0"/>
        <w:spacing w:before="160"/>
        <w:ind w:firstLineChars="0"/>
        <w:rPr>
          <w:b/>
          <w:bCs w:val="0"/>
          <w:color w:val="auto"/>
          <w:sz w:val="24"/>
          <w:szCs w:val="24"/>
          <w:highlight w:val="none"/>
        </w:rPr>
      </w:pPr>
      <w:r>
        <w:rPr>
          <w:rFonts w:hint="eastAsia"/>
          <w:b/>
          <w:bCs w:val="0"/>
          <w:color w:val="auto"/>
          <w:sz w:val="24"/>
          <w:szCs w:val="24"/>
          <w:highlight w:val="none"/>
          <w:lang w:val="en-US" w:eastAsia="zh-CN"/>
        </w:rPr>
        <w:t xml:space="preserve"> </w:t>
      </w:r>
      <w:r>
        <w:rPr>
          <w:b/>
          <w:bCs w:val="0"/>
          <w:color w:val="auto"/>
          <w:sz w:val="24"/>
          <w:szCs w:val="24"/>
          <w:highlight w:val="none"/>
        </w:rPr>
        <w:t xml:space="preserve">重交通道路石油沥青（HB/T15180-2010） </w:t>
      </w:r>
    </w:p>
    <w:p>
      <w:pPr>
        <w:pStyle w:val="21"/>
        <w:numPr>
          <w:ilvl w:val="1"/>
          <w:numId w:val="5"/>
        </w:numPr>
        <w:tabs>
          <w:tab w:val="left" w:pos="1508"/>
        </w:tabs>
        <w:autoSpaceDE w:val="0"/>
        <w:autoSpaceDN w:val="0"/>
        <w:spacing w:before="160"/>
        <w:ind w:firstLineChars="0"/>
        <w:rPr>
          <w:rFonts w:hint="eastAsia"/>
          <w:b/>
          <w:bCs w:val="0"/>
          <w:color w:val="auto"/>
          <w:sz w:val="24"/>
          <w:szCs w:val="24"/>
          <w:highlight w:val="none"/>
          <w:lang w:val="en-US" w:eastAsia="zh-CN"/>
        </w:rPr>
      </w:pPr>
      <w:r>
        <w:rPr>
          <w:rFonts w:hint="eastAsia"/>
          <w:b/>
          <w:bCs w:val="0"/>
          <w:color w:val="auto"/>
          <w:sz w:val="24"/>
          <w:szCs w:val="24"/>
          <w:highlight w:val="none"/>
          <w:lang w:val="en-US" w:eastAsia="zh-CN"/>
        </w:rPr>
        <w:t xml:space="preserve"> 沥青路面施工及验收规范（GB50092-96）</w:t>
      </w:r>
    </w:p>
    <w:p>
      <w:pPr>
        <w:pStyle w:val="21"/>
        <w:numPr>
          <w:ilvl w:val="0"/>
          <w:numId w:val="5"/>
        </w:numPr>
        <w:tabs>
          <w:tab w:val="left" w:pos="1141"/>
        </w:tabs>
        <w:autoSpaceDE w:val="0"/>
        <w:autoSpaceDN w:val="0"/>
        <w:spacing w:before="158" w:line="364" w:lineRule="auto"/>
        <w:ind w:left="298" w:right="492" w:firstLine="480" w:firstLineChars="0"/>
        <w:jc w:val="left"/>
        <w:rPr>
          <w:b/>
          <w:bCs w:val="0"/>
          <w:color w:val="auto"/>
          <w:sz w:val="24"/>
          <w:szCs w:val="24"/>
          <w:highlight w:val="none"/>
        </w:rPr>
      </w:pPr>
      <w:r>
        <w:rPr>
          <w:b/>
          <w:bCs w:val="0"/>
          <w:color w:val="auto"/>
          <w:sz w:val="24"/>
          <w:szCs w:val="24"/>
          <w:highlight w:val="none"/>
        </w:rPr>
        <w:t>产品的技术标准可遵照：中华人民共和国国家标准、交通部标准及其他相关标准。</w:t>
      </w:r>
    </w:p>
    <w:p>
      <w:pPr>
        <w:pStyle w:val="21"/>
        <w:numPr>
          <w:ilvl w:val="0"/>
          <w:numId w:val="5"/>
        </w:numPr>
        <w:tabs>
          <w:tab w:val="left" w:pos="1141"/>
        </w:tabs>
        <w:autoSpaceDE w:val="0"/>
        <w:autoSpaceDN w:val="0"/>
        <w:spacing w:before="158" w:line="364" w:lineRule="auto"/>
        <w:ind w:left="298" w:right="492" w:firstLine="480" w:firstLineChars="0"/>
        <w:jc w:val="left"/>
        <w:rPr>
          <w:b/>
          <w:bCs w:val="0"/>
          <w:color w:val="auto"/>
          <w:sz w:val="24"/>
          <w:szCs w:val="24"/>
          <w:highlight w:val="none"/>
        </w:rPr>
      </w:pPr>
      <w:r>
        <w:rPr>
          <w:b/>
          <w:bCs w:val="0"/>
          <w:color w:val="auto"/>
          <w:sz w:val="24"/>
          <w:szCs w:val="24"/>
          <w:highlight w:val="none"/>
        </w:rPr>
        <w:t>产品的质量必须符合国家有关标准及本项目设计单位提出的设计要求。如国家有</w:t>
      </w:r>
      <w:r>
        <w:rPr>
          <w:b/>
          <w:bCs w:val="0"/>
          <w:color w:val="auto"/>
          <w:spacing w:val="-3"/>
          <w:sz w:val="24"/>
          <w:szCs w:val="24"/>
          <w:highlight w:val="none"/>
        </w:rPr>
        <w:t>新标准出台，则应符合国家所颁发的最新版本的质量和技术标准。以上所涉及的各标准及</w:t>
      </w:r>
      <w:r>
        <w:rPr>
          <w:b/>
          <w:bCs w:val="0"/>
          <w:color w:val="auto"/>
          <w:sz w:val="24"/>
          <w:szCs w:val="24"/>
          <w:highlight w:val="none"/>
        </w:rPr>
        <w:t>规范由投标人自备。</w:t>
      </w:r>
    </w:p>
    <w:p>
      <w:pPr>
        <w:pStyle w:val="21"/>
        <w:numPr>
          <w:ilvl w:val="0"/>
          <w:numId w:val="5"/>
        </w:numPr>
        <w:tabs>
          <w:tab w:val="left" w:pos="1141"/>
        </w:tabs>
        <w:autoSpaceDE w:val="0"/>
        <w:autoSpaceDN w:val="0"/>
        <w:spacing w:line="364" w:lineRule="auto"/>
        <w:ind w:left="298" w:right="492" w:firstLine="480" w:firstLineChars="0"/>
        <w:jc w:val="left"/>
        <w:rPr>
          <w:b/>
          <w:bCs w:val="0"/>
          <w:color w:val="auto"/>
          <w:sz w:val="24"/>
          <w:szCs w:val="24"/>
          <w:highlight w:val="none"/>
        </w:rPr>
      </w:pPr>
      <w:r>
        <w:rPr>
          <w:b/>
          <w:bCs w:val="0"/>
          <w:color w:val="auto"/>
          <w:sz w:val="24"/>
          <w:szCs w:val="24"/>
          <w:highlight w:val="none"/>
        </w:rPr>
        <w:t>沥青材料质量及技术要求应符合《贵州高速公路集团有限公司沥青路面工程施工管理规定（第</w:t>
      </w:r>
      <w:r>
        <w:rPr>
          <w:rFonts w:hint="eastAsia"/>
          <w:b/>
          <w:bCs w:val="0"/>
          <w:color w:val="auto"/>
          <w:sz w:val="24"/>
          <w:szCs w:val="24"/>
          <w:highlight w:val="none"/>
          <w:lang w:val="en-US" w:eastAsia="zh-CN"/>
        </w:rPr>
        <w:t>三</w:t>
      </w:r>
      <w:r>
        <w:rPr>
          <w:b/>
          <w:bCs w:val="0"/>
          <w:color w:val="auto"/>
          <w:sz w:val="24"/>
          <w:szCs w:val="24"/>
          <w:highlight w:val="none"/>
        </w:rPr>
        <w:t>版</w:t>
      </w:r>
      <w:r>
        <w:rPr>
          <w:rFonts w:hint="eastAsia"/>
          <w:b/>
          <w:bCs w:val="0"/>
          <w:color w:val="auto"/>
          <w:sz w:val="24"/>
          <w:szCs w:val="24"/>
          <w:highlight w:val="none"/>
          <w:lang w:eastAsia="zh-CN"/>
        </w:rPr>
        <w:t>修订版</w:t>
      </w:r>
      <w:r>
        <w:rPr>
          <w:b/>
          <w:bCs w:val="0"/>
          <w:color w:val="auto"/>
          <w:sz w:val="24"/>
          <w:szCs w:val="24"/>
          <w:highlight w:val="none"/>
        </w:rPr>
        <w:t>）》及《公路沥青路面施工技术规范》(JTG D50-2017)</w:t>
      </w:r>
      <w:r>
        <w:rPr>
          <w:b/>
          <w:bCs w:val="0"/>
          <w:color w:val="auto"/>
          <w:spacing w:val="-3"/>
          <w:sz w:val="24"/>
          <w:szCs w:val="24"/>
          <w:highlight w:val="none"/>
        </w:rPr>
        <w:t>的规定，沥青取</w:t>
      </w:r>
      <w:r>
        <w:rPr>
          <w:b/>
          <w:bCs w:val="0"/>
          <w:color w:val="auto"/>
          <w:sz w:val="24"/>
          <w:szCs w:val="24"/>
          <w:highlight w:val="none"/>
        </w:rPr>
        <w:t>样和试验应符合《公路工程沥青及沥青混合料试验规程》(JTGE20-2011)的规定。</w:t>
      </w:r>
    </w:p>
    <w:p>
      <w:pPr>
        <w:pStyle w:val="21"/>
        <w:numPr>
          <w:ilvl w:val="0"/>
          <w:numId w:val="5"/>
        </w:numPr>
        <w:tabs>
          <w:tab w:val="left" w:pos="1091"/>
        </w:tabs>
        <w:autoSpaceDE w:val="0"/>
        <w:autoSpaceDN w:val="0"/>
        <w:spacing w:line="364" w:lineRule="auto"/>
        <w:ind w:left="298" w:right="372" w:firstLine="429" w:firstLineChars="0"/>
        <w:jc w:val="left"/>
        <w:rPr>
          <w:b/>
          <w:bCs w:val="0"/>
          <w:color w:val="auto"/>
          <w:sz w:val="24"/>
          <w:szCs w:val="24"/>
          <w:highlight w:val="none"/>
        </w:rPr>
      </w:pPr>
      <w:r>
        <w:rPr>
          <w:b/>
          <w:bCs w:val="0"/>
          <w:color w:val="auto"/>
          <w:spacing w:val="-9"/>
          <w:sz w:val="24"/>
          <w:szCs w:val="24"/>
          <w:highlight w:val="none"/>
        </w:rPr>
        <w:t>每一批进场沥青材料都应重新进行取样和试验，同时应有厂家的的证明、技术标准、</w:t>
      </w:r>
      <w:r>
        <w:rPr>
          <w:b/>
          <w:bCs w:val="0"/>
          <w:color w:val="auto"/>
          <w:sz w:val="24"/>
          <w:szCs w:val="24"/>
          <w:highlight w:val="none"/>
        </w:rPr>
        <w:t>试验分析证明书，并说明装运数量、装运日期、定货数量等提交监理人审核。</w:t>
      </w:r>
    </w:p>
    <w:p>
      <w:pPr>
        <w:pStyle w:val="21"/>
        <w:numPr>
          <w:ilvl w:val="0"/>
          <w:numId w:val="5"/>
        </w:numPr>
        <w:tabs>
          <w:tab w:val="left" w:pos="1141"/>
        </w:tabs>
        <w:autoSpaceDE w:val="0"/>
        <w:autoSpaceDN w:val="0"/>
        <w:spacing w:line="362" w:lineRule="auto"/>
        <w:ind w:left="298" w:right="603" w:firstLine="480" w:firstLineChars="0"/>
        <w:jc w:val="left"/>
        <w:rPr>
          <w:b/>
          <w:bCs w:val="0"/>
          <w:color w:val="auto"/>
          <w:sz w:val="24"/>
          <w:szCs w:val="24"/>
          <w:highlight w:val="none"/>
        </w:rPr>
      </w:pPr>
      <w:r>
        <w:rPr>
          <w:b/>
          <w:bCs w:val="0"/>
          <w:color w:val="auto"/>
          <w:spacing w:val="-1"/>
          <w:sz w:val="24"/>
          <w:szCs w:val="24"/>
          <w:highlight w:val="none"/>
        </w:rPr>
        <w:t>投标人对所采购货物的各项要求还应参考并满足贵州高速公路集团有限公司所辖</w:t>
      </w:r>
      <w:r>
        <w:rPr>
          <w:b/>
          <w:bCs w:val="0"/>
          <w:color w:val="auto"/>
          <w:sz w:val="24"/>
          <w:szCs w:val="24"/>
          <w:highlight w:val="none"/>
        </w:rPr>
        <w:t>路段路面养护工程施工招标文件的要求。</w:t>
      </w:r>
    </w:p>
    <w:p>
      <w:pPr>
        <w:numPr>
          <w:ilvl w:val="0"/>
          <w:numId w:val="5"/>
        </w:numPr>
        <w:tabs>
          <w:tab w:val="left" w:pos="1141"/>
        </w:tabs>
        <w:adjustRightInd/>
        <w:spacing w:before="3"/>
        <w:textAlignment w:val="auto"/>
        <w:rPr>
          <w:b/>
          <w:bCs w:val="0"/>
          <w:color w:val="auto"/>
          <w:sz w:val="24"/>
          <w:szCs w:val="24"/>
          <w:highlight w:val="none"/>
        </w:rPr>
      </w:pPr>
      <w:r>
        <w:rPr>
          <w:b/>
          <w:bCs w:val="0"/>
          <w:color w:val="auto"/>
          <w:sz w:val="24"/>
          <w:szCs w:val="24"/>
          <w:highlight w:val="none"/>
        </w:rPr>
        <w:t>70号道路石油沥青技术要求。</w:t>
      </w:r>
    </w:p>
    <w:p>
      <w:pPr>
        <w:tabs>
          <w:tab w:val="left" w:pos="1141"/>
        </w:tabs>
        <w:adjustRightInd/>
        <w:spacing w:before="3"/>
        <w:textAlignment w:val="auto"/>
        <w:rPr>
          <w:b/>
          <w:bCs w:val="0"/>
          <w:color w:val="auto"/>
          <w:sz w:val="24"/>
          <w:szCs w:val="24"/>
          <w:highlight w:val="none"/>
        </w:rPr>
      </w:pPr>
    </w:p>
    <w:p>
      <w:pPr>
        <w:pStyle w:val="2"/>
        <w:tabs>
          <w:tab w:val="left" w:pos="599"/>
        </w:tabs>
        <w:spacing w:before="158"/>
        <w:ind w:right="193"/>
        <w:jc w:val="center"/>
        <w:rPr>
          <w:b/>
          <w:bCs w:val="0"/>
          <w:color w:val="auto"/>
          <w:sz w:val="24"/>
          <w:szCs w:val="24"/>
          <w:highlight w:val="none"/>
        </w:rPr>
      </w:pPr>
      <w:r>
        <w:rPr>
          <w:b/>
          <w:bCs w:val="0"/>
          <w:color w:val="auto"/>
          <w:sz w:val="24"/>
          <w:szCs w:val="24"/>
          <w:highlight w:val="none"/>
        </w:rPr>
        <w:t>表1</w:t>
      </w:r>
      <w:r>
        <w:rPr>
          <w:b/>
          <w:bCs w:val="0"/>
          <w:color w:val="auto"/>
          <w:sz w:val="24"/>
          <w:szCs w:val="24"/>
          <w:highlight w:val="none"/>
        </w:rPr>
        <w:tab/>
      </w:r>
      <w:r>
        <w:rPr>
          <w:b/>
          <w:bCs w:val="0"/>
          <w:color w:val="auto"/>
          <w:sz w:val="24"/>
          <w:szCs w:val="24"/>
          <w:highlight w:val="none"/>
        </w:rPr>
        <w:t>道路石油沥青技术指标</w:t>
      </w:r>
    </w:p>
    <w:p>
      <w:pPr>
        <w:pStyle w:val="2"/>
        <w:spacing w:before="4"/>
        <w:rPr>
          <w:b/>
          <w:bCs w:val="0"/>
          <w:color w:val="auto"/>
          <w:sz w:val="24"/>
          <w:szCs w:val="24"/>
          <w:highlight w:val="none"/>
        </w:rPr>
      </w:pPr>
    </w:p>
    <w:tbl>
      <w:tblPr>
        <w:tblStyle w:val="17"/>
        <w:tblW w:w="9072"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58"/>
        <w:gridCol w:w="2219"/>
        <w:gridCol w:w="1936"/>
        <w:gridCol w:w="1843"/>
        <w:gridCol w:w="141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2" w:hRule="atLeast"/>
          <w:jc w:val="center"/>
        </w:trPr>
        <w:tc>
          <w:tcPr>
            <w:tcW w:w="5813" w:type="dxa"/>
            <w:gridSpan w:val="3"/>
            <w:tcBorders>
              <w:bottom w:val="single" w:color="000000" w:sz="4" w:space="0"/>
              <w:right w:val="single" w:color="000000" w:sz="6" w:space="0"/>
            </w:tcBorders>
            <w:noWrap w:val="0"/>
            <w:vAlign w:val="top"/>
          </w:tcPr>
          <w:p>
            <w:pPr>
              <w:pStyle w:val="24"/>
              <w:spacing w:before="157"/>
              <w:ind w:left="2644" w:right="2146"/>
              <w:jc w:val="center"/>
              <w:rPr>
                <w:b/>
                <w:bCs w:val="0"/>
                <w:color w:val="auto"/>
                <w:sz w:val="24"/>
                <w:szCs w:val="24"/>
                <w:highlight w:val="none"/>
              </w:rPr>
            </w:pPr>
            <w:r>
              <w:rPr>
                <w:b/>
                <w:bCs w:val="0"/>
                <w:color w:val="auto"/>
                <w:sz w:val="24"/>
                <w:szCs w:val="24"/>
                <w:highlight w:val="none"/>
              </w:rPr>
              <w:t>检验项目</w:t>
            </w:r>
          </w:p>
        </w:tc>
        <w:tc>
          <w:tcPr>
            <w:tcW w:w="1843" w:type="dxa"/>
            <w:tcBorders>
              <w:left w:val="single" w:color="000000" w:sz="6" w:space="0"/>
              <w:bottom w:val="single" w:color="000000" w:sz="4" w:space="0"/>
              <w:right w:val="single" w:color="000000" w:sz="6" w:space="0"/>
            </w:tcBorders>
            <w:noWrap w:val="0"/>
            <w:vAlign w:val="top"/>
          </w:tcPr>
          <w:p>
            <w:pPr>
              <w:pStyle w:val="24"/>
              <w:spacing w:before="1"/>
              <w:ind w:left="186" w:right="161"/>
              <w:jc w:val="center"/>
              <w:rPr>
                <w:b/>
                <w:bCs w:val="0"/>
                <w:color w:val="auto"/>
                <w:sz w:val="24"/>
                <w:szCs w:val="24"/>
                <w:highlight w:val="none"/>
              </w:rPr>
            </w:pPr>
            <w:r>
              <w:rPr>
                <w:b/>
                <w:bCs w:val="0"/>
                <w:color w:val="auto"/>
                <w:sz w:val="24"/>
                <w:szCs w:val="24"/>
                <w:highlight w:val="none"/>
              </w:rPr>
              <w:t>70号道路石油</w:t>
            </w:r>
          </w:p>
          <w:p>
            <w:pPr>
              <w:pStyle w:val="24"/>
              <w:spacing w:before="5" w:line="289" w:lineRule="exact"/>
              <w:ind w:left="186" w:right="161"/>
              <w:jc w:val="center"/>
              <w:rPr>
                <w:b/>
                <w:bCs w:val="0"/>
                <w:color w:val="auto"/>
                <w:sz w:val="24"/>
                <w:szCs w:val="24"/>
                <w:highlight w:val="none"/>
              </w:rPr>
            </w:pPr>
            <w:r>
              <w:rPr>
                <w:b/>
                <w:bCs w:val="0"/>
                <w:color w:val="auto"/>
                <w:sz w:val="24"/>
                <w:szCs w:val="24"/>
                <w:highlight w:val="none"/>
              </w:rPr>
              <w:t>沥青</w:t>
            </w:r>
          </w:p>
        </w:tc>
        <w:tc>
          <w:tcPr>
            <w:tcW w:w="1416" w:type="dxa"/>
            <w:tcBorders>
              <w:left w:val="single" w:color="000000" w:sz="6" w:space="0"/>
              <w:bottom w:val="single" w:color="000000" w:sz="4" w:space="0"/>
            </w:tcBorders>
            <w:noWrap w:val="0"/>
            <w:vAlign w:val="top"/>
          </w:tcPr>
          <w:p>
            <w:pPr>
              <w:pStyle w:val="24"/>
              <w:spacing w:before="157"/>
              <w:ind w:left="215" w:right="177"/>
              <w:jc w:val="center"/>
              <w:rPr>
                <w:b/>
                <w:bCs w:val="0"/>
                <w:color w:val="auto"/>
                <w:sz w:val="24"/>
                <w:szCs w:val="24"/>
                <w:highlight w:val="none"/>
              </w:rPr>
            </w:pPr>
            <w:r>
              <w:rPr>
                <w:b/>
                <w:bCs w:val="0"/>
                <w:color w:val="auto"/>
                <w:sz w:val="24"/>
                <w:szCs w:val="24"/>
                <w:highlight w:val="none"/>
              </w:rPr>
              <w:t>试验方法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5813" w:type="dxa"/>
            <w:gridSpan w:val="3"/>
            <w:tcBorders>
              <w:top w:val="single" w:color="000000" w:sz="4" w:space="0"/>
              <w:bottom w:val="single" w:color="000000" w:sz="4" w:space="0"/>
              <w:right w:val="single" w:color="000000" w:sz="6" w:space="0"/>
            </w:tcBorders>
            <w:noWrap w:val="0"/>
            <w:vAlign w:val="top"/>
          </w:tcPr>
          <w:p>
            <w:pPr>
              <w:pStyle w:val="24"/>
              <w:tabs>
                <w:tab w:val="left" w:pos="4548"/>
              </w:tabs>
              <w:spacing w:before="43"/>
              <w:ind w:left="108"/>
              <w:rPr>
                <w:b/>
                <w:bCs w:val="0"/>
                <w:color w:val="auto"/>
                <w:sz w:val="24"/>
                <w:szCs w:val="24"/>
                <w:highlight w:val="none"/>
              </w:rPr>
            </w:pPr>
            <w:r>
              <w:rPr>
                <w:b/>
                <w:bCs w:val="0"/>
                <w:color w:val="auto"/>
                <w:sz w:val="24"/>
                <w:szCs w:val="24"/>
                <w:highlight w:val="none"/>
              </w:rPr>
              <w:t>针入度（25℃，100g,5s）</w:t>
            </w:r>
            <w:r>
              <w:rPr>
                <w:b/>
                <w:bCs w:val="0"/>
                <w:color w:val="auto"/>
                <w:sz w:val="24"/>
                <w:szCs w:val="24"/>
                <w:highlight w:val="none"/>
              </w:rPr>
              <w:tab/>
            </w:r>
            <w:r>
              <w:rPr>
                <w:b/>
                <w:bCs w:val="0"/>
                <w:color w:val="auto"/>
                <w:sz w:val="24"/>
                <w:szCs w:val="24"/>
                <w:highlight w:val="none"/>
              </w:rPr>
              <w:t>(0.1mm)</w:t>
            </w:r>
          </w:p>
        </w:tc>
        <w:tc>
          <w:tcPr>
            <w:tcW w:w="1843" w:type="dxa"/>
            <w:tcBorders>
              <w:top w:val="single" w:color="000000" w:sz="4" w:space="0"/>
              <w:left w:val="single" w:color="000000" w:sz="6" w:space="0"/>
              <w:bottom w:val="single" w:color="000000" w:sz="4" w:space="0"/>
              <w:right w:val="single" w:color="000000" w:sz="6" w:space="0"/>
            </w:tcBorders>
            <w:noWrap w:val="0"/>
            <w:vAlign w:val="top"/>
          </w:tcPr>
          <w:p>
            <w:pPr>
              <w:pStyle w:val="24"/>
              <w:spacing w:before="43"/>
              <w:ind w:left="186" w:right="161"/>
              <w:jc w:val="center"/>
              <w:rPr>
                <w:b/>
                <w:bCs w:val="0"/>
                <w:color w:val="auto"/>
                <w:sz w:val="24"/>
                <w:szCs w:val="24"/>
                <w:highlight w:val="none"/>
              </w:rPr>
            </w:pPr>
            <w:r>
              <w:rPr>
                <w:b/>
                <w:bCs w:val="0"/>
                <w:color w:val="auto"/>
                <w:sz w:val="24"/>
                <w:szCs w:val="24"/>
                <w:highlight w:val="none"/>
              </w:rPr>
              <w:t>60~80</w:t>
            </w:r>
          </w:p>
        </w:tc>
        <w:tc>
          <w:tcPr>
            <w:tcW w:w="1416" w:type="dxa"/>
            <w:tcBorders>
              <w:top w:val="single" w:color="000000" w:sz="4" w:space="0"/>
              <w:left w:val="single" w:color="000000" w:sz="6" w:space="0"/>
              <w:bottom w:val="single" w:color="000000" w:sz="4" w:space="0"/>
            </w:tcBorders>
            <w:noWrap w:val="0"/>
            <w:vAlign w:val="top"/>
          </w:tcPr>
          <w:p>
            <w:pPr>
              <w:pStyle w:val="24"/>
              <w:spacing w:before="43"/>
              <w:ind w:left="215" w:right="177"/>
              <w:jc w:val="center"/>
              <w:rPr>
                <w:b/>
                <w:bCs w:val="0"/>
                <w:color w:val="auto"/>
                <w:sz w:val="24"/>
                <w:szCs w:val="24"/>
                <w:highlight w:val="none"/>
              </w:rPr>
            </w:pPr>
            <w:r>
              <w:rPr>
                <w:b/>
                <w:bCs w:val="0"/>
                <w:color w:val="auto"/>
                <w:sz w:val="24"/>
                <w:szCs w:val="24"/>
                <w:highlight w:val="none"/>
              </w:rPr>
              <w:t>T0604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94" w:hRule="atLeast"/>
          <w:jc w:val="center"/>
        </w:trPr>
        <w:tc>
          <w:tcPr>
            <w:tcW w:w="5813" w:type="dxa"/>
            <w:gridSpan w:val="3"/>
            <w:tcBorders>
              <w:top w:val="single" w:color="000000" w:sz="4" w:space="0"/>
              <w:right w:val="single" w:color="000000" w:sz="6" w:space="0"/>
            </w:tcBorders>
            <w:noWrap w:val="0"/>
            <w:vAlign w:val="top"/>
          </w:tcPr>
          <w:p>
            <w:pPr>
              <w:pStyle w:val="24"/>
              <w:tabs>
                <w:tab w:val="left" w:pos="4068"/>
              </w:tabs>
              <w:spacing w:before="44"/>
              <w:ind w:left="108"/>
              <w:rPr>
                <w:b/>
                <w:bCs w:val="0"/>
                <w:color w:val="auto"/>
                <w:sz w:val="24"/>
                <w:szCs w:val="24"/>
                <w:highlight w:val="none"/>
                <w:lang w:val="en-US"/>
              </w:rPr>
            </w:pPr>
            <w:r>
              <w:rPr>
                <w:b/>
                <w:bCs w:val="0"/>
                <w:color w:val="auto"/>
                <w:sz w:val="24"/>
                <w:szCs w:val="24"/>
                <w:highlight w:val="none"/>
              </w:rPr>
              <w:t>延度</w:t>
            </w:r>
            <w:r>
              <w:rPr>
                <w:b/>
                <w:bCs w:val="0"/>
                <w:color w:val="auto"/>
                <w:sz w:val="24"/>
                <w:szCs w:val="24"/>
                <w:highlight w:val="none"/>
                <w:lang w:val="en-US"/>
              </w:rPr>
              <w:t>（5cm/min,10℃）</w:t>
            </w:r>
            <w:r>
              <w:rPr>
                <w:b/>
                <w:bCs w:val="0"/>
                <w:color w:val="auto"/>
                <w:sz w:val="24"/>
                <w:szCs w:val="24"/>
                <w:highlight w:val="none"/>
                <w:lang w:val="en-US"/>
              </w:rPr>
              <w:tab/>
            </w:r>
            <w:r>
              <w:rPr>
                <w:b/>
                <w:bCs w:val="0"/>
                <w:color w:val="auto"/>
                <w:sz w:val="24"/>
                <w:szCs w:val="24"/>
                <w:highlight w:val="none"/>
              </w:rPr>
              <w:t>不小于</w:t>
            </w:r>
            <w:r>
              <w:rPr>
                <w:b/>
                <w:bCs w:val="0"/>
                <w:color w:val="auto"/>
                <w:sz w:val="24"/>
                <w:szCs w:val="24"/>
                <w:highlight w:val="none"/>
                <w:lang w:val="en-US"/>
              </w:rPr>
              <w:t>（cm）</w:t>
            </w:r>
          </w:p>
        </w:tc>
        <w:tc>
          <w:tcPr>
            <w:tcW w:w="1843" w:type="dxa"/>
            <w:tcBorders>
              <w:top w:val="single" w:color="000000" w:sz="4" w:space="0"/>
              <w:left w:val="single" w:color="000000" w:sz="6" w:space="0"/>
              <w:right w:val="single" w:color="000000" w:sz="6" w:space="0"/>
            </w:tcBorders>
            <w:noWrap w:val="0"/>
            <w:vAlign w:val="top"/>
          </w:tcPr>
          <w:p>
            <w:pPr>
              <w:pStyle w:val="24"/>
              <w:spacing w:before="44"/>
              <w:ind w:left="186" w:right="158"/>
              <w:jc w:val="center"/>
              <w:rPr>
                <w:b/>
                <w:bCs w:val="0"/>
                <w:color w:val="auto"/>
                <w:sz w:val="24"/>
                <w:szCs w:val="24"/>
                <w:highlight w:val="none"/>
              </w:rPr>
            </w:pPr>
            <w:r>
              <w:rPr>
                <w:b/>
                <w:bCs w:val="0"/>
                <w:color w:val="auto"/>
                <w:sz w:val="24"/>
                <w:szCs w:val="24"/>
                <w:highlight w:val="none"/>
              </w:rPr>
              <w:t>20</w:t>
            </w:r>
          </w:p>
        </w:tc>
        <w:tc>
          <w:tcPr>
            <w:tcW w:w="1416" w:type="dxa"/>
            <w:tcBorders>
              <w:top w:val="single" w:color="000000" w:sz="4" w:space="0"/>
              <w:left w:val="single" w:color="000000" w:sz="6" w:space="0"/>
            </w:tcBorders>
            <w:noWrap w:val="0"/>
            <w:vAlign w:val="top"/>
          </w:tcPr>
          <w:p>
            <w:pPr>
              <w:pStyle w:val="24"/>
              <w:spacing w:before="44"/>
              <w:ind w:left="215" w:right="177"/>
              <w:jc w:val="center"/>
              <w:rPr>
                <w:b/>
                <w:bCs w:val="0"/>
                <w:color w:val="auto"/>
                <w:sz w:val="24"/>
                <w:szCs w:val="24"/>
                <w:highlight w:val="none"/>
              </w:rPr>
            </w:pPr>
            <w:r>
              <w:rPr>
                <w:b/>
                <w:bCs w:val="0"/>
                <w:color w:val="auto"/>
                <w:sz w:val="24"/>
                <w:szCs w:val="24"/>
                <w:highlight w:val="none"/>
              </w:rPr>
              <w:t>T0605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4" w:hRule="atLeast"/>
          <w:jc w:val="center"/>
        </w:trPr>
        <w:tc>
          <w:tcPr>
            <w:tcW w:w="3877" w:type="dxa"/>
            <w:gridSpan w:val="2"/>
            <w:tcBorders>
              <w:bottom w:val="single" w:color="000000" w:sz="4" w:space="0"/>
              <w:right w:val="nil"/>
            </w:tcBorders>
            <w:noWrap w:val="0"/>
            <w:vAlign w:val="top"/>
          </w:tcPr>
          <w:p>
            <w:pPr>
              <w:pStyle w:val="24"/>
              <w:spacing w:before="45"/>
              <w:ind w:left="108"/>
              <w:rPr>
                <w:b/>
                <w:bCs w:val="0"/>
                <w:color w:val="auto"/>
                <w:sz w:val="24"/>
                <w:szCs w:val="24"/>
                <w:highlight w:val="none"/>
                <w:lang w:val="en-US"/>
              </w:rPr>
            </w:pPr>
            <w:r>
              <w:rPr>
                <w:b/>
                <w:bCs w:val="0"/>
                <w:color w:val="auto"/>
                <w:sz w:val="24"/>
                <w:szCs w:val="24"/>
                <w:highlight w:val="none"/>
              </w:rPr>
              <w:t>延度</w:t>
            </w:r>
            <w:r>
              <w:rPr>
                <w:b/>
                <w:bCs w:val="0"/>
                <w:color w:val="auto"/>
                <w:sz w:val="24"/>
                <w:szCs w:val="24"/>
                <w:highlight w:val="none"/>
                <w:lang w:val="en-US"/>
              </w:rPr>
              <w:t>（5cm/min,15℃）</w:t>
            </w:r>
          </w:p>
        </w:tc>
        <w:tc>
          <w:tcPr>
            <w:tcW w:w="1936" w:type="dxa"/>
            <w:tcBorders>
              <w:left w:val="nil"/>
              <w:bottom w:val="single" w:color="000000" w:sz="4" w:space="0"/>
              <w:right w:val="single" w:color="000000" w:sz="6" w:space="0"/>
            </w:tcBorders>
            <w:noWrap w:val="0"/>
            <w:vAlign w:val="top"/>
          </w:tcPr>
          <w:p>
            <w:pPr>
              <w:pStyle w:val="24"/>
              <w:spacing w:before="45"/>
              <w:ind w:left="206"/>
              <w:rPr>
                <w:b/>
                <w:bCs w:val="0"/>
                <w:color w:val="auto"/>
                <w:sz w:val="24"/>
                <w:szCs w:val="24"/>
                <w:highlight w:val="none"/>
              </w:rPr>
            </w:pPr>
            <w:r>
              <w:rPr>
                <w:b/>
                <w:bCs w:val="0"/>
                <w:color w:val="auto"/>
                <w:sz w:val="24"/>
                <w:szCs w:val="24"/>
                <w:highlight w:val="none"/>
              </w:rPr>
              <w:t>不小于（cm）</w:t>
            </w:r>
          </w:p>
        </w:tc>
        <w:tc>
          <w:tcPr>
            <w:tcW w:w="1843" w:type="dxa"/>
            <w:tcBorders>
              <w:left w:val="single" w:color="000000" w:sz="6" w:space="0"/>
              <w:bottom w:val="single" w:color="000000" w:sz="4" w:space="0"/>
              <w:right w:val="single" w:color="000000" w:sz="6" w:space="0"/>
            </w:tcBorders>
            <w:noWrap w:val="0"/>
            <w:vAlign w:val="top"/>
          </w:tcPr>
          <w:p>
            <w:pPr>
              <w:pStyle w:val="24"/>
              <w:spacing w:before="45"/>
              <w:ind w:left="186" w:right="161"/>
              <w:jc w:val="center"/>
              <w:rPr>
                <w:b/>
                <w:bCs w:val="0"/>
                <w:color w:val="auto"/>
                <w:sz w:val="24"/>
                <w:szCs w:val="24"/>
                <w:highlight w:val="none"/>
              </w:rPr>
            </w:pPr>
            <w:r>
              <w:rPr>
                <w:b/>
                <w:bCs w:val="0"/>
                <w:color w:val="auto"/>
                <w:sz w:val="24"/>
                <w:szCs w:val="24"/>
                <w:highlight w:val="none"/>
              </w:rPr>
              <w:t>100</w:t>
            </w:r>
          </w:p>
        </w:tc>
        <w:tc>
          <w:tcPr>
            <w:tcW w:w="1416" w:type="dxa"/>
            <w:tcBorders>
              <w:left w:val="single" w:color="000000" w:sz="6" w:space="0"/>
              <w:bottom w:val="single" w:color="000000" w:sz="4" w:space="0"/>
            </w:tcBorders>
            <w:noWrap w:val="0"/>
            <w:vAlign w:val="top"/>
          </w:tcPr>
          <w:p>
            <w:pPr>
              <w:pStyle w:val="24"/>
              <w:rPr>
                <w:rFonts w:ascii="Times New Roman"/>
                <w:b/>
                <w:b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3877" w:type="dxa"/>
            <w:gridSpan w:val="2"/>
            <w:tcBorders>
              <w:top w:val="single" w:color="000000" w:sz="4" w:space="0"/>
              <w:bottom w:val="single" w:color="000000" w:sz="4" w:space="0"/>
              <w:right w:val="nil"/>
            </w:tcBorders>
            <w:noWrap w:val="0"/>
            <w:vAlign w:val="top"/>
          </w:tcPr>
          <w:p>
            <w:pPr>
              <w:pStyle w:val="24"/>
              <w:spacing w:before="38"/>
              <w:ind w:left="108"/>
              <w:rPr>
                <w:b/>
                <w:bCs w:val="0"/>
                <w:color w:val="auto"/>
                <w:sz w:val="24"/>
                <w:szCs w:val="24"/>
                <w:highlight w:val="none"/>
              </w:rPr>
            </w:pPr>
            <w:r>
              <w:rPr>
                <w:b/>
                <w:bCs w:val="0"/>
                <w:color w:val="auto"/>
                <w:sz w:val="24"/>
                <w:szCs w:val="24"/>
                <w:highlight w:val="none"/>
              </w:rPr>
              <w:t>软化点（环球法）</w:t>
            </w:r>
          </w:p>
        </w:tc>
        <w:tc>
          <w:tcPr>
            <w:tcW w:w="1936" w:type="dxa"/>
            <w:tcBorders>
              <w:top w:val="single" w:color="000000" w:sz="4" w:space="0"/>
              <w:left w:val="nil"/>
              <w:bottom w:val="single" w:color="000000" w:sz="4" w:space="0"/>
              <w:right w:val="single" w:color="000000" w:sz="6" w:space="0"/>
            </w:tcBorders>
            <w:noWrap w:val="0"/>
            <w:vAlign w:val="top"/>
          </w:tcPr>
          <w:p>
            <w:pPr>
              <w:pStyle w:val="24"/>
              <w:spacing w:before="38"/>
              <w:ind w:left="326"/>
              <w:rPr>
                <w:b/>
                <w:bCs w:val="0"/>
                <w:color w:val="auto"/>
                <w:sz w:val="24"/>
                <w:szCs w:val="24"/>
                <w:highlight w:val="none"/>
              </w:rPr>
            </w:pPr>
            <w:r>
              <w:rPr>
                <w:b/>
                <w:bCs w:val="0"/>
                <w:color w:val="auto"/>
                <w:sz w:val="24"/>
                <w:szCs w:val="24"/>
                <w:highlight w:val="none"/>
              </w:rPr>
              <w:t>不小于(℃)</w:t>
            </w:r>
          </w:p>
        </w:tc>
        <w:tc>
          <w:tcPr>
            <w:tcW w:w="1843" w:type="dxa"/>
            <w:tcBorders>
              <w:top w:val="single" w:color="000000" w:sz="4" w:space="0"/>
              <w:left w:val="single" w:color="000000" w:sz="6" w:space="0"/>
              <w:bottom w:val="single" w:color="000000" w:sz="4" w:space="0"/>
              <w:right w:val="single" w:color="000000" w:sz="6" w:space="0"/>
            </w:tcBorders>
            <w:noWrap w:val="0"/>
            <w:vAlign w:val="top"/>
          </w:tcPr>
          <w:p>
            <w:pPr>
              <w:pStyle w:val="24"/>
              <w:spacing w:before="38"/>
              <w:ind w:left="186" w:right="161"/>
              <w:jc w:val="center"/>
              <w:rPr>
                <w:b/>
                <w:bCs w:val="0"/>
                <w:color w:val="auto"/>
                <w:sz w:val="24"/>
                <w:szCs w:val="24"/>
                <w:highlight w:val="none"/>
              </w:rPr>
            </w:pPr>
            <w:r>
              <w:rPr>
                <w:b/>
                <w:bCs w:val="0"/>
                <w:color w:val="auto"/>
                <w:sz w:val="24"/>
                <w:szCs w:val="24"/>
                <w:highlight w:val="none"/>
              </w:rPr>
              <w:t>46</w:t>
            </w:r>
          </w:p>
        </w:tc>
        <w:tc>
          <w:tcPr>
            <w:tcW w:w="1416" w:type="dxa"/>
            <w:tcBorders>
              <w:top w:val="single" w:color="000000" w:sz="4" w:space="0"/>
              <w:left w:val="single" w:color="000000" w:sz="6" w:space="0"/>
              <w:bottom w:val="single" w:color="000000" w:sz="4" w:space="0"/>
            </w:tcBorders>
            <w:noWrap w:val="0"/>
            <w:vAlign w:val="top"/>
          </w:tcPr>
          <w:p>
            <w:pPr>
              <w:pStyle w:val="24"/>
              <w:spacing w:before="38"/>
              <w:ind w:left="215" w:right="177"/>
              <w:jc w:val="center"/>
              <w:rPr>
                <w:b/>
                <w:bCs w:val="0"/>
                <w:color w:val="auto"/>
                <w:sz w:val="24"/>
                <w:szCs w:val="24"/>
                <w:highlight w:val="none"/>
              </w:rPr>
            </w:pPr>
            <w:r>
              <w:rPr>
                <w:b/>
                <w:bCs w:val="0"/>
                <w:color w:val="auto"/>
                <w:sz w:val="24"/>
                <w:szCs w:val="24"/>
                <w:highlight w:val="none"/>
              </w:rPr>
              <w:t>T0606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6" w:hRule="atLeast"/>
          <w:jc w:val="center"/>
        </w:trPr>
        <w:tc>
          <w:tcPr>
            <w:tcW w:w="3877" w:type="dxa"/>
            <w:gridSpan w:val="2"/>
            <w:tcBorders>
              <w:top w:val="single" w:color="000000" w:sz="4" w:space="0"/>
              <w:bottom w:val="single" w:color="000000" w:sz="4" w:space="0"/>
              <w:right w:val="nil"/>
            </w:tcBorders>
            <w:noWrap w:val="0"/>
            <w:vAlign w:val="top"/>
          </w:tcPr>
          <w:p>
            <w:pPr>
              <w:pStyle w:val="24"/>
              <w:spacing w:before="37"/>
              <w:ind w:left="108"/>
              <w:rPr>
                <w:b/>
                <w:bCs w:val="0"/>
                <w:color w:val="auto"/>
                <w:sz w:val="24"/>
                <w:szCs w:val="24"/>
                <w:highlight w:val="none"/>
              </w:rPr>
            </w:pPr>
            <w:r>
              <w:rPr>
                <w:b/>
                <w:bCs w:val="0"/>
                <w:color w:val="auto"/>
                <w:sz w:val="24"/>
                <w:szCs w:val="24"/>
                <w:highlight w:val="none"/>
              </w:rPr>
              <w:t>溶解度（三氯乙烯）</w:t>
            </w:r>
          </w:p>
        </w:tc>
        <w:tc>
          <w:tcPr>
            <w:tcW w:w="1936" w:type="dxa"/>
            <w:tcBorders>
              <w:top w:val="single" w:color="000000" w:sz="4" w:space="0"/>
              <w:left w:val="nil"/>
              <w:bottom w:val="single" w:color="000000" w:sz="4" w:space="0"/>
              <w:right w:val="single" w:color="000000" w:sz="6" w:space="0"/>
            </w:tcBorders>
            <w:noWrap w:val="0"/>
            <w:vAlign w:val="top"/>
          </w:tcPr>
          <w:p>
            <w:pPr>
              <w:pStyle w:val="24"/>
              <w:spacing w:before="37"/>
              <w:ind w:left="326"/>
              <w:rPr>
                <w:b/>
                <w:bCs w:val="0"/>
                <w:color w:val="auto"/>
                <w:sz w:val="24"/>
                <w:szCs w:val="24"/>
                <w:highlight w:val="none"/>
              </w:rPr>
            </w:pPr>
            <w:r>
              <w:rPr>
                <w:b/>
                <w:bCs w:val="0"/>
                <w:color w:val="auto"/>
                <w:sz w:val="24"/>
                <w:szCs w:val="24"/>
                <w:highlight w:val="none"/>
              </w:rPr>
              <w:t>不小于（%）</w:t>
            </w:r>
          </w:p>
        </w:tc>
        <w:tc>
          <w:tcPr>
            <w:tcW w:w="1843" w:type="dxa"/>
            <w:tcBorders>
              <w:top w:val="single" w:color="000000" w:sz="4" w:space="0"/>
              <w:left w:val="single" w:color="000000" w:sz="6" w:space="0"/>
              <w:bottom w:val="single" w:color="000000" w:sz="4" w:space="0"/>
              <w:right w:val="single" w:color="000000" w:sz="6" w:space="0"/>
            </w:tcBorders>
            <w:noWrap w:val="0"/>
            <w:vAlign w:val="top"/>
          </w:tcPr>
          <w:p>
            <w:pPr>
              <w:pStyle w:val="24"/>
              <w:spacing w:before="37"/>
              <w:ind w:left="186" w:right="161"/>
              <w:jc w:val="center"/>
              <w:rPr>
                <w:b/>
                <w:bCs w:val="0"/>
                <w:color w:val="auto"/>
                <w:sz w:val="24"/>
                <w:szCs w:val="24"/>
                <w:highlight w:val="none"/>
              </w:rPr>
            </w:pPr>
            <w:r>
              <w:rPr>
                <w:b/>
                <w:bCs w:val="0"/>
                <w:color w:val="auto"/>
                <w:sz w:val="24"/>
                <w:szCs w:val="24"/>
                <w:highlight w:val="none"/>
              </w:rPr>
              <w:t>99.5</w:t>
            </w:r>
          </w:p>
        </w:tc>
        <w:tc>
          <w:tcPr>
            <w:tcW w:w="1416" w:type="dxa"/>
            <w:tcBorders>
              <w:top w:val="single" w:color="000000" w:sz="4" w:space="0"/>
              <w:left w:val="single" w:color="000000" w:sz="6" w:space="0"/>
              <w:bottom w:val="single" w:color="000000" w:sz="4" w:space="0"/>
            </w:tcBorders>
            <w:noWrap w:val="0"/>
            <w:vAlign w:val="top"/>
          </w:tcPr>
          <w:p>
            <w:pPr>
              <w:pStyle w:val="24"/>
              <w:spacing w:before="37"/>
              <w:ind w:left="215" w:right="177"/>
              <w:jc w:val="center"/>
              <w:rPr>
                <w:b/>
                <w:bCs w:val="0"/>
                <w:color w:val="auto"/>
                <w:sz w:val="24"/>
                <w:szCs w:val="24"/>
                <w:highlight w:val="none"/>
              </w:rPr>
            </w:pPr>
            <w:r>
              <w:rPr>
                <w:b/>
                <w:bCs w:val="0"/>
                <w:color w:val="auto"/>
                <w:sz w:val="24"/>
                <w:szCs w:val="24"/>
                <w:highlight w:val="none"/>
              </w:rPr>
              <w:t>T0607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5813" w:type="dxa"/>
            <w:gridSpan w:val="3"/>
            <w:tcBorders>
              <w:top w:val="single" w:color="000000" w:sz="4" w:space="0"/>
              <w:bottom w:val="single" w:color="000000" w:sz="4" w:space="0"/>
              <w:right w:val="single" w:color="000000" w:sz="6" w:space="0"/>
            </w:tcBorders>
            <w:noWrap w:val="0"/>
            <w:vAlign w:val="top"/>
          </w:tcPr>
          <w:p>
            <w:pPr>
              <w:pStyle w:val="24"/>
              <w:spacing w:before="38"/>
              <w:ind w:left="108"/>
              <w:rPr>
                <w:b/>
                <w:bCs w:val="0"/>
                <w:color w:val="auto"/>
                <w:sz w:val="24"/>
                <w:szCs w:val="24"/>
                <w:highlight w:val="none"/>
              </w:rPr>
            </w:pPr>
            <w:r>
              <w:rPr>
                <w:b/>
                <w:bCs w:val="0"/>
                <w:color w:val="auto"/>
                <w:sz w:val="24"/>
                <w:szCs w:val="24"/>
                <w:highlight w:val="none"/>
              </w:rPr>
              <w:t>针入度指数PI</w:t>
            </w:r>
          </w:p>
        </w:tc>
        <w:tc>
          <w:tcPr>
            <w:tcW w:w="1843" w:type="dxa"/>
            <w:tcBorders>
              <w:top w:val="single" w:color="000000" w:sz="4" w:space="0"/>
              <w:left w:val="single" w:color="000000" w:sz="6" w:space="0"/>
              <w:bottom w:val="single" w:color="000000" w:sz="4" w:space="0"/>
              <w:right w:val="single" w:color="000000" w:sz="6" w:space="0"/>
            </w:tcBorders>
            <w:noWrap w:val="0"/>
            <w:vAlign w:val="top"/>
          </w:tcPr>
          <w:p>
            <w:pPr>
              <w:pStyle w:val="24"/>
              <w:spacing w:before="38"/>
              <w:ind w:left="186" w:right="161"/>
              <w:jc w:val="center"/>
              <w:rPr>
                <w:b/>
                <w:bCs w:val="0"/>
                <w:color w:val="auto"/>
                <w:sz w:val="24"/>
                <w:szCs w:val="24"/>
                <w:highlight w:val="none"/>
              </w:rPr>
            </w:pPr>
            <w:r>
              <w:rPr>
                <w:b/>
                <w:bCs w:val="0"/>
                <w:color w:val="auto"/>
                <w:sz w:val="24"/>
                <w:szCs w:val="24"/>
                <w:highlight w:val="none"/>
              </w:rPr>
              <w:t>－1.5~＋1.0</w:t>
            </w:r>
          </w:p>
        </w:tc>
        <w:tc>
          <w:tcPr>
            <w:tcW w:w="1416" w:type="dxa"/>
            <w:tcBorders>
              <w:top w:val="single" w:color="000000" w:sz="4" w:space="0"/>
              <w:left w:val="single" w:color="000000" w:sz="6" w:space="0"/>
              <w:bottom w:val="single" w:color="000000" w:sz="4" w:space="0"/>
            </w:tcBorders>
            <w:noWrap w:val="0"/>
            <w:vAlign w:val="top"/>
          </w:tcPr>
          <w:p>
            <w:pPr>
              <w:pStyle w:val="24"/>
              <w:spacing w:before="38"/>
              <w:ind w:left="215" w:right="177"/>
              <w:jc w:val="center"/>
              <w:rPr>
                <w:b/>
                <w:bCs w:val="0"/>
                <w:color w:val="auto"/>
                <w:sz w:val="24"/>
                <w:szCs w:val="24"/>
                <w:highlight w:val="none"/>
              </w:rPr>
            </w:pPr>
            <w:r>
              <w:rPr>
                <w:b/>
                <w:bCs w:val="0"/>
                <w:color w:val="auto"/>
                <w:sz w:val="24"/>
                <w:szCs w:val="24"/>
                <w:highlight w:val="none"/>
              </w:rPr>
              <w:t>T0604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2" w:hRule="atLeast"/>
          <w:jc w:val="center"/>
        </w:trPr>
        <w:tc>
          <w:tcPr>
            <w:tcW w:w="1658" w:type="dxa"/>
            <w:vMerge w:val="restart"/>
            <w:tcBorders>
              <w:top w:val="single" w:color="000000" w:sz="4" w:space="0"/>
              <w:bottom w:val="single" w:color="000000" w:sz="4" w:space="0"/>
              <w:right w:val="single" w:color="000000" w:sz="6" w:space="0"/>
            </w:tcBorders>
            <w:noWrap w:val="0"/>
            <w:vAlign w:val="top"/>
          </w:tcPr>
          <w:p>
            <w:pPr>
              <w:pStyle w:val="24"/>
              <w:spacing w:before="4"/>
              <w:rPr>
                <w:b/>
                <w:bCs w:val="0"/>
                <w:color w:val="auto"/>
                <w:sz w:val="24"/>
                <w:szCs w:val="24"/>
                <w:highlight w:val="none"/>
              </w:rPr>
            </w:pPr>
          </w:p>
          <w:p>
            <w:pPr>
              <w:pStyle w:val="24"/>
              <w:spacing w:line="242" w:lineRule="auto"/>
              <w:ind w:left="108" w:right="85"/>
              <w:rPr>
                <w:b/>
                <w:bCs w:val="0"/>
                <w:color w:val="auto"/>
                <w:sz w:val="24"/>
                <w:szCs w:val="24"/>
                <w:highlight w:val="none"/>
              </w:rPr>
            </w:pPr>
            <w:r>
              <w:rPr>
                <w:b/>
                <w:bCs w:val="0"/>
                <w:color w:val="auto"/>
                <w:sz w:val="24"/>
                <w:szCs w:val="24"/>
                <w:highlight w:val="none"/>
              </w:rPr>
              <w:t>薄膜加热实验163℃，5h</w:t>
            </w:r>
          </w:p>
        </w:tc>
        <w:tc>
          <w:tcPr>
            <w:tcW w:w="2219" w:type="dxa"/>
            <w:tcBorders>
              <w:top w:val="single" w:color="000000" w:sz="4" w:space="0"/>
              <w:left w:val="single" w:color="000000" w:sz="6" w:space="0"/>
              <w:bottom w:val="single" w:color="000000" w:sz="4" w:space="0"/>
              <w:right w:val="nil"/>
            </w:tcBorders>
            <w:noWrap w:val="0"/>
            <w:vAlign w:val="top"/>
          </w:tcPr>
          <w:p>
            <w:pPr>
              <w:pStyle w:val="24"/>
              <w:spacing w:before="149"/>
              <w:ind w:left="113"/>
              <w:rPr>
                <w:b/>
                <w:bCs w:val="0"/>
                <w:color w:val="auto"/>
                <w:sz w:val="24"/>
                <w:szCs w:val="24"/>
                <w:highlight w:val="none"/>
              </w:rPr>
            </w:pPr>
            <w:r>
              <w:rPr>
                <w:b/>
                <w:bCs w:val="0"/>
                <w:color w:val="auto"/>
                <w:sz w:val="24"/>
                <w:szCs w:val="24"/>
                <w:highlight w:val="none"/>
              </w:rPr>
              <w:t>质量变化</w:t>
            </w:r>
          </w:p>
        </w:tc>
        <w:tc>
          <w:tcPr>
            <w:tcW w:w="1936" w:type="dxa"/>
            <w:tcBorders>
              <w:top w:val="single" w:color="000000" w:sz="4" w:space="0"/>
              <w:left w:val="nil"/>
              <w:bottom w:val="single" w:color="000000" w:sz="4" w:space="0"/>
              <w:right w:val="single" w:color="000000" w:sz="6" w:space="0"/>
            </w:tcBorders>
            <w:noWrap w:val="0"/>
            <w:vAlign w:val="top"/>
          </w:tcPr>
          <w:p>
            <w:pPr>
              <w:pStyle w:val="24"/>
              <w:spacing w:before="149"/>
              <w:ind w:left="422"/>
              <w:rPr>
                <w:b/>
                <w:bCs w:val="0"/>
                <w:color w:val="auto"/>
                <w:sz w:val="24"/>
                <w:szCs w:val="24"/>
                <w:highlight w:val="none"/>
              </w:rPr>
            </w:pPr>
            <w:r>
              <w:rPr>
                <w:b/>
                <w:bCs w:val="0"/>
                <w:color w:val="auto"/>
                <w:sz w:val="24"/>
                <w:szCs w:val="24"/>
                <w:highlight w:val="none"/>
              </w:rPr>
              <w:t>不大于（%）</w:t>
            </w:r>
          </w:p>
        </w:tc>
        <w:tc>
          <w:tcPr>
            <w:tcW w:w="1843" w:type="dxa"/>
            <w:tcBorders>
              <w:top w:val="single" w:color="000000" w:sz="4" w:space="0"/>
              <w:left w:val="single" w:color="000000" w:sz="6" w:space="0"/>
              <w:bottom w:val="single" w:color="000000" w:sz="4" w:space="0"/>
              <w:right w:val="single" w:color="000000" w:sz="6" w:space="0"/>
            </w:tcBorders>
            <w:noWrap w:val="0"/>
            <w:vAlign w:val="top"/>
          </w:tcPr>
          <w:p>
            <w:pPr>
              <w:pStyle w:val="24"/>
              <w:spacing w:before="149"/>
              <w:ind w:left="186" w:right="158"/>
              <w:jc w:val="center"/>
              <w:rPr>
                <w:b/>
                <w:bCs w:val="0"/>
                <w:color w:val="auto"/>
                <w:sz w:val="24"/>
                <w:szCs w:val="24"/>
                <w:highlight w:val="none"/>
              </w:rPr>
            </w:pPr>
            <w:r>
              <w:rPr>
                <w:b/>
                <w:bCs w:val="0"/>
                <w:color w:val="auto"/>
                <w:sz w:val="24"/>
                <w:szCs w:val="24"/>
                <w:highlight w:val="none"/>
              </w:rPr>
              <w:t>±0.4</w:t>
            </w:r>
          </w:p>
        </w:tc>
        <w:tc>
          <w:tcPr>
            <w:tcW w:w="1416" w:type="dxa"/>
            <w:tcBorders>
              <w:top w:val="single" w:color="000000" w:sz="4" w:space="0"/>
              <w:left w:val="single" w:color="000000" w:sz="6" w:space="0"/>
              <w:bottom w:val="single" w:color="000000" w:sz="4" w:space="0"/>
            </w:tcBorders>
            <w:noWrap w:val="0"/>
            <w:vAlign w:val="top"/>
          </w:tcPr>
          <w:p>
            <w:pPr>
              <w:pStyle w:val="24"/>
              <w:spacing w:line="303" w:lineRule="exact"/>
              <w:ind w:left="295"/>
              <w:rPr>
                <w:b/>
                <w:bCs w:val="0"/>
                <w:color w:val="auto"/>
                <w:sz w:val="24"/>
                <w:szCs w:val="24"/>
                <w:highlight w:val="none"/>
              </w:rPr>
            </w:pPr>
            <w:r>
              <w:rPr>
                <w:b/>
                <w:bCs w:val="0"/>
                <w:color w:val="auto"/>
                <w:sz w:val="24"/>
                <w:szCs w:val="24"/>
                <w:highlight w:val="none"/>
              </w:rPr>
              <w:t>T0610或</w:t>
            </w:r>
          </w:p>
          <w:p>
            <w:pPr>
              <w:pStyle w:val="24"/>
              <w:spacing w:before="2" w:line="298" w:lineRule="exact"/>
              <w:ind w:left="415"/>
              <w:rPr>
                <w:b/>
                <w:bCs w:val="0"/>
                <w:color w:val="auto"/>
                <w:sz w:val="24"/>
                <w:szCs w:val="24"/>
                <w:highlight w:val="none"/>
              </w:rPr>
            </w:pPr>
            <w:r>
              <w:rPr>
                <w:b/>
                <w:bCs w:val="0"/>
                <w:color w:val="auto"/>
                <w:sz w:val="24"/>
                <w:szCs w:val="24"/>
                <w:highlight w:val="none"/>
              </w:rPr>
              <w:t>T0609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658" w:type="dxa"/>
            <w:vMerge w:val="continue"/>
            <w:tcBorders>
              <w:top w:val="nil"/>
              <w:bottom w:val="single" w:color="000000" w:sz="4" w:space="0"/>
              <w:right w:val="single" w:color="000000" w:sz="6" w:space="0"/>
            </w:tcBorders>
            <w:noWrap w:val="0"/>
            <w:vAlign w:val="top"/>
          </w:tcPr>
          <w:p>
            <w:pPr>
              <w:rPr>
                <w:b/>
                <w:bCs w:val="0"/>
                <w:color w:val="auto"/>
                <w:sz w:val="24"/>
                <w:szCs w:val="24"/>
                <w:highlight w:val="none"/>
              </w:rPr>
            </w:pPr>
          </w:p>
        </w:tc>
        <w:tc>
          <w:tcPr>
            <w:tcW w:w="4155" w:type="dxa"/>
            <w:gridSpan w:val="2"/>
            <w:tcBorders>
              <w:top w:val="single" w:color="000000" w:sz="4" w:space="0"/>
              <w:left w:val="single" w:color="000000" w:sz="6" w:space="0"/>
              <w:bottom w:val="single" w:color="000000" w:sz="4" w:space="0"/>
              <w:right w:val="single" w:color="000000" w:sz="6" w:space="0"/>
            </w:tcBorders>
            <w:noWrap w:val="0"/>
            <w:vAlign w:val="top"/>
          </w:tcPr>
          <w:p>
            <w:pPr>
              <w:pStyle w:val="24"/>
              <w:spacing w:before="37"/>
              <w:ind w:left="113"/>
              <w:rPr>
                <w:b/>
                <w:bCs w:val="0"/>
                <w:color w:val="auto"/>
                <w:sz w:val="24"/>
                <w:szCs w:val="24"/>
                <w:highlight w:val="none"/>
              </w:rPr>
            </w:pPr>
            <w:r>
              <w:rPr>
                <w:b/>
                <w:bCs w:val="0"/>
                <w:color w:val="auto"/>
                <w:sz w:val="24"/>
                <w:szCs w:val="24"/>
                <w:highlight w:val="none"/>
              </w:rPr>
              <w:t>残留针入度比（25℃） 不小于（%）</w:t>
            </w:r>
          </w:p>
        </w:tc>
        <w:tc>
          <w:tcPr>
            <w:tcW w:w="1843" w:type="dxa"/>
            <w:tcBorders>
              <w:top w:val="single" w:color="000000" w:sz="4" w:space="0"/>
              <w:left w:val="single" w:color="000000" w:sz="6" w:space="0"/>
              <w:bottom w:val="single" w:color="000000" w:sz="4" w:space="0"/>
              <w:right w:val="single" w:color="000000" w:sz="6" w:space="0"/>
            </w:tcBorders>
            <w:noWrap w:val="0"/>
            <w:vAlign w:val="top"/>
          </w:tcPr>
          <w:p>
            <w:pPr>
              <w:pStyle w:val="24"/>
              <w:spacing w:before="37"/>
              <w:ind w:left="186" w:right="161"/>
              <w:jc w:val="center"/>
              <w:rPr>
                <w:b/>
                <w:bCs w:val="0"/>
                <w:color w:val="auto"/>
                <w:sz w:val="24"/>
                <w:szCs w:val="24"/>
                <w:highlight w:val="none"/>
              </w:rPr>
            </w:pPr>
            <w:r>
              <w:rPr>
                <w:b/>
                <w:bCs w:val="0"/>
                <w:color w:val="auto"/>
                <w:sz w:val="24"/>
                <w:szCs w:val="24"/>
                <w:highlight w:val="none"/>
              </w:rPr>
              <w:t>65</w:t>
            </w:r>
          </w:p>
        </w:tc>
        <w:tc>
          <w:tcPr>
            <w:tcW w:w="1416" w:type="dxa"/>
            <w:tcBorders>
              <w:top w:val="single" w:color="000000" w:sz="4" w:space="0"/>
              <w:left w:val="single" w:color="000000" w:sz="6" w:space="0"/>
              <w:bottom w:val="single" w:color="000000" w:sz="4" w:space="0"/>
            </w:tcBorders>
            <w:noWrap w:val="0"/>
            <w:vAlign w:val="top"/>
          </w:tcPr>
          <w:p>
            <w:pPr>
              <w:pStyle w:val="24"/>
              <w:spacing w:before="37"/>
              <w:ind w:left="215" w:right="177"/>
              <w:jc w:val="center"/>
              <w:rPr>
                <w:b/>
                <w:bCs w:val="0"/>
                <w:color w:val="auto"/>
                <w:sz w:val="24"/>
                <w:szCs w:val="24"/>
                <w:highlight w:val="none"/>
              </w:rPr>
            </w:pPr>
            <w:r>
              <w:rPr>
                <w:b/>
                <w:bCs w:val="0"/>
                <w:color w:val="auto"/>
                <w:sz w:val="24"/>
                <w:szCs w:val="24"/>
                <w:highlight w:val="none"/>
              </w:rPr>
              <w:t>T0604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97" w:hRule="atLeast"/>
          <w:jc w:val="center"/>
        </w:trPr>
        <w:tc>
          <w:tcPr>
            <w:tcW w:w="1658" w:type="dxa"/>
            <w:vMerge w:val="continue"/>
            <w:tcBorders>
              <w:top w:val="nil"/>
              <w:bottom w:val="single" w:color="000000" w:sz="4" w:space="0"/>
              <w:right w:val="single" w:color="000000" w:sz="6" w:space="0"/>
            </w:tcBorders>
            <w:noWrap w:val="0"/>
            <w:vAlign w:val="top"/>
          </w:tcPr>
          <w:p>
            <w:pPr>
              <w:rPr>
                <w:b/>
                <w:bCs w:val="0"/>
                <w:color w:val="auto"/>
                <w:sz w:val="24"/>
                <w:szCs w:val="24"/>
                <w:highlight w:val="none"/>
              </w:rPr>
            </w:pPr>
          </w:p>
        </w:tc>
        <w:tc>
          <w:tcPr>
            <w:tcW w:w="2219" w:type="dxa"/>
            <w:tcBorders>
              <w:top w:val="single" w:color="000000" w:sz="4" w:space="0"/>
              <w:left w:val="single" w:color="000000" w:sz="6" w:space="0"/>
              <w:bottom w:val="single" w:color="000000" w:sz="4" w:space="0"/>
              <w:right w:val="nil"/>
            </w:tcBorders>
            <w:noWrap w:val="0"/>
            <w:vAlign w:val="top"/>
          </w:tcPr>
          <w:p>
            <w:pPr>
              <w:pStyle w:val="24"/>
              <w:spacing w:before="35"/>
              <w:ind w:left="113"/>
              <w:rPr>
                <w:b/>
                <w:bCs w:val="0"/>
                <w:color w:val="auto"/>
                <w:sz w:val="24"/>
                <w:szCs w:val="24"/>
                <w:highlight w:val="none"/>
              </w:rPr>
            </w:pPr>
            <w:r>
              <w:rPr>
                <w:b/>
                <w:bCs w:val="0"/>
                <w:color w:val="auto"/>
                <w:sz w:val="24"/>
                <w:szCs w:val="24"/>
                <w:highlight w:val="none"/>
              </w:rPr>
              <w:t>残留延度（10℃）</w:t>
            </w:r>
          </w:p>
        </w:tc>
        <w:tc>
          <w:tcPr>
            <w:tcW w:w="1936" w:type="dxa"/>
            <w:tcBorders>
              <w:top w:val="single" w:color="000000" w:sz="4" w:space="0"/>
              <w:left w:val="nil"/>
              <w:bottom w:val="single" w:color="000000" w:sz="4" w:space="0"/>
              <w:right w:val="single" w:color="000000" w:sz="6" w:space="0"/>
            </w:tcBorders>
            <w:noWrap w:val="0"/>
            <w:vAlign w:val="top"/>
          </w:tcPr>
          <w:p>
            <w:pPr>
              <w:pStyle w:val="24"/>
              <w:spacing w:before="35"/>
              <w:ind w:left="302"/>
              <w:rPr>
                <w:b/>
                <w:bCs w:val="0"/>
                <w:color w:val="auto"/>
                <w:sz w:val="24"/>
                <w:szCs w:val="24"/>
                <w:highlight w:val="none"/>
              </w:rPr>
            </w:pPr>
            <w:r>
              <w:rPr>
                <w:b/>
                <w:bCs w:val="0"/>
                <w:color w:val="auto"/>
                <w:sz w:val="24"/>
                <w:szCs w:val="24"/>
                <w:highlight w:val="none"/>
              </w:rPr>
              <w:t>不小于（cm）</w:t>
            </w:r>
          </w:p>
        </w:tc>
        <w:tc>
          <w:tcPr>
            <w:tcW w:w="1843" w:type="dxa"/>
            <w:tcBorders>
              <w:top w:val="single" w:color="000000" w:sz="4" w:space="0"/>
              <w:left w:val="single" w:color="000000" w:sz="6" w:space="0"/>
              <w:bottom w:val="single" w:color="000000" w:sz="4" w:space="0"/>
              <w:right w:val="single" w:color="000000" w:sz="6" w:space="0"/>
            </w:tcBorders>
            <w:noWrap w:val="0"/>
            <w:vAlign w:val="top"/>
          </w:tcPr>
          <w:p>
            <w:pPr>
              <w:pStyle w:val="24"/>
              <w:spacing w:before="35"/>
              <w:ind w:left="25"/>
              <w:jc w:val="center"/>
              <w:rPr>
                <w:b/>
                <w:bCs w:val="0"/>
                <w:color w:val="auto"/>
                <w:sz w:val="24"/>
                <w:szCs w:val="24"/>
                <w:highlight w:val="none"/>
              </w:rPr>
            </w:pPr>
            <w:r>
              <w:rPr>
                <w:b/>
                <w:bCs w:val="0"/>
                <w:color w:val="auto"/>
                <w:sz w:val="24"/>
                <w:szCs w:val="24"/>
                <w:highlight w:val="none"/>
              </w:rPr>
              <w:t>6</w:t>
            </w:r>
          </w:p>
        </w:tc>
        <w:tc>
          <w:tcPr>
            <w:tcW w:w="1416" w:type="dxa"/>
            <w:tcBorders>
              <w:top w:val="single" w:color="000000" w:sz="4" w:space="0"/>
              <w:left w:val="single" w:color="000000" w:sz="6" w:space="0"/>
              <w:bottom w:val="single" w:color="000000" w:sz="4" w:space="0"/>
            </w:tcBorders>
            <w:noWrap w:val="0"/>
            <w:vAlign w:val="top"/>
          </w:tcPr>
          <w:p>
            <w:pPr>
              <w:pStyle w:val="24"/>
              <w:spacing w:before="35"/>
              <w:ind w:left="215" w:right="177"/>
              <w:jc w:val="center"/>
              <w:rPr>
                <w:b/>
                <w:bCs w:val="0"/>
                <w:color w:val="auto"/>
                <w:sz w:val="24"/>
                <w:szCs w:val="24"/>
                <w:highlight w:val="none"/>
              </w:rPr>
            </w:pPr>
            <w:r>
              <w:rPr>
                <w:b/>
                <w:bCs w:val="0"/>
                <w:color w:val="auto"/>
                <w:sz w:val="24"/>
                <w:szCs w:val="24"/>
                <w:highlight w:val="none"/>
              </w:rPr>
              <w:t>T0605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3877" w:type="dxa"/>
            <w:gridSpan w:val="2"/>
            <w:tcBorders>
              <w:top w:val="single" w:color="000000" w:sz="4" w:space="0"/>
              <w:bottom w:val="single" w:color="000000" w:sz="4" w:space="0"/>
              <w:right w:val="nil"/>
            </w:tcBorders>
            <w:noWrap w:val="0"/>
            <w:vAlign w:val="top"/>
          </w:tcPr>
          <w:p>
            <w:pPr>
              <w:pStyle w:val="24"/>
              <w:spacing w:before="36"/>
              <w:ind w:left="108"/>
              <w:rPr>
                <w:b/>
                <w:bCs w:val="0"/>
                <w:color w:val="auto"/>
                <w:sz w:val="24"/>
                <w:szCs w:val="24"/>
                <w:highlight w:val="none"/>
              </w:rPr>
            </w:pPr>
            <w:r>
              <w:rPr>
                <w:b/>
                <w:bCs w:val="0"/>
                <w:color w:val="auto"/>
                <w:sz w:val="24"/>
                <w:szCs w:val="24"/>
                <w:highlight w:val="none"/>
              </w:rPr>
              <w:t>闪点（coc）</w:t>
            </w:r>
          </w:p>
        </w:tc>
        <w:tc>
          <w:tcPr>
            <w:tcW w:w="1936" w:type="dxa"/>
            <w:tcBorders>
              <w:top w:val="single" w:color="000000" w:sz="4" w:space="0"/>
              <w:left w:val="nil"/>
              <w:bottom w:val="single" w:color="000000" w:sz="4" w:space="0"/>
              <w:right w:val="single" w:color="000000" w:sz="6" w:space="0"/>
            </w:tcBorders>
            <w:noWrap w:val="0"/>
            <w:vAlign w:val="top"/>
          </w:tcPr>
          <w:p>
            <w:pPr>
              <w:pStyle w:val="24"/>
              <w:spacing w:before="36"/>
              <w:ind w:left="446"/>
              <w:rPr>
                <w:b/>
                <w:bCs w:val="0"/>
                <w:color w:val="auto"/>
                <w:sz w:val="24"/>
                <w:szCs w:val="24"/>
                <w:highlight w:val="none"/>
              </w:rPr>
            </w:pPr>
            <w:r>
              <w:rPr>
                <w:b/>
                <w:bCs w:val="0"/>
                <w:color w:val="auto"/>
                <w:sz w:val="24"/>
                <w:szCs w:val="24"/>
                <w:highlight w:val="none"/>
              </w:rPr>
              <w:t>不小于（℃）</w:t>
            </w:r>
          </w:p>
        </w:tc>
        <w:tc>
          <w:tcPr>
            <w:tcW w:w="1843" w:type="dxa"/>
            <w:tcBorders>
              <w:top w:val="single" w:color="000000" w:sz="4" w:space="0"/>
              <w:left w:val="single" w:color="000000" w:sz="6" w:space="0"/>
              <w:bottom w:val="single" w:color="000000" w:sz="4" w:space="0"/>
              <w:right w:val="single" w:color="000000" w:sz="6" w:space="0"/>
            </w:tcBorders>
            <w:noWrap w:val="0"/>
            <w:vAlign w:val="top"/>
          </w:tcPr>
          <w:p>
            <w:pPr>
              <w:pStyle w:val="24"/>
              <w:spacing w:before="36"/>
              <w:ind w:left="186" w:right="161"/>
              <w:jc w:val="center"/>
              <w:rPr>
                <w:b/>
                <w:bCs w:val="0"/>
                <w:color w:val="auto"/>
                <w:sz w:val="24"/>
                <w:szCs w:val="24"/>
                <w:highlight w:val="none"/>
              </w:rPr>
            </w:pPr>
            <w:r>
              <w:rPr>
                <w:b/>
                <w:bCs w:val="0"/>
                <w:color w:val="auto"/>
                <w:sz w:val="24"/>
                <w:szCs w:val="24"/>
                <w:highlight w:val="none"/>
              </w:rPr>
              <w:t>260</w:t>
            </w:r>
          </w:p>
        </w:tc>
        <w:tc>
          <w:tcPr>
            <w:tcW w:w="1416" w:type="dxa"/>
            <w:tcBorders>
              <w:top w:val="single" w:color="000000" w:sz="4" w:space="0"/>
              <w:left w:val="single" w:color="000000" w:sz="6" w:space="0"/>
              <w:bottom w:val="single" w:color="000000" w:sz="4" w:space="0"/>
            </w:tcBorders>
            <w:noWrap w:val="0"/>
            <w:vAlign w:val="top"/>
          </w:tcPr>
          <w:p>
            <w:pPr>
              <w:pStyle w:val="24"/>
              <w:spacing w:before="36"/>
              <w:ind w:left="215" w:right="177"/>
              <w:jc w:val="center"/>
              <w:rPr>
                <w:b/>
                <w:bCs w:val="0"/>
                <w:color w:val="auto"/>
                <w:sz w:val="24"/>
                <w:szCs w:val="24"/>
                <w:highlight w:val="none"/>
              </w:rPr>
            </w:pPr>
            <w:r>
              <w:rPr>
                <w:b/>
                <w:bCs w:val="0"/>
                <w:color w:val="auto"/>
                <w:sz w:val="24"/>
                <w:szCs w:val="24"/>
                <w:highlight w:val="none"/>
              </w:rPr>
              <w:t>T0611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3877" w:type="dxa"/>
            <w:gridSpan w:val="2"/>
            <w:tcBorders>
              <w:top w:val="single" w:color="000000" w:sz="4" w:space="0"/>
              <w:bottom w:val="single" w:color="000000" w:sz="4" w:space="0"/>
              <w:right w:val="nil"/>
            </w:tcBorders>
            <w:noWrap w:val="0"/>
            <w:vAlign w:val="top"/>
          </w:tcPr>
          <w:p>
            <w:pPr>
              <w:pStyle w:val="24"/>
              <w:spacing w:before="35"/>
              <w:ind w:left="108"/>
              <w:rPr>
                <w:b/>
                <w:bCs w:val="0"/>
                <w:color w:val="auto"/>
                <w:sz w:val="24"/>
                <w:szCs w:val="24"/>
                <w:highlight w:val="none"/>
              </w:rPr>
            </w:pPr>
            <w:r>
              <w:rPr>
                <w:b/>
                <w:bCs w:val="0"/>
                <w:color w:val="auto"/>
                <w:sz w:val="24"/>
                <w:szCs w:val="24"/>
                <w:highlight w:val="none"/>
              </w:rPr>
              <w:t>蜡含量（蒸馏法）</w:t>
            </w:r>
          </w:p>
        </w:tc>
        <w:tc>
          <w:tcPr>
            <w:tcW w:w="1936" w:type="dxa"/>
            <w:tcBorders>
              <w:top w:val="single" w:color="000000" w:sz="4" w:space="0"/>
              <w:left w:val="nil"/>
              <w:bottom w:val="single" w:color="000000" w:sz="4" w:space="0"/>
              <w:right w:val="single" w:color="000000" w:sz="6" w:space="0"/>
            </w:tcBorders>
            <w:noWrap w:val="0"/>
            <w:vAlign w:val="top"/>
          </w:tcPr>
          <w:p>
            <w:pPr>
              <w:pStyle w:val="24"/>
              <w:spacing w:before="35"/>
              <w:ind w:left="446"/>
              <w:rPr>
                <w:b/>
                <w:bCs w:val="0"/>
                <w:color w:val="auto"/>
                <w:sz w:val="24"/>
                <w:szCs w:val="24"/>
                <w:highlight w:val="none"/>
              </w:rPr>
            </w:pPr>
            <w:r>
              <w:rPr>
                <w:b/>
                <w:bCs w:val="0"/>
                <w:color w:val="auto"/>
                <w:sz w:val="24"/>
                <w:szCs w:val="24"/>
                <w:highlight w:val="none"/>
              </w:rPr>
              <w:t>不大于（%）</w:t>
            </w:r>
          </w:p>
        </w:tc>
        <w:tc>
          <w:tcPr>
            <w:tcW w:w="1843" w:type="dxa"/>
            <w:tcBorders>
              <w:top w:val="single" w:color="000000" w:sz="4" w:space="0"/>
              <w:left w:val="single" w:color="000000" w:sz="6" w:space="0"/>
              <w:bottom w:val="single" w:color="000000" w:sz="4" w:space="0"/>
              <w:right w:val="single" w:color="000000" w:sz="6" w:space="0"/>
            </w:tcBorders>
            <w:noWrap w:val="0"/>
            <w:vAlign w:val="top"/>
          </w:tcPr>
          <w:p>
            <w:pPr>
              <w:pStyle w:val="24"/>
              <w:spacing w:before="35"/>
              <w:ind w:left="186" w:right="161"/>
              <w:jc w:val="center"/>
              <w:rPr>
                <w:b/>
                <w:bCs w:val="0"/>
                <w:color w:val="auto"/>
                <w:sz w:val="24"/>
                <w:szCs w:val="24"/>
                <w:highlight w:val="none"/>
              </w:rPr>
            </w:pPr>
            <w:r>
              <w:rPr>
                <w:b/>
                <w:bCs w:val="0"/>
                <w:color w:val="auto"/>
                <w:sz w:val="24"/>
                <w:szCs w:val="24"/>
                <w:highlight w:val="none"/>
              </w:rPr>
              <w:t>2.0</w:t>
            </w:r>
          </w:p>
        </w:tc>
        <w:tc>
          <w:tcPr>
            <w:tcW w:w="1416" w:type="dxa"/>
            <w:tcBorders>
              <w:top w:val="single" w:color="000000" w:sz="4" w:space="0"/>
              <w:left w:val="single" w:color="000000" w:sz="6" w:space="0"/>
              <w:bottom w:val="single" w:color="000000" w:sz="4" w:space="0"/>
            </w:tcBorders>
            <w:noWrap w:val="0"/>
            <w:vAlign w:val="top"/>
          </w:tcPr>
          <w:p>
            <w:pPr>
              <w:pStyle w:val="24"/>
              <w:spacing w:before="35"/>
              <w:ind w:left="215" w:right="177"/>
              <w:jc w:val="center"/>
              <w:rPr>
                <w:b/>
                <w:bCs w:val="0"/>
                <w:color w:val="auto"/>
                <w:sz w:val="24"/>
                <w:szCs w:val="24"/>
                <w:highlight w:val="none"/>
              </w:rPr>
            </w:pPr>
            <w:r>
              <w:rPr>
                <w:b/>
                <w:bCs w:val="0"/>
                <w:color w:val="auto"/>
                <w:sz w:val="24"/>
                <w:szCs w:val="24"/>
                <w:highlight w:val="none"/>
              </w:rPr>
              <w:t>T0615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6" w:hRule="atLeast"/>
          <w:jc w:val="center"/>
        </w:trPr>
        <w:tc>
          <w:tcPr>
            <w:tcW w:w="5813" w:type="dxa"/>
            <w:gridSpan w:val="3"/>
            <w:tcBorders>
              <w:top w:val="single" w:color="000000" w:sz="4" w:space="0"/>
              <w:bottom w:val="single" w:color="000000" w:sz="4" w:space="0"/>
              <w:right w:val="single" w:color="000000" w:sz="6" w:space="0"/>
            </w:tcBorders>
            <w:noWrap w:val="0"/>
            <w:vAlign w:val="top"/>
          </w:tcPr>
          <w:p>
            <w:pPr>
              <w:pStyle w:val="24"/>
              <w:tabs>
                <w:tab w:val="left" w:pos="4118"/>
              </w:tabs>
              <w:spacing w:before="36"/>
              <w:ind w:left="108" w:right="-44"/>
              <w:rPr>
                <w:b/>
                <w:bCs w:val="0"/>
                <w:color w:val="auto"/>
                <w:sz w:val="24"/>
                <w:szCs w:val="24"/>
                <w:highlight w:val="none"/>
                <w:lang w:val="en-US"/>
              </w:rPr>
            </w:pPr>
            <w:r>
              <w:rPr>
                <w:b/>
                <w:bCs w:val="0"/>
                <w:color w:val="auto"/>
                <w:sz w:val="24"/>
                <w:szCs w:val="24"/>
                <w:highlight w:val="none"/>
              </w:rPr>
              <w:t>密</w:t>
            </w:r>
            <w:r>
              <w:rPr>
                <w:b/>
                <w:bCs w:val="0"/>
                <w:color w:val="auto"/>
                <w:spacing w:val="-36"/>
                <w:sz w:val="24"/>
                <w:szCs w:val="24"/>
                <w:highlight w:val="none"/>
              </w:rPr>
              <w:t>度</w:t>
            </w:r>
            <w:r>
              <w:rPr>
                <w:b/>
                <w:bCs w:val="0"/>
                <w:color w:val="auto"/>
                <w:sz w:val="24"/>
                <w:szCs w:val="24"/>
                <w:highlight w:val="none"/>
                <w:lang w:val="en-US"/>
              </w:rPr>
              <w:t>（15℃）</w:t>
            </w:r>
            <w:r>
              <w:rPr>
                <w:b/>
                <w:bCs w:val="0"/>
                <w:color w:val="auto"/>
                <w:sz w:val="24"/>
                <w:szCs w:val="24"/>
                <w:highlight w:val="none"/>
                <w:lang w:val="en-US"/>
              </w:rPr>
              <w:tab/>
            </w:r>
            <w:r>
              <w:rPr>
                <w:b/>
                <w:bCs w:val="0"/>
                <w:color w:val="auto"/>
                <w:sz w:val="24"/>
                <w:szCs w:val="24"/>
                <w:highlight w:val="none"/>
              </w:rPr>
              <w:t>不小</w:t>
            </w:r>
            <w:r>
              <w:rPr>
                <w:b/>
                <w:bCs w:val="0"/>
                <w:color w:val="auto"/>
                <w:spacing w:val="-34"/>
                <w:sz w:val="24"/>
                <w:szCs w:val="24"/>
                <w:highlight w:val="none"/>
              </w:rPr>
              <w:t>于</w:t>
            </w:r>
            <w:r>
              <w:rPr>
                <w:b/>
                <w:bCs w:val="0"/>
                <w:color w:val="auto"/>
                <w:sz w:val="24"/>
                <w:szCs w:val="24"/>
                <w:highlight w:val="none"/>
                <w:lang w:val="en-US"/>
              </w:rPr>
              <w:t>（g/cm</w:t>
            </w:r>
            <w:r>
              <w:rPr>
                <w:b/>
                <w:bCs w:val="0"/>
                <w:color w:val="auto"/>
                <w:position w:val="12"/>
                <w:sz w:val="24"/>
                <w:szCs w:val="24"/>
                <w:highlight w:val="none"/>
                <w:lang w:val="en-US"/>
              </w:rPr>
              <w:t>3</w:t>
            </w:r>
            <w:r>
              <w:rPr>
                <w:b/>
                <w:bCs w:val="0"/>
                <w:color w:val="auto"/>
                <w:sz w:val="24"/>
                <w:szCs w:val="24"/>
                <w:highlight w:val="none"/>
                <w:lang w:val="en-US"/>
              </w:rPr>
              <w:t>）</w:t>
            </w:r>
          </w:p>
        </w:tc>
        <w:tc>
          <w:tcPr>
            <w:tcW w:w="1843" w:type="dxa"/>
            <w:tcBorders>
              <w:top w:val="single" w:color="000000" w:sz="4" w:space="0"/>
              <w:left w:val="single" w:color="000000" w:sz="6" w:space="0"/>
              <w:bottom w:val="single" w:color="000000" w:sz="4" w:space="0"/>
              <w:right w:val="single" w:color="000000" w:sz="6" w:space="0"/>
            </w:tcBorders>
            <w:noWrap w:val="0"/>
            <w:vAlign w:val="top"/>
          </w:tcPr>
          <w:p>
            <w:pPr>
              <w:pStyle w:val="24"/>
              <w:spacing w:before="36"/>
              <w:ind w:left="186" w:right="161"/>
              <w:jc w:val="center"/>
              <w:rPr>
                <w:b/>
                <w:bCs w:val="0"/>
                <w:color w:val="auto"/>
                <w:sz w:val="24"/>
                <w:szCs w:val="24"/>
                <w:highlight w:val="none"/>
              </w:rPr>
            </w:pPr>
            <w:r>
              <w:rPr>
                <w:b/>
                <w:bCs w:val="0"/>
                <w:color w:val="auto"/>
                <w:sz w:val="24"/>
                <w:szCs w:val="24"/>
                <w:highlight w:val="none"/>
              </w:rPr>
              <w:t>实测记录</w:t>
            </w:r>
          </w:p>
        </w:tc>
        <w:tc>
          <w:tcPr>
            <w:tcW w:w="1416" w:type="dxa"/>
            <w:tcBorders>
              <w:top w:val="single" w:color="000000" w:sz="4" w:space="0"/>
              <w:left w:val="single" w:color="000000" w:sz="6" w:space="0"/>
              <w:bottom w:val="single" w:color="000000" w:sz="4" w:space="0"/>
            </w:tcBorders>
            <w:noWrap w:val="0"/>
            <w:vAlign w:val="top"/>
          </w:tcPr>
          <w:p>
            <w:pPr>
              <w:pStyle w:val="24"/>
              <w:spacing w:before="36"/>
              <w:ind w:left="215" w:right="177"/>
              <w:jc w:val="center"/>
              <w:rPr>
                <w:b/>
                <w:bCs w:val="0"/>
                <w:color w:val="auto"/>
                <w:sz w:val="24"/>
                <w:szCs w:val="24"/>
                <w:highlight w:val="none"/>
              </w:rPr>
            </w:pPr>
            <w:r>
              <w:rPr>
                <w:b/>
                <w:bCs w:val="0"/>
                <w:color w:val="auto"/>
                <w:sz w:val="24"/>
                <w:szCs w:val="24"/>
                <w:highlight w:val="none"/>
              </w:rPr>
              <w:t>T0603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5813" w:type="dxa"/>
            <w:gridSpan w:val="3"/>
            <w:tcBorders>
              <w:top w:val="single" w:color="000000" w:sz="4" w:space="0"/>
              <w:bottom w:val="single" w:color="000000" w:sz="4" w:space="0"/>
              <w:right w:val="single" w:color="000000" w:sz="6" w:space="0"/>
            </w:tcBorders>
            <w:noWrap w:val="0"/>
            <w:vAlign w:val="top"/>
          </w:tcPr>
          <w:p>
            <w:pPr>
              <w:pStyle w:val="24"/>
              <w:tabs>
                <w:tab w:val="left" w:pos="4034"/>
              </w:tabs>
              <w:spacing w:before="37"/>
              <w:ind w:left="108" w:right="-44"/>
              <w:rPr>
                <w:b/>
                <w:bCs w:val="0"/>
                <w:color w:val="auto"/>
                <w:sz w:val="24"/>
                <w:szCs w:val="24"/>
                <w:highlight w:val="none"/>
              </w:rPr>
            </w:pPr>
            <w:r>
              <w:rPr>
                <w:b/>
                <w:bCs w:val="0"/>
                <w:color w:val="auto"/>
                <w:sz w:val="24"/>
                <w:szCs w:val="24"/>
                <w:highlight w:val="none"/>
              </w:rPr>
              <w:t>动力粘</w:t>
            </w:r>
            <w:r>
              <w:rPr>
                <w:b/>
                <w:bCs w:val="0"/>
                <w:color w:val="auto"/>
                <w:spacing w:val="-12"/>
                <w:sz w:val="24"/>
                <w:szCs w:val="24"/>
                <w:highlight w:val="none"/>
              </w:rPr>
              <w:t>度</w:t>
            </w:r>
            <w:r>
              <w:rPr>
                <w:b/>
                <w:bCs w:val="0"/>
                <w:color w:val="auto"/>
                <w:sz w:val="24"/>
                <w:szCs w:val="24"/>
                <w:highlight w:val="none"/>
              </w:rPr>
              <w:t>（绝对粘度</w:t>
            </w:r>
            <w:r>
              <w:rPr>
                <w:b/>
                <w:bCs w:val="0"/>
                <w:color w:val="auto"/>
                <w:spacing w:val="-3"/>
                <w:sz w:val="24"/>
                <w:szCs w:val="24"/>
                <w:highlight w:val="none"/>
              </w:rPr>
              <w:t>，60℃）</w:t>
            </w:r>
            <w:r>
              <w:rPr>
                <w:b/>
                <w:bCs w:val="0"/>
                <w:color w:val="auto"/>
                <w:spacing w:val="-3"/>
                <w:sz w:val="24"/>
                <w:szCs w:val="24"/>
                <w:highlight w:val="none"/>
              </w:rPr>
              <w:tab/>
            </w:r>
            <w:r>
              <w:rPr>
                <w:b/>
                <w:bCs w:val="0"/>
                <w:color w:val="auto"/>
                <w:sz w:val="24"/>
                <w:szCs w:val="24"/>
                <w:highlight w:val="none"/>
              </w:rPr>
              <w:t>不小</w:t>
            </w:r>
            <w:r>
              <w:rPr>
                <w:b/>
                <w:bCs w:val="0"/>
                <w:color w:val="auto"/>
                <w:spacing w:val="-10"/>
                <w:sz w:val="24"/>
                <w:szCs w:val="24"/>
                <w:highlight w:val="none"/>
              </w:rPr>
              <w:t>于</w:t>
            </w:r>
            <w:r>
              <w:rPr>
                <w:b/>
                <w:bCs w:val="0"/>
                <w:color w:val="auto"/>
                <w:sz w:val="24"/>
                <w:szCs w:val="24"/>
                <w:highlight w:val="none"/>
              </w:rPr>
              <w:t>（Pa·s）</w:t>
            </w:r>
          </w:p>
        </w:tc>
        <w:tc>
          <w:tcPr>
            <w:tcW w:w="1843" w:type="dxa"/>
            <w:tcBorders>
              <w:top w:val="single" w:color="000000" w:sz="4" w:space="0"/>
              <w:left w:val="single" w:color="000000" w:sz="6" w:space="0"/>
              <w:bottom w:val="single" w:color="000000" w:sz="4" w:space="0"/>
              <w:right w:val="single" w:color="000000" w:sz="6" w:space="0"/>
            </w:tcBorders>
            <w:noWrap w:val="0"/>
            <w:vAlign w:val="top"/>
          </w:tcPr>
          <w:p>
            <w:pPr>
              <w:pStyle w:val="24"/>
              <w:spacing w:before="37"/>
              <w:ind w:left="186" w:right="161"/>
              <w:jc w:val="center"/>
              <w:rPr>
                <w:b/>
                <w:bCs w:val="0"/>
                <w:color w:val="auto"/>
                <w:sz w:val="24"/>
                <w:szCs w:val="24"/>
                <w:highlight w:val="none"/>
              </w:rPr>
            </w:pPr>
            <w:r>
              <w:rPr>
                <w:b/>
                <w:bCs w:val="0"/>
                <w:color w:val="auto"/>
                <w:sz w:val="24"/>
                <w:szCs w:val="24"/>
                <w:highlight w:val="none"/>
              </w:rPr>
              <w:t>200</w:t>
            </w:r>
          </w:p>
        </w:tc>
        <w:tc>
          <w:tcPr>
            <w:tcW w:w="1416" w:type="dxa"/>
            <w:tcBorders>
              <w:top w:val="single" w:color="000000" w:sz="4" w:space="0"/>
              <w:left w:val="single" w:color="000000" w:sz="6" w:space="0"/>
              <w:bottom w:val="single" w:color="000000" w:sz="4" w:space="0"/>
            </w:tcBorders>
            <w:noWrap w:val="0"/>
            <w:vAlign w:val="top"/>
          </w:tcPr>
          <w:p>
            <w:pPr>
              <w:pStyle w:val="24"/>
              <w:spacing w:before="37"/>
              <w:ind w:left="215" w:right="177"/>
              <w:jc w:val="center"/>
              <w:rPr>
                <w:b/>
                <w:bCs w:val="0"/>
                <w:color w:val="auto"/>
                <w:sz w:val="24"/>
                <w:szCs w:val="24"/>
                <w:highlight w:val="none"/>
              </w:rPr>
            </w:pPr>
            <w:r>
              <w:rPr>
                <w:b/>
                <w:bCs w:val="0"/>
                <w:color w:val="auto"/>
                <w:sz w:val="24"/>
                <w:szCs w:val="24"/>
                <w:highlight w:val="none"/>
              </w:rPr>
              <w:t>T0620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1" w:hRule="atLeast"/>
          <w:jc w:val="center"/>
        </w:trPr>
        <w:tc>
          <w:tcPr>
            <w:tcW w:w="5813" w:type="dxa"/>
            <w:gridSpan w:val="3"/>
            <w:tcBorders>
              <w:top w:val="single" w:color="000000" w:sz="4" w:space="0"/>
              <w:right w:val="single" w:color="000000" w:sz="6" w:space="0"/>
            </w:tcBorders>
            <w:noWrap w:val="0"/>
            <w:vAlign w:val="top"/>
          </w:tcPr>
          <w:p>
            <w:pPr>
              <w:pStyle w:val="24"/>
              <w:spacing w:before="148"/>
              <w:ind w:left="108"/>
              <w:rPr>
                <w:b/>
                <w:bCs w:val="0"/>
                <w:color w:val="auto"/>
                <w:sz w:val="24"/>
                <w:szCs w:val="24"/>
                <w:highlight w:val="none"/>
              </w:rPr>
            </w:pPr>
            <w:r>
              <w:rPr>
                <w:b/>
                <w:bCs w:val="0"/>
                <w:color w:val="auto"/>
                <w:sz w:val="24"/>
                <w:szCs w:val="24"/>
                <w:highlight w:val="none"/>
              </w:rPr>
              <w:t>SHRP性能等级</w:t>
            </w:r>
          </w:p>
        </w:tc>
        <w:tc>
          <w:tcPr>
            <w:tcW w:w="1843" w:type="dxa"/>
            <w:tcBorders>
              <w:top w:val="single" w:color="000000" w:sz="4" w:space="0"/>
              <w:left w:val="single" w:color="000000" w:sz="6" w:space="0"/>
              <w:right w:val="single" w:color="000000" w:sz="6" w:space="0"/>
            </w:tcBorders>
            <w:noWrap w:val="0"/>
            <w:vAlign w:val="top"/>
          </w:tcPr>
          <w:p>
            <w:pPr>
              <w:pStyle w:val="24"/>
              <w:spacing w:before="148"/>
              <w:ind w:left="186" w:right="154"/>
              <w:jc w:val="center"/>
              <w:rPr>
                <w:b/>
                <w:bCs w:val="0"/>
                <w:color w:val="auto"/>
                <w:sz w:val="24"/>
                <w:szCs w:val="24"/>
                <w:highlight w:val="none"/>
              </w:rPr>
            </w:pPr>
            <w:r>
              <w:rPr>
                <w:b/>
                <w:bCs w:val="0"/>
                <w:color w:val="auto"/>
                <w:sz w:val="24"/>
                <w:szCs w:val="24"/>
                <w:highlight w:val="none"/>
              </w:rPr>
              <w:t>PG64-22</w:t>
            </w:r>
          </w:p>
        </w:tc>
        <w:tc>
          <w:tcPr>
            <w:tcW w:w="1416" w:type="dxa"/>
            <w:tcBorders>
              <w:top w:val="single" w:color="000000" w:sz="4" w:space="0"/>
              <w:left w:val="single" w:color="000000" w:sz="6" w:space="0"/>
            </w:tcBorders>
            <w:noWrap w:val="0"/>
            <w:vAlign w:val="top"/>
          </w:tcPr>
          <w:p>
            <w:pPr>
              <w:pStyle w:val="24"/>
              <w:spacing w:line="303" w:lineRule="exact"/>
              <w:ind w:left="355"/>
              <w:rPr>
                <w:b/>
                <w:bCs w:val="0"/>
                <w:color w:val="auto"/>
                <w:sz w:val="24"/>
                <w:szCs w:val="24"/>
                <w:highlight w:val="none"/>
              </w:rPr>
            </w:pPr>
            <w:r>
              <w:rPr>
                <w:b/>
                <w:bCs w:val="0"/>
                <w:color w:val="auto"/>
                <w:sz w:val="24"/>
                <w:szCs w:val="24"/>
                <w:highlight w:val="none"/>
              </w:rPr>
              <w:t>AASHTO</w:t>
            </w:r>
          </w:p>
          <w:p>
            <w:pPr>
              <w:pStyle w:val="24"/>
              <w:spacing w:before="2" w:line="297" w:lineRule="exact"/>
              <w:ind w:left="295"/>
              <w:rPr>
                <w:b/>
                <w:bCs w:val="0"/>
                <w:color w:val="auto"/>
                <w:sz w:val="24"/>
                <w:szCs w:val="24"/>
                <w:highlight w:val="none"/>
              </w:rPr>
            </w:pPr>
            <w:r>
              <w:rPr>
                <w:b/>
                <w:bCs w:val="0"/>
                <w:color w:val="auto"/>
                <w:sz w:val="24"/>
                <w:szCs w:val="24"/>
                <w:highlight w:val="none"/>
              </w:rPr>
              <w:t>M320-10</w:t>
            </w:r>
          </w:p>
        </w:tc>
      </w:tr>
    </w:tbl>
    <w:p>
      <w:pPr>
        <w:spacing w:line="242" w:lineRule="auto"/>
        <w:ind w:left="1138" w:right="586" w:hanging="840"/>
        <w:jc w:val="both"/>
        <w:rPr>
          <w:b/>
          <w:bCs w:val="0"/>
          <w:color w:val="auto"/>
          <w:sz w:val="24"/>
          <w:szCs w:val="24"/>
          <w:highlight w:val="none"/>
        </w:rPr>
      </w:pPr>
      <w:r>
        <w:rPr>
          <w:b/>
          <w:bCs w:val="0"/>
          <w:color w:val="auto"/>
          <w:sz w:val="24"/>
          <w:szCs w:val="24"/>
          <w:highlight w:val="none"/>
        </w:rPr>
        <w:t>注：[1]本项目70号道路石油沥青部分技术要求（如延度（5cm/min,10℃）、薄膜加热实验质量变化、SHRP性能等级等）相对于国家标准有所提高，请投标人根据技术要求提交证明其提供的货物和服务的合格性及符合招标文件规定的文件，并作为其投标书的一部分。包括：</w:t>
      </w:r>
    </w:p>
    <w:p>
      <w:pPr>
        <w:pStyle w:val="2"/>
        <w:ind w:left="298"/>
        <w:rPr>
          <w:b/>
          <w:bCs w:val="0"/>
          <w:color w:val="auto"/>
          <w:sz w:val="24"/>
          <w:szCs w:val="24"/>
          <w:highlight w:val="none"/>
        </w:rPr>
      </w:pPr>
      <w:bookmarkStart w:id="21" w:name="A、沥青生产所用原油的产地及炼油工艺的详细说明；"/>
      <w:bookmarkEnd w:id="21"/>
      <w:r>
        <w:rPr>
          <w:b/>
          <w:bCs w:val="0"/>
          <w:color w:val="auto"/>
          <w:sz w:val="24"/>
          <w:szCs w:val="24"/>
          <w:highlight w:val="none"/>
        </w:rPr>
        <w:t>A、</w:t>
      </w:r>
      <w:r>
        <w:rPr>
          <w:rFonts w:ascii="宋体" w:hAnsi="宋体" w:eastAsia="宋体"/>
          <w:b/>
          <w:bCs w:val="0"/>
          <w:color w:val="auto"/>
          <w:sz w:val="24"/>
          <w:szCs w:val="24"/>
          <w:highlight w:val="none"/>
        </w:rPr>
        <w:t>沥青生产所用原油的产地及炼油工艺的详细说明</w:t>
      </w:r>
      <w:r>
        <w:rPr>
          <w:b/>
          <w:bCs w:val="0"/>
          <w:color w:val="auto"/>
          <w:sz w:val="24"/>
          <w:szCs w:val="24"/>
          <w:highlight w:val="none"/>
        </w:rPr>
        <w:t>；</w:t>
      </w:r>
    </w:p>
    <w:p>
      <w:pPr>
        <w:spacing w:before="2" w:line="242" w:lineRule="auto"/>
        <w:ind w:left="298" w:right="434"/>
        <w:rPr>
          <w:b/>
          <w:bCs w:val="0"/>
          <w:color w:val="auto"/>
          <w:sz w:val="24"/>
          <w:szCs w:val="24"/>
          <w:highlight w:val="none"/>
        </w:rPr>
      </w:pPr>
      <w:r>
        <w:rPr>
          <w:b/>
          <w:bCs w:val="0"/>
          <w:color w:val="auto"/>
          <w:sz w:val="24"/>
          <w:szCs w:val="24"/>
          <w:highlight w:val="none"/>
        </w:rPr>
        <w:t>B、提供自</w:t>
      </w:r>
      <w:r>
        <w:rPr>
          <w:rFonts w:hint="eastAsia"/>
          <w:b/>
          <w:bCs w:val="0"/>
          <w:color w:val="auto"/>
          <w:sz w:val="24"/>
          <w:szCs w:val="24"/>
          <w:highlight w:val="none"/>
          <w:lang w:val="en-US" w:eastAsia="zh-CN"/>
        </w:rPr>
        <w:t>2020</w:t>
      </w:r>
      <w:r>
        <w:rPr>
          <w:b/>
          <w:bCs w:val="0"/>
          <w:color w:val="auto"/>
          <w:sz w:val="24"/>
          <w:szCs w:val="24"/>
          <w:highlight w:val="none"/>
        </w:rPr>
        <w:t>年1月1日至投标截止之日，具有沥青检测资质的第三方检测机构检测并出具的70号道路石油沥青检测报告（按照相关试验方法规定）；同时检测单位具有计量行政部门颁发的有效的计量认证证书（CMA）。所有试验检测项目及试验检测数据均应满足上表的技术指标要求， 并应在检测报告中逐一体现，否则其投标文件将被拒绝；</w:t>
      </w:r>
    </w:p>
    <w:p>
      <w:pPr>
        <w:pStyle w:val="2"/>
        <w:spacing w:before="2" w:line="242" w:lineRule="auto"/>
        <w:ind w:left="298" w:right="605"/>
        <w:rPr>
          <w:rFonts w:ascii="宋体" w:hAnsi="宋体" w:eastAsia="宋体"/>
          <w:b/>
          <w:bCs w:val="0"/>
          <w:color w:val="auto"/>
          <w:sz w:val="24"/>
          <w:szCs w:val="24"/>
          <w:highlight w:val="none"/>
        </w:rPr>
      </w:pPr>
      <w:r>
        <w:rPr>
          <w:b/>
          <w:bCs w:val="0"/>
          <w:color w:val="auto"/>
          <w:sz w:val="24"/>
          <w:szCs w:val="24"/>
          <w:highlight w:val="none"/>
        </w:rPr>
        <w:t>C、</w:t>
      </w:r>
      <w:r>
        <w:rPr>
          <w:rFonts w:ascii="宋体" w:hAnsi="宋体" w:eastAsia="宋体"/>
          <w:b/>
          <w:bCs w:val="0"/>
          <w:color w:val="auto"/>
          <w:sz w:val="24"/>
          <w:szCs w:val="24"/>
          <w:highlight w:val="none"/>
        </w:rPr>
        <w:t>逐条对业主要求的技术规格进行评议，说明其提供的货物和服务是否对业主的技术规格和要求作出实质性响应。</w:t>
      </w:r>
    </w:p>
    <w:p>
      <w:pPr>
        <w:pStyle w:val="2"/>
        <w:spacing w:before="2" w:line="242" w:lineRule="auto"/>
        <w:ind w:left="298" w:right="605"/>
        <w:rPr>
          <w:rFonts w:ascii="宋体" w:hAnsi="宋体" w:eastAsia="宋体"/>
          <w:b/>
          <w:bCs w:val="0"/>
          <w:color w:val="auto"/>
          <w:sz w:val="24"/>
          <w:szCs w:val="24"/>
          <w:highlight w:val="none"/>
        </w:rPr>
      </w:pPr>
    </w:p>
    <w:p>
      <w:pPr>
        <w:numPr>
          <w:ilvl w:val="0"/>
          <w:numId w:val="5"/>
        </w:numPr>
        <w:tabs>
          <w:tab w:val="left" w:pos="661"/>
        </w:tabs>
        <w:adjustRightInd/>
        <w:spacing w:before="3"/>
        <w:ind w:left="660"/>
        <w:textAlignment w:val="auto"/>
        <w:rPr>
          <w:b/>
          <w:bCs w:val="0"/>
          <w:color w:val="auto"/>
          <w:sz w:val="24"/>
          <w:szCs w:val="24"/>
          <w:highlight w:val="none"/>
        </w:rPr>
      </w:pPr>
      <w:r>
        <w:rPr>
          <w:b/>
          <w:bCs w:val="0"/>
          <w:color w:val="auto"/>
          <w:sz w:val="24"/>
          <w:szCs w:val="24"/>
          <w:highlight w:val="none"/>
        </w:rPr>
        <w:t>BS改性沥青技术要求。</w:t>
      </w:r>
    </w:p>
    <w:p>
      <w:pPr>
        <w:pStyle w:val="2"/>
        <w:tabs>
          <w:tab w:val="left" w:pos="599"/>
        </w:tabs>
        <w:spacing w:before="158"/>
        <w:ind w:right="193"/>
        <w:jc w:val="center"/>
        <w:rPr>
          <w:b/>
          <w:bCs w:val="0"/>
          <w:color w:val="auto"/>
          <w:sz w:val="24"/>
          <w:szCs w:val="24"/>
          <w:highlight w:val="none"/>
        </w:rPr>
      </w:pPr>
      <w:r>
        <w:rPr>
          <w:b/>
          <w:bCs w:val="0"/>
          <w:color w:val="auto"/>
          <w:sz w:val="24"/>
          <w:szCs w:val="24"/>
          <w:highlight w:val="none"/>
        </w:rPr>
        <w:t>表2</w:t>
      </w:r>
      <w:r>
        <w:rPr>
          <w:b/>
          <w:bCs w:val="0"/>
          <w:color w:val="auto"/>
          <w:sz w:val="24"/>
          <w:szCs w:val="24"/>
          <w:highlight w:val="none"/>
        </w:rPr>
        <w:tab/>
      </w:r>
      <w:r>
        <w:rPr>
          <w:b/>
          <w:bCs w:val="0"/>
          <w:color w:val="auto"/>
          <w:sz w:val="24"/>
          <w:szCs w:val="24"/>
          <w:highlight w:val="none"/>
        </w:rPr>
        <w:t>SBS改性沥青技术指标</w:t>
      </w:r>
    </w:p>
    <w:p>
      <w:pPr>
        <w:pStyle w:val="2"/>
        <w:spacing w:before="5"/>
        <w:rPr>
          <w:b/>
          <w:bCs w:val="0"/>
          <w:color w:val="auto"/>
          <w:sz w:val="24"/>
          <w:szCs w:val="24"/>
          <w:highlight w:val="none"/>
        </w:rPr>
      </w:pPr>
    </w:p>
    <w:tbl>
      <w:tblPr>
        <w:tblStyle w:val="17"/>
        <w:tblW w:w="8519" w:type="dxa"/>
        <w:tblInd w:w="72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57"/>
        <w:gridCol w:w="2207"/>
        <w:gridCol w:w="2031"/>
        <w:gridCol w:w="1700"/>
        <w:gridCol w:w="142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97" w:hRule="atLeast"/>
        </w:trPr>
        <w:tc>
          <w:tcPr>
            <w:tcW w:w="5395" w:type="dxa"/>
            <w:gridSpan w:val="3"/>
            <w:tcBorders>
              <w:bottom w:val="single" w:color="000000" w:sz="4" w:space="0"/>
              <w:right w:val="single" w:color="000000" w:sz="6" w:space="0"/>
            </w:tcBorders>
            <w:noWrap w:val="0"/>
            <w:vAlign w:val="top"/>
          </w:tcPr>
          <w:p>
            <w:pPr>
              <w:pStyle w:val="24"/>
              <w:spacing w:before="44"/>
              <w:ind w:left="2196" w:right="2176"/>
              <w:jc w:val="center"/>
              <w:rPr>
                <w:b/>
                <w:bCs w:val="0"/>
                <w:color w:val="auto"/>
                <w:sz w:val="24"/>
                <w:szCs w:val="24"/>
                <w:highlight w:val="none"/>
              </w:rPr>
            </w:pPr>
            <w:r>
              <w:rPr>
                <w:b/>
                <w:bCs w:val="0"/>
                <w:color w:val="auto"/>
                <w:sz w:val="24"/>
                <w:szCs w:val="24"/>
                <w:highlight w:val="none"/>
              </w:rPr>
              <w:t>检验项目</w:t>
            </w:r>
          </w:p>
        </w:tc>
        <w:tc>
          <w:tcPr>
            <w:tcW w:w="1700" w:type="dxa"/>
            <w:tcBorders>
              <w:left w:val="single" w:color="000000" w:sz="6" w:space="0"/>
              <w:bottom w:val="single" w:color="000000" w:sz="4" w:space="0"/>
              <w:right w:val="single" w:color="000000" w:sz="6" w:space="0"/>
            </w:tcBorders>
            <w:noWrap w:val="0"/>
            <w:vAlign w:val="top"/>
          </w:tcPr>
          <w:p>
            <w:pPr>
              <w:pStyle w:val="24"/>
              <w:spacing w:before="44"/>
              <w:ind w:left="178" w:right="146"/>
              <w:jc w:val="center"/>
              <w:rPr>
                <w:b/>
                <w:bCs w:val="0"/>
                <w:color w:val="auto"/>
                <w:sz w:val="24"/>
                <w:szCs w:val="24"/>
                <w:highlight w:val="none"/>
              </w:rPr>
            </w:pPr>
            <w:r>
              <w:rPr>
                <w:b/>
                <w:bCs w:val="0"/>
                <w:color w:val="auto"/>
                <w:sz w:val="24"/>
                <w:szCs w:val="24"/>
                <w:highlight w:val="none"/>
              </w:rPr>
              <w:t>SBS改性沥青</w:t>
            </w:r>
          </w:p>
        </w:tc>
        <w:tc>
          <w:tcPr>
            <w:tcW w:w="1424" w:type="dxa"/>
            <w:tcBorders>
              <w:left w:val="single" w:color="000000" w:sz="6" w:space="0"/>
              <w:bottom w:val="single" w:color="000000" w:sz="4" w:space="0"/>
            </w:tcBorders>
            <w:noWrap w:val="0"/>
            <w:vAlign w:val="top"/>
          </w:tcPr>
          <w:p>
            <w:pPr>
              <w:pStyle w:val="24"/>
              <w:spacing w:before="44"/>
              <w:ind w:left="220" w:right="180"/>
              <w:jc w:val="center"/>
              <w:rPr>
                <w:b/>
                <w:bCs w:val="0"/>
                <w:color w:val="auto"/>
                <w:sz w:val="24"/>
                <w:szCs w:val="24"/>
                <w:highlight w:val="none"/>
              </w:rPr>
            </w:pPr>
            <w:r>
              <w:rPr>
                <w:b/>
                <w:bCs w:val="0"/>
                <w:color w:val="auto"/>
                <w:sz w:val="24"/>
                <w:szCs w:val="24"/>
                <w:highlight w:val="none"/>
              </w:rPr>
              <w:t>试验方法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6" w:hRule="atLeast"/>
        </w:trPr>
        <w:tc>
          <w:tcPr>
            <w:tcW w:w="3364" w:type="dxa"/>
            <w:gridSpan w:val="2"/>
            <w:tcBorders>
              <w:top w:val="single" w:color="000000" w:sz="4" w:space="0"/>
              <w:bottom w:val="single" w:color="000000" w:sz="4" w:space="0"/>
              <w:right w:val="nil"/>
            </w:tcBorders>
            <w:noWrap w:val="0"/>
            <w:vAlign w:val="top"/>
          </w:tcPr>
          <w:p>
            <w:pPr>
              <w:pStyle w:val="24"/>
              <w:spacing w:before="42"/>
              <w:ind w:left="106"/>
              <w:rPr>
                <w:b/>
                <w:bCs w:val="0"/>
                <w:color w:val="auto"/>
                <w:sz w:val="24"/>
                <w:szCs w:val="24"/>
                <w:highlight w:val="none"/>
              </w:rPr>
            </w:pPr>
            <w:r>
              <w:rPr>
                <w:b/>
                <w:bCs w:val="0"/>
                <w:color w:val="auto"/>
                <w:sz w:val="24"/>
                <w:szCs w:val="24"/>
                <w:highlight w:val="none"/>
              </w:rPr>
              <w:t>针入度（25℃，100g，5s）</w:t>
            </w:r>
          </w:p>
        </w:tc>
        <w:tc>
          <w:tcPr>
            <w:tcW w:w="2031" w:type="dxa"/>
            <w:tcBorders>
              <w:top w:val="single" w:color="000000" w:sz="4" w:space="0"/>
              <w:left w:val="nil"/>
              <w:bottom w:val="single" w:color="000000" w:sz="4" w:space="0"/>
              <w:right w:val="single" w:color="000000" w:sz="6" w:space="0"/>
            </w:tcBorders>
            <w:noWrap w:val="0"/>
            <w:vAlign w:val="top"/>
          </w:tcPr>
          <w:p>
            <w:pPr>
              <w:pStyle w:val="24"/>
              <w:spacing w:before="42"/>
              <w:ind w:left="837"/>
              <w:rPr>
                <w:b/>
                <w:bCs w:val="0"/>
                <w:color w:val="auto"/>
                <w:sz w:val="24"/>
                <w:szCs w:val="24"/>
                <w:highlight w:val="none"/>
              </w:rPr>
            </w:pPr>
            <w:r>
              <w:rPr>
                <w:b/>
                <w:bCs w:val="0"/>
                <w:color w:val="auto"/>
                <w:sz w:val="24"/>
                <w:szCs w:val="24"/>
                <w:highlight w:val="none"/>
              </w:rPr>
              <w:t>(0.1mm)</w:t>
            </w:r>
          </w:p>
        </w:tc>
        <w:tc>
          <w:tcPr>
            <w:tcW w:w="1700" w:type="dxa"/>
            <w:tcBorders>
              <w:top w:val="single" w:color="000000" w:sz="4" w:space="0"/>
              <w:left w:val="single" w:color="000000" w:sz="6" w:space="0"/>
              <w:bottom w:val="single" w:color="000000" w:sz="4" w:space="0"/>
              <w:right w:val="single" w:color="000000" w:sz="6" w:space="0"/>
            </w:tcBorders>
            <w:noWrap w:val="0"/>
            <w:vAlign w:val="top"/>
          </w:tcPr>
          <w:p>
            <w:pPr>
              <w:pStyle w:val="24"/>
              <w:spacing w:before="42"/>
              <w:ind w:left="178" w:right="146"/>
              <w:jc w:val="center"/>
              <w:rPr>
                <w:b/>
                <w:bCs w:val="0"/>
                <w:color w:val="auto"/>
                <w:sz w:val="24"/>
                <w:szCs w:val="24"/>
                <w:highlight w:val="none"/>
              </w:rPr>
            </w:pPr>
            <w:r>
              <w:rPr>
                <w:b/>
                <w:bCs w:val="0"/>
                <w:color w:val="auto"/>
                <w:sz w:val="24"/>
                <w:szCs w:val="24"/>
                <w:highlight w:val="none"/>
              </w:rPr>
              <w:t>40~55</w:t>
            </w:r>
          </w:p>
        </w:tc>
        <w:tc>
          <w:tcPr>
            <w:tcW w:w="1424" w:type="dxa"/>
            <w:tcBorders>
              <w:top w:val="single" w:color="000000" w:sz="4" w:space="0"/>
              <w:left w:val="single" w:color="000000" w:sz="6" w:space="0"/>
              <w:bottom w:val="single" w:color="000000" w:sz="4" w:space="0"/>
            </w:tcBorders>
            <w:noWrap w:val="0"/>
            <w:vAlign w:val="top"/>
          </w:tcPr>
          <w:p>
            <w:pPr>
              <w:pStyle w:val="24"/>
              <w:spacing w:before="42"/>
              <w:ind w:left="220" w:right="180"/>
              <w:jc w:val="center"/>
              <w:rPr>
                <w:b/>
                <w:bCs w:val="0"/>
                <w:color w:val="auto"/>
                <w:sz w:val="24"/>
                <w:szCs w:val="24"/>
                <w:highlight w:val="none"/>
              </w:rPr>
            </w:pPr>
            <w:r>
              <w:rPr>
                <w:b/>
                <w:bCs w:val="0"/>
                <w:color w:val="auto"/>
                <w:sz w:val="24"/>
                <w:szCs w:val="24"/>
                <w:highlight w:val="none"/>
              </w:rPr>
              <w:t>T0604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3364" w:type="dxa"/>
            <w:gridSpan w:val="2"/>
            <w:tcBorders>
              <w:top w:val="single" w:color="000000" w:sz="4" w:space="0"/>
              <w:bottom w:val="single" w:color="000000" w:sz="4" w:space="0"/>
              <w:right w:val="nil"/>
            </w:tcBorders>
            <w:noWrap w:val="0"/>
            <w:vAlign w:val="top"/>
          </w:tcPr>
          <w:p>
            <w:pPr>
              <w:pStyle w:val="24"/>
              <w:spacing w:before="43"/>
              <w:ind w:left="106"/>
              <w:rPr>
                <w:b/>
                <w:bCs w:val="0"/>
                <w:color w:val="auto"/>
                <w:sz w:val="24"/>
                <w:szCs w:val="24"/>
                <w:highlight w:val="none"/>
                <w:lang w:val="en-US"/>
              </w:rPr>
            </w:pPr>
            <w:r>
              <w:rPr>
                <w:b/>
                <w:bCs w:val="0"/>
                <w:color w:val="auto"/>
                <w:sz w:val="24"/>
                <w:szCs w:val="24"/>
                <w:highlight w:val="none"/>
              </w:rPr>
              <w:t>延度</w:t>
            </w:r>
            <w:r>
              <w:rPr>
                <w:b/>
                <w:bCs w:val="0"/>
                <w:color w:val="auto"/>
                <w:sz w:val="24"/>
                <w:szCs w:val="24"/>
                <w:highlight w:val="none"/>
                <w:lang w:val="en-US"/>
              </w:rPr>
              <w:t>（5cm/min,5℃）</w:t>
            </w:r>
          </w:p>
        </w:tc>
        <w:tc>
          <w:tcPr>
            <w:tcW w:w="2031" w:type="dxa"/>
            <w:tcBorders>
              <w:top w:val="single" w:color="000000" w:sz="4" w:space="0"/>
              <w:left w:val="nil"/>
              <w:bottom w:val="single" w:color="000000" w:sz="4" w:space="0"/>
              <w:right w:val="single" w:color="000000" w:sz="6" w:space="0"/>
            </w:tcBorders>
            <w:noWrap w:val="0"/>
            <w:vAlign w:val="top"/>
          </w:tcPr>
          <w:p>
            <w:pPr>
              <w:pStyle w:val="24"/>
              <w:spacing w:before="43"/>
              <w:ind w:left="357"/>
              <w:rPr>
                <w:b/>
                <w:bCs w:val="0"/>
                <w:color w:val="auto"/>
                <w:sz w:val="24"/>
                <w:szCs w:val="24"/>
                <w:highlight w:val="none"/>
              </w:rPr>
            </w:pPr>
            <w:r>
              <w:rPr>
                <w:b/>
                <w:bCs w:val="0"/>
                <w:color w:val="auto"/>
                <w:sz w:val="24"/>
                <w:szCs w:val="24"/>
                <w:highlight w:val="none"/>
              </w:rPr>
              <w:t>不小于（cm）</w:t>
            </w:r>
          </w:p>
        </w:tc>
        <w:tc>
          <w:tcPr>
            <w:tcW w:w="1700" w:type="dxa"/>
            <w:tcBorders>
              <w:top w:val="single" w:color="000000" w:sz="4" w:space="0"/>
              <w:left w:val="single" w:color="000000" w:sz="6" w:space="0"/>
              <w:bottom w:val="single" w:color="000000" w:sz="4" w:space="0"/>
              <w:right w:val="single" w:color="000000" w:sz="6" w:space="0"/>
            </w:tcBorders>
            <w:noWrap w:val="0"/>
            <w:vAlign w:val="top"/>
          </w:tcPr>
          <w:p>
            <w:pPr>
              <w:pStyle w:val="24"/>
              <w:spacing w:before="43"/>
              <w:ind w:left="178" w:right="144"/>
              <w:jc w:val="center"/>
              <w:rPr>
                <w:b/>
                <w:bCs w:val="0"/>
                <w:color w:val="auto"/>
                <w:sz w:val="24"/>
                <w:szCs w:val="24"/>
                <w:highlight w:val="none"/>
              </w:rPr>
            </w:pPr>
            <w:r>
              <w:rPr>
                <w:b/>
                <w:bCs w:val="0"/>
                <w:color w:val="auto"/>
                <w:sz w:val="24"/>
                <w:szCs w:val="24"/>
                <w:highlight w:val="none"/>
              </w:rPr>
              <w:t>25</w:t>
            </w:r>
          </w:p>
        </w:tc>
        <w:tc>
          <w:tcPr>
            <w:tcW w:w="1424" w:type="dxa"/>
            <w:tcBorders>
              <w:top w:val="single" w:color="000000" w:sz="4" w:space="0"/>
              <w:left w:val="single" w:color="000000" w:sz="6" w:space="0"/>
              <w:bottom w:val="single" w:color="000000" w:sz="4" w:space="0"/>
            </w:tcBorders>
            <w:noWrap w:val="0"/>
            <w:vAlign w:val="top"/>
          </w:tcPr>
          <w:p>
            <w:pPr>
              <w:pStyle w:val="24"/>
              <w:spacing w:before="43"/>
              <w:ind w:left="220" w:right="180"/>
              <w:jc w:val="center"/>
              <w:rPr>
                <w:b/>
                <w:bCs w:val="0"/>
                <w:color w:val="auto"/>
                <w:sz w:val="24"/>
                <w:szCs w:val="24"/>
                <w:highlight w:val="none"/>
              </w:rPr>
            </w:pPr>
            <w:r>
              <w:rPr>
                <w:b/>
                <w:bCs w:val="0"/>
                <w:color w:val="auto"/>
                <w:sz w:val="24"/>
                <w:szCs w:val="24"/>
                <w:highlight w:val="none"/>
              </w:rPr>
              <w:t>T0605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3364" w:type="dxa"/>
            <w:gridSpan w:val="2"/>
            <w:tcBorders>
              <w:top w:val="single" w:color="000000" w:sz="4" w:space="0"/>
              <w:bottom w:val="single" w:color="000000" w:sz="4" w:space="0"/>
              <w:right w:val="nil"/>
            </w:tcBorders>
            <w:noWrap w:val="0"/>
            <w:vAlign w:val="top"/>
          </w:tcPr>
          <w:p>
            <w:pPr>
              <w:pStyle w:val="24"/>
              <w:spacing w:before="42"/>
              <w:ind w:left="106"/>
              <w:rPr>
                <w:b/>
                <w:bCs w:val="0"/>
                <w:color w:val="auto"/>
                <w:sz w:val="24"/>
                <w:szCs w:val="24"/>
                <w:highlight w:val="none"/>
              </w:rPr>
            </w:pPr>
            <w:r>
              <w:rPr>
                <w:b/>
                <w:bCs w:val="0"/>
                <w:color w:val="auto"/>
                <w:sz w:val="24"/>
                <w:szCs w:val="24"/>
                <w:highlight w:val="none"/>
              </w:rPr>
              <w:t>软化点（环球法）</w:t>
            </w:r>
          </w:p>
        </w:tc>
        <w:tc>
          <w:tcPr>
            <w:tcW w:w="2031" w:type="dxa"/>
            <w:tcBorders>
              <w:top w:val="single" w:color="000000" w:sz="4" w:space="0"/>
              <w:left w:val="nil"/>
              <w:bottom w:val="single" w:color="000000" w:sz="4" w:space="0"/>
              <w:right w:val="single" w:color="000000" w:sz="6" w:space="0"/>
            </w:tcBorders>
            <w:noWrap w:val="0"/>
            <w:vAlign w:val="top"/>
          </w:tcPr>
          <w:p>
            <w:pPr>
              <w:pStyle w:val="24"/>
              <w:spacing w:before="42"/>
              <w:ind w:left="357"/>
              <w:rPr>
                <w:b/>
                <w:bCs w:val="0"/>
                <w:color w:val="auto"/>
                <w:sz w:val="24"/>
                <w:szCs w:val="24"/>
                <w:highlight w:val="none"/>
              </w:rPr>
            </w:pPr>
            <w:r>
              <w:rPr>
                <w:b/>
                <w:bCs w:val="0"/>
                <w:color w:val="auto"/>
                <w:sz w:val="24"/>
                <w:szCs w:val="24"/>
                <w:highlight w:val="none"/>
              </w:rPr>
              <w:t>不小于(℃)</w:t>
            </w:r>
          </w:p>
        </w:tc>
        <w:tc>
          <w:tcPr>
            <w:tcW w:w="1700" w:type="dxa"/>
            <w:tcBorders>
              <w:top w:val="single" w:color="000000" w:sz="4" w:space="0"/>
              <w:left w:val="single" w:color="000000" w:sz="6" w:space="0"/>
              <w:bottom w:val="single" w:color="000000" w:sz="4" w:space="0"/>
              <w:right w:val="single" w:color="000000" w:sz="6" w:space="0"/>
            </w:tcBorders>
            <w:noWrap w:val="0"/>
            <w:vAlign w:val="top"/>
          </w:tcPr>
          <w:p>
            <w:pPr>
              <w:pStyle w:val="24"/>
              <w:spacing w:before="42"/>
              <w:ind w:left="178" w:right="146"/>
              <w:jc w:val="center"/>
              <w:rPr>
                <w:rFonts w:hint="default" w:eastAsia="宋体"/>
                <w:b/>
                <w:bCs w:val="0"/>
                <w:color w:val="auto"/>
                <w:sz w:val="24"/>
                <w:szCs w:val="24"/>
                <w:highlight w:val="none"/>
                <w:lang w:val="en-US" w:eastAsia="zh-CN"/>
              </w:rPr>
            </w:pPr>
            <w:r>
              <w:rPr>
                <w:rFonts w:hint="eastAsia"/>
                <w:b/>
                <w:bCs w:val="0"/>
                <w:color w:val="auto"/>
                <w:sz w:val="24"/>
                <w:szCs w:val="24"/>
                <w:highlight w:val="none"/>
                <w:lang w:val="en-US" w:eastAsia="zh-CN"/>
              </w:rPr>
              <w:t>75</w:t>
            </w:r>
          </w:p>
        </w:tc>
        <w:tc>
          <w:tcPr>
            <w:tcW w:w="1424" w:type="dxa"/>
            <w:tcBorders>
              <w:top w:val="single" w:color="000000" w:sz="4" w:space="0"/>
              <w:left w:val="single" w:color="000000" w:sz="6" w:space="0"/>
              <w:bottom w:val="single" w:color="000000" w:sz="4" w:space="0"/>
            </w:tcBorders>
            <w:noWrap w:val="0"/>
            <w:vAlign w:val="top"/>
          </w:tcPr>
          <w:p>
            <w:pPr>
              <w:pStyle w:val="24"/>
              <w:spacing w:before="42"/>
              <w:ind w:left="220" w:right="180"/>
              <w:jc w:val="center"/>
              <w:rPr>
                <w:b/>
                <w:bCs w:val="0"/>
                <w:color w:val="auto"/>
                <w:sz w:val="24"/>
                <w:szCs w:val="24"/>
                <w:highlight w:val="none"/>
              </w:rPr>
            </w:pPr>
            <w:r>
              <w:rPr>
                <w:b/>
                <w:bCs w:val="0"/>
                <w:color w:val="auto"/>
                <w:sz w:val="24"/>
                <w:szCs w:val="24"/>
                <w:highlight w:val="none"/>
              </w:rPr>
              <w:t>T0606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3364" w:type="dxa"/>
            <w:gridSpan w:val="2"/>
            <w:tcBorders>
              <w:top w:val="single" w:color="000000" w:sz="4" w:space="0"/>
              <w:bottom w:val="single" w:color="000000" w:sz="4" w:space="0"/>
              <w:right w:val="nil"/>
            </w:tcBorders>
            <w:noWrap w:val="0"/>
            <w:vAlign w:val="top"/>
          </w:tcPr>
          <w:p>
            <w:pPr>
              <w:pStyle w:val="24"/>
              <w:spacing w:before="43"/>
              <w:ind w:left="106"/>
              <w:rPr>
                <w:b/>
                <w:bCs w:val="0"/>
                <w:color w:val="auto"/>
                <w:sz w:val="24"/>
                <w:szCs w:val="24"/>
                <w:highlight w:val="none"/>
              </w:rPr>
            </w:pPr>
            <w:r>
              <w:rPr>
                <w:b/>
                <w:bCs w:val="0"/>
                <w:color w:val="auto"/>
                <w:sz w:val="24"/>
                <w:szCs w:val="24"/>
                <w:highlight w:val="none"/>
              </w:rPr>
              <w:t>溶解度（三氯乙烯）</w:t>
            </w:r>
          </w:p>
        </w:tc>
        <w:tc>
          <w:tcPr>
            <w:tcW w:w="2031" w:type="dxa"/>
            <w:tcBorders>
              <w:top w:val="single" w:color="000000" w:sz="4" w:space="0"/>
              <w:left w:val="nil"/>
              <w:bottom w:val="single" w:color="000000" w:sz="4" w:space="0"/>
              <w:right w:val="single" w:color="000000" w:sz="6" w:space="0"/>
            </w:tcBorders>
            <w:noWrap w:val="0"/>
            <w:vAlign w:val="top"/>
          </w:tcPr>
          <w:p>
            <w:pPr>
              <w:pStyle w:val="24"/>
              <w:spacing w:before="43"/>
              <w:ind w:left="357"/>
              <w:rPr>
                <w:b/>
                <w:bCs w:val="0"/>
                <w:color w:val="auto"/>
                <w:sz w:val="24"/>
                <w:szCs w:val="24"/>
                <w:highlight w:val="none"/>
              </w:rPr>
            </w:pPr>
            <w:r>
              <w:rPr>
                <w:b/>
                <w:bCs w:val="0"/>
                <w:color w:val="auto"/>
                <w:sz w:val="24"/>
                <w:szCs w:val="24"/>
                <w:highlight w:val="none"/>
              </w:rPr>
              <w:t>不小于（%）</w:t>
            </w:r>
          </w:p>
        </w:tc>
        <w:tc>
          <w:tcPr>
            <w:tcW w:w="1700" w:type="dxa"/>
            <w:tcBorders>
              <w:top w:val="single" w:color="000000" w:sz="4" w:space="0"/>
              <w:left w:val="single" w:color="000000" w:sz="6" w:space="0"/>
              <w:bottom w:val="single" w:color="000000" w:sz="4" w:space="0"/>
              <w:right w:val="single" w:color="000000" w:sz="6" w:space="0"/>
            </w:tcBorders>
            <w:noWrap w:val="0"/>
            <w:vAlign w:val="top"/>
          </w:tcPr>
          <w:p>
            <w:pPr>
              <w:pStyle w:val="24"/>
              <w:spacing w:before="43"/>
              <w:ind w:left="178" w:right="146"/>
              <w:jc w:val="center"/>
              <w:rPr>
                <w:b/>
                <w:bCs w:val="0"/>
                <w:color w:val="auto"/>
                <w:sz w:val="24"/>
                <w:szCs w:val="24"/>
                <w:highlight w:val="none"/>
              </w:rPr>
            </w:pPr>
            <w:r>
              <w:rPr>
                <w:b/>
                <w:bCs w:val="0"/>
                <w:color w:val="auto"/>
                <w:sz w:val="24"/>
                <w:szCs w:val="24"/>
                <w:highlight w:val="none"/>
              </w:rPr>
              <w:t>99.0</w:t>
            </w:r>
          </w:p>
        </w:tc>
        <w:tc>
          <w:tcPr>
            <w:tcW w:w="1424" w:type="dxa"/>
            <w:tcBorders>
              <w:top w:val="single" w:color="000000" w:sz="4" w:space="0"/>
              <w:left w:val="single" w:color="000000" w:sz="6" w:space="0"/>
              <w:bottom w:val="single" w:color="000000" w:sz="4" w:space="0"/>
            </w:tcBorders>
            <w:noWrap w:val="0"/>
            <w:vAlign w:val="top"/>
          </w:tcPr>
          <w:p>
            <w:pPr>
              <w:pStyle w:val="24"/>
              <w:spacing w:before="43"/>
              <w:ind w:left="220" w:right="180"/>
              <w:jc w:val="center"/>
              <w:rPr>
                <w:b/>
                <w:bCs w:val="0"/>
                <w:color w:val="auto"/>
                <w:sz w:val="24"/>
                <w:szCs w:val="24"/>
                <w:highlight w:val="none"/>
              </w:rPr>
            </w:pPr>
            <w:r>
              <w:rPr>
                <w:b/>
                <w:bCs w:val="0"/>
                <w:color w:val="auto"/>
                <w:sz w:val="24"/>
                <w:szCs w:val="24"/>
                <w:highlight w:val="none"/>
              </w:rPr>
              <w:t>T0607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5395" w:type="dxa"/>
            <w:gridSpan w:val="3"/>
            <w:tcBorders>
              <w:top w:val="single" w:color="000000" w:sz="4" w:space="0"/>
              <w:bottom w:val="single" w:color="000000" w:sz="4" w:space="0"/>
              <w:right w:val="single" w:color="000000" w:sz="6" w:space="0"/>
            </w:tcBorders>
            <w:noWrap w:val="0"/>
            <w:vAlign w:val="top"/>
          </w:tcPr>
          <w:p>
            <w:pPr>
              <w:pStyle w:val="24"/>
              <w:spacing w:before="44"/>
              <w:ind w:left="106"/>
              <w:rPr>
                <w:b/>
                <w:bCs w:val="0"/>
                <w:color w:val="auto"/>
                <w:sz w:val="24"/>
                <w:szCs w:val="24"/>
                <w:highlight w:val="none"/>
              </w:rPr>
            </w:pPr>
            <w:r>
              <w:rPr>
                <w:b/>
                <w:bCs w:val="0"/>
                <w:color w:val="auto"/>
                <w:sz w:val="24"/>
                <w:szCs w:val="24"/>
                <w:highlight w:val="none"/>
              </w:rPr>
              <w:t>针入度指数PI</w:t>
            </w:r>
          </w:p>
        </w:tc>
        <w:tc>
          <w:tcPr>
            <w:tcW w:w="1700" w:type="dxa"/>
            <w:tcBorders>
              <w:top w:val="single" w:color="000000" w:sz="4" w:space="0"/>
              <w:left w:val="single" w:color="000000" w:sz="6" w:space="0"/>
              <w:bottom w:val="single" w:color="000000" w:sz="4" w:space="0"/>
              <w:right w:val="single" w:color="000000" w:sz="6" w:space="0"/>
            </w:tcBorders>
            <w:noWrap w:val="0"/>
            <w:vAlign w:val="top"/>
          </w:tcPr>
          <w:p>
            <w:pPr>
              <w:pStyle w:val="24"/>
              <w:spacing w:before="44"/>
              <w:ind w:left="178" w:right="146"/>
              <w:jc w:val="center"/>
              <w:rPr>
                <w:b/>
                <w:bCs w:val="0"/>
                <w:color w:val="auto"/>
                <w:sz w:val="24"/>
                <w:szCs w:val="24"/>
                <w:highlight w:val="none"/>
              </w:rPr>
            </w:pPr>
            <w:r>
              <w:rPr>
                <w:b/>
                <w:bCs w:val="0"/>
                <w:color w:val="auto"/>
                <w:sz w:val="24"/>
                <w:szCs w:val="24"/>
                <w:highlight w:val="none"/>
              </w:rPr>
              <w:t>≥0</w:t>
            </w:r>
          </w:p>
        </w:tc>
        <w:tc>
          <w:tcPr>
            <w:tcW w:w="1424" w:type="dxa"/>
            <w:tcBorders>
              <w:top w:val="single" w:color="000000" w:sz="4" w:space="0"/>
              <w:left w:val="single" w:color="000000" w:sz="6" w:space="0"/>
              <w:bottom w:val="single" w:color="000000" w:sz="4" w:space="0"/>
            </w:tcBorders>
            <w:noWrap w:val="0"/>
            <w:vAlign w:val="top"/>
          </w:tcPr>
          <w:p>
            <w:pPr>
              <w:pStyle w:val="24"/>
              <w:spacing w:before="44"/>
              <w:ind w:left="220" w:right="180"/>
              <w:jc w:val="center"/>
              <w:rPr>
                <w:b/>
                <w:bCs w:val="0"/>
                <w:color w:val="auto"/>
                <w:sz w:val="24"/>
                <w:szCs w:val="24"/>
                <w:highlight w:val="none"/>
              </w:rPr>
            </w:pPr>
            <w:r>
              <w:rPr>
                <w:b/>
                <w:bCs w:val="0"/>
                <w:color w:val="auto"/>
                <w:sz w:val="24"/>
                <w:szCs w:val="24"/>
                <w:highlight w:val="none"/>
              </w:rPr>
              <w:t>T0604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1" w:hRule="atLeast"/>
        </w:trPr>
        <w:tc>
          <w:tcPr>
            <w:tcW w:w="1157" w:type="dxa"/>
            <w:vMerge w:val="restart"/>
            <w:tcBorders>
              <w:top w:val="single" w:color="000000" w:sz="4" w:space="0"/>
              <w:bottom w:val="nil"/>
              <w:right w:val="single" w:color="000000" w:sz="6" w:space="0"/>
            </w:tcBorders>
            <w:noWrap w:val="0"/>
            <w:vAlign w:val="top"/>
          </w:tcPr>
          <w:p>
            <w:pPr>
              <w:pStyle w:val="24"/>
              <w:spacing w:before="93" w:line="310" w:lineRule="atLeast"/>
              <w:ind w:left="106" w:right="305"/>
              <w:rPr>
                <w:b/>
                <w:bCs w:val="0"/>
                <w:color w:val="auto"/>
                <w:sz w:val="24"/>
                <w:szCs w:val="24"/>
                <w:highlight w:val="none"/>
              </w:rPr>
            </w:pPr>
            <w:r>
              <w:rPr>
                <w:b/>
                <w:bCs w:val="0"/>
                <w:color w:val="auto"/>
                <w:sz w:val="24"/>
                <w:szCs w:val="24"/>
                <w:highlight w:val="none"/>
              </w:rPr>
              <w:t>薄膜加热实验</w:t>
            </w:r>
          </w:p>
        </w:tc>
        <w:tc>
          <w:tcPr>
            <w:tcW w:w="2207" w:type="dxa"/>
            <w:tcBorders>
              <w:top w:val="single" w:color="000000" w:sz="4" w:space="0"/>
              <w:left w:val="single" w:color="000000" w:sz="6" w:space="0"/>
              <w:bottom w:val="single" w:color="000000" w:sz="4" w:space="0"/>
              <w:right w:val="nil"/>
            </w:tcBorders>
            <w:noWrap w:val="0"/>
            <w:vAlign w:val="top"/>
          </w:tcPr>
          <w:p>
            <w:pPr>
              <w:pStyle w:val="24"/>
              <w:spacing w:before="155"/>
              <w:ind w:left="114"/>
              <w:rPr>
                <w:b/>
                <w:bCs w:val="0"/>
                <w:color w:val="auto"/>
                <w:sz w:val="24"/>
                <w:szCs w:val="24"/>
                <w:highlight w:val="none"/>
              </w:rPr>
            </w:pPr>
            <w:r>
              <w:rPr>
                <w:b/>
                <w:bCs w:val="0"/>
                <w:color w:val="auto"/>
                <w:sz w:val="24"/>
                <w:szCs w:val="24"/>
                <w:highlight w:val="none"/>
              </w:rPr>
              <w:t>质量变化</w:t>
            </w:r>
          </w:p>
        </w:tc>
        <w:tc>
          <w:tcPr>
            <w:tcW w:w="2031" w:type="dxa"/>
            <w:tcBorders>
              <w:top w:val="single" w:color="000000" w:sz="4" w:space="0"/>
              <w:left w:val="nil"/>
              <w:bottom w:val="single" w:color="000000" w:sz="4" w:space="0"/>
              <w:right w:val="single" w:color="000000" w:sz="6" w:space="0"/>
            </w:tcBorders>
            <w:noWrap w:val="0"/>
            <w:vAlign w:val="top"/>
          </w:tcPr>
          <w:p>
            <w:pPr>
              <w:pStyle w:val="24"/>
              <w:spacing w:before="155"/>
              <w:ind w:left="194"/>
              <w:rPr>
                <w:b/>
                <w:bCs w:val="0"/>
                <w:color w:val="auto"/>
                <w:sz w:val="24"/>
                <w:szCs w:val="24"/>
                <w:highlight w:val="none"/>
              </w:rPr>
            </w:pPr>
            <w:r>
              <w:rPr>
                <w:b/>
                <w:bCs w:val="0"/>
                <w:color w:val="auto"/>
                <w:sz w:val="24"/>
                <w:szCs w:val="24"/>
                <w:highlight w:val="none"/>
              </w:rPr>
              <w:t>不大于（%）</w:t>
            </w:r>
          </w:p>
        </w:tc>
        <w:tc>
          <w:tcPr>
            <w:tcW w:w="1700" w:type="dxa"/>
            <w:tcBorders>
              <w:top w:val="single" w:color="000000" w:sz="4" w:space="0"/>
              <w:left w:val="single" w:color="000000" w:sz="6" w:space="0"/>
              <w:bottom w:val="single" w:color="000000" w:sz="4" w:space="0"/>
              <w:right w:val="single" w:color="000000" w:sz="6" w:space="0"/>
            </w:tcBorders>
            <w:noWrap w:val="0"/>
            <w:vAlign w:val="top"/>
          </w:tcPr>
          <w:p>
            <w:pPr>
              <w:pStyle w:val="24"/>
              <w:spacing w:before="155"/>
              <w:ind w:left="178" w:right="146"/>
              <w:jc w:val="center"/>
              <w:rPr>
                <w:b/>
                <w:bCs w:val="0"/>
                <w:color w:val="auto"/>
                <w:sz w:val="24"/>
                <w:szCs w:val="24"/>
                <w:highlight w:val="none"/>
              </w:rPr>
            </w:pPr>
            <w:r>
              <w:rPr>
                <w:b/>
                <w:bCs w:val="0"/>
                <w:color w:val="auto"/>
                <w:sz w:val="24"/>
                <w:szCs w:val="24"/>
                <w:highlight w:val="none"/>
              </w:rPr>
              <w:t>±1.0</w:t>
            </w:r>
          </w:p>
        </w:tc>
        <w:tc>
          <w:tcPr>
            <w:tcW w:w="1424" w:type="dxa"/>
            <w:tcBorders>
              <w:top w:val="single" w:color="000000" w:sz="4" w:space="0"/>
              <w:left w:val="single" w:color="000000" w:sz="6" w:space="0"/>
              <w:bottom w:val="single" w:color="000000" w:sz="4" w:space="0"/>
            </w:tcBorders>
            <w:noWrap w:val="0"/>
            <w:vAlign w:val="top"/>
          </w:tcPr>
          <w:p>
            <w:pPr>
              <w:pStyle w:val="24"/>
              <w:spacing w:before="1"/>
              <w:ind w:left="301"/>
              <w:rPr>
                <w:b/>
                <w:bCs w:val="0"/>
                <w:color w:val="auto"/>
                <w:sz w:val="24"/>
                <w:szCs w:val="24"/>
                <w:highlight w:val="none"/>
              </w:rPr>
            </w:pPr>
            <w:r>
              <w:rPr>
                <w:b/>
                <w:bCs w:val="0"/>
                <w:color w:val="auto"/>
                <w:sz w:val="24"/>
                <w:szCs w:val="24"/>
                <w:highlight w:val="none"/>
              </w:rPr>
              <w:t>T0610或</w:t>
            </w:r>
          </w:p>
          <w:p>
            <w:pPr>
              <w:pStyle w:val="24"/>
              <w:spacing w:before="3" w:line="291" w:lineRule="exact"/>
              <w:ind w:left="421"/>
              <w:rPr>
                <w:b/>
                <w:bCs w:val="0"/>
                <w:color w:val="auto"/>
                <w:sz w:val="24"/>
                <w:szCs w:val="24"/>
                <w:highlight w:val="none"/>
              </w:rPr>
            </w:pPr>
            <w:r>
              <w:rPr>
                <w:b/>
                <w:bCs w:val="0"/>
                <w:color w:val="auto"/>
                <w:sz w:val="24"/>
                <w:szCs w:val="24"/>
                <w:highlight w:val="none"/>
              </w:rPr>
              <w:t>T0609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1157" w:type="dxa"/>
            <w:vMerge w:val="continue"/>
            <w:tcBorders>
              <w:top w:val="nil"/>
              <w:bottom w:val="nil"/>
              <w:right w:val="single" w:color="000000" w:sz="6" w:space="0"/>
            </w:tcBorders>
            <w:noWrap w:val="0"/>
            <w:vAlign w:val="top"/>
          </w:tcPr>
          <w:p>
            <w:pPr>
              <w:rPr>
                <w:b/>
                <w:bCs w:val="0"/>
                <w:color w:val="auto"/>
                <w:sz w:val="24"/>
                <w:szCs w:val="24"/>
                <w:highlight w:val="none"/>
              </w:rPr>
            </w:pPr>
          </w:p>
        </w:tc>
        <w:tc>
          <w:tcPr>
            <w:tcW w:w="2207" w:type="dxa"/>
            <w:vMerge w:val="restart"/>
            <w:tcBorders>
              <w:top w:val="single" w:color="000000" w:sz="4" w:space="0"/>
              <w:left w:val="single" w:color="000000" w:sz="6" w:space="0"/>
              <w:bottom w:val="single" w:color="000000" w:sz="4" w:space="0"/>
              <w:right w:val="nil"/>
            </w:tcBorders>
            <w:noWrap w:val="0"/>
            <w:vAlign w:val="top"/>
          </w:tcPr>
          <w:p>
            <w:pPr>
              <w:pStyle w:val="24"/>
              <w:spacing w:before="44"/>
              <w:ind w:left="114"/>
              <w:rPr>
                <w:b/>
                <w:bCs w:val="0"/>
                <w:color w:val="auto"/>
                <w:sz w:val="24"/>
                <w:szCs w:val="24"/>
                <w:highlight w:val="none"/>
              </w:rPr>
            </w:pPr>
            <w:r>
              <w:rPr>
                <w:b/>
                <w:bCs w:val="0"/>
                <w:color w:val="auto"/>
                <w:sz w:val="24"/>
                <w:szCs w:val="24"/>
                <w:highlight w:val="none"/>
              </w:rPr>
              <w:t>针入度比（25℃）</w:t>
            </w:r>
          </w:p>
        </w:tc>
        <w:tc>
          <w:tcPr>
            <w:tcW w:w="2031" w:type="dxa"/>
            <w:vMerge w:val="restart"/>
            <w:tcBorders>
              <w:top w:val="single" w:color="000000" w:sz="4" w:space="0"/>
              <w:left w:val="nil"/>
              <w:bottom w:val="single" w:color="000000" w:sz="4" w:space="0"/>
              <w:right w:val="single" w:color="000000" w:sz="6" w:space="0"/>
            </w:tcBorders>
            <w:noWrap w:val="0"/>
            <w:vAlign w:val="top"/>
          </w:tcPr>
          <w:p>
            <w:pPr>
              <w:pStyle w:val="24"/>
              <w:spacing w:before="44"/>
              <w:ind w:left="194"/>
              <w:rPr>
                <w:b/>
                <w:bCs w:val="0"/>
                <w:color w:val="auto"/>
                <w:sz w:val="24"/>
                <w:szCs w:val="24"/>
                <w:highlight w:val="none"/>
              </w:rPr>
            </w:pPr>
            <w:r>
              <w:rPr>
                <w:b/>
                <w:bCs w:val="0"/>
                <w:color w:val="auto"/>
                <w:sz w:val="24"/>
                <w:szCs w:val="24"/>
                <w:highlight w:val="none"/>
              </w:rPr>
              <w:t>不小于（%）</w:t>
            </w:r>
          </w:p>
        </w:tc>
        <w:tc>
          <w:tcPr>
            <w:tcW w:w="1700" w:type="dxa"/>
            <w:vMerge w:val="restart"/>
            <w:tcBorders>
              <w:top w:val="single" w:color="000000" w:sz="4" w:space="0"/>
              <w:left w:val="single" w:color="000000" w:sz="6" w:space="0"/>
              <w:bottom w:val="single" w:color="000000" w:sz="4" w:space="0"/>
              <w:right w:val="single" w:color="000000" w:sz="6" w:space="0"/>
            </w:tcBorders>
            <w:noWrap w:val="0"/>
            <w:vAlign w:val="top"/>
          </w:tcPr>
          <w:p>
            <w:pPr>
              <w:pStyle w:val="24"/>
              <w:spacing w:before="44"/>
              <w:ind w:left="178" w:right="146"/>
              <w:jc w:val="center"/>
              <w:rPr>
                <w:b/>
                <w:bCs w:val="0"/>
                <w:color w:val="auto"/>
                <w:sz w:val="24"/>
                <w:szCs w:val="24"/>
                <w:highlight w:val="none"/>
              </w:rPr>
            </w:pPr>
            <w:r>
              <w:rPr>
                <w:b/>
                <w:bCs w:val="0"/>
                <w:color w:val="auto"/>
                <w:sz w:val="24"/>
                <w:szCs w:val="24"/>
                <w:highlight w:val="none"/>
              </w:rPr>
              <w:t>65</w:t>
            </w:r>
          </w:p>
        </w:tc>
        <w:tc>
          <w:tcPr>
            <w:tcW w:w="1424" w:type="dxa"/>
            <w:vMerge w:val="restart"/>
            <w:tcBorders>
              <w:top w:val="single" w:color="000000" w:sz="4" w:space="0"/>
              <w:left w:val="single" w:color="000000" w:sz="6" w:space="0"/>
              <w:bottom w:val="single" w:color="000000" w:sz="4" w:space="0"/>
            </w:tcBorders>
            <w:noWrap w:val="0"/>
            <w:vAlign w:val="top"/>
          </w:tcPr>
          <w:p>
            <w:pPr>
              <w:pStyle w:val="24"/>
              <w:spacing w:before="44"/>
              <w:ind w:left="421"/>
              <w:rPr>
                <w:b/>
                <w:bCs w:val="0"/>
                <w:color w:val="auto"/>
                <w:sz w:val="24"/>
                <w:szCs w:val="24"/>
                <w:highlight w:val="none"/>
              </w:rPr>
            </w:pPr>
            <w:r>
              <w:rPr>
                <w:b/>
                <w:bCs w:val="0"/>
                <w:color w:val="auto"/>
                <w:sz w:val="24"/>
                <w:szCs w:val="24"/>
                <w:highlight w:val="none"/>
              </w:rPr>
              <w:t>T0604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6" w:hRule="atLeast"/>
        </w:trPr>
        <w:tc>
          <w:tcPr>
            <w:tcW w:w="1157" w:type="dxa"/>
            <w:tcBorders>
              <w:top w:val="nil"/>
              <w:bottom w:val="nil"/>
              <w:right w:val="single" w:color="000000" w:sz="6" w:space="0"/>
            </w:tcBorders>
            <w:noWrap w:val="0"/>
            <w:vAlign w:val="top"/>
          </w:tcPr>
          <w:p>
            <w:pPr>
              <w:pStyle w:val="24"/>
              <w:spacing w:line="286" w:lineRule="exact"/>
              <w:ind w:left="106"/>
              <w:rPr>
                <w:b/>
                <w:bCs w:val="0"/>
                <w:color w:val="auto"/>
                <w:sz w:val="24"/>
                <w:szCs w:val="24"/>
                <w:highlight w:val="none"/>
              </w:rPr>
            </w:pPr>
            <w:r>
              <w:rPr>
                <w:b/>
                <w:bCs w:val="0"/>
                <w:color w:val="auto"/>
                <w:sz w:val="24"/>
                <w:szCs w:val="24"/>
                <w:highlight w:val="none"/>
              </w:rPr>
              <w:t>163℃，</w:t>
            </w:r>
          </w:p>
        </w:tc>
        <w:tc>
          <w:tcPr>
            <w:tcW w:w="2207" w:type="dxa"/>
            <w:vMerge w:val="continue"/>
            <w:tcBorders>
              <w:top w:val="nil"/>
              <w:left w:val="single" w:color="000000" w:sz="6" w:space="0"/>
              <w:bottom w:val="single" w:color="000000" w:sz="4" w:space="0"/>
              <w:right w:val="nil"/>
            </w:tcBorders>
            <w:noWrap w:val="0"/>
            <w:vAlign w:val="top"/>
          </w:tcPr>
          <w:p>
            <w:pPr>
              <w:rPr>
                <w:b/>
                <w:bCs w:val="0"/>
                <w:color w:val="auto"/>
                <w:sz w:val="24"/>
                <w:szCs w:val="24"/>
                <w:highlight w:val="none"/>
              </w:rPr>
            </w:pPr>
          </w:p>
        </w:tc>
        <w:tc>
          <w:tcPr>
            <w:tcW w:w="2031" w:type="dxa"/>
            <w:vMerge w:val="continue"/>
            <w:tcBorders>
              <w:top w:val="nil"/>
              <w:left w:val="nil"/>
              <w:bottom w:val="single" w:color="000000" w:sz="4" w:space="0"/>
              <w:right w:val="single" w:color="000000" w:sz="6" w:space="0"/>
            </w:tcBorders>
            <w:noWrap w:val="0"/>
            <w:vAlign w:val="top"/>
          </w:tcPr>
          <w:p>
            <w:pPr>
              <w:rPr>
                <w:b/>
                <w:bCs w:val="0"/>
                <w:color w:val="auto"/>
                <w:sz w:val="24"/>
                <w:szCs w:val="24"/>
                <w:highlight w:val="none"/>
              </w:rPr>
            </w:pPr>
          </w:p>
        </w:tc>
        <w:tc>
          <w:tcPr>
            <w:tcW w:w="1700" w:type="dxa"/>
            <w:vMerge w:val="continue"/>
            <w:tcBorders>
              <w:top w:val="nil"/>
              <w:left w:val="single" w:color="000000" w:sz="6" w:space="0"/>
              <w:bottom w:val="single" w:color="000000" w:sz="4" w:space="0"/>
              <w:right w:val="single" w:color="000000" w:sz="6" w:space="0"/>
            </w:tcBorders>
            <w:noWrap w:val="0"/>
            <w:vAlign w:val="top"/>
          </w:tcPr>
          <w:p>
            <w:pPr>
              <w:rPr>
                <w:b/>
                <w:bCs w:val="0"/>
                <w:color w:val="auto"/>
                <w:sz w:val="24"/>
                <w:szCs w:val="24"/>
                <w:highlight w:val="none"/>
              </w:rPr>
            </w:pPr>
          </w:p>
        </w:tc>
        <w:tc>
          <w:tcPr>
            <w:tcW w:w="1424" w:type="dxa"/>
            <w:vMerge w:val="continue"/>
            <w:tcBorders>
              <w:top w:val="nil"/>
              <w:left w:val="single" w:color="000000" w:sz="6" w:space="0"/>
              <w:bottom w:val="single" w:color="000000" w:sz="4" w:space="0"/>
            </w:tcBorders>
            <w:noWrap w:val="0"/>
            <w:vAlign w:val="top"/>
          </w:tcPr>
          <w:p>
            <w:pPr>
              <w:rPr>
                <w:b/>
                <w:b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4" w:hRule="atLeast"/>
        </w:trPr>
        <w:tc>
          <w:tcPr>
            <w:tcW w:w="1157" w:type="dxa"/>
            <w:tcBorders>
              <w:top w:val="nil"/>
              <w:right w:val="single" w:color="000000" w:sz="6" w:space="0"/>
            </w:tcBorders>
            <w:noWrap w:val="0"/>
            <w:vAlign w:val="top"/>
          </w:tcPr>
          <w:p>
            <w:pPr>
              <w:pStyle w:val="24"/>
              <w:spacing w:line="297" w:lineRule="exact"/>
              <w:ind w:left="106"/>
              <w:rPr>
                <w:b/>
                <w:bCs w:val="0"/>
                <w:color w:val="auto"/>
                <w:sz w:val="24"/>
                <w:szCs w:val="24"/>
                <w:highlight w:val="none"/>
              </w:rPr>
            </w:pPr>
            <w:r>
              <w:rPr>
                <w:b/>
                <w:bCs w:val="0"/>
                <w:color w:val="auto"/>
                <w:sz w:val="24"/>
                <w:szCs w:val="24"/>
                <w:highlight w:val="none"/>
              </w:rPr>
              <w:t>5h</w:t>
            </w:r>
          </w:p>
        </w:tc>
        <w:tc>
          <w:tcPr>
            <w:tcW w:w="2207" w:type="dxa"/>
            <w:tcBorders>
              <w:top w:val="single" w:color="000000" w:sz="4" w:space="0"/>
              <w:left w:val="single" w:color="000000" w:sz="6" w:space="0"/>
              <w:right w:val="nil"/>
            </w:tcBorders>
            <w:noWrap w:val="0"/>
            <w:vAlign w:val="top"/>
          </w:tcPr>
          <w:p>
            <w:pPr>
              <w:pStyle w:val="24"/>
              <w:spacing w:before="45"/>
              <w:ind w:left="114"/>
              <w:rPr>
                <w:b/>
                <w:bCs w:val="0"/>
                <w:color w:val="auto"/>
                <w:sz w:val="24"/>
                <w:szCs w:val="24"/>
                <w:highlight w:val="none"/>
              </w:rPr>
            </w:pPr>
            <w:r>
              <w:rPr>
                <w:b/>
                <w:bCs w:val="0"/>
                <w:color w:val="auto"/>
                <w:sz w:val="24"/>
                <w:szCs w:val="24"/>
                <w:highlight w:val="none"/>
              </w:rPr>
              <w:t>延度（5℃）</w:t>
            </w:r>
          </w:p>
        </w:tc>
        <w:tc>
          <w:tcPr>
            <w:tcW w:w="2031" w:type="dxa"/>
            <w:tcBorders>
              <w:top w:val="single" w:color="000000" w:sz="4" w:space="0"/>
              <w:left w:val="nil"/>
              <w:right w:val="single" w:color="000000" w:sz="6" w:space="0"/>
            </w:tcBorders>
            <w:noWrap w:val="0"/>
            <w:vAlign w:val="top"/>
          </w:tcPr>
          <w:p>
            <w:pPr>
              <w:pStyle w:val="24"/>
              <w:spacing w:before="45"/>
              <w:ind w:left="194"/>
              <w:rPr>
                <w:b/>
                <w:bCs w:val="0"/>
                <w:color w:val="auto"/>
                <w:sz w:val="24"/>
                <w:szCs w:val="24"/>
                <w:highlight w:val="none"/>
              </w:rPr>
            </w:pPr>
            <w:r>
              <w:rPr>
                <w:b/>
                <w:bCs w:val="0"/>
                <w:color w:val="auto"/>
                <w:sz w:val="24"/>
                <w:szCs w:val="24"/>
                <w:highlight w:val="none"/>
              </w:rPr>
              <w:t>不小于（cm）</w:t>
            </w:r>
          </w:p>
        </w:tc>
        <w:tc>
          <w:tcPr>
            <w:tcW w:w="1700" w:type="dxa"/>
            <w:tcBorders>
              <w:top w:val="single" w:color="000000" w:sz="4" w:space="0"/>
              <w:left w:val="single" w:color="000000" w:sz="6" w:space="0"/>
              <w:right w:val="single" w:color="000000" w:sz="6" w:space="0"/>
            </w:tcBorders>
            <w:noWrap w:val="0"/>
            <w:vAlign w:val="top"/>
          </w:tcPr>
          <w:p>
            <w:pPr>
              <w:pStyle w:val="24"/>
              <w:spacing w:before="45"/>
              <w:ind w:left="178" w:right="144"/>
              <w:jc w:val="center"/>
              <w:rPr>
                <w:b/>
                <w:bCs w:val="0"/>
                <w:color w:val="auto"/>
                <w:sz w:val="24"/>
                <w:szCs w:val="24"/>
                <w:highlight w:val="none"/>
              </w:rPr>
            </w:pPr>
            <w:r>
              <w:rPr>
                <w:b/>
                <w:bCs w:val="0"/>
                <w:color w:val="auto"/>
                <w:sz w:val="24"/>
                <w:szCs w:val="24"/>
                <w:highlight w:val="none"/>
              </w:rPr>
              <w:t>17</w:t>
            </w:r>
          </w:p>
        </w:tc>
        <w:tc>
          <w:tcPr>
            <w:tcW w:w="1424" w:type="dxa"/>
            <w:tcBorders>
              <w:top w:val="single" w:color="000000" w:sz="4" w:space="0"/>
              <w:left w:val="single" w:color="000000" w:sz="6" w:space="0"/>
            </w:tcBorders>
            <w:noWrap w:val="0"/>
            <w:vAlign w:val="top"/>
          </w:tcPr>
          <w:p>
            <w:pPr>
              <w:pStyle w:val="24"/>
              <w:spacing w:before="45"/>
              <w:ind w:left="220" w:right="180"/>
              <w:jc w:val="center"/>
              <w:rPr>
                <w:b/>
                <w:bCs w:val="0"/>
                <w:color w:val="auto"/>
                <w:sz w:val="24"/>
                <w:szCs w:val="24"/>
                <w:highlight w:val="none"/>
              </w:rPr>
            </w:pPr>
            <w:r>
              <w:rPr>
                <w:b/>
                <w:bCs w:val="0"/>
                <w:color w:val="auto"/>
                <w:sz w:val="24"/>
                <w:szCs w:val="24"/>
                <w:highlight w:val="none"/>
              </w:rPr>
              <w:t>T0605</w:t>
            </w:r>
          </w:p>
        </w:tc>
      </w:tr>
    </w:tbl>
    <w:p>
      <w:pPr>
        <w:pStyle w:val="2"/>
        <w:spacing w:before="8"/>
        <w:rPr>
          <w:b/>
          <w:bCs w:val="0"/>
          <w:color w:val="auto"/>
          <w:sz w:val="24"/>
          <w:szCs w:val="24"/>
          <w:highlight w:val="none"/>
        </w:rPr>
      </w:pPr>
    </w:p>
    <w:tbl>
      <w:tblPr>
        <w:tblStyle w:val="17"/>
        <w:tblW w:w="9354" w:type="dxa"/>
        <w:tblInd w:w="2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16"/>
        <w:gridCol w:w="5396"/>
        <w:gridCol w:w="1701"/>
        <w:gridCol w:w="1425"/>
        <w:gridCol w:w="4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416" w:type="dxa"/>
            <w:vMerge w:val="restart"/>
            <w:tcBorders>
              <w:left w:val="nil"/>
              <w:bottom w:val="nil"/>
              <w:right w:val="single" w:color="000000" w:sz="12" w:space="0"/>
            </w:tcBorders>
            <w:noWrap w:val="0"/>
            <w:vAlign w:val="top"/>
          </w:tcPr>
          <w:p>
            <w:pPr>
              <w:pStyle w:val="24"/>
              <w:rPr>
                <w:rFonts w:ascii="Times New Roman"/>
                <w:b/>
                <w:bCs w:val="0"/>
                <w:color w:val="auto"/>
                <w:sz w:val="24"/>
                <w:szCs w:val="24"/>
                <w:highlight w:val="none"/>
              </w:rPr>
            </w:pPr>
          </w:p>
        </w:tc>
        <w:tc>
          <w:tcPr>
            <w:tcW w:w="5396" w:type="dxa"/>
            <w:tcBorders>
              <w:top w:val="single" w:color="000000" w:sz="18" w:space="0"/>
              <w:left w:val="single" w:color="000000" w:sz="12" w:space="0"/>
              <w:bottom w:val="single" w:color="000000" w:sz="4" w:space="0"/>
            </w:tcBorders>
            <w:noWrap w:val="0"/>
            <w:vAlign w:val="top"/>
          </w:tcPr>
          <w:p>
            <w:pPr>
              <w:pStyle w:val="24"/>
              <w:tabs>
                <w:tab w:val="left" w:pos="3699"/>
              </w:tabs>
              <w:spacing w:before="44"/>
              <w:ind w:left="99"/>
              <w:rPr>
                <w:b/>
                <w:bCs w:val="0"/>
                <w:color w:val="auto"/>
                <w:sz w:val="24"/>
                <w:szCs w:val="24"/>
                <w:highlight w:val="none"/>
              </w:rPr>
            </w:pPr>
            <w:r>
              <w:rPr>
                <w:b/>
                <w:bCs w:val="0"/>
                <w:color w:val="auto"/>
                <w:sz w:val="24"/>
                <w:szCs w:val="24"/>
                <w:highlight w:val="none"/>
              </w:rPr>
              <w:t>闪点（coc）</w:t>
            </w:r>
            <w:r>
              <w:rPr>
                <w:b/>
                <w:bCs w:val="0"/>
                <w:color w:val="auto"/>
                <w:sz w:val="24"/>
                <w:szCs w:val="24"/>
                <w:highlight w:val="none"/>
              </w:rPr>
              <w:tab/>
            </w:r>
            <w:r>
              <w:rPr>
                <w:b/>
                <w:bCs w:val="0"/>
                <w:color w:val="auto"/>
                <w:sz w:val="24"/>
                <w:szCs w:val="24"/>
                <w:highlight w:val="none"/>
              </w:rPr>
              <w:t>不小于（℃）</w:t>
            </w:r>
          </w:p>
        </w:tc>
        <w:tc>
          <w:tcPr>
            <w:tcW w:w="1701" w:type="dxa"/>
            <w:tcBorders>
              <w:top w:val="single" w:color="000000" w:sz="18" w:space="0"/>
              <w:bottom w:val="single" w:color="000000" w:sz="4" w:space="0"/>
            </w:tcBorders>
            <w:noWrap w:val="0"/>
            <w:vAlign w:val="top"/>
          </w:tcPr>
          <w:p>
            <w:pPr>
              <w:pStyle w:val="24"/>
              <w:spacing w:before="44"/>
              <w:ind w:left="350" w:right="335"/>
              <w:jc w:val="center"/>
              <w:rPr>
                <w:b/>
                <w:bCs w:val="0"/>
                <w:color w:val="auto"/>
                <w:sz w:val="24"/>
                <w:szCs w:val="24"/>
                <w:highlight w:val="none"/>
              </w:rPr>
            </w:pPr>
            <w:r>
              <w:rPr>
                <w:b/>
                <w:bCs w:val="0"/>
                <w:color w:val="auto"/>
                <w:sz w:val="24"/>
                <w:szCs w:val="24"/>
                <w:highlight w:val="none"/>
              </w:rPr>
              <w:t>230</w:t>
            </w:r>
          </w:p>
        </w:tc>
        <w:tc>
          <w:tcPr>
            <w:tcW w:w="1425" w:type="dxa"/>
            <w:tcBorders>
              <w:top w:val="single" w:color="000000" w:sz="18" w:space="0"/>
              <w:bottom w:val="single" w:color="000000" w:sz="4" w:space="0"/>
              <w:right w:val="single" w:color="000000" w:sz="12" w:space="0"/>
            </w:tcBorders>
            <w:noWrap w:val="0"/>
            <w:vAlign w:val="top"/>
          </w:tcPr>
          <w:p>
            <w:pPr>
              <w:pStyle w:val="24"/>
              <w:spacing w:before="44"/>
              <w:ind w:left="391" w:right="370"/>
              <w:jc w:val="center"/>
              <w:rPr>
                <w:b/>
                <w:bCs w:val="0"/>
                <w:color w:val="auto"/>
                <w:sz w:val="24"/>
                <w:szCs w:val="24"/>
                <w:highlight w:val="none"/>
              </w:rPr>
            </w:pPr>
            <w:r>
              <w:rPr>
                <w:b/>
                <w:bCs w:val="0"/>
                <w:color w:val="auto"/>
                <w:sz w:val="24"/>
                <w:szCs w:val="24"/>
                <w:highlight w:val="none"/>
              </w:rPr>
              <w:t>T0611</w:t>
            </w:r>
          </w:p>
        </w:tc>
        <w:tc>
          <w:tcPr>
            <w:tcW w:w="416" w:type="dxa"/>
            <w:vMerge w:val="restart"/>
            <w:tcBorders>
              <w:left w:val="single" w:color="000000" w:sz="12" w:space="0"/>
              <w:bottom w:val="nil"/>
              <w:right w:val="nil"/>
            </w:tcBorders>
            <w:noWrap w:val="0"/>
            <w:vAlign w:val="top"/>
          </w:tcPr>
          <w:p>
            <w:pPr>
              <w:pStyle w:val="24"/>
              <w:rPr>
                <w:rFonts w:ascii="Times New Roman"/>
                <w:b/>
                <w:bCs w:val="0"/>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416" w:type="dxa"/>
            <w:vMerge w:val="continue"/>
            <w:tcBorders>
              <w:top w:val="nil"/>
              <w:left w:val="nil"/>
              <w:bottom w:val="nil"/>
              <w:right w:val="single" w:color="000000" w:sz="12" w:space="0"/>
            </w:tcBorders>
            <w:noWrap w:val="0"/>
            <w:vAlign w:val="top"/>
          </w:tcPr>
          <w:p>
            <w:pPr>
              <w:rPr>
                <w:b/>
                <w:bCs w:val="0"/>
                <w:color w:val="auto"/>
                <w:sz w:val="24"/>
                <w:szCs w:val="24"/>
                <w:highlight w:val="none"/>
              </w:rPr>
            </w:pPr>
          </w:p>
        </w:tc>
        <w:tc>
          <w:tcPr>
            <w:tcW w:w="5396" w:type="dxa"/>
            <w:tcBorders>
              <w:top w:val="single" w:color="000000" w:sz="4" w:space="0"/>
              <w:left w:val="single" w:color="000000" w:sz="12" w:space="0"/>
              <w:bottom w:val="single" w:color="000000" w:sz="4" w:space="0"/>
            </w:tcBorders>
            <w:noWrap w:val="0"/>
            <w:vAlign w:val="top"/>
          </w:tcPr>
          <w:p>
            <w:pPr>
              <w:pStyle w:val="24"/>
              <w:tabs>
                <w:tab w:val="left" w:pos="3219"/>
              </w:tabs>
              <w:spacing w:before="45"/>
              <w:ind w:left="99"/>
              <w:rPr>
                <w:b/>
                <w:bCs w:val="0"/>
                <w:color w:val="auto"/>
                <w:sz w:val="24"/>
                <w:szCs w:val="24"/>
                <w:highlight w:val="none"/>
                <w:lang w:val="en-US"/>
              </w:rPr>
            </w:pPr>
            <w:r>
              <w:rPr>
                <w:b/>
                <w:bCs w:val="0"/>
                <w:color w:val="auto"/>
                <w:sz w:val="24"/>
                <w:szCs w:val="24"/>
                <w:highlight w:val="none"/>
              </w:rPr>
              <w:t>密度</w:t>
            </w:r>
            <w:r>
              <w:rPr>
                <w:b/>
                <w:bCs w:val="0"/>
                <w:color w:val="auto"/>
                <w:sz w:val="24"/>
                <w:szCs w:val="24"/>
                <w:highlight w:val="none"/>
                <w:lang w:val="en-US"/>
              </w:rPr>
              <w:t>（15℃）</w:t>
            </w:r>
            <w:r>
              <w:rPr>
                <w:b/>
                <w:bCs w:val="0"/>
                <w:color w:val="auto"/>
                <w:sz w:val="24"/>
                <w:szCs w:val="24"/>
                <w:highlight w:val="none"/>
                <w:lang w:val="en-US"/>
              </w:rPr>
              <w:tab/>
            </w:r>
            <w:r>
              <w:rPr>
                <w:b/>
                <w:bCs w:val="0"/>
                <w:color w:val="auto"/>
                <w:sz w:val="24"/>
                <w:szCs w:val="24"/>
                <w:highlight w:val="none"/>
              </w:rPr>
              <w:t>不小于</w:t>
            </w:r>
            <w:r>
              <w:rPr>
                <w:b/>
                <w:bCs w:val="0"/>
                <w:color w:val="auto"/>
                <w:sz w:val="24"/>
                <w:szCs w:val="24"/>
                <w:highlight w:val="none"/>
                <w:lang w:val="en-US"/>
              </w:rPr>
              <w:t>（g/cm</w:t>
            </w:r>
            <w:r>
              <w:rPr>
                <w:b/>
                <w:bCs w:val="0"/>
                <w:color w:val="auto"/>
                <w:position w:val="12"/>
                <w:sz w:val="24"/>
                <w:szCs w:val="24"/>
                <w:highlight w:val="none"/>
                <w:lang w:val="en-US"/>
              </w:rPr>
              <w:t>3</w:t>
            </w:r>
            <w:r>
              <w:rPr>
                <w:b/>
                <w:bCs w:val="0"/>
                <w:color w:val="auto"/>
                <w:sz w:val="24"/>
                <w:szCs w:val="24"/>
                <w:highlight w:val="none"/>
                <w:lang w:val="en-US"/>
              </w:rPr>
              <w:t>）</w:t>
            </w:r>
          </w:p>
        </w:tc>
        <w:tc>
          <w:tcPr>
            <w:tcW w:w="1701" w:type="dxa"/>
            <w:tcBorders>
              <w:top w:val="single" w:color="000000" w:sz="4" w:space="0"/>
              <w:bottom w:val="single" w:color="000000" w:sz="4" w:space="0"/>
            </w:tcBorders>
            <w:noWrap w:val="0"/>
            <w:vAlign w:val="top"/>
          </w:tcPr>
          <w:p>
            <w:pPr>
              <w:pStyle w:val="24"/>
              <w:spacing w:before="45"/>
              <w:ind w:left="350" w:right="335"/>
              <w:jc w:val="center"/>
              <w:rPr>
                <w:b/>
                <w:bCs w:val="0"/>
                <w:color w:val="auto"/>
                <w:sz w:val="24"/>
                <w:szCs w:val="24"/>
                <w:highlight w:val="none"/>
              </w:rPr>
            </w:pPr>
            <w:r>
              <w:rPr>
                <w:b/>
                <w:bCs w:val="0"/>
                <w:color w:val="auto"/>
                <w:sz w:val="24"/>
                <w:szCs w:val="24"/>
                <w:highlight w:val="none"/>
              </w:rPr>
              <w:t>实测记录</w:t>
            </w:r>
          </w:p>
        </w:tc>
        <w:tc>
          <w:tcPr>
            <w:tcW w:w="1425" w:type="dxa"/>
            <w:tcBorders>
              <w:top w:val="single" w:color="000000" w:sz="4" w:space="0"/>
              <w:bottom w:val="single" w:color="000000" w:sz="4" w:space="0"/>
              <w:right w:val="single" w:color="000000" w:sz="12" w:space="0"/>
            </w:tcBorders>
            <w:noWrap w:val="0"/>
            <w:vAlign w:val="top"/>
          </w:tcPr>
          <w:p>
            <w:pPr>
              <w:pStyle w:val="24"/>
              <w:spacing w:before="45"/>
              <w:ind w:left="391" w:right="370"/>
              <w:jc w:val="center"/>
              <w:rPr>
                <w:b/>
                <w:bCs w:val="0"/>
                <w:color w:val="auto"/>
                <w:sz w:val="24"/>
                <w:szCs w:val="24"/>
                <w:highlight w:val="none"/>
              </w:rPr>
            </w:pPr>
            <w:r>
              <w:rPr>
                <w:b/>
                <w:bCs w:val="0"/>
                <w:color w:val="auto"/>
                <w:sz w:val="24"/>
                <w:szCs w:val="24"/>
                <w:highlight w:val="none"/>
              </w:rPr>
              <w:t>T0603</w:t>
            </w:r>
          </w:p>
        </w:tc>
        <w:tc>
          <w:tcPr>
            <w:tcW w:w="416" w:type="dxa"/>
            <w:vMerge w:val="continue"/>
            <w:tcBorders>
              <w:top w:val="nil"/>
              <w:left w:val="single" w:color="000000" w:sz="12" w:space="0"/>
              <w:bottom w:val="nil"/>
              <w:right w:val="nil"/>
            </w:tcBorders>
            <w:noWrap w:val="0"/>
            <w:vAlign w:val="top"/>
          </w:tcPr>
          <w:p>
            <w:pPr>
              <w:rPr>
                <w:b/>
                <w:bCs w:val="0"/>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416" w:type="dxa"/>
            <w:vMerge w:val="continue"/>
            <w:tcBorders>
              <w:top w:val="nil"/>
              <w:left w:val="nil"/>
              <w:bottom w:val="nil"/>
              <w:right w:val="single" w:color="000000" w:sz="12" w:space="0"/>
            </w:tcBorders>
            <w:noWrap w:val="0"/>
            <w:vAlign w:val="top"/>
          </w:tcPr>
          <w:p>
            <w:pPr>
              <w:rPr>
                <w:b/>
                <w:bCs w:val="0"/>
                <w:color w:val="auto"/>
                <w:sz w:val="24"/>
                <w:szCs w:val="24"/>
                <w:highlight w:val="none"/>
              </w:rPr>
            </w:pPr>
          </w:p>
        </w:tc>
        <w:tc>
          <w:tcPr>
            <w:tcW w:w="5396" w:type="dxa"/>
            <w:tcBorders>
              <w:top w:val="single" w:color="000000" w:sz="4" w:space="0"/>
              <w:left w:val="single" w:color="000000" w:sz="12" w:space="0"/>
              <w:bottom w:val="single" w:color="000000" w:sz="4" w:space="0"/>
            </w:tcBorders>
            <w:noWrap w:val="0"/>
            <w:vAlign w:val="top"/>
          </w:tcPr>
          <w:p>
            <w:pPr>
              <w:pStyle w:val="24"/>
              <w:tabs>
                <w:tab w:val="left" w:pos="3339"/>
              </w:tabs>
              <w:spacing w:before="156"/>
              <w:ind w:left="99"/>
              <w:rPr>
                <w:b/>
                <w:bCs w:val="0"/>
                <w:color w:val="auto"/>
                <w:sz w:val="24"/>
                <w:szCs w:val="24"/>
                <w:highlight w:val="none"/>
              </w:rPr>
            </w:pPr>
            <w:r>
              <w:rPr>
                <w:b/>
                <w:bCs w:val="0"/>
                <w:color w:val="auto"/>
                <w:sz w:val="24"/>
                <w:szCs w:val="24"/>
                <w:highlight w:val="none"/>
              </w:rPr>
              <w:t>运动粘度（135℃）</w:t>
            </w:r>
            <w:r>
              <w:rPr>
                <w:b/>
                <w:bCs w:val="0"/>
                <w:color w:val="auto"/>
                <w:sz w:val="24"/>
                <w:szCs w:val="24"/>
                <w:highlight w:val="none"/>
              </w:rPr>
              <w:tab/>
            </w:r>
            <w:r>
              <w:rPr>
                <w:b/>
                <w:bCs w:val="0"/>
                <w:color w:val="auto"/>
                <w:sz w:val="24"/>
                <w:szCs w:val="24"/>
                <w:highlight w:val="none"/>
              </w:rPr>
              <w:t>不大于（Pa·s）</w:t>
            </w:r>
          </w:p>
        </w:tc>
        <w:tc>
          <w:tcPr>
            <w:tcW w:w="1701" w:type="dxa"/>
            <w:tcBorders>
              <w:top w:val="single" w:color="000000" w:sz="4" w:space="0"/>
              <w:bottom w:val="single" w:color="000000" w:sz="4" w:space="0"/>
            </w:tcBorders>
            <w:noWrap w:val="0"/>
            <w:vAlign w:val="top"/>
          </w:tcPr>
          <w:p>
            <w:pPr>
              <w:pStyle w:val="24"/>
              <w:spacing w:before="156"/>
              <w:ind w:left="15"/>
              <w:jc w:val="center"/>
              <w:rPr>
                <w:b/>
                <w:bCs w:val="0"/>
                <w:color w:val="auto"/>
                <w:sz w:val="24"/>
                <w:szCs w:val="24"/>
                <w:highlight w:val="none"/>
              </w:rPr>
            </w:pPr>
            <w:r>
              <w:rPr>
                <w:b/>
                <w:bCs w:val="0"/>
                <w:color w:val="auto"/>
                <w:sz w:val="24"/>
                <w:szCs w:val="24"/>
                <w:highlight w:val="none"/>
              </w:rPr>
              <w:t>3</w:t>
            </w:r>
          </w:p>
        </w:tc>
        <w:tc>
          <w:tcPr>
            <w:tcW w:w="1425" w:type="dxa"/>
            <w:tcBorders>
              <w:top w:val="single" w:color="000000" w:sz="4" w:space="0"/>
              <w:bottom w:val="single" w:color="000000" w:sz="4" w:space="0"/>
              <w:right w:val="single" w:color="000000" w:sz="12" w:space="0"/>
            </w:tcBorders>
            <w:noWrap w:val="0"/>
            <w:vAlign w:val="top"/>
          </w:tcPr>
          <w:p>
            <w:pPr>
              <w:pStyle w:val="24"/>
              <w:spacing w:line="310" w:lineRule="atLeast"/>
              <w:ind w:left="411" w:right="371"/>
              <w:rPr>
                <w:b/>
                <w:bCs w:val="0"/>
                <w:color w:val="auto"/>
                <w:sz w:val="24"/>
                <w:szCs w:val="24"/>
                <w:highlight w:val="none"/>
              </w:rPr>
            </w:pPr>
            <w:r>
              <w:rPr>
                <w:b/>
                <w:bCs w:val="0"/>
                <w:color w:val="auto"/>
                <w:sz w:val="24"/>
                <w:szCs w:val="24"/>
                <w:highlight w:val="none"/>
              </w:rPr>
              <w:t>T0625 T0619</w:t>
            </w:r>
          </w:p>
        </w:tc>
        <w:tc>
          <w:tcPr>
            <w:tcW w:w="416" w:type="dxa"/>
            <w:vMerge w:val="continue"/>
            <w:tcBorders>
              <w:top w:val="nil"/>
              <w:left w:val="single" w:color="000000" w:sz="12" w:space="0"/>
              <w:bottom w:val="nil"/>
              <w:right w:val="nil"/>
            </w:tcBorders>
            <w:noWrap w:val="0"/>
            <w:vAlign w:val="top"/>
          </w:tcPr>
          <w:p>
            <w:pPr>
              <w:rPr>
                <w:b/>
                <w:bCs w:val="0"/>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416" w:type="dxa"/>
            <w:vMerge w:val="continue"/>
            <w:tcBorders>
              <w:top w:val="nil"/>
              <w:left w:val="nil"/>
              <w:bottom w:val="nil"/>
              <w:right w:val="single" w:color="000000" w:sz="12" w:space="0"/>
            </w:tcBorders>
            <w:noWrap w:val="0"/>
            <w:vAlign w:val="top"/>
          </w:tcPr>
          <w:p>
            <w:pPr>
              <w:rPr>
                <w:b/>
                <w:bCs w:val="0"/>
                <w:color w:val="auto"/>
                <w:sz w:val="24"/>
                <w:szCs w:val="24"/>
                <w:highlight w:val="none"/>
              </w:rPr>
            </w:pPr>
          </w:p>
        </w:tc>
        <w:tc>
          <w:tcPr>
            <w:tcW w:w="5396" w:type="dxa"/>
            <w:tcBorders>
              <w:top w:val="single" w:color="000000" w:sz="4" w:space="0"/>
              <w:left w:val="single" w:color="000000" w:sz="12" w:space="0"/>
              <w:bottom w:val="single" w:color="000000" w:sz="4" w:space="0"/>
            </w:tcBorders>
            <w:noWrap w:val="0"/>
            <w:vAlign w:val="top"/>
          </w:tcPr>
          <w:p>
            <w:pPr>
              <w:pStyle w:val="24"/>
              <w:tabs>
                <w:tab w:val="left" w:pos="3699"/>
              </w:tabs>
              <w:spacing w:before="42"/>
              <w:ind w:left="99"/>
              <w:rPr>
                <w:b/>
                <w:bCs w:val="0"/>
                <w:color w:val="auto"/>
                <w:sz w:val="24"/>
                <w:szCs w:val="24"/>
                <w:highlight w:val="none"/>
              </w:rPr>
            </w:pPr>
            <w:r>
              <w:rPr>
                <w:b/>
                <w:bCs w:val="0"/>
                <w:color w:val="auto"/>
                <w:sz w:val="24"/>
                <w:szCs w:val="24"/>
                <w:highlight w:val="none"/>
              </w:rPr>
              <w:t>贮存稳定性离析、48h软化点差</w:t>
            </w:r>
            <w:r>
              <w:rPr>
                <w:b/>
                <w:bCs w:val="0"/>
                <w:color w:val="auto"/>
                <w:sz w:val="24"/>
                <w:szCs w:val="24"/>
                <w:highlight w:val="none"/>
              </w:rPr>
              <w:tab/>
            </w:r>
            <w:r>
              <w:rPr>
                <w:b/>
                <w:bCs w:val="0"/>
                <w:color w:val="auto"/>
                <w:sz w:val="24"/>
                <w:szCs w:val="24"/>
                <w:highlight w:val="none"/>
              </w:rPr>
              <w:t>不大于（℃）</w:t>
            </w:r>
          </w:p>
        </w:tc>
        <w:tc>
          <w:tcPr>
            <w:tcW w:w="1701" w:type="dxa"/>
            <w:tcBorders>
              <w:top w:val="single" w:color="000000" w:sz="4" w:space="0"/>
              <w:bottom w:val="single" w:color="000000" w:sz="4" w:space="0"/>
            </w:tcBorders>
            <w:noWrap w:val="0"/>
            <w:vAlign w:val="top"/>
          </w:tcPr>
          <w:p>
            <w:pPr>
              <w:pStyle w:val="24"/>
              <w:spacing w:before="42"/>
              <w:ind w:left="350" w:right="335"/>
              <w:jc w:val="center"/>
              <w:rPr>
                <w:b/>
                <w:bCs w:val="0"/>
                <w:color w:val="auto"/>
                <w:sz w:val="24"/>
                <w:szCs w:val="24"/>
                <w:highlight w:val="none"/>
              </w:rPr>
            </w:pPr>
            <w:r>
              <w:rPr>
                <w:b/>
                <w:bCs w:val="0"/>
                <w:color w:val="auto"/>
                <w:sz w:val="24"/>
                <w:szCs w:val="24"/>
                <w:highlight w:val="none"/>
              </w:rPr>
              <w:t>2.5</w:t>
            </w:r>
          </w:p>
        </w:tc>
        <w:tc>
          <w:tcPr>
            <w:tcW w:w="1425" w:type="dxa"/>
            <w:tcBorders>
              <w:top w:val="single" w:color="000000" w:sz="4" w:space="0"/>
              <w:bottom w:val="single" w:color="000000" w:sz="4" w:space="0"/>
              <w:right w:val="single" w:color="000000" w:sz="12" w:space="0"/>
            </w:tcBorders>
            <w:noWrap w:val="0"/>
            <w:vAlign w:val="top"/>
          </w:tcPr>
          <w:p>
            <w:pPr>
              <w:pStyle w:val="24"/>
              <w:spacing w:before="42"/>
              <w:ind w:left="391" w:right="370"/>
              <w:jc w:val="center"/>
              <w:rPr>
                <w:b/>
                <w:bCs w:val="0"/>
                <w:color w:val="auto"/>
                <w:sz w:val="24"/>
                <w:szCs w:val="24"/>
                <w:highlight w:val="none"/>
              </w:rPr>
            </w:pPr>
            <w:r>
              <w:rPr>
                <w:b/>
                <w:bCs w:val="0"/>
                <w:color w:val="auto"/>
                <w:sz w:val="24"/>
                <w:szCs w:val="24"/>
                <w:highlight w:val="none"/>
              </w:rPr>
              <w:t>T0624</w:t>
            </w:r>
          </w:p>
        </w:tc>
        <w:tc>
          <w:tcPr>
            <w:tcW w:w="416" w:type="dxa"/>
            <w:vMerge w:val="continue"/>
            <w:tcBorders>
              <w:top w:val="nil"/>
              <w:left w:val="single" w:color="000000" w:sz="12" w:space="0"/>
              <w:bottom w:val="nil"/>
              <w:right w:val="nil"/>
            </w:tcBorders>
            <w:noWrap w:val="0"/>
            <w:vAlign w:val="top"/>
          </w:tcPr>
          <w:p>
            <w:pPr>
              <w:rPr>
                <w:b/>
                <w:bCs w:val="0"/>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416" w:type="dxa"/>
            <w:vMerge w:val="continue"/>
            <w:tcBorders>
              <w:top w:val="nil"/>
              <w:left w:val="nil"/>
              <w:bottom w:val="nil"/>
              <w:right w:val="single" w:color="000000" w:sz="12" w:space="0"/>
            </w:tcBorders>
            <w:noWrap w:val="0"/>
            <w:vAlign w:val="top"/>
          </w:tcPr>
          <w:p>
            <w:pPr>
              <w:rPr>
                <w:b/>
                <w:bCs w:val="0"/>
                <w:color w:val="auto"/>
                <w:sz w:val="24"/>
                <w:szCs w:val="24"/>
                <w:highlight w:val="none"/>
              </w:rPr>
            </w:pPr>
          </w:p>
        </w:tc>
        <w:tc>
          <w:tcPr>
            <w:tcW w:w="5396" w:type="dxa"/>
            <w:tcBorders>
              <w:top w:val="single" w:color="000000" w:sz="4" w:space="0"/>
              <w:left w:val="single" w:color="000000" w:sz="12" w:space="0"/>
              <w:bottom w:val="single" w:color="000000" w:sz="4" w:space="0"/>
            </w:tcBorders>
            <w:noWrap w:val="0"/>
            <w:vAlign w:val="top"/>
          </w:tcPr>
          <w:p>
            <w:pPr>
              <w:pStyle w:val="24"/>
              <w:tabs>
                <w:tab w:val="left" w:pos="3699"/>
              </w:tabs>
              <w:spacing w:before="43"/>
              <w:ind w:left="99"/>
              <w:rPr>
                <w:b/>
                <w:bCs w:val="0"/>
                <w:color w:val="auto"/>
                <w:sz w:val="24"/>
                <w:szCs w:val="24"/>
                <w:highlight w:val="none"/>
              </w:rPr>
            </w:pPr>
            <w:r>
              <w:rPr>
                <w:b/>
                <w:bCs w:val="0"/>
                <w:color w:val="auto"/>
                <w:sz w:val="24"/>
                <w:szCs w:val="24"/>
                <w:highlight w:val="none"/>
              </w:rPr>
              <w:t>弹性恢复（25℃）</w:t>
            </w:r>
            <w:r>
              <w:rPr>
                <w:b/>
                <w:bCs w:val="0"/>
                <w:color w:val="auto"/>
                <w:sz w:val="24"/>
                <w:szCs w:val="24"/>
                <w:highlight w:val="none"/>
              </w:rPr>
              <w:tab/>
            </w:r>
            <w:r>
              <w:rPr>
                <w:b/>
                <w:bCs w:val="0"/>
                <w:color w:val="auto"/>
                <w:sz w:val="24"/>
                <w:szCs w:val="24"/>
                <w:highlight w:val="none"/>
              </w:rPr>
              <w:t>不小于（%）</w:t>
            </w:r>
          </w:p>
        </w:tc>
        <w:tc>
          <w:tcPr>
            <w:tcW w:w="1701" w:type="dxa"/>
            <w:tcBorders>
              <w:top w:val="single" w:color="000000" w:sz="4" w:space="0"/>
              <w:bottom w:val="single" w:color="000000" w:sz="4" w:space="0"/>
            </w:tcBorders>
            <w:noWrap w:val="0"/>
            <w:vAlign w:val="top"/>
          </w:tcPr>
          <w:p>
            <w:pPr>
              <w:pStyle w:val="24"/>
              <w:spacing w:before="43"/>
              <w:ind w:left="350" w:right="335"/>
              <w:jc w:val="center"/>
              <w:rPr>
                <w:b/>
                <w:bCs w:val="0"/>
                <w:color w:val="auto"/>
                <w:sz w:val="24"/>
                <w:szCs w:val="24"/>
                <w:highlight w:val="none"/>
              </w:rPr>
            </w:pPr>
            <w:r>
              <w:rPr>
                <w:b/>
                <w:bCs w:val="0"/>
                <w:color w:val="auto"/>
                <w:sz w:val="24"/>
                <w:szCs w:val="24"/>
                <w:highlight w:val="none"/>
              </w:rPr>
              <w:t>85</w:t>
            </w:r>
          </w:p>
        </w:tc>
        <w:tc>
          <w:tcPr>
            <w:tcW w:w="1425" w:type="dxa"/>
            <w:tcBorders>
              <w:top w:val="single" w:color="000000" w:sz="4" w:space="0"/>
              <w:bottom w:val="single" w:color="000000" w:sz="4" w:space="0"/>
              <w:right w:val="single" w:color="000000" w:sz="12" w:space="0"/>
            </w:tcBorders>
            <w:noWrap w:val="0"/>
            <w:vAlign w:val="top"/>
          </w:tcPr>
          <w:p>
            <w:pPr>
              <w:pStyle w:val="24"/>
              <w:spacing w:before="43"/>
              <w:ind w:left="391" w:right="370"/>
              <w:jc w:val="center"/>
              <w:rPr>
                <w:b/>
                <w:bCs w:val="0"/>
                <w:color w:val="auto"/>
                <w:sz w:val="24"/>
                <w:szCs w:val="24"/>
                <w:highlight w:val="none"/>
              </w:rPr>
            </w:pPr>
            <w:r>
              <w:rPr>
                <w:b/>
                <w:bCs w:val="0"/>
                <w:color w:val="auto"/>
                <w:sz w:val="24"/>
                <w:szCs w:val="24"/>
                <w:highlight w:val="none"/>
              </w:rPr>
              <w:t>T0662</w:t>
            </w:r>
          </w:p>
        </w:tc>
        <w:tc>
          <w:tcPr>
            <w:tcW w:w="416" w:type="dxa"/>
            <w:vMerge w:val="continue"/>
            <w:tcBorders>
              <w:top w:val="nil"/>
              <w:left w:val="single" w:color="000000" w:sz="12" w:space="0"/>
              <w:bottom w:val="nil"/>
              <w:right w:val="nil"/>
            </w:tcBorders>
            <w:noWrap w:val="0"/>
            <w:vAlign w:val="top"/>
          </w:tcPr>
          <w:p>
            <w:pPr>
              <w:rPr>
                <w:b/>
                <w:bCs w:val="0"/>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416" w:type="dxa"/>
            <w:vMerge w:val="continue"/>
            <w:tcBorders>
              <w:top w:val="nil"/>
              <w:left w:val="nil"/>
              <w:bottom w:val="nil"/>
              <w:right w:val="single" w:color="000000" w:sz="12" w:space="0"/>
            </w:tcBorders>
            <w:noWrap w:val="0"/>
            <w:vAlign w:val="top"/>
          </w:tcPr>
          <w:p>
            <w:pPr>
              <w:rPr>
                <w:b/>
                <w:bCs w:val="0"/>
                <w:color w:val="auto"/>
                <w:sz w:val="24"/>
                <w:szCs w:val="24"/>
                <w:highlight w:val="none"/>
              </w:rPr>
            </w:pPr>
          </w:p>
        </w:tc>
        <w:tc>
          <w:tcPr>
            <w:tcW w:w="5396" w:type="dxa"/>
            <w:tcBorders>
              <w:top w:val="single" w:color="000000" w:sz="4" w:space="0"/>
              <w:left w:val="single" w:color="000000" w:sz="12" w:space="0"/>
              <w:bottom w:val="single" w:color="000000" w:sz="4" w:space="0"/>
            </w:tcBorders>
            <w:noWrap w:val="0"/>
            <w:vAlign w:val="top"/>
          </w:tcPr>
          <w:p>
            <w:pPr>
              <w:pStyle w:val="24"/>
              <w:spacing w:before="157"/>
              <w:ind w:left="99"/>
              <w:rPr>
                <w:b/>
                <w:bCs w:val="0"/>
                <w:color w:val="auto"/>
                <w:sz w:val="24"/>
                <w:szCs w:val="24"/>
                <w:highlight w:val="none"/>
              </w:rPr>
            </w:pPr>
            <w:r>
              <w:rPr>
                <w:b/>
                <w:bCs w:val="0"/>
                <w:color w:val="auto"/>
                <w:sz w:val="24"/>
                <w:szCs w:val="24"/>
                <w:highlight w:val="none"/>
              </w:rPr>
              <w:t>SHRP性能等级</w:t>
            </w:r>
          </w:p>
        </w:tc>
        <w:tc>
          <w:tcPr>
            <w:tcW w:w="1701" w:type="dxa"/>
            <w:tcBorders>
              <w:top w:val="single" w:color="000000" w:sz="4" w:space="0"/>
              <w:bottom w:val="single" w:color="000000" w:sz="4" w:space="0"/>
            </w:tcBorders>
            <w:noWrap w:val="0"/>
            <w:vAlign w:val="top"/>
          </w:tcPr>
          <w:p>
            <w:pPr>
              <w:pStyle w:val="24"/>
              <w:spacing w:before="157"/>
              <w:ind w:left="350" w:right="328"/>
              <w:jc w:val="center"/>
              <w:rPr>
                <w:b/>
                <w:bCs w:val="0"/>
                <w:color w:val="auto"/>
                <w:sz w:val="24"/>
                <w:szCs w:val="24"/>
                <w:highlight w:val="none"/>
              </w:rPr>
            </w:pPr>
            <w:r>
              <w:rPr>
                <w:b/>
                <w:bCs w:val="0"/>
                <w:color w:val="auto"/>
                <w:sz w:val="24"/>
                <w:szCs w:val="24"/>
                <w:highlight w:val="none"/>
              </w:rPr>
              <w:t>PG7</w:t>
            </w:r>
            <w:r>
              <w:rPr>
                <w:rFonts w:hint="eastAsia"/>
                <w:b/>
                <w:bCs w:val="0"/>
                <w:color w:val="auto"/>
                <w:sz w:val="24"/>
                <w:szCs w:val="24"/>
                <w:highlight w:val="none"/>
                <w:lang w:val="en-US" w:eastAsia="zh-CN"/>
              </w:rPr>
              <w:t>6</w:t>
            </w:r>
            <w:r>
              <w:rPr>
                <w:b/>
                <w:bCs w:val="0"/>
                <w:color w:val="auto"/>
                <w:sz w:val="24"/>
                <w:szCs w:val="24"/>
                <w:highlight w:val="none"/>
              </w:rPr>
              <w:t>-22</w:t>
            </w:r>
          </w:p>
        </w:tc>
        <w:tc>
          <w:tcPr>
            <w:tcW w:w="1425" w:type="dxa"/>
            <w:tcBorders>
              <w:top w:val="single" w:color="000000" w:sz="4" w:space="0"/>
              <w:bottom w:val="single" w:color="000000" w:sz="4" w:space="0"/>
              <w:right w:val="single" w:color="000000" w:sz="12" w:space="0"/>
            </w:tcBorders>
            <w:noWrap w:val="0"/>
            <w:vAlign w:val="top"/>
          </w:tcPr>
          <w:p>
            <w:pPr>
              <w:pStyle w:val="24"/>
              <w:spacing w:before="1"/>
              <w:ind w:left="351"/>
              <w:rPr>
                <w:b/>
                <w:bCs w:val="0"/>
                <w:color w:val="auto"/>
                <w:sz w:val="24"/>
                <w:szCs w:val="24"/>
                <w:highlight w:val="none"/>
              </w:rPr>
            </w:pPr>
            <w:r>
              <w:rPr>
                <w:b/>
                <w:bCs w:val="0"/>
                <w:color w:val="auto"/>
                <w:sz w:val="24"/>
                <w:szCs w:val="24"/>
                <w:highlight w:val="none"/>
              </w:rPr>
              <w:t>AASHTO</w:t>
            </w:r>
          </w:p>
          <w:p>
            <w:pPr>
              <w:pStyle w:val="24"/>
              <w:spacing w:before="4" w:line="289" w:lineRule="exact"/>
              <w:ind w:left="291"/>
              <w:rPr>
                <w:b/>
                <w:bCs w:val="0"/>
                <w:color w:val="auto"/>
                <w:sz w:val="24"/>
                <w:szCs w:val="24"/>
                <w:highlight w:val="none"/>
              </w:rPr>
            </w:pPr>
            <w:r>
              <w:rPr>
                <w:b/>
                <w:bCs w:val="0"/>
                <w:color w:val="auto"/>
                <w:sz w:val="24"/>
                <w:szCs w:val="24"/>
                <w:highlight w:val="none"/>
              </w:rPr>
              <w:t>M320-10</w:t>
            </w:r>
          </w:p>
        </w:tc>
        <w:tc>
          <w:tcPr>
            <w:tcW w:w="416" w:type="dxa"/>
            <w:vMerge w:val="continue"/>
            <w:tcBorders>
              <w:top w:val="nil"/>
              <w:left w:val="single" w:color="000000" w:sz="12" w:space="0"/>
              <w:bottom w:val="nil"/>
              <w:right w:val="nil"/>
            </w:tcBorders>
            <w:noWrap w:val="0"/>
            <w:vAlign w:val="top"/>
          </w:tcPr>
          <w:p>
            <w:pPr>
              <w:rPr>
                <w:b/>
                <w:bCs w:val="0"/>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416" w:type="dxa"/>
            <w:vMerge w:val="continue"/>
            <w:tcBorders>
              <w:top w:val="nil"/>
              <w:left w:val="nil"/>
              <w:bottom w:val="nil"/>
              <w:right w:val="single" w:color="000000" w:sz="12" w:space="0"/>
            </w:tcBorders>
            <w:noWrap w:val="0"/>
            <w:vAlign w:val="top"/>
          </w:tcPr>
          <w:p>
            <w:pPr>
              <w:rPr>
                <w:b/>
                <w:bCs w:val="0"/>
                <w:color w:val="auto"/>
                <w:sz w:val="24"/>
                <w:szCs w:val="24"/>
                <w:highlight w:val="none"/>
              </w:rPr>
            </w:pPr>
          </w:p>
        </w:tc>
        <w:tc>
          <w:tcPr>
            <w:tcW w:w="5396" w:type="dxa"/>
            <w:tcBorders>
              <w:top w:val="single" w:color="000000" w:sz="4" w:space="0"/>
              <w:left w:val="single" w:color="000000" w:sz="12" w:space="0"/>
              <w:bottom w:val="single" w:color="000000" w:sz="12" w:space="0"/>
            </w:tcBorders>
            <w:noWrap w:val="0"/>
            <w:vAlign w:val="top"/>
          </w:tcPr>
          <w:p>
            <w:pPr>
              <w:pStyle w:val="24"/>
              <w:spacing w:before="43"/>
              <w:ind w:left="99"/>
              <w:rPr>
                <w:b/>
                <w:bCs w:val="0"/>
                <w:color w:val="auto"/>
                <w:sz w:val="24"/>
                <w:szCs w:val="24"/>
                <w:highlight w:val="none"/>
              </w:rPr>
            </w:pPr>
            <w:r>
              <w:rPr>
                <w:b/>
                <w:bCs w:val="0"/>
                <w:color w:val="auto"/>
                <w:sz w:val="24"/>
                <w:szCs w:val="24"/>
                <w:highlight w:val="none"/>
              </w:rPr>
              <w:t>SBS改性剂掺量不小于（%）</w:t>
            </w:r>
          </w:p>
        </w:tc>
        <w:tc>
          <w:tcPr>
            <w:tcW w:w="1701" w:type="dxa"/>
            <w:tcBorders>
              <w:top w:val="single" w:color="000000" w:sz="4" w:space="0"/>
              <w:bottom w:val="single" w:color="000000" w:sz="12" w:space="0"/>
            </w:tcBorders>
            <w:noWrap w:val="0"/>
            <w:vAlign w:val="top"/>
          </w:tcPr>
          <w:p>
            <w:pPr>
              <w:pStyle w:val="24"/>
              <w:spacing w:before="43"/>
              <w:ind w:left="350" w:right="335"/>
              <w:jc w:val="center"/>
              <w:rPr>
                <w:b/>
                <w:bCs w:val="0"/>
                <w:color w:val="auto"/>
                <w:sz w:val="24"/>
                <w:szCs w:val="24"/>
                <w:highlight w:val="none"/>
              </w:rPr>
            </w:pPr>
            <w:r>
              <w:rPr>
                <w:b/>
                <w:bCs w:val="0"/>
                <w:color w:val="auto"/>
                <w:sz w:val="24"/>
                <w:szCs w:val="24"/>
                <w:highlight w:val="none"/>
              </w:rPr>
              <w:t>4.0</w:t>
            </w:r>
          </w:p>
        </w:tc>
        <w:tc>
          <w:tcPr>
            <w:tcW w:w="1425" w:type="dxa"/>
            <w:tcBorders>
              <w:top w:val="single" w:color="000000" w:sz="4" w:space="0"/>
              <w:bottom w:val="single" w:color="000000" w:sz="12" w:space="0"/>
              <w:right w:val="single" w:color="000000" w:sz="12" w:space="0"/>
            </w:tcBorders>
            <w:noWrap w:val="0"/>
            <w:vAlign w:val="top"/>
          </w:tcPr>
          <w:p>
            <w:pPr>
              <w:pStyle w:val="24"/>
              <w:spacing w:before="43"/>
              <w:ind w:left="21"/>
              <w:jc w:val="center"/>
              <w:rPr>
                <w:b/>
                <w:bCs w:val="0"/>
                <w:color w:val="auto"/>
                <w:sz w:val="24"/>
                <w:szCs w:val="24"/>
                <w:highlight w:val="none"/>
              </w:rPr>
            </w:pPr>
            <w:r>
              <w:rPr>
                <w:b/>
                <w:bCs w:val="0"/>
                <w:color w:val="auto"/>
                <w:sz w:val="24"/>
                <w:szCs w:val="24"/>
                <w:highlight w:val="none"/>
              </w:rPr>
              <w:t>-</w:t>
            </w:r>
          </w:p>
        </w:tc>
        <w:tc>
          <w:tcPr>
            <w:tcW w:w="416" w:type="dxa"/>
            <w:vMerge w:val="continue"/>
            <w:tcBorders>
              <w:top w:val="nil"/>
              <w:left w:val="single" w:color="000000" w:sz="12" w:space="0"/>
              <w:bottom w:val="nil"/>
              <w:right w:val="nil"/>
            </w:tcBorders>
            <w:noWrap w:val="0"/>
            <w:vAlign w:val="top"/>
          </w:tcPr>
          <w:p>
            <w:pPr>
              <w:rPr>
                <w:b/>
                <w:bCs w:val="0"/>
                <w:color w:val="auto"/>
                <w:sz w:val="24"/>
                <w:szCs w:val="24"/>
                <w:highlight w:val="none"/>
              </w:rPr>
            </w:pPr>
          </w:p>
        </w:tc>
      </w:tr>
    </w:tbl>
    <w:p>
      <w:pPr>
        <w:spacing w:before="3" w:line="242" w:lineRule="auto"/>
        <w:ind w:left="298" w:right="372" w:firstLine="480"/>
        <w:rPr>
          <w:b/>
          <w:bCs w:val="0"/>
          <w:color w:val="auto"/>
          <w:sz w:val="24"/>
          <w:szCs w:val="24"/>
          <w:highlight w:val="none"/>
        </w:rPr>
      </w:pPr>
      <w:r>
        <w:rPr>
          <w:b/>
          <w:bCs w:val="0"/>
          <w:color w:val="auto"/>
          <w:sz w:val="24"/>
          <w:szCs w:val="24"/>
          <w:highlight w:val="none"/>
        </w:rPr>
        <w:t>注：</w:t>
      </w:r>
      <w:r>
        <w:rPr>
          <w:rFonts w:hint="eastAsia"/>
          <w:b/>
          <w:bCs w:val="0"/>
          <w:color w:val="auto"/>
          <w:sz w:val="24"/>
          <w:szCs w:val="24"/>
          <w:highlight w:val="none"/>
          <w:lang w:val="en-US" w:eastAsia="zh-CN"/>
        </w:rPr>
        <w:t>1.</w:t>
      </w:r>
      <w:r>
        <w:rPr>
          <w:b/>
          <w:bCs w:val="0"/>
          <w:color w:val="auto"/>
          <w:sz w:val="24"/>
          <w:szCs w:val="24"/>
          <w:highlight w:val="none"/>
        </w:rPr>
        <w:t>本项目改性沥青部分技术要求（如延度（5cm/min,5℃）、薄膜加热实验延度、SHRP性能等级等</w:t>
      </w:r>
      <w:r>
        <w:rPr>
          <w:b/>
          <w:bCs w:val="0"/>
          <w:color w:val="auto"/>
          <w:spacing w:val="-15"/>
          <w:sz w:val="24"/>
          <w:szCs w:val="24"/>
          <w:highlight w:val="none"/>
        </w:rPr>
        <w:t>）</w:t>
      </w:r>
      <w:r>
        <w:rPr>
          <w:b/>
          <w:bCs w:val="0"/>
          <w:color w:val="auto"/>
          <w:spacing w:val="-3"/>
          <w:sz w:val="24"/>
          <w:szCs w:val="24"/>
          <w:highlight w:val="none"/>
        </w:rPr>
        <w:t>相对于国家标准有所提高，请投标人仔细阅读技术标准，并提供自</w:t>
      </w:r>
      <w:r>
        <w:rPr>
          <w:rFonts w:hint="eastAsia"/>
          <w:b/>
          <w:bCs w:val="0"/>
          <w:color w:val="auto"/>
          <w:sz w:val="24"/>
          <w:szCs w:val="24"/>
          <w:highlight w:val="none"/>
          <w:lang w:val="en-US" w:eastAsia="zh-CN"/>
        </w:rPr>
        <w:t>2020</w:t>
      </w:r>
      <w:r>
        <w:rPr>
          <w:b/>
          <w:bCs w:val="0"/>
          <w:color w:val="auto"/>
          <w:sz w:val="24"/>
          <w:szCs w:val="24"/>
          <w:highlight w:val="none"/>
        </w:rPr>
        <w:t>年1月1日至投标截止之日，具有沥青检测资质的第三方检测机构检测并出具的SBS改性沥</w:t>
      </w:r>
      <w:r>
        <w:rPr>
          <w:b/>
          <w:bCs w:val="0"/>
          <w:color w:val="auto"/>
          <w:spacing w:val="-3"/>
          <w:sz w:val="24"/>
          <w:szCs w:val="24"/>
          <w:highlight w:val="none"/>
        </w:rPr>
        <w:t>青检测报告</w:t>
      </w:r>
      <w:r>
        <w:rPr>
          <w:b/>
          <w:bCs w:val="0"/>
          <w:color w:val="auto"/>
          <w:sz w:val="24"/>
          <w:szCs w:val="24"/>
          <w:highlight w:val="none"/>
        </w:rPr>
        <w:t>（按照相关试验方法规定</w:t>
      </w:r>
      <w:r>
        <w:rPr>
          <w:b/>
          <w:bCs w:val="0"/>
          <w:color w:val="auto"/>
          <w:spacing w:val="-14"/>
          <w:sz w:val="24"/>
          <w:szCs w:val="24"/>
          <w:highlight w:val="none"/>
        </w:rPr>
        <w:t>）</w:t>
      </w:r>
      <w:r>
        <w:rPr>
          <w:b/>
          <w:bCs w:val="0"/>
          <w:color w:val="auto"/>
          <w:spacing w:val="-4"/>
          <w:sz w:val="24"/>
          <w:szCs w:val="24"/>
          <w:highlight w:val="none"/>
        </w:rPr>
        <w:t>；同时检测单位</w:t>
      </w:r>
      <w:r>
        <w:rPr>
          <w:b/>
          <w:bCs w:val="0"/>
          <w:color w:val="auto"/>
          <w:spacing w:val="-6"/>
          <w:sz w:val="24"/>
          <w:szCs w:val="24"/>
          <w:highlight w:val="none"/>
        </w:rPr>
        <w:t>具有计量行政部门颁发的有效的计量认证证书</w:t>
      </w:r>
      <w:r>
        <w:rPr>
          <w:b/>
          <w:bCs w:val="0"/>
          <w:color w:val="auto"/>
          <w:spacing w:val="-3"/>
          <w:sz w:val="24"/>
          <w:szCs w:val="24"/>
          <w:highlight w:val="none"/>
        </w:rPr>
        <w:t>（CMA）</w:t>
      </w:r>
      <w:r>
        <w:rPr>
          <w:b/>
          <w:bCs w:val="0"/>
          <w:color w:val="auto"/>
          <w:spacing w:val="-11"/>
          <w:sz w:val="24"/>
          <w:szCs w:val="24"/>
          <w:highlight w:val="none"/>
        </w:rPr>
        <w:t>。</w:t>
      </w:r>
      <w:r>
        <w:rPr>
          <w:b/>
          <w:bCs w:val="0"/>
          <w:color w:val="auto"/>
          <w:sz w:val="24"/>
          <w:szCs w:val="24"/>
          <w:highlight w:val="none"/>
        </w:rPr>
        <w:t>上表中除最后一项“SBS改性剂掺量”外，其余所有试验检测项目及试验检测数据均应满足上表的技术指标要求，并应在检测报告中逐一体现，否则其投标文件将被拒绝。</w:t>
      </w:r>
    </w:p>
    <w:p>
      <w:pPr>
        <w:adjustRightInd/>
        <w:ind w:firstLine="1175" w:firstLineChars="500"/>
        <w:rPr>
          <w:rFonts w:hAnsi="宋体" w:cs="Arial"/>
          <w:b/>
          <w:bCs w:val="0"/>
          <w:color w:val="auto"/>
          <w:sz w:val="24"/>
          <w:szCs w:val="24"/>
          <w:highlight w:val="none"/>
        </w:rPr>
      </w:pPr>
      <w:r>
        <w:rPr>
          <w:rFonts w:hint="eastAsia"/>
          <w:b/>
          <w:bCs w:val="0"/>
          <w:color w:val="auto"/>
          <w:spacing w:val="-3"/>
          <w:sz w:val="24"/>
          <w:szCs w:val="24"/>
          <w:highlight w:val="none"/>
          <w:lang w:val="en-US" w:eastAsia="zh-CN"/>
        </w:rPr>
        <w:t>2.</w:t>
      </w:r>
      <w:r>
        <w:rPr>
          <w:rFonts w:hint="eastAsia"/>
          <w:b/>
          <w:bCs w:val="0"/>
          <w:color w:val="auto"/>
          <w:spacing w:val="-3"/>
          <w:sz w:val="24"/>
          <w:szCs w:val="24"/>
          <w:highlight w:val="none"/>
        </w:rPr>
        <w:t>.</w:t>
      </w:r>
      <w:r>
        <w:rPr>
          <w:b/>
          <w:bCs w:val="0"/>
          <w:color w:val="auto"/>
          <w:spacing w:val="-3"/>
          <w:sz w:val="24"/>
          <w:szCs w:val="24"/>
          <w:highlight w:val="none"/>
        </w:rPr>
        <w:t>投标人应积极配合招标人开展的施工过程沥青质量控制和管理工作，如提供样品用于沥</w:t>
      </w:r>
      <w:r>
        <w:rPr>
          <w:b/>
          <w:bCs w:val="0"/>
          <w:color w:val="auto"/>
          <w:sz w:val="24"/>
          <w:szCs w:val="24"/>
          <w:highlight w:val="none"/>
        </w:rPr>
        <w:t>青快速识别检测数据库的建立。</w:t>
      </w:r>
    </w:p>
    <w:p>
      <w:pPr>
        <w:rPr>
          <w:rFonts w:hint="eastAsia"/>
          <w:b/>
          <w:bCs w:val="0"/>
          <w:color w:val="auto"/>
          <w:sz w:val="24"/>
          <w:szCs w:val="24"/>
          <w:highlight w:val="none"/>
          <w:lang w:val="en-US" w:eastAsia="zh-CN"/>
        </w:rPr>
      </w:pPr>
      <w:r>
        <w:rPr>
          <w:rFonts w:hint="eastAsia"/>
          <w:b/>
          <w:bCs w:val="0"/>
          <w:color w:val="auto"/>
          <w:sz w:val="24"/>
          <w:szCs w:val="24"/>
          <w:highlight w:val="none"/>
          <w:lang w:val="en-US" w:eastAsia="zh-CN"/>
        </w:rPr>
        <w:br w:type="page"/>
      </w:r>
    </w:p>
    <w:p>
      <w:pPr>
        <w:spacing w:before="39" w:line="242" w:lineRule="auto"/>
        <w:ind w:right="2452"/>
        <w:jc w:val="both"/>
        <w:rPr>
          <w:rFonts w:hint="default" w:ascii="PMingLiU" w:eastAsia="宋体"/>
          <w:b/>
          <w:bCs w:val="0"/>
          <w:color w:val="auto"/>
          <w:sz w:val="24"/>
          <w:szCs w:val="24"/>
          <w:lang w:val="en-US" w:eastAsia="zh-CN"/>
        </w:rPr>
      </w:pPr>
      <w:r>
        <w:rPr>
          <w:rFonts w:hint="eastAsia" w:ascii="PMingLiU"/>
          <w:b/>
          <w:bCs w:val="0"/>
          <w:color w:val="auto"/>
          <w:sz w:val="24"/>
          <w:szCs w:val="24"/>
          <w:lang w:val="en-US" w:eastAsia="zh-CN"/>
        </w:rPr>
        <w:t>附件一</w:t>
      </w:r>
    </w:p>
    <w:p>
      <w:pPr>
        <w:spacing w:before="39" w:line="242" w:lineRule="auto"/>
        <w:ind w:left="1632" w:right="2452" w:firstLine="0"/>
        <w:jc w:val="center"/>
        <w:rPr>
          <w:rFonts w:hint="eastAsia" w:ascii="PMingLiU" w:eastAsia="PMingLiU"/>
          <w:b/>
          <w:bCs w:val="0"/>
          <w:color w:val="auto"/>
          <w:sz w:val="24"/>
          <w:szCs w:val="24"/>
        </w:rPr>
      </w:pPr>
      <w:bookmarkStart w:id="24" w:name="_GoBack"/>
      <w:r>
        <w:rPr>
          <w:rFonts w:hint="eastAsia" w:ascii="PMingLiU" w:eastAsia="PMingLiU"/>
          <w:b/>
          <w:bCs w:val="0"/>
          <w:color w:val="auto"/>
          <w:sz w:val="24"/>
          <w:szCs w:val="24"/>
        </w:rPr>
        <w:t>贵州交通物流集团有限公司甲供材料管理办法</w:t>
      </w:r>
    </w:p>
    <w:p>
      <w:pPr>
        <w:spacing w:before="39" w:line="242" w:lineRule="auto"/>
        <w:ind w:left="1632" w:right="2452" w:firstLine="0"/>
        <w:jc w:val="center"/>
        <w:rPr>
          <w:rFonts w:hint="eastAsia" w:ascii="PMingLiU" w:eastAsia="PMingLiU"/>
          <w:b/>
          <w:bCs w:val="0"/>
          <w:color w:val="auto"/>
          <w:sz w:val="24"/>
          <w:szCs w:val="24"/>
        </w:rPr>
      </w:pPr>
      <w:r>
        <w:rPr>
          <w:rFonts w:hint="eastAsia" w:ascii="PMingLiU" w:eastAsia="PMingLiU"/>
          <w:b/>
          <w:bCs w:val="0"/>
          <w:color w:val="auto"/>
          <w:sz w:val="24"/>
          <w:szCs w:val="24"/>
        </w:rPr>
        <w:t>（试行）</w:t>
      </w:r>
    </w:p>
    <w:bookmarkEnd w:id="24"/>
    <w:p>
      <w:pPr>
        <w:pStyle w:val="2"/>
        <w:spacing w:before="13"/>
        <w:ind w:left="0" w:firstLine="0"/>
        <w:rPr>
          <w:rFonts w:ascii="PMingLiU"/>
          <w:b/>
          <w:bCs w:val="0"/>
          <w:color w:val="auto"/>
          <w:sz w:val="24"/>
          <w:szCs w:val="24"/>
        </w:rPr>
      </w:pPr>
    </w:p>
    <w:p>
      <w:pPr>
        <w:pStyle w:val="2"/>
        <w:spacing w:line="328" w:lineRule="auto"/>
        <w:ind w:right="619"/>
        <w:rPr>
          <w:b/>
          <w:bCs w:val="0"/>
          <w:color w:val="auto"/>
          <w:sz w:val="24"/>
          <w:szCs w:val="24"/>
        </w:rPr>
      </w:pPr>
      <w:r>
        <w:rPr>
          <w:b/>
          <w:bCs w:val="0"/>
          <w:color w:val="auto"/>
          <w:spacing w:val="-1"/>
          <w:sz w:val="24"/>
          <w:szCs w:val="24"/>
        </w:rPr>
        <w:t xml:space="preserve">为了更进一步统一规范甲供材料管理工作，保证各在建 甲供项目良好运行,根据甲供材料工作环节的层次与结构步 </w:t>
      </w:r>
      <w:r>
        <w:rPr>
          <w:b/>
          <w:bCs w:val="0"/>
          <w:color w:val="auto"/>
          <w:spacing w:val="-3"/>
          <w:sz w:val="24"/>
          <w:szCs w:val="24"/>
        </w:rPr>
        <w:t xml:space="preserve">骤要求，明确各方的权利义务、责任，制定本管理办法，涉 </w:t>
      </w:r>
      <w:r>
        <w:rPr>
          <w:b/>
          <w:bCs w:val="0"/>
          <w:color w:val="auto"/>
          <w:spacing w:val="-5"/>
          <w:sz w:val="24"/>
          <w:szCs w:val="24"/>
        </w:rPr>
        <w:t>及到物流集团各职能部门的管理要求，材料项目部遵照执行。</w:t>
      </w:r>
    </w:p>
    <w:p>
      <w:pPr>
        <w:pStyle w:val="2"/>
        <w:ind w:left="0" w:firstLine="0"/>
        <w:rPr>
          <w:b/>
          <w:bCs w:val="0"/>
          <w:color w:val="auto"/>
          <w:sz w:val="24"/>
          <w:szCs w:val="24"/>
        </w:rPr>
      </w:pPr>
    </w:p>
    <w:p>
      <w:pPr>
        <w:pStyle w:val="2"/>
        <w:spacing w:before="1"/>
        <w:ind w:left="0" w:firstLine="0"/>
        <w:rPr>
          <w:b/>
          <w:bCs w:val="0"/>
          <w:color w:val="auto"/>
          <w:sz w:val="24"/>
          <w:szCs w:val="24"/>
        </w:rPr>
      </w:pPr>
    </w:p>
    <w:p>
      <w:pPr>
        <w:pStyle w:val="2"/>
        <w:tabs>
          <w:tab w:val="left" w:pos="1260"/>
        </w:tabs>
        <w:spacing w:before="54"/>
        <w:ind w:left="0" w:right="815" w:firstLine="0"/>
        <w:jc w:val="center"/>
        <w:rPr>
          <w:rFonts w:hint="eastAsia" w:ascii="黑体" w:eastAsia="黑体"/>
          <w:b/>
          <w:bCs w:val="0"/>
          <w:color w:val="auto"/>
          <w:sz w:val="24"/>
          <w:szCs w:val="24"/>
        </w:rPr>
      </w:pPr>
      <w:r>
        <w:rPr>
          <w:rFonts w:hint="eastAsia" w:ascii="黑体" w:eastAsia="黑体"/>
          <w:b/>
          <w:bCs w:val="0"/>
          <w:color w:val="auto"/>
          <w:sz w:val="24"/>
          <w:szCs w:val="24"/>
        </w:rPr>
        <w:t>第一章</w:t>
      </w:r>
      <w:r>
        <w:rPr>
          <w:rFonts w:hint="eastAsia" w:ascii="黑体" w:eastAsia="黑体"/>
          <w:b/>
          <w:bCs w:val="0"/>
          <w:color w:val="auto"/>
          <w:sz w:val="24"/>
          <w:szCs w:val="24"/>
        </w:rPr>
        <w:tab/>
      </w:r>
      <w:r>
        <w:rPr>
          <w:rFonts w:hint="eastAsia" w:ascii="黑体" w:eastAsia="黑体"/>
          <w:b/>
          <w:bCs w:val="0"/>
          <w:color w:val="auto"/>
          <w:sz w:val="24"/>
          <w:szCs w:val="24"/>
        </w:rPr>
        <w:t>总则</w:t>
      </w:r>
    </w:p>
    <w:p>
      <w:pPr>
        <w:pStyle w:val="3"/>
        <w:tabs>
          <w:tab w:val="left" w:pos="1961"/>
        </w:tabs>
        <w:spacing w:before="44"/>
        <w:rPr>
          <w:b/>
          <w:bCs w:val="0"/>
          <w:color w:val="auto"/>
          <w:sz w:val="24"/>
          <w:szCs w:val="24"/>
        </w:rPr>
      </w:pPr>
      <w:r>
        <w:rPr>
          <w:b/>
          <w:bCs w:val="0"/>
          <w:color w:val="auto"/>
          <w:sz w:val="24"/>
          <w:szCs w:val="24"/>
        </w:rPr>
        <w:t>第一条</w:t>
      </w:r>
      <w:r>
        <w:rPr>
          <w:rFonts w:hint="eastAsia"/>
          <w:b/>
          <w:bCs w:val="0"/>
          <w:color w:val="auto"/>
          <w:sz w:val="24"/>
          <w:szCs w:val="24"/>
          <w:lang w:val="en-US" w:eastAsia="zh-CN"/>
        </w:rPr>
        <w:t xml:space="preserve"> </w:t>
      </w:r>
      <w:r>
        <w:rPr>
          <w:b/>
          <w:bCs w:val="0"/>
          <w:color w:val="auto"/>
          <w:sz w:val="24"/>
          <w:szCs w:val="24"/>
        </w:rPr>
        <w:t>定义</w:t>
      </w:r>
    </w:p>
    <w:p>
      <w:pPr>
        <w:pStyle w:val="2"/>
        <w:spacing w:before="76" w:line="328" w:lineRule="auto"/>
        <w:ind w:right="1084"/>
        <w:rPr>
          <w:b/>
          <w:bCs w:val="0"/>
          <w:color w:val="auto"/>
          <w:sz w:val="24"/>
          <w:szCs w:val="24"/>
        </w:rPr>
      </w:pPr>
      <w:r>
        <w:rPr>
          <w:b/>
          <w:bCs w:val="0"/>
          <w:color w:val="auto"/>
          <w:sz w:val="24"/>
          <w:szCs w:val="24"/>
        </w:rPr>
        <w:t>（一）项目业主：指执行建设项目投资计划的单位,或其指定的负责管理建设项目的代表机构,以及取得该当事人</w:t>
      </w:r>
    </w:p>
    <w:p>
      <w:pPr>
        <w:pStyle w:val="2"/>
        <w:spacing w:line="328" w:lineRule="auto"/>
        <w:ind w:right="939" w:firstLine="0"/>
        <w:jc w:val="both"/>
        <w:rPr>
          <w:b/>
          <w:bCs w:val="0"/>
          <w:color w:val="auto"/>
          <w:sz w:val="24"/>
          <w:szCs w:val="24"/>
        </w:rPr>
      </w:pPr>
      <w:r>
        <w:rPr>
          <w:b/>
          <w:bCs w:val="0"/>
          <w:color w:val="auto"/>
          <w:sz w:val="24"/>
          <w:szCs w:val="24"/>
        </w:rPr>
        <w:t>（</w:t>
      </w:r>
      <w:r>
        <w:rPr>
          <w:b/>
          <w:bCs w:val="0"/>
          <w:color w:val="auto"/>
          <w:spacing w:val="-1"/>
          <w:sz w:val="24"/>
          <w:szCs w:val="24"/>
        </w:rPr>
        <w:t>单位)资格的合法继承人</w:t>
      </w:r>
      <w:r>
        <w:rPr>
          <w:b/>
          <w:bCs w:val="0"/>
          <w:color w:val="auto"/>
          <w:sz w:val="24"/>
          <w:szCs w:val="24"/>
        </w:rPr>
        <w:t>（</w:t>
      </w:r>
      <w:r>
        <w:rPr>
          <w:b/>
          <w:bCs w:val="0"/>
          <w:color w:val="auto"/>
          <w:spacing w:val="-3"/>
          <w:sz w:val="24"/>
          <w:szCs w:val="24"/>
        </w:rPr>
        <w:t>单位)。贵州高速公路集团有限</w:t>
      </w:r>
      <w:r>
        <w:rPr>
          <w:b/>
          <w:bCs w:val="0"/>
          <w:color w:val="auto"/>
          <w:spacing w:val="-2"/>
          <w:sz w:val="24"/>
          <w:szCs w:val="24"/>
        </w:rPr>
        <w:t>公司</w:t>
      </w:r>
      <w:r>
        <w:rPr>
          <w:b/>
          <w:bCs w:val="0"/>
          <w:color w:val="auto"/>
          <w:sz w:val="24"/>
          <w:szCs w:val="24"/>
        </w:rPr>
        <w:t>（</w:t>
      </w:r>
      <w:r>
        <w:rPr>
          <w:b/>
          <w:bCs w:val="0"/>
          <w:color w:val="auto"/>
          <w:spacing w:val="-1"/>
          <w:sz w:val="24"/>
          <w:szCs w:val="24"/>
        </w:rPr>
        <w:t>以下简称“集团公司</w:t>
      </w:r>
      <w:r>
        <w:rPr>
          <w:b/>
          <w:bCs w:val="0"/>
          <w:color w:val="auto"/>
          <w:spacing w:val="-3"/>
          <w:sz w:val="24"/>
          <w:szCs w:val="24"/>
        </w:rPr>
        <w:t>”）</w:t>
      </w:r>
      <w:r>
        <w:rPr>
          <w:b/>
          <w:bCs w:val="0"/>
          <w:color w:val="auto"/>
          <w:spacing w:val="-1"/>
          <w:sz w:val="24"/>
          <w:szCs w:val="24"/>
        </w:rPr>
        <w:t>项目建设办公室</w:t>
      </w:r>
      <w:r>
        <w:rPr>
          <w:b/>
          <w:bCs w:val="0"/>
          <w:color w:val="auto"/>
          <w:sz w:val="24"/>
          <w:szCs w:val="24"/>
        </w:rPr>
        <w:t>（</w:t>
      </w:r>
      <w:r>
        <w:rPr>
          <w:b/>
          <w:bCs w:val="0"/>
          <w:color w:val="auto"/>
          <w:spacing w:val="-4"/>
          <w:sz w:val="24"/>
          <w:szCs w:val="24"/>
        </w:rPr>
        <w:t>以下简称</w:t>
      </w:r>
      <w:r>
        <w:rPr>
          <w:b/>
          <w:bCs w:val="0"/>
          <w:color w:val="auto"/>
          <w:sz w:val="24"/>
          <w:szCs w:val="24"/>
        </w:rPr>
        <w:t>“项目办</w:t>
      </w:r>
      <w:r>
        <w:rPr>
          <w:b/>
          <w:bCs w:val="0"/>
          <w:color w:val="auto"/>
          <w:spacing w:val="-3"/>
          <w:sz w:val="24"/>
          <w:szCs w:val="24"/>
        </w:rPr>
        <w:t>”），</w:t>
      </w:r>
      <w:r>
        <w:rPr>
          <w:b/>
          <w:bCs w:val="0"/>
          <w:color w:val="auto"/>
          <w:spacing w:val="-2"/>
          <w:sz w:val="24"/>
          <w:szCs w:val="24"/>
        </w:rPr>
        <w:t>是项目建设的组织和管理者。对项目所指定</w:t>
      </w:r>
      <w:r>
        <w:rPr>
          <w:b/>
          <w:bCs w:val="0"/>
          <w:color w:val="auto"/>
          <w:sz w:val="24"/>
          <w:szCs w:val="24"/>
        </w:rPr>
        <w:t>的甲供材料的采购、供应全过程进行监管。</w:t>
      </w:r>
    </w:p>
    <w:p>
      <w:pPr>
        <w:pStyle w:val="2"/>
        <w:spacing w:line="328" w:lineRule="auto"/>
        <w:ind w:right="790"/>
        <w:rPr>
          <w:b/>
          <w:bCs w:val="0"/>
          <w:color w:val="auto"/>
          <w:sz w:val="24"/>
          <w:szCs w:val="24"/>
        </w:rPr>
      </w:pPr>
      <w:r>
        <w:rPr>
          <w:b/>
          <w:bCs w:val="0"/>
          <w:color w:val="auto"/>
          <w:sz w:val="24"/>
          <w:szCs w:val="24"/>
        </w:rPr>
        <w:t>（二</w:t>
      </w:r>
      <w:r>
        <w:rPr>
          <w:b/>
          <w:bCs w:val="0"/>
          <w:color w:val="auto"/>
          <w:spacing w:val="-8"/>
          <w:sz w:val="24"/>
          <w:szCs w:val="24"/>
        </w:rPr>
        <w:t>）</w:t>
      </w:r>
      <w:r>
        <w:rPr>
          <w:b/>
          <w:bCs w:val="0"/>
          <w:color w:val="auto"/>
          <w:spacing w:val="-1"/>
          <w:sz w:val="24"/>
          <w:szCs w:val="24"/>
        </w:rPr>
        <w:t>材料供应专业管理公司：指集团公司委托或指定</w:t>
      </w:r>
      <w:r>
        <w:rPr>
          <w:b/>
          <w:bCs w:val="0"/>
          <w:color w:val="auto"/>
          <w:spacing w:val="-2"/>
          <w:sz w:val="24"/>
          <w:szCs w:val="24"/>
        </w:rPr>
        <w:t>对建设项目材料供应全过程实施业务管理的专业公司。材料</w:t>
      </w:r>
      <w:r>
        <w:rPr>
          <w:b/>
          <w:bCs w:val="0"/>
          <w:color w:val="auto"/>
          <w:spacing w:val="-4"/>
          <w:sz w:val="24"/>
          <w:szCs w:val="24"/>
        </w:rPr>
        <w:t>供应专业管理公司：贵州交通物流集团有限公司</w:t>
      </w:r>
      <w:r>
        <w:rPr>
          <w:b/>
          <w:bCs w:val="0"/>
          <w:color w:val="auto"/>
          <w:sz w:val="24"/>
          <w:szCs w:val="24"/>
        </w:rPr>
        <w:t>（以下简称</w:t>
      </w:r>
      <w:r>
        <w:rPr>
          <w:b/>
          <w:bCs w:val="0"/>
          <w:color w:val="auto"/>
          <w:spacing w:val="4"/>
          <w:w w:val="95"/>
          <w:sz w:val="24"/>
          <w:szCs w:val="24"/>
        </w:rPr>
        <w:t>“物流集团</w:t>
      </w:r>
      <w:r>
        <w:rPr>
          <w:b/>
          <w:bCs w:val="0"/>
          <w:color w:val="auto"/>
          <w:spacing w:val="5"/>
          <w:w w:val="95"/>
          <w:sz w:val="24"/>
          <w:szCs w:val="24"/>
        </w:rPr>
        <w:t>”）</w:t>
      </w:r>
      <w:r>
        <w:rPr>
          <w:b/>
          <w:bCs w:val="0"/>
          <w:color w:val="auto"/>
          <w:spacing w:val="3"/>
          <w:w w:val="95"/>
          <w:sz w:val="24"/>
          <w:szCs w:val="24"/>
        </w:rPr>
        <w:t xml:space="preserve">，负责材料计划、采购、仓储保管、配送、 </w:t>
      </w:r>
      <w:r>
        <w:rPr>
          <w:b/>
          <w:bCs w:val="0"/>
          <w:color w:val="auto"/>
          <w:spacing w:val="-4"/>
          <w:sz w:val="24"/>
          <w:szCs w:val="24"/>
        </w:rPr>
        <w:t>供应、结算、调差等管理工作。甲供材料项目部为物流集团设立的建设项目现场管理机构。</w:t>
      </w:r>
    </w:p>
    <w:p>
      <w:pPr>
        <w:pStyle w:val="2"/>
        <w:spacing w:line="328" w:lineRule="auto"/>
        <w:ind w:right="894"/>
        <w:rPr>
          <w:b/>
          <w:bCs w:val="0"/>
          <w:color w:val="auto"/>
          <w:sz w:val="24"/>
          <w:szCs w:val="24"/>
        </w:rPr>
      </w:pPr>
      <w:r>
        <w:rPr>
          <w:b/>
          <w:bCs w:val="0"/>
          <w:color w:val="auto"/>
          <w:sz w:val="24"/>
          <w:szCs w:val="24"/>
        </w:rPr>
        <w:t>（三）驻地监理：指集团公司委托或指定的承担本项目工程监理工作的单位。监理单位（以下简称“监理”），依</w:t>
      </w:r>
    </w:p>
    <w:p>
      <w:pPr>
        <w:spacing w:after="0" w:line="328" w:lineRule="auto"/>
        <w:rPr>
          <w:b/>
          <w:bCs w:val="0"/>
          <w:color w:val="auto"/>
          <w:sz w:val="24"/>
          <w:szCs w:val="24"/>
        </w:rPr>
        <w:sectPr>
          <w:footerReference r:id="rId5" w:type="default"/>
          <w:pgSz w:w="11910" w:h="16840"/>
          <w:pgMar w:top="1440" w:right="860" w:bottom="1160" w:left="1680" w:header="720" w:footer="975" w:gutter="0"/>
          <w:pgNumType w:fmt="decimal"/>
        </w:sectPr>
      </w:pPr>
    </w:p>
    <w:p>
      <w:pPr>
        <w:pStyle w:val="2"/>
        <w:spacing w:before="30"/>
        <w:ind w:firstLine="0"/>
        <w:rPr>
          <w:b/>
          <w:bCs w:val="0"/>
          <w:color w:val="auto"/>
          <w:sz w:val="24"/>
          <w:szCs w:val="24"/>
        </w:rPr>
      </w:pPr>
      <w:r>
        <w:rPr>
          <w:b/>
          <w:bCs w:val="0"/>
          <w:color w:val="auto"/>
          <w:spacing w:val="-7"/>
          <w:sz w:val="24"/>
          <w:szCs w:val="24"/>
        </w:rPr>
        <w:t>照监理合同对项目工程建设过程</w:t>
      </w:r>
      <w:r>
        <w:rPr>
          <w:b/>
          <w:bCs w:val="0"/>
          <w:color w:val="auto"/>
          <w:sz w:val="24"/>
          <w:szCs w:val="24"/>
        </w:rPr>
        <w:t>（包括材料质量</w:t>
      </w:r>
      <w:r>
        <w:rPr>
          <w:b/>
          <w:bCs w:val="0"/>
          <w:color w:val="auto"/>
          <w:spacing w:val="-87"/>
          <w:sz w:val="24"/>
          <w:szCs w:val="24"/>
        </w:rPr>
        <w:t>）</w:t>
      </w:r>
      <w:r>
        <w:rPr>
          <w:b/>
          <w:bCs w:val="0"/>
          <w:color w:val="auto"/>
          <w:sz w:val="24"/>
          <w:szCs w:val="24"/>
        </w:rPr>
        <w:t>进行监理。</w:t>
      </w:r>
    </w:p>
    <w:p>
      <w:pPr>
        <w:pStyle w:val="2"/>
        <w:spacing w:before="150" w:line="328" w:lineRule="auto"/>
        <w:ind w:right="938"/>
        <w:jc w:val="both"/>
        <w:rPr>
          <w:b/>
          <w:bCs w:val="0"/>
          <w:color w:val="auto"/>
          <w:sz w:val="24"/>
          <w:szCs w:val="24"/>
        </w:rPr>
      </w:pPr>
      <w:r>
        <w:rPr>
          <w:b/>
          <w:bCs w:val="0"/>
          <w:color w:val="auto"/>
          <w:sz w:val="24"/>
          <w:szCs w:val="24"/>
        </w:rPr>
        <w:t>（四</w:t>
      </w:r>
      <w:r>
        <w:rPr>
          <w:b/>
          <w:bCs w:val="0"/>
          <w:color w:val="auto"/>
          <w:spacing w:val="-8"/>
          <w:sz w:val="24"/>
          <w:szCs w:val="24"/>
        </w:rPr>
        <w:t>）</w:t>
      </w:r>
      <w:r>
        <w:rPr>
          <w:b/>
          <w:bCs w:val="0"/>
          <w:color w:val="auto"/>
          <w:spacing w:val="-3"/>
          <w:sz w:val="24"/>
          <w:szCs w:val="24"/>
        </w:rPr>
        <w:t>中心试验室：指集团公司委托或指定的承担本项</w:t>
      </w:r>
      <w:r>
        <w:rPr>
          <w:b/>
          <w:bCs w:val="0"/>
          <w:color w:val="auto"/>
          <w:spacing w:val="-15"/>
          <w:sz w:val="24"/>
          <w:szCs w:val="24"/>
        </w:rPr>
        <w:t>目工程试验检测工作的单位。中心试验室单位</w:t>
      </w:r>
      <w:r>
        <w:rPr>
          <w:b/>
          <w:bCs w:val="0"/>
          <w:color w:val="auto"/>
          <w:sz w:val="24"/>
          <w:szCs w:val="24"/>
        </w:rPr>
        <w:t>（</w:t>
      </w:r>
      <w:r>
        <w:rPr>
          <w:b/>
          <w:bCs w:val="0"/>
          <w:color w:val="auto"/>
          <w:spacing w:val="-21"/>
          <w:sz w:val="24"/>
          <w:szCs w:val="24"/>
        </w:rPr>
        <w:t>以下简称“中</w:t>
      </w:r>
      <w:r>
        <w:rPr>
          <w:b/>
          <w:bCs w:val="0"/>
          <w:color w:val="auto"/>
          <w:spacing w:val="-1"/>
          <w:sz w:val="24"/>
          <w:szCs w:val="24"/>
        </w:rPr>
        <w:t>心试验室”</w:t>
      </w:r>
      <w:r>
        <w:rPr>
          <w:b/>
          <w:bCs w:val="0"/>
          <w:color w:val="auto"/>
          <w:spacing w:val="-5"/>
          <w:sz w:val="24"/>
          <w:szCs w:val="24"/>
        </w:rPr>
        <w:t>）</w:t>
      </w:r>
      <w:r>
        <w:rPr>
          <w:b/>
          <w:bCs w:val="0"/>
          <w:color w:val="auto"/>
          <w:spacing w:val="-3"/>
          <w:sz w:val="24"/>
          <w:szCs w:val="24"/>
        </w:rPr>
        <w:t>，依照试验检测合同开展工程建设中的试验检</w:t>
      </w:r>
      <w:r>
        <w:rPr>
          <w:b/>
          <w:bCs w:val="0"/>
          <w:color w:val="auto"/>
          <w:sz w:val="24"/>
          <w:szCs w:val="24"/>
        </w:rPr>
        <w:t>测工作及相关管理工作。</w:t>
      </w:r>
    </w:p>
    <w:p>
      <w:pPr>
        <w:pStyle w:val="2"/>
        <w:spacing w:line="328" w:lineRule="auto"/>
        <w:ind w:right="894"/>
        <w:rPr>
          <w:b/>
          <w:bCs w:val="0"/>
          <w:color w:val="auto"/>
          <w:sz w:val="24"/>
          <w:szCs w:val="24"/>
        </w:rPr>
      </w:pPr>
      <w:r>
        <w:rPr>
          <w:b/>
          <w:bCs w:val="0"/>
          <w:color w:val="auto"/>
          <w:sz w:val="24"/>
          <w:szCs w:val="24"/>
        </w:rPr>
        <w:t>（五）施工单位：指其投标已为集团公司所接受,并与集团公司签订了施工合同协议书，负责承建本合同段工程项目的当事人（单位），以及取得该当事人（单位)资格的合法继承人（单位)。施工单位在甲供材料计划需求使用过程中接受项目办、总监办、物流集团的管理。</w:t>
      </w:r>
    </w:p>
    <w:p>
      <w:pPr>
        <w:pStyle w:val="2"/>
        <w:spacing w:line="328" w:lineRule="auto"/>
        <w:ind w:right="938"/>
        <w:jc w:val="both"/>
        <w:rPr>
          <w:b/>
          <w:bCs w:val="0"/>
          <w:color w:val="auto"/>
          <w:sz w:val="24"/>
          <w:szCs w:val="24"/>
        </w:rPr>
      </w:pPr>
      <w:r>
        <w:rPr>
          <w:b/>
          <w:bCs w:val="0"/>
          <w:color w:val="auto"/>
          <w:sz w:val="24"/>
          <w:szCs w:val="24"/>
        </w:rPr>
        <w:t>（六</w:t>
      </w:r>
      <w:r>
        <w:rPr>
          <w:b/>
          <w:bCs w:val="0"/>
          <w:color w:val="auto"/>
          <w:spacing w:val="-5"/>
          <w:sz w:val="24"/>
          <w:szCs w:val="24"/>
        </w:rPr>
        <w:t>）</w:t>
      </w:r>
      <w:r>
        <w:rPr>
          <w:b/>
          <w:bCs w:val="0"/>
          <w:color w:val="auto"/>
          <w:spacing w:val="-3"/>
          <w:sz w:val="24"/>
          <w:szCs w:val="24"/>
        </w:rPr>
        <w:t>供应厂商：指其投标已为集团公司所接受，并与</w:t>
      </w:r>
      <w:r>
        <w:rPr>
          <w:b/>
          <w:bCs w:val="0"/>
          <w:color w:val="auto"/>
          <w:spacing w:val="-1"/>
          <w:sz w:val="24"/>
          <w:szCs w:val="24"/>
        </w:rPr>
        <w:t>集团公司签订了合同协议书的当事人</w:t>
      </w:r>
      <w:r>
        <w:rPr>
          <w:b/>
          <w:bCs w:val="0"/>
          <w:color w:val="auto"/>
          <w:sz w:val="24"/>
          <w:szCs w:val="24"/>
        </w:rPr>
        <w:t>（单位</w:t>
      </w:r>
      <w:r>
        <w:rPr>
          <w:b/>
          <w:bCs w:val="0"/>
          <w:color w:val="auto"/>
          <w:spacing w:val="-4"/>
          <w:sz w:val="24"/>
          <w:szCs w:val="24"/>
        </w:rPr>
        <w:t>），以及取得该</w:t>
      </w:r>
      <w:r>
        <w:rPr>
          <w:b/>
          <w:bCs w:val="0"/>
          <w:color w:val="auto"/>
          <w:spacing w:val="-1"/>
          <w:sz w:val="24"/>
          <w:szCs w:val="24"/>
        </w:rPr>
        <w:t>当事人</w:t>
      </w:r>
      <w:r>
        <w:rPr>
          <w:b/>
          <w:bCs w:val="0"/>
          <w:color w:val="auto"/>
          <w:sz w:val="24"/>
          <w:szCs w:val="24"/>
        </w:rPr>
        <w:t>（单位</w:t>
      </w:r>
      <w:r>
        <w:rPr>
          <w:b/>
          <w:bCs w:val="0"/>
          <w:color w:val="auto"/>
          <w:spacing w:val="-3"/>
          <w:sz w:val="24"/>
          <w:szCs w:val="24"/>
        </w:rPr>
        <w:t>）</w:t>
      </w:r>
      <w:r>
        <w:rPr>
          <w:b/>
          <w:bCs w:val="0"/>
          <w:color w:val="auto"/>
          <w:sz w:val="24"/>
          <w:szCs w:val="24"/>
        </w:rPr>
        <w:t>资格的合法继承人（单位）</w:t>
      </w:r>
      <w:r>
        <w:rPr>
          <w:b/>
          <w:bCs w:val="0"/>
          <w:color w:val="auto"/>
          <w:spacing w:val="-4"/>
          <w:sz w:val="24"/>
          <w:szCs w:val="24"/>
        </w:rPr>
        <w:t>。根据甲供材料</w:t>
      </w:r>
    </w:p>
    <w:p>
      <w:pPr>
        <w:pStyle w:val="2"/>
        <w:spacing w:line="328" w:lineRule="auto"/>
        <w:ind w:right="895" w:firstLine="0"/>
        <w:rPr>
          <w:b/>
          <w:bCs w:val="0"/>
          <w:color w:val="auto"/>
          <w:sz w:val="24"/>
          <w:szCs w:val="24"/>
        </w:rPr>
      </w:pPr>
      <w:r>
        <w:rPr>
          <w:b/>
          <w:bCs w:val="0"/>
          <w:color w:val="auto"/>
          <w:sz w:val="24"/>
          <w:szCs w:val="24"/>
        </w:rPr>
        <w:t>《招标文件》、《采购合同》规定对工程项目施工实施材料供应，并接受项目办、总监办、物流集团的监督管理。</w:t>
      </w:r>
    </w:p>
    <w:p>
      <w:pPr>
        <w:pStyle w:val="2"/>
        <w:spacing w:line="328" w:lineRule="auto"/>
        <w:ind w:right="938"/>
        <w:jc w:val="both"/>
        <w:rPr>
          <w:b/>
          <w:bCs w:val="0"/>
          <w:color w:val="auto"/>
          <w:sz w:val="24"/>
          <w:szCs w:val="24"/>
        </w:rPr>
      </w:pPr>
      <w:r>
        <w:rPr>
          <w:b/>
          <w:bCs w:val="0"/>
          <w:color w:val="auto"/>
          <w:sz w:val="24"/>
          <w:szCs w:val="24"/>
        </w:rPr>
        <w:t>（七</w:t>
      </w:r>
      <w:r>
        <w:rPr>
          <w:b/>
          <w:bCs w:val="0"/>
          <w:color w:val="auto"/>
          <w:spacing w:val="-5"/>
          <w:sz w:val="24"/>
          <w:szCs w:val="24"/>
        </w:rPr>
        <w:t>）</w:t>
      </w:r>
      <w:r>
        <w:rPr>
          <w:b/>
          <w:bCs w:val="0"/>
          <w:color w:val="auto"/>
          <w:spacing w:val="-3"/>
          <w:sz w:val="24"/>
          <w:szCs w:val="24"/>
        </w:rPr>
        <w:t>运输单位：指其投标已为物流集团所接受，并与</w:t>
      </w:r>
      <w:r>
        <w:rPr>
          <w:b/>
          <w:bCs w:val="0"/>
          <w:color w:val="auto"/>
          <w:spacing w:val="-1"/>
          <w:sz w:val="24"/>
          <w:szCs w:val="24"/>
        </w:rPr>
        <w:t>物流集团签订了合同协议书的当事人</w:t>
      </w:r>
      <w:r>
        <w:rPr>
          <w:b/>
          <w:bCs w:val="0"/>
          <w:color w:val="auto"/>
          <w:sz w:val="24"/>
          <w:szCs w:val="24"/>
        </w:rPr>
        <w:t>（单位</w:t>
      </w:r>
      <w:r>
        <w:rPr>
          <w:b/>
          <w:bCs w:val="0"/>
          <w:color w:val="auto"/>
          <w:spacing w:val="-4"/>
          <w:sz w:val="24"/>
          <w:szCs w:val="24"/>
        </w:rPr>
        <w:t>），以及取得该</w:t>
      </w:r>
      <w:r>
        <w:rPr>
          <w:b/>
          <w:bCs w:val="0"/>
          <w:color w:val="auto"/>
          <w:spacing w:val="-1"/>
          <w:sz w:val="24"/>
          <w:szCs w:val="24"/>
        </w:rPr>
        <w:t>当事人</w:t>
      </w:r>
      <w:r>
        <w:rPr>
          <w:b/>
          <w:bCs w:val="0"/>
          <w:color w:val="auto"/>
          <w:sz w:val="24"/>
          <w:szCs w:val="24"/>
        </w:rPr>
        <w:t>（单位</w:t>
      </w:r>
      <w:r>
        <w:rPr>
          <w:b/>
          <w:bCs w:val="0"/>
          <w:color w:val="auto"/>
          <w:spacing w:val="-3"/>
          <w:sz w:val="24"/>
          <w:szCs w:val="24"/>
        </w:rPr>
        <w:t>）</w:t>
      </w:r>
      <w:r>
        <w:rPr>
          <w:b/>
          <w:bCs w:val="0"/>
          <w:color w:val="auto"/>
          <w:sz w:val="24"/>
          <w:szCs w:val="24"/>
        </w:rPr>
        <w:t>资格的合法继承人（单位）</w:t>
      </w:r>
      <w:r>
        <w:rPr>
          <w:b/>
          <w:bCs w:val="0"/>
          <w:color w:val="auto"/>
          <w:spacing w:val="-4"/>
          <w:sz w:val="24"/>
          <w:szCs w:val="24"/>
        </w:rPr>
        <w:t>。根据甲供材料钢材短途运输《招标文件》、《运输合同》规定对工程项目甲供钢材实施短途承运，并接受项目办、总监办、物流集团</w:t>
      </w:r>
      <w:r>
        <w:rPr>
          <w:b/>
          <w:bCs w:val="0"/>
          <w:color w:val="auto"/>
          <w:sz w:val="24"/>
          <w:szCs w:val="24"/>
        </w:rPr>
        <w:t>的监督管理。</w:t>
      </w:r>
    </w:p>
    <w:p>
      <w:pPr>
        <w:pStyle w:val="3"/>
        <w:tabs>
          <w:tab w:val="left" w:pos="1961"/>
        </w:tabs>
        <w:spacing w:line="473" w:lineRule="exact"/>
        <w:rPr>
          <w:b/>
          <w:bCs w:val="0"/>
          <w:color w:val="auto"/>
          <w:sz w:val="24"/>
          <w:szCs w:val="24"/>
        </w:rPr>
      </w:pPr>
      <w:r>
        <w:rPr>
          <w:b/>
          <w:bCs w:val="0"/>
          <w:color w:val="auto"/>
          <w:sz w:val="24"/>
          <w:szCs w:val="24"/>
        </w:rPr>
        <w:t>第二条</w:t>
      </w:r>
      <w:r>
        <w:rPr>
          <w:b/>
          <w:bCs w:val="0"/>
          <w:color w:val="auto"/>
          <w:sz w:val="24"/>
          <w:szCs w:val="24"/>
        </w:rPr>
        <w:tab/>
      </w:r>
      <w:r>
        <w:rPr>
          <w:b/>
          <w:bCs w:val="0"/>
          <w:color w:val="auto"/>
          <w:sz w:val="24"/>
          <w:szCs w:val="24"/>
        </w:rPr>
        <w:t>运用范围和使用单位</w:t>
      </w:r>
    </w:p>
    <w:p>
      <w:pPr>
        <w:pStyle w:val="2"/>
        <w:spacing w:before="54" w:line="328" w:lineRule="auto"/>
        <w:ind w:right="893"/>
        <w:rPr>
          <w:b/>
          <w:bCs w:val="0"/>
          <w:color w:val="auto"/>
          <w:sz w:val="24"/>
          <w:szCs w:val="24"/>
        </w:rPr>
      </w:pPr>
      <w:r>
        <w:rPr>
          <w:b/>
          <w:bCs w:val="0"/>
          <w:color w:val="auto"/>
          <w:sz w:val="24"/>
          <w:szCs w:val="24"/>
        </w:rPr>
        <w:t>（一）适用范围：建设项目甲供材料计划、采购、运输装卸、现场管理、质量监督以及款项结算。</w:t>
      </w:r>
    </w:p>
    <w:p>
      <w:pPr>
        <w:spacing w:after="0" w:line="328" w:lineRule="auto"/>
        <w:rPr>
          <w:b/>
          <w:bCs w:val="0"/>
          <w:color w:val="auto"/>
          <w:sz w:val="24"/>
          <w:szCs w:val="24"/>
        </w:rPr>
        <w:sectPr>
          <w:pgSz w:w="11910" w:h="16840"/>
          <w:pgMar w:top="1520" w:right="860" w:bottom="1160" w:left="1680" w:header="0" w:footer="975" w:gutter="0"/>
          <w:pgNumType w:fmt="decimal"/>
        </w:sectPr>
      </w:pPr>
    </w:p>
    <w:p>
      <w:pPr>
        <w:pStyle w:val="2"/>
        <w:spacing w:before="30" w:line="326" w:lineRule="auto"/>
        <w:ind w:right="894"/>
        <w:rPr>
          <w:b/>
          <w:bCs w:val="0"/>
          <w:color w:val="auto"/>
          <w:sz w:val="24"/>
          <w:szCs w:val="24"/>
        </w:rPr>
      </w:pPr>
      <w:r>
        <w:rPr>
          <w:b/>
          <w:bCs w:val="0"/>
          <w:color w:val="auto"/>
          <w:sz w:val="24"/>
          <w:szCs w:val="24"/>
        </w:rPr>
        <w:t>（二）适用单位：项目办、总监办、物流集团、中心实验室、驻地监理、施工单位、供应厂商、运输单位。</w:t>
      </w:r>
    </w:p>
    <w:p>
      <w:pPr>
        <w:pStyle w:val="3"/>
        <w:spacing w:line="488" w:lineRule="exact"/>
        <w:rPr>
          <w:b/>
          <w:bCs w:val="0"/>
          <w:color w:val="auto"/>
          <w:sz w:val="24"/>
          <w:szCs w:val="24"/>
        </w:rPr>
      </w:pPr>
      <w:r>
        <w:rPr>
          <w:b/>
          <w:bCs w:val="0"/>
          <w:color w:val="auto"/>
          <w:sz w:val="24"/>
          <w:szCs w:val="24"/>
        </w:rPr>
        <w:t>第三条材料性质界定</w:t>
      </w:r>
    </w:p>
    <w:p>
      <w:pPr>
        <w:pStyle w:val="2"/>
        <w:spacing w:before="77" w:line="326" w:lineRule="auto"/>
        <w:ind w:right="1245"/>
        <w:rPr>
          <w:b/>
          <w:bCs w:val="0"/>
          <w:color w:val="auto"/>
          <w:sz w:val="24"/>
          <w:szCs w:val="24"/>
        </w:rPr>
      </w:pPr>
      <w:r>
        <w:rPr>
          <w:b/>
          <w:bCs w:val="0"/>
          <w:color w:val="auto"/>
          <w:sz w:val="24"/>
          <w:szCs w:val="24"/>
        </w:rPr>
        <w:t>建设项目使用的甲供材料由集团公司招标选定供应厂商供应，集团公司委托物流集团进行全过程业务管理。</w:t>
      </w:r>
    </w:p>
    <w:p>
      <w:pPr>
        <w:pStyle w:val="3"/>
        <w:tabs>
          <w:tab w:val="left" w:pos="2050"/>
        </w:tabs>
        <w:spacing w:line="488" w:lineRule="exact"/>
        <w:rPr>
          <w:b/>
          <w:bCs w:val="0"/>
          <w:color w:val="auto"/>
          <w:sz w:val="24"/>
          <w:szCs w:val="24"/>
        </w:rPr>
      </w:pPr>
      <w:r>
        <w:rPr>
          <w:b/>
          <w:bCs w:val="0"/>
          <w:color w:val="auto"/>
          <w:sz w:val="24"/>
          <w:szCs w:val="24"/>
        </w:rPr>
        <w:t>第四条</w:t>
      </w:r>
      <w:r>
        <w:rPr>
          <w:b/>
          <w:bCs w:val="0"/>
          <w:color w:val="auto"/>
          <w:sz w:val="24"/>
          <w:szCs w:val="24"/>
        </w:rPr>
        <w:tab/>
      </w:r>
      <w:r>
        <w:rPr>
          <w:b/>
          <w:bCs w:val="0"/>
          <w:color w:val="auto"/>
          <w:sz w:val="24"/>
          <w:szCs w:val="24"/>
        </w:rPr>
        <w:t>物资平台要求</w:t>
      </w:r>
    </w:p>
    <w:p>
      <w:pPr>
        <w:pStyle w:val="2"/>
        <w:spacing w:before="76" w:line="328" w:lineRule="auto"/>
        <w:ind w:right="779"/>
        <w:rPr>
          <w:b/>
          <w:bCs w:val="0"/>
          <w:color w:val="auto"/>
          <w:sz w:val="24"/>
          <w:szCs w:val="24"/>
        </w:rPr>
      </w:pPr>
      <w:r>
        <w:rPr>
          <w:b/>
          <w:bCs w:val="0"/>
          <w:color w:val="auto"/>
          <w:spacing w:val="-14"/>
          <w:sz w:val="24"/>
          <w:szCs w:val="24"/>
        </w:rPr>
        <w:t xml:space="preserve">为规范甲供材料计划、采购、供应和结算等工作的管理， </w:t>
      </w:r>
      <w:r>
        <w:rPr>
          <w:b/>
          <w:bCs w:val="0"/>
          <w:color w:val="auto"/>
          <w:spacing w:val="-3"/>
          <w:sz w:val="24"/>
          <w:szCs w:val="24"/>
        </w:rPr>
        <w:t>物流集团、监理单位、材料供应商、施工单位必须按业主要</w:t>
      </w:r>
      <w:r>
        <w:rPr>
          <w:b/>
          <w:bCs w:val="0"/>
          <w:color w:val="auto"/>
          <w:spacing w:val="-5"/>
          <w:sz w:val="24"/>
          <w:szCs w:val="24"/>
        </w:rPr>
        <w:t>求，有偿使用贵州高速公路材运通供应链系统，简称“甲供物资管理平台”，并按相关技术和管理规范运行。包括软件</w:t>
      </w:r>
      <w:r>
        <w:rPr>
          <w:b/>
          <w:bCs w:val="0"/>
          <w:color w:val="auto"/>
          <w:spacing w:val="-4"/>
          <w:sz w:val="24"/>
          <w:szCs w:val="24"/>
        </w:rPr>
        <w:t>使用权、软件部署和实施、操作人员培训、软件维护、数据安全和备份管理有关费用。</w:t>
      </w:r>
    </w:p>
    <w:p>
      <w:pPr>
        <w:pStyle w:val="2"/>
        <w:spacing w:before="12"/>
        <w:ind w:left="0" w:firstLine="0"/>
        <w:rPr>
          <w:b/>
          <w:bCs w:val="0"/>
          <w:color w:val="auto"/>
          <w:sz w:val="24"/>
          <w:szCs w:val="24"/>
        </w:rPr>
      </w:pPr>
    </w:p>
    <w:p>
      <w:pPr>
        <w:pStyle w:val="2"/>
        <w:tabs>
          <w:tab w:val="left" w:pos="3864"/>
        </w:tabs>
        <w:ind w:left="2444" w:firstLine="0"/>
        <w:rPr>
          <w:rFonts w:hint="eastAsia" w:ascii="黑体" w:eastAsia="黑体"/>
          <w:b/>
          <w:bCs w:val="0"/>
          <w:color w:val="auto"/>
          <w:sz w:val="24"/>
          <w:szCs w:val="24"/>
        </w:rPr>
      </w:pPr>
      <w:r>
        <w:rPr>
          <w:rFonts w:hint="eastAsia" w:ascii="黑体" w:eastAsia="黑体"/>
          <w:b/>
          <w:bCs w:val="0"/>
          <w:color w:val="auto"/>
          <w:sz w:val="24"/>
          <w:szCs w:val="24"/>
        </w:rPr>
        <w:t>第二章</w:t>
      </w:r>
      <w:r>
        <w:rPr>
          <w:rFonts w:hint="eastAsia" w:ascii="黑体" w:eastAsia="黑体"/>
          <w:b/>
          <w:bCs w:val="0"/>
          <w:color w:val="auto"/>
          <w:sz w:val="24"/>
          <w:szCs w:val="24"/>
        </w:rPr>
        <w:tab/>
      </w:r>
      <w:r>
        <w:rPr>
          <w:rFonts w:hint="eastAsia" w:ascii="黑体" w:eastAsia="黑体"/>
          <w:b/>
          <w:bCs w:val="0"/>
          <w:color w:val="auto"/>
          <w:sz w:val="24"/>
          <w:szCs w:val="24"/>
        </w:rPr>
        <w:t>甲供材料项目部</w:t>
      </w:r>
    </w:p>
    <w:p>
      <w:pPr>
        <w:pStyle w:val="3"/>
        <w:tabs>
          <w:tab w:val="left" w:pos="2050"/>
        </w:tabs>
        <w:spacing w:before="46"/>
        <w:rPr>
          <w:b/>
          <w:bCs w:val="0"/>
          <w:color w:val="auto"/>
          <w:sz w:val="24"/>
          <w:szCs w:val="24"/>
        </w:rPr>
      </w:pPr>
      <w:r>
        <w:rPr>
          <w:b/>
          <w:bCs w:val="0"/>
          <w:color w:val="auto"/>
          <w:sz w:val="24"/>
          <w:szCs w:val="24"/>
        </w:rPr>
        <w:t>第五条</w:t>
      </w:r>
      <w:r>
        <w:rPr>
          <w:b/>
          <w:bCs w:val="0"/>
          <w:color w:val="auto"/>
          <w:sz w:val="24"/>
          <w:szCs w:val="24"/>
        </w:rPr>
        <w:tab/>
      </w:r>
      <w:r>
        <w:rPr>
          <w:b/>
          <w:bCs w:val="0"/>
          <w:color w:val="auto"/>
          <w:sz w:val="24"/>
          <w:szCs w:val="24"/>
        </w:rPr>
        <w:t>管理组织机构</w:t>
      </w:r>
    </w:p>
    <w:p>
      <w:pPr>
        <w:pStyle w:val="2"/>
        <w:spacing w:before="77" w:line="328" w:lineRule="auto"/>
        <w:ind w:right="790"/>
        <w:rPr>
          <w:b/>
          <w:bCs w:val="0"/>
          <w:color w:val="auto"/>
          <w:sz w:val="24"/>
          <w:szCs w:val="24"/>
        </w:rPr>
      </w:pPr>
      <w:r>
        <w:rPr>
          <w:b/>
          <w:bCs w:val="0"/>
          <w:color w:val="auto"/>
          <w:sz w:val="24"/>
          <w:szCs w:val="24"/>
        </w:rPr>
        <w:t>（一）物流集团受集团公司委托，全面负责建设项目甲</w:t>
      </w:r>
      <w:r>
        <w:rPr>
          <w:b/>
          <w:bCs w:val="0"/>
          <w:color w:val="auto"/>
          <w:w w:val="95"/>
          <w:sz w:val="24"/>
          <w:szCs w:val="24"/>
        </w:rPr>
        <w:t xml:space="preserve">供材料计划、采购、供应、结算、应急保障的全过程管理， </w:t>
      </w:r>
      <w:r>
        <w:rPr>
          <w:b/>
          <w:bCs w:val="0"/>
          <w:color w:val="auto"/>
          <w:sz w:val="24"/>
          <w:szCs w:val="24"/>
        </w:rPr>
        <w:t>并承担相应责任。</w:t>
      </w:r>
    </w:p>
    <w:p>
      <w:pPr>
        <w:pStyle w:val="2"/>
        <w:spacing w:line="328" w:lineRule="auto"/>
        <w:ind w:right="894"/>
        <w:rPr>
          <w:b/>
          <w:bCs w:val="0"/>
          <w:color w:val="auto"/>
          <w:sz w:val="24"/>
          <w:szCs w:val="24"/>
        </w:rPr>
      </w:pPr>
      <w:r>
        <w:rPr>
          <w:b/>
          <w:bCs w:val="0"/>
          <w:color w:val="auto"/>
          <w:sz w:val="24"/>
          <w:szCs w:val="24"/>
        </w:rPr>
        <w:t>（二）物流集团设立甲供材料项目部 （以下简称“材料项目部”），代表物流集团对供应商、施工单位、运输单位的甲供材料计划、采购、仓储、配送、现场管理及制作相关的材料统计报表和款项结算（初审）等全过程实行全面协调和管理。</w:t>
      </w:r>
    </w:p>
    <w:p>
      <w:pPr>
        <w:pStyle w:val="2"/>
        <w:spacing w:line="403" w:lineRule="exact"/>
        <w:ind w:left="761" w:firstLine="0"/>
        <w:rPr>
          <w:b/>
          <w:bCs w:val="0"/>
          <w:color w:val="auto"/>
          <w:sz w:val="24"/>
          <w:szCs w:val="24"/>
        </w:rPr>
      </w:pPr>
      <w:r>
        <w:rPr>
          <w:b/>
          <w:bCs w:val="0"/>
          <w:color w:val="auto"/>
          <w:sz w:val="24"/>
          <w:szCs w:val="24"/>
        </w:rPr>
        <w:t>（三）材料项目部根据建设项目所在地区与项目办所在</w:t>
      </w:r>
    </w:p>
    <w:p>
      <w:pPr>
        <w:spacing w:after="0" w:line="403" w:lineRule="exact"/>
        <w:rPr>
          <w:b/>
          <w:bCs w:val="0"/>
          <w:color w:val="auto"/>
          <w:sz w:val="24"/>
          <w:szCs w:val="24"/>
        </w:rPr>
        <w:sectPr>
          <w:pgSz w:w="11910" w:h="16840"/>
          <w:pgMar w:top="1520" w:right="860" w:bottom="1160" w:left="1680" w:header="0" w:footer="975" w:gutter="0"/>
          <w:pgNumType w:fmt="decimal"/>
        </w:sectPr>
      </w:pPr>
    </w:p>
    <w:p>
      <w:pPr>
        <w:pStyle w:val="2"/>
        <w:spacing w:before="30" w:line="328" w:lineRule="auto"/>
        <w:ind w:right="790" w:firstLine="0"/>
        <w:rPr>
          <w:b/>
          <w:bCs w:val="0"/>
          <w:color w:val="auto"/>
          <w:sz w:val="24"/>
          <w:szCs w:val="24"/>
        </w:rPr>
      </w:pPr>
      <w:r>
        <w:rPr>
          <w:b/>
          <w:bCs w:val="0"/>
          <w:color w:val="auto"/>
          <w:w w:val="95"/>
          <w:sz w:val="24"/>
          <w:szCs w:val="24"/>
        </w:rPr>
        <w:t xml:space="preserve">地的具体情况合理安排办公驻地；根据铁路专线情况调研， </w:t>
      </w:r>
      <w:r>
        <w:rPr>
          <w:b/>
          <w:bCs w:val="0"/>
          <w:color w:val="auto"/>
          <w:sz w:val="24"/>
          <w:szCs w:val="24"/>
        </w:rPr>
        <w:t>合理安排钢材中转库到站专线，并向物流集团提交专项可行性报告，批准后实施。</w:t>
      </w:r>
    </w:p>
    <w:p>
      <w:pPr>
        <w:pStyle w:val="2"/>
        <w:spacing w:line="328" w:lineRule="auto"/>
        <w:ind w:right="941"/>
        <w:jc w:val="both"/>
        <w:rPr>
          <w:b/>
          <w:bCs w:val="0"/>
          <w:color w:val="auto"/>
          <w:sz w:val="24"/>
          <w:szCs w:val="24"/>
        </w:rPr>
      </w:pPr>
      <w:r>
        <w:rPr>
          <w:b/>
          <w:bCs w:val="0"/>
          <w:color w:val="auto"/>
          <w:sz w:val="24"/>
          <w:szCs w:val="24"/>
        </w:rPr>
        <w:t>（四</w:t>
      </w:r>
      <w:r>
        <w:rPr>
          <w:b/>
          <w:bCs w:val="0"/>
          <w:color w:val="auto"/>
          <w:spacing w:val="-8"/>
          <w:sz w:val="24"/>
          <w:szCs w:val="24"/>
        </w:rPr>
        <w:t>）</w:t>
      </w:r>
      <w:r>
        <w:rPr>
          <w:b/>
          <w:bCs w:val="0"/>
          <w:color w:val="auto"/>
          <w:spacing w:val="-2"/>
          <w:sz w:val="24"/>
          <w:szCs w:val="24"/>
        </w:rPr>
        <w:t>材料项目部根据项目建设规模，设置合理的管理</w:t>
      </w:r>
      <w:r>
        <w:rPr>
          <w:b/>
          <w:bCs w:val="0"/>
          <w:color w:val="auto"/>
          <w:spacing w:val="-5"/>
          <w:sz w:val="24"/>
          <w:szCs w:val="24"/>
        </w:rPr>
        <w:t>岗位，并拟定相应岗位责任制度，同时向物流集团提交报告</w:t>
      </w:r>
      <w:r>
        <w:rPr>
          <w:b/>
          <w:bCs w:val="0"/>
          <w:color w:val="auto"/>
          <w:sz w:val="24"/>
          <w:szCs w:val="24"/>
        </w:rPr>
        <w:t>及报备。</w:t>
      </w:r>
    </w:p>
    <w:p>
      <w:pPr>
        <w:pStyle w:val="2"/>
        <w:spacing w:line="328" w:lineRule="auto"/>
        <w:ind w:right="789"/>
        <w:rPr>
          <w:b/>
          <w:bCs w:val="0"/>
          <w:color w:val="auto"/>
          <w:sz w:val="24"/>
          <w:szCs w:val="24"/>
        </w:rPr>
      </w:pPr>
      <w:r>
        <w:rPr>
          <w:b/>
          <w:bCs w:val="0"/>
          <w:color w:val="auto"/>
          <w:sz w:val="24"/>
          <w:szCs w:val="24"/>
        </w:rPr>
        <w:t>（五）为合理、规范的管理甲供工作，材料项目部岗位</w:t>
      </w:r>
      <w:r>
        <w:rPr>
          <w:b/>
          <w:bCs w:val="0"/>
          <w:color w:val="auto"/>
          <w:w w:val="95"/>
          <w:sz w:val="24"/>
          <w:szCs w:val="24"/>
        </w:rPr>
        <w:t>人员必须全面掌握吃透与甲供管理工作相关的文件及合同。</w:t>
      </w:r>
    </w:p>
    <w:p>
      <w:pPr>
        <w:pStyle w:val="3"/>
        <w:tabs>
          <w:tab w:val="left" w:pos="2050"/>
        </w:tabs>
        <w:spacing w:line="481" w:lineRule="exact"/>
        <w:rPr>
          <w:b/>
          <w:bCs w:val="0"/>
          <w:color w:val="auto"/>
          <w:sz w:val="24"/>
          <w:szCs w:val="24"/>
        </w:rPr>
      </w:pPr>
      <w:r>
        <w:rPr>
          <w:b/>
          <w:bCs w:val="0"/>
          <w:color w:val="auto"/>
          <w:sz w:val="24"/>
          <w:szCs w:val="24"/>
        </w:rPr>
        <w:t>第六条</w:t>
      </w:r>
      <w:r>
        <w:rPr>
          <w:b/>
          <w:bCs w:val="0"/>
          <w:color w:val="auto"/>
          <w:sz w:val="24"/>
          <w:szCs w:val="24"/>
        </w:rPr>
        <w:tab/>
      </w:r>
      <w:r>
        <w:rPr>
          <w:b/>
          <w:bCs w:val="0"/>
          <w:color w:val="auto"/>
          <w:sz w:val="24"/>
          <w:szCs w:val="24"/>
        </w:rPr>
        <w:t>材料数量统计认定</w:t>
      </w:r>
    </w:p>
    <w:p>
      <w:pPr>
        <w:pStyle w:val="2"/>
        <w:spacing w:before="67" w:line="326" w:lineRule="auto"/>
        <w:ind w:right="894"/>
        <w:rPr>
          <w:b/>
          <w:bCs w:val="0"/>
          <w:color w:val="auto"/>
          <w:sz w:val="24"/>
          <w:szCs w:val="24"/>
        </w:rPr>
      </w:pPr>
      <w:r>
        <w:rPr>
          <w:b/>
          <w:bCs w:val="0"/>
          <w:color w:val="auto"/>
          <w:sz w:val="24"/>
          <w:szCs w:val="24"/>
        </w:rPr>
        <w:t>（一）甲供材料项目部协助项目办完成甲供材料数量统计。</w:t>
      </w:r>
    </w:p>
    <w:p>
      <w:pPr>
        <w:pStyle w:val="2"/>
        <w:spacing w:before="5" w:line="326" w:lineRule="auto"/>
        <w:ind w:right="788"/>
        <w:rPr>
          <w:b/>
          <w:bCs w:val="0"/>
          <w:color w:val="auto"/>
          <w:sz w:val="24"/>
          <w:szCs w:val="24"/>
        </w:rPr>
      </w:pPr>
      <w:r>
        <w:rPr>
          <w:b/>
          <w:bCs w:val="0"/>
          <w:color w:val="auto"/>
          <w:spacing w:val="7"/>
          <w:w w:val="95"/>
          <w:sz w:val="24"/>
          <w:szCs w:val="24"/>
        </w:rPr>
        <w:t>（</w:t>
      </w:r>
      <w:r>
        <w:rPr>
          <w:b/>
          <w:bCs w:val="0"/>
          <w:color w:val="auto"/>
          <w:spacing w:val="4"/>
          <w:w w:val="95"/>
          <w:sz w:val="24"/>
          <w:szCs w:val="24"/>
        </w:rPr>
        <w:t>二</w:t>
      </w:r>
      <w:r>
        <w:rPr>
          <w:b/>
          <w:bCs w:val="0"/>
          <w:color w:val="auto"/>
          <w:spacing w:val="5"/>
          <w:w w:val="95"/>
          <w:sz w:val="24"/>
          <w:szCs w:val="24"/>
        </w:rPr>
        <w:t>）</w:t>
      </w:r>
      <w:r>
        <w:rPr>
          <w:b/>
          <w:bCs w:val="0"/>
          <w:color w:val="auto"/>
          <w:spacing w:val="3"/>
          <w:w w:val="95"/>
          <w:sz w:val="24"/>
          <w:szCs w:val="24"/>
        </w:rPr>
        <w:t xml:space="preserve">在项目办的指导下，根据施工图纸统计、汇总、 </w:t>
      </w:r>
      <w:r>
        <w:rPr>
          <w:b/>
          <w:bCs w:val="0"/>
          <w:color w:val="auto"/>
          <w:sz w:val="24"/>
          <w:szCs w:val="24"/>
        </w:rPr>
        <w:t>编制数量统计表。</w:t>
      </w:r>
    </w:p>
    <w:p>
      <w:pPr>
        <w:pStyle w:val="2"/>
        <w:spacing w:before="3" w:line="328" w:lineRule="auto"/>
        <w:ind w:right="938"/>
        <w:jc w:val="both"/>
        <w:rPr>
          <w:b/>
          <w:bCs w:val="0"/>
          <w:color w:val="auto"/>
          <w:sz w:val="24"/>
          <w:szCs w:val="24"/>
        </w:rPr>
      </w:pPr>
      <w:r>
        <w:rPr>
          <w:b/>
          <w:bCs w:val="0"/>
          <w:color w:val="auto"/>
          <w:sz w:val="24"/>
          <w:szCs w:val="24"/>
        </w:rPr>
        <w:t>（三</w:t>
      </w:r>
      <w:r>
        <w:rPr>
          <w:b/>
          <w:bCs w:val="0"/>
          <w:color w:val="auto"/>
          <w:spacing w:val="-8"/>
          <w:sz w:val="24"/>
          <w:szCs w:val="24"/>
        </w:rPr>
        <w:t>）</w:t>
      </w:r>
      <w:r>
        <w:rPr>
          <w:b/>
          <w:bCs w:val="0"/>
          <w:color w:val="auto"/>
          <w:spacing w:val="-2"/>
          <w:sz w:val="24"/>
          <w:szCs w:val="24"/>
        </w:rPr>
        <w:t>数量统计完毕后，材料项目部对统计后的数量进</w:t>
      </w:r>
      <w:r>
        <w:rPr>
          <w:b/>
          <w:bCs w:val="0"/>
          <w:color w:val="auto"/>
          <w:spacing w:val="-4"/>
          <w:sz w:val="24"/>
          <w:szCs w:val="24"/>
        </w:rPr>
        <w:t>行综合分析、合理打包，并将打包后的分项统计表报项目办</w:t>
      </w:r>
      <w:r>
        <w:rPr>
          <w:b/>
          <w:bCs w:val="0"/>
          <w:color w:val="auto"/>
          <w:spacing w:val="-2"/>
          <w:sz w:val="24"/>
          <w:szCs w:val="24"/>
        </w:rPr>
        <w:t>审核签字盖章后提交到物流集团甲供管理职能部门，审核后统一向集团公司招标办报送，招标办根据打包分项统计表进</w:t>
      </w:r>
      <w:r>
        <w:rPr>
          <w:b/>
          <w:bCs w:val="0"/>
          <w:color w:val="auto"/>
          <w:sz w:val="24"/>
          <w:szCs w:val="24"/>
        </w:rPr>
        <w:t>行甲供材料采购招标工作。</w:t>
      </w:r>
    </w:p>
    <w:p>
      <w:pPr>
        <w:pStyle w:val="3"/>
        <w:tabs>
          <w:tab w:val="left" w:pos="2050"/>
        </w:tabs>
        <w:spacing w:line="476" w:lineRule="exact"/>
        <w:rPr>
          <w:b/>
          <w:bCs w:val="0"/>
          <w:color w:val="auto"/>
          <w:sz w:val="24"/>
          <w:szCs w:val="24"/>
        </w:rPr>
      </w:pPr>
      <w:r>
        <w:rPr>
          <w:b/>
          <w:bCs w:val="0"/>
          <w:color w:val="auto"/>
          <w:sz w:val="24"/>
          <w:szCs w:val="24"/>
        </w:rPr>
        <w:t>第七条</w:t>
      </w:r>
      <w:r>
        <w:rPr>
          <w:b/>
          <w:bCs w:val="0"/>
          <w:color w:val="auto"/>
          <w:sz w:val="24"/>
          <w:szCs w:val="24"/>
        </w:rPr>
        <w:tab/>
      </w:r>
      <w:r>
        <w:rPr>
          <w:b/>
          <w:bCs w:val="0"/>
          <w:color w:val="auto"/>
          <w:sz w:val="24"/>
          <w:szCs w:val="24"/>
        </w:rPr>
        <w:t>合同管理</w:t>
      </w:r>
    </w:p>
    <w:p>
      <w:pPr>
        <w:pStyle w:val="2"/>
        <w:spacing w:before="77" w:line="328" w:lineRule="auto"/>
        <w:ind w:right="938"/>
        <w:jc w:val="both"/>
        <w:rPr>
          <w:b/>
          <w:bCs w:val="0"/>
          <w:color w:val="auto"/>
          <w:sz w:val="24"/>
          <w:szCs w:val="24"/>
        </w:rPr>
      </w:pPr>
      <w:r>
        <w:rPr>
          <w:b/>
          <w:bCs w:val="0"/>
          <w:color w:val="auto"/>
          <w:sz w:val="24"/>
          <w:szCs w:val="24"/>
        </w:rPr>
        <w:t>（一</w:t>
      </w:r>
      <w:r>
        <w:rPr>
          <w:b/>
          <w:bCs w:val="0"/>
          <w:color w:val="auto"/>
          <w:spacing w:val="-8"/>
          <w:sz w:val="24"/>
          <w:szCs w:val="24"/>
        </w:rPr>
        <w:t>）</w:t>
      </w:r>
      <w:r>
        <w:rPr>
          <w:b/>
          <w:bCs w:val="0"/>
          <w:color w:val="auto"/>
          <w:spacing w:val="-2"/>
          <w:sz w:val="24"/>
          <w:szCs w:val="24"/>
        </w:rPr>
        <w:t>采购合同：甲供材料采购合同为集团公司审定编</w:t>
      </w:r>
      <w:r>
        <w:rPr>
          <w:b/>
          <w:bCs w:val="0"/>
          <w:color w:val="auto"/>
          <w:spacing w:val="-4"/>
          <w:sz w:val="24"/>
          <w:szCs w:val="24"/>
        </w:rPr>
        <w:t>制的统一版本，为三方合同；合同八本，集团公司一本、项目办二本、物流集团三本、供应商二本；项目办代表业主签</w:t>
      </w:r>
      <w:r>
        <w:rPr>
          <w:b/>
          <w:bCs w:val="0"/>
          <w:color w:val="auto"/>
          <w:spacing w:val="-3"/>
          <w:sz w:val="24"/>
          <w:szCs w:val="24"/>
        </w:rPr>
        <w:t>字</w:t>
      </w:r>
      <w:r>
        <w:rPr>
          <w:b/>
          <w:bCs w:val="0"/>
          <w:color w:val="auto"/>
          <w:sz w:val="24"/>
          <w:szCs w:val="24"/>
        </w:rPr>
        <w:t>（业主方由集团公司盖章</w:t>
      </w:r>
      <w:r>
        <w:rPr>
          <w:b/>
          <w:bCs w:val="0"/>
          <w:color w:val="auto"/>
          <w:spacing w:val="-4"/>
          <w:sz w:val="24"/>
          <w:szCs w:val="24"/>
        </w:rPr>
        <w:t>）</w:t>
      </w:r>
      <w:r>
        <w:rPr>
          <w:b/>
          <w:bCs w:val="0"/>
          <w:color w:val="auto"/>
          <w:spacing w:val="-3"/>
          <w:sz w:val="24"/>
          <w:szCs w:val="24"/>
        </w:rPr>
        <w:t>，材料项目部代表物流集团签字</w:t>
      </w:r>
      <w:r>
        <w:rPr>
          <w:b/>
          <w:bCs w:val="0"/>
          <w:color w:val="auto"/>
          <w:sz w:val="24"/>
          <w:szCs w:val="24"/>
        </w:rPr>
        <w:t>（物流集团盖章</w:t>
      </w:r>
      <w:r>
        <w:rPr>
          <w:b/>
          <w:bCs w:val="0"/>
          <w:color w:val="auto"/>
          <w:spacing w:val="-3"/>
          <w:sz w:val="24"/>
          <w:szCs w:val="24"/>
        </w:rPr>
        <w:t>），</w:t>
      </w:r>
      <w:r>
        <w:rPr>
          <w:b/>
          <w:bCs w:val="0"/>
          <w:color w:val="auto"/>
          <w:spacing w:val="-1"/>
          <w:sz w:val="24"/>
          <w:szCs w:val="24"/>
        </w:rPr>
        <w:t>供应商由法人或委托人签字</w:t>
      </w:r>
      <w:r>
        <w:rPr>
          <w:b/>
          <w:bCs w:val="0"/>
          <w:color w:val="auto"/>
          <w:sz w:val="24"/>
          <w:szCs w:val="24"/>
        </w:rPr>
        <w:t>（</w:t>
      </w:r>
      <w:r>
        <w:rPr>
          <w:b/>
          <w:bCs w:val="0"/>
          <w:color w:val="auto"/>
          <w:spacing w:val="-4"/>
          <w:sz w:val="24"/>
          <w:szCs w:val="24"/>
        </w:rPr>
        <w:t>供应商</w:t>
      </w:r>
    </w:p>
    <w:p>
      <w:pPr>
        <w:spacing w:after="0" w:line="328" w:lineRule="auto"/>
        <w:jc w:val="both"/>
        <w:rPr>
          <w:b/>
          <w:bCs w:val="0"/>
          <w:color w:val="auto"/>
          <w:sz w:val="24"/>
          <w:szCs w:val="24"/>
        </w:rPr>
        <w:sectPr>
          <w:pgSz w:w="11910" w:h="16840"/>
          <w:pgMar w:top="1520" w:right="860" w:bottom="1160" w:left="1680" w:header="0" w:footer="975" w:gutter="0"/>
          <w:pgNumType w:fmt="decimal"/>
        </w:sectPr>
      </w:pPr>
    </w:p>
    <w:p>
      <w:pPr>
        <w:pStyle w:val="2"/>
        <w:spacing w:before="30"/>
        <w:ind w:firstLine="0"/>
        <w:rPr>
          <w:b/>
          <w:bCs w:val="0"/>
          <w:color w:val="auto"/>
          <w:sz w:val="24"/>
          <w:szCs w:val="24"/>
        </w:rPr>
      </w:pPr>
      <w:r>
        <w:rPr>
          <w:b/>
          <w:bCs w:val="0"/>
          <w:color w:val="auto"/>
          <w:sz w:val="24"/>
          <w:szCs w:val="24"/>
        </w:rPr>
        <w:t>合同章）。</w:t>
      </w:r>
    </w:p>
    <w:p>
      <w:pPr>
        <w:pStyle w:val="2"/>
        <w:spacing w:before="150" w:line="328" w:lineRule="auto"/>
        <w:ind w:right="938"/>
        <w:jc w:val="both"/>
        <w:rPr>
          <w:b/>
          <w:bCs w:val="0"/>
          <w:color w:val="auto"/>
          <w:sz w:val="24"/>
          <w:szCs w:val="24"/>
        </w:rPr>
      </w:pPr>
      <w:r>
        <w:rPr>
          <w:b/>
          <w:bCs w:val="0"/>
          <w:color w:val="auto"/>
          <w:sz w:val="24"/>
          <w:szCs w:val="24"/>
        </w:rPr>
        <w:t>（二</w:t>
      </w:r>
      <w:r>
        <w:rPr>
          <w:b/>
          <w:bCs w:val="0"/>
          <w:color w:val="auto"/>
          <w:spacing w:val="-8"/>
          <w:sz w:val="24"/>
          <w:szCs w:val="24"/>
        </w:rPr>
        <w:t>）</w:t>
      </w:r>
      <w:r>
        <w:rPr>
          <w:b/>
          <w:bCs w:val="0"/>
          <w:color w:val="auto"/>
          <w:spacing w:val="-2"/>
          <w:sz w:val="24"/>
          <w:szCs w:val="24"/>
        </w:rPr>
        <w:t>供应合同：甲供材料供应合同为集团公司审定编</w:t>
      </w:r>
      <w:r>
        <w:rPr>
          <w:b/>
          <w:bCs w:val="0"/>
          <w:color w:val="auto"/>
          <w:spacing w:val="-4"/>
          <w:sz w:val="24"/>
          <w:szCs w:val="24"/>
        </w:rPr>
        <w:t>制的统一版本，为三方合同；合同八本，集团公司一本、项目办二本、物流集团三本、施工单位二本。项目办代表业主</w:t>
      </w:r>
      <w:r>
        <w:rPr>
          <w:b/>
          <w:bCs w:val="0"/>
          <w:color w:val="auto"/>
          <w:spacing w:val="-3"/>
          <w:sz w:val="24"/>
          <w:szCs w:val="24"/>
        </w:rPr>
        <w:t>签字</w:t>
      </w:r>
      <w:r>
        <w:rPr>
          <w:b/>
          <w:bCs w:val="0"/>
          <w:color w:val="auto"/>
          <w:sz w:val="24"/>
          <w:szCs w:val="24"/>
        </w:rPr>
        <w:t>（业主方由集团公司盖章</w:t>
      </w:r>
      <w:r>
        <w:rPr>
          <w:b/>
          <w:bCs w:val="0"/>
          <w:color w:val="auto"/>
          <w:spacing w:val="-4"/>
          <w:sz w:val="24"/>
          <w:szCs w:val="24"/>
        </w:rPr>
        <w:t>）</w:t>
      </w:r>
      <w:r>
        <w:rPr>
          <w:b/>
          <w:bCs w:val="0"/>
          <w:color w:val="auto"/>
          <w:spacing w:val="-3"/>
          <w:sz w:val="24"/>
          <w:szCs w:val="24"/>
        </w:rPr>
        <w:t>，材料项目部代表物流集团</w:t>
      </w:r>
      <w:r>
        <w:rPr>
          <w:b/>
          <w:bCs w:val="0"/>
          <w:color w:val="auto"/>
          <w:spacing w:val="-2"/>
          <w:sz w:val="24"/>
          <w:szCs w:val="24"/>
        </w:rPr>
        <w:t>签字</w:t>
      </w:r>
      <w:r>
        <w:rPr>
          <w:b/>
          <w:bCs w:val="0"/>
          <w:color w:val="auto"/>
          <w:sz w:val="24"/>
          <w:szCs w:val="24"/>
        </w:rPr>
        <w:t>（物流集团盖章</w:t>
      </w:r>
      <w:r>
        <w:rPr>
          <w:b/>
          <w:bCs w:val="0"/>
          <w:color w:val="auto"/>
          <w:spacing w:val="-3"/>
          <w:sz w:val="24"/>
          <w:szCs w:val="24"/>
        </w:rPr>
        <w:t>），</w:t>
      </w:r>
      <w:r>
        <w:rPr>
          <w:b/>
          <w:bCs w:val="0"/>
          <w:color w:val="auto"/>
          <w:sz w:val="24"/>
          <w:szCs w:val="24"/>
        </w:rPr>
        <w:t>施工单位由法人或委托人签字（</w:t>
      </w:r>
      <w:r>
        <w:rPr>
          <w:b/>
          <w:bCs w:val="0"/>
          <w:color w:val="auto"/>
          <w:spacing w:val="-14"/>
          <w:sz w:val="24"/>
          <w:szCs w:val="24"/>
        </w:rPr>
        <w:t>土</w:t>
      </w:r>
      <w:r>
        <w:rPr>
          <w:b/>
          <w:bCs w:val="0"/>
          <w:color w:val="auto"/>
          <w:spacing w:val="-2"/>
          <w:sz w:val="24"/>
          <w:szCs w:val="24"/>
        </w:rPr>
        <w:t>建中标单位委托人签字需法人委托书、合同需土建中标单位</w:t>
      </w:r>
      <w:r>
        <w:rPr>
          <w:b/>
          <w:bCs w:val="0"/>
          <w:color w:val="auto"/>
          <w:spacing w:val="-1"/>
          <w:sz w:val="24"/>
          <w:szCs w:val="24"/>
        </w:rPr>
        <w:t>盖章 ，不盖项目经理部的公章 )。</w:t>
      </w:r>
    </w:p>
    <w:p>
      <w:pPr>
        <w:pStyle w:val="2"/>
        <w:spacing w:line="328" w:lineRule="auto"/>
        <w:ind w:right="790"/>
        <w:rPr>
          <w:b/>
          <w:bCs w:val="0"/>
          <w:color w:val="auto"/>
          <w:sz w:val="24"/>
          <w:szCs w:val="24"/>
        </w:rPr>
      </w:pPr>
      <w:r>
        <w:rPr>
          <w:b/>
          <w:bCs w:val="0"/>
          <w:color w:val="auto"/>
          <w:sz w:val="24"/>
          <w:szCs w:val="24"/>
        </w:rPr>
        <w:t>（三）钢材短途运输合同：甲供材料钢材短途运输合同</w:t>
      </w:r>
      <w:r>
        <w:rPr>
          <w:b/>
          <w:bCs w:val="0"/>
          <w:color w:val="auto"/>
          <w:w w:val="95"/>
          <w:sz w:val="24"/>
          <w:szCs w:val="24"/>
        </w:rPr>
        <w:t xml:space="preserve">为物流集团审定编制的统一版本，为两方合同，合同六本， </w:t>
      </w:r>
      <w:r>
        <w:rPr>
          <w:b/>
          <w:bCs w:val="0"/>
          <w:color w:val="auto"/>
          <w:sz w:val="24"/>
          <w:szCs w:val="24"/>
        </w:rPr>
        <w:t>物流集团四本，运输单位两本。材料项目部代表物流集团签字（物流集团盖章），运输单位由法人或委托人签字（合同章或公章）。</w:t>
      </w:r>
    </w:p>
    <w:p>
      <w:pPr>
        <w:pStyle w:val="2"/>
        <w:spacing w:line="328" w:lineRule="auto"/>
        <w:ind w:right="619"/>
        <w:rPr>
          <w:b/>
          <w:bCs w:val="0"/>
          <w:color w:val="auto"/>
          <w:sz w:val="24"/>
          <w:szCs w:val="24"/>
        </w:rPr>
      </w:pPr>
      <w:r>
        <w:rPr>
          <w:b/>
          <w:bCs w:val="0"/>
          <w:color w:val="auto"/>
          <w:sz w:val="24"/>
          <w:szCs w:val="24"/>
        </w:rPr>
        <w:t>（四</w:t>
      </w:r>
      <w:r>
        <w:rPr>
          <w:b/>
          <w:bCs w:val="0"/>
          <w:color w:val="auto"/>
          <w:spacing w:val="-8"/>
          <w:sz w:val="24"/>
          <w:szCs w:val="24"/>
        </w:rPr>
        <w:t>）</w:t>
      </w:r>
      <w:r>
        <w:rPr>
          <w:b/>
          <w:bCs w:val="0"/>
          <w:color w:val="auto"/>
          <w:spacing w:val="-1"/>
          <w:sz w:val="24"/>
          <w:szCs w:val="24"/>
        </w:rPr>
        <w:t xml:space="preserve">仓储合同：甲供材料仓储合同为物流集团审定编 </w:t>
      </w:r>
      <w:r>
        <w:rPr>
          <w:b/>
          <w:bCs w:val="0"/>
          <w:color w:val="auto"/>
          <w:spacing w:val="-3"/>
          <w:sz w:val="24"/>
          <w:szCs w:val="24"/>
        </w:rPr>
        <w:t xml:space="preserve">制的统一版本，为两方合同，合同四本，物流集团两本，仓 </w:t>
      </w:r>
      <w:r>
        <w:rPr>
          <w:b/>
          <w:bCs w:val="0"/>
          <w:color w:val="auto"/>
          <w:spacing w:val="-18"/>
          <w:sz w:val="24"/>
          <w:szCs w:val="24"/>
        </w:rPr>
        <w:t>储单位两本。材料项目部代表物流集团签字</w:t>
      </w:r>
      <w:r>
        <w:rPr>
          <w:b/>
          <w:bCs w:val="0"/>
          <w:color w:val="auto"/>
          <w:sz w:val="24"/>
          <w:szCs w:val="24"/>
        </w:rPr>
        <w:t>（物流集团盖章</w:t>
      </w:r>
      <w:r>
        <w:rPr>
          <w:b/>
          <w:bCs w:val="0"/>
          <w:color w:val="auto"/>
          <w:spacing w:val="-62"/>
          <w:sz w:val="24"/>
          <w:szCs w:val="24"/>
        </w:rPr>
        <w:t xml:space="preserve">）， </w:t>
      </w:r>
      <w:r>
        <w:rPr>
          <w:b/>
          <w:bCs w:val="0"/>
          <w:color w:val="auto"/>
          <w:sz w:val="24"/>
          <w:szCs w:val="24"/>
        </w:rPr>
        <w:t>仓储单位由法人或委托人签字（合同章或公章）。</w:t>
      </w:r>
    </w:p>
    <w:p>
      <w:pPr>
        <w:pStyle w:val="2"/>
        <w:spacing w:line="326" w:lineRule="auto"/>
        <w:ind w:right="940"/>
        <w:jc w:val="both"/>
        <w:rPr>
          <w:b/>
          <w:bCs w:val="0"/>
          <w:color w:val="auto"/>
          <w:sz w:val="24"/>
          <w:szCs w:val="24"/>
        </w:rPr>
      </w:pPr>
      <w:r>
        <w:rPr>
          <w:b/>
          <w:bCs w:val="0"/>
          <w:color w:val="auto"/>
          <w:sz w:val="24"/>
          <w:szCs w:val="24"/>
        </w:rPr>
        <w:t>（五</w:t>
      </w:r>
      <w:r>
        <w:rPr>
          <w:b/>
          <w:bCs w:val="0"/>
          <w:color w:val="auto"/>
          <w:spacing w:val="-8"/>
          <w:sz w:val="24"/>
          <w:szCs w:val="24"/>
        </w:rPr>
        <w:t>）</w:t>
      </w:r>
      <w:r>
        <w:rPr>
          <w:b/>
          <w:bCs w:val="0"/>
          <w:color w:val="auto"/>
          <w:spacing w:val="-3"/>
          <w:sz w:val="24"/>
          <w:szCs w:val="24"/>
        </w:rPr>
        <w:t>甲供材料采购、供应合同在项目办流转签署完毕</w:t>
      </w:r>
      <w:r>
        <w:rPr>
          <w:b/>
          <w:bCs w:val="0"/>
          <w:color w:val="auto"/>
          <w:spacing w:val="-5"/>
          <w:sz w:val="24"/>
          <w:szCs w:val="24"/>
        </w:rPr>
        <w:t>后，提交回物流集团甲供管理职能部门，待甲供管理职能部</w:t>
      </w:r>
      <w:r>
        <w:rPr>
          <w:b/>
          <w:bCs w:val="0"/>
          <w:color w:val="auto"/>
          <w:sz w:val="24"/>
          <w:szCs w:val="24"/>
        </w:rPr>
        <w:t>门办完所有签字盖章流程后，由材料项目部装订发放。</w:t>
      </w:r>
    </w:p>
    <w:p>
      <w:pPr>
        <w:pStyle w:val="2"/>
        <w:spacing w:line="326" w:lineRule="auto"/>
        <w:ind w:right="938"/>
        <w:jc w:val="both"/>
        <w:rPr>
          <w:b/>
          <w:bCs w:val="0"/>
          <w:color w:val="auto"/>
          <w:sz w:val="24"/>
          <w:szCs w:val="24"/>
        </w:rPr>
      </w:pPr>
      <w:r>
        <w:rPr>
          <w:b/>
          <w:bCs w:val="0"/>
          <w:color w:val="auto"/>
          <w:sz w:val="24"/>
          <w:szCs w:val="24"/>
        </w:rPr>
        <w:t>（六</w:t>
      </w:r>
      <w:r>
        <w:rPr>
          <w:b/>
          <w:bCs w:val="0"/>
          <w:color w:val="auto"/>
          <w:spacing w:val="-5"/>
          <w:sz w:val="24"/>
          <w:szCs w:val="24"/>
        </w:rPr>
        <w:t>）</w:t>
      </w:r>
      <w:r>
        <w:rPr>
          <w:b/>
          <w:bCs w:val="0"/>
          <w:color w:val="auto"/>
          <w:spacing w:val="-3"/>
          <w:sz w:val="24"/>
          <w:szCs w:val="24"/>
        </w:rPr>
        <w:t>甲供材料短途运输、仓储合同签字完毕后，提交到物流集团甲供管理职能部门，待甲供管理职能部门办完所</w:t>
      </w:r>
      <w:r>
        <w:rPr>
          <w:b/>
          <w:bCs w:val="0"/>
          <w:color w:val="auto"/>
          <w:sz w:val="24"/>
          <w:szCs w:val="24"/>
        </w:rPr>
        <w:t>有签字盖章流程后，由材料项目部装订发放。</w:t>
      </w:r>
    </w:p>
    <w:p>
      <w:pPr>
        <w:pStyle w:val="2"/>
        <w:ind w:left="761" w:firstLine="0"/>
        <w:rPr>
          <w:b/>
          <w:bCs w:val="0"/>
          <w:color w:val="auto"/>
          <w:sz w:val="24"/>
          <w:szCs w:val="24"/>
        </w:rPr>
      </w:pPr>
      <w:r>
        <w:rPr>
          <w:b/>
          <w:bCs w:val="0"/>
          <w:color w:val="auto"/>
          <w:sz w:val="24"/>
          <w:szCs w:val="24"/>
        </w:rPr>
        <w:t>（七）合同流转单以物流集团统一流转单版本执行。</w:t>
      </w:r>
    </w:p>
    <w:p>
      <w:pPr>
        <w:spacing w:after="0"/>
        <w:rPr>
          <w:b/>
          <w:bCs w:val="0"/>
          <w:color w:val="auto"/>
          <w:sz w:val="24"/>
          <w:szCs w:val="24"/>
        </w:rPr>
        <w:sectPr>
          <w:pgSz w:w="11910" w:h="16840"/>
          <w:pgMar w:top="1520" w:right="860" w:bottom="1160" w:left="1680" w:header="0" w:footer="975" w:gutter="0"/>
          <w:pgNumType w:fmt="decimal"/>
        </w:sectPr>
      </w:pPr>
    </w:p>
    <w:p>
      <w:pPr>
        <w:pStyle w:val="3"/>
        <w:tabs>
          <w:tab w:val="left" w:pos="2050"/>
        </w:tabs>
        <w:spacing w:line="514" w:lineRule="exact"/>
        <w:rPr>
          <w:b/>
          <w:bCs w:val="0"/>
          <w:color w:val="auto"/>
          <w:sz w:val="24"/>
          <w:szCs w:val="24"/>
        </w:rPr>
      </w:pPr>
      <w:r>
        <w:rPr>
          <w:b/>
          <w:bCs w:val="0"/>
          <w:color w:val="auto"/>
          <w:sz w:val="24"/>
          <w:szCs w:val="24"/>
        </w:rPr>
        <w:t>第八条</w:t>
      </w:r>
      <w:r>
        <w:rPr>
          <w:b/>
          <w:bCs w:val="0"/>
          <w:color w:val="auto"/>
          <w:sz w:val="24"/>
          <w:szCs w:val="24"/>
        </w:rPr>
        <w:tab/>
      </w:r>
      <w:r>
        <w:rPr>
          <w:b/>
          <w:bCs w:val="0"/>
          <w:color w:val="auto"/>
          <w:sz w:val="24"/>
          <w:szCs w:val="24"/>
        </w:rPr>
        <w:t>备选品牌申报审批</w:t>
      </w:r>
    </w:p>
    <w:p>
      <w:pPr>
        <w:pStyle w:val="2"/>
        <w:spacing w:before="76" w:line="328" w:lineRule="auto"/>
        <w:ind w:right="895"/>
        <w:rPr>
          <w:b/>
          <w:bCs w:val="0"/>
          <w:color w:val="auto"/>
          <w:sz w:val="24"/>
          <w:szCs w:val="24"/>
        </w:rPr>
      </w:pPr>
      <w:r>
        <w:rPr>
          <w:b/>
          <w:bCs w:val="0"/>
          <w:color w:val="auto"/>
          <w:sz w:val="24"/>
          <w:szCs w:val="24"/>
        </w:rPr>
        <w:t>（一）由供应商提出申请，按招标条件要求准备备选品牌资料。</w:t>
      </w:r>
    </w:p>
    <w:p>
      <w:pPr>
        <w:pStyle w:val="2"/>
        <w:spacing w:line="328" w:lineRule="auto"/>
        <w:ind w:right="895" w:firstLine="1120"/>
        <w:rPr>
          <w:b/>
          <w:bCs w:val="0"/>
          <w:color w:val="auto"/>
          <w:sz w:val="24"/>
          <w:szCs w:val="24"/>
        </w:rPr>
      </w:pPr>
      <w:r>
        <w:rPr>
          <w:b/>
          <w:bCs w:val="0"/>
          <w:color w:val="auto"/>
          <w:sz w:val="24"/>
          <w:szCs w:val="24"/>
        </w:rPr>
        <w:t>（二）将申请和资料提交到材料项目部，材料项目部对资料进行初审后，完成备选品牌可行性报告，并提交到物流集团甲供管理职能部门进行审核流程，审核批准后，送项目办审批。</w:t>
      </w:r>
    </w:p>
    <w:p>
      <w:pPr>
        <w:pStyle w:val="2"/>
        <w:spacing w:line="328" w:lineRule="auto"/>
        <w:ind w:right="895"/>
        <w:rPr>
          <w:b/>
          <w:bCs w:val="0"/>
          <w:color w:val="auto"/>
          <w:sz w:val="24"/>
          <w:szCs w:val="24"/>
        </w:rPr>
      </w:pPr>
      <w:r>
        <w:rPr>
          <w:b/>
          <w:bCs w:val="0"/>
          <w:color w:val="auto"/>
          <w:sz w:val="24"/>
          <w:szCs w:val="24"/>
        </w:rPr>
        <w:t>（三）备选品牌写入到合同谈判备忘录中（或作为合同附件），使用备选品牌获得的收益由业主享受。</w:t>
      </w:r>
    </w:p>
    <w:p>
      <w:pPr>
        <w:pStyle w:val="2"/>
        <w:spacing w:line="326" w:lineRule="auto"/>
        <w:ind w:right="894"/>
        <w:rPr>
          <w:b/>
          <w:bCs w:val="0"/>
          <w:color w:val="auto"/>
          <w:sz w:val="24"/>
          <w:szCs w:val="24"/>
        </w:rPr>
      </w:pPr>
      <w:r>
        <w:rPr>
          <w:b/>
          <w:bCs w:val="0"/>
          <w:color w:val="auto"/>
          <w:sz w:val="24"/>
          <w:szCs w:val="24"/>
        </w:rPr>
        <w:t>（四）备选品牌的使用比例报物流集团甲供管理职能部门审议后执行。</w:t>
      </w:r>
    </w:p>
    <w:p>
      <w:pPr>
        <w:pStyle w:val="3"/>
        <w:tabs>
          <w:tab w:val="left" w:pos="2050"/>
        </w:tabs>
        <w:spacing w:line="488" w:lineRule="exact"/>
        <w:rPr>
          <w:b/>
          <w:bCs w:val="0"/>
          <w:color w:val="auto"/>
          <w:sz w:val="24"/>
          <w:szCs w:val="24"/>
        </w:rPr>
      </w:pPr>
      <w:r>
        <w:rPr>
          <w:b/>
          <w:bCs w:val="0"/>
          <w:color w:val="auto"/>
          <w:sz w:val="24"/>
          <w:szCs w:val="24"/>
        </w:rPr>
        <w:t>第九条</w:t>
      </w:r>
      <w:r>
        <w:rPr>
          <w:b/>
          <w:bCs w:val="0"/>
          <w:color w:val="auto"/>
          <w:sz w:val="24"/>
          <w:szCs w:val="24"/>
        </w:rPr>
        <w:tab/>
      </w:r>
      <w:r>
        <w:rPr>
          <w:b/>
          <w:bCs w:val="0"/>
          <w:color w:val="auto"/>
          <w:sz w:val="24"/>
          <w:szCs w:val="24"/>
        </w:rPr>
        <w:t>甲供材料宣贯</w:t>
      </w:r>
    </w:p>
    <w:p>
      <w:pPr>
        <w:pStyle w:val="2"/>
        <w:spacing w:before="64" w:line="328" w:lineRule="auto"/>
        <w:ind w:right="780"/>
        <w:rPr>
          <w:b/>
          <w:bCs w:val="0"/>
          <w:color w:val="auto"/>
          <w:sz w:val="24"/>
          <w:szCs w:val="24"/>
        </w:rPr>
      </w:pPr>
      <w:r>
        <w:rPr>
          <w:b/>
          <w:bCs w:val="0"/>
          <w:color w:val="auto"/>
          <w:sz w:val="24"/>
          <w:szCs w:val="24"/>
        </w:rPr>
        <w:t>（一</w:t>
      </w:r>
      <w:r>
        <w:rPr>
          <w:b/>
          <w:bCs w:val="0"/>
          <w:color w:val="auto"/>
          <w:spacing w:val="-8"/>
          <w:sz w:val="24"/>
          <w:szCs w:val="24"/>
        </w:rPr>
        <w:t>）</w:t>
      </w:r>
      <w:r>
        <w:rPr>
          <w:b/>
          <w:bCs w:val="0"/>
          <w:color w:val="auto"/>
          <w:spacing w:val="-1"/>
          <w:sz w:val="24"/>
          <w:szCs w:val="24"/>
        </w:rPr>
        <w:t>在项目办的组织指导下，材料项目部分别或集中</w:t>
      </w:r>
      <w:r>
        <w:rPr>
          <w:b/>
          <w:bCs w:val="0"/>
          <w:color w:val="auto"/>
          <w:spacing w:val="-3"/>
          <w:sz w:val="24"/>
          <w:szCs w:val="24"/>
        </w:rPr>
        <w:t>对供应商、施工单位、驻地监理、中心试验室进行甲供材料</w:t>
      </w:r>
      <w:r>
        <w:rPr>
          <w:b/>
          <w:bCs w:val="0"/>
          <w:color w:val="auto"/>
          <w:spacing w:val="-15"/>
          <w:sz w:val="24"/>
          <w:szCs w:val="24"/>
        </w:rPr>
        <w:t xml:space="preserve">具体实施的宣贯工作，条件允许可分批进行，分组讨论解说， </w:t>
      </w:r>
      <w:r>
        <w:rPr>
          <w:b/>
          <w:bCs w:val="0"/>
          <w:color w:val="auto"/>
          <w:sz w:val="24"/>
          <w:szCs w:val="24"/>
        </w:rPr>
        <w:t>真正达到各环节对甲供材料的充分认识与理解。</w:t>
      </w:r>
    </w:p>
    <w:p>
      <w:pPr>
        <w:pStyle w:val="2"/>
        <w:spacing w:line="328" w:lineRule="auto"/>
        <w:ind w:right="619"/>
        <w:rPr>
          <w:b/>
          <w:bCs w:val="0"/>
          <w:color w:val="auto"/>
          <w:sz w:val="24"/>
          <w:szCs w:val="24"/>
        </w:rPr>
      </w:pPr>
      <w:r>
        <w:rPr>
          <w:b/>
          <w:bCs w:val="0"/>
          <w:color w:val="auto"/>
          <w:sz w:val="24"/>
          <w:szCs w:val="24"/>
        </w:rPr>
        <w:t>（二</w:t>
      </w:r>
      <w:r>
        <w:rPr>
          <w:b/>
          <w:bCs w:val="0"/>
          <w:color w:val="auto"/>
          <w:spacing w:val="-12"/>
          <w:sz w:val="24"/>
          <w:szCs w:val="24"/>
        </w:rPr>
        <w:t>）</w:t>
      </w:r>
      <w:r>
        <w:rPr>
          <w:b/>
          <w:bCs w:val="0"/>
          <w:color w:val="auto"/>
          <w:sz w:val="24"/>
          <w:szCs w:val="24"/>
        </w:rPr>
        <w:t xml:space="preserve">具体建设项目的甲供管理细则可根据项目办要求 </w:t>
      </w:r>
      <w:r>
        <w:rPr>
          <w:b/>
          <w:bCs w:val="0"/>
          <w:color w:val="auto"/>
          <w:spacing w:val="-5"/>
          <w:sz w:val="24"/>
          <w:szCs w:val="24"/>
        </w:rPr>
        <w:t>拟定，材料项目部提供物流集团甲供相关资料供项目办参考。</w:t>
      </w:r>
    </w:p>
    <w:p>
      <w:pPr>
        <w:pStyle w:val="3"/>
        <w:tabs>
          <w:tab w:val="left" w:pos="2050"/>
        </w:tabs>
        <w:spacing w:line="480" w:lineRule="exact"/>
        <w:rPr>
          <w:b/>
          <w:bCs w:val="0"/>
          <w:color w:val="auto"/>
          <w:sz w:val="24"/>
          <w:szCs w:val="24"/>
        </w:rPr>
      </w:pPr>
      <w:r>
        <w:rPr>
          <w:b/>
          <w:bCs w:val="0"/>
          <w:color w:val="auto"/>
          <w:sz w:val="24"/>
          <w:szCs w:val="24"/>
        </w:rPr>
        <w:t>第十条</w:t>
      </w:r>
      <w:r>
        <w:rPr>
          <w:b/>
          <w:bCs w:val="0"/>
          <w:color w:val="auto"/>
          <w:sz w:val="24"/>
          <w:szCs w:val="24"/>
        </w:rPr>
        <w:tab/>
      </w:r>
      <w:r>
        <w:rPr>
          <w:b/>
          <w:bCs w:val="0"/>
          <w:color w:val="auto"/>
          <w:sz w:val="24"/>
          <w:szCs w:val="24"/>
        </w:rPr>
        <w:t>组织协调管理</w:t>
      </w:r>
    </w:p>
    <w:p>
      <w:pPr>
        <w:pStyle w:val="2"/>
        <w:spacing w:before="69" w:line="328" w:lineRule="auto"/>
        <w:ind w:right="938"/>
        <w:jc w:val="both"/>
        <w:rPr>
          <w:b/>
          <w:bCs w:val="0"/>
          <w:color w:val="auto"/>
          <w:sz w:val="24"/>
          <w:szCs w:val="24"/>
        </w:rPr>
      </w:pPr>
      <w:r>
        <w:rPr>
          <w:b/>
          <w:bCs w:val="0"/>
          <w:color w:val="auto"/>
          <w:sz w:val="24"/>
          <w:szCs w:val="24"/>
        </w:rPr>
        <w:t>（一</w:t>
      </w:r>
      <w:r>
        <w:rPr>
          <w:b/>
          <w:bCs w:val="0"/>
          <w:color w:val="auto"/>
          <w:spacing w:val="-12"/>
          <w:sz w:val="24"/>
          <w:szCs w:val="24"/>
        </w:rPr>
        <w:t>）</w:t>
      </w:r>
      <w:r>
        <w:rPr>
          <w:b/>
          <w:bCs w:val="0"/>
          <w:color w:val="auto"/>
          <w:spacing w:val="-1"/>
          <w:sz w:val="24"/>
          <w:szCs w:val="24"/>
        </w:rPr>
        <w:t>材料项目部在完成甲供材料的保质保供工作中应</w:t>
      </w:r>
      <w:r>
        <w:rPr>
          <w:b/>
          <w:bCs w:val="0"/>
          <w:color w:val="auto"/>
          <w:spacing w:val="-4"/>
          <w:sz w:val="24"/>
          <w:szCs w:val="24"/>
        </w:rPr>
        <w:t>起到监督、管理、动态调整、协调以及衔接的桥梁作用，以</w:t>
      </w:r>
      <w:r>
        <w:rPr>
          <w:b/>
          <w:bCs w:val="0"/>
          <w:color w:val="auto"/>
          <w:sz w:val="24"/>
          <w:szCs w:val="24"/>
        </w:rPr>
        <w:t>保证甲供体系内工作顺畅有序的开展。</w:t>
      </w:r>
    </w:p>
    <w:p>
      <w:pPr>
        <w:pStyle w:val="2"/>
        <w:spacing w:line="328" w:lineRule="auto"/>
        <w:ind w:right="894"/>
        <w:rPr>
          <w:b/>
          <w:bCs w:val="0"/>
          <w:color w:val="auto"/>
          <w:sz w:val="24"/>
          <w:szCs w:val="24"/>
        </w:rPr>
      </w:pPr>
      <w:r>
        <w:rPr>
          <w:b/>
          <w:bCs w:val="0"/>
          <w:color w:val="auto"/>
          <w:sz w:val="24"/>
          <w:szCs w:val="24"/>
        </w:rPr>
        <w:t>（二）材料项目部在工作中要严格审核并监督各类计划的严肃性、真实性与合理性，协调并做到材料供需的有效管</w:t>
      </w:r>
    </w:p>
    <w:p>
      <w:pPr>
        <w:spacing w:after="0" w:line="328" w:lineRule="auto"/>
        <w:rPr>
          <w:b/>
          <w:bCs w:val="0"/>
          <w:color w:val="auto"/>
          <w:sz w:val="24"/>
          <w:szCs w:val="24"/>
        </w:rPr>
        <w:sectPr>
          <w:pgSz w:w="11910" w:h="16840"/>
          <w:pgMar w:top="1520" w:right="860" w:bottom="1160" w:left="1680" w:header="0" w:footer="975" w:gutter="0"/>
          <w:pgNumType w:fmt="decimal"/>
        </w:sectPr>
      </w:pPr>
    </w:p>
    <w:p>
      <w:pPr>
        <w:pStyle w:val="2"/>
        <w:spacing w:before="30"/>
        <w:ind w:firstLine="0"/>
        <w:rPr>
          <w:b/>
          <w:bCs w:val="0"/>
          <w:color w:val="auto"/>
          <w:sz w:val="24"/>
          <w:szCs w:val="24"/>
        </w:rPr>
      </w:pPr>
      <w:r>
        <w:rPr>
          <w:b/>
          <w:bCs w:val="0"/>
          <w:color w:val="auto"/>
          <w:sz w:val="24"/>
          <w:szCs w:val="24"/>
        </w:rPr>
        <w:t>控和可追溯性。</w:t>
      </w:r>
    </w:p>
    <w:p>
      <w:pPr>
        <w:pStyle w:val="2"/>
        <w:spacing w:before="150" w:line="328" w:lineRule="auto"/>
        <w:ind w:right="778"/>
        <w:rPr>
          <w:b/>
          <w:bCs w:val="0"/>
          <w:color w:val="auto"/>
          <w:sz w:val="24"/>
          <w:szCs w:val="24"/>
        </w:rPr>
      </w:pPr>
      <w:r>
        <w:rPr>
          <w:b/>
          <w:bCs w:val="0"/>
          <w:color w:val="auto"/>
          <w:sz w:val="24"/>
          <w:szCs w:val="24"/>
        </w:rPr>
        <w:t>（三</w:t>
      </w:r>
      <w:r>
        <w:rPr>
          <w:b/>
          <w:bCs w:val="0"/>
          <w:color w:val="auto"/>
          <w:spacing w:val="-87"/>
          <w:sz w:val="24"/>
          <w:szCs w:val="24"/>
        </w:rPr>
        <w:t>）</w:t>
      </w:r>
      <w:r>
        <w:rPr>
          <w:b/>
          <w:bCs w:val="0"/>
          <w:color w:val="auto"/>
          <w:spacing w:val="-7"/>
          <w:sz w:val="24"/>
          <w:szCs w:val="24"/>
        </w:rPr>
        <w:t>材料供应工作会受到运输道路的路况、运输工具、</w:t>
      </w:r>
      <w:r>
        <w:rPr>
          <w:b/>
          <w:bCs w:val="0"/>
          <w:color w:val="auto"/>
          <w:spacing w:val="-3"/>
          <w:sz w:val="24"/>
          <w:szCs w:val="24"/>
        </w:rPr>
        <w:t>施工进度调整、设计变更、施工外围干扰或供应厂商受原材料、电力、设备故障、国家宏观调控等因素影响，造成供需</w:t>
      </w:r>
      <w:r>
        <w:rPr>
          <w:b/>
          <w:bCs w:val="0"/>
          <w:color w:val="auto"/>
          <w:spacing w:val="-4"/>
          <w:sz w:val="24"/>
          <w:szCs w:val="24"/>
        </w:rPr>
        <w:t>脱节，材料项目部应及时调查了解，采取有效应急措施，多</w:t>
      </w:r>
      <w:r>
        <w:rPr>
          <w:b/>
          <w:bCs w:val="0"/>
          <w:color w:val="auto"/>
          <w:spacing w:val="-6"/>
          <w:sz w:val="24"/>
          <w:szCs w:val="24"/>
        </w:rPr>
        <w:t>种手段调剂协调，消除或降低对施工单位停工待料所造成的影响。</w:t>
      </w:r>
    </w:p>
    <w:p>
      <w:pPr>
        <w:pStyle w:val="2"/>
        <w:spacing w:line="328" w:lineRule="auto"/>
        <w:ind w:right="938"/>
        <w:jc w:val="both"/>
        <w:rPr>
          <w:b/>
          <w:bCs w:val="0"/>
          <w:color w:val="auto"/>
          <w:sz w:val="24"/>
          <w:szCs w:val="24"/>
        </w:rPr>
      </w:pPr>
      <w:r>
        <w:rPr>
          <w:b/>
          <w:bCs w:val="0"/>
          <w:color w:val="auto"/>
          <w:sz w:val="24"/>
          <w:szCs w:val="24"/>
        </w:rPr>
        <w:t>（四</w:t>
      </w:r>
      <w:r>
        <w:rPr>
          <w:b/>
          <w:bCs w:val="0"/>
          <w:color w:val="auto"/>
          <w:spacing w:val="-12"/>
          <w:sz w:val="24"/>
          <w:szCs w:val="24"/>
        </w:rPr>
        <w:t>）</w:t>
      </w:r>
      <w:r>
        <w:rPr>
          <w:b/>
          <w:bCs w:val="0"/>
          <w:color w:val="auto"/>
          <w:spacing w:val="-1"/>
          <w:sz w:val="24"/>
          <w:szCs w:val="24"/>
        </w:rPr>
        <w:t>材料项目部对甲供材料供需执行过程中出现的各</w:t>
      </w:r>
      <w:r>
        <w:rPr>
          <w:b/>
          <w:bCs w:val="0"/>
          <w:color w:val="auto"/>
          <w:spacing w:val="-21"/>
          <w:sz w:val="24"/>
          <w:szCs w:val="24"/>
        </w:rPr>
        <w:t>种问题应及时向项目办、物流集团、监理单位、中心试验室、</w:t>
      </w:r>
      <w:r>
        <w:rPr>
          <w:b/>
          <w:bCs w:val="0"/>
          <w:color w:val="auto"/>
          <w:spacing w:val="-4"/>
          <w:sz w:val="24"/>
          <w:szCs w:val="24"/>
        </w:rPr>
        <w:t>施工单位、供应厂商、及相关部门沟通汇报，以取得相关部</w:t>
      </w:r>
      <w:r>
        <w:rPr>
          <w:b/>
          <w:bCs w:val="0"/>
          <w:color w:val="auto"/>
          <w:spacing w:val="-21"/>
          <w:sz w:val="24"/>
          <w:szCs w:val="24"/>
        </w:rPr>
        <w:t>门的协助配合，保障材料供应工作有序、规范、迅捷的进行。</w:t>
      </w:r>
    </w:p>
    <w:p>
      <w:pPr>
        <w:pStyle w:val="2"/>
        <w:spacing w:line="326" w:lineRule="auto"/>
        <w:ind w:right="938"/>
        <w:jc w:val="both"/>
        <w:rPr>
          <w:b/>
          <w:bCs w:val="0"/>
          <w:color w:val="auto"/>
          <w:sz w:val="24"/>
          <w:szCs w:val="24"/>
        </w:rPr>
      </w:pPr>
      <w:r>
        <w:rPr>
          <w:b/>
          <w:bCs w:val="0"/>
          <w:color w:val="auto"/>
          <w:sz w:val="24"/>
          <w:szCs w:val="24"/>
        </w:rPr>
        <w:t>（五</w:t>
      </w:r>
      <w:r>
        <w:rPr>
          <w:b/>
          <w:bCs w:val="0"/>
          <w:color w:val="auto"/>
          <w:spacing w:val="-8"/>
          <w:sz w:val="24"/>
          <w:szCs w:val="24"/>
        </w:rPr>
        <w:t>）</w:t>
      </w:r>
      <w:r>
        <w:rPr>
          <w:b/>
          <w:bCs w:val="0"/>
          <w:color w:val="auto"/>
          <w:spacing w:val="-2"/>
          <w:sz w:val="24"/>
          <w:szCs w:val="24"/>
        </w:rPr>
        <w:t>材料项目部定期组织召开材料供应协调会，听取各方对材料供应管理工作的意见和建议，协调解决供应管理</w:t>
      </w:r>
      <w:r>
        <w:rPr>
          <w:b/>
          <w:bCs w:val="0"/>
          <w:color w:val="auto"/>
          <w:sz w:val="24"/>
          <w:szCs w:val="24"/>
        </w:rPr>
        <w:t>中出现的问题，不断提高管理水平和服务质量。</w:t>
      </w:r>
    </w:p>
    <w:p>
      <w:pPr>
        <w:pStyle w:val="3"/>
        <w:tabs>
          <w:tab w:val="left" w:pos="2372"/>
        </w:tabs>
        <w:spacing w:line="490" w:lineRule="exact"/>
        <w:rPr>
          <w:b/>
          <w:bCs w:val="0"/>
          <w:color w:val="auto"/>
          <w:sz w:val="24"/>
          <w:szCs w:val="24"/>
        </w:rPr>
      </w:pPr>
      <w:r>
        <w:rPr>
          <w:b/>
          <w:bCs w:val="0"/>
          <w:color w:val="auto"/>
          <w:sz w:val="24"/>
          <w:szCs w:val="24"/>
        </w:rPr>
        <w:t>第十一条</w:t>
      </w:r>
      <w:r>
        <w:rPr>
          <w:b/>
          <w:bCs w:val="0"/>
          <w:color w:val="auto"/>
          <w:sz w:val="24"/>
          <w:szCs w:val="24"/>
        </w:rPr>
        <w:tab/>
      </w:r>
      <w:r>
        <w:rPr>
          <w:b/>
          <w:bCs w:val="0"/>
          <w:color w:val="auto"/>
          <w:sz w:val="24"/>
          <w:szCs w:val="24"/>
        </w:rPr>
        <w:t>物资平台使用</w:t>
      </w:r>
    </w:p>
    <w:p>
      <w:pPr>
        <w:pStyle w:val="2"/>
        <w:spacing w:before="61" w:line="326" w:lineRule="auto"/>
        <w:ind w:right="895"/>
        <w:rPr>
          <w:b/>
          <w:bCs w:val="0"/>
          <w:color w:val="auto"/>
          <w:sz w:val="24"/>
          <w:szCs w:val="24"/>
        </w:rPr>
      </w:pPr>
      <w:r>
        <w:rPr>
          <w:b/>
          <w:bCs w:val="0"/>
          <w:color w:val="auto"/>
          <w:sz w:val="24"/>
          <w:szCs w:val="24"/>
        </w:rPr>
        <w:t>（一）材料项目部与平台管理部门沟通，根据岗位责任设置平台操作权限。</w:t>
      </w:r>
    </w:p>
    <w:p>
      <w:pPr>
        <w:pStyle w:val="2"/>
        <w:spacing w:before="6"/>
        <w:ind w:left="761" w:firstLine="0"/>
        <w:rPr>
          <w:b/>
          <w:bCs w:val="0"/>
          <w:color w:val="auto"/>
          <w:sz w:val="24"/>
          <w:szCs w:val="24"/>
        </w:rPr>
      </w:pPr>
      <w:r>
        <w:rPr>
          <w:b/>
          <w:bCs w:val="0"/>
          <w:color w:val="auto"/>
          <w:sz w:val="24"/>
          <w:szCs w:val="24"/>
        </w:rPr>
        <w:t>（二）材料项目部在工程开工前录入完所有的基础数据</w:t>
      </w:r>
    </w:p>
    <w:p>
      <w:pPr>
        <w:pStyle w:val="2"/>
        <w:spacing w:before="149" w:line="326" w:lineRule="auto"/>
        <w:ind w:right="895" w:firstLine="0"/>
        <w:rPr>
          <w:b/>
          <w:bCs w:val="0"/>
          <w:color w:val="auto"/>
          <w:sz w:val="24"/>
          <w:szCs w:val="24"/>
        </w:rPr>
      </w:pPr>
      <w:r>
        <w:rPr>
          <w:b/>
          <w:bCs w:val="0"/>
          <w:color w:val="auto"/>
          <w:sz w:val="24"/>
          <w:szCs w:val="24"/>
        </w:rPr>
        <w:t>（基础数据包含：管理人员信息、材料品规数量信息、供应厂商信息、施工单位信息、运输单位及车辆信息）。</w:t>
      </w:r>
    </w:p>
    <w:p>
      <w:pPr>
        <w:pStyle w:val="2"/>
        <w:spacing w:before="6" w:line="326" w:lineRule="auto"/>
        <w:ind w:right="941"/>
        <w:jc w:val="both"/>
        <w:rPr>
          <w:b/>
          <w:bCs w:val="0"/>
          <w:color w:val="auto"/>
          <w:sz w:val="24"/>
          <w:szCs w:val="24"/>
        </w:rPr>
      </w:pPr>
      <w:r>
        <w:rPr>
          <w:b/>
          <w:bCs w:val="0"/>
          <w:color w:val="auto"/>
          <w:sz w:val="24"/>
          <w:szCs w:val="24"/>
        </w:rPr>
        <w:t>（三</w:t>
      </w:r>
      <w:r>
        <w:rPr>
          <w:b/>
          <w:bCs w:val="0"/>
          <w:color w:val="auto"/>
          <w:spacing w:val="-8"/>
          <w:sz w:val="24"/>
          <w:szCs w:val="24"/>
        </w:rPr>
        <w:t>）</w:t>
      </w:r>
      <w:r>
        <w:rPr>
          <w:b/>
          <w:bCs w:val="0"/>
          <w:color w:val="auto"/>
          <w:spacing w:val="-2"/>
          <w:sz w:val="24"/>
          <w:szCs w:val="24"/>
        </w:rPr>
        <w:t>材料项目部应在物资平台上完成采购、供应计划</w:t>
      </w:r>
      <w:r>
        <w:rPr>
          <w:b/>
          <w:bCs w:val="0"/>
          <w:color w:val="auto"/>
          <w:spacing w:val="-4"/>
          <w:sz w:val="24"/>
          <w:szCs w:val="24"/>
        </w:rPr>
        <w:t>的审核、编制、提交，坚决杜绝非平台计划审核操作，确保</w:t>
      </w:r>
      <w:r>
        <w:rPr>
          <w:b/>
          <w:bCs w:val="0"/>
          <w:color w:val="auto"/>
          <w:sz w:val="24"/>
          <w:szCs w:val="24"/>
        </w:rPr>
        <w:t>计划的可追溯性。</w:t>
      </w:r>
    </w:p>
    <w:p>
      <w:pPr>
        <w:pStyle w:val="2"/>
        <w:spacing w:before="7"/>
        <w:ind w:left="761" w:firstLine="0"/>
        <w:rPr>
          <w:b/>
          <w:bCs w:val="0"/>
          <w:color w:val="auto"/>
          <w:sz w:val="24"/>
          <w:szCs w:val="24"/>
        </w:rPr>
      </w:pPr>
      <w:r>
        <w:rPr>
          <w:b/>
          <w:bCs w:val="0"/>
          <w:color w:val="auto"/>
          <w:sz w:val="24"/>
          <w:szCs w:val="24"/>
        </w:rPr>
        <w:t>（四</w:t>
      </w:r>
      <w:r>
        <w:rPr>
          <w:b/>
          <w:bCs w:val="0"/>
          <w:color w:val="auto"/>
          <w:spacing w:val="-65"/>
          <w:sz w:val="24"/>
          <w:szCs w:val="24"/>
        </w:rPr>
        <w:t>）</w:t>
      </w:r>
      <w:r>
        <w:rPr>
          <w:b/>
          <w:bCs w:val="0"/>
          <w:color w:val="auto"/>
          <w:spacing w:val="-19"/>
          <w:sz w:val="24"/>
          <w:szCs w:val="24"/>
        </w:rPr>
        <w:t>材料项目部材料入库、验收、出库、开单、配送、</w:t>
      </w:r>
    </w:p>
    <w:p>
      <w:pPr>
        <w:spacing w:after="0"/>
        <w:rPr>
          <w:b/>
          <w:bCs w:val="0"/>
          <w:color w:val="auto"/>
          <w:sz w:val="24"/>
          <w:szCs w:val="24"/>
        </w:rPr>
        <w:sectPr>
          <w:pgSz w:w="11910" w:h="16840"/>
          <w:pgMar w:top="1520" w:right="860" w:bottom="1160" w:left="1680" w:header="0" w:footer="975" w:gutter="0"/>
          <w:pgNumType w:fmt="decimal"/>
        </w:sectPr>
      </w:pPr>
    </w:p>
    <w:p>
      <w:pPr>
        <w:pStyle w:val="2"/>
        <w:spacing w:before="30"/>
        <w:ind w:firstLine="0"/>
        <w:rPr>
          <w:b/>
          <w:bCs w:val="0"/>
          <w:color w:val="auto"/>
          <w:sz w:val="24"/>
          <w:szCs w:val="24"/>
        </w:rPr>
      </w:pPr>
      <w:r>
        <w:rPr>
          <w:b/>
          <w:bCs w:val="0"/>
          <w:color w:val="auto"/>
          <w:sz w:val="24"/>
          <w:szCs w:val="24"/>
        </w:rPr>
        <w:t>数据统计必须通过平台完成。</w:t>
      </w:r>
    </w:p>
    <w:p>
      <w:pPr>
        <w:pStyle w:val="2"/>
        <w:spacing w:before="150" w:line="328" w:lineRule="auto"/>
        <w:ind w:right="895"/>
        <w:rPr>
          <w:b/>
          <w:bCs w:val="0"/>
          <w:color w:val="auto"/>
          <w:sz w:val="24"/>
          <w:szCs w:val="24"/>
        </w:rPr>
      </w:pPr>
      <w:r>
        <w:rPr>
          <w:b/>
          <w:bCs w:val="0"/>
          <w:color w:val="auto"/>
          <w:sz w:val="24"/>
          <w:szCs w:val="24"/>
        </w:rPr>
        <w:t>（五）材料项目部结算数据从平台导出，避免手工统计的差错率。</w:t>
      </w:r>
    </w:p>
    <w:p>
      <w:pPr>
        <w:pStyle w:val="3"/>
        <w:tabs>
          <w:tab w:val="left" w:pos="2372"/>
        </w:tabs>
        <w:spacing w:line="480" w:lineRule="exact"/>
        <w:rPr>
          <w:b/>
          <w:bCs w:val="0"/>
          <w:color w:val="auto"/>
          <w:sz w:val="24"/>
          <w:szCs w:val="24"/>
        </w:rPr>
      </w:pPr>
      <w:r>
        <w:rPr>
          <w:b/>
          <w:bCs w:val="0"/>
          <w:color w:val="auto"/>
          <w:sz w:val="24"/>
          <w:szCs w:val="24"/>
        </w:rPr>
        <w:t>第十二条</w:t>
      </w:r>
      <w:r>
        <w:rPr>
          <w:b/>
          <w:bCs w:val="0"/>
          <w:color w:val="auto"/>
          <w:sz w:val="24"/>
          <w:szCs w:val="24"/>
        </w:rPr>
        <w:tab/>
      </w:r>
      <w:r>
        <w:rPr>
          <w:b/>
          <w:bCs w:val="0"/>
          <w:color w:val="auto"/>
          <w:sz w:val="24"/>
          <w:szCs w:val="24"/>
        </w:rPr>
        <w:t>计划执行管理</w:t>
      </w:r>
    </w:p>
    <w:p>
      <w:pPr>
        <w:pStyle w:val="2"/>
        <w:spacing w:before="76" w:line="328" w:lineRule="auto"/>
        <w:ind w:right="895"/>
        <w:rPr>
          <w:b/>
          <w:bCs w:val="0"/>
          <w:color w:val="auto"/>
          <w:sz w:val="24"/>
          <w:szCs w:val="24"/>
        </w:rPr>
      </w:pPr>
      <w:r>
        <w:rPr>
          <w:b/>
          <w:bCs w:val="0"/>
          <w:color w:val="auto"/>
          <w:sz w:val="24"/>
          <w:szCs w:val="24"/>
        </w:rPr>
        <w:t>（一）根据施工单位进场后统计的材料总量为依据，建立好甲供材料 0 号台账，并掌握 0 号台账的动态变化。</w:t>
      </w:r>
    </w:p>
    <w:p>
      <w:pPr>
        <w:pStyle w:val="2"/>
        <w:spacing w:line="407" w:lineRule="exact"/>
        <w:ind w:left="761" w:firstLine="0"/>
        <w:rPr>
          <w:b/>
          <w:bCs w:val="0"/>
          <w:color w:val="auto"/>
          <w:sz w:val="24"/>
          <w:szCs w:val="24"/>
        </w:rPr>
      </w:pPr>
      <w:r>
        <w:rPr>
          <w:b/>
          <w:bCs w:val="0"/>
          <w:color w:val="auto"/>
          <w:sz w:val="24"/>
          <w:szCs w:val="24"/>
        </w:rPr>
        <w:t>（二）需求计划</w:t>
      </w:r>
    </w:p>
    <w:p>
      <w:pPr>
        <w:pStyle w:val="2"/>
        <w:spacing w:before="150" w:line="328" w:lineRule="auto"/>
        <w:ind w:right="1085"/>
        <w:rPr>
          <w:b/>
          <w:bCs w:val="0"/>
          <w:color w:val="auto"/>
          <w:sz w:val="24"/>
          <w:szCs w:val="24"/>
        </w:rPr>
      </w:pPr>
      <w:r>
        <w:rPr>
          <w:b/>
          <w:bCs w:val="0"/>
          <w:color w:val="auto"/>
          <w:sz w:val="24"/>
          <w:szCs w:val="24"/>
        </w:rPr>
        <w:t>1</w:t>
      </w:r>
      <w:r>
        <w:rPr>
          <w:b/>
          <w:bCs w:val="0"/>
          <w:color w:val="auto"/>
          <w:spacing w:val="-1"/>
          <w:sz w:val="24"/>
          <w:szCs w:val="24"/>
        </w:rPr>
        <w:t>、施工单位根据工程进度申报月度材料需求计划，在</w:t>
      </w:r>
      <w:r>
        <w:rPr>
          <w:b/>
          <w:bCs w:val="0"/>
          <w:color w:val="auto"/>
          <w:spacing w:val="-28"/>
          <w:sz w:val="24"/>
          <w:szCs w:val="24"/>
        </w:rPr>
        <w:t xml:space="preserve">每月 </w:t>
      </w:r>
      <w:r>
        <w:rPr>
          <w:b/>
          <w:bCs w:val="0"/>
          <w:color w:val="auto"/>
          <w:sz w:val="24"/>
          <w:szCs w:val="24"/>
        </w:rPr>
        <w:t>15</w:t>
      </w:r>
      <w:r>
        <w:rPr>
          <w:b/>
          <w:bCs w:val="0"/>
          <w:color w:val="auto"/>
          <w:spacing w:val="-11"/>
          <w:sz w:val="24"/>
          <w:szCs w:val="24"/>
        </w:rPr>
        <w:t xml:space="preserve"> 日前将下月的计划提交给驻地监理，驻地监理审核</w:t>
      </w:r>
    </w:p>
    <w:p>
      <w:pPr>
        <w:pStyle w:val="2"/>
        <w:spacing w:line="326" w:lineRule="auto"/>
        <w:ind w:right="1085" w:firstLine="0"/>
        <w:rPr>
          <w:b/>
          <w:bCs w:val="0"/>
          <w:color w:val="auto"/>
          <w:sz w:val="24"/>
          <w:szCs w:val="24"/>
        </w:rPr>
      </w:pPr>
      <w:r>
        <w:rPr>
          <w:b/>
          <w:bCs w:val="0"/>
          <w:color w:val="auto"/>
          <w:spacing w:val="-5"/>
          <w:sz w:val="24"/>
          <w:szCs w:val="24"/>
        </w:rPr>
        <w:t xml:space="preserve">后提交给总监办，总监办审批后于每月 </w:t>
      </w:r>
      <w:r>
        <w:rPr>
          <w:b/>
          <w:bCs w:val="0"/>
          <w:color w:val="auto"/>
          <w:sz w:val="24"/>
          <w:szCs w:val="24"/>
        </w:rPr>
        <w:t>19</w:t>
      </w:r>
      <w:r>
        <w:rPr>
          <w:b/>
          <w:bCs w:val="0"/>
          <w:color w:val="auto"/>
          <w:spacing w:val="-14"/>
          <w:sz w:val="24"/>
          <w:szCs w:val="24"/>
        </w:rPr>
        <w:t xml:space="preserve"> 日前提交给材料</w:t>
      </w:r>
      <w:r>
        <w:rPr>
          <w:b/>
          <w:bCs w:val="0"/>
          <w:color w:val="auto"/>
          <w:sz w:val="24"/>
          <w:szCs w:val="24"/>
        </w:rPr>
        <w:t>项目部。</w:t>
      </w:r>
    </w:p>
    <w:p>
      <w:pPr>
        <w:pStyle w:val="2"/>
        <w:spacing w:before="3" w:line="326" w:lineRule="auto"/>
        <w:ind w:right="938"/>
        <w:rPr>
          <w:b/>
          <w:bCs w:val="0"/>
          <w:color w:val="auto"/>
          <w:sz w:val="24"/>
          <w:szCs w:val="24"/>
        </w:rPr>
      </w:pPr>
      <w:r>
        <w:rPr>
          <w:b/>
          <w:bCs w:val="0"/>
          <w:color w:val="auto"/>
          <w:sz w:val="24"/>
          <w:szCs w:val="24"/>
        </w:rPr>
        <w:t>1、材料项目部需在规定的时间内，通过物资平台收集</w:t>
      </w:r>
      <w:r>
        <w:rPr>
          <w:b/>
          <w:bCs w:val="0"/>
          <w:color w:val="auto"/>
          <w:spacing w:val="-2"/>
          <w:sz w:val="24"/>
          <w:szCs w:val="24"/>
        </w:rPr>
        <w:t>经项目办审核通过的施工单位的月度需求计划，并有追踪计</w:t>
      </w:r>
      <w:r>
        <w:rPr>
          <w:b/>
          <w:bCs w:val="0"/>
          <w:color w:val="auto"/>
          <w:sz w:val="24"/>
          <w:szCs w:val="24"/>
        </w:rPr>
        <w:t>划申报、审核、审批过程按时完成的责任。</w:t>
      </w:r>
    </w:p>
    <w:p>
      <w:pPr>
        <w:pStyle w:val="2"/>
        <w:spacing w:before="7" w:line="326" w:lineRule="auto"/>
        <w:ind w:right="1085"/>
        <w:rPr>
          <w:b/>
          <w:bCs w:val="0"/>
          <w:color w:val="auto"/>
          <w:sz w:val="24"/>
          <w:szCs w:val="24"/>
        </w:rPr>
      </w:pPr>
      <w:r>
        <w:rPr>
          <w:b/>
          <w:bCs w:val="0"/>
          <w:color w:val="auto"/>
          <w:sz w:val="24"/>
          <w:szCs w:val="24"/>
        </w:rPr>
        <w:t>2</w:t>
      </w:r>
      <w:r>
        <w:rPr>
          <w:b/>
          <w:bCs w:val="0"/>
          <w:color w:val="auto"/>
          <w:spacing w:val="-1"/>
          <w:sz w:val="24"/>
          <w:szCs w:val="24"/>
        </w:rPr>
        <w:t>、收到需求计划后，要认真分析计划的真实性、可操</w:t>
      </w:r>
      <w:r>
        <w:rPr>
          <w:b/>
          <w:bCs w:val="0"/>
          <w:color w:val="auto"/>
          <w:sz w:val="24"/>
          <w:szCs w:val="24"/>
        </w:rPr>
        <w:t>作性，严格按施工单位需求计划满足供应。</w:t>
      </w:r>
    </w:p>
    <w:p>
      <w:pPr>
        <w:pStyle w:val="2"/>
        <w:spacing w:before="4" w:line="328" w:lineRule="auto"/>
        <w:ind w:right="735"/>
        <w:rPr>
          <w:b/>
          <w:bCs w:val="0"/>
          <w:color w:val="auto"/>
          <w:sz w:val="24"/>
          <w:szCs w:val="24"/>
        </w:rPr>
      </w:pPr>
      <w:r>
        <w:rPr>
          <w:b/>
          <w:bCs w:val="0"/>
          <w:color w:val="auto"/>
          <w:sz w:val="24"/>
          <w:szCs w:val="24"/>
        </w:rPr>
        <w:t>3、如遇工程计划变更等不可控因素影响计划偏差较大， 首先需以项目办沟通，取得计划偏差的有效依据，最大限度降低计划偏差产生的影响。</w:t>
      </w:r>
    </w:p>
    <w:p>
      <w:pPr>
        <w:pStyle w:val="2"/>
        <w:spacing w:line="328" w:lineRule="auto"/>
        <w:ind w:right="893"/>
        <w:rPr>
          <w:b/>
          <w:bCs w:val="0"/>
          <w:color w:val="auto"/>
          <w:sz w:val="24"/>
          <w:szCs w:val="24"/>
        </w:rPr>
      </w:pPr>
      <w:r>
        <w:rPr>
          <w:b/>
          <w:bCs w:val="0"/>
          <w:color w:val="auto"/>
          <w:sz w:val="24"/>
          <w:szCs w:val="24"/>
        </w:rPr>
        <w:t>4、施工单位每月计划执行完毕后，必须在月度结算期间填报月度计划执行对比分析表，对当月的执行情况进行说明，对比分析表需加盖公章，并需监理部门签字确认。计划对比表是计划实施可追溯的有效依据，材料项目部应规范管理。</w:t>
      </w:r>
    </w:p>
    <w:p>
      <w:pPr>
        <w:spacing w:after="0" w:line="328" w:lineRule="auto"/>
        <w:rPr>
          <w:b/>
          <w:bCs w:val="0"/>
          <w:color w:val="auto"/>
          <w:sz w:val="24"/>
          <w:szCs w:val="24"/>
        </w:rPr>
        <w:sectPr>
          <w:pgSz w:w="11910" w:h="16840"/>
          <w:pgMar w:top="1520" w:right="860" w:bottom="1160" w:left="1680" w:header="0" w:footer="975" w:gutter="0"/>
          <w:pgNumType w:fmt="decimal"/>
        </w:sectPr>
      </w:pPr>
    </w:p>
    <w:p>
      <w:pPr>
        <w:pStyle w:val="2"/>
        <w:spacing w:before="30" w:line="326" w:lineRule="auto"/>
        <w:ind w:right="1085"/>
        <w:rPr>
          <w:b/>
          <w:bCs w:val="0"/>
          <w:color w:val="auto"/>
          <w:sz w:val="24"/>
          <w:szCs w:val="24"/>
        </w:rPr>
      </w:pPr>
      <w:r>
        <w:rPr>
          <w:b/>
          <w:bCs w:val="0"/>
          <w:color w:val="auto"/>
          <w:sz w:val="24"/>
          <w:szCs w:val="24"/>
        </w:rPr>
        <w:t>5、材料项目部需随时掌握施工单位总计划量、已执行量、余量的具体情况，把握全局，稳步推进。</w:t>
      </w:r>
    </w:p>
    <w:p>
      <w:pPr>
        <w:pStyle w:val="2"/>
        <w:spacing w:before="6"/>
        <w:ind w:left="761" w:firstLine="0"/>
        <w:rPr>
          <w:b/>
          <w:bCs w:val="0"/>
          <w:color w:val="auto"/>
          <w:sz w:val="24"/>
          <w:szCs w:val="24"/>
        </w:rPr>
      </w:pPr>
      <w:r>
        <w:rPr>
          <w:b/>
          <w:bCs w:val="0"/>
          <w:color w:val="auto"/>
          <w:sz w:val="24"/>
          <w:szCs w:val="24"/>
        </w:rPr>
        <w:t>（三）采购计划</w:t>
      </w:r>
    </w:p>
    <w:p>
      <w:pPr>
        <w:pStyle w:val="2"/>
        <w:spacing w:before="149" w:line="328" w:lineRule="auto"/>
        <w:ind w:right="895"/>
        <w:rPr>
          <w:b/>
          <w:bCs w:val="0"/>
          <w:color w:val="auto"/>
          <w:sz w:val="24"/>
          <w:szCs w:val="24"/>
        </w:rPr>
      </w:pPr>
      <w:r>
        <w:rPr>
          <w:b/>
          <w:bCs w:val="0"/>
          <w:color w:val="auto"/>
          <w:sz w:val="24"/>
          <w:szCs w:val="24"/>
        </w:rPr>
        <w:t>1、材料项目部根据施工单位月度需求计划编制采购计划，采购计划必须明确到货时间，并于每月 20 日前发布给供应商。收集、编制、发布全过程通过平台完成，非平台发布的计划是无效计划。</w:t>
      </w:r>
    </w:p>
    <w:p>
      <w:pPr>
        <w:pStyle w:val="2"/>
        <w:spacing w:line="328" w:lineRule="auto"/>
        <w:ind w:right="895"/>
        <w:rPr>
          <w:b/>
          <w:bCs w:val="0"/>
          <w:color w:val="auto"/>
          <w:sz w:val="24"/>
          <w:szCs w:val="24"/>
        </w:rPr>
      </w:pPr>
      <w:r>
        <w:rPr>
          <w:b/>
          <w:bCs w:val="0"/>
          <w:color w:val="auto"/>
          <w:sz w:val="24"/>
          <w:szCs w:val="24"/>
        </w:rPr>
        <w:t>2、发布采购计划后，需再向供应商电话或短信提醒， 确保计划的落实，并全程监控计划的到货情况，严格要求足额执行。</w:t>
      </w:r>
    </w:p>
    <w:p>
      <w:pPr>
        <w:pStyle w:val="2"/>
        <w:spacing w:line="328" w:lineRule="auto"/>
        <w:ind w:right="894"/>
        <w:rPr>
          <w:b/>
          <w:bCs w:val="0"/>
          <w:color w:val="auto"/>
          <w:sz w:val="24"/>
          <w:szCs w:val="24"/>
        </w:rPr>
      </w:pPr>
      <w:r>
        <w:rPr>
          <w:b/>
          <w:bCs w:val="0"/>
          <w:color w:val="auto"/>
          <w:sz w:val="24"/>
          <w:szCs w:val="24"/>
        </w:rPr>
        <w:t>3、材料项目部应充分了解材料上游厂商的生产运营情况，对可能出现的异常情况要有预判，确保材料需求计划的满足。</w:t>
      </w:r>
    </w:p>
    <w:p>
      <w:pPr>
        <w:pStyle w:val="2"/>
        <w:spacing w:line="328" w:lineRule="auto"/>
        <w:ind w:right="941"/>
        <w:rPr>
          <w:b/>
          <w:bCs w:val="0"/>
          <w:color w:val="auto"/>
          <w:sz w:val="24"/>
          <w:szCs w:val="24"/>
        </w:rPr>
      </w:pPr>
      <w:r>
        <w:rPr>
          <w:b/>
          <w:bCs w:val="0"/>
          <w:color w:val="auto"/>
          <w:sz w:val="24"/>
          <w:szCs w:val="24"/>
        </w:rPr>
        <w:t>4、供应厂商每月计划执行完毕后，要求填报月度计划</w:t>
      </w:r>
      <w:r>
        <w:rPr>
          <w:b/>
          <w:bCs w:val="0"/>
          <w:color w:val="auto"/>
          <w:spacing w:val="-3"/>
          <w:sz w:val="24"/>
          <w:szCs w:val="24"/>
        </w:rPr>
        <w:t>执行对比分析表，对当月的执行情况进行说明，比分析表需</w:t>
      </w:r>
      <w:r>
        <w:rPr>
          <w:b/>
          <w:bCs w:val="0"/>
          <w:color w:val="auto"/>
          <w:spacing w:val="-4"/>
          <w:sz w:val="24"/>
          <w:szCs w:val="24"/>
        </w:rPr>
        <w:t>加盖公章，计划对比表是计划实施可追溯的有效依据，材料</w:t>
      </w:r>
      <w:r>
        <w:rPr>
          <w:b/>
          <w:bCs w:val="0"/>
          <w:color w:val="auto"/>
          <w:sz w:val="24"/>
          <w:szCs w:val="24"/>
        </w:rPr>
        <w:t>项目部应规范管理。</w:t>
      </w:r>
    </w:p>
    <w:p>
      <w:pPr>
        <w:pStyle w:val="2"/>
        <w:spacing w:line="405" w:lineRule="exact"/>
        <w:ind w:left="761" w:firstLine="0"/>
        <w:rPr>
          <w:b/>
          <w:bCs w:val="0"/>
          <w:color w:val="auto"/>
          <w:sz w:val="24"/>
          <w:szCs w:val="24"/>
        </w:rPr>
      </w:pPr>
      <w:r>
        <w:rPr>
          <w:b/>
          <w:bCs w:val="0"/>
          <w:color w:val="auto"/>
          <w:w w:val="95"/>
          <w:sz w:val="24"/>
          <w:szCs w:val="24"/>
        </w:rPr>
        <w:t>（四）运输计划</w:t>
      </w:r>
    </w:p>
    <w:p>
      <w:pPr>
        <w:pStyle w:val="2"/>
        <w:spacing w:before="132"/>
        <w:ind w:left="761" w:firstLine="0"/>
        <w:rPr>
          <w:b/>
          <w:bCs w:val="0"/>
          <w:color w:val="auto"/>
          <w:sz w:val="24"/>
          <w:szCs w:val="24"/>
        </w:rPr>
      </w:pPr>
      <w:r>
        <w:rPr>
          <w:b/>
          <w:bCs w:val="0"/>
          <w:color w:val="auto"/>
          <w:sz w:val="24"/>
          <w:szCs w:val="24"/>
        </w:rPr>
        <w:t>1、甲供材料运输计划分水泥运输计划与钢材运输计划。</w:t>
      </w:r>
    </w:p>
    <w:p>
      <w:pPr>
        <w:pStyle w:val="2"/>
        <w:spacing w:before="149" w:line="328" w:lineRule="auto"/>
        <w:ind w:right="780"/>
        <w:rPr>
          <w:b/>
          <w:bCs w:val="0"/>
          <w:color w:val="auto"/>
          <w:sz w:val="24"/>
          <w:szCs w:val="24"/>
        </w:rPr>
      </w:pPr>
      <w:r>
        <w:rPr>
          <w:b/>
          <w:bCs w:val="0"/>
          <w:color w:val="auto"/>
          <w:sz w:val="24"/>
          <w:szCs w:val="24"/>
        </w:rPr>
        <w:t>2、水泥运输计划和水泥材料计划一并由水泥供应商统</w:t>
      </w:r>
      <w:r>
        <w:rPr>
          <w:b/>
          <w:bCs w:val="0"/>
          <w:color w:val="auto"/>
          <w:spacing w:val="-15"/>
          <w:sz w:val="24"/>
          <w:szCs w:val="24"/>
        </w:rPr>
        <w:t xml:space="preserve">一完成，水泥供应商收到水泥计划后，应合理调度运输车辆， </w:t>
      </w:r>
      <w:r>
        <w:rPr>
          <w:b/>
          <w:bCs w:val="0"/>
          <w:color w:val="auto"/>
          <w:sz w:val="24"/>
          <w:szCs w:val="24"/>
        </w:rPr>
        <w:t>完成保运计划，材料项目部在计划执行过程中全程监控。</w:t>
      </w:r>
    </w:p>
    <w:p>
      <w:pPr>
        <w:pStyle w:val="2"/>
        <w:spacing w:line="328" w:lineRule="auto"/>
        <w:ind w:right="1082"/>
        <w:rPr>
          <w:b/>
          <w:bCs w:val="0"/>
          <w:color w:val="auto"/>
          <w:sz w:val="24"/>
          <w:szCs w:val="24"/>
        </w:rPr>
      </w:pPr>
      <w:r>
        <w:rPr>
          <w:b/>
          <w:bCs w:val="0"/>
          <w:color w:val="auto"/>
          <w:sz w:val="24"/>
          <w:szCs w:val="24"/>
        </w:rPr>
        <w:t>3</w:t>
      </w:r>
      <w:r>
        <w:rPr>
          <w:b/>
          <w:bCs w:val="0"/>
          <w:color w:val="auto"/>
          <w:spacing w:val="-1"/>
          <w:sz w:val="24"/>
          <w:szCs w:val="24"/>
        </w:rPr>
        <w:t>、材料项目部根据施工单位月度钢材需求计划以纸质</w:t>
      </w:r>
      <w:r>
        <w:rPr>
          <w:b/>
          <w:bCs w:val="0"/>
          <w:color w:val="auto"/>
          <w:spacing w:val="-11"/>
          <w:sz w:val="24"/>
          <w:szCs w:val="24"/>
        </w:rPr>
        <w:t xml:space="preserve">计划形式于每月 </w:t>
      </w:r>
      <w:r>
        <w:rPr>
          <w:b/>
          <w:bCs w:val="0"/>
          <w:color w:val="auto"/>
          <w:sz w:val="24"/>
          <w:szCs w:val="24"/>
        </w:rPr>
        <w:t>20</w:t>
      </w:r>
      <w:r>
        <w:rPr>
          <w:b/>
          <w:bCs w:val="0"/>
          <w:color w:val="auto"/>
          <w:spacing w:val="-10"/>
          <w:sz w:val="24"/>
          <w:szCs w:val="24"/>
        </w:rPr>
        <w:t xml:space="preserve"> 日前向钢材运输方发布运输计划</w:t>
      </w:r>
      <w:r>
        <w:rPr>
          <w:b/>
          <w:bCs w:val="0"/>
          <w:color w:val="auto"/>
          <w:sz w:val="24"/>
          <w:szCs w:val="24"/>
        </w:rPr>
        <w:t>（</w:t>
      </w:r>
      <w:r>
        <w:rPr>
          <w:b/>
          <w:bCs w:val="0"/>
          <w:color w:val="auto"/>
          <w:spacing w:val="-7"/>
          <w:sz w:val="24"/>
          <w:szCs w:val="24"/>
        </w:rPr>
        <w:t>盖材</w:t>
      </w:r>
    </w:p>
    <w:p>
      <w:pPr>
        <w:spacing w:after="0" w:line="328" w:lineRule="auto"/>
        <w:rPr>
          <w:b/>
          <w:bCs w:val="0"/>
          <w:color w:val="auto"/>
          <w:sz w:val="24"/>
          <w:szCs w:val="24"/>
        </w:rPr>
        <w:sectPr>
          <w:pgSz w:w="11910" w:h="16840"/>
          <w:pgMar w:top="1520" w:right="860" w:bottom="1160" w:left="1680" w:header="0" w:footer="975" w:gutter="0"/>
          <w:pgNumType w:fmt="decimal"/>
        </w:sectPr>
      </w:pPr>
    </w:p>
    <w:p>
      <w:pPr>
        <w:pStyle w:val="2"/>
        <w:spacing w:before="30" w:line="326" w:lineRule="auto"/>
        <w:ind w:left="761" w:right="940" w:hanging="641"/>
        <w:rPr>
          <w:b/>
          <w:bCs w:val="0"/>
          <w:color w:val="auto"/>
          <w:sz w:val="24"/>
          <w:szCs w:val="24"/>
        </w:rPr>
      </w:pPr>
      <w:r>
        <w:rPr>
          <w:b/>
          <w:bCs w:val="0"/>
          <w:color w:val="auto"/>
          <w:sz w:val="24"/>
          <w:szCs w:val="24"/>
        </w:rPr>
        <w:t>料项目部公章有效</w:t>
      </w:r>
      <w:r>
        <w:rPr>
          <w:b/>
          <w:bCs w:val="0"/>
          <w:color w:val="auto"/>
          <w:spacing w:val="-110"/>
          <w:sz w:val="24"/>
          <w:szCs w:val="24"/>
        </w:rPr>
        <w:t>）</w:t>
      </w:r>
      <w:r>
        <w:rPr>
          <w:b/>
          <w:bCs w:val="0"/>
          <w:color w:val="auto"/>
          <w:spacing w:val="-17"/>
          <w:sz w:val="24"/>
          <w:szCs w:val="24"/>
        </w:rPr>
        <w:t>，运输方收到纸质计划后，需签收确认。</w:t>
      </w:r>
      <w:r>
        <w:rPr>
          <w:b/>
          <w:bCs w:val="0"/>
          <w:color w:val="auto"/>
          <w:sz w:val="24"/>
          <w:szCs w:val="24"/>
        </w:rPr>
        <w:t>4、材料项目部时时监控钢材运输车辆到位情况，做好</w:t>
      </w:r>
    </w:p>
    <w:p>
      <w:pPr>
        <w:pStyle w:val="2"/>
        <w:spacing w:before="6" w:line="326" w:lineRule="auto"/>
        <w:ind w:left="761" w:right="1085" w:hanging="641"/>
        <w:rPr>
          <w:b/>
          <w:bCs w:val="0"/>
          <w:color w:val="auto"/>
          <w:sz w:val="24"/>
          <w:szCs w:val="24"/>
        </w:rPr>
      </w:pPr>
      <w:r>
        <w:rPr>
          <w:b/>
          <w:bCs w:val="0"/>
          <w:color w:val="auto"/>
          <w:sz w:val="24"/>
          <w:szCs w:val="24"/>
        </w:rPr>
        <w:t xml:space="preserve">日计划运量统计台账，根据运力保障状况实施有效预案。 </w:t>
      </w:r>
      <w:r>
        <w:rPr>
          <w:b/>
          <w:bCs w:val="0"/>
          <w:color w:val="auto"/>
          <w:w w:val="95"/>
          <w:sz w:val="24"/>
          <w:szCs w:val="24"/>
        </w:rPr>
        <w:t>5</w:t>
      </w:r>
      <w:r>
        <w:rPr>
          <w:b/>
          <w:bCs w:val="0"/>
          <w:color w:val="auto"/>
          <w:spacing w:val="-1"/>
          <w:w w:val="95"/>
          <w:sz w:val="24"/>
          <w:szCs w:val="24"/>
        </w:rPr>
        <w:t>、运输方每月运量计划执行完毕后，要求填报月度计</w:t>
      </w:r>
    </w:p>
    <w:p>
      <w:pPr>
        <w:pStyle w:val="2"/>
        <w:spacing w:before="3" w:line="328" w:lineRule="auto"/>
        <w:ind w:right="938" w:firstLine="0"/>
        <w:jc w:val="both"/>
        <w:rPr>
          <w:b/>
          <w:bCs w:val="0"/>
          <w:color w:val="auto"/>
          <w:sz w:val="24"/>
          <w:szCs w:val="24"/>
        </w:rPr>
      </w:pPr>
      <w:r>
        <w:rPr>
          <w:b/>
          <w:bCs w:val="0"/>
          <w:color w:val="auto"/>
          <w:spacing w:val="-3"/>
          <w:sz w:val="24"/>
          <w:szCs w:val="24"/>
        </w:rPr>
        <w:t>划执行对比分析表，对当月的运量执行情况进行说明，对比分析表需加盖公章，计划对比表是计划实施可追溯的有效依</w:t>
      </w:r>
      <w:r>
        <w:rPr>
          <w:b/>
          <w:bCs w:val="0"/>
          <w:color w:val="auto"/>
          <w:sz w:val="24"/>
          <w:szCs w:val="24"/>
        </w:rPr>
        <w:t>据，材料项目部应规范管理。</w:t>
      </w:r>
    </w:p>
    <w:p>
      <w:pPr>
        <w:pStyle w:val="2"/>
        <w:spacing w:line="406" w:lineRule="exact"/>
        <w:ind w:left="761" w:firstLine="0"/>
        <w:rPr>
          <w:b/>
          <w:bCs w:val="0"/>
          <w:color w:val="auto"/>
          <w:sz w:val="24"/>
          <w:szCs w:val="24"/>
        </w:rPr>
      </w:pPr>
      <w:r>
        <w:rPr>
          <w:b/>
          <w:bCs w:val="0"/>
          <w:color w:val="auto"/>
          <w:sz w:val="24"/>
          <w:szCs w:val="24"/>
        </w:rPr>
        <w:t>（五）增补计划</w:t>
      </w:r>
    </w:p>
    <w:p>
      <w:pPr>
        <w:pStyle w:val="2"/>
        <w:spacing w:before="152" w:line="326" w:lineRule="auto"/>
        <w:ind w:right="735"/>
        <w:rPr>
          <w:b/>
          <w:bCs w:val="0"/>
          <w:color w:val="auto"/>
          <w:sz w:val="24"/>
          <w:szCs w:val="24"/>
        </w:rPr>
      </w:pPr>
      <w:r>
        <w:rPr>
          <w:b/>
          <w:bCs w:val="0"/>
          <w:color w:val="auto"/>
          <w:sz w:val="24"/>
          <w:szCs w:val="24"/>
        </w:rPr>
        <w:t>1、施工单位因工程变更等特殊原因需增补材料计划时， 需要总监办确认的计划依据，整套手续要完备，并且根据材料能否按其需求时间到货给予明确回复。</w:t>
      </w:r>
    </w:p>
    <w:p>
      <w:pPr>
        <w:pStyle w:val="2"/>
        <w:spacing w:before="7" w:line="326" w:lineRule="auto"/>
        <w:ind w:right="937"/>
        <w:rPr>
          <w:b/>
          <w:bCs w:val="0"/>
          <w:color w:val="auto"/>
          <w:sz w:val="24"/>
          <w:szCs w:val="24"/>
        </w:rPr>
      </w:pPr>
      <w:r>
        <w:rPr>
          <w:b/>
          <w:bCs w:val="0"/>
          <w:color w:val="auto"/>
          <w:sz w:val="24"/>
          <w:szCs w:val="24"/>
        </w:rPr>
        <w:t>2</w:t>
      </w:r>
      <w:r>
        <w:rPr>
          <w:b/>
          <w:bCs w:val="0"/>
          <w:color w:val="auto"/>
          <w:spacing w:val="-14"/>
          <w:sz w:val="24"/>
          <w:szCs w:val="24"/>
        </w:rPr>
        <w:t xml:space="preserve">、在整个甲供管理过程中，严格把控计划的真实程度， </w:t>
      </w:r>
      <w:r>
        <w:rPr>
          <w:b/>
          <w:bCs w:val="0"/>
          <w:color w:val="auto"/>
          <w:sz w:val="24"/>
          <w:szCs w:val="24"/>
        </w:rPr>
        <w:t>把增补计划的范围压到最小。</w:t>
      </w:r>
    </w:p>
    <w:p>
      <w:pPr>
        <w:pStyle w:val="3"/>
        <w:tabs>
          <w:tab w:val="left" w:pos="2372"/>
        </w:tabs>
        <w:spacing w:line="486" w:lineRule="exact"/>
        <w:rPr>
          <w:b/>
          <w:bCs w:val="0"/>
          <w:color w:val="auto"/>
          <w:sz w:val="24"/>
          <w:szCs w:val="24"/>
        </w:rPr>
      </w:pPr>
      <w:r>
        <w:rPr>
          <w:b/>
          <w:bCs w:val="0"/>
          <w:color w:val="auto"/>
          <w:sz w:val="24"/>
          <w:szCs w:val="24"/>
        </w:rPr>
        <w:t>第十三条</w:t>
      </w:r>
      <w:r>
        <w:rPr>
          <w:b/>
          <w:bCs w:val="0"/>
          <w:color w:val="auto"/>
          <w:sz w:val="24"/>
          <w:szCs w:val="24"/>
        </w:rPr>
        <w:tab/>
      </w:r>
      <w:r>
        <w:rPr>
          <w:b/>
          <w:bCs w:val="0"/>
          <w:color w:val="auto"/>
          <w:sz w:val="24"/>
          <w:szCs w:val="24"/>
        </w:rPr>
        <w:t>仓储管理</w:t>
      </w:r>
    </w:p>
    <w:p>
      <w:pPr>
        <w:pStyle w:val="2"/>
        <w:spacing w:before="79"/>
        <w:ind w:left="761" w:firstLine="0"/>
        <w:rPr>
          <w:b/>
          <w:bCs w:val="0"/>
          <w:color w:val="auto"/>
          <w:sz w:val="24"/>
          <w:szCs w:val="24"/>
        </w:rPr>
      </w:pPr>
      <w:r>
        <w:rPr>
          <w:b/>
          <w:bCs w:val="0"/>
          <w:color w:val="auto"/>
          <w:sz w:val="24"/>
          <w:szCs w:val="24"/>
        </w:rPr>
        <w:t>（一）仓储工作协调范围</w:t>
      </w:r>
    </w:p>
    <w:p>
      <w:pPr>
        <w:pStyle w:val="2"/>
        <w:spacing w:before="149" w:line="326" w:lineRule="auto"/>
        <w:ind w:right="778" w:firstLine="1281"/>
        <w:rPr>
          <w:b/>
          <w:bCs w:val="0"/>
          <w:color w:val="auto"/>
          <w:sz w:val="24"/>
          <w:szCs w:val="24"/>
        </w:rPr>
      </w:pPr>
      <w:r>
        <w:rPr>
          <w:b/>
          <w:bCs w:val="0"/>
          <w:color w:val="auto"/>
          <w:spacing w:val="-14"/>
          <w:sz w:val="24"/>
          <w:szCs w:val="24"/>
        </w:rPr>
        <w:t>仓储管理人员的协调范围：钢材供应商、运输单位、</w:t>
      </w:r>
      <w:r>
        <w:rPr>
          <w:b/>
          <w:bCs w:val="0"/>
          <w:color w:val="auto"/>
          <w:sz w:val="24"/>
          <w:szCs w:val="24"/>
        </w:rPr>
        <w:t>仓储单位、施工单位。</w:t>
      </w:r>
    </w:p>
    <w:p>
      <w:pPr>
        <w:pStyle w:val="2"/>
        <w:spacing w:before="6"/>
        <w:ind w:left="761" w:firstLine="0"/>
        <w:rPr>
          <w:b/>
          <w:bCs w:val="0"/>
          <w:color w:val="auto"/>
          <w:sz w:val="24"/>
          <w:szCs w:val="24"/>
        </w:rPr>
      </w:pPr>
      <w:r>
        <w:rPr>
          <w:b/>
          <w:bCs w:val="0"/>
          <w:color w:val="auto"/>
          <w:sz w:val="24"/>
          <w:szCs w:val="24"/>
        </w:rPr>
        <w:t>（二）基础准备工作</w:t>
      </w:r>
    </w:p>
    <w:p>
      <w:pPr>
        <w:pStyle w:val="2"/>
        <w:spacing w:before="149" w:line="328" w:lineRule="auto"/>
        <w:ind w:right="790" w:firstLine="1281"/>
        <w:rPr>
          <w:b/>
          <w:bCs w:val="0"/>
          <w:color w:val="auto"/>
          <w:sz w:val="24"/>
          <w:szCs w:val="24"/>
        </w:rPr>
      </w:pPr>
      <w:r>
        <w:rPr>
          <w:b/>
          <w:bCs w:val="0"/>
          <w:color w:val="auto"/>
          <w:sz w:val="24"/>
          <w:szCs w:val="24"/>
        </w:rPr>
        <w:t>1、材料项目部仓储管理人员掌握使用物资平台的技能，根据招标材料品牌规格数量信息、供应商信息、施工单位信息、运输单位车辆信息，在物资平台技术人员的协作</w:t>
      </w:r>
      <w:r>
        <w:rPr>
          <w:b/>
          <w:bCs w:val="0"/>
          <w:color w:val="auto"/>
          <w:w w:val="95"/>
          <w:sz w:val="24"/>
          <w:szCs w:val="24"/>
        </w:rPr>
        <w:t>下，录入基础数据，保证甲供材料工作启动后的正常运行。</w:t>
      </w:r>
    </w:p>
    <w:p>
      <w:pPr>
        <w:pStyle w:val="2"/>
        <w:spacing w:line="328" w:lineRule="auto"/>
        <w:ind w:right="935"/>
        <w:rPr>
          <w:b/>
          <w:bCs w:val="0"/>
          <w:color w:val="auto"/>
          <w:sz w:val="24"/>
          <w:szCs w:val="24"/>
        </w:rPr>
      </w:pPr>
      <w:r>
        <w:rPr>
          <w:b/>
          <w:bCs w:val="0"/>
          <w:color w:val="auto"/>
          <w:sz w:val="24"/>
          <w:szCs w:val="24"/>
        </w:rPr>
        <w:t>2</w:t>
      </w:r>
      <w:r>
        <w:rPr>
          <w:b/>
          <w:bCs w:val="0"/>
          <w:color w:val="auto"/>
          <w:spacing w:val="-22"/>
          <w:sz w:val="24"/>
          <w:szCs w:val="24"/>
        </w:rPr>
        <w:t>、根据供应商包件情况，建立完整的进销存台账</w:t>
      </w:r>
      <w:r>
        <w:rPr>
          <w:b/>
          <w:bCs w:val="0"/>
          <w:color w:val="auto"/>
          <w:sz w:val="24"/>
          <w:szCs w:val="24"/>
        </w:rPr>
        <w:t>（Excel 表格、纸质账本）</w:t>
      </w:r>
      <w:r>
        <w:rPr>
          <w:b/>
          <w:bCs w:val="0"/>
          <w:color w:val="auto"/>
          <w:spacing w:val="-13"/>
          <w:sz w:val="24"/>
          <w:szCs w:val="24"/>
        </w:rPr>
        <w:t xml:space="preserve">，同时准备 </w:t>
      </w:r>
      <w:r>
        <w:rPr>
          <w:b/>
          <w:bCs w:val="0"/>
          <w:color w:val="auto"/>
          <w:sz w:val="24"/>
          <w:szCs w:val="24"/>
        </w:rPr>
        <w:t>U</w:t>
      </w:r>
      <w:r>
        <w:rPr>
          <w:b/>
          <w:bCs w:val="0"/>
          <w:color w:val="auto"/>
          <w:spacing w:val="-10"/>
          <w:sz w:val="24"/>
          <w:szCs w:val="24"/>
        </w:rPr>
        <w:t xml:space="preserve"> 盘，随时备份数据。</w:t>
      </w:r>
    </w:p>
    <w:p>
      <w:pPr>
        <w:spacing w:after="0" w:line="328" w:lineRule="auto"/>
        <w:rPr>
          <w:b/>
          <w:bCs w:val="0"/>
          <w:color w:val="auto"/>
          <w:sz w:val="24"/>
          <w:szCs w:val="24"/>
        </w:rPr>
        <w:sectPr>
          <w:pgSz w:w="11910" w:h="16840"/>
          <w:pgMar w:top="1520" w:right="860" w:bottom="1160" w:left="1680" w:header="0" w:footer="975" w:gutter="0"/>
          <w:pgNumType w:fmt="decimal"/>
        </w:sectPr>
      </w:pPr>
    </w:p>
    <w:p>
      <w:pPr>
        <w:pStyle w:val="2"/>
        <w:spacing w:before="30"/>
        <w:ind w:left="761" w:firstLine="0"/>
        <w:rPr>
          <w:b/>
          <w:bCs w:val="0"/>
          <w:color w:val="auto"/>
          <w:sz w:val="24"/>
          <w:szCs w:val="24"/>
        </w:rPr>
      </w:pPr>
      <w:r>
        <w:rPr>
          <w:b/>
          <w:bCs w:val="0"/>
          <w:color w:val="auto"/>
          <w:sz w:val="24"/>
          <w:szCs w:val="24"/>
        </w:rPr>
        <w:t>（三）采购计划预报追踪</w:t>
      </w:r>
    </w:p>
    <w:p>
      <w:pPr>
        <w:pStyle w:val="2"/>
        <w:spacing w:before="150" w:line="328" w:lineRule="auto"/>
        <w:ind w:right="895"/>
        <w:rPr>
          <w:b/>
          <w:bCs w:val="0"/>
          <w:color w:val="auto"/>
          <w:sz w:val="24"/>
          <w:szCs w:val="24"/>
        </w:rPr>
      </w:pPr>
      <w:r>
        <w:rPr>
          <w:b/>
          <w:bCs w:val="0"/>
          <w:color w:val="auto"/>
          <w:sz w:val="24"/>
          <w:szCs w:val="24"/>
        </w:rPr>
        <w:t>1、在材料项目部给供应商发布月度采购计划后，仓储管理人员可从平台查询，掌握计划数量与到货时间，做好收货准备。</w:t>
      </w:r>
    </w:p>
    <w:p>
      <w:pPr>
        <w:pStyle w:val="2"/>
        <w:spacing w:line="328" w:lineRule="auto"/>
        <w:ind w:right="1085"/>
        <w:rPr>
          <w:b/>
          <w:bCs w:val="0"/>
          <w:color w:val="auto"/>
          <w:sz w:val="24"/>
          <w:szCs w:val="24"/>
        </w:rPr>
      </w:pPr>
      <w:r>
        <w:rPr>
          <w:b/>
          <w:bCs w:val="0"/>
          <w:color w:val="auto"/>
          <w:sz w:val="24"/>
          <w:szCs w:val="24"/>
        </w:rPr>
        <w:t>2、催促供应商的发车预报，及时通知仓储单位做好到货卸车准备。</w:t>
      </w:r>
    </w:p>
    <w:p>
      <w:pPr>
        <w:pStyle w:val="2"/>
        <w:spacing w:line="407" w:lineRule="exact"/>
        <w:ind w:left="761" w:firstLine="0"/>
        <w:rPr>
          <w:b/>
          <w:bCs w:val="0"/>
          <w:color w:val="auto"/>
          <w:sz w:val="24"/>
          <w:szCs w:val="24"/>
        </w:rPr>
      </w:pPr>
      <w:r>
        <w:rPr>
          <w:b/>
          <w:bCs w:val="0"/>
          <w:color w:val="auto"/>
          <w:sz w:val="24"/>
          <w:szCs w:val="24"/>
        </w:rPr>
        <w:t>（四）材料验收入库管理流程</w:t>
      </w:r>
    </w:p>
    <w:p>
      <w:pPr>
        <w:pStyle w:val="2"/>
        <w:spacing w:before="144" w:line="328" w:lineRule="auto"/>
        <w:ind w:right="790"/>
        <w:rPr>
          <w:b/>
          <w:bCs w:val="0"/>
          <w:color w:val="auto"/>
          <w:sz w:val="24"/>
          <w:szCs w:val="24"/>
        </w:rPr>
      </w:pPr>
      <w:r>
        <w:rPr>
          <w:b/>
          <w:bCs w:val="0"/>
          <w:color w:val="auto"/>
          <w:sz w:val="24"/>
          <w:szCs w:val="24"/>
        </w:rPr>
        <w:t>1、验收基本要求：严格按照《招标文件》、《采购合同》、《备选品牌》规定的品牌、材质、规格收货；收货方</w:t>
      </w:r>
      <w:r>
        <w:rPr>
          <w:b/>
          <w:bCs w:val="0"/>
          <w:color w:val="auto"/>
          <w:w w:val="95"/>
          <w:sz w:val="24"/>
          <w:szCs w:val="24"/>
        </w:rPr>
        <w:t xml:space="preserve">式：螺纹钢、型钢、盘圆按磅重收货，钢绞线按吊牌收货， </w:t>
      </w:r>
      <w:r>
        <w:rPr>
          <w:b/>
          <w:bCs w:val="0"/>
          <w:color w:val="auto"/>
          <w:sz w:val="24"/>
          <w:szCs w:val="24"/>
        </w:rPr>
        <w:t>验收同时还需确定件数，双计量管理是基本原则。</w:t>
      </w:r>
    </w:p>
    <w:p>
      <w:pPr>
        <w:pStyle w:val="2"/>
        <w:spacing w:line="326" w:lineRule="auto"/>
        <w:ind w:right="895"/>
        <w:rPr>
          <w:b/>
          <w:bCs w:val="0"/>
          <w:color w:val="auto"/>
          <w:sz w:val="24"/>
          <w:szCs w:val="24"/>
        </w:rPr>
      </w:pPr>
      <w:r>
        <w:rPr>
          <w:b/>
          <w:bCs w:val="0"/>
          <w:color w:val="auto"/>
          <w:sz w:val="24"/>
          <w:szCs w:val="24"/>
        </w:rPr>
        <w:t>2、材料到场后的堆放要求：按不同品牌、不同规格、不同材质分别堆放，不能混堆，严格按《仓储合同》条款要求执行。</w:t>
      </w:r>
    </w:p>
    <w:p>
      <w:pPr>
        <w:pStyle w:val="2"/>
        <w:spacing w:before="3" w:line="326" w:lineRule="auto"/>
        <w:ind w:right="1085"/>
        <w:rPr>
          <w:b/>
          <w:bCs w:val="0"/>
          <w:color w:val="auto"/>
          <w:sz w:val="24"/>
          <w:szCs w:val="24"/>
        </w:rPr>
      </w:pPr>
      <w:r>
        <w:rPr>
          <w:b/>
          <w:bCs w:val="0"/>
          <w:color w:val="auto"/>
          <w:sz w:val="24"/>
          <w:szCs w:val="24"/>
        </w:rPr>
        <w:t>3、入库前的外观质量验定：包装完好、无锈蚀、无弯曲、无污垢，材料吊牌信息与质保书信息对应无误。</w:t>
      </w:r>
    </w:p>
    <w:p>
      <w:pPr>
        <w:pStyle w:val="2"/>
        <w:spacing w:before="3" w:line="328" w:lineRule="auto"/>
        <w:ind w:right="1085"/>
        <w:rPr>
          <w:b/>
          <w:bCs w:val="0"/>
          <w:color w:val="auto"/>
          <w:sz w:val="24"/>
          <w:szCs w:val="24"/>
        </w:rPr>
      </w:pPr>
      <w:r>
        <w:rPr>
          <w:b/>
          <w:bCs w:val="0"/>
          <w:color w:val="auto"/>
          <w:sz w:val="24"/>
          <w:szCs w:val="24"/>
        </w:rPr>
        <w:t>4、根据月度采购计划包件、数量、材质、规格进行验收，超过计划要求的到货时间，可拒绝收货。</w:t>
      </w:r>
    </w:p>
    <w:p>
      <w:pPr>
        <w:pStyle w:val="2"/>
        <w:spacing w:line="328" w:lineRule="auto"/>
        <w:ind w:right="780"/>
        <w:rPr>
          <w:b/>
          <w:bCs w:val="0"/>
          <w:color w:val="auto"/>
          <w:sz w:val="24"/>
          <w:szCs w:val="24"/>
        </w:rPr>
      </w:pPr>
      <w:r>
        <w:rPr>
          <w:b/>
          <w:bCs w:val="0"/>
          <w:color w:val="auto"/>
          <w:sz w:val="24"/>
          <w:szCs w:val="24"/>
        </w:rPr>
        <w:t>5、材料项目部与供应商、仓储方确认到场材料没有任</w:t>
      </w:r>
      <w:r>
        <w:rPr>
          <w:b/>
          <w:bCs w:val="0"/>
          <w:color w:val="auto"/>
          <w:spacing w:val="-15"/>
          <w:sz w:val="24"/>
          <w:szCs w:val="24"/>
        </w:rPr>
        <w:t xml:space="preserve">何异议后，方能办理入库验收单，入库验收单三方签字确认， </w:t>
      </w:r>
      <w:r>
        <w:rPr>
          <w:b/>
          <w:bCs w:val="0"/>
          <w:color w:val="auto"/>
          <w:sz w:val="24"/>
          <w:szCs w:val="24"/>
        </w:rPr>
        <w:t>数量和件数双单位计量必须明确无误。</w:t>
      </w:r>
    </w:p>
    <w:p>
      <w:pPr>
        <w:pStyle w:val="2"/>
        <w:spacing w:line="328" w:lineRule="auto"/>
        <w:ind w:right="1004"/>
        <w:jc w:val="both"/>
        <w:rPr>
          <w:b/>
          <w:bCs w:val="0"/>
          <w:color w:val="auto"/>
          <w:sz w:val="24"/>
          <w:szCs w:val="24"/>
        </w:rPr>
      </w:pPr>
      <w:r>
        <w:rPr>
          <w:b/>
          <w:bCs w:val="0"/>
          <w:color w:val="auto"/>
          <w:sz w:val="24"/>
          <w:szCs w:val="24"/>
        </w:rPr>
        <w:t>6、材料项目部仓储管理员根据入库验收单完成上账工作，同时做好平台录入、Excel</w:t>
      </w:r>
      <w:r>
        <w:rPr>
          <w:b/>
          <w:bCs w:val="0"/>
          <w:color w:val="auto"/>
          <w:spacing w:val="-11"/>
          <w:sz w:val="24"/>
          <w:szCs w:val="24"/>
        </w:rPr>
        <w:t xml:space="preserve"> 表格录入、纸质账本录入， </w:t>
      </w:r>
      <w:r>
        <w:rPr>
          <w:b/>
          <w:bCs w:val="0"/>
          <w:color w:val="auto"/>
          <w:sz w:val="24"/>
          <w:szCs w:val="24"/>
        </w:rPr>
        <w:t>三套账务数据完整统一。</w:t>
      </w:r>
    </w:p>
    <w:p>
      <w:pPr>
        <w:spacing w:after="0" w:line="328" w:lineRule="auto"/>
        <w:jc w:val="both"/>
        <w:rPr>
          <w:b/>
          <w:bCs w:val="0"/>
          <w:color w:val="auto"/>
          <w:sz w:val="24"/>
          <w:szCs w:val="24"/>
        </w:rPr>
        <w:sectPr>
          <w:pgSz w:w="11910" w:h="16840"/>
          <w:pgMar w:top="1520" w:right="860" w:bottom="1160" w:left="1680" w:header="0" w:footer="975" w:gutter="0"/>
          <w:pgNumType w:fmt="decimal"/>
        </w:sectPr>
      </w:pPr>
    </w:p>
    <w:p>
      <w:pPr>
        <w:pStyle w:val="2"/>
        <w:spacing w:before="30"/>
        <w:ind w:left="761" w:firstLine="0"/>
        <w:rPr>
          <w:b/>
          <w:bCs w:val="0"/>
          <w:color w:val="auto"/>
          <w:sz w:val="24"/>
          <w:szCs w:val="24"/>
        </w:rPr>
      </w:pPr>
      <w:r>
        <w:rPr>
          <w:b/>
          <w:bCs w:val="0"/>
          <w:color w:val="auto"/>
          <w:sz w:val="24"/>
          <w:szCs w:val="24"/>
        </w:rPr>
        <w:t>（五）材料出库管理流程</w:t>
      </w:r>
    </w:p>
    <w:p>
      <w:pPr>
        <w:pStyle w:val="2"/>
        <w:spacing w:before="150" w:line="328" w:lineRule="auto"/>
        <w:ind w:right="895"/>
        <w:rPr>
          <w:b/>
          <w:bCs w:val="0"/>
          <w:color w:val="auto"/>
          <w:sz w:val="24"/>
          <w:szCs w:val="24"/>
        </w:rPr>
      </w:pPr>
      <w:r>
        <w:rPr>
          <w:b/>
          <w:bCs w:val="0"/>
          <w:color w:val="auto"/>
          <w:sz w:val="24"/>
          <w:szCs w:val="24"/>
        </w:rPr>
        <w:t>1、发货方式：螺纹钢、型钢按理计出库，盘圆按磅重出货，钢绞线按吊牌出货，出库同时需确定件数，双计量管理是基本原则。</w:t>
      </w:r>
    </w:p>
    <w:p>
      <w:pPr>
        <w:pStyle w:val="2"/>
        <w:spacing w:line="328" w:lineRule="auto"/>
        <w:ind w:right="894"/>
        <w:rPr>
          <w:b/>
          <w:bCs w:val="0"/>
          <w:color w:val="auto"/>
          <w:sz w:val="24"/>
          <w:szCs w:val="24"/>
        </w:rPr>
      </w:pPr>
      <w:r>
        <w:rPr>
          <w:b/>
          <w:bCs w:val="0"/>
          <w:color w:val="auto"/>
          <w:sz w:val="24"/>
          <w:szCs w:val="24"/>
        </w:rPr>
        <w:t>2、根据施工单位月度需求计划与具体到货时间和到货地点，按钢材短途运输包件编制出库配送调度表，与运输方共同进行车辆的合理调配，在配送工作中严格按施工单位需求计划足量配送。</w:t>
      </w:r>
    </w:p>
    <w:p>
      <w:pPr>
        <w:pStyle w:val="2"/>
        <w:spacing w:line="326" w:lineRule="auto"/>
        <w:ind w:right="895"/>
        <w:rPr>
          <w:b/>
          <w:bCs w:val="0"/>
          <w:color w:val="auto"/>
          <w:sz w:val="24"/>
          <w:szCs w:val="24"/>
        </w:rPr>
      </w:pPr>
      <w:r>
        <w:rPr>
          <w:b/>
          <w:bCs w:val="0"/>
          <w:color w:val="auto"/>
          <w:sz w:val="24"/>
          <w:szCs w:val="24"/>
        </w:rPr>
        <w:t>3、配送调度工作完成后，通过平台开单，同时提交到仓储方的管理平台，发货单需三方签字确认，出库单数量和件数双单位计量必须明确无误。</w:t>
      </w:r>
    </w:p>
    <w:p>
      <w:pPr>
        <w:pStyle w:val="2"/>
        <w:spacing w:line="326" w:lineRule="auto"/>
        <w:ind w:right="1004"/>
        <w:jc w:val="both"/>
        <w:rPr>
          <w:b/>
          <w:bCs w:val="0"/>
          <w:color w:val="auto"/>
          <w:sz w:val="24"/>
          <w:szCs w:val="24"/>
        </w:rPr>
      </w:pPr>
      <w:r>
        <w:rPr>
          <w:b/>
          <w:bCs w:val="0"/>
          <w:color w:val="auto"/>
          <w:sz w:val="24"/>
          <w:szCs w:val="24"/>
        </w:rPr>
        <w:t>4、材料项目部仓储管理员根据出库单完成下账工作， 同时做好平台录入、Excel</w:t>
      </w:r>
      <w:r>
        <w:rPr>
          <w:b/>
          <w:bCs w:val="0"/>
          <w:color w:val="auto"/>
          <w:spacing w:val="-11"/>
          <w:sz w:val="24"/>
          <w:szCs w:val="24"/>
        </w:rPr>
        <w:t xml:space="preserve"> 表格录入、纸质账本录入，三套</w:t>
      </w:r>
      <w:r>
        <w:rPr>
          <w:b/>
          <w:bCs w:val="0"/>
          <w:color w:val="auto"/>
          <w:sz w:val="24"/>
          <w:szCs w:val="24"/>
        </w:rPr>
        <w:t>账务出库数据完整统一。</w:t>
      </w:r>
    </w:p>
    <w:p>
      <w:pPr>
        <w:pStyle w:val="2"/>
        <w:spacing w:before="5"/>
        <w:ind w:left="761" w:firstLine="0"/>
        <w:rPr>
          <w:b/>
          <w:bCs w:val="0"/>
          <w:color w:val="auto"/>
          <w:sz w:val="24"/>
          <w:szCs w:val="24"/>
        </w:rPr>
      </w:pPr>
      <w:r>
        <w:rPr>
          <w:b/>
          <w:bCs w:val="0"/>
          <w:color w:val="auto"/>
          <w:sz w:val="24"/>
          <w:szCs w:val="24"/>
        </w:rPr>
        <w:t>（六）货场巡查</w:t>
      </w:r>
    </w:p>
    <w:p>
      <w:pPr>
        <w:pStyle w:val="2"/>
        <w:spacing w:before="149" w:line="326" w:lineRule="auto"/>
        <w:ind w:right="1085"/>
        <w:rPr>
          <w:b/>
          <w:bCs w:val="0"/>
          <w:color w:val="auto"/>
          <w:sz w:val="24"/>
          <w:szCs w:val="24"/>
        </w:rPr>
      </w:pPr>
      <w:r>
        <w:rPr>
          <w:b/>
          <w:bCs w:val="0"/>
          <w:color w:val="auto"/>
          <w:sz w:val="24"/>
          <w:szCs w:val="24"/>
        </w:rPr>
        <w:t>1、材料项目部仓储管理人员每天必须到货场巡查，掌握库存材料的动态变化以及有无异常情况。</w:t>
      </w:r>
    </w:p>
    <w:p>
      <w:pPr>
        <w:pStyle w:val="2"/>
        <w:spacing w:before="6" w:line="326" w:lineRule="auto"/>
        <w:ind w:right="1085"/>
        <w:rPr>
          <w:b/>
          <w:bCs w:val="0"/>
          <w:color w:val="auto"/>
          <w:sz w:val="24"/>
          <w:szCs w:val="24"/>
        </w:rPr>
      </w:pPr>
      <w:r>
        <w:rPr>
          <w:b/>
          <w:bCs w:val="0"/>
          <w:color w:val="auto"/>
          <w:sz w:val="24"/>
          <w:szCs w:val="24"/>
        </w:rPr>
        <w:t>2、在配送调度过程中，应根据材料进货时间顺序做好合理的出库调配。</w:t>
      </w:r>
    </w:p>
    <w:p>
      <w:pPr>
        <w:pStyle w:val="2"/>
        <w:spacing w:before="3" w:line="328" w:lineRule="auto"/>
        <w:ind w:right="1085"/>
        <w:rPr>
          <w:b/>
          <w:bCs w:val="0"/>
          <w:color w:val="auto"/>
          <w:sz w:val="24"/>
          <w:szCs w:val="24"/>
        </w:rPr>
      </w:pPr>
      <w:r>
        <w:rPr>
          <w:b/>
          <w:bCs w:val="0"/>
          <w:color w:val="auto"/>
          <w:sz w:val="24"/>
          <w:szCs w:val="24"/>
        </w:rPr>
        <w:t>3、密切与仓储方协调沟通，提高材料批量换位率，减小材料早期批号的存放时间，避免材料锈蚀的产生。</w:t>
      </w:r>
    </w:p>
    <w:p>
      <w:pPr>
        <w:pStyle w:val="2"/>
        <w:spacing w:line="408" w:lineRule="exact"/>
        <w:ind w:left="761" w:firstLine="0"/>
        <w:rPr>
          <w:b/>
          <w:bCs w:val="0"/>
          <w:color w:val="auto"/>
          <w:sz w:val="24"/>
          <w:szCs w:val="24"/>
        </w:rPr>
      </w:pPr>
      <w:r>
        <w:rPr>
          <w:b/>
          <w:bCs w:val="0"/>
          <w:color w:val="auto"/>
          <w:sz w:val="24"/>
          <w:szCs w:val="24"/>
        </w:rPr>
        <w:t>（七）进销存盘点流程</w:t>
      </w:r>
    </w:p>
    <w:p>
      <w:pPr>
        <w:pStyle w:val="2"/>
        <w:spacing w:before="149" w:line="328" w:lineRule="auto"/>
        <w:ind w:right="895"/>
        <w:rPr>
          <w:b/>
          <w:bCs w:val="0"/>
          <w:color w:val="auto"/>
          <w:sz w:val="24"/>
          <w:szCs w:val="24"/>
        </w:rPr>
      </w:pPr>
      <w:r>
        <w:rPr>
          <w:b/>
          <w:bCs w:val="0"/>
          <w:color w:val="auto"/>
          <w:sz w:val="24"/>
          <w:szCs w:val="24"/>
        </w:rPr>
        <w:t>1、盘点的组织架构：物流集团分管领导、物流集团甲供材料经营管理部、审计部、财务部、纪检监察部、材料项</w:t>
      </w:r>
    </w:p>
    <w:p>
      <w:pPr>
        <w:spacing w:after="0" w:line="328" w:lineRule="auto"/>
        <w:rPr>
          <w:b/>
          <w:bCs w:val="0"/>
          <w:color w:val="auto"/>
          <w:sz w:val="24"/>
          <w:szCs w:val="24"/>
        </w:rPr>
        <w:sectPr>
          <w:pgSz w:w="11910" w:h="16840"/>
          <w:pgMar w:top="1520" w:right="860" w:bottom="1160" w:left="1680" w:header="0" w:footer="975" w:gutter="0"/>
          <w:pgNumType w:fmt="decimal"/>
        </w:sectPr>
      </w:pPr>
    </w:p>
    <w:p>
      <w:pPr>
        <w:pStyle w:val="2"/>
        <w:spacing w:before="30" w:line="326" w:lineRule="auto"/>
        <w:ind w:right="894" w:firstLine="0"/>
        <w:rPr>
          <w:b/>
          <w:bCs w:val="0"/>
          <w:color w:val="auto"/>
          <w:sz w:val="24"/>
          <w:szCs w:val="24"/>
        </w:rPr>
      </w:pPr>
      <w:r>
        <w:rPr>
          <w:b/>
          <w:bCs w:val="0"/>
          <w:color w:val="auto"/>
          <w:sz w:val="24"/>
          <w:szCs w:val="24"/>
        </w:rPr>
        <w:t>目部。在各部门的全程监控下完成盘点工作，监盘人员需在盘点表上签字确认盘点结果。</w:t>
      </w:r>
    </w:p>
    <w:p>
      <w:pPr>
        <w:pStyle w:val="2"/>
        <w:spacing w:before="6" w:line="328" w:lineRule="auto"/>
        <w:ind w:right="895"/>
        <w:rPr>
          <w:b/>
          <w:bCs w:val="0"/>
          <w:color w:val="auto"/>
          <w:sz w:val="24"/>
          <w:szCs w:val="24"/>
        </w:rPr>
      </w:pPr>
      <w:r>
        <w:rPr>
          <w:b/>
          <w:bCs w:val="0"/>
          <w:color w:val="auto"/>
          <w:sz w:val="24"/>
          <w:szCs w:val="24"/>
        </w:rPr>
        <w:t>2、盘点的周期与时间：盘点分月度盘点、季度盘点、半年盘点、年度盘点。月度盘点时间在月度工作完结后次月处进行，季度盘点时间在季度工作完结后次季度初进行，半年盘点在 7 月初进行，年度盘点在次年 1 月初进行。</w:t>
      </w:r>
    </w:p>
    <w:p>
      <w:pPr>
        <w:pStyle w:val="2"/>
        <w:spacing w:line="328" w:lineRule="auto"/>
        <w:ind w:right="938"/>
        <w:rPr>
          <w:b/>
          <w:bCs w:val="0"/>
          <w:color w:val="auto"/>
          <w:sz w:val="24"/>
          <w:szCs w:val="24"/>
        </w:rPr>
      </w:pPr>
      <w:r>
        <w:rPr>
          <w:b/>
          <w:bCs w:val="0"/>
          <w:color w:val="auto"/>
          <w:sz w:val="24"/>
          <w:szCs w:val="24"/>
        </w:rPr>
        <w:t>3、盘点基础数据：通过材料采购与供应的过程，产生</w:t>
      </w:r>
      <w:r>
        <w:rPr>
          <w:b/>
          <w:bCs w:val="0"/>
          <w:color w:val="auto"/>
          <w:spacing w:val="-3"/>
          <w:sz w:val="24"/>
          <w:szCs w:val="24"/>
        </w:rPr>
        <w:t>进销存基础数据，甲供材料基础数据包含供应商各包件的采</w:t>
      </w:r>
      <w:r>
        <w:rPr>
          <w:b/>
          <w:bCs w:val="0"/>
          <w:color w:val="auto"/>
          <w:spacing w:val="-4"/>
          <w:sz w:val="24"/>
          <w:szCs w:val="24"/>
        </w:rPr>
        <w:t>购实收数据、各施工单位的需求实发数据、各运输方的运量</w:t>
      </w:r>
      <w:r>
        <w:rPr>
          <w:b/>
          <w:bCs w:val="0"/>
          <w:color w:val="auto"/>
          <w:spacing w:val="-21"/>
          <w:sz w:val="24"/>
          <w:szCs w:val="24"/>
        </w:rPr>
        <w:t>数据、库存余量数据。提供盘点的基础数据必须完整、准确、</w:t>
      </w:r>
      <w:r>
        <w:rPr>
          <w:b/>
          <w:bCs w:val="0"/>
          <w:color w:val="auto"/>
          <w:sz w:val="24"/>
          <w:szCs w:val="24"/>
        </w:rPr>
        <w:t>真实、有效。</w:t>
      </w:r>
    </w:p>
    <w:p>
      <w:pPr>
        <w:pStyle w:val="2"/>
        <w:spacing w:line="326" w:lineRule="auto"/>
        <w:ind w:right="895"/>
        <w:rPr>
          <w:b/>
          <w:bCs w:val="0"/>
          <w:color w:val="auto"/>
          <w:sz w:val="24"/>
          <w:szCs w:val="24"/>
        </w:rPr>
      </w:pPr>
      <w:r>
        <w:rPr>
          <w:b/>
          <w:bCs w:val="0"/>
          <w:color w:val="auto"/>
          <w:sz w:val="24"/>
          <w:szCs w:val="24"/>
        </w:rPr>
        <w:t>4、进销存盘点表编制要求：根据采购包件入库、供应出库、材料结存真实有效数据编制，月度、季度、半年、年度盘点表之间应有勾稽关系。</w:t>
      </w:r>
    </w:p>
    <w:p>
      <w:pPr>
        <w:pStyle w:val="2"/>
        <w:spacing w:line="326" w:lineRule="auto"/>
        <w:ind w:right="1085"/>
        <w:rPr>
          <w:b/>
          <w:bCs w:val="0"/>
          <w:color w:val="auto"/>
          <w:sz w:val="24"/>
          <w:szCs w:val="24"/>
        </w:rPr>
      </w:pPr>
      <w:r>
        <w:rPr>
          <w:b/>
          <w:bCs w:val="0"/>
          <w:color w:val="auto"/>
          <w:sz w:val="24"/>
          <w:szCs w:val="24"/>
        </w:rPr>
        <w:t>5、监盘人员根据材料项目部提供的盘点表、纸质账、相关单据、平台数据对实物进行核查，无误后签字确认。</w:t>
      </w:r>
    </w:p>
    <w:p>
      <w:pPr>
        <w:pStyle w:val="2"/>
        <w:ind w:left="761" w:firstLine="0"/>
        <w:rPr>
          <w:b/>
          <w:bCs w:val="0"/>
          <w:color w:val="auto"/>
          <w:sz w:val="24"/>
          <w:szCs w:val="24"/>
        </w:rPr>
      </w:pPr>
      <w:r>
        <w:rPr>
          <w:b/>
          <w:bCs w:val="0"/>
          <w:color w:val="auto"/>
          <w:sz w:val="24"/>
          <w:szCs w:val="24"/>
        </w:rPr>
        <w:t>（八）盘点表具体要求</w:t>
      </w:r>
    </w:p>
    <w:p>
      <w:pPr>
        <w:pStyle w:val="2"/>
        <w:spacing w:before="148" w:line="326" w:lineRule="auto"/>
        <w:ind w:right="936"/>
        <w:rPr>
          <w:b/>
          <w:bCs w:val="0"/>
          <w:color w:val="auto"/>
          <w:sz w:val="24"/>
          <w:szCs w:val="24"/>
        </w:rPr>
      </w:pPr>
      <w:r>
        <w:rPr>
          <w:b/>
          <w:bCs w:val="0"/>
          <w:color w:val="auto"/>
          <w:sz w:val="24"/>
          <w:szCs w:val="24"/>
        </w:rPr>
        <w:t>1、材料项目部进销存阶段工作完结后，需统计编制完</w:t>
      </w:r>
      <w:r>
        <w:rPr>
          <w:b/>
          <w:bCs w:val="0"/>
          <w:color w:val="auto"/>
          <w:spacing w:val="-11"/>
          <w:sz w:val="24"/>
          <w:szCs w:val="24"/>
        </w:rPr>
        <w:t>成反应不同数据结果的报表:《进销存明细盘点表</w:t>
      </w:r>
      <w:r>
        <w:rPr>
          <w:b/>
          <w:bCs w:val="0"/>
          <w:color w:val="auto"/>
          <w:spacing w:val="-279"/>
          <w:sz w:val="24"/>
          <w:szCs w:val="24"/>
        </w:rPr>
        <w:t>》</w:t>
      </w:r>
      <w:r>
        <w:rPr>
          <w:b/>
          <w:bCs w:val="0"/>
          <w:color w:val="auto"/>
          <w:sz w:val="24"/>
          <w:szCs w:val="24"/>
        </w:rPr>
        <w:t>（</w:t>
      </w:r>
      <w:r>
        <w:rPr>
          <w:b/>
          <w:bCs w:val="0"/>
          <w:color w:val="auto"/>
          <w:spacing w:val="-26"/>
          <w:sz w:val="24"/>
          <w:szCs w:val="24"/>
        </w:rPr>
        <w:t xml:space="preserve">附表 </w:t>
      </w:r>
      <w:r>
        <w:rPr>
          <w:b/>
          <w:bCs w:val="0"/>
          <w:color w:val="auto"/>
          <w:spacing w:val="-8"/>
          <w:sz w:val="24"/>
          <w:szCs w:val="24"/>
        </w:rPr>
        <w:t>1）</w:t>
      </w:r>
    </w:p>
    <w:p>
      <w:pPr>
        <w:pStyle w:val="2"/>
        <w:spacing w:before="3"/>
        <w:ind w:firstLine="0"/>
        <w:rPr>
          <w:b/>
          <w:bCs w:val="0"/>
          <w:color w:val="auto"/>
          <w:sz w:val="24"/>
          <w:szCs w:val="24"/>
        </w:rPr>
      </w:pPr>
      <w:r>
        <w:rPr>
          <w:b/>
          <w:bCs w:val="0"/>
          <w:color w:val="auto"/>
          <w:spacing w:val="-12"/>
          <w:sz w:val="24"/>
          <w:szCs w:val="24"/>
        </w:rPr>
        <w:t>《钢材盘盈统计表》</w:t>
      </w:r>
      <w:r>
        <w:rPr>
          <w:b/>
          <w:bCs w:val="0"/>
          <w:color w:val="auto"/>
          <w:sz w:val="24"/>
          <w:szCs w:val="24"/>
        </w:rPr>
        <w:t>（</w:t>
      </w:r>
      <w:r>
        <w:rPr>
          <w:b/>
          <w:bCs w:val="0"/>
          <w:color w:val="auto"/>
          <w:spacing w:val="-29"/>
          <w:sz w:val="24"/>
          <w:szCs w:val="24"/>
        </w:rPr>
        <w:t xml:space="preserve">附表 </w:t>
      </w:r>
      <w:r>
        <w:rPr>
          <w:b/>
          <w:bCs w:val="0"/>
          <w:color w:val="auto"/>
          <w:spacing w:val="-50"/>
          <w:sz w:val="24"/>
          <w:szCs w:val="24"/>
        </w:rPr>
        <w:t>2）</w:t>
      </w:r>
      <w:r>
        <w:rPr>
          <w:b/>
          <w:bCs w:val="0"/>
          <w:color w:val="auto"/>
          <w:spacing w:val="-8"/>
          <w:sz w:val="24"/>
          <w:szCs w:val="24"/>
        </w:rPr>
        <w:t>《盘圆、钢绞线盘点汇总表》</w:t>
      </w:r>
    </w:p>
    <w:p>
      <w:pPr>
        <w:tabs>
          <w:tab w:val="left" w:pos="2372"/>
        </w:tabs>
        <w:spacing w:before="152" w:line="266" w:lineRule="auto"/>
        <w:ind w:left="763" w:right="2683" w:hanging="644"/>
        <w:jc w:val="left"/>
        <w:rPr>
          <w:rFonts w:hint="eastAsia" w:ascii="Microsoft JhengHei" w:eastAsia="Microsoft JhengHei"/>
          <w:b/>
          <w:bCs w:val="0"/>
          <w:color w:val="auto"/>
          <w:sz w:val="24"/>
          <w:szCs w:val="24"/>
        </w:rPr>
      </w:pPr>
      <w:r>
        <w:rPr>
          <w:b/>
          <w:bCs w:val="0"/>
          <w:color w:val="auto"/>
          <w:sz w:val="24"/>
          <w:szCs w:val="24"/>
        </w:rPr>
        <w:t>（附表</w:t>
      </w:r>
      <w:r>
        <w:rPr>
          <w:b/>
          <w:bCs w:val="0"/>
          <w:color w:val="auto"/>
          <w:spacing w:val="-82"/>
          <w:sz w:val="24"/>
          <w:szCs w:val="24"/>
        </w:rPr>
        <w:t xml:space="preserve"> </w:t>
      </w:r>
      <w:r>
        <w:rPr>
          <w:b/>
          <w:bCs w:val="0"/>
          <w:color w:val="auto"/>
          <w:sz w:val="24"/>
          <w:szCs w:val="24"/>
        </w:rPr>
        <w:t>3）《进销存盘点汇总表》（附表</w:t>
      </w:r>
      <w:r>
        <w:rPr>
          <w:b/>
          <w:bCs w:val="0"/>
          <w:color w:val="auto"/>
          <w:spacing w:val="-82"/>
          <w:sz w:val="24"/>
          <w:szCs w:val="24"/>
        </w:rPr>
        <w:t xml:space="preserve"> </w:t>
      </w:r>
      <w:r>
        <w:rPr>
          <w:b/>
          <w:bCs w:val="0"/>
          <w:color w:val="auto"/>
          <w:sz w:val="24"/>
          <w:szCs w:val="24"/>
        </w:rPr>
        <w:t>4）</w:t>
      </w:r>
      <w:r>
        <w:rPr>
          <w:b/>
          <w:bCs w:val="0"/>
          <w:color w:val="auto"/>
          <w:spacing w:val="-12"/>
          <w:sz w:val="24"/>
          <w:szCs w:val="24"/>
        </w:rPr>
        <w:t>。</w:t>
      </w:r>
      <w:r>
        <w:rPr>
          <w:rFonts w:hint="eastAsia" w:ascii="Microsoft JhengHei" w:eastAsia="Microsoft JhengHei"/>
          <w:b/>
          <w:bCs w:val="0"/>
          <w:color w:val="auto"/>
          <w:sz w:val="24"/>
          <w:szCs w:val="24"/>
        </w:rPr>
        <w:t>第十四条</w:t>
      </w:r>
      <w:r>
        <w:rPr>
          <w:rFonts w:hint="eastAsia" w:ascii="Microsoft JhengHei" w:eastAsia="Microsoft JhengHei"/>
          <w:b/>
          <w:bCs w:val="0"/>
          <w:color w:val="auto"/>
          <w:sz w:val="24"/>
          <w:szCs w:val="24"/>
        </w:rPr>
        <w:tab/>
      </w:r>
      <w:r>
        <w:rPr>
          <w:rFonts w:hint="eastAsia" w:ascii="Microsoft JhengHei" w:eastAsia="Microsoft JhengHei"/>
          <w:b/>
          <w:bCs w:val="0"/>
          <w:color w:val="auto"/>
          <w:sz w:val="24"/>
          <w:szCs w:val="24"/>
        </w:rPr>
        <w:t>运距确认及配送</w:t>
      </w:r>
    </w:p>
    <w:p>
      <w:pPr>
        <w:pStyle w:val="2"/>
        <w:spacing w:before="10"/>
        <w:ind w:left="761" w:firstLine="0"/>
        <w:rPr>
          <w:b/>
          <w:bCs w:val="0"/>
          <w:color w:val="auto"/>
          <w:sz w:val="24"/>
          <w:szCs w:val="24"/>
        </w:rPr>
      </w:pPr>
      <w:r>
        <w:rPr>
          <w:b/>
          <w:bCs w:val="0"/>
          <w:color w:val="auto"/>
          <w:sz w:val="24"/>
          <w:szCs w:val="24"/>
        </w:rPr>
        <w:t>（一）钢材运距确认</w:t>
      </w:r>
    </w:p>
    <w:p>
      <w:pPr>
        <w:pStyle w:val="2"/>
        <w:spacing w:before="152"/>
        <w:ind w:left="761" w:firstLine="0"/>
        <w:rPr>
          <w:b/>
          <w:bCs w:val="0"/>
          <w:color w:val="auto"/>
          <w:sz w:val="24"/>
          <w:szCs w:val="24"/>
        </w:rPr>
      </w:pPr>
      <w:r>
        <w:rPr>
          <w:b/>
          <w:bCs w:val="0"/>
          <w:color w:val="auto"/>
          <w:sz w:val="24"/>
          <w:szCs w:val="24"/>
        </w:rPr>
        <w:t>1、材料项目部严格按《招标文件》要求组织相关部门</w:t>
      </w:r>
    </w:p>
    <w:p>
      <w:pPr>
        <w:spacing w:after="0"/>
        <w:rPr>
          <w:b/>
          <w:bCs w:val="0"/>
          <w:color w:val="auto"/>
          <w:sz w:val="24"/>
          <w:szCs w:val="24"/>
        </w:rPr>
        <w:sectPr>
          <w:pgSz w:w="11910" w:h="16840"/>
          <w:pgMar w:top="1520" w:right="860" w:bottom="1160" w:left="1680" w:header="0" w:footer="975" w:gutter="0"/>
          <w:pgNumType w:fmt="decimal"/>
        </w:sectPr>
      </w:pPr>
    </w:p>
    <w:p>
      <w:pPr>
        <w:pStyle w:val="2"/>
        <w:spacing w:before="30" w:line="328" w:lineRule="auto"/>
        <w:ind w:right="574" w:firstLine="0"/>
        <w:rPr>
          <w:b/>
          <w:bCs w:val="0"/>
          <w:color w:val="auto"/>
          <w:sz w:val="24"/>
          <w:szCs w:val="24"/>
        </w:rPr>
      </w:pPr>
      <w:r>
        <w:rPr>
          <w:b/>
          <w:bCs w:val="0"/>
          <w:color w:val="auto"/>
          <w:sz w:val="24"/>
          <w:szCs w:val="24"/>
        </w:rPr>
        <w:t>对钢材中转库至施工单位钢材卸货点的实际运距进行勘测， 确认运距后，按包件吨公里单价计算出每吨钢材的运输价格， 此单价是甲供钢材运费的结算依据。</w:t>
      </w:r>
    </w:p>
    <w:p>
      <w:pPr>
        <w:pStyle w:val="2"/>
        <w:spacing w:line="405" w:lineRule="exact"/>
        <w:ind w:left="761" w:firstLine="0"/>
        <w:rPr>
          <w:b/>
          <w:bCs w:val="0"/>
          <w:color w:val="auto"/>
          <w:sz w:val="24"/>
          <w:szCs w:val="24"/>
        </w:rPr>
      </w:pPr>
      <w:r>
        <w:rPr>
          <w:b/>
          <w:bCs w:val="0"/>
          <w:color w:val="auto"/>
          <w:sz w:val="24"/>
          <w:szCs w:val="24"/>
        </w:rPr>
        <w:t>2、运距勘测必须两台车以上。</w:t>
      </w:r>
    </w:p>
    <w:p>
      <w:pPr>
        <w:pStyle w:val="2"/>
        <w:spacing w:before="150" w:line="328" w:lineRule="auto"/>
        <w:ind w:right="1087"/>
        <w:rPr>
          <w:b/>
          <w:bCs w:val="0"/>
          <w:color w:val="auto"/>
          <w:sz w:val="24"/>
          <w:szCs w:val="24"/>
        </w:rPr>
      </w:pPr>
      <w:r>
        <w:rPr>
          <w:b/>
          <w:bCs w:val="0"/>
          <w:color w:val="auto"/>
          <w:sz w:val="24"/>
          <w:szCs w:val="24"/>
        </w:rPr>
        <w:t>3、最终勘测结果需材料项目部勘测人员、材料项目部主任、运输单位人员在运距勘测表上签字盖章确认。</w:t>
      </w:r>
    </w:p>
    <w:p>
      <w:pPr>
        <w:pStyle w:val="2"/>
        <w:spacing w:line="407" w:lineRule="exact"/>
        <w:ind w:left="540" w:firstLine="0"/>
        <w:rPr>
          <w:b/>
          <w:bCs w:val="0"/>
          <w:color w:val="auto"/>
          <w:sz w:val="24"/>
          <w:szCs w:val="24"/>
        </w:rPr>
      </w:pPr>
      <w:r>
        <w:rPr>
          <w:b/>
          <w:bCs w:val="0"/>
          <w:color w:val="auto"/>
          <w:sz w:val="24"/>
          <w:szCs w:val="24"/>
        </w:rPr>
        <w:t>（二）钢材配送</w:t>
      </w:r>
    </w:p>
    <w:p>
      <w:pPr>
        <w:pStyle w:val="2"/>
        <w:spacing w:before="150" w:line="328" w:lineRule="auto"/>
        <w:ind w:right="1085"/>
        <w:rPr>
          <w:b/>
          <w:bCs w:val="0"/>
          <w:color w:val="auto"/>
          <w:sz w:val="24"/>
          <w:szCs w:val="24"/>
        </w:rPr>
      </w:pPr>
      <w:r>
        <w:rPr>
          <w:b/>
          <w:bCs w:val="0"/>
          <w:color w:val="auto"/>
          <w:sz w:val="24"/>
          <w:szCs w:val="24"/>
        </w:rPr>
        <w:t>1、材料项目部根据施工单位需求计划安排对应包件钢材运输单位按《运输合同》要求完成配送任务。</w:t>
      </w:r>
    </w:p>
    <w:p>
      <w:pPr>
        <w:pStyle w:val="2"/>
        <w:spacing w:line="326" w:lineRule="auto"/>
        <w:ind w:right="1085"/>
        <w:rPr>
          <w:b/>
          <w:bCs w:val="0"/>
          <w:color w:val="auto"/>
          <w:sz w:val="24"/>
          <w:szCs w:val="24"/>
        </w:rPr>
      </w:pPr>
      <w:r>
        <w:rPr>
          <w:b/>
          <w:bCs w:val="0"/>
          <w:color w:val="auto"/>
          <w:sz w:val="24"/>
          <w:szCs w:val="24"/>
        </w:rPr>
        <w:t>2、预判与控制配送过程中可能出现的运力不足、道路安全、倒买倒卖等情况的发生。</w:t>
      </w:r>
    </w:p>
    <w:p>
      <w:pPr>
        <w:pStyle w:val="2"/>
        <w:spacing w:before="3"/>
        <w:ind w:left="540" w:firstLine="0"/>
        <w:rPr>
          <w:b/>
          <w:bCs w:val="0"/>
          <w:color w:val="auto"/>
          <w:sz w:val="24"/>
          <w:szCs w:val="24"/>
        </w:rPr>
      </w:pPr>
      <w:r>
        <w:rPr>
          <w:b/>
          <w:bCs w:val="0"/>
          <w:color w:val="auto"/>
          <w:sz w:val="24"/>
          <w:szCs w:val="24"/>
        </w:rPr>
        <w:t>（三）水泥配送</w:t>
      </w:r>
    </w:p>
    <w:p>
      <w:pPr>
        <w:pStyle w:val="2"/>
        <w:spacing w:before="149" w:line="326" w:lineRule="auto"/>
        <w:ind w:right="1087"/>
        <w:rPr>
          <w:b/>
          <w:bCs w:val="0"/>
          <w:color w:val="auto"/>
          <w:sz w:val="24"/>
          <w:szCs w:val="24"/>
        </w:rPr>
      </w:pPr>
      <w:r>
        <w:rPr>
          <w:b/>
          <w:bCs w:val="0"/>
          <w:color w:val="auto"/>
          <w:sz w:val="24"/>
          <w:szCs w:val="24"/>
        </w:rPr>
        <w:t>1、水泥配送由水泥供应商根据材料项目部发布的施工单位需求计划点对点直接配送。</w:t>
      </w:r>
    </w:p>
    <w:p>
      <w:pPr>
        <w:pStyle w:val="2"/>
        <w:spacing w:before="6"/>
        <w:ind w:left="761" w:firstLine="0"/>
        <w:rPr>
          <w:b/>
          <w:bCs w:val="0"/>
          <w:color w:val="auto"/>
          <w:sz w:val="24"/>
          <w:szCs w:val="24"/>
        </w:rPr>
      </w:pPr>
      <w:r>
        <w:rPr>
          <w:b/>
          <w:bCs w:val="0"/>
          <w:color w:val="auto"/>
          <w:sz w:val="24"/>
          <w:szCs w:val="24"/>
        </w:rPr>
        <w:t>2、材料项目部需对整个配送过程进行监管。</w:t>
      </w:r>
    </w:p>
    <w:p>
      <w:pPr>
        <w:pStyle w:val="2"/>
        <w:spacing w:before="149" w:line="326" w:lineRule="auto"/>
        <w:ind w:right="1085"/>
        <w:rPr>
          <w:b/>
          <w:bCs w:val="0"/>
          <w:color w:val="auto"/>
          <w:sz w:val="24"/>
          <w:szCs w:val="24"/>
        </w:rPr>
      </w:pPr>
      <w:r>
        <w:rPr>
          <w:b/>
          <w:bCs w:val="0"/>
          <w:color w:val="auto"/>
          <w:sz w:val="24"/>
          <w:szCs w:val="24"/>
        </w:rPr>
        <w:t>3、材料项目部必须监控供应商按计划配送时完成平台开单流程。</w:t>
      </w:r>
    </w:p>
    <w:p>
      <w:pPr>
        <w:pStyle w:val="3"/>
        <w:tabs>
          <w:tab w:val="left" w:pos="2372"/>
        </w:tabs>
        <w:spacing w:line="488" w:lineRule="exact"/>
        <w:rPr>
          <w:b/>
          <w:bCs w:val="0"/>
          <w:color w:val="auto"/>
          <w:sz w:val="24"/>
          <w:szCs w:val="24"/>
        </w:rPr>
      </w:pPr>
      <w:r>
        <w:rPr>
          <w:b/>
          <w:bCs w:val="0"/>
          <w:color w:val="auto"/>
          <w:sz w:val="24"/>
          <w:szCs w:val="24"/>
        </w:rPr>
        <w:t>第十五条</w:t>
      </w:r>
      <w:r>
        <w:rPr>
          <w:b/>
          <w:bCs w:val="0"/>
          <w:color w:val="auto"/>
          <w:sz w:val="24"/>
          <w:szCs w:val="24"/>
        </w:rPr>
        <w:tab/>
      </w:r>
      <w:r>
        <w:rPr>
          <w:b/>
          <w:bCs w:val="0"/>
          <w:color w:val="auto"/>
          <w:sz w:val="24"/>
          <w:szCs w:val="24"/>
        </w:rPr>
        <w:t>质量监控管理</w:t>
      </w:r>
    </w:p>
    <w:p>
      <w:pPr>
        <w:pStyle w:val="2"/>
        <w:spacing w:before="76"/>
        <w:ind w:left="761" w:firstLine="0"/>
        <w:rPr>
          <w:b/>
          <w:bCs w:val="0"/>
          <w:color w:val="auto"/>
          <w:sz w:val="24"/>
          <w:szCs w:val="24"/>
        </w:rPr>
      </w:pPr>
      <w:r>
        <w:rPr>
          <w:b/>
          <w:bCs w:val="0"/>
          <w:color w:val="auto"/>
          <w:sz w:val="24"/>
          <w:szCs w:val="24"/>
        </w:rPr>
        <w:t>（一）建立质量台账</w:t>
      </w:r>
    </w:p>
    <w:p>
      <w:pPr>
        <w:pStyle w:val="2"/>
        <w:spacing w:before="149" w:line="328" w:lineRule="auto"/>
        <w:ind w:right="895"/>
        <w:rPr>
          <w:b/>
          <w:bCs w:val="0"/>
          <w:color w:val="auto"/>
          <w:sz w:val="24"/>
          <w:szCs w:val="24"/>
        </w:rPr>
      </w:pPr>
      <w:r>
        <w:rPr>
          <w:b/>
          <w:bCs w:val="0"/>
          <w:color w:val="auto"/>
          <w:sz w:val="24"/>
          <w:szCs w:val="24"/>
        </w:rPr>
        <w:t>材料项目部需根据材料厂商、品牌、包件建立甲供材料质量台账，完善材料项目部质量监控体系。</w:t>
      </w:r>
    </w:p>
    <w:p>
      <w:pPr>
        <w:pStyle w:val="2"/>
        <w:spacing w:line="326" w:lineRule="auto"/>
        <w:ind w:left="761" w:right="5085" w:firstLine="0"/>
        <w:rPr>
          <w:b/>
          <w:bCs w:val="0"/>
          <w:color w:val="auto"/>
          <w:sz w:val="24"/>
          <w:szCs w:val="24"/>
        </w:rPr>
      </w:pPr>
      <w:r>
        <w:rPr>
          <w:b/>
          <w:bCs w:val="0"/>
          <w:color w:val="auto"/>
          <w:sz w:val="24"/>
          <w:szCs w:val="24"/>
        </w:rPr>
        <w:t>（二）甲供材料质量初检1、中标品牌水泥初检</w:t>
      </w:r>
    </w:p>
    <w:p>
      <w:pPr>
        <w:pStyle w:val="2"/>
        <w:spacing w:before="4"/>
        <w:ind w:left="761" w:firstLine="0"/>
        <w:rPr>
          <w:b/>
          <w:bCs w:val="0"/>
          <w:color w:val="auto"/>
          <w:sz w:val="24"/>
          <w:szCs w:val="24"/>
        </w:rPr>
      </w:pPr>
      <w:r>
        <w:rPr>
          <w:b/>
          <w:bCs w:val="0"/>
          <w:color w:val="auto"/>
          <w:sz w:val="24"/>
          <w:szCs w:val="24"/>
        </w:rPr>
        <w:t>在施工单位、驻地监理、中心试验室驻地建设和试验设</w:t>
      </w:r>
    </w:p>
    <w:p>
      <w:pPr>
        <w:spacing w:after="0"/>
        <w:rPr>
          <w:b/>
          <w:bCs w:val="0"/>
          <w:color w:val="auto"/>
          <w:sz w:val="24"/>
          <w:szCs w:val="24"/>
        </w:rPr>
        <w:sectPr>
          <w:pgSz w:w="11910" w:h="16840"/>
          <w:pgMar w:top="1520" w:right="860" w:bottom="1160" w:left="1680" w:header="0" w:footer="975" w:gutter="0"/>
          <w:pgNumType w:fmt="decimal"/>
        </w:sectPr>
      </w:pPr>
    </w:p>
    <w:p>
      <w:pPr>
        <w:pStyle w:val="2"/>
        <w:spacing w:before="30" w:line="328" w:lineRule="auto"/>
        <w:ind w:right="938" w:firstLine="0"/>
        <w:jc w:val="both"/>
        <w:rPr>
          <w:b/>
          <w:bCs w:val="0"/>
          <w:color w:val="auto"/>
          <w:sz w:val="24"/>
          <w:szCs w:val="24"/>
        </w:rPr>
      </w:pPr>
      <w:r>
        <w:rPr>
          <w:b/>
          <w:bCs w:val="0"/>
          <w:color w:val="auto"/>
          <w:spacing w:val="-4"/>
          <w:sz w:val="24"/>
          <w:szCs w:val="24"/>
        </w:rPr>
        <w:t>备完成后，由材料项目部通知水泥供应商按各标段对应的水</w:t>
      </w:r>
      <w:r>
        <w:rPr>
          <w:b/>
          <w:bCs w:val="0"/>
          <w:color w:val="auto"/>
          <w:spacing w:val="-3"/>
          <w:sz w:val="24"/>
          <w:szCs w:val="24"/>
        </w:rPr>
        <w:t>泥中标品牌无偿提供样品送到施工单位、驻地监理、中心试</w:t>
      </w:r>
      <w:r>
        <w:rPr>
          <w:b/>
          <w:bCs w:val="0"/>
          <w:color w:val="auto"/>
          <w:sz w:val="24"/>
          <w:szCs w:val="24"/>
        </w:rPr>
        <w:t>验室。</w:t>
      </w:r>
    </w:p>
    <w:p>
      <w:pPr>
        <w:pStyle w:val="2"/>
        <w:spacing w:line="405" w:lineRule="exact"/>
        <w:ind w:left="761" w:firstLine="0"/>
        <w:rPr>
          <w:b/>
          <w:bCs w:val="0"/>
          <w:color w:val="auto"/>
          <w:sz w:val="24"/>
          <w:szCs w:val="24"/>
        </w:rPr>
      </w:pPr>
      <w:r>
        <w:rPr>
          <w:b/>
          <w:bCs w:val="0"/>
          <w:color w:val="auto"/>
          <w:sz w:val="24"/>
          <w:szCs w:val="24"/>
        </w:rPr>
        <w:t>2、中标品牌钢材初检</w:t>
      </w:r>
    </w:p>
    <w:p>
      <w:pPr>
        <w:pStyle w:val="2"/>
        <w:spacing w:before="150" w:line="328" w:lineRule="auto"/>
        <w:ind w:right="941"/>
        <w:jc w:val="both"/>
        <w:rPr>
          <w:b/>
          <w:bCs w:val="0"/>
          <w:color w:val="auto"/>
          <w:sz w:val="24"/>
          <w:szCs w:val="24"/>
        </w:rPr>
      </w:pPr>
      <w:r>
        <w:rPr>
          <w:b/>
          <w:bCs w:val="0"/>
          <w:color w:val="auto"/>
          <w:spacing w:val="-3"/>
          <w:sz w:val="24"/>
          <w:szCs w:val="24"/>
        </w:rPr>
        <w:t>供应商按采购合同约定，将钢材发到中转库，钢材入库</w:t>
      </w:r>
      <w:r>
        <w:rPr>
          <w:b/>
          <w:bCs w:val="0"/>
          <w:color w:val="auto"/>
          <w:spacing w:val="-5"/>
          <w:sz w:val="24"/>
          <w:szCs w:val="24"/>
        </w:rPr>
        <w:t>后，仓储管理人员首先对钢材进行初检。入库钢材全品牌全</w:t>
      </w:r>
      <w:r>
        <w:rPr>
          <w:b/>
          <w:bCs w:val="0"/>
          <w:color w:val="auto"/>
          <w:sz w:val="24"/>
          <w:szCs w:val="24"/>
        </w:rPr>
        <w:t>规格取样送检，确保甲供钢材进场前的第一道质量关。</w:t>
      </w:r>
    </w:p>
    <w:p>
      <w:pPr>
        <w:pStyle w:val="2"/>
        <w:spacing w:line="406" w:lineRule="exact"/>
        <w:ind w:left="761" w:firstLine="0"/>
        <w:rPr>
          <w:b/>
          <w:bCs w:val="0"/>
          <w:color w:val="auto"/>
          <w:sz w:val="24"/>
          <w:szCs w:val="24"/>
        </w:rPr>
      </w:pPr>
      <w:r>
        <w:rPr>
          <w:b/>
          <w:bCs w:val="0"/>
          <w:color w:val="auto"/>
          <w:sz w:val="24"/>
          <w:szCs w:val="24"/>
        </w:rPr>
        <w:t>（三）甲供材料现场巡检</w:t>
      </w:r>
    </w:p>
    <w:p>
      <w:pPr>
        <w:pStyle w:val="2"/>
        <w:spacing w:before="151" w:line="328" w:lineRule="auto"/>
        <w:ind w:right="790"/>
        <w:rPr>
          <w:b/>
          <w:bCs w:val="0"/>
          <w:color w:val="auto"/>
          <w:sz w:val="24"/>
          <w:szCs w:val="24"/>
        </w:rPr>
      </w:pPr>
      <w:r>
        <w:rPr>
          <w:b/>
          <w:bCs w:val="0"/>
          <w:color w:val="auto"/>
          <w:sz w:val="24"/>
          <w:szCs w:val="24"/>
        </w:rPr>
        <w:t>1、甲供材料进场后，进行质量跟踪工作，了解材料质</w:t>
      </w:r>
      <w:r>
        <w:rPr>
          <w:b/>
          <w:bCs w:val="0"/>
          <w:color w:val="auto"/>
          <w:w w:val="95"/>
          <w:sz w:val="24"/>
          <w:szCs w:val="24"/>
        </w:rPr>
        <w:t xml:space="preserve">量波动情况，并定期现场抽检，现场抽检要求中心试验室、 </w:t>
      </w:r>
      <w:r>
        <w:rPr>
          <w:b/>
          <w:bCs w:val="0"/>
          <w:color w:val="auto"/>
          <w:sz w:val="24"/>
          <w:szCs w:val="24"/>
        </w:rPr>
        <w:t>驻地监理、施工单位共同参与，并需在抽样调查表上签字盖章，抽样调查表是物流集团质量管理体系的一部分。</w:t>
      </w:r>
    </w:p>
    <w:p>
      <w:pPr>
        <w:pStyle w:val="2"/>
        <w:spacing w:line="402" w:lineRule="exact"/>
        <w:ind w:left="761" w:firstLine="0"/>
        <w:rPr>
          <w:b/>
          <w:bCs w:val="0"/>
          <w:color w:val="auto"/>
          <w:sz w:val="24"/>
          <w:szCs w:val="24"/>
        </w:rPr>
      </w:pPr>
      <w:r>
        <w:rPr>
          <w:b/>
          <w:bCs w:val="0"/>
          <w:color w:val="auto"/>
          <w:sz w:val="24"/>
          <w:szCs w:val="24"/>
        </w:rPr>
        <w:t>2、抽检频率参照物流集团质量安全部要求执行。</w:t>
      </w:r>
    </w:p>
    <w:p>
      <w:pPr>
        <w:pStyle w:val="2"/>
        <w:spacing w:before="149"/>
        <w:ind w:left="761" w:firstLine="0"/>
        <w:rPr>
          <w:b/>
          <w:bCs w:val="0"/>
          <w:color w:val="auto"/>
          <w:sz w:val="24"/>
          <w:szCs w:val="24"/>
        </w:rPr>
      </w:pPr>
      <w:r>
        <w:rPr>
          <w:b/>
          <w:bCs w:val="0"/>
          <w:color w:val="auto"/>
          <w:sz w:val="24"/>
          <w:szCs w:val="24"/>
        </w:rPr>
        <w:t>（四）异议抽检</w:t>
      </w:r>
    </w:p>
    <w:p>
      <w:pPr>
        <w:pStyle w:val="2"/>
        <w:spacing w:before="152" w:line="326" w:lineRule="auto"/>
        <w:ind w:right="938"/>
        <w:jc w:val="both"/>
        <w:rPr>
          <w:b/>
          <w:bCs w:val="0"/>
          <w:color w:val="auto"/>
          <w:sz w:val="24"/>
          <w:szCs w:val="24"/>
        </w:rPr>
      </w:pPr>
      <w:r>
        <w:rPr>
          <w:b/>
          <w:bCs w:val="0"/>
          <w:color w:val="auto"/>
          <w:spacing w:val="-3"/>
          <w:sz w:val="24"/>
          <w:szCs w:val="24"/>
        </w:rPr>
        <w:t>当甲供材料入场后，质量产生争议，材料项目部须第一</w:t>
      </w:r>
      <w:r>
        <w:rPr>
          <w:b/>
          <w:bCs w:val="0"/>
          <w:color w:val="auto"/>
          <w:spacing w:val="-4"/>
          <w:sz w:val="24"/>
          <w:szCs w:val="24"/>
        </w:rPr>
        <w:t>时间赶到现场，并组织中心试验室、驻地监理、生产厂商共</w:t>
      </w:r>
      <w:r>
        <w:rPr>
          <w:b/>
          <w:bCs w:val="0"/>
          <w:color w:val="auto"/>
          <w:sz w:val="24"/>
          <w:szCs w:val="24"/>
        </w:rPr>
        <w:t>同见证取样封存，送有资质的更高级别机构检测。</w:t>
      </w:r>
    </w:p>
    <w:p>
      <w:pPr>
        <w:pStyle w:val="3"/>
        <w:tabs>
          <w:tab w:val="left" w:pos="2372"/>
        </w:tabs>
        <w:spacing w:line="490" w:lineRule="exact"/>
        <w:rPr>
          <w:b/>
          <w:bCs w:val="0"/>
          <w:color w:val="auto"/>
          <w:sz w:val="24"/>
          <w:szCs w:val="24"/>
        </w:rPr>
      </w:pPr>
      <w:r>
        <w:rPr>
          <w:b/>
          <w:bCs w:val="0"/>
          <w:color w:val="auto"/>
          <w:sz w:val="24"/>
          <w:szCs w:val="24"/>
        </w:rPr>
        <w:t>第十六条</w:t>
      </w:r>
      <w:r>
        <w:rPr>
          <w:b/>
          <w:bCs w:val="0"/>
          <w:color w:val="auto"/>
          <w:sz w:val="24"/>
          <w:szCs w:val="24"/>
        </w:rPr>
        <w:tab/>
      </w:r>
      <w:r>
        <w:rPr>
          <w:b/>
          <w:bCs w:val="0"/>
          <w:color w:val="auto"/>
          <w:sz w:val="24"/>
          <w:szCs w:val="24"/>
        </w:rPr>
        <w:t>现场巡查管理</w:t>
      </w:r>
    </w:p>
    <w:p>
      <w:pPr>
        <w:pStyle w:val="2"/>
        <w:spacing w:before="77"/>
        <w:ind w:left="761" w:firstLine="0"/>
        <w:rPr>
          <w:b/>
          <w:bCs w:val="0"/>
          <w:color w:val="auto"/>
          <w:sz w:val="24"/>
          <w:szCs w:val="24"/>
        </w:rPr>
      </w:pPr>
      <w:r>
        <w:rPr>
          <w:b/>
          <w:bCs w:val="0"/>
          <w:color w:val="auto"/>
          <w:sz w:val="24"/>
          <w:szCs w:val="24"/>
        </w:rPr>
        <w:t>（一）组织协调</w:t>
      </w:r>
    </w:p>
    <w:p>
      <w:pPr>
        <w:pStyle w:val="2"/>
        <w:spacing w:before="149" w:line="328" w:lineRule="auto"/>
        <w:ind w:right="790"/>
        <w:rPr>
          <w:b/>
          <w:bCs w:val="0"/>
          <w:color w:val="auto"/>
          <w:sz w:val="24"/>
          <w:szCs w:val="24"/>
        </w:rPr>
      </w:pPr>
      <w:r>
        <w:rPr>
          <w:b/>
          <w:bCs w:val="0"/>
          <w:color w:val="auto"/>
          <w:sz w:val="24"/>
          <w:szCs w:val="24"/>
        </w:rPr>
        <w:t>材料项目部在项目（总监）办的指导下，与涉及甲供材料的单位中心试验室、驻地监理、施工单位、供应厂商、运</w:t>
      </w:r>
      <w:r>
        <w:rPr>
          <w:b/>
          <w:bCs w:val="0"/>
          <w:color w:val="auto"/>
          <w:w w:val="95"/>
          <w:sz w:val="24"/>
          <w:szCs w:val="24"/>
        </w:rPr>
        <w:t xml:space="preserve">输单位沟通协调，确保甲供材料运行环节中的计划、供应、 </w:t>
      </w:r>
      <w:r>
        <w:rPr>
          <w:b/>
          <w:bCs w:val="0"/>
          <w:color w:val="auto"/>
          <w:sz w:val="24"/>
          <w:szCs w:val="24"/>
        </w:rPr>
        <w:t>质量保障。</w:t>
      </w:r>
    </w:p>
    <w:p>
      <w:pPr>
        <w:pStyle w:val="2"/>
        <w:spacing w:line="405" w:lineRule="exact"/>
        <w:ind w:left="761" w:firstLine="0"/>
        <w:rPr>
          <w:b/>
          <w:bCs w:val="0"/>
          <w:color w:val="auto"/>
          <w:sz w:val="24"/>
          <w:szCs w:val="24"/>
        </w:rPr>
      </w:pPr>
      <w:r>
        <w:rPr>
          <w:b/>
          <w:bCs w:val="0"/>
          <w:color w:val="auto"/>
          <w:sz w:val="24"/>
          <w:szCs w:val="24"/>
        </w:rPr>
        <w:t>（二）现场巡查</w:t>
      </w:r>
    </w:p>
    <w:p>
      <w:pPr>
        <w:spacing w:after="0" w:line="405" w:lineRule="exact"/>
        <w:rPr>
          <w:b/>
          <w:bCs w:val="0"/>
          <w:color w:val="auto"/>
          <w:sz w:val="24"/>
          <w:szCs w:val="24"/>
        </w:rPr>
        <w:sectPr>
          <w:pgSz w:w="11910" w:h="16840"/>
          <w:pgMar w:top="1520" w:right="860" w:bottom="1160" w:left="1680" w:header="0" w:footer="975" w:gutter="0"/>
          <w:pgNumType w:fmt="decimal"/>
        </w:sectPr>
      </w:pPr>
    </w:p>
    <w:p>
      <w:pPr>
        <w:pStyle w:val="2"/>
        <w:spacing w:before="30" w:line="328" w:lineRule="auto"/>
        <w:ind w:right="757"/>
        <w:rPr>
          <w:b/>
          <w:bCs w:val="0"/>
          <w:color w:val="auto"/>
          <w:sz w:val="24"/>
          <w:szCs w:val="24"/>
        </w:rPr>
      </w:pPr>
      <w:r>
        <w:rPr>
          <w:b/>
          <w:bCs w:val="0"/>
          <w:color w:val="auto"/>
          <w:sz w:val="24"/>
          <w:szCs w:val="24"/>
        </w:rPr>
        <w:t>1、材料项目部必须定期或不定期地深入施工现场巡查， 对施工单位计划申报、计划执行、便道情况、现场材料管理规范情况、特殊材料需求、工程变更进行详细的掌握，提供能真实反映现场的有效巡查结果，做好巡查表的记录，</w:t>
      </w:r>
    </w:p>
    <w:p>
      <w:pPr>
        <w:pStyle w:val="2"/>
        <w:spacing w:line="402" w:lineRule="exact"/>
        <w:ind w:left="761" w:firstLine="0"/>
        <w:rPr>
          <w:b/>
          <w:bCs w:val="0"/>
          <w:color w:val="auto"/>
          <w:sz w:val="24"/>
          <w:szCs w:val="24"/>
        </w:rPr>
      </w:pPr>
      <w:r>
        <w:rPr>
          <w:b/>
          <w:bCs w:val="0"/>
          <w:color w:val="auto"/>
          <w:sz w:val="24"/>
          <w:szCs w:val="24"/>
        </w:rPr>
        <w:t>2、做好现场质量追踪管理。</w:t>
      </w:r>
    </w:p>
    <w:p>
      <w:pPr>
        <w:pStyle w:val="2"/>
        <w:spacing w:before="152"/>
        <w:ind w:left="761" w:firstLine="0"/>
        <w:rPr>
          <w:b/>
          <w:bCs w:val="0"/>
          <w:color w:val="auto"/>
          <w:sz w:val="24"/>
          <w:szCs w:val="24"/>
        </w:rPr>
      </w:pPr>
      <w:r>
        <w:rPr>
          <w:b/>
          <w:bCs w:val="0"/>
          <w:color w:val="auto"/>
          <w:sz w:val="24"/>
          <w:szCs w:val="24"/>
        </w:rPr>
        <w:t>（三）信息收集</w:t>
      </w:r>
    </w:p>
    <w:p>
      <w:pPr>
        <w:pStyle w:val="2"/>
        <w:spacing w:before="149" w:line="328" w:lineRule="auto"/>
        <w:ind w:right="894"/>
        <w:rPr>
          <w:b/>
          <w:bCs w:val="0"/>
          <w:color w:val="auto"/>
          <w:sz w:val="24"/>
          <w:szCs w:val="24"/>
        </w:rPr>
      </w:pPr>
      <w:r>
        <w:rPr>
          <w:b/>
          <w:bCs w:val="0"/>
          <w:color w:val="auto"/>
          <w:sz w:val="24"/>
          <w:szCs w:val="24"/>
        </w:rPr>
        <w:t>1、巡查过程应按相关管理规定、文件等要求，对发现的问题及时收集相关影像、记录资料，包括现场见证取样送检，作好备案记录，并以书面形式及时上报项目（总监）办和物流集团甲供管理职能部门。</w:t>
      </w:r>
    </w:p>
    <w:p>
      <w:pPr>
        <w:pStyle w:val="2"/>
        <w:spacing w:line="403" w:lineRule="exact"/>
        <w:ind w:left="761" w:firstLine="0"/>
        <w:rPr>
          <w:b/>
          <w:bCs w:val="0"/>
          <w:color w:val="auto"/>
          <w:sz w:val="24"/>
          <w:szCs w:val="24"/>
        </w:rPr>
      </w:pPr>
      <w:r>
        <w:rPr>
          <w:b/>
          <w:bCs w:val="0"/>
          <w:color w:val="auto"/>
          <w:sz w:val="24"/>
          <w:szCs w:val="24"/>
        </w:rPr>
        <w:t>2、收集各单位对甲供材料运行环节中的意见和建议。</w:t>
      </w:r>
    </w:p>
    <w:p>
      <w:pPr>
        <w:pStyle w:val="2"/>
        <w:spacing w:before="152" w:line="328" w:lineRule="auto"/>
        <w:ind w:right="938"/>
        <w:jc w:val="both"/>
        <w:rPr>
          <w:b/>
          <w:bCs w:val="0"/>
          <w:color w:val="auto"/>
          <w:sz w:val="24"/>
          <w:szCs w:val="24"/>
        </w:rPr>
      </w:pPr>
      <w:r>
        <w:rPr>
          <w:b/>
          <w:bCs w:val="0"/>
          <w:color w:val="auto"/>
          <w:sz w:val="24"/>
          <w:szCs w:val="24"/>
        </w:rPr>
        <w:t>3</w:t>
      </w:r>
      <w:r>
        <w:rPr>
          <w:b/>
          <w:bCs w:val="0"/>
          <w:color w:val="auto"/>
          <w:spacing w:val="-15"/>
          <w:sz w:val="24"/>
          <w:szCs w:val="24"/>
        </w:rPr>
        <w:t>、随时了解市场行情的变化，生产厂家的轧期、检修、</w:t>
      </w:r>
      <w:r>
        <w:rPr>
          <w:b/>
          <w:bCs w:val="0"/>
          <w:color w:val="auto"/>
          <w:spacing w:val="-4"/>
          <w:sz w:val="24"/>
          <w:szCs w:val="24"/>
        </w:rPr>
        <w:t>产能、设备故障、特殊气候、铁路运输、国家宏观调控等因</w:t>
      </w:r>
      <w:r>
        <w:rPr>
          <w:b/>
          <w:bCs w:val="0"/>
          <w:color w:val="auto"/>
          <w:spacing w:val="-2"/>
          <w:sz w:val="24"/>
          <w:szCs w:val="24"/>
        </w:rPr>
        <w:t>素对保障供应带来的突发性中断，提前作好可行性分析以及</w:t>
      </w:r>
      <w:r>
        <w:rPr>
          <w:b/>
          <w:bCs w:val="0"/>
          <w:color w:val="auto"/>
          <w:sz w:val="24"/>
          <w:szCs w:val="24"/>
        </w:rPr>
        <w:t>保质保供的预案。</w:t>
      </w:r>
    </w:p>
    <w:p>
      <w:pPr>
        <w:pStyle w:val="2"/>
        <w:spacing w:line="328" w:lineRule="auto"/>
        <w:ind w:right="941"/>
        <w:rPr>
          <w:b/>
          <w:bCs w:val="0"/>
          <w:color w:val="auto"/>
          <w:sz w:val="24"/>
          <w:szCs w:val="24"/>
        </w:rPr>
      </w:pPr>
      <w:r>
        <w:rPr>
          <w:b/>
          <w:bCs w:val="0"/>
          <w:color w:val="auto"/>
          <w:sz w:val="24"/>
          <w:szCs w:val="24"/>
        </w:rPr>
        <w:t>4、材料项目部应对收集的相关信息要及时进行归纳、</w:t>
      </w:r>
      <w:r>
        <w:rPr>
          <w:b/>
          <w:bCs w:val="0"/>
          <w:color w:val="auto"/>
          <w:spacing w:val="-4"/>
          <w:sz w:val="24"/>
          <w:szCs w:val="24"/>
        </w:rPr>
        <w:t>分析和总结，不断的改进和提高工作成效。建立各类甲供材</w:t>
      </w:r>
      <w:r>
        <w:rPr>
          <w:b/>
          <w:bCs w:val="0"/>
          <w:color w:val="auto"/>
          <w:sz w:val="24"/>
          <w:szCs w:val="24"/>
        </w:rPr>
        <w:t>料保质保供预案。</w:t>
      </w:r>
    </w:p>
    <w:p>
      <w:pPr>
        <w:pStyle w:val="2"/>
        <w:spacing w:line="328" w:lineRule="auto"/>
        <w:ind w:right="894"/>
        <w:rPr>
          <w:b/>
          <w:bCs w:val="0"/>
          <w:color w:val="auto"/>
          <w:sz w:val="24"/>
          <w:szCs w:val="24"/>
        </w:rPr>
      </w:pPr>
      <w:r>
        <w:rPr>
          <w:b/>
          <w:bCs w:val="0"/>
          <w:color w:val="auto"/>
          <w:sz w:val="24"/>
          <w:szCs w:val="24"/>
        </w:rPr>
        <w:t>5、材料项目部必须将现场巡查发现的问题、处理的依据、处理的结果以及处理过程中的相关资料收集整理归档备案。</w:t>
      </w:r>
    </w:p>
    <w:p>
      <w:pPr>
        <w:pStyle w:val="3"/>
        <w:tabs>
          <w:tab w:val="left" w:pos="2372"/>
        </w:tabs>
        <w:spacing w:line="478" w:lineRule="exact"/>
        <w:rPr>
          <w:b/>
          <w:bCs w:val="0"/>
          <w:color w:val="auto"/>
          <w:sz w:val="24"/>
          <w:szCs w:val="24"/>
        </w:rPr>
      </w:pPr>
      <w:r>
        <w:rPr>
          <w:b/>
          <w:bCs w:val="0"/>
          <w:color w:val="auto"/>
          <w:sz w:val="24"/>
          <w:szCs w:val="24"/>
        </w:rPr>
        <w:t>第十七条</w:t>
      </w:r>
      <w:r>
        <w:rPr>
          <w:b/>
          <w:bCs w:val="0"/>
          <w:color w:val="auto"/>
          <w:sz w:val="24"/>
          <w:szCs w:val="24"/>
        </w:rPr>
        <w:tab/>
      </w:r>
      <w:r>
        <w:rPr>
          <w:b/>
          <w:bCs w:val="0"/>
          <w:color w:val="auto"/>
          <w:sz w:val="24"/>
          <w:szCs w:val="24"/>
        </w:rPr>
        <w:t>结算支付管理</w:t>
      </w:r>
    </w:p>
    <w:p>
      <w:pPr>
        <w:pStyle w:val="2"/>
        <w:spacing w:before="64"/>
        <w:ind w:left="761" w:firstLine="0"/>
        <w:rPr>
          <w:b/>
          <w:bCs w:val="0"/>
          <w:color w:val="auto"/>
          <w:sz w:val="24"/>
          <w:szCs w:val="24"/>
        </w:rPr>
      </w:pPr>
      <w:r>
        <w:rPr>
          <w:b/>
          <w:bCs w:val="0"/>
          <w:color w:val="auto"/>
          <w:sz w:val="24"/>
          <w:szCs w:val="24"/>
        </w:rPr>
        <w:t>（一）材料项目部结算类别与依据</w:t>
      </w:r>
    </w:p>
    <w:p>
      <w:pPr>
        <w:pStyle w:val="2"/>
        <w:spacing w:before="152"/>
        <w:ind w:left="761" w:firstLine="0"/>
        <w:rPr>
          <w:b/>
          <w:bCs w:val="0"/>
          <w:color w:val="auto"/>
          <w:sz w:val="24"/>
          <w:szCs w:val="24"/>
        </w:rPr>
      </w:pPr>
      <w:r>
        <w:rPr>
          <w:b/>
          <w:bCs w:val="0"/>
          <w:color w:val="auto"/>
          <w:sz w:val="24"/>
          <w:szCs w:val="24"/>
        </w:rPr>
        <w:t>1、结算类别：采购结算、供应结算、运费结算、仓储</w:t>
      </w:r>
    </w:p>
    <w:p>
      <w:pPr>
        <w:spacing w:after="0"/>
        <w:rPr>
          <w:b/>
          <w:bCs w:val="0"/>
          <w:color w:val="auto"/>
          <w:sz w:val="24"/>
          <w:szCs w:val="24"/>
        </w:rPr>
        <w:sectPr>
          <w:pgSz w:w="11910" w:h="16840"/>
          <w:pgMar w:top="1520" w:right="860" w:bottom="1160" w:left="1680" w:header="0" w:footer="975" w:gutter="0"/>
          <w:pgNumType w:fmt="decimal"/>
        </w:sectPr>
      </w:pPr>
    </w:p>
    <w:p>
      <w:pPr>
        <w:pStyle w:val="2"/>
        <w:spacing w:before="30"/>
        <w:ind w:firstLine="0"/>
        <w:rPr>
          <w:b/>
          <w:bCs w:val="0"/>
          <w:color w:val="auto"/>
          <w:sz w:val="24"/>
          <w:szCs w:val="24"/>
        </w:rPr>
      </w:pPr>
      <w:r>
        <w:rPr>
          <w:b/>
          <w:bCs w:val="0"/>
          <w:color w:val="auto"/>
          <w:sz w:val="24"/>
          <w:szCs w:val="24"/>
        </w:rPr>
        <w:t>费结算。</w:t>
      </w:r>
    </w:p>
    <w:p>
      <w:pPr>
        <w:pStyle w:val="2"/>
        <w:spacing w:before="150" w:line="328" w:lineRule="auto"/>
        <w:ind w:right="894"/>
        <w:rPr>
          <w:b/>
          <w:bCs w:val="0"/>
          <w:color w:val="auto"/>
          <w:sz w:val="24"/>
          <w:szCs w:val="24"/>
        </w:rPr>
      </w:pPr>
      <w:r>
        <w:rPr>
          <w:b/>
          <w:bCs w:val="0"/>
          <w:color w:val="auto"/>
          <w:sz w:val="24"/>
          <w:szCs w:val="24"/>
        </w:rPr>
        <w:t>2、结算依据：遵循《招标文件》、《造价管理信息》的总要求、以采购对账单、供应对账单、运输对账单、仓储入库单为依据完成结算、调差工作。</w:t>
      </w:r>
    </w:p>
    <w:p>
      <w:pPr>
        <w:pStyle w:val="2"/>
        <w:spacing w:line="405" w:lineRule="exact"/>
        <w:ind w:left="761" w:firstLine="0"/>
        <w:rPr>
          <w:b/>
          <w:bCs w:val="0"/>
          <w:color w:val="auto"/>
          <w:sz w:val="24"/>
          <w:szCs w:val="24"/>
        </w:rPr>
      </w:pPr>
      <w:r>
        <w:rPr>
          <w:b/>
          <w:bCs w:val="0"/>
          <w:color w:val="auto"/>
          <w:sz w:val="24"/>
          <w:szCs w:val="24"/>
        </w:rPr>
        <w:t>（二）结算表格要求</w:t>
      </w:r>
    </w:p>
    <w:p>
      <w:pPr>
        <w:pStyle w:val="2"/>
        <w:spacing w:before="151" w:line="326" w:lineRule="auto"/>
        <w:ind w:right="931"/>
        <w:rPr>
          <w:b/>
          <w:bCs w:val="0"/>
          <w:color w:val="auto"/>
          <w:sz w:val="24"/>
          <w:szCs w:val="24"/>
        </w:rPr>
      </w:pPr>
      <w:r>
        <w:rPr>
          <w:b/>
          <w:bCs w:val="0"/>
          <w:color w:val="auto"/>
          <w:sz w:val="24"/>
          <w:szCs w:val="24"/>
        </w:rPr>
        <w:t>1</w:t>
      </w:r>
      <w:r>
        <w:rPr>
          <w:b/>
          <w:bCs w:val="0"/>
          <w:color w:val="auto"/>
          <w:spacing w:val="-9"/>
          <w:sz w:val="24"/>
          <w:szCs w:val="24"/>
        </w:rPr>
        <w:t>、结算的数据依据：钢材采购入库清单</w:t>
      </w:r>
      <w:r>
        <w:rPr>
          <w:b/>
          <w:bCs w:val="0"/>
          <w:color w:val="auto"/>
          <w:sz w:val="24"/>
          <w:szCs w:val="24"/>
        </w:rPr>
        <w:t>（</w:t>
      </w:r>
      <w:r>
        <w:rPr>
          <w:b/>
          <w:bCs w:val="0"/>
          <w:color w:val="auto"/>
          <w:spacing w:val="-28"/>
          <w:sz w:val="24"/>
          <w:szCs w:val="24"/>
        </w:rPr>
        <w:t xml:space="preserve">附表 </w:t>
      </w:r>
      <w:r>
        <w:rPr>
          <w:b/>
          <w:bCs w:val="0"/>
          <w:color w:val="auto"/>
          <w:spacing w:val="-12"/>
          <w:sz w:val="24"/>
          <w:szCs w:val="24"/>
        </w:rPr>
        <w:t>5）</w:t>
      </w:r>
      <w:r>
        <w:rPr>
          <w:b/>
          <w:bCs w:val="0"/>
          <w:color w:val="auto"/>
          <w:spacing w:val="-6"/>
          <w:sz w:val="24"/>
          <w:szCs w:val="24"/>
        </w:rPr>
        <w:t>钢材</w:t>
      </w:r>
      <w:r>
        <w:rPr>
          <w:b/>
          <w:bCs w:val="0"/>
          <w:color w:val="auto"/>
          <w:sz w:val="24"/>
          <w:szCs w:val="24"/>
        </w:rPr>
        <w:t>供应出库清单（</w:t>
      </w:r>
      <w:r>
        <w:rPr>
          <w:b/>
          <w:bCs w:val="0"/>
          <w:color w:val="auto"/>
          <w:spacing w:val="-27"/>
          <w:sz w:val="24"/>
          <w:szCs w:val="24"/>
        </w:rPr>
        <w:t xml:space="preserve">附表 </w:t>
      </w:r>
      <w:r>
        <w:rPr>
          <w:b/>
          <w:bCs w:val="0"/>
          <w:color w:val="auto"/>
          <w:sz w:val="24"/>
          <w:szCs w:val="24"/>
        </w:rPr>
        <w:t>6）钢材短途运输明细清单（</w:t>
      </w:r>
      <w:r>
        <w:rPr>
          <w:b/>
          <w:bCs w:val="0"/>
          <w:color w:val="auto"/>
          <w:spacing w:val="-27"/>
          <w:sz w:val="24"/>
          <w:szCs w:val="24"/>
        </w:rPr>
        <w:t xml:space="preserve">附表 </w:t>
      </w:r>
      <w:r>
        <w:rPr>
          <w:b/>
          <w:bCs w:val="0"/>
          <w:color w:val="auto"/>
          <w:sz w:val="24"/>
          <w:szCs w:val="24"/>
        </w:rPr>
        <w:t>7） 仓储钢材入库清单（</w:t>
      </w:r>
      <w:r>
        <w:rPr>
          <w:b/>
          <w:bCs w:val="0"/>
          <w:color w:val="auto"/>
          <w:spacing w:val="-27"/>
          <w:sz w:val="24"/>
          <w:szCs w:val="24"/>
        </w:rPr>
        <w:t xml:space="preserve">附表 </w:t>
      </w:r>
      <w:r>
        <w:rPr>
          <w:b/>
          <w:bCs w:val="0"/>
          <w:color w:val="auto"/>
          <w:sz w:val="24"/>
          <w:szCs w:val="24"/>
        </w:rPr>
        <w:t>8）水泥采购清单（</w:t>
      </w:r>
      <w:r>
        <w:rPr>
          <w:b/>
          <w:bCs w:val="0"/>
          <w:color w:val="auto"/>
          <w:spacing w:val="-27"/>
          <w:sz w:val="24"/>
          <w:szCs w:val="24"/>
        </w:rPr>
        <w:t xml:space="preserve">附表 </w:t>
      </w:r>
      <w:r>
        <w:rPr>
          <w:b/>
          <w:bCs w:val="0"/>
          <w:color w:val="auto"/>
          <w:sz w:val="24"/>
          <w:szCs w:val="24"/>
        </w:rPr>
        <w:t>9）。</w:t>
      </w:r>
    </w:p>
    <w:p>
      <w:pPr>
        <w:pStyle w:val="2"/>
        <w:spacing w:before="8" w:line="328" w:lineRule="auto"/>
        <w:ind w:right="936"/>
        <w:rPr>
          <w:b/>
          <w:bCs w:val="0"/>
          <w:color w:val="auto"/>
          <w:sz w:val="24"/>
          <w:szCs w:val="24"/>
        </w:rPr>
      </w:pPr>
      <w:r>
        <w:rPr>
          <w:b/>
          <w:bCs w:val="0"/>
          <w:color w:val="auto"/>
          <w:sz w:val="24"/>
          <w:szCs w:val="24"/>
        </w:rPr>
        <w:t>2、材料项目部根据清单及工作节点编制各项结算确认</w:t>
      </w:r>
      <w:r>
        <w:rPr>
          <w:b/>
          <w:bCs w:val="0"/>
          <w:color w:val="auto"/>
          <w:spacing w:val="-21"/>
          <w:sz w:val="24"/>
          <w:szCs w:val="24"/>
        </w:rPr>
        <w:t>表：钢材采购结算确认表</w:t>
      </w:r>
      <w:r>
        <w:rPr>
          <w:b/>
          <w:bCs w:val="0"/>
          <w:color w:val="auto"/>
          <w:sz w:val="24"/>
          <w:szCs w:val="24"/>
        </w:rPr>
        <w:t>（</w:t>
      </w:r>
      <w:r>
        <w:rPr>
          <w:b/>
          <w:bCs w:val="0"/>
          <w:color w:val="auto"/>
          <w:spacing w:val="-29"/>
          <w:sz w:val="24"/>
          <w:szCs w:val="24"/>
        </w:rPr>
        <w:t xml:space="preserve">附表 </w:t>
      </w:r>
      <w:r>
        <w:rPr>
          <w:b/>
          <w:bCs w:val="0"/>
          <w:color w:val="auto"/>
          <w:spacing w:val="-35"/>
          <w:sz w:val="24"/>
          <w:szCs w:val="24"/>
        </w:rPr>
        <w:t>10）</w:t>
      </w:r>
      <w:r>
        <w:rPr>
          <w:b/>
          <w:bCs w:val="0"/>
          <w:color w:val="auto"/>
          <w:spacing w:val="-12"/>
          <w:sz w:val="24"/>
          <w:szCs w:val="24"/>
        </w:rPr>
        <w:t>水泥采购结算确认表</w:t>
      </w:r>
      <w:r>
        <w:rPr>
          <w:b/>
          <w:bCs w:val="0"/>
          <w:color w:val="auto"/>
          <w:sz w:val="24"/>
          <w:szCs w:val="24"/>
        </w:rPr>
        <w:t>（附</w:t>
      </w:r>
      <w:r>
        <w:rPr>
          <w:b/>
          <w:bCs w:val="0"/>
          <w:color w:val="auto"/>
          <w:spacing w:val="-41"/>
          <w:sz w:val="24"/>
          <w:szCs w:val="24"/>
        </w:rPr>
        <w:t xml:space="preserve">表 </w:t>
      </w:r>
      <w:r>
        <w:rPr>
          <w:b/>
          <w:bCs w:val="0"/>
          <w:color w:val="auto"/>
          <w:sz w:val="24"/>
          <w:szCs w:val="24"/>
        </w:rPr>
        <w:t>11）钢材短途运输结算确认表（</w:t>
      </w:r>
      <w:r>
        <w:rPr>
          <w:b/>
          <w:bCs w:val="0"/>
          <w:color w:val="auto"/>
          <w:spacing w:val="-20"/>
          <w:sz w:val="24"/>
          <w:szCs w:val="24"/>
        </w:rPr>
        <w:t xml:space="preserve">同附表 </w:t>
      </w:r>
      <w:r>
        <w:rPr>
          <w:b/>
          <w:bCs w:val="0"/>
          <w:color w:val="auto"/>
          <w:sz w:val="24"/>
          <w:szCs w:val="24"/>
        </w:rPr>
        <w:t>12）仓储费用结</w:t>
      </w:r>
      <w:r>
        <w:rPr>
          <w:b/>
          <w:bCs w:val="0"/>
          <w:color w:val="auto"/>
          <w:spacing w:val="-1"/>
          <w:sz w:val="24"/>
          <w:szCs w:val="24"/>
        </w:rPr>
        <w:t>算确认表</w:t>
      </w:r>
      <w:r>
        <w:rPr>
          <w:b/>
          <w:bCs w:val="0"/>
          <w:color w:val="auto"/>
          <w:sz w:val="24"/>
          <w:szCs w:val="24"/>
        </w:rPr>
        <w:t>（</w:t>
      </w:r>
      <w:r>
        <w:rPr>
          <w:b/>
          <w:bCs w:val="0"/>
          <w:color w:val="auto"/>
          <w:spacing w:val="-29"/>
          <w:sz w:val="24"/>
          <w:szCs w:val="24"/>
        </w:rPr>
        <w:t xml:space="preserve">附表 </w:t>
      </w:r>
      <w:r>
        <w:rPr>
          <w:b/>
          <w:bCs w:val="0"/>
          <w:color w:val="auto"/>
          <w:sz w:val="24"/>
          <w:szCs w:val="24"/>
        </w:rPr>
        <w:t>13）钢材/</w:t>
      </w:r>
      <w:r>
        <w:rPr>
          <w:b/>
          <w:bCs w:val="0"/>
          <w:color w:val="auto"/>
          <w:spacing w:val="-1"/>
          <w:sz w:val="24"/>
          <w:szCs w:val="24"/>
        </w:rPr>
        <w:t>水泥采购汇总表</w:t>
      </w:r>
      <w:r>
        <w:rPr>
          <w:b/>
          <w:bCs w:val="0"/>
          <w:color w:val="auto"/>
          <w:sz w:val="24"/>
          <w:szCs w:val="24"/>
        </w:rPr>
        <w:t>（</w:t>
      </w:r>
      <w:r>
        <w:rPr>
          <w:b/>
          <w:bCs w:val="0"/>
          <w:color w:val="auto"/>
          <w:spacing w:val="-29"/>
          <w:sz w:val="24"/>
          <w:szCs w:val="24"/>
        </w:rPr>
        <w:t xml:space="preserve">附表 </w:t>
      </w:r>
      <w:r>
        <w:rPr>
          <w:b/>
          <w:bCs w:val="0"/>
          <w:color w:val="auto"/>
          <w:sz w:val="24"/>
          <w:szCs w:val="24"/>
        </w:rPr>
        <w:t>14）</w:t>
      </w:r>
      <w:r>
        <w:rPr>
          <w:b/>
          <w:bCs w:val="0"/>
          <w:color w:val="auto"/>
          <w:spacing w:val="-6"/>
          <w:sz w:val="24"/>
          <w:szCs w:val="24"/>
        </w:rPr>
        <w:t>钢材</w:t>
      </w:r>
      <w:r>
        <w:rPr>
          <w:b/>
          <w:bCs w:val="0"/>
          <w:color w:val="auto"/>
          <w:spacing w:val="-9"/>
          <w:sz w:val="24"/>
          <w:szCs w:val="24"/>
        </w:rPr>
        <w:t>供应结算确认表</w:t>
      </w:r>
      <w:r>
        <w:rPr>
          <w:b/>
          <w:bCs w:val="0"/>
          <w:color w:val="auto"/>
          <w:sz w:val="24"/>
          <w:szCs w:val="24"/>
        </w:rPr>
        <w:t>（</w:t>
      </w:r>
      <w:r>
        <w:rPr>
          <w:b/>
          <w:bCs w:val="0"/>
          <w:color w:val="auto"/>
          <w:spacing w:val="-28"/>
          <w:sz w:val="24"/>
          <w:szCs w:val="24"/>
        </w:rPr>
        <w:t xml:space="preserve">附表 </w:t>
      </w:r>
      <w:r>
        <w:rPr>
          <w:b/>
          <w:bCs w:val="0"/>
          <w:color w:val="auto"/>
          <w:spacing w:val="-20"/>
          <w:sz w:val="24"/>
          <w:szCs w:val="24"/>
        </w:rPr>
        <w:t>15）</w:t>
      </w:r>
      <w:r>
        <w:rPr>
          <w:b/>
          <w:bCs w:val="0"/>
          <w:color w:val="auto"/>
          <w:spacing w:val="-7"/>
          <w:sz w:val="24"/>
          <w:szCs w:val="24"/>
        </w:rPr>
        <w:t>水泥供应结算确认表</w:t>
      </w:r>
      <w:r>
        <w:rPr>
          <w:b/>
          <w:bCs w:val="0"/>
          <w:color w:val="auto"/>
          <w:sz w:val="24"/>
          <w:szCs w:val="24"/>
        </w:rPr>
        <w:t>（</w:t>
      </w:r>
      <w:r>
        <w:rPr>
          <w:b/>
          <w:bCs w:val="0"/>
          <w:color w:val="auto"/>
          <w:spacing w:val="-28"/>
          <w:sz w:val="24"/>
          <w:szCs w:val="24"/>
        </w:rPr>
        <w:t xml:space="preserve">附表 </w:t>
      </w:r>
      <w:r>
        <w:rPr>
          <w:b/>
          <w:bCs w:val="0"/>
          <w:color w:val="auto"/>
          <w:sz w:val="24"/>
          <w:szCs w:val="24"/>
        </w:rPr>
        <w:t xml:space="preserve">16） </w:t>
      </w:r>
      <w:r>
        <w:rPr>
          <w:b/>
          <w:bCs w:val="0"/>
          <w:color w:val="auto"/>
          <w:spacing w:val="-4"/>
          <w:sz w:val="24"/>
          <w:szCs w:val="24"/>
        </w:rPr>
        <w:t>甲供材料供应结算确认汇总表</w:t>
      </w:r>
      <w:r>
        <w:rPr>
          <w:b/>
          <w:bCs w:val="0"/>
          <w:color w:val="auto"/>
          <w:sz w:val="24"/>
          <w:szCs w:val="24"/>
        </w:rPr>
        <w:t>（</w:t>
      </w:r>
      <w:r>
        <w:rPr>
          <w:b/>
          <w:bCs w:val="0"/>
          <w:color w:val="auto"/>
          <w:spacing w:val="-27"/>
          <w:sz w:val="24"/>
          <w:szCs w:val="24"/>
        </w:rPr>
        <w:t xml:space="preserve">附表 </w:t>
      </w:r>
      <w:r>
        <w:rPr>
          <w:b/>
          <w:bCs w:val="0"/>
          <w:color w:val="auto"/>
          <w:spacing w:val="-17"/>
          <w:sz w:val="24"/>
          <w:szCs w:val="24"/>
        </w:rPr>
        <w:t>17）</w:t>
      </w:r>
      <w:r>
        <w:rPr>
          <w:b/>
          <w:bCs w:val="0"/>
          <w:color w:val="auto"/>
          <w:spacing w:val="-2"/>
          <w:sz w:val="24"/>
          <w:szCs w:val="24"/>
        </w:rPr>
        <w:t>钢材调差结算单价</w:t>
      </w:r>
      <w:r>
        <w:rPr>
          <w:b/>
          <w:bCs w:val="0"/>
          <w:color w:val="auto"/>
          <w:sz w:val="24"/>
          <w:szCs w:val="24"/>
        </w:rPr>
        <w:t>表（</w:t>
      </w:r>
      <w:r>
        <w:rPr>
          <w:b/>
          <w:bCs w:val="0"/>
          <w:color w:val="auto"/>
          <w:spacing w:val="-28"/>
          <w:sz w:val="24"/>
          <w:szCs w:val="24"/>
        </w:rPr>
        <w:t xml:space="preserve">附表 </w:t>
      </w:r>
      <w:r>
        <w:rPr>
          <w:b/>
          <w:bCs w:val="0"/>
          <w:color w:val="auto"/>
          <w:sz w:val="24"/>
          <w:szCs w:val="24"/>
        </w:rPr>
        <w:t>18）水泥调差结算单价表（</w:t>
      </w:r>
      <w:r>
        <w:rPr>
          <w:b/>
          <w:bCs w:val="0"/>
          <w:color w:val="auto"/>
          <w:spacing w:val="-27"/>
          <w:sz w:val="24"/>
          <w:szCs w:val="24"/>
        </w:rPr>
        <w:t xml:space="preserve">附表 </w:t>
      </w:r>
      <w:r>
        <w:rPr>
          <w:b/>
          <w:bCs w:val="0"/>
          <w:color w:val="auto"/>
          <w:sz w:val="24"/>
          <w:szCs w:val="24"/>
        </w:rPr>
        <w:t>19）钢材采购调差结算确认表（</w:t>
      </w:r>
      <w:r>
        <w:rPr>
          <w:b/>
          <w:bCs w:val="0"/>
          <w:color w:val="auto"/>
          <w:spacing w:val="-27"/>
          <w:sz w:val="24"/>
          <w:szCs w:val="24"/>
        </w:rPr>
        <w:t xml:space="preserve">附表 </w:t>
      </w:r>
      <w:r>
        <w:rPr>
          <w:b/>
          <w:bCs w:val="0"/>
          <w:color w:val="auto"/>
          <w:sz w:val="24"/>
          <w:szCs w:val="24"/>
        </w:rPr>
        <w:t>20）水泥采购调差结算确认表（附表21）量价统计表（</w:t>
      </w:r>
      <w:r>
        <w:rPr>
          <w:b/>
          <w:bCs w:val="0"/>
          <w:color w:val="auto"/>
          <w:spacing w:val="-27"/>
          <w:sz w:val="24"/>
          <w:szCs w:val="24"/>
        </w:rPr>
        <w:t xml:space="preserve">附表 </w:t>
      </w:r>
      <w:r>
        <w:rPr>
          <w:b/>
          <w:bCs w:val="0"/>
          <w:color w:val="auto"/>
          <w:sz w:val="24"/>
          <w:szCs w:val="24"/>
        </w:rPr>
        <w:t>22）。</w:t>
      </w:r>
    </w:p>
    <w:p>
      <w:pPr>
        <w:pStyle w:val="2"/>
        <w:spacing w:line="395" w:lineRule="exact"/>
        <w:ind w:left="761" w:firstLine="0"/>
        <w:rPr>
          <w:b/>
          <w:bCs w:val="0"/>
          <w:color w:val="auto"/>
          <w:sz w:val="24"/>
          <w:szCs w:val="24"/>
        </w:rPr>
      </w:pPr>
      <w:r>
        <w:rPr>
          <w:b/>
          <w:bCs w:val="0"/>
          <w:color w:val="auto"/>
          <w:sz w:val="24"/>
          <w:szCs w:val="24"/>
        </w:rPr>
        <w:t>（三）结算流程</w:t>
      </w:r>
    </w:p>
    <w:p>
      <w:pPr>
        <w:pStyle w:val="2"/>
        <w:spacing w:before="149"/>
        <w:ind w:left="761" w:firstLine="0"/>
        <w:rPr>
          <w:b/>
          <w:bCs w:val="0"/>
          <w:color w:val="auto"/>
          <w:sz w:val="24"/>
          <w:szCs w:val="24"/>
        </w:rPr>
      </w:pPr>
      <w:r>
        <w:rPr>
          <w:b/>
          <w:bCs w:val="0"/>
          <w:color w:val="auto"/>
          <w:sz w:val="24"/>
          <w:szCs w:val="24"/>
        </w:rPr>
        <w:t>1、结算时间：自本月 1 日起至本月 30 日（或 31 日）</w:t>
      </w:r>
    </w:p>
    <w:p>
      <w:pPr>
        <w:pStyle w:val="2"/>
        <w:spacing w:before="149"/>
        <w:ind w:firstLine="0"/>
        <w:rPr>
          <w:b/>
          <w:bCs w:val="0"/>
          <w:color w:val="auto"/>
          <w:sz w:val="24"/>
          <w:szCs w:val="24"/>
        </w:rPr>
      </w:pPr>
      <w:r>
        <w:rPr>
          <w:b/>
          <w:bCs w:val="0"/>
          <w:color w:val="auto"/>
          <w:sz w:val="24"/>
          <w:szCs w:val="24"/>
        </w:rPr>
        <w:t>止（自然月的最后一日）为月度结算期。每月 1 日至 5 日</w:t>
      </w:r>
    </w:p>
    <w:p>
      <w:pPr>
        <w:pStyle w:val="2"/>
        <w:spacing w:before="152" w:line="328" w:lineRule="auto"/>
        <w:ind w:right="894" w:firstLine="0"/>
        <w:rPr>
          <w:b/>
          <w:bCs w:val="0"/>
          <w:color w:val="auto"/>
          <w:sz w:val="24"/>
          <w:szCs w:val="24"/>
        </w:rPr>
      </w:pPr>
      <w:r>
        <w:rPr>
          <w:b/>
          <w:bCs w:val="0"/>
          <w:color w:val="auto"/>
          <w:sz w:val="24"/>
          <w:szCs w:val="24"/>
        </w:rPr>
        <w:t>（节假日顺延）为月度材料采购、供应、运输、仓储核对结算时间。</w:t>
      </w:r>
    </w:p>
    <w:p>
      <w:pPr>
        <w:pStyle w:val="2"/>
        <w:spacing w:line="328" w:lineRule="auto"/>
        <w:ind w:right="1082"/>
        <w:rPr>
          <w:b/>
          <w:bCs w:val="0"/>
          <w:color w:val="auto"/>
          <w:sz w:val="24"/>
          <w:szCs w:val="24"/>
        </w:rPr>
      </w:pPr>
      <w:r>
        <w:rPr>
          <w:b/>
          <w:bCs w:val="0"/>
          <w:color w:val="auto"/>
          <w:sz w:val="24"/>
          <w:szCs w:val="24"/>
        </w:rPr>
        <w:t>2、供应厂商、运输单位、施工单位必须在上述规定时间内带齐材料项目部要求的有关资料及单位公章或结算专</w:t>
      </w:r>
    </w:p>
    <w:p>
      <w:pPr>
        <w:spacing w:after="0" w:line="328" w:lineRule="auto"/>
        <w:rPr>
          <w:b/>
          <w:bCs w:val="0"/>
          <w:color w:val="auto"/>
          <w:sz w:val="24"/>
          <w:szCs w:val="24"/>
        </w:rPr>
        <w:sectPr>
          <w:pgSz w:w="11910" w:h="16840"/>
          <w:pgMar w:top="1520" w:right="860" w:bottom="1160" w:left="1680" w:header="0" w:footer="975" w:gutter="0"/>
          <w:pgNumType w:fmt="decimal"/>
        </w:sectPr>
      </w:pPr>
    </w:p>
    <w:p>
      <w:pPr>
        <w:pStyle w:val="2"/>
        <w:spacing w:before="30" w:line="328" w:lineRule="auto"/>
        <w:ind w:right="938" w:firstLine="0"/>
        <w:jc w:val="both"/>
        <w:rPr>
          <w:b/>
          <w:bCs w:val="0"/>
          <w:color w:val="auto"/>
          <w:sz w:val="24"/>
          <w:szCs w:val="24"/>
        </w:rPr>
      </w:pPr>
      <w:r>
        <w:rPr>
          <w:b/>
          <w:bCs w:val="0"/>
          <w:color w:val="auto"/>
          <w:spacing w:val="-5"/>
          <w:sz w:val="24"/>
          <w:szCs w:val="24"/>
        </w:rPr>
        <w:t>用章，统一到材料项目部进行月度采购、供应、运输核对签认工作，经核对无误后由各方在月度甲供材料结算确认表上</w:t>
      </w:r>
      <w:r>
        <w:rPr>
          <w:b/>
          <w:bCs w:val="0"/>
          <w:color w:val="auto"/>
          <w:sz w:val="24"/>
          <w:szCs w:val="24"/>
        </w:rPr>
        <w:t>签字盖章确认。</w:t>
      </w:r>
    </w:p>
    <w:p>
      <w:pPr>
        <w:pStyle w:val="2"/>
        <w:spacing w:line="326" w:lineRule="auto"/>
        <w:ind w:right="938"/>
        <w:rPr>
          <w:b/>
          <w:bCs w:val="0"/>
          <w:color w:val="auto"/>
          <w:sz w:val="24"/>
          <w:szCs w:val="24"/>
        </w:rPr>
      </w:pPr>
      <w:r>
        <w:rPr>
          <w:b/>
          <w:bCs w:val="0"/>
          <w:color w:val="auto"/>
          <w:sz w:val="24"/>
          <w:szCs w:val="24"/>
        </w:rPr>
        <w:t>3</w:t>
      </w:r>
      <w:r>
        <w:rPr>
          <w:b/>
          <w:bCs w:val="0"/>
          <w:color w:val="auto"/>
          <w:spacing w:val="-14"/>
          <w:sz w:val="24"/>
          <w:szCs w:val="24"/>
        </w:rPr>
        <w:t>、材料项目部按各方确认的数据编制月度采购、供应、</w:t>
      </w:r>
      <w:r>
        <w:rPr>
          <w:b/>
          <w:bCs w:val="0"/>
          <w:color w:val="auto"/>
          <w:sz w:val="24"/>
          <w:szCs w:val="24"/>
        </w:rPr>
        <w:t>运输结算确认表和汇总表。</w:t>
      </w:r>
    </w:p>
    <w:p>
      <w:pPr>
        <w:pStyle w:val="2"/>
        <w:spacing w:before="1" w:line="326" w:lineRule="auto"/>
        <w:ind w:right="790"/>
        <w:rPr>
          <w:b/>
          <w:bCs w:val="0"/>
          <w:color w:val="auto"/>
          <w:sz w:val="24"/>
          <w:szCs w:val="24"/>
        </w:rPr>
      </w:pPr>
      <w:r>
        <w:rPr>
          <w:b/>
          <w:bCs w:val="0"/>
          <w:color w:val="auto"/>
          <w:sz w:val="24"/>
          <w:szCs w:val="24"/>
        </w:rPr>
        <w:t>4、材料项目部将月度签认完毕的各项结算表报送物流</w:t>
      </w:r>
      <w:r>
        <w:rPr>
          <w:b/>
          <w:bCs w:val="0"/>
          <w:color w:val="auto"/>
          <w:spacing w:val="4"/>
          <w:w w:val="95"/>
          <w:sz w:val="24"/>
          <w:szCs w:val="24"/>
        </w:rPr>
        <w:t>集团财务部，将施工单位结算表及汇总表报送项目</w:t>
      </w:r>
      <w:r>
        <w:rPr>
          <w:b/>
          <w:bCs w:val="0"/>
          <w:color w:val="auto"/>
          <w:spacing w:val="7"/>
          <w:w w:val="95"/>
          <w:sz w:val="24"/>
          <w:szCs w:val="24"/>
        </w:rPr>
        <w:t>（</w:t>
      </w:r>
      <w:r>
        <w:rPr>
          <w:b/>
          <w:bCs w:val="0"/>
          <w:color w:val="auto"/>
          <w:spacing w:val="8"/>
          <w:w w:val="95"/>
          <w:sz w:val="24"/>
          <w:szCs w:val="24"/>
        </w:rPr>
        <w:t>总监</w:t>
      </w:r>
      <w:r>
        <w:rPr>
          <w:b/>
          <w:bCs w:val="0"/>
          <w:color w:val="auto"/>
          <w:spacing w:val="-11"/>
          <w:w w:val="95"/>
          <w:sz w:val="24"/>
          <w:szCs w:val="24"/>
        </w:rPr>
        <w:t xml:space="preserve">） </w:t>
      </w:r>
      <w:r>
        <w:rPr>
          <w:b/>
          <w:bCs w:val="0"/>
          <w:color w:val="auto"/>
          <w:sz w:val="24"/>
          <w:szCs w:val="24"/>
        </w:rPr>
        <w:t>办审核。</w:t>
      </w:r>
    </w:p>
    <w:p>
      <w:pPr>
        <w:pStyle w:val="2"/>
        <w:spacing w:before="8"/>
        <w:ind w:left="761" w:firstLine="0"/>
        <w:rPr>
          <w:b/>
          <w:bCs w:val="0"/>
          <w:color w:val="auto"/>
          <w:sz w:val="24"/>
          <w:szCs w:val="24"/>
        </w:rPr>
      </w:pPr>
      <w:r>
        <w:rPr>
          <w:b/>
          <w:bCs w:val="0"/>
          <w:color w:val="auto"/>
          <w:sz w:val="24"/>
          <w:szCs w:val="24"/>
        </w:rPr>
        <w:t>（四）票据开具与交接</w:t>
      </w:r>
    </w:p>
    <w:p>
      <w:pPr>
        <w:pStyle w:val="2"/>
        <w:spacing w:before="149" w:line="326" w:lineRule="auto"/>
        <w:ind w:right="925"/>
        <w:rPr>
          <w:b/>
          <w:bCs w:val="0"/>
          <w:color w:val="auto"/>
          <w:sz w:val="24"/>
          <w:szCs w:val="24"/>
        </w:rPr>
      </w:pPr>
      <w:r>
        <w:rPr>
          <w:b/>
          <w:bCs w:val="0"/>
          <w:color w:val="auto"/>
          <w:sz w:val="24"/>
          <w:szCs w:val="24"/>
        </w:rPr>
        <w:t>1、材料项目部根据月度结算表要求供应厂商在每月 25 日前将对物流集团开具增值税专用进项发票。</w:t>
      </w:r>
    </w:p>
    <w:p>
      <w:pPr>
        <w:pStyle w:val="2"/>
        <w:spacing w:before="6" w:line="326" w:lineRule="auto"/>
        <w:ind w:right="1085"/>
        <w:rPr>
          <w:b/>
          <w:bCs w:val="0"/>
          <w:color w:val="auto"/>
          <w:sz w:val="24"/>
          <w:szCs w:val="24"/>
        </w:rPr>
      </w:pPr>
      <w:r>
        <w:rPr>
          <w:b/>
          <w:bCs w:val="0"/>
          <w:color w:val="auto"/>
          <w:sz w:val="24"/>
          <w:szCs w:val="24"/>
        </w:rPr>
        <w:t>2、运输单位结算完毕后，根据材料项目部提供的施工单位信息对符合包件对应的施工单位开具增值税运输专用发票。</w:t>
      </w:r>
    </w:p>
    <w:p>
      <w:pPr>
        <w:pStyle w:val="2"/>
        <w:spacing w:before="7" w:line="326" w:lineRule="auto"/>
        <w:ind w:right="1085"/>
        <w:rPr>
          <w:b/>
          <w:bCs w:val="0"/>
          <w:color w:val="auto"/>
          <w:sz w:val="24"/>
          <w:szCs w:val="24"/>
        </w:rPr>
      </w:pPr>
      <w:r>
        <w:rPr>
          <w:b/>
          <w:bCs w:val="0"/>
          <w:color w:val="auto"/>
          <w:sz w:val="24"/>
          <w:szCs w:val="24"/>
        </w:rPr>
        <w:t>3、仓储单位在结算完毕后，对物流集团开具增值税仓储专用发票。</w:t>
      </w:r>
    </w:p>
    <w:p>
      <w:pPr>
        <w:pStyle w:val="2"/>
        <w:spacing w:before="3" w:line="328" w:lineRule="auto"/>
        <w:ind w:right="1085"/>
        <w:rPr>
          <w:b/>
          <w:bCs w:val="0"/>
          <w:color w:val="auto"/>
          <w:sz w:val="24"/>
          <w:szCs w:val="24"/>
        </w:rPr>
      </w:pPr>
      <w:r>
        <w:rPr>
          <w:b/>
          <w:bCs w:val="0"/>
          <w:color w:val="auto"/>
          <w:sz w:val="24"/>
          <w:szCs w:val="24"/>
        </w:rPr>
        <w:t>4、物流集团财务部根据材料项目部提供的施工单位信息及报送的施工单位结算确认表对施工单位开具增值税专用发票。</w:t>
      </w:r>
    </w:p>
    <w:p>
      <w:pPr>
        <w:pStyle w:val="2"/>
        <w:spacing w:line="328" w:lineRule="auto"/>
        <w:ind w:right="735"/>
        <w:rPr>
          <w:b/>
          <w:bCs w:val="0"/>
          <w:color w:val="auto"/>
          <w:sz w:val="24"/>
          <w:szCs w:val="24"/>
        </w:rPr>
      </w:pPr>
      <w:r>
        <w:rPr>
          <w:b/>
          <w:bCs w:val="0"/>
          <w:color w:val="auto"/>
          <w:sz w:val="24"/>
          <w:szCs w:val="24"/>
        </w:rPr>
        <w:t>5、所有发票交接手续由材料项目部结算岗位人员完成， 并要求有完整的交接签字手续。</w:t>
      </w:r>
    </w:p>
    <w:p>
      <w:pPr>
        <w:pStyle w:val="2"/>
        <w:spacing w:line="408" w:lineRule="exact"/>
        <w:ind w:left="761" w:firstLine="0"/>
        <w:rPr>
          <w:b/>
          <w:bCs w:val="0"/>
          <w:color w:val="auto"/>
          <w:sz w:val="24"/>
          <w:szCs w:val="24"/>
        </w:rPr>
      </w:pPr>
      <w:r>
        <w:rPr>
          <w:b/>
          <w:bCs w:val="0"/>
          <w:color w:val="auto"/>
          <w:sz w:val="24"/>
          <w:szCs w:val="24"/>
        </w:rPr>
        <w:t>（五）材料调差</w:t>
      </w:r>
    </w:p>
    <w:p>
      <w:pPr>
        <w:pStyle w:val="2"/>
        <w:spacing w:before="145"/>
        <w:ind w:left="761" w:firstLine="0"/>
        <w:rPr>
          <w:b/>
          <w:bCs w:val="0"/>
          <w:color w:val="auto"/>
          <w:sz w:val="24"/>
          <w:szCs w:val="24"/>
        </w:rPr>
      </w:pPr>
      <w:r>
        <w:rPr>
          <w:b/>
          <w:bCs w:val="0"/>
          <w:color w:val="auto"/>
          <w:sz w:val="24"/>
          <w:szCs w:val="24"/>
        </w:rPr>
        <w:t>1、材料调差是对供应厂商和施工单位的调差。</w:t>
      </w:r>
    </w:p>
    <w:p>
      <w:pPr>
        <w:spacing w:after="0"/>
        <w:rPr>
          <w:b/>
          <w:bCs w:val="0"/>
          <w:color w:val="auto"/>
          <w:sz w:val="24"/>
          <w:szCs w:val="24"/>
        </w:rPr>
        <w:sectPr>
          <w:pgSz w:w="11910" w:h="16840"/>
          <w:pgMar w:top="1520" w:right="860" w:bottom="1160" w:left="1680" w:header="0" w:footer="975" w:gutter="0"/>
          <w:pgNumType w:fmt="decimal"/>
        </w:sectPr>
      </w:pPr>
    </w:p>
    <w:p>
      <w:pPr>
        <w:pStyle w:val="2"/>
        <w:spacing w:before="30" w:line="328" w:lineRule="auto"/>
        <w:ind w:right="893"/>
        <w:rPr>
          <w:b/>
          <w:bCs w:val="0"/>
          <w:color w:val="auto"/>
          <w:sz w:val="24"/>
          <w:szCs w:val="24"/>
        </w:rPr>
      </w:pPr>
      <w:r>
        <w:rPr>
          <w:b/>
          <w:bCs w:val="0"/>
          <w:color w:val="auto"/>
          <w:sz w:val="24"/>
          <w:szCs w:val="24"/>
        </w:rPr>
        <w:t>2、甲供材料调差工作遵循招标文件专用条款调差的原则，甲供材料调差结算工作流程与甲供材料结算工作流程相同。每两个月进行一次调差结算，调差结算确认表对应所调月度的材料结算确认表，调差结算差额在当月的材料结算款中抵减或补扣。</w:t>
      </w:r>
    </w:p>
    <w:p>
      <w:pPr>
        <w:pStyle w:val="2"/>
        <w:spacing w:line="402" w:lineRule="exact"/>
        <w:ind w:left="761" w:firstLine="0"/>
        <w:rPr>
          <w:b/>
          <w:bCs w:val="0"/>
          <w:color w:val="auto"/>
          <w:sz w:val="24"/>
          <w:szCs w:val="24"/>
        </w:rPr>
      </w:pPr>
      <w:r>
        <w:rPr>
          <w:b/>
          <w:bCs w:val="0"/>
          <w:color w:val="auto"/>
          <w:sz w:val="24"/>
          <w:szCs w:val="24"/>
        </w:rPr>
        <w:t>（六）材料款的扣回与支付</w:t>
      </w:r>
    </w:p>
    <w:p>
      <w:pPr>
        <w:pStyle w:val="2"/>
        <w:spacing w:before="150" w:line="328" w:lineRule="auto"/>
        <w:ind w:right="770"/>
        <w:rPr>
          <w:b/>
          <w:bCs w:val="0"/>
          <w:color w:val="auto"/>
          <w:sz w:val="24"/>
          <w:szCs w:val="24"/>
        </w:rPr>
      </w:pPr>
      <w:r>
        <w:rPr>
          <w:b/>
          <w:bCs w:val="0"/>
          <w:color w:val="auto"/>
          <w:sz w:val="24"/>
          <w:szCs w:val="24"/>
        </w:rPr>
        <w:t>1、项目（总监）办审核完毕后，材料项目部需向物流集团报送支付确认表（附表 23），支付表需物流集团盖章， 集团公司计划部、财务部签字，集团公司盖章，最后返回项目（总监）办。</w:t>
      </w:r>
    </w:p>
    <w:p>
      <w:pPr>
        <w:pStyle w:val="2"/>
        <w:spacing w:line="328" w:lineRule="auto"/>
        <w:ind w:right="1085"/>
        <w:rPr>
          <w:b/>
          <w:bCs w:val="0"/>
          <w:color w:val="auto"/>
          <w:sz w:val="24"/>
          <w:szCs w:val="24"/>
        </w:rPr>
      </w:pPr>
      <w:r>
        <w:rPr>
          <w:b/>
          <w:bCs w:val="0"/>
          <w:color w:val="auto"/>
          <w:sz w:val="24"/>
          <w:szCs w:val="24"/>
        </w:rPr>
        <w:t>2、集团公司根据项目（总监）办审核签字盖章的甲供材料确认汇总表与支付确认表在施工单位工程结算款中予以扣回。</w:t>
      </w:r>
    </w:p>
    <w:p>
      <w:pPr>
        <w:pStyle w:val="2"/>
        <w:spacing w:line="328" w:lineRule="auto"/>
        <w:ind w:right="935"/>
        <w:rPr>
          <w:b/>
          <w:bCs w:val="0"/>
          <w:color w:val="auto"/>
          <w:sz w:val="24"/>
          <w:szCs w:val="24"/>
        </w:rPr>
      </w:pPr>
      <w:r>
        <w:rPr>
          <w:b/>
          <w:bCs w:val="0"/>
          <w:color w:val="auto"/>
          <w:sz w:val="24"/>
          <w:szCs w:val="24"/>
        </w:rPr>
        <w:t>3、材料项目部根据结算后的金额，在确保进项发票到</w:t>
      </w:r>
      <w:r>
        <w:rPr>
          <w:b/>
          <w:bCs w:val="0"/>
          <w:color w:val="auto"/>
          <w:spacing w:val="-3"/>
          <w:sz w:val="24"/>
          <w:szCs w:val="24"/>
        </w:rPr>
        <w:t>位的前提下，对供应商、运输单位、仓储单位编制资金支付</w:t>
      </w:r>
      <w:r>
        <w:rPr>
          <w:b/>
          <w:bCs w:val="0"/>
          <w:color w:val="auto"/>
          <w:spacing w:val="-10"/>
          <w:sz w:val="24"/>
          <w:szCs w:val="24"/>
        </w:rPr>
        <w:t>申请书</w:t>
      </w:r>
      <w:r>
        <w:rPr>
          <w:b/>
          <w:bCs w:val="0"/>
          <w:color w:val="auto"/>
          <w:sz w:val="24"/>
          <w:szCs w:val="24"/>
        </w:rPr>
        <w:t>（</w:t>
      </w:r>
      <w:r>
        <w:rPr>
          <w:b/>
          <w:bCs w:val="0"/>
          <w:color w:val="auto"/>
          <w:spacing w:val="-28"/>
          <w:sz w:val="24"/>
          <w:szCs w:val="24"/>
        </w:rPr>
        <w:t xml:space="preserve">附表 </w:t>
      </w:r>
      <w:r>
        <w:rPr>
          <w:b/>
          <w:bCs w:val="0"/>
          <w:color w:val="auto"/>
          <w:spacing w:val="-12"/>
          <w:sz w:val="24"/>
          <w:szCs w:val="24"/>
        </w:rPr>
        <w:t>24）</w:t>
      </w:r>
      <w:r>
        <w:rPr>
          <w:b/>
          <w:bCs w:val="0"/>
          <w:color w:val="auto"/>
          <w:spacing w:val="-7"/>
          <w:sz w:val="24"/>
          <w:szCs w:val="24"/>
        </w:rPr>
        <w:t>，审核签字流程：材料项目部结算岗位经</w:t>
      </w:r>
      <w:r>
        <w:rPr>
          <w:b/>
          <w:bCs w:val="0"/>
          <w:color w:val="auto"/>
          <w:spacing w:val="-3"/>
          <w:sz w:val="24"/>
          <w:szCs w:val="24"/>
        </w:rPr>
        <w:t>办人员、材料项目部负责人签字并盖公章、物流集团分管领导、物流集团财务部、物流集团总经理。</w:t>
      </w:r>
    </w:p>
    <w:p>
      <w:pPr>
        <w:pStyle w:val="3"/>
        <w:tabs>
          <w:tab w:val="left" w:pos="2372"/>
        </w:tabs>
        <w:spacing w:line="476" w:lineRule="exact"/>
        <w:rPr>
          <w:b/>
          <w:bCs w:val="0"/>
          <w:color w:val="auto"/>
          <w:sz w:val="24"/>
          <w:szCs w:val="24"/>
        </w:rPr>
      </w:pPr>
      <w:r>
        <w:rPr>
          <w:b/>
          <w:bCs w:val="0"/>
          <w:color w:val="auto"/>
          <w:sz w:val="24"/>
          <w:szCs w:val="24"/>
        </w:rPr>
        <w:t>第十八条</w:t>
      </w:r>
      <w:r>
        <w:rPr>
          <w:b/>
          <w:bCs w:val="0"/>
          <w:color w:val="auto"/>
          <w:sz w:val="24"/>
          <w:szCs w:val="24"/>
        </w:rPr>
        <w:tab/>
      </w:r>
      <w:r>
        <w:rPr>
          <w:b/>
          <w:bCs w:val="0"/>
          <w:color w:val="auto"/>
          <w:sz w:val="24"/>
          <w:szCs w:val="24"/>
        </w:rPr>
        <w:t>综合事务管理</w:t>
      </w:r>
    </w:p>
    <w:p>
      <w:pPr>
        <w:pStyle w:val="2"/>
        <w:spacing w:before="64"/>
        <w:ind w:left="761" w:firstLine="0"/>
        <w:rPr>
          <w:b/>
          <w:bCs w:val="0"/>
          <w:color w:val="auto"/>
          <w:sz w:val="24"/>
          <w:szCs w:val="24"/>
        </w:rPr>
      </w:pPr>
      <w:r>
        <w:rPr>
          <w:b/>
          <w:bCs w:val="0"/>
          <w:color w:val="auto"/>
          <w:sz w:val="24"/>
          <w:szCs w:val="24"/>
        </w:rPr>
        <w:t>（一）材料项目部收发文管理</w:t>
      </w:r>
    </w:p>
    <w:p>
      <w:pPr>
        <w:pStyle w:val="2"/>
        <w:spacing w:before="152" w:line="328" w:lineRule="auto"/>
        <w:ind w:right="1085"/>
        <w:rPr>
          <w:b/>
          <w:bCs w:val="0"/>
          <w:color w:val="auto"/>
          <w:sz w:val="24"/>
          <w:szCs w:val="24"/>
        </w:rPr>
      </w:pPr>
      <w:r>
        <w:rPr>
          <w:b/>
          <w:bCs w:val="0"/>
          <w:color w:val="auto"/>
          <w:sz w:val="24"/>
          <w:szCs w:val="24"/>
        </w:rPr>
        <w:t>1、材料项目部收发文管理工作由材料项目负责人指定专人负责。</w:t>
      </w:r>
    </w:p>
    <w:p>
      <w:pPr>
        <w:pStyle w:val="2"/>
        <w:spacing w:line="328" w:lineRule="auto"/>
        <w:ind w:right="1085"/>
        <w:rPr>
          <w:b/>
          <w:bCs w:val="0"/>
          <w:color w:val="auto"/>
          <w:sz w:val="24"/>
          <w:szCs w:val="24"/>
        </w:rPr>
      </w:pPr>
      <w:r>
        <w:rPr>
          <w:b/>
          <w:bCs w:val="0"/>
          <w:color w:val="auto"/>
          <w:sz w:val="24"/>
          <w:szCs w:val="24"/>
        </w:rPr>
        <w:t>2、收发文范围包括：文件、传真、邮件以及无纸化传输系统、电子办公系统收发的各种文件资料等。</w:t>
      </w:r>
    </w:p>
    <w:p>
      <w:pPr>
        <w:spacing w:after="0" w:line="328" w:lineRule="auto"/>
        <w:rPr>
          <w:b/>
          <w:bCs w:val="0"/>
          <w:color w:val="auto"/>
          <w:sz w:val="24"/>
          <w:szCs w:val="24"/>
        </w:rPr>
        <w:sectPr>
          <w:pgSz w:w="11910" w:h="16840"/>
          <w:pgMar w:top="1520" w:right="860" w:bottom="1160" w:left="1680" w:header="0" w:footer="975" w:gutter="0"/>
          <w:pgNumType w:fmt="decimal"/>
        </w:sectPr>
      </w:pPr>
    </w:p>
    <w:p>
      <w:pPr>
        <w:pStyle w:val="2"/>
        <w:spacing w:before="30" w:line="326" w:lineRule="auto"/>
        <w:ind w:right="1085"/>
        <w:rPr>
          <w:b/>
          <w:bCs w:val="0"/>
          <w:color w:val="auto"/>
          <w:sz w:val="24"/>
          <w:szCs w:val="24"/>
        </w:rPr>
      </w:pPr>
      <w:r>
        <w:rPr>
          <w:b/>
          <w:bCs w:val="0"/>
          <w:color w:val="auto"/>
          <w:sz w:val="24"/>
          <w:szCs w:val="24"/>
        </w:rPr>
        <w:t>3、收发文件资料应及时、准确送达有关单位和部门以及相关人员，不得延误和积压。</w:t>
      </w:r>
    </w:p>
    <w:p>
      <w:pPr>
        <w:pStyle w:val="2"/>
        <w:spacing w:before="6" w:line="326" w:lineRule="auto"/>
        <w:ind w:right="1085"/>
        <w:rPr>
          <w:b/>
          <w:bCs w:val="0"/>
          <w:color w:val="auto"/>
          <w:sz w:val="24"/>
          <w:szCs w:val="24"/>
        </w:rPr>
      </w:pPr>
      <w:r>
        <w:rPr>
          <w:b/>
          <w:bCs w:val="0"/>
          <w:color w:val="auto"/>
          <w:sz w:val="24"/>
          <w:szCs w:val="24"/>
        </w:rPr>
        <w:t>4、材料项目部处理公文时，应按照国家公文处理相关规定以及物流集团相关要求进行处理。</w:t>
      </w:r>
    </w:p>
    <w:p>
      <w:pPr>
        <w:pStyle w:val="2"/>
        <w:spacing w:before="3" w:line="328" w:lineRule="auto"/>
        <w:ind w:left="761" w:right="4125" w:firstLine="0"/>
        <w:rPr>
          <w:b/>
          <w:bCs w:val="0"/>
          <w:color w:val="auto"/>
          <w:sz w:val="24"/>
          <w:szCs w:val="24"/>
        </w:rPr>
      </w:pPr>
      <w:r>
        <w:rPr>
          <w:b/>
          <w:bCs w:val="0"/>
          <w:color w:val="auto"/>
          <w:sz w:val="24"/>
          <w:szCs w:val="24"/>
        </w:rPr>
        <w:t>（二）材料项目部费用报销管理1、费用开支原则</w:t>
      </w:r>
    </w:p>
    <w:p>
      <w:pPr>
        <w:pStyle w:val="2"/>
        <w:spacing w:line="328" w:lineRule="auto"/>
        <w:ind w:right="435"/>
        <w:rPr>
          <w:b/>
          <w:bCs w:val="0"/>
          <w:color w:val="auto"/>
          <w:sz w:val="24"/>
          <w:szCs w:val="24"/>
        </w:rPr>
      </w:pPr>
      <w:r>
        <w:rPr>
          <w:b/>
          <w:bCs w:val="0"/>
          <w:color w:val="auto"/>
          <w:spacing w:val="-13"/>
          <w:sz w:val="24"/>
          <w:szCs w:val="24"/>
        </w:rPr>
        <w:t>费用开支应遵循“必要、合理、节约”的原则，确保物流集</w:t>
      </w:r>
      <w:r>
        <w:rPr>
          <w:b/>
          <w:bCs w:val="0"/>
          <w:color w:val="auto"/>
          <w:sz w:val="24"/>
          <w:szCs w:val="24"/>
        </w:rPr>
        <w:t>团经济利益不受损害。</w:t>
      </w:r>
    </w:p>
    <w:p>
      <w:pPr>
        <w:pStyle w:val="2"/>
        <w:spacing w:line="408" w:lineRule="exact"/>
        <w:ind w:left="761" w:firstLine="0"/>
        <w:rPr>
          <w:b/>
          <w:bCs w:val="0"/>
          <w:color w:val="auto"/>
          <w:sz w:val="24"/>
          <w:szCs w:val="24"/>
        </w:rPr>
      </w:pPr>
      <w:r>
        <w:rPr>
          <w:b/>
          <w:bCs w:val="0"/>
          <w:color w:val="auto"/>
          <w:sz w:val="24"/>
          <w:szCs w:val="24"/>
        </w:rPr>
        <w:t>2、费用额度管理</w:t>
      </w:r>
    </w:p>
    <w:p>
      <w:pPr>
        <w:pStyle w:val="2"/>
        <w:spacing w:before="147" w:line="328" w:lineRule="auto"/>
        <w:ind w:right="433"/>
        <w:rPr>
          <w:b/>
          <w:bCs w:val="0"/>
          <w:color w:val="auto"/>
          <w:sz w:val="24"/>
          <w:szCs w:val="24"/>
        </w:rPr>
      </w:pPr>
      <w:r>
        <w:rPr>
          <w:b/>
          <w:bCs w:val="0"/>
          <w:color w:val="auto"/>
          <w:sz w:val="24"/>
          <w:szCs w:val="24"/>
        </w:rPr>
        <w:t>材料项目部的费用实行额度管理根据物流集团各类报销控</w:t>
      </w:r>
      <w:r>
        <w:rPr>
          <w:b/>
          <w:bCs w:val="0"/>
          <w:color w:val="auto"/>
          <w:spacing w:val="-14"/>
          <w:sz w:val="24"/>
          <w:szCs w:val="24"/>
        </w:rPr>
        <w:t>制额度执行，实行每月报销制度，材料项目部内部审核后报经物</w:t>
      </w:r>
      <w:r>
        <w:rPr>
          <w:b/>
          <w:bCs w:val="0"/>
          <w:color w:val="auto"/>
          <w:spacing w:val="-11"/>
          <w:sz w:val="24"/>
          <w:szCs w:val="24"/>
        </w:rPr>
        <w:t>流集团分管领导审核后，报总经理审批。如有超额度情况，必须</w:t>
      </w:r>
      <w:r>
        <w:rPr>
          <w:b/>
          <w:bCs w:val="0"/>
          <w:color w:val="auto"/>
          <w:sz w:val="24"/>
          <w:szCs w:val="24"/>
        </w:rPr>
        <w:t>事先书面报分管领导审核，报总经理批准。</w:t>
      </w:r>
    </w:p>
    <w:p>
      <w:pPr>
        <w:pStyle w:val="2"/>
        <w:spacing w:line="402" w:lineRule="exact"/>
        <w:ind w:left="761" w:firstLine="0"/>
        <w:rPr>
          <w:b/>
          <w:bCs w:val="0"/>
          <w:color w:val="auto"/>
          <w:sz w:val="24"/>
          <w:szCs w:val="24"/>
        </w:rPr>
      </w:pPr>
      <w:r>
        <w:rPr>
          <w:b/>
          <w:bCs w:val="0"/>
          <w:color w:val="auto"/>
          <w:sz w:val="24"/>
          <w:szCs w:val="24"/>
        </w:rPr>
        <w:t>3、费用报销程序</w:t>
      </w:r>
    </w:p>
    <w:p>
      <w:pPr>
        <w:pStyle w:val="2"/>
        <w:spacing w:before="152" w:line="328" w:lineRule="auto"/>
        <w:ind w:right="434"/>
        <w:jc w:val="both"/>
        <w:rPr>
          <w:b/>
          <w:bCs w:val="0"/>
          <w:color w:val="auto"/>
          <w:sz w:val="24"/>
          <w:szCs w:val="24"/>
        </w:rPr>
      </w:pPr>
      <w:r>
        <w:rPr>
          <w:b/>
          <w:bCs w:val="0"/>
          <w:color w:val="auto"/>
          <w:spacing w:val="-7"/>
          <w:sz w:val="24"/>
          <w:szCs w:val="24"/>
        </w:rPr>
        <w:t xml:space="preserve">材料项目部月度费用报销时间在每月 </w:t>
      </w:r>
      <w:r>
        <w:rPr>
          <w:b/>
          <w:bCs w:val="0"/>
          <w:color w:val="auto"/>
          <w:sz w:val="24"/>
          <w:szCs w:val="24"/>
        </w:rPr>
        <w:t>5</w:t>
      </w:r>
      <w:r>
        <w:rPr>
          <w:b/>
          <w:bCs w:val="0"/>
          <w:color w:val="auto"/>
          <w:spacing w:val="-35"/>
          <w:sz w:val="24"/>
          <w:szCs w:val="24"/>
        </w:rPr>
        <w:t xml:space="preserve"> 日-</w:t>
      </w:r>
      <w:r>
        <w:rPr>
          <w:b/>
          <w:bCs w:val="0"/>
          <w:color w:val="auto"/>
          <w:sz w:val="24"/>
          <w:szCs w:val="24"/>
        </w:rPr>
        <w:t>10</w:t>
      </w:r>
      <w:r>
        <w:rPr>
          <w:b/>
          <w:bCs w:val="0"/>
          <w:color w:val="auto"/>
          <w:spacing w:val="-19"/>
          <w:sz w:val="24"/>
          <w:szCs w:val="24"/>
        </w:rPr>
        <w:t xml:space="preserve"> 日期间完成上</w:t>
      </w:r>
      <w:r>
        <w:rPr>
          <w:b/>
          <w:bCs w:val="0"/>
          <w:color w:val="auto"/>
          <w:spacing w:val="-12"/>
          <w:sz w:val="24"/>
          <w:szCs w:val="24"/>
        </w:rPr>
        <w:t>月报销统计工作，材料项目部收齐并检查发票真伪后，随同凭证</w:t>
      </w:r>
      <w:r>
        <w:rPr>
          <w:b/>
          <w:bCs w:val="0"/>
          <w:color w:val="auto"/>
          <w:spacing w:val="-11"/>
          <w:sz w:val="24"/>
          <w:szCs w:val="24"/>
        </w:rPr>
        <w:t>和费用报销月度汇总表、月度招待费明细表交财务部审核后，报</w:t>
      </w:r>
      <w:r>
        <w:rPr>
          <w:b/>
          <w:bCs w:val="0"/>
          <w:color w:val="auto"/>
          <w:sz w:val="24"/>
          <w:szCs w:val="24"/>
        </w:rPr>
        <w:t>分管领导审核，报总经理审批后交财务部办理报销支付。</w:t>
      </w:r>
    </w:p>
    <w:p>
      <w:pPr>
        <w:pStyle w:val="2"/>
        <w:spacing w:line="402" w:lineRule="exact"/>
        <w:ind w:left="761" w:firstLine="0"/>
        <w:rPr>
          <w:b/>
          <w:bCs w:val="0"/>
          <w:color w:val="auto"/>
          <w:sz w:val="24"/>
          <w:szCs w:val="24"/>
        </w:rPr>
      </w:pPr>
      <w:r>
        <w:rPr>
          <w:b/>
          <w:bCs w:val="0"/>
          <w:color w:val="auto"/>
          <w:sz w:val="24"/>
          <w:szCs w:val="24"/>
        </w:rPr>
        <w:t>４、报销要求</w:t>
      </w:r>
    </w:p>
    <w:p>
      <w:pPr>
        <w:pStyle w:val="2"/>
        <w:spacing w:before="149" w:line="328" w:lineRule="auto"/>
        <w:ind w:right="117"/>
        <w:rPr>
          <w:b/>
          <w:bCs w:val="0"/>
          <w:color w:val="auto"/>
          <w:sz w:val="24"/>
          <w:szCs w:val="24"/>
        </w:rPr>
      </w:pPr>
      <w:r>
        <w:rPr>
          <w:b/>
          <w:bCs w:val="0"/>
          <w:color w:val="auto"/>
          <w:spacing w:val="-13"/>
          <w:sz w:val="24"/>
          <w:szCs w:val="24"/>
        </w:rPr>
        <w:t xml:space="preserve">为便于考核和费用控制，材料项目部费用报销必须按月进行， </w:t>
      </w:r>
      <w:r>
        <w:rPr>
          <w:b/>
          <w:bCs w:val="0"/>
          <w:color w:val="auto"/>
          <w:spacing w:val="-5"/>
          <w:sz w:val="24"/>
          <w:szCs w:val="24"/>
        </w:rPr>
        <w:t xml:space="preserve">材料项目部岗位人员本月费用在次月 </w:t>
      </w:r>
      <w:r>
        <w:rPr>
          <w:b/>
          <w:bCs w:val="0"/>
          <w:color w:val="auto"/>
          <w:sz w:val="24"/>
          <w:szCs w:val="24"/>
        </w:rPr>
        <w:t>5</w:t>
      </w:r>
      <w:r>
        <w:rPr>
          <w:b/>
          <w:bCs w:val="0"/>
          <w:color w:val="auto"/>
          <w:spacing w:val="-10"/>
          <w:sz w:val="24"/>
          <w:szCs w:val="24"/>
        </w:rPr>
        <w:t xml:space="preserve"> 日前整理发票并填写报</w:t>
      </w:r>
    </w:p>
    <w:p>
      <w:pPr>
        <w:pStyle w:val="2"/>
        <w:spacing w:line="328" w:lineRule="auto"/>
        <w:ind w:right="116" w:firstLine="0"/>
        <w:rPr>
          <w:b/>
          <w:bCs w:val="0"/>
          <w:color w:val="auto"/>
          <w:sz w:val="24"/>
          <w:szCs w:val="24"/>
        </w:rPr>
      </w:pPr>
      <w:r>
        <w:rPr>
          <w:b/>
          <w:bCs w:val="0"/>
          <w:color w:val="auto"/>
          <w:spacing w:val="-11"/>
          <w:sz w:val="24"/>
          <w:szCs w:val="24"/>
        </w:rPr>
        <w:t xml:space="preserve">销单后交于报销人员，超过时间未办理又无合理解释的，一律不 </w:t>
      </w:r>
      <w:r>
        <w:rPr>
          <w:b/>
          <w:bCs w:val="0"/>
          <w:color w:val="auto"/>
          <w:spacing w:val="-15"/>
          <w:sz w:val="24"/>
          <w:szCs w:val="24"/>
        </w:rPr>
        <w:t xml:space="preserve">再给予报销。报销时提交的有关票据必须符合税务局的有关规定， </w:t>
      </w:r>
      <w:r>
        <w:rPr>
          <w:b/>
          <w:bCs w:val="0"/>
          <w:color w:val="auto"/>
          <w:spacing w:val="-8"/>
          <w:sz w:val="24"/>
          <w:szCs w:val="24"/>
        </w:rPr>
        <w:t>其真实性由材料项目部主任负责审核，对于无效票据，一律不予</w:t>
      </w:r>
    </w:p>
    <w:p>
      <w:pPr>
        <w:spacing w:after="0" w:line="328" w:lineRule="auto"/>
        <w:rPr>
          <w:b/>
          <w:bCs w:val="0"/>
          <w:color w:val="auto"/>
          <w:sz w:val="24"/>
          <w:szCs w:val="24"/>
        </w:rPr>
        <w:sectPr>
          <w:pgSz w:w="11910" w:h="16840"/>
          <w:pgMar w:top="1520" w:right="860" w:bottom="1160" w:left="1680" w:header="0" w:footer="975" w:gutter="0"/>
          <w:pgNumType w:fmt="decimal"/>
        </w:sectPr>
      </w:pPr>
    </w:p>
    <w:p>
      <w:pPr>
        <w:pStyle w:val="2"/>
        <w:spacing w:before="30"/>
        <w:ind w:firstLine="0"/>
        <w:rPr>
          <w:b/>
          <w:bCs w:val="0"/>
          <w:color w:val="auto"/>
          <w:sz w:val="24"/>
          <w:szCs w:val="24"/>
        </w:rPr>
      </w:pPr>
      <w:r>
        <w:rPr>
          <w:b/>
          <w:bCs w:val="0"/>
          <w:color w:val="auto"/>
          <w:sz w:val="24"/>
          <w:szCs w:val="24"/>
        </w:rPr>
        <w:t>报销。</w:t>
      </w:r>
    </w:p>
    <w:p>
      <w:pPr>
        <w:pStyle w:val="2"/>
        <w:spacing w:before="150"/>
        <w:ind w:left="761" w:firstLine="0"/>
        <w:rPr>
          <w:b/>
          <w:bCs w:val="0"/>
          <w:color w:val="auto"/>
          <w:sz w:val="24"/>
          <w:szCs w:val="24"/>
        </w:rPr>
      </w:pPr>
      <w:r>
        <w:rPr>
          <w:b/>
          <w:bCs w:val="0"/>
          <w:color w:val="auto"/>
          <w:sz w:val="24"/>
          <w:szCs w:val="24"/>
        </w:rPr>
        <w:t>5、备用金管理</w:t>
      </w:r>
    </w:p>
    <w:p>
      <w:pPr>
        <w:pStyle w:val="2"/>
        <w:spacing w:before="151" w:line="326" w:lineRule="auto"/>
        <w:ind w:right="432"/>
        <w:jc w:val="both"/>
        <w:rPr>
          <w:b/>
          <w:bCs w:val="0"/>
          <w:color w:val="auto"/>
          <w:sz w:val="24"/>
          <w:szCs w:val="24"/>
        </w:rPr>
      </w:pPr>
      <w:r>
        <w:rPr>
          <w:b/>
          <w:bCs w:val="0"/>
          <w:color w:val="auto"/>
          <w:spacing w:val="-11"/>
          <w:sz w:val="24"/>
          <w:szCs w:val="24"/>
        </w:rPr>
        <w:t>材料项目部备用金额度为三万元，特殊原因需要追加备用金</w:t>
      </w:r>
      <w:r>
        <w:rPr>
          <w:b/>
          <w:bCs w:val="0"/>
          <w:color w:val="auto"/>
          <w:spacing w:val="-17"/>
          <w:sz w:val="24"/>
          <w:szCs w:val="24"/>
        </w:rPr>
        <w:t>时按程序另行书面申请，经分管领导审核后，报总经理批准。备</w:t>
      </w:r>
      <w:r>
        <w:rPr>
          <w:b/>
          <w:bCs w:val="0"/>
          <w:color w:val="auto"/>
          <w:sz w:val="24"/>
          <w:szCs w:val="24"/>
        </w:rPr>
        <w:t>用金借支必须符合物流集团规定的使用时间和用途。</w:t>
      </w:r>
    </w:p>
    <w:p>
      <w:pPr>
        <w:pStyle w:val="2"/>
        <w:spacing w:before="8"/>
        <w:ind w:left="761" w:firstLine="0"/>
        <w:rPr>
          <w:b/>
          <w:bCs w:val="0"/>
          <w:color w:val="auto"/>
          <w:sz w:val="24"/>
          <w:szCs w:val="24"/>
        </w:rPr>
      </w:pPr>
      <w:r>
        <w:rPr>
          <w:b/>
          <w:bCs w:val="0"/>
          <w:color w:val="auto"/>
          <w:sz w:val="24"/>
          <w:szCs w:val="24"/>
        </w:rPr>
        <w:t>（三）综合制度执行</w:t>
      </w:r>
    </w:p>
    <w:p>
      <w:pPr>
        <w:tabs>
          <w:tab w:val="left" w:pos="2372"/>
        </w:tabs>
        <w:spacing w:before="149" w:line="266" w:lineRule="auto"/>
        <w:ind w:left="763" w:right="446" w:firstLine="158"/>
        <w:jc w:val="left"/>
        <w:rPr>
          <w:rFonts w:hint="eastAsia" w:ascii="Microsoft JhengHei" w:eastAsia="Microsoft JhengHei"/>
          <w:b/>
          <w:bCs w:val="0"/>
          <w:color w:val="auto"/>
          <w:sz w:val="24"/>
          <w:szCs w:val="24"/>
        </w:rPr>
      </w:pPr>
      <w:r>
        <w:rPr>
          <w:b/>
          <w:bCs w:val="0"/>
          <w:color w:val="auto"/>
          <w:sz w:val="24"/>
          <w:szCs w:val="24"/>
        </w:rPr>
        <w:t>材料项目部其它相关综合制度按物流集团统一要求执行</w:t>
      </w:r>
      <w:r>
        <w:rPr>
          <w:b/>
          <w:bCs w:val="0"/>
          <w:color w:val="auto"/>
          <w:spacing w:val="-15"/>
          <w:sz w:val="24"/>
          <w:szCs w:val="24"/>
        </w:rPr>
        <w:t>。</w:t>
      </w:r>
      <w:r>
        <w:rPr>
          <w:rFonts w:hint="eastAsia" w:ascii="Microsoft JhengHei" w:eastAsia="Microsoft JhengHei"/>
          <w:b/>
          <w:bCs w:val="0"/>
          <w:color w:val="auto"/>
          <w:sz w:val="24"/>
          <w:szCs w:val="24"/>
        </w:rPr>
        <w:t>第十九条</w:t>
      </w:r>
      <w:r>
        <w:rPr>
          <w:rFonts w:hint="eastAsia" w:ascii="Microsoft JhengHei" w:eastAsia="Microsoft JhengHei"/>
          <w:b/>
          <w:bCs w:val="0"/>
          <w:color w:val="auto"/>
          <w:sz w:val="24"/>
          <w:szCs w:val="24"/>
        </w:rPr>
        <w:tab/>
      </w:r>
      <w:r>
        <w:rPr>
          <w:rFonts w:hint="eastAsia" w:ascii="Microsoft JhengHei" w:eastAsia="Microsoft JhengHei"/>
          <w:b/>
          <w:bCs w:val="0"/>
          <w:color w:val="auto"/>
          <w:sz w:val="24"/>
          <w:szCs w:val="24"/>
        </w:rPr>
        <w:t>供应商信誉评价管理</w:t>
      </w:r>
    </w:p>
    <w:p>
      <w:pPr>
        <w:pStyle w:val="2"/>
        <w:spacing w:before="13"/>
        <w:ind w:left="761" w:firstLine="0"/>
        <w:rPr>
          <w:b/>
          <w:bCs w:val="0"/>
          <w:color w:val="auto"/>
          <w:sz w:val="24"/>
          <w:szCs w:val="24"/>
        </w:rPr>
      </w:pPr>
      <w:r>
        <w:rPr>
          <w:b/>
          <w:bCs w:val="0"/>
          <w:color w:val="auto"/>
          <w:sz w:val="24"/>
          <w:szCs w:val="24"/>
        </w:rPr>
        <w:t>（一）征询要求</w:t>
      </w:r>
    </w:p>
    <w:p>
      <w:pPr>
        <w:pStyle w:val="2"/>
        <w:spacing w:before="149" w:line="326" w:lineRule="auto"/>
        <w:ind w:right="1245"/>
        <w:rPr>
          <w:b/>
          <w:bCs w:val="0"/>
          <w:color w:val="auto"/>
          <w:sz w:val="24"/>
          <w:szCs w:val="24"/>
        </w:rPr>
      </w:pPr>
      <w:r>
        <w:rPr>
          <w:b/>
          <w:bCs w:val="0"/>
          <w:color w:val="auto"/>
          <w:sz w:val="24"/>
          <w:szCs w:val="24"/>
        </w:rPr>
        <w:t>材料项目部严格按照集团公司甲供材料供应商信评价细则要求做好第一手资料。</w:t>
      </w:r>
    </w:p>
    <w:p>
      <w:pPr>
        <w:pStyle w:val="2"/>
        <w:spacing w:before="6"/>
        <w:ind w:left="761" w:firstLine="0"/>
        <w:rPr>
          <w:b/>
          <w:bCs w:val="0"/>
          <w:color w:val="auto"/>
          <w:sz w:val="24"/>
          <w:szCs w:val="24"/>
        </w:rPr>
      </w:pPr>
      <w:r>
        <w:rPr>
          <w:b/>
          <w:bCs w:val="0"/>
          <w:color w:val="auto"/>
          <w:w w:val="95"/>
          <w:sz w:val="24"/>
          <w:szCs w:val="24"/>
        </w:rPr>
        <w:t>（二）工作要求</w:t>
      </w:r>
    </w:p>
    <w:p>
      <w:pPr>
        <w:pStyle w:val="2"/>
        <w:spacing w:before="149" w:line="328" w:lineRule="auto"/>
        <w:ind w:right="938"/>
        <w:rPr>
          <w:b/>
          <w:bCs w:val="0"/>
          <w:color w:val="auto"/>
          <w:sz w:val="24"/>
          <w:szCs w:val="24"/>
        </w:rPr>
      </w:pPr>
      <w:r>
        <w:rPr>
          <w:b/>
          <w:bCs w:val="0"/>
          <w:color w:val="auto"/>
          <w:sz w:val="24"/>
          <w:szCs w:val="24"/>
        </w:rPr>
        <w:t>1、材料项目部严格按照甲供材料《招标文件》、《采</w:t>
      </w:r>
      <w:r>
        <w:rPr>
          <w:b/>
          <w:bCs w:val="0"/>
          <w:color w:val="auto"/>
          <w:spacing w:val="-4"/>
          <w:sz w:val="24"/>
          <w:szCs w:val="24"/>
        </w:rPr>
        <w:t>购合同》、《管理办法》对供应商月度计划执行情况、到货时间、材料质量等进行详细的记载，建立信评价细台账，保</w:t>
      </w:r>
      <w:r>
        <w:rPr>
          <w:b/>
          <w:bCs w:val="0"/>
          <w:color w:val="auto"/>
          <w:sz w:val="24"/>
          <w:szCs w:val="24"/>
        </w:rPr>
        <w:t>留完成的信誉资料。</w:t>
      </w:r>
    </w:p>
    <w:p>
      <w:pPr>
        <w:pStyle w:val="2"/>
        <w:spacing w:line="328" w:lineRule="auto"/>
        <w:ind w:right="790"/>
        <w:rPr>
          <w:b/>
          <w:bCs w:val="0"/>
          <w:color w:val="auto"/>
          <w:sz w:val="24"/>
          <w:szCs w:val="24"/>
        </w:rPr>
      </w:pPr>
      <w:r>
        <w:rPr>
          <w:b/>
          <w:bCs w:val="0"/>
          <w:color w:val="auto"/>
          <w:sz w:val="24"/>
          <w:szCs w:val="24"/>
        </w:rPr>
        <w:t>2、在供应商履约出现问题时，材料项目部按管理要求</w:t>
      </w:r>
      <w:r>
        <w:rPr>
          <w:b/>
          <w:bCs w:val="0"/>
          <w:color w:val="auto"/>
          <w:w w:val="95"/>
          <w:sz w:val="24"/>
          <w:szCs w:val="24"/>
        </w:rPr>
        <w:t xml:space="preserve">必须以书面发文形式对供应商下催货通知、误期赔偿通知、 </w:t>
      </w:r>
      <w:r>
        <w:rPr>
          <w:b/>
          <w:bCs w:val="0"/>
          <w:color w:val="auto"/>
          <w:sz w:val="24"/>
          <w:szCs w:val="24"/>
        </w:rPr>
        <w:t>应急方案通知，并严格履行管理责任，尽职尽责，为集团公司信誉评价体系提供真实有效的供应商信誉资料。</w:t>
      </w:r>
    </w:p>
    <w:p>
      <w:pPr>
        <w:pStyle w:val="3"/>
        <w:tabs>
          <w:tab w:val="left" w:pos="2372"/>
        </w:tabs>
        <w:spacing w:line="478" w:lineRule="exact"/>
        <w:rPr>
          <w:b/>
          <w:bCs w:val="0"/>
          <w:color w:val="auto"/>
          <w:sz w:val="24"/>
          <w:szCs w:val="24"/>
        </w:rPr>
      </w:pPr>
      <w:r>
        <w:rPr>
          <w:b/>
          <w:bCs w:val="0"/>
          <w:color w:val="auto"/>
          <w:sz w:val="24"/>
          <w:szCs w:val="24"/>
        </w:rPr>
        <w:t>第二十条</w:t>
      </w:r>
      <w:r>
        <w:rPr>
          <w:b/>
          <w:bCs w:val="0"/>
          <w:color w:val="auto"/>
          <w:sz w:val="24"/>
          <w:szCs w:val="24"/>
        </w:rPr>
        <w:tab/>
      </w:r>
      <w:r>
        <w:rPr>
          <w:b/>
          <w:bCs w:val="0"/>
          <w:color w:val="auto"/>
          <w:sz w:val="24"/>
          <w:szCs w:val="24"/>
        </w:rPr>
        <w:t>档案资料归档管理</w:t>
      </w:r>
    </w:p>
    <w:p>
      <w:pPr>
        <w:pStyle w:val="2"/>
        <w:spacing w:before="70"/>
        <w:ind w:left="761" w:firstLine="0"/>
        <w:rPr>
          <w:b/>
          <w:bCs w:val="0"/>
          <w:color w:val="auto"/>
          <w:sz w:val="24"/>
          <w:szCs w:val="24"/>
        </w:rPr>
      </w:pPr>
      <w:r>
        <w:rPr>
          <w:b/>
          <w:bCs w:val="0"/>
          <w:color w:val="auto"/>
          <w:sz w:val="24"/>
          <w:szCs w:val="24"/>
        </w:rPr>
        <w:t>（一）档案管理总要求</w:t>
      </w:r>
    </w:p>
    <w:p>
      <w:pPr>
        <w:pStyle w:val="2"/>
        <w:spacing w:before="149" w:line="328" w:lineRule="auto"/>
        <w:ind w:right="1085"/>
        <w:rPr>
          <w:b/>
          <w:bCs w:val="0"/>
          <w:color w:val="auto"/>
          <w:sz w:val="24"/>
          <w:szCs w:val="24"/>
        </w:rPr>
      </w:pPr>
      <w:r>
        <w:rPr>
          <w:b/>
          <w:bCs w:val="0"/>
          <w:color w:val="auto"/>
          <w:sz w:val="24"/>
          <w:szCs w:val="24"/>
        </w:rPr>
        <w:t>1、材料项目部档案管理总原则按物流集团档案管理办法执行。</w:t>
      </w:r>
    </w:p>
    <w:p>
      <w:pPr>
        <w:spacing w:after="0" w:line="328" w:lineRule="auto"/>
        <w:rPr>
          <w:b/>
          <w:bCs w:val="0"/>
          <w:color w:val="auto"/>
          <w:sz w:val="24"/>
          <w:szCs w:val="24"/>
        </w:rPr>
        <w:sectPr>
          <w:pgSz w:w="11910" w:h="16840"/>
          <w:pgMar w:top="1520" w:right="860" w:bottom="1160" w:left="1680" w:header="0" w:footer="975" w:gutter="0"/>
          <w:pgNumType w:fmt="decimal"/>
        </w:sectPr>
      </w:pPr>
    </w:p>
    <w:p>
      <w:pPr>
        <w:pStyle w:val="2"/>
        <w:spacing w:before="30" w:line="328" w:lineRule="auto"/>
        <w:ind w:right="894"/>
        <w:rPr>
          <w:b/>
          <w:bCs w:val="0"/>
          <w:color w:val="auto"/>
          <w:sz w:val="24"/>
          <w:szCs w:val="24"/>
        </w:rPr>
      </w:pPr>
      <w:r>
        <w:rPr>
          <w:b/>
          <w:bCs w:val="0"/>
          <w:color w:val="auto"/>
          <w:sz w:val="24"/>
          <w:szCs w:val="24"/>
        </w:rPr>
        <w:t>2、档案资料是材料项目部在整个甲供材料管理实施全过程中真实情况的反映，材料项目部必须保证甲供管理各环节文件资料的完整。</w:t>
      </w:r>
    </w:p>
    <w:p>
      <w:pPr>
        <w:pStyle w:val="2"/>
        <w:spacing w:line="405" w:lineRule="exact"/>
        <w:ind w:left="761" w:firstLine="0"/>
        <w:rPr>
          <w:b/>
          <w:bCs w:val="0"/>
          <w:color w:val="auto"/>
          <w:sz w:val="24"/>
          <w:szCs w:val="24"/>
        </w:rPr>
      </w:pPr>
      <w:r>
        <w:rPr>
          <w:b/>
          <w:bCs w:val="0"/>
          <w:color w:val="auto"/>
          <w:sz w:val="24"/>
          <w:szCs w:val="24"/>
        </w:rPr>
        <w:t>（二）甲供材料资料类别</w:t>
      </w:r>
    </w:p>
    <w:p>
      <w:pPr>
        <w:pStyle w:val="2"/>
        <w:spacing w:before="150" w:line="328" w:lineRule="auto"/>
        <w:ind w:right="1085"/>
        <w:rPr>
          <w:b/>
          <w:bCs w:val="0"/>
          <w:color w:val="auto"/>
          <w:sz w:val="24"/>
          <w:szCs w:val="24"/>
        </w:rPr>
      </w:pPr>
      <w:r>
        <w:rPr>
          <w:b/>
          <w:bCs w:val="0"/>
          <w:color w:val="auto"/>
          <w:sz w:val="24"/>
          <w:szCs w:val="24"/>
        </w:rPr>
        <w:t>1、招标合同类：数量统计确认资料、招标文件、采购合同、供应合同、运输合同、仓储合同。</w:t>
      </w:r>
    </w:p>
    <w:p>
      <w:pPr>
        <w:pStyle w:val="2"/>
        <w:spacing w:line="328" w:lineRule="auto"/>
        <w:ind w:right="1085"/>
        <w:rPr>
          <w:b/>
          <w:bCs w:val="0"/>
          <w:color w:val="auto"/>
          <w:sz w:val="24"/>
          <w:szCs w:val="24"/>
        </w:rPr>
      </w:pPr>
      <w:r>
        <w:rPr>
          <w:b/>
          <w:bCs w:val="0"/>
          <w:color w:val="auto"/>
          <w:sz w:val="24"/>
          <w:szCs w:val="24"/>
        </w:rPr>
        <w:t>2、计划类：采购计划执行对比表、供应计划执行对比表、运输计划执行对比表。</w:t>
      </w:r>
    </w:p>
    <w:p>
      <w:pPr>
        <w:pStyle w:val="2"/>
        <w:spacing w:line="326" w:lineRule="auto"/>
        <w:ind w:right="790"/>
        <w:rPr>
          <w:b/>
          <w:bCs w:val="0"/>
          <w:color w:val="auto"/>
          <w:sz w:val="24"/>
          <w:szCs w:val="24"/>
        </w:rPr>
      </w:pPr>
      <w:r>
        <w:rPr>
          <w:b/>
          <w:bCs w:val="0"/>
          <w:color w:val="auto"/>
          <w:sz w:val="24"/>
          <w:szCs w:val="24"/>
        </w:rPr>
        <w:t>3、结算类：采购结算系列表、供应结算系列表、运输</w:t>
      </w:r>
      <w:r>
        <w:rPr>
          <w:b/>
          <w:bCs w:val="0"/>
          <w:color w:val="auto"/>
          <w:w w:val="95"/>
          <w:sz w:val="24"/>
          <w:szCs w:val="24"/>
        </w:rPr>
        <w:t xml:space="preserve">结算系列表、仓储结算系列表、调差系列、汇总统计系列、 </w:t>
      </w:r>
      <w:r>
        <w:rPr>
          <w:b/>
          <w:bCs w:val="0"/>
          <w:color w:val="auto"/>
          <w:sz w:val="24"/>
          <w:szCs w:val="24"/>
        </w:rPr>
        <w:t>各类支付系列。</w:t>
      </w:r>
    </w:p>
    <w:p>
      <w:pPr>
        <w:pStyle w:val="2"/>
        <w:spacing w:before="2" w:line="326" w:lineRule="auto"/>
        <w:ind w:right="1085"/>
        <w:rPr>
          <w:b/>
          <w:bCs w:val="0"/>
          <w:color w:val="auto"/>
          <w:sz w:val="24"/>
          <w:szCs w:val="24"/>
        </w:rPr>
      </w:pPr>
      <w:r>
        <w:rPr>
          <w:b/>
          <w:bCs w:val="0"/>
          <w:color w:val="auto"/>
          <w:sz w:val="24"/>
          <w:szCs w:val="24"/>
        </w:rPr>
        <w:t>4、仓储类：材料验收入库系列资料、出库系列资料、盘点表系列。</w:t>
      </w:r>
    </w:p>
    <w:p>
      <w:pPr>
        <w:pStyle w:val="2"/>
        <w:spacing w:before="3" w:line="328" w:lineRule="auto"/>
        <w:ind w:right="1085"/>
        <w:rPr>
          <w:b/>
          <w:bCs w:val="0"/>
          <w:color w:val="auto"/>
          <w:sz w:val="24"/>
          <w:szCs w:val="24"/>
        </w:rPr>
      </w:pPr>
      <w:r>
        <w:rPr>
          <w:b/>
          <w:bCs w:val="0"/>
          <w:color w:val="auto"/>
          <w:sz w:val="24"/>
          <w:szCs w:val="24"/>
        </w:rPr>
        <w:t>5、质量类：质保书、材料初检材料、巡检抽检材料、质量争议资料。</w:t>
      </w:r>
    </w:p>
    <w:p>
      <w:pPr>
        <w:pStyle w:val="2"/>
        <w:spacing w:line="408" w:lineRule="exact"/>
        <w:ind w:left="761" w:firstLine="0"/>
        <w:rPr>
          <w:b/>
          <w:bCs w:val="0"/>
          <w:color w:val="auto"/>
          <w:sz w:val="24"/>
          <w:szCs w:val="24"/>
        </w:rPr>
      </w:pPr>
      <w:r>
        <w:rPr>
          <w:b/>
          <w:bCs w:val="0"/>
          <w:color w:val="auto"/>
          <w:sz w:val="24"/>
          <w:szCs w:val="24"/>
        </w:rPr>
        <w:t>6、现场巡查类：运距勘测表、巡查表。</w:t>
      </w:r>
    </w:p>
    <w:p>
      <w:pPr>
        <w:pStyle w:val="2"/>
        <w:spacing w:before="150" w:line="328" w:lineRule="auto"/>
        <w:ind w:right="1085"/>
        <w:rPr>
          <w:b/>
          <w:bCs w:val="0"/>
          <w:color w:val="auto"/>
          <w:sz w:val="24"/>
          <w:szCs w:val="24"/>
        </w:rPr>
      </w:pPr>
      <w:r>
        <w:rPr>
          <w:b/>
          <w:bCs w:val="0"/>
          <w:color w:val="auto"/>
          <w:sz w:val="24"/>
          <w:szCs w:val="24"/>
        </w:rPr>
        <w:t>7、收发文类：物流集团各类文件、材料项目部各类文件、各类甲供材料相关文件、纪要。</w:t>
      </w:r>
    </w:p>
    <w:p>
      <w:pPr>
        <w:pStyle w:val="2"/>
        <w:spacing w:line="407" w:lineRule="exact"/>
        <w:ind w:left="761" w:firstLine="0"/>
        <w:rPr>
          <w:b/>
          <w:bCs w:val="0"/>
          <w:color w:val="auto"/>
          <w:sz w:val="24"/>
          <w:szCs w:val="24"/>
        </w:rPr>
      </w:pPr>
      <w:r>
        <w:rPr>
          <w:b/>
          <w:bCs w:val="0"/>
          <w:color w:val="auto"/>
          <w:sz w:val="24"/>
          <w:szCs w:val="24"/>
        </w:rPr>
        <w:t>8、信誉评价类：催货通知、误期赔偿、违约处理。</w:t>
      </w:r>
    </w:p>
    <w:p>
      <w:pPr>
        <w:pStyle w:val="2"/>
        <w:spacing w:before="149"/>
        <w:ind w:left="761" w:firstLine="0"/>
        <w:rPr>
          <w:b/>
          <w:bCs w:val="0"/>
          <w:color w:val="auto"/>
          <w:sz w:val="24"/>
          <w:szCs w:val="24"/>
        </w:rPr>
      </w:pPr>
      <w:r>
        <w:rPr>
          <w:b/>
          <w:bCs w:val="0"/>
          <w:color w:val="auto"/>
          <w:sz w:val="24"/>
          <w:szCs w:val="24"/>
        </w:rPr>
        <w:t>（三）归档管理</w:t>
      </w:r>
    </w:p>
    <w:p>
      <w:pPr>
        <w:pStyle w:val="2"/>
        <w:spacing w:before="151" w:line="328" w:lineRule="auto"/>
        <w:ind w:right="895" w:firstLine="801"/>
        <w:rPr>
          <w:b/>
          <w:bCs w:val="0"/>
          <w:color w:val="auto"/>
          <w:sz w:val="24"/>
          <w:szCs w:val="24"/>
        </w:rPr>
      </w:pPr>
      <w:r>
        <w:rPr>
          <w:b/>
          <w:bCs w:val="0"/>
          <w:color w:val="auto"/>
          <w:sz w:val="24"/>
          <w:szCs w:val="24"/>
        </w:rPr>
        <w:t>1、材料项目部要指定专人负责资料归档工作，并编制归档目录，项目完工后统一移交物流集团档案室保管。</w:t>
      </w:r>
    </w:p>
    <w:p>
      <w:pPr>
        <w:spacing w:after="0" w:line="328" w:lineRule="auto"/>
        <w:rPr>
          <w:b/>
          <w:bCs w:val="0"/>
          <w:color w:val="auto"/>
          <w:sz w:val="24"/>
          <w:szCs w:val="24"/>
        </w:rPr>
        <w:sectPr>
          <w:pgSz w:w="11910" w:h="16840"/>
          <w:pgMar w:top="1520" w:right="860" w:bottom="1160" w:left="1680" w:header="0" w:footer="975" w:gutter="0"/>
          <w:pgNumType w:fmt="decimal"/>
        </w:sectPr>
      </w:pPr>
    </w:p>
    <w:p>
      <w:pPr>
        <w:pStyle w:val="2"/>
        <w:tabs>
          <w:tab w:val="left" w:pos="3944"/>
        </w:tabs>
        <w:spacing w:before="30"/>
        <w:ind w:left="2684" w:firstLine="0"/>
        <w:rPr>
          <w:rFonts w:hint="eastAsia" w:ascii="黑体" w:eastAsia="黑体"/>
          <w:b/>
          <w:bCs w:val="0"/>
          <w:color w:val="auto"/>
          <w:sz w:val="24"/>
          <w:szCs w:val="24"/>
        </w:rPr>
      </w:pPr>
      <w:r>
        <w:rPr>
          <w:rFonts w:hint="eastAsia" w:ascii="黑体" w:eastAsia="黑体"/>
          <w:b/>
          <w:bCs w:val="0"/>
          <w:color w:val="auto"/>
          <w:sz w:val="24"/>
          <w:szCs w:val="24"/>
        </w:rPr>
        <w:t>第三章</w:t>
      </w:r>
      <w:r>
        <w:rPr>
          <w:rFonts w:hint="eastAsia" w:ascii="黑体" w:eastAsia="黑体"/>
          <w:b/>
          <w:bCs w:val="0"/>
          <w:color w:val="auto"/>
          <w:sz w:val="24"/>
          <w:szCs w:val="24"/>
        </w:rPr>
        <w:tab/>
      </w:r>
      <w:r>
        <w:rPr>
          <w:rFonts w:hint="eastAsia" w:ascii="黑体" w:eastAsia="黑体"/>
          <w:b/>
          <w:bCs w:val="0"/>
          <w:color w:val="auto"/>
          <w:sz w:val="24"/>
          <w:szCs w:val="24"/>
        </w:rPr>
        <w:t>供应厂商管理</w:t>
      </w:r>
    </w:p>
    <w:p>
      <w:pPr>
        <w:pStyle w:val="3"/>
        <w:tabs>
          <w:tab w:val="left" w:pos="2693"/>
        </w:tabs>
        <w:spacing w:before="44"/>
        <w:rPr>
          <w:b/>
          <w:bCs w:val="0"/>
          <w:color w:val="auto"/>
          <w:sz w:val="24"/>
          <w:szCs w:val="24"/>
        </w:rPr>
      </w:pPr>
      <w:r>
        <w:rPr>
          <w:b/>
          <w:bCs w:val="0"/>
          <w:color w:val="auto"/>
          <w:sz w:val="24"/>
          <w:szCs w:val="24"/>
        </w:rPr>
        <w:t>第二十一条</w:t>
      </w:r>
      <w:r>
        <w:rPr>
          <w:b/>
          <w:bCs w:val="0"/>
          <w:color w:val="auto"/>
          <w:sz w:val="24"/>
          <w:szCs w:val="24"/>
        </w:rPr>
        <w:tab/>
      </w:r>
      <w:r>
        <w:rPr>
          <w:b/>
          <w:bCs w:val="0"/>
          <w:color w:val="auto"/>
          <w:sz w:val="24"/>
          <w:szCs w:val="24"/>
        </w:rPr>
        <w:t>管理组织机构</w:t>
      </w:r>
    </w:p>
    <w:p>
      <w:pPr>
        <w:pStyle w:val="2"/>
        <w:spacing w:before="79" w:line="328" w:lineRule="auto"/>
        <w:ind w:right="619"/>
        <w:rPr>
          <w:b/>
          <w:bCs w:val="0"/>
          <w:color w:val="auto"/>
          <w:sz w:val="24"/>
          <w:szCs w:val="24"/>
        </w:rPr>
      </w:pPr>
      <w:r>
        <w:rPr>
          <w:b/>
          <w:bCs w:val="0"/>
          <w:color w:val="auto"/>
          <w:sz w:val="24"/>
          <w:szCs w:val="24"/>
        </w:rPr>
        <w:t>（一</w:t>
      </w:r>
      <w:r>
        <w:rPr>
          <w:b/>
          <w:bCs w:val="0"/>
          <w:color w:val="auto"/>
          <w:spacing w:val="-3"/>
          <w:sz w:val="24"/>
          <w:szCs w:val="24"/>
        </w:rPr>
        <w:t>）</w:t>
      </w:r>
      <w:r>
        <w:rPr>
          <w:b/>
          <w:bCs w:val="0"/>
          <w:color w:val="auto"/>
          <w:spacing w:val="-2"/>
          <w:sz w:val="24"/>
          <w:szCs w:val="24"/>
        </w:rPr>
        <w:t xml:space="preserve">供应厂商成立“甲供材料现场管理小组”，并委 </w:t>
      </w:r>
      <w:r>
        <w:rPr>
          <w:b/>
          <w:bCs w:val="0"/>
          <w:color w:val="auto"/>
          <w:spacing w:val="-4"/>
          <w:sz w:val="24"/>
          <w:szCs w:val="24"/>
        </w:rPr>
        <w:t xml:space="preserve">托专职管理人员常驻项目所在地，在物流集团的全面管理下， </w:t>
      </w:r>
      <w:r>
        <w:rPr>
          <w:b/>
          <w:bCs w:val="0"/>
          <w:color w:val="auto"/>
          <w:spacing w:val="3"/>
          <w:sz w:val="24"/>
          <w:szCs w:val="24"/>
        </w:rPr>
        <w:t>按照《招标文件》、《采购合同》、《管理办法》的要求， 代表中标人负责对施工单位的甲供材料计划、采购、供应、</w:t>
      </w:r>
      <w:r>
        <w:rPr>
          <w:b/>
          <w:bCs w:val="0"/>
          <w:color w:val="auto"/>
          <w:spacing w:val="-2"/>
          <w:sz w:val="24"/>
          <w:szCs w:val="24"/>
        </w:rPr>
        <w:t>运输、现场管理、质量争议、材料结算等全过程实行全面履 约保供任务。</w:t>
      </w:r>
    </w:p>
    <w:p>
      <w:pPr>
        <w:pStyle w:val="2"/>
        <w:spacing w:line="326" w:lineRule="auto"/>
        <w:ind w:right="894"/>
        <w:rPr>
          <w:b/>
          <w:bCs w:val="0"/>
          <w:color w:val="auto"/>
          <w:sz w:val="24"/>
          <w:szCs w:val="24"/>
        </w:rPr>
      </w:pPr>
      <w:r>
        <w:rPr>
          <w:b/>
          <w:bCs w:val="0"/>
          <w:color w:val="auto"/>
          <w:sz w:val="24"/>
          <w:szCs w:val="24"/>
        </w:rPr>
        <w:t>（二）向材料项目部提供小组组长及成员身份证等详细资料和公司委托书以及相关对账、结算使用的公章样本。</w:t>
      </w:r>
    </w:p>
    <w:p>
      <w:pPr>
        <w:pStyle w:val="2"/>
        <w:spacing w:line="328" w:lineRule="auto"/>
        <w:ind w:right="895"/>
        <w:rPr>
          <w:b/>
          <w:bCs w:val="0"/>
          <w:color w:val="auto"/>
          <w:sz w:val="24"/>
          <w:szCs w:val="24"/>
        </w:rPr>
      </w:pPr>
      <w:r>
        <w:rPr>
          <w:b/>
          <w:bCs w:val="0"/>
          <w:color w:val="auto"/>
          <w:sz w:val="24"/>
          <w:szCs w:val="24"/>
        </w:rPr>
        <w:t>（三）按照《采购合同》、《管理办法》条款要求供应材料，并按甲供材料管理规定建立台账。</w:t>
      </w:r>
    </w:p>
    <w:p>
      <w:pPr>
        <w:pStyle w:val="3"/>
        <w:tabs>
          <w:tab w:val="left" w:pos="2693"/>
        </w:tabs>
        <w:spacing w:line="480" w:lineRule="exact"/>
        <w:rPr>
          <w:b/>
          <w:bCs w:val="0"/>
          <w:color w:val="auto"/>
          <w:sz w:val="24"/>
          <w:szCs w:val="24"/>
        </w:rPr>
      </w:pPr>
      <w:r>
        <w:rPr>
          <w:b/>
          <w:bCs w:val="0"/>
          <w:color w:val="auto"/>
          <w:sz w:val="24"/>
          <w:szCs w:val="24"/>
        </w:rPr>
        <w:t>第二十二条</w:t>
      </w:r>
      <w:r>
        <w:rPr>
          <w:b/>
          <w:bCs w:val="0"/>
          <w:color w:val="auto"/>
          <w:sz w:val="24"/>
          <w:szCs w:val="24"/>
        </w:rPr>
        <w:tab/>
      </w:r>
      <w:r>
        <w:rPr>
          <w:b/>
          <w:bCs w:val="0"/>
          <w:color w:val="auto"/>
          <w:sz w:val="24"/>
          <w:szCs w:val="24"/>
        </w:rPr>
        <w:t>材料保供保障与履约要求</w:t>
      </w:r>
    </w:p>
    <w:p>
      <w:pPr>
        <w:pStyle w:val="2"/>
        <w:spacing w:before="70"/>
        <w:ind w:left="761" w:firstLine="0"/>
        <w:rPr>
          <w:b/>
          <w:bCs w:val="0"/>
          <w:color w:val="auto"/>
          <w:sz w:val="24"/>
          <w:szCs w:val="24"/>
        </w:rPr>
      </w:pPr>
      <w:r>
        <w:rPr>
          <w:b/>
          <w:bCs w:val="0"/>
          <w:color w:val="auto"/>
          <w:sz w:val="24"/>
          <w:szCs w:val="24"/>
        </w:rPr>
        <w:t>（一）计划管理</w:t>
      </w:r>
    </w:p>
    <w:p>
      <w:pPr>
        <w:pStyle w:val="2"/>
        <w:spacing w:before="152" w:line="328" w:lineRule="auto"/>
        <w:ind w:right="894"/>
        <w:rPr>
          <w:b/>
          <w:bCs w:val="0"/>
          <w:color w:val="auto"/>
          <w:sz w:val="24"/>
          <w:szCs w:val="24"/>
        </w:rPr>
      </w:pPr>
      <w:r>
        <w:rPr>
          <w:b/>
          <w:bCs w:val="0"/>
          <w:color w:val="auto"/>
          <w:sz w:val="24"/>
          <w:szCs w:val="24"/>
        </w:rPr>
        <w:t>1、供应厂商应严格按材料项目部在甲供物资平台上发布的甲供材料计划组织充足的货源，按计划时间要求及时将材料运送至规定的交货地点。因工程特殊原因必须调整材料计划时，材料项目部及时根据调整后的计划编制发布给材料供应厂商，材料供应厂商应及时调整发货计划。</w:t>
      </w:r>
    </w:p>
    <w:p>
      <w:pPr>
        <w:pStyle w:val="2"/>
        <w:spacing w:line="328" w:lineRule="auto"/>
        <w:ind w:right="938"/>
        <w:rPr>
          <w:b/>
          <w:bCs w:val="0"/>
          <w:color w:val="auto"/>
          <w:sz w:val="24"/>
          <w:szCs w:val="24"/>
        </w:rPr>
      </w:pPr>
      <w:r>
        <w:rPr>
          <w:b/>
          <w:bCs w:val="0"/>
          <w:color w:val="auto"/>
          <w:sz w:val="24"/>
          <w:szCs w:val="24"/>
        </w:rPr>
        <w:t>2、供应厂商在材料项目部发布计划的到货期内没有供</w:t>
      </w:r>
      <w:r>
        <w:rPr>
          <w:b/>
          <w:bCs w:val="0"/>
          <w:color w:val="auto"/>
          <w:spacing w:val="-4"/>
          <w:sz w:val="24"/>
          <w:szCs w:val="24"/>
        </w:rPr>
        <w:t>应或者没有足量供应，材料项目部按《招标文件》、《采购</w:t>
      </w:r>
      <w:r>
        <w:rPr>
          <w:b/>
          <w:bCs w:val="0"/>
          <w:color w:val="auto"/>
          <w:spacing w:val="-20"/>
          <w:sz w:val="24"/>
          <w:szCs w:val="24"/>
        </w:rPr>
        <w:t xml:space="preserve">合同》、《管理办法》条款规定，由物流集团启动应急方案， </w:t>
      </w:r>
      <w:r>
        <w:rPr>
          <w:b/>
          <w:bCs w:val="0"/>
          <w:color w:val="auto"/>
          <w:spacing w:val="-17"/>
          <w:sz w:val="24"/>
          <w:szCs w:val="24"/>
        </w:rPr>
        <w:t>采购同一类别的材料应急供应，若采购的材料价格高于材料</w:t>
      </w:r>
      <w:r>
        <w:rPr>
          <w:b/>
          <w:bCs w:val="0"/>
          <w:color w:val="auto"/>
          <w:spacing w:val="-1"/>
          <w:sz w:val="24"/>
          <w:szCs w:val="24"/>
        </w:rPr>
        <w:t>供应商的中标价</w:t>
      </w:r>
      <w:r>
        <w:rPr>
          <w:b/>
          <w:bCs w:val="0"/>
          <w:color w:val="auto"/>
          <w:sz w:val="24"/>
          <w:szCs w:val="24"/>
        </w:rPr>
        <w:t>（调差后单价</w:t>
      </w:r>
      <w:r>
        <w:rPr>
          <w:b/>
          <w:bCs w:val="0"/>
          <w:color w:val="auto"/>
          <w:spacing w:val="-4"/>
          <w:sz w:val="24"/>
          <w:szCs w:val="24"/>
        </w:rPr>
        <w:t>）</w:t>
      </w:r>
      <w:r>
        <w:rPr>
          <w:b/>
          <w:bCs w:val="0"/>
          <w:color w:val="auto"/>
          <w:spacing w:val="-3"/>
          <w:sz w:val="24"/>
          <w:szCs w:val="24"/>
        </w:rPr>
        <w:t>，差价部分将在支付供应厂</w:t>
      </w:r>
    </w:p>
    <w:p>
      <w:pPr>
        <w:spacing w:after="0" w:line="328" w:lineRule="auto"/>
        <w:rPr>
          <w:b/>
          <w:bCs w:val="0"/>
          <w:color w:val="auto"/>
          <w:sz w:val="24"/>
          <w:szCs w:val="24"/>
        </w:rPr>
        <w:sectPr>
          <w:pgSz w:w="11910" w:h="16840"/>
          <w:pgMar w:top="1520" w:right="860" w:bottom="1160" w:left="1680" w:header="0" w:footer="975" w:gutter="0"/>
          <w:pgNumType w:fmt="decimal"/>
        </w:sectPr>
      </w:pPr>
    </w:p>
    <w:p>
      <w:pPr>
        <w:pStyle w:val="2"/>
        <w:spacing w:before="30"/>
        <w:ind w:firstLine="0"/>
        <w:rPr>
          <w:b/>
          <w:bCs w:val="0"/>
          <w:color w:val="auto"/>
          <w:sz w:val="24"/>
          <w:szCs w:val="24"/>
        </w:rPr>
      </w:pPr>
      <w:r>
        <w:rPr>
          <w:b/>
          <w:bCs w:val="0"/>
          <w:color w:val="auto"/>
          <w:sz w:val="24"/>
          <w:szCs w:val="24"/>
        </w:rPr>
        <w:t>商材料货款或履约保证金中扣除。</w:t>
      </w:r>
    </w:p>
    <w:p>
      <w:pPr>
        <w:pStyle w:val="2"/>
        <w:spacing w:before="150" w:line="328" w:lineRule="auto"/>
        <w:ind w:right="895"/>
        <w:rPr>
          <w:b/>
          <w:bCs w:val="0"/>
          <w:color w:val="auto"/>
          <w:sz w:val="24"/>
          <w:szCs w:val="24"/>
        </w:rPr>
      </w:pPr>
      <w:r>
        <w:rPr>
          <w:b/>
          <w:bCs w:val="0"/>
          <w:color w:val="auto"/>
          <w:sz w:val="24"/>
          <w:szCs w:val="24"/>
        </w:rPr>
        <w:t>3、供应厂商不能按材料项目部发布的材料采购计划及时供应材料，造成施工单位误工、停工等一切损失，由供应厂商负责赔偿。</w:t>
      </w:r>
    </w:p>
    <w:p>
      <w:pPr>
        <w:pStyle w:val="2"/>
        <w:spacing w:line="328" w:lineRule="auto"/>
        <w:ind w:right="790"/>
        <w:rPr>
          <w:b/>
          <w:bCs w:val="0"/>
          <w:color w:val="auto"/>
          <w:sz w:val="24"/>
          <w:szCs w:val="24"/>
        </w:rPr>
      </w:pPr>
      <w:r>
        <w:rPr>
          <w:b/>
          <w:bCs w:val="0"/>
          <w:color w:val="auto"/>
          <w:sz w:val="24"/>
          <w:szCs w:val="24"/>
        </w:rPr>
        <w:t>4、供应厂商在月度计划执行期后，按材料项目部要求</w:t>
      </w:r>
      <w:r>
        <w:rPr>
          <w:b/>
          <w:bCs w:val="0"/>
          <w:color w:val="auto"/>
          <w:w w:val="95"/>
          <w:sz w:val="24"/>
          <w:szCs w:val="24"/>
        </w:rPr>
        <w:t>统计编制月度计划执行对比表，签字盖章后交材料项目部。</w:t>
      </w:r>
    </w:p>
    <w:p>
      <w:pPr>
        <w:pStyle w:val="2"/>
        <w:spacing w:line="407" w:lineRule="exact"/>
        <w:ind w:left="761" w:firstLine="0"/>
        <w:rPr>
          <w:b/>
          <w:bCs w:val="0"/>
          <w:color w:val="auto"/>
          <w:sz w:val="24"/>
          <w:szCs w:val="24"/>
        </w:rPr>
      </w:pPr>
      <w:r>
        <w:rPr>
          <w:b/>
          <w:bCs w:val="0"/>
          <w:color w:val="auto"/>
          <w:sz w:val="24"/>
          <w:szCs w:val="24"/>
        </w:rPr>
        <w:t>（二）备选品牌申报</w:t>
      </w:r>
    </w:p>
    <w:p>
      <w:pPr>
        <w:pStyle w:val="2"/>
        <w:spacing w:before="144" w:line="328" w:lineRule="auto"/>
        <w:ind w:right="619"/>
        <w:rPr>
          <w:b/>
          <w:bCs w:val="0"/>
          <w:color w:val="auto"/>
          <w:sz w:val="24"/>
          <w:szCs w:val="24"/>
        </w:rPr>
      </w:pPr>
      <w:r>
        <w:rPr>
          <w:b/>
          <w:bCs w:val="0"/>
          <w:color w:val="auto"/>
          <w:sz w:val="24"/>
          <w:szCs w:val="24"/>
        </w:rPr>
        <w:t xml:space="preserve">1、申报原则：为确保甲供材料供应，防止甲供材料在 </w:t>
      </w:r>
      <w:r>
        <w:rPr>
          <w:b/>
          <w:bCs w:val="0"/>
          <w:color w:val="auto"/>
          <w:spacing w:val="-2"/>
          <w:sz w:val="24"/>
          <w:szCs w:val="24"/>
        </w:rPr>
        <w:t xml:space="preserve">实施过程中的不可控因素影响，各供应商在履行中标品牌的 </w:t>
      </w:r>
      <w:r>
        <w:rPr>
          <w:b/>
          <w:bCs w:val="0"/>
          <w:color w:val="auto"/>
          <w:spacing w:val="-5"/>
          <w:sz w:val="24"/>
          <w:szCs w:val="24"/>
        </w:rPr>
        <w:t>同时，选择符合甲供材料招标条件要求的备选品牌申报审批。</w:t>
      </w:r>
    </w:p>
    <w:p>
      <w:pPr>
        <w:pStyle w:val="2"/>
        <w:spacing w:line="328" w:lineRule="auto"/>
        <w:ind w:right="780"/>
        <w:rPr>
          <w:b/>
          <w:bCs w:val="0"/>
          <w:color w:val="auto"/>
          <w:sz w:val="24"/>
          <w:szCs w:val="24"/>
        </w:rPr>
      </w:pPr>
      <w:r>
        <w:rPr>
          <w:b/>
          <w:bCs w:val="0"/>
          <w:color w:val="auto"/>
          <w:sz w:val="24"/>
          <w:szCs w:val="24"/>
        </w:rPr>
        <w:t>2、申报流程：供应商提出申请，按招标条件要求准备</w:t>
      </w:r>
      <w:r>
        <w:rPr>
          <w:b/>
          <w:bCs w:val="0"/>
          <w:color w:val="auto"/>
          <w:spacing w:val="-3"/>
          <w:sz w:val="24"/>
          <w:szCs w:val="24"/>
        </w:rPr>
        <w:t>备选品牌资料。将申请和资料提交到甲供材料项目部，甲供</w:t>
      </w:r>
      <w:r>
        <w:rPr>
          <w:b/>
          <w:bCs w:val="0"/>
          <w:color w:val="auto"/>
          <w:spacing w:val="-4"/>
          <w:sz w:val="24"/>
          <w:szCs w:val="24"/>
        </w:rPr>
        <w:t>材料项目部对资料进行初审后，写备选品牌可行性报告提交</w:t>
      </w:r>
      <w:r>
        <w:rPr>
          <w:b/>
          <w:bCs w:val="0"/>
          <w:color w:val="auto"/>
          <w:spacing w:val="-16"/>
          <w:sz w:val="24"/>
          <w:szCs w:val="24"/>
        </w:rPr>
        <w:t>到物流集团审核，物流集团审核批准后，最后送总监办审批。</w:t>
      </w:r>
      <w:r>
        <w:rPr>
          <w:b/>
          <w:bCs w:val="0"/>
          <w:color w:val="auto"/>
          <w:spacing w:val="-1"/>
          <w:sz w:val="24"/>
          <w:szCs w:val="24"/>
        </w:rPr>
        <w:t>备选品牌写入到合同谈判备忘录，使用备选品牌获得的收益由业主享受。</w:t>
      </w:r>
    </w:p>
    <w:p>
      <w:pPr>
        <w:pStyle w:val="3"/>
        <w:tabs>
          <w:tab w:val="left" w:pos="2693"/>
        </w:tabs>
        <w:spacing w:line="473" w:lineRule="exact"/>
        <w:rPr>
          <w:b/>
          <w:bCs w:val="0"/>
          <w:color w:val="auto"/>
          <w:sz w:val="24"/>
          <w:szCs w:val="24"/>
        </w:rPr>
      </w:pPr>
      <w:r>
        <w:rPr>
          <w:b/>
          <w:bCs w:val="0"/>
          <w:color w:val="auto"/>
          <w:sz w:val="24"/>
          <w:szCs w:val="24"/>
        </w:rPr>
        <w:t>第二十三条</w:t>
      </w:r>
      <w:r>
        <w:rPr>
          <w:b/>
          <w:bCs w:val="0"/>
          <w:color w:val="auto"/>
          <w:sz w:val="24"/>
          <w:szCs w:val="24"/>
        </w:rPr>
        <w:tab/>
      </w:r>
      <w:r>
        <w:rPr>
          <w:b/>
          <w:bCs w:val="0"/>
          <w:color w:val="auto"/>
          <w:sz w:val="24"/>
          <w:szCs w:val="24"/>
        </w:rPr>
        <w:t>应急预案</w:t>
      </w:r>
    </w:p>
    <w:p>
      <w:pPr>
        <w:pStyle w:val="2"/>
        <w:spacing w:before="74" w:line="326" w:lineRule="auto"/>
        <w:ind w:right="938"/>
        <w:jc w:val="both"/>
        <w:rPr>
          <w:b/>
          <w:bCs w:val="0"/>
          <w:color w:val="auto"/>
          <w:sz w:val="24"/>
          <w:szCs w:val="24"/>
        </w:rPr>
      </w:pPr>
      <w:r>
        <w:rPr>
          <w:b/>
          <w:bCs w:val="0"/>
          <w:color w:val="auto"/>
          <w:spacing w:val="-4"/>
          <w:sz w:val="24"/>
          <w:szCs w:val="24"/>
        </w:rPr>
        <w:t>供应厂商在签订《采购合同》后，应根据对应包件工期</w:t>
      </w:r>
      <w:r>
        <w:rPr>
          <w:b/>
          <w:bCs w:val="0"/>
          <w:color w:val="auto"/>
          <w:spacing w:val="-3"/>
          <w:sz w:val="24"/>
          <w:szCs w:val="24"/>
        </w:rPr>
        <w:t>进程材料用量情况预判，向材料项目部提交在履约过程中的</w:t>
      </w:r>
      <w:r>
        <w:rPr>
          <w:b/>
          <w:bCs w:val="0"/>
          <w:color w:val="auto"/>
          <w:sz w:val="24"/>
          <w:szCs w:val="24"/>
        </w:rPr>
        <w:t>保供应急预案。</w:t>
      </w:r>
    </w:p>
    <w:p>
      <w:pPr>
        <w:pStyle w:val="3"/>
        <w:tabs>
          <w:tab w:val="left" w:pos="2693"/>
        </w:tabs>
        <w:spacing w:line="490" w:lineRule="exact"/>
        <w:rPr>
          <w:b/>
          <w:bCs w:val="0"/>
          <w:color w:val="auto"/>
          <w:sz w:val="24"/>
          <w:szCs w:val="24"/>
        </w:rPr>
      </w:pPr>
      <w:r>
        <w:rPr>
          <w:b/>
          <w:bCs w:val="0"/>
          <w:color w:val="auto"/>
          <w:sz w:val="24"/>
          <w:szCs w:val="24"/>
        </w:rPr>
        <w:t>第二十四条</w:t>
      </w:r>
      <w:r>
        <w:rPr>
          <w:b/>
          <w:bCs w:val="0"/>
          <w:color w:val="auto"/>
          <w:sz w:val="24"/>
          <w:szCs w:val="24"/>
        </w:rPr>
        <w:tab/>
      </w:r>
      <w:r>
        <w:rPr>
          <w:b/>
          <w:bCs w:val="0"/>
          <w:color w:val="auto"/>
          <w:sz w:val="24"/>
          <w:szCs w:val="24"/>
        </w:rPr>
        <w:t>质量控制的争议及解决</w:t>
      </w:r>
    </w:p>
    <w:p>
      <w:pPr>
        <w:pStyle w:val="2"/>
        <w:spacing w:before="77"/>
        <w:ind w:left="761" w:firstLine="0"/>
        <w:rPr>
          <w:b/>
          <w:bCs w:val="0"/>
          <w:color w:val="auto"/>
          <w:sz w:val="24"/>
          <w:szCs w:val="24"/>
        </w:rPr>
      </w:pPr>
      <w:r>
        <w:rPr>
          <w:b/>
          <w:bCs w:val="0"/>
          <w:color w:val="auto"/>
          <w:sz w:val="24"/>
          <w:szCs w:val="24"/>
        </w:rPr>
        <w:t>（一）材料数量争议</w:t>
      </w:r>
    </w:p>
    <w:p>
      <w:pPr>
        <w:pStyle w:val="2"/>
        <w:spacing w:before="149" w:line="328" w:lineRule="auto"/>
        <w:ind w:right="619"/>
        <w:rPr>
          <w:b/>
          <w:bCs w:val="0"/>
          <w:color w:val="auto"/>
          <w:sz w:val="24"/>
          <w:szCs w:val="24"/>
        </w:rPr>
      </w:pPr>
      <w:r>
        <w:rPr>
          <w:b/>
          <w:bCs w:val="0"/>
          <w:color w:val="auto"/>
          <w:sz w:val="24"/>
          <w:szCs w:val="24"/>
        </w:rPr>
        <w:t xml:space="preserve">1、供应厂商材料送到工地后，如施工单位对其数量或 </w:t>
      </w:r>
      <w:r>
        <w:rPr>
          <w:b/>
          <w:bCs w:val="0"/>
          <w:color w:val="auto"/>
          <w:spacing w:val="-4"/>
          <w:sz w:val="24"/>
          <w:szCs w:val="24"/>
        </w:rPr>
        <w:t>重量提出异议，施工单位应在承运人未离开时提出交涉复检、</w:t>
      </w:r>
    </w:p>
    <w:p>
      <w:pPr>
        <w:spacing w:after="0" w:line="328" w:lineRule="auto"/>
        <w:rPr>
          <w:b/>
          <w:bCs w:val="0"/>
          <w:color w:val="auto"/>
          <w:sz w:val="24"/>
          <w:szCs w:val="24"/>
        </w:rPr>
        <w:sectPr>
          <w:pgSz w:w="11910" w:h="16840"/>
          <w:pgMar w:top="1520" w:right="860" w:bottom="1160" w:left="1680" w:header="0" w:footer="975" w:gutter="0"/>
          <w:pgNumType w:fmt="decimal"/>
        </w:sectPr>
      </w:pPr>
    </w:p>
    <w:p>
      <w:pPr>
        <w:pStyle w:val="2"/>
        <w:spacing w:before="30" w:line="328" w:lineRule="auto"/>
        <w:ind w:right="930" w:firstLine="0"/>
        <w:rPr>
          <w:b/>
          <w:bCs w:val="0"/>
          <w:color w:val="auto"/>
          <w:sz w:val="24"/>
          <w:szCs w:val="24"/>
        </w:rPr>
      </w:pPr>
      <w:r>
        <w:rPr>
          <w:b/>
          <w:bCs w:val="0"/>
          <w:color w:val="auto"/>
          <w:sz w:val="24"/>
          <w:szCs w:val="24"/>
        </w:rPr>
        <w:t>复磅。复磅应选择有省、地级技术监督局检验合格（有检验合格证且未过期）并且距离施工现场较近的公磅处进行。如复检、复磅数量与送货单数量之差不超过±3‰范围，以材料配送单的发货数量为准（复检复磅的费用由施工单位承担）；如超出±3‰范围，则以复检、复磅数量为准（复检复磅费用由供应厂商承担并及时结清）。</w:t>
      </w:r>
    </w:p>
    <w:p>
      <w:pPr>
        <w:pStyle w:val="2"/>
        <w:spacing w:line="328" w:lineRule="auto"/>
        <w:ind w:right="780"/>
        <w:rPr>
          <w:b/>
          <w:bCs w:val="0"/>
          <w:color w:val="auto"/>
          <w:sz w:val="24"/>
          <w:szCs w:val="24"/>
        </w:rPr>
      </w:pPr>
      <w:r>
        <w:rPr>
          <w:b/>
          <w:bCs w:val="0"/>
          <w:color w:val="auto"/>
          <w:sz w:val="24"/>
          <w:szCs w:val="24"/>
        </w:rPr>
        <w:t>2、材料项目部可对到达工地的材料数量或重量进行抽</w:t>
      </w:r>
      <w:r>
        <w:rPr>
          <w:b/>
          <w:bCs w:val="0"/>
          <w:color w:val="auto"/>
          <w:spacing w:val="-14"/>
          <w:sz w:val="24"/>
          <w:szCs w:val="24"/>
        </w:rPr>
        <w:t>查，如发现同一牌号运输车辆在一个月内三次以上</w:t>
      </w:r>
      <w:r>
        <w:rPr>
          <w:b/>
          <w:bCs w:val="0"/>
          <w:color w:val="auto"/>
          <w:sz w:val="24"/>
          <w:szCs w:val="24"/>
        </w:rPr>
        <w:t>（含三次</w:t>
      </w:r>
      <w:r>
        <w:rPr>
          <w:b/>
          <w:bCs w:val="0"/>
          <w:color w:val="auto"/>
          <w:spacing w:val="-15"/>
          <w:sz w:val="24"/>
          <w:szCs w:val="24"/>
        </w:rPr>
        <w:t xml:space="preserve">） </w:t>
      </w:r>
      <w:r>
        <w:rPr>
          <w:b/>
          <w:bCs w:val="0"/>
          <w:color w:val="auto"/>
          <w:spacing w:val="-6"/>
          <w:sz w:val="24"/>
          <w:szCs w:val="24"/>
        </w:rPr>
        <w:t xml:space="preserve">有数量或重量负偏差达到或超过 </w:t>
      </w:r>
      <w:r>
        <w:rPr>
          <w:b/>
          <w:bCs w:val="0"/>
          <w:color w:val="auto"/>
          <w:sz w:val="24"/>
          <w:szCs w:val="24"/>
        </w:rPr>
        <w:t>3‰时（若供应厂商对抽查结果无异议</w:t>
      </w:r>
      <w:r>
        <w:rPr>
          <w:b/>
          <w:bCs w:val="0"/>
          <w:color w:val="auto"/>
          <w:spacing w:val="-7"/>
          <w:sz w:val="24"/>
          <w:szCs w:val="24"/>
        </w:rPr>
        <w:t>）</w:t>
      </w:r>
      <w:r>
        <w:rPr>
          <w:b/>
          <w:bCs w:val="0"/>
          <w:color w:val="auto"/>
          <w:spacing w:val="-3"/>
          <w:sz w:val="24"/>
          <w:szCs w:val="24"/>
        </w:rPr>
        <w:t xml:space="preserve">，材料项目部将在本施工标段的当月计量周期内对该运输车辆的材料运费支付时钢材按其单车该次材料 </w:t>
      </w:r>
      <w:r>
        <w:rPr>
          <w:b/>
          <w:bCs w:val="0"/>
          <w:color w:val="auto"/>
          <w:spacing w:val="-23"/>
          <w:sz w:val="24"/>
          <w:szCs w:val="24"/>
        </w:rPr>
        <w:t xml:space="preserve">价值的 </w:t>
      </w:r>
      <w:r>
        <w:rPr>
          <w:b/>
          <w:bCs w:val="0"/>
          <w:color w:val="auto"/>
          <w:sz w:val="24"/>
          <w:szCs w:val="24"/>
        </w:rPr>
        <w:t>3</w:t>
      </w:r>
      <w:r>
        <w:rPr>
          <w:b/>
          <w:bCs w:val="0"/>
          <w:color w:val="auto"/>
          <w:spacing w:val="-4"/>
          <w:sz w:val="24"/>
          <w:szCs w:val="24"/>
        </w:rPr>
        <w:t xml:space="preserve">‰、水泥以当月该车负偏差所运输总量价值的 </w:t>
      </w:r>
      <w:r>
        <w:rPr>
          <w:b/>
          <w:bCs w:val="0"/>
          <w:color w:val="auto"/>
          <w:sz w:val="24"/>
          <w:szCs w:val="24"/>
        </w:rPr>
        <w:t>5‰ 予以处罚。</w:t>
      </w:r>
    </w:p>
    <w:p>
      <w:pPr>
        <w:pStyle w:val="2"/>
        <w:spacing w:line="328" w:lineRule="auto"/>
        <w:ind w:right="619"/>
        <w:rPr>
          <w:b/>
          <w:bCs w:val="0"/>
          <w:color w:val="auto"/>
          <w:sz w:val="24"/>
          <w:szCs w:val="24"/>
        </w:rPr>
      </w:pPr>
      <w:r>
        <w:rPr>
          <w:b/>
          <w:bCs w:val="0"/>
          <w:color w:val="auto"/>
          <w:sz w:val="24"/>
          <w:szCs w:val="24"/>
        </w:rPr>
        <w:t xml:space="preserve">3、若供应厂商对抽查结果有异议，则另行指定一家由 </w:t>
      </w:r>
      <w:r>
        <w:rPr>
          <w:b/>
          <w:bCs w:val="0"/>
          <w:color w:val="auto"/>
          <w:spacing w:val="-2"/>
          <w:sz w:val="24"/>
          <w:szCs w:val="24"/>
        </w:rPr>
        <w:t>各方</w:t>
      </w:r>
      <w:r>
        <w:rPr>
          <w:b/>
          <w:bCs w:val="0"/>
          <w:color w:val="auto"/>
          <w:sz w:val="24"/>
          <w:szCs w:val="24"/>
        </w:rPr>
        <w:t>（</w:t>
      </w:r>
      <w:r>
        <w:rPr>
          <w:b/>
          <w:bCs w:val="0"/>
          <w:color w:val="auto"/>
          <w:spacing w:val="-2"/>
          <w:sz w:val="24"/>
          <w:szCs w:val="24"/>
        </w:rPr>
        <w:t>包括项目业主、驻地监理、施工单位、物流集团、供 应厂商</w:t>
      </w:r>
      <w:r>
        <w:rPr>
          <w:b/>
          <w:bCs w:val="0"/>
          <w:color w:val="auto"/>
          <w:spacing w:val="-3"/>
          <w:sz w:val="24"/>
          <w:szCs w:val="24"/>
        </w:rPr>
        <w:t>）</w:t>
      </w:r>
      <w:r>
        <w:rPr>
          <w:b/>
          <w:bCs w:val="0"/>
          <w:color w:val="auto"/>
          <w:spacing w:val="-2"/>
          <w:sz w:val="24"/>
          <w:szCs w:val="24"/>
        </w:rPr>
        <w:t>认可的具有省、地级技术监督局检验合格</w:t>
      </w:r>
      <w:r>
        <w:rPr>
          <w:b/>
          <w:bCs w:val="0"/>
          <w:color w:val="auto"/>
          <w:sz w:val="24"/>
          <w:szCs w:val="24"/>
        </w:rPr>
        <w:t>（有检验 合格证且未过期</w:t>
      </w:r>
      <w:r>
        <w:rPr>
          <w:b/>
          <w:bCs w:val="0"/>
          <w:color w:val="auto"/>
          <w:spacing w:val="-13"/>
          <w:sz w:val="24"/>
          <w:szCs w:val="24"/>
        </w:rPr>
        <w:t>）</w:t>
      </w:r>
      <w:r>
        <w:rPr>
          <w:b/>
          <w:bCs w:val="0"/>
          <w:color w:val="auto"/>
          <w:spacing w:val="-1"/>
          <w:sz w:val="24"/>
          <w:szCs w:val="24"/>
        </w:rPr>
        <w:t>并且距离施工现场较近的公榜处进行复磅。</w:t>
      </w:r>
      <w:r>
        <w:rPr>
          <w:b/>
          <w:bCs w:val="0"/>
          <w:color w:val="auto"/>
          <w:sz w:val="24"/>
          <w:szCs w:val="24"/>
        </w:rPr>
        <w:t>复磅的结果为最终结果，若复磅数量的结果达到或超过± 3‰，施工单位以该数量值收货，复磅的相关费用由供应商 承担；若复磅数量的偏差在±3‰以内，则施工单位按材料 配送单的发货数量签收，复磅的相关费用由提出方承担。</w:t>
      </w:r>
    </w:p>
    <w:p>
      <w:pPr>
        <w:pStyle w:val="2"/>
        <w:spacing w:line="398" w:lineRule="exact"/>
        <w:ind w:left="761" w:firstLine="0"/>
        <w:rPr>
          <w:b/>
          <w:bCs w:val="0"/>
          <w:color w:val="auto"/>
          <w:sz w:val="24"/>
          <w:szCs w:val="24"/>
        </w:rPr>
      </w:pPr>
      <w:r>
        <w:rPr>
          <w:b/>
          <w:bCs w:val="0"/>
          <w:color w:val="auto"/>
          <w:sz w:val="24"/>
          <w:szCs w:val="24"/>
        </w:rPr>
        <w:t>（二）材料质量争议</w:t>
      </w:r>
    </w:p>
    <w:p>
      <w:pPr>
        <w:pStyle w:val="2"/>
        <w:spacing w:before="127" w:line="328" w:lineRule="auto"/>
        <w:ind w:right="787"/>
        <w:rPr>
          <w:b/>
          <w:bCs w:val="0"/>
          <w:color w:val="auto"/>
          <w:sz w:val="24"/>
          <w:szCs w:val="24"/>
        </w:rPr>
      </w:pPr>
      <w:r>
        <w:rPr>
          <w:b/>
          <w:bCs w:val="0"/>
          <w:color w:val="auto"/>
          <w:sz w:val="24"/>
          <w:szCs w:val="24"/>
        </w:rPr>
        <w:t>1</w:t>
      </w:r>
      <w:r>
        <w:rPr>
          <w:b/>
          <w:bCs w:val="0"/>
          <w:color w:val="auto"/>
          <w:spacing w:val="-14"/>
          <w:sz w:val="24"/>
          <w:szCs w:val="24"/>
        </w:rPr>
        <w:t>、供应厂商的材料达到指定地点后，材料项目部按《物</w:t>
      </w:r>
      <w:r>
        <w:rPr>
          <w:b/>
          <w:bCs w:val="0"/>
          <w:color w:val="auto"/>
          <w:spacing w:val="4"/>
          <w:w w:val="95"/>
          <w:sz w:val="24"/>
          <w:szCs w:val="24"/>
        </w:rPr>
        <w:t>流集团质量管理办法》规定进行材料抽样初检</w:t>
      </w:r>
      <w:r>
        <w:rPr>
          <w:b/>
          <w:bCs w:val="0"/>
          <w:color w:val="auto"/>
          <w:spacing w:val="7"/>
          <w:w w:val="95"/>
          <w:sz w:val="24"/>
          <w:szCs w:val="24"/>
        </w:rPr>
        <w:t>（</w:t>
      </w:r>
      <w:r>
        <w:rPr>
          <w:b/>
          <w:bCs w:val="0"/>
          <w:color w:val="auto"/>
          <w:spacing w:val="5"/>
          <w:w w:val="95"/>
          <w:sz w:val="24"/>
          <w:szCs w:val="24"/>
        </w:rPr>
        <w:t>送项目办、</w:t>
      </w:r>
    </w:p>
    <w:p>
      <w:pPr>
        <w:spacing w:after="0" w:line="328" w:lineRule="auto"/>
        <w:rPr>
          <w:b/>
          <w:bCs w:val="0"/>
          <w:color w:val="auto"/>
          <w:sz w:val="24"/>
          <w:szCs w:val="24"/>
        </w:rPr>
        <w:sectPr>
          <w:pgSz w:w="11910" w:h="16840"/>
          <w:pgMar w:top="1520" w:right="860" w:bottom="1160" w:left="1680" w:header="0" w:footer="975" w:gutter="0"/>
          <w:pgNumType w:fmt="decimal"/>
        </w:sectPr>
      </w:pPr>
    </w:p>
    <w:p>
      <w:pPr>
        <w:pStyle w:val="2"/>
        <w:spacing w:before="30" w:line="326" w:lineRule="auto"/>
        <w:ind w:right="790" w:firstLine="0"/>
        <w:rPr>
          <w:b/>
          <w:bCs w:val="0"/>
          <w:color w:val="auto"/>
          <w:sz w:val="24"/>
          <w:szCs w:val="24"/>
        </w:rPr>
      </w:pPr>
      <w:r>
        <w:rPr>
          <w:b/>
          <w:bCs w:val="0"/>
          <w:color w:val="auto"/>
          <w:spacing w:val="4"/>
          <w:w w:val="95"/>
          <w:sz w:val="24"/>
          <w:szCs w:val="24"/>
        </w:rPr>
        <w:t>物流集团认可的有资质的检测机构检测</w:t>
      </w:r>
      <w:r>
        <w:rPr>
          <w:b/>
          <w:bCs w:val="0"/>
          <w:color w:val="auto"/>
          <w:spacing w:val="8"/>
          <w:w w:val="95"/>
          <w:sz w:val="24"/>
          <w:szCs w:val="24"/>
        </w:rPr>
        <w:t>）</w:t>
      </w:r>
      <w:r>
        <w:rPr>
          <w:b/>
          <w:bCs w:val="0"/>
          <w:color w:val="auto"/>
          <w:spacing w:val="4"/>
          <w:w w:val="95"/>
          <w:sz w:val="24"/>
          <w:szCs w:val="24"/>
        </w:rPr>
        <w:t xml:space="preserve">，如质量不合格， </w:t>
      </w:r>
      <w:r>
        <w:rPr>
          <w:b/>
          <w:bCs w:val="0"/>
          <w:color w:val="auto"/>
          <w:sz w:val="24"/>
          <w:szCs w:val="24"/>
        </w:rPr>
        <w:t>通知供应厂商再次复检，以复检结果为最终结果。</w:t>
      </w:r>
    </w:p>
    <w:p>
      <w:pPr>
        <w:pStyle w:val="2"/>
        <w:spacing w:before="6" w:line="326" w:lineRule="auto"/>
        <w:ind w:right="1085"/>
        <w:rPr>
          <w:b/>
          <w:bCs w:val="0"/>
          <w:color w:val="auto"/>
          <w:sz w:val="24"/>
          <w:szCs w:val="24"/>
        </w:rPr>
      </w:pPr>
      <w:r>
        <w:rPr>
          <w:b/>
          <w:bCs w:val="0"/>
          <w:color w:val="auto"/>
          <w:sz w:val="24"/>
          <w:szCs w:val="24"/>
        </w:rPr>
        <w:t>2、供应厂商恶意套牌、弄虚作假行为的严格按《招标文件》条款处理。</w:t>
      </w:r>
    </w:p>
    <w:p>
      <w:pPr>
        <w:pStyle w:val="2"/>
        <w:spacing w:before="3" w:line="328" w:lineRule="auto"/>
        <w:ind w:right="790"/>
        <w:rPr>
          <w:b/>
          <w:bCs w:val="0"/>
          <w:color w:val="auto"/>
          <w:sz w:val="24"/>
          <w:szCs w:val="24"/>
        </w:rPr>
      </w:pPr>
      <w:r>
        <w:rPr>
          <w:b/>
          <w:bCs w:val="0"/>
          <w:color w:val="auto"/>
          <w:sz w:val="24"/>
          <w:szCs w:val="24"/>
        </w:rPr>
        <w:t>3、材料送达施工单位现场抽检有质量争议的，由材料</w:t>
      </w:r>
      <w:r>
        <w:rPr>
          <w:b/>
          <w:bCs w:val="0"/>
          <w:color w:val="auto"/>
          <w:spacing w:val="4"/>
          <w:w w:val="95"/>
          <w:sz w:val="24"/>
          <w:szCs w:val="24"/>
        </w:rPr>
        <w:t>项目部牵头，由项目（</w:t>
      </w:r>
      <w:r>
        <w:rPr>
          <w:b/>
          <w:bCs w:val="0"/>
          <w:color w:val="auto"/>
          <w:spacing w:val="5"/>
          <w:w w:val="95"/>
          <w:sz w:val="24"/>
          <w:szCs w:val="24"/>
        </w:rPr>
        <w:t>总监</w:t>
      </w:r>
      <w:r>
        <w:rPr>
          <w:b/>
          <w:bCs w:val="0"/>
          <w:color w:val="auto"/>
          <w:spacing w:val="4"/>
          <w:w w:val="95"/>
          <w:sz w:val="24"/>
          <w:szCs w:val="24"/>
        </w:rPr>
        <w:t>）</w:t>
      </w:r>
      <w:r>
        <w:rPr>
          <w:b/>
          <w:bCs w:val="0"/>
          <w:color w:val="auto"/>
          <w:spacing w:val="3"/>
          <w:w w:val="95"/>
          <w:sz w:val="24"/>
          <w:szCs w:val="24"/>
        </w:rPr>
        <w:t xml:space="preserve">办、中心试验室、驻地监理、 </w:t>
      </w:r>
      <w:r>
        <w:rPr>
          <w:b/>
          <w:bCs w:val="0"/>
          <w:color w:val="auto"/>
          <w:spacing w:val="-1"/>
          <w:sz w:val="24"/>
          <w:szCs w:val="24"/>
        </w:rPr>
        <w:t>施工单位共同参与见证取样，送更高级别的有资质的检测机构检测。</w:t>
      </w:r>
    </w:p>
    <w:p>
      <w:pPr>
        <w:pStyle w:val="3"/>
        <w:tabs>
          <w:tab w:val="left" w:pos="2693"/>
        </w:tabs>
        <w:spacing w:line="478" w:lineRule="exact"/>
        <w:rPr>
          <w:b/>
          <w:bCs w:val="0"/>
          <w:color w:val="auto"/>
          <w:sz w:val="24"/>
          <w:szCs w:val="24"/>
        </w:rPr>
      </w:pPr>
      <w:r>
        <w:rPr>
          <w:b/>
          <w:bCs w:val="0"/>
          <w:color w:val="auto"/>
          <w:sz w:val="24"/>
          <w:szCs w:val="24"/>
        </w:rPr>
        <w:t>第二十五条</w:t>
      </w:r>
      <w:r>
        <w:rPr>
          <w:b/>
          <w:bCs w:val="0"/>
          <w:color w:val="auto"/>
          <w:sz w:val="24"/>
          <w:szCs w:val="24"/>
        </w:rPr>
        <w:tab/>
      </w:r>
      <w:r>
        <w:rPr>
          <w:b/>
          <w:bCs w:val="0"/>
          <w:color w:val="auto"/>
          <w:sz w:val="24"/>
          <w:szCs w:val="24"/>
        </w:rPr>
        <w:t>材料的配送及装卸</w:t>
      </w:r>
    </w:p>
    <w:p>
      <w:pPr>
        <w:pStyle w:val="2"/>
        <w:spacing w:before="77" w:line="328" w:lineRule="auto"/>
        <w:ind w:right="940"/>
        <w:jc w:val="both"/>
        <w:rPr>
          <w:b/>
          <w:bCs w:val="0"/>
          <w:color w:val="auto"/>
          <w:sz w:val="24"/>
          <w:szCs w:val="24"/>
        </w:rPr>
      </w:pPr>
      <w:r>
        <w:rPr>
          <w:b/>
          <w:bCs w:val="0"/>
          <w:color w:val="auto"/>
          <w:sz w:val="24"/>
          <w:szCs w:val="24"/>
        </w:rPr>
        <w:t>（一</w:t>
      </w:r>
      <w:r>
        <w:rPr>
          <w:b/>
          <w:bCs w:val="0"/>
          <w:color w:val="auto"/>
          <w:spacing w:val="-8"/>
          <w:sz w:val="24"/>
          <w:szCs w:val="24"/>
        </w:rPr>
        <w:t>）</w:t>
      </w:r>
      <w:r>
        <w:rPr>
          <w:b/>
          <w:bCs w:val="0"/>
          <w:color w:val="auto"/>
          <w:spacing w:val="-2"/>
          <w:sz w:val="24"/>
          <w:szCs w:val="24"/>
        </w:rPr>
        <w:t>供应厂商在配送材料前，应到现场考察配送路线</w:t>
      </w:r>
      <w:r>
        <w:rPr>
          <w:b/>
          <w:bCs w:val="0"/>
          <w:color w:val="auto"/>
          <w:spacing w:val="-20"/>
          <w:sz w:val="24"/>
          <w:szCs w:val="24"/>
        </w:rPr>
        <w:t xml:space="preserve">路况，组织符合《招标文件》条款规定的车辆进行材料运输， </w:t>
      </w:r>
      <w:r>
        <w:rPr>
          <w:b/>
          <w:bCs w:val="0"/>
          <w:color w:val="auto"/>
          <w:sz w:val="24"/>
          <w:szCs w:val="24"/>
        </w:rPr>
        <w:t>所有参加配送的车辆必须加装卫星定位装置。</w:t>
      </w:r>
    </w:p>
    <w:p>
      <w:pPr>
        <w:pStyle w:val="2"/>
        <w:spacing w:line="326" w:lineRule="auto"/>
        <w:ind w:right="894"/>
        <w:rPr>
          <w:b/>
          <w:bCs w:val="0"/>
          <w:color w:val="auto"/>
          <w:sz w:val="24"/>
          <w:szCs w:val="24"/>
        </w:rPr>
      </w:pPr>
      <w:r>
        <w:rPr>
          <w:b/>
          <w:bCs w:val="0"/>
          <w:color w:val="auto"/>
          <w:sz w:val="24"/>
          <w:szCs w:val="24"/>
        </w:rPr>
        <w:t>（二）供应厂商配送材料的运输路线必须按照甲供材料项目部批准审核的路线执行。</w:t>
      </w:r>
    </w:p>
    <w:p>
      <w:pPr>
        <w:pStyle w:val="2"/>
        <w:spacing w:before="1" w:line="328" w:lineRule="auto"/>
        <w:ind w:right="938"/>
        <w:jc w:val="both"/>
        <w:rPr>
          <w:b/>
          <w:bCs w:val="0"/>
          <w:color w:val="auto"/>
          <w:sz w:val="24"/>
          <w:szCs w:val="24"/>
        </w:rPr>
      </w:pPr>
      <w:r>
        <w:rPr>
          <w:b/>
          <w:bCs w:val="0"/>
          <w:color w:val="auto"/>
          <w:sz w:val="24"/>
          <w:szCs w:val="24"/>
        </w:rPr>
        <w:t>（三</w:t>
      </w:r>
      <w:r>
        <w:rPr>
          <w:b/>
          <w:bCs w:val="0"/>
          <w:color w:val="auto"/>
          <w:spacing w:val="-12"/>
          <w:sz w:val="24"/>
          <w:szCs w:val="24"/>
        </w:rPr>
        <w:t>）</w:t>
      </w:r>
      <w:r>
        <w:rPr>
          <w:b/>
          <w:bCs w:val="0"/>
          <w:color w:val="auto"/>
          <w:spacing w:val="-1"/>
          <w:sz w:val="24"/>
          <w:szCs w:val="24"/>
        </w:rPr>
        <w:t>材料供应厂商须严格按照材料项目部下达的供应</w:t>
      </w:r>
      <w:r>
        <w:rPr>
          <w:b/>
          <w:bCs w:val="0"/>
          <w:color w:val="auto"/>
          <w:spacing w:val="-3"/>
          <w:sz w:val="24"/>
          <w:szCs w:val="24"/>
        </w:rPr>
        <w:t>计划中指定地点进行配送，严禁出现私自不按规定地点卸货</w:t>
      </w:r>
      <w:r>
        <w:rPr>
          <w:b/>
          <w:bCs w:val="0"/>
          <w:color w:val="auto"/>
          <w:spacing w:val="-4"/>
          <w:sz w:val="24"/>
          <w:szCs w:val="24"/>
        </w:rPr>
        <w:t>的情况，若因紧急情况材料需另行配送至其它地点时，由甲</w:t>
      </w:r>
      <w:r>
        <w:rPr>
          <w:b/>
          <w:bCs w:val="0"/>
          <w:color w:val="auto"/>
          <w:sz w:val="24"/>
          <w:szCs w:val="24"/>
        </w:rPr>
        <w:t>供材料项目部进行调整，材料运输单位必须予以配合。</w:t>
      </w:r>
    </w:p>
    <w:p>
      <w:pPr>
        <w:pStyle w:val="2"/>
        <w:spacing w:line="328" w:lineRule="auto"/>
        <w:ind w:right="933"/>
        <w:jc w:val="both"/>
        <w:rPr>
          <w:b/>
          <w:bCs w:val="0"/>
          <w:color w:val="auto"/>
          <w:sz w:val="24"/>
          <w:szCs w:val="24"/>
        </w:rPr>
      </w:pPr>
      <w:r>
        <w:rPr>
          <w:b/>
          <w:bCs w:val="0"/>
          <w:color w:val="auto"/>
          <w:sz w:val="24"/>
          <w:szCs w:val="24"/>
        </w:rPr>
        <w:t>（四</w:t>
      </w:r>
      <w:r>
        <w:rPr>
          <w:b/>
          <w:bCs w:val="0"/>
          <w:color w:val="auto"/>
          <w:spacing w:val="-12"/>
          <w:sz w:val="24"/>
          <w:szCs w:val="24"/>
        </w:rPr>
        <w:t>）</w:t>
      </w:r>
      <w:r>
        <w:rPr>
          <w:b/>
          <w:bCs w:val="0"/>
          <w:color w:val="auto"/>
          <w:sz w:val="24"/>
          <w:szCs w:val="24"/>
        </w:rPr>
        <w:t>供应厂商应加强对配送车辆驾驶员的交通法规和</w:t>
      </w:r>
      <w:r>
        <w:rPr>
          <w:b/>
          <w:bCs w:val="0"/>
          <w:color w:val="auto"/>
          <w:spacing w:val="-3"/>
          <w:sz w:val="24"/>
          <w:szCs w:val="24"/>
        </w:rPr>
        <w:t>交通安全进行培训、宣教，使每位驾驶员严格遵守国家的交通法规，随时检查车辆状况，保证车况良好，严禁超限、超速，严禁病车上路。</w:t>
      </w:r>
    </w:p>
    <w:p>
      <w:pPr>
        <w:pStyle w:val="2"/>
        <w:spacing w:line="328" w:lineRule="auto"/>
        <w:ind w:right="895"/>
        <w:rPr>
          <w:b/>
          <w:bCs w:val="0"/>
          <w:color w:val="auto"/>
          <w:sz w:val="24"/>
          <w:szCs w:val="24"/>
        </w:rPr>
      </w:pPr>
      <w:r>
        <w:rPr>
          <w:b/>
          <w:bCs w:val="0"/>
          <w:color w:val="auto"/>
          <w:sz w:val="24"/>
          <w:szCs w:val="24"/>
        </w:rPr>
        <w:t>（五）在材料配送至规定地点后，运输车辆必须服从施工单位的安排，配合施工单位完成卸货、初验工作。</w:t>
      </w:r>
    </w:p>
    <w:p>
      <w:pPr>
        <w:spacing w:after="0" w:line="328" w:lineRule="auto"/>
        <w:rPr>
          <w:b/>
          <w:bCs w:val="0"/>
          <w:color w:val="auto"/>
          <w:sz w:val="24"/>
          <w:szCs w:val="24"/>
        </w:rPr>
        <w:sectPr>
          <w:pgSz w:w="11910" w:h="16840"/>
          <w:pgMar w:top="1520" w:right="860" w:bottom="1160" w:left="1680" w:header="0" w:footer="975" w:gutter="0"/>
          <w:pgNumType w:fmt="decimal"/>
        </w:sectPr>
      </w:pPr>
    </w:p>
    <w:p>
      <w:pPr>
        <w:pStyle w:val="2"/>
        <w:spacing w:before="30" w:line="328" w:lineRule="auto"/>
        <w:ind w:right="938"/>
        <w:jc w:val="both"/>
        <w:rPr>
          <w:b/>
          <w:bCs w:val="0"/>
          <w:color w:val="auto"/>
          <w:sz w:val="24"/>
          <w:szCs w:val="24"/>
        </w:rPr>
      </w:pPr>
      <w:r>
        <w:rPr>
          <w:b/>
          <w:bCs w:val="0"/>
          <w:color w:val="auto"/>
          <w:sz w:val="24"/>
          <w:szCs w:val="24"/>
        </w:rPr>
        <w:t>（六</w:t>
      </w:r>
      <w:r>
        <w:rPr>
          <w:b/>
          <w:bCs w:val="0"/>
          <w:color w:val="auto"/>
          <w:spacing w:val="-12"/>
          <w:sz w:val="24"/>
          <w:szCs w:val="24"/>
        </w:rPr>
        <w:t>）</w:t>
      </w:r>
      <w:r>
        <w:rPr>
          <w:b/>
          <w:bCs w:val="0"/>
          <w:color w:val="auto"/>
          <w:spacing w:val="-1"/>
          <w:sz w:val="24"/>
          <w:szCs w:val="24"/>
        </w:rPr>
        <w:t>在项目建设主要运输通道以及施工便道上产生拥</w:t>
      </w:r>
      <w:r>
        <w:rPr>
          <w:b/>
          <w:bCs w:val="0"/>
          <w:color w:val="auto"/>
          <w:spacing w:val="-5"/>
          <w:sz w:val="24"/>
          <w:szCs w:val="24"/>
        </w:rPr>
        <w:t>堵时，运输车辆必须服从现场执法人员或施工单位的疏导人</w:t>
      </w:r>
      <w:r>
        <w:rPr>
          <w:b/>
          <w:bCs w:val="0"/>
          <w:color w:val="auto"/>
          <w:sz w:val="24"/>
          <w:szCs w:val="24"/>
        </w:rPr>
        <w:t>员的指挥。</w:t>
      </w:r>
    </w:p>
    <w:p>
      <w:pPr>
        <w:pStyle w:val="2"/>
        <w:spacing w:line="326" w:lineRule="auto"/>
        <w:ind w:right="938"/>
        <w:rPr>
          <w:b/>
          <w:bCs w:val="0"/>
          <w:color w:val="auto"/>
          <w:sz w:val="24"/>
          <w:szCs w:val="24"/>
        </w:rPr>
      </w:pPr>
      <w:r>
        <w:rPr>
          <w:b/>
          <w:bCs w:val="0"/>
          <w:color w:val="auto"/>
          <w:sz w:val="24"/>
          <w:szCs w:val="24"/>
        </w:rPr>
        <w:t>（七</w:t>
      </w:r>
      <w:r>
        <w:rPr>
          <w:b/>
          <w:bCs w:val="0"/>
          <w:color w:val="auto"/>
          <w:spacing w:val="-12"/>
          <w:sz w:val="24"/>
          <w:szCs w:val="24"/>
        </w:rPr>
        <w:t>）</w:t>
      </w:r>
      <w:r>
        <w:rPr>
          <w:b/>
          <w:bCs w:val="0"/>
          <w:color w:val="auto"/>
          <w:spacing w:val="-1"/>
          <w:sz w:val="24"/>
          <w:szCs w:val="24"/>
        </w:rPr>
        <w:t>供应厂商对货物运送至指定地点前的所有组织工</w:t>
      </w:r>
      <w:r>
        <w:rPr>
          <w:b/>
          <w:bCs w:val="0"/>
          <w:color w:val="auto"/>
          <w:sz w:val="24"/>
          <w:szCs w:val="24"/>
        </w:rPr>
        <w:t>作、管理工作、安全工作、防盗工作等负责。</w:t>
      </w:r>
    </w:p>
    <w:p>
      <w:pPr>
        <w:pStyle w:val="3"/>
        <w:tabs>
          <w:tab w:val="left" w:pos="2693"/>
        </w:tabs>
        <w:spacing w:line="488" w:lineRule="exact"/>
        <w:rPr>
          <w:b/>
          <w:bCs w:val="0"/>
          <w:color w:val="auto"/>
          <w:sz w:val="24"/>
          <w:szCs w:val="24"/>
        </w:rPr>
      </w:pPr>
      <w:r>
        <w:rPr>
          <w:b/>
          <w:bCs w:val="0"/>
          <w:color w:val="auto"/>
          <w:sz w:val="24"/>
          <w:szCs w:val="24"/>
        </w:rPr>
        <w:t>第二十六条</w:t>
      </w:r>
      <w:r>
        <w:rPr>
          <w:b/>
          <w:bCs w:val="0"/>
          <w:color w:val="auto"/>
          <w:sz w:val="24"/>
          <w:szCs w:val="24"/>
        </w:rPr>
        <w:tab/>
      </w:r>
      <w:r>
        <w:rPr>
          <w:b/>
          <w:bCs w:val="0"/>
          <w:color w:val="auto"/>
          <w:sz w:val="24"/>
          <w:szCs w:val="24"/>
        </w:rPr>
        <w:t>材料款的结算、调差及支付</w:t>
      </w:r>
    </w:p>
    <w:p>
      <w:pPr>
        <w:pStyle w:val="2"/>
        <w:spacing w:before="72" w:line="328" w:lineRule="auto"/>
        <w:ind w:right="939"/>
        <w:jc w:val="both"/>
        <w:rPr>
          <w:b/>
          <w:bCs w:val="0"/>
          <w:color w:val="auto"/>
          <w:sz w:val="24"/>
          <w:szCs w:val="24"/>
        </w:rPr>
      </w:pPr>
      <w:r>
        <w:rPr>
          <w:b/>
          <w:bCs w:val="0"/>
          <w:color w:val="auto"/>
          <w:sz w:val="24"/>
          <w:szCs w:val="24"/>
        </w:rPr>
        <w:t>（一）</w:t>
      </w:r>
      <w:r>
        <w:rPr>
          <w:b/>
          <w:bCs w:val="0"/>
          <w:color w:val="auto"/>
          <w:spacing w:val="-4"/>
          <w:sz w:val="24"/>
          <w:szCs w:val="24"/>
        </w:rPr>
        <w:t>、供应厂商必须在材料项目部规定的时间内由结</w:t>
      </w:r>
      <w:r>
        <w:rPr>
          <w:b/>
          <w:bCs w:val="0"/>
          <w:color w:val="auto"/>
          <w:spacing w:val="-1"/>
          <w:sz w:val="24"/>
          <w:szCs w:val="24"/>
        </w:rPr>
        <w:t>算人员带齐对账结算相关的入库</w:t>
      </w:r>
      <w:r>
        <w:rPr>
          <w:b/>
          <w:bCs w:val="0"/>
          <w:color w:val="auto"/>
          <w:sz w:val="24"/>
          <w:szCs w:val="24"/>
        </w:rPr>
        <w:t>（签收</w:t>
      </w:r>
      <w:r>
        <w:rPr>
          <w:b/>
          <w:bCs w:val="0"/>
          <w:color w:val="auto"/>
          <w:spacing w:val="-3"/>
          <w:sz w:val="24"/>
          <w:szCs w:val="24"/>
        </w:rPr>
        <w:t>）</w:t>
      </w:r>
      <w:r>
        <w:rPr>
          <w:b/>
          <w:bCs w:val="0"/>
          <w:color w:val="auto"/>
          <w:spacing w:val="-4"/>
          <w:sz w:val="24"/>
          <w:szCs w:val="24"/>
        </w:rPr>
        <w:t>清单、公章或结算</w:t>
      </w:r>
      <w:r>
        <w:rPr>
          <w:b/>
          <w:bCs w:val="0"/>
          <w:color w:val="auto"/>
          <w:sz w:val="24"/>
          <w:szCs w:val="24"/>
        </w:rPr>
        <w:t>专用章到材料项目部进行月度对账结算确认工作。</w:t>
      </w:r>
    </w:p>
    <w:p>
      <w:pPr>
        <w:pStyle w:val="2"/>
        <w:spacing w:line="328" w:lineRule="auto"/>
        <w:ind w:right="938"/>
        <w:jc w:val="both"/>
        <w:rPr>
          <w:b/>
          <w:bCs w:val="0"/>
          <w:color w:val="auto"/>
          <w:sz w:val="24"/>
          <w:szCs w:val="24"/>
        </w:rPr>
      </w:pPr>
      <w:r>
        <w:rPr>
          <w:b/>
          <w:bCs w:val="0"/>
          <w:color w:val="auto"/>
          <w:sz w:val="24"/>
          <w:szCs w:val="24"/>
        </w:rPr>
        <w:t>（二）</w:t>
      </w:r>
      <w:r>
        <w:rPr>
          <w:b/>
          <w:bCs w:val="0"/>
          <w:color w:val="auto"/>
          <w:spacing w:val="-5"/>
          <w:sz w:val="24"/>
          <w:szCs w:val="24"/>
        </w:rPr>
        <w:t>、供应厂商原指定人员如因特殊原因不能按时到场，应书面委托其他人员办理，否则，将停止支付当期材料</w:t>
      </w:r>
      <w:r>
        <w:rPr>
          <w:b/>
          <w:bCs w:val="0"/>
          <w:color w:val="auto"/>
          <w:sz w:val="24"/>
          <w:szCs w:val="24"/>
        </w:rPr>
        <w:t>款，顺延至下个支付期支付。</w:t>
      </w:r>
    </w:p>
    <w:p>
      <w:pPr>
        <w:pStyle w:val="2"/>
        <w:spacing w:line="328" w:lineRule="auto"/>
        <w:ind w:right="938"/>
        <w:jc w:val="both"/>
        <w:rPr>
          <w:b/>
          <w:bCs w:val="0"/>
          <w:color w:val="auto"/>
          <w:sz w:val="24"/>
          <w:szCs w:val="24"/>
        </w:rPr>
      </w:pPr>
      <w:r>
        <w:rPr>
          <w:b/>
          <w:bCs w:val="0"/>
          <w:color w:val="auto"/>
          <w:sz w:val="24"/>
          <w:szCs w:val="24"/>
        </w:rPr>
        <w:t>（三）</w:t>
      </w:r>
      <w:r>
        <w:rPr>
          <w:b/>
          <w:bCs w:val="0"/>
          <w:color w:val="auto"/>
          <w:spacing w:val="-5"/>
          <w:sz w:val="24"/>
          <w:szCs w:val="24"/>
        </w:rPr>
        <w:t>、经核对无误后供应厂商须在材料项目部编制要</w:t>
      </w:r>
      <w:r>
        <w:rPr>
          <w:b/>
          <w:bCs w:val="0"/>
          <w:color w:val="auto"/>
          <w:spacing w:val="-4"/>
          <w:sz w:val="24"/>
          <w:szCs w:val="24"/>
        </w:rPr>
        <w:t>求的清单、结算确认表、汇总表上签字盖章，并在结算完毕</w:t>
      </w:r>
      <w:r>
        <w:rPr>
          <w:b/>
          <w:bCs w:val="0"/>
          <w:color w:val="auto"/>
          <w:spacing w:val="-41"/>
          <w:sz w:val="24"/>
          <w:szCs w:val="24"/>
        </w:rPr>
        <w:t xml:space="preserve">后 </w:t>
      </w:r>
      <w:r>
        <w:rPr>
          <w:b/>
          <w:bCs w:val="0"/>
          <w:color w:val="auto"/>
          <w:sz w:val="24"/>
          <w:szCs w:val="24"/>
        </w:rPr>
        <w:t>5</w:t>
      </w:r>
      <w:r>
        <w:rPr>
          <w:b/>
          <w:bCs w:val="0"/>
          <w:color w:val="auto"/>
          <w:spacing w:val="-11"/>
          <w:sz w:val="24"/>
          <w:szCs w:val="24"/>
        </w:rPr>
        <w:t xml:space="preserve"> 个工作日内按《采购合同》规定向物流集团开具并提交</w:t>
      </w:r>
      <w:r>
        <w:rPr>
          <w:b/>
          <w:bCs w:val="0"/>
          <w:color w:val="auto"/>
          <w:spacing w:val="-3"/>
          <w:sz w:val="24"/>
          <w:szCs w:val="24"/>
        </w:rPr>
        <w:t>增值税专用发票，未按规定及要求开具和提交发票的上期材料款本期内不支付，由此带来的损失和影响供应厂商自行承</w:t>
      </w:r>
      <w:r>
        <w:rPr>
          <w:b/>
          <w:bCs w:val="0"/>
          <w:color w:val="auto"/>
          <w:sz w:val="24"/>
          <w:szCs w:val="24"/>
        </w:rPr>
        <w:t>担。</w:t>
      </w:r>
    </w:p>
    <w:p>
      <w:pPr>
        <w:pStyle w:val="2"/>
        <w:spacing w:line="328" w:lineRule="auto"/>
        <w:ind w:right="941"/>
        <w:jc w:val="both"/>
        <w:rPr>
          <w:b/>
          <w:bCs w:val="0"/>
          <w:color w:val="auto"/>
          <w:sz w:val="24"/>
          <w:szCs w:val="24"/>
        </w:rPr>
      </w:pPr>
      <w:r>
        <w:rPr>
          <w:b/>
          <w:bCs w:val="0"/>
          <w:color w:val="auto"/>
          <w:sz w:val="24"/>
          <w:szCs w:val="24"/>
        </w:rPr>
        <w:t>（四</w:t>
      </w:r>
      <w:r>
        <w:rPr>
          <w:b/>
          <w:bCs w:val="0"/>
          <w:color w:val="auto"/>
          <w:spacing w:val="-8"/>
          <w:sz w:val="24"/>
          <w:szCs w:val="24"/>
        </w:rPr>
        <w:t>）</w:t>
      </w:r>
      <w:r>
        <w:rPr>
          <w:b/>
          <w:bCs w:val="0"/>
          <w:color w:val="auto"/>
          <w:spacing w:val="-2"/>
          <w:sz w:val="24"/>
          <w:szCs w:val="24"/>
        </w:rPr>
        <w:t>供应厂商对支付材料款金额有异议时，可向材料</w:t>
      </w:r>
      <w:r>
        <w:rPr>
          <w:b/>
          <w:bCs w:val="0"/>
          <w:color w:val="auto"/>
          <w:spacing w:val="-3"/>
          <w:sz w:val="24"/>
          <w:szCs w:val="24"/>
        </w:rPr>
        <w:t>项目部提出书面申请，如有差错，由材料项目部组织各方重</w:t>
      </w:r>
      <w:r>
        <w:rPr>
          <w:b/>
          <w:bCs w:val="0"/>
          <w:color w:val="auto"/>
          <w:sz w:val="24"/>
          <w:szCs w:val="24"/>
        </w:rPr>
        <w:t>新复核，经确认后在次月支付材料款时予以调整。</w:t>
      </w:r>
    </w:p>
    <w:p>
      <w:pPr>
        <w:pStyle w:val="2"/>
        <w:spacing w:line="326" w:lineRule="auto"/>
        <w:ind w:right="894"/>
        <w:rPr>
          <w:b/>
          <w:bCs w:val="0"/>
          <w:color w:val="auto"/>
          <w:sz w:val="24"/>
          <w:szCs w:val="24"/>
        </w:rPr>
      </w:pPr>
      <w:r>
        <w:rPr>
          <w:b/>
          <w:bCs w:val="0"/>
          <w:color w:val="auto"/>
          <w:sz w:val="24"/>
          <w:szCs w:val="24"/>
        </w:rPr>
        <w:t>（五）甲供材料调差根据贵州省交通造价信息站公布单价进行调差，调差流程与结算审批流程一致。</w:t>
      </w:r>
    </w:p>
    <w:p>
      <w:pPr>
        <w:pStyle w:val="2"/>
        <w:ind w:left="761" w:firstLine="0"/>
        <w:rPr>
          <w:b/>
          <w:bCs w:val="0"/>
          <w:color w:val="auto"/>
          <w:sz w:val="24"/>
          <w:szCs w:val="24"/>
        </w:rPr>
      </w:pPr>
      <w:r>
        <w:rPr>
          <w:b/>
          <w:bCs w:val="0"/>
          <w:color w:val="auto"/>
          <w:sz w:val="24"/>
          <w:szCs w:val="24"/>
        </w:rPr>
        <w:t>（六）甲供材料支付工作按物流集团财务支付流程执行。</w:t>
      </w:r>
    </w:p>
    <w:p>
      <w:pPr>
        <w:spacing w:after="0"/>
        <w:rPr>
          <w:b/>
          <w:bCs w:val="0"/>
          <w:color w:val="auto"/>
          <w:sz w:val="24"/>
          <w:szCs w:val="24"/>
        </w:rPr>
        <w:sectPr>
          <w:pgSz w:w="11910" w:h="16840"/>
          <w:pgMar w:top="1520" w:right="860" w:bottom="1160" w:left="1680" w:header="0" w:footer="975" w:gutter="0"/>
          <w:pgNumType w:fmt="decimal"/>
        </w:sectPr>
      </w:pPr>
    </w:p>
    <w:p>
      <w:pPr>
        <w:pStyle w:val="2"/>
        <w:tabs>
          <w:tab w:val="left" w:pos="3944"/>
        </w:tabs>
        <w:spacing w:before="30"/>
        <w:ind w:left="2684" w:firstLine="0"/>
        <w:rPr>
          <w:rFonts w:hint="eastAsia" w:ascii="黑体" w:eastAsia="黑体"/>
          <w:b/>
          <w:bCs w:val="0"/>
          <w:color w:val="auto"/>
          <w:sz w:val="24"/>
          <w:szCs w:val="24"/>
        </w:rPr>
      </w:pPr>
      <w:r>
        <w:rPr>
          <w:rFonts w:hint="eastAsia" w:ascii="黑体" w:eastAsia="黑体"/>
          <w:b/>
          <w:bCs w:val="0"/>
          <w:color w:val="auto"/>
          <w:sz w:val="24"/>
          <w:szCs w:val="24"/>
        </w:rPr>
        <w:t>第四章</w:t>
      </w:r>
      <w:r>
        <w:rPr>
          <w:rFonts w:hint="eastAsia" w:ascii="黑体" w:eastAsia="黑体"/>
          <w:b/>
          <w:bCs w:val="0"/>
          <w:color w:val="auto"/>
          <w:sz w:val="24"/>
          <w:szCs w:val="24"/>
        </w:rPr>
        <w:tab/>
      </w:r>
      <w:r>
        <w:rPr>
          <w:rFonts w:hint="eastAsia" w:ascii="黑体" w:eastAsia="黑体"/>
          <w:b/>
          <w:bCs w:val="0"/>
          <w:color w:val="auto"/>
          <w:sz w:val="24"/>
          <w:szCs w:val="24"/>
        </w:rPr>
        <w:t>施工单位管理</w:t>
      </w:r>
    </w:p>
    <w:p>
      <w:pPr>
        <w:pStyle w:val="3"/>
        <w:tabs>
          <w:tab w:val="left" w:pos="2693"/>
        </w:tabs>
        <w:spacing w:before="44"/>
        <w:rPr>
          <w:b/>
          <w:bCs w:val="0"/>
          <w:color w:val="auto"/>
          <w:sz w:val="24"/>
          <w:szCs w:val="24"/>
        </w:rPr>
      </w:pPr>
      <w:r>
        <w:rPr>
          <w:b/>
          <w:bCs w:val="0"/>
          <w:color w:val="auto"/>
          <w:sz w:val="24"/>
          <w:szCs w:val="24"/>
        </w:rPr>
        <w:t>第二十七条</w:t>
      </w:r>
      <w:r>
        <w:rPr>
          <w:b/>
          <w:bCs w:val="0"/>
          <w:color w:val="auto"/>
          <w:sz w:val="24"/>
          <w:szCs w:val="24"/>
        </w:rPr>
        <w:tab/>
      </w:r>
      <w:r>
        <w:rPr>
          <w:b/>
          <w:bCs w:val="0"/>
          <w:color w:val="auto"/>
          <w:sz w:val="24"/>
          <w:szCs w:val="24"/>
        </w:rPr>
        <w:t>管理组织机构</w:t>
      </w:r>
    </w:p>
    <w:p>
      <w:pPr>
        <w:pStyle w:val="2"/>
        <w:spacing w:before="79" w:line="328" w:lineRule="auto"/>
        <w:ind w:right="938"/>
        <w:jc w:val="both"/>
        <w:rPr>
          <w:b/>
          <w:bCs w:val="0"/>
          <w:color w:val="auto"/>
          <w:sz w:val="24"/>
          <w:szCs w:val="24"/>
        </w:rPr>
      </w:pPr>
      <w:r>
        <w:rPr>
          <w:b/>
          <w:bCs w:val="0"/>
          <w:color w:val="auto"/>
          <w:spacing w:val="-2"/>
          <w:sz w:val="24"/>
          <w:szCs w:val="24"/>
        </w:rPr>
        <w:t>施工单位成立甲供材料管理小组，并以文件形式报送项</w:t>
      </w:r>
      <w:r>
        <w:rPr>
          <w:b/>
          <w:bCs w:val="0"/>
          <w:color w:val="auto"/>
          <w:spacing w:val="-1"/>
          <w:sz w:val="24"/>
          <w:szCs w:val="24"/>
        </w:rPr>
        <w:t>目办和材料项目部</w:t>
      </w:r>
      <w:r>
        <w:rPr>
          <w:b/>
          <w:bCs w:val="0"/>
          <w:color w:val="auto"/>
          <w:sz w:val="24"/>
          <w:szCs w:val="24"/>
        </w:rPr>
        <w:t>（</w:t>
      </w:r>
      <w:r>
        <w:rPr>
          <w:b/>
          <w:bCs w:val="0"/>
          <w:color w:val="auto"/>
          <w:spacing w:val="-3"/>
          <w:sz w:val="24"/>
          <w:szCs w:val="24"/>
        </w:rPr>
        <w:t>文件内容包含：甲供材料管理人员、计</w:t>
      </w:r>
      <w:r>
        <w:rPr>
          <w:b/>
          <w:bCs w:val="0"/>
          <w:color w:val="auto"/>
          <w:spacing w:val="-4"/>
          <w:sz w:val="24"/>
          <w:szCs w:val="24"/>
        </w:rPr>
        <w:t>划申报人员、对账结算人员、具体工区签收人员名单和职务</w:t>
      </w:r>
      <w:r>
        <w:rPr>
          <w:b/>
          <w:bCs w:val="0"/>
          <w:color w:val="auto"/>
          <w:sz w:val="24"/>
          <w:szCs w:val="24"/>
        </w:rPr>
        <w:t>电话等阐明）。</w:t>
      </w:r>
    </w:p>
    <w:p>
      <w:pPr>
        <w:pStyle w:val="3"/>
        <w:tabs>
          <w:tab w:val="left" w:pos="2693"/>
        </w:tabs>
        <w:spacing w:line="475" w:lineRule="exact"/>
        <w:rPr>
          <w:b/>
          <w:bCs w:val="0"/>
          <w:color w:val="auto"/>
          <w:sz w:val="24"/>
          <w:szCs w:val="24"/>
        </w:rPr>
      </w:pPr>
      <w:r>
        <w:rPr>
          <w:b/>
          <w:bCs w:val="0"/>
          <w:color w:val="auto"/>
          <w:sz w:val="24"/>
          <w:szCs w:val="24"/>
        </w:rPr>
        <w:t>第二十八条</w:t>
      </w:r>
      <w:r>
        <w:rPr>
          <w:b/>
          <w:bCs w:val="0"/>
          <w:color w:val="auto"/>
          <w:sz w:val="24"/>
          <w:szCs w:val="24"/>
        </w:rPr>
        <w:tab/>
      </w:r>
      <w:r>
        <w:rPr>
          <w:b/>
          <w:bCs w:val="0"/>
          <w:color w:val="auto"/>
          <w:sz w:val="24"/>
          <w:szCs w:val="24"/>
        </w:rPr>
        <w:t>施工现场材料管理要求</w:t>
      </w:r>
    </w:p>
    <w:p>
      <w:pPr>
        <w:pStyle w:val="2"/>
        <w:spacing w:before="77" w:line="328" w:lineRule="auto"/>
        <w:ind w:right="790"/>
        <w:rPr>
          <w:b/>
          <w:bCs w:val="0"/>
          <w:color w:val="auto"/>
          <w:sz w:val="24"/>
          <w:szCs w:val="24"/>
        </w:rPr>
      </w:pPr>
      <w:r>
        <w:rPr>
          <w:b/>
          <w:bCs w:val="0"/>
          <w:color w:val="auto"/>
          <w:sz w:val="24"/>
          <w:szCs w:val="24"/>
        </w:rPr>
        <w:t>（一</w:t>
      </w:r>
      <w:r>
        <w:rPr>
          <w:b/>
          <w:bCs w:val="0"/>
          <w:color w:val="auto"/>
          <w:spacing w:val="-8"/>
          <w:sz w:val="24"/>
          <w:szCs w:val="24"/>
        </w:rPr>
        <w:t>）</w:t>
      </w:r>
      <w:r>
        <w:rPr>
          <w:b/>
          <w:bCs w:val="0"/>
          <w:color w:val="auto"/>
          <w:spacing w:val="-1"/>
          <w:sz w:val="24"/>
          <w:szCs w:val="24"/>
        </w:rPr>
        <w:t>施工单位进场后，必须满足土建合同强制性标准</w:t>
      </w:r>
      <w:r>
        <w:rPr>
          <w:b/>
          <w:bCs w:val="0"/>
          <w:color w:val="auto"/>
          <w:spacing w:val="4"/>
          <w:w w:val="95"/>
          <w:sz w:val="24"/>
          <w:szCs w:val="24"/>
        </w:rPr>
        <w:t>及项目</w:t>
      </w:r>
      <w:r>
        <w:rPr>
          <w:b/>
          <w:bCs w:val="0"/>
          <w:color w:val="auto"/>
          <w:spacing w:val="7"/>
          <w:w w:val="95"/>
          <w:sz w:val="24"/>
          <w:szCs w:val="24"/>
        </w:rPr>
        <w:t>（</w:t>
      </w:r>
      <w:r>
        <w:rPr>
          <w:b/>
          <w:bCs w:val="0"/>
          <w:color w:val="auto"/>
          <w:spacing w:val="4"/>
          <w:w w:val="95"/>
          <w:sz w:val="24"/>
          <w:szCs w:val="24"/>
        </w:rPr>
        <w:t>总监）</w:t>
      </w:r>
      <w:r>
        <w:rPr>
          <w:b/>
          <w:bCs w:val="0"/>
          <w:color w:val="auto"/>
          <w:spacing w:val="3"/>
          <w:w w:val="95"/>
          <w:sz w:val="24"/>
          <w:szCs w:val="24"/>
        </w:rPr>
        <w:t xml:space="preserve">办要求设立水泥储罐、钢筋棚及办公场所， </w:t>
      </w:r>
      <w:r>
        <w:rPr>
          <w:b/>
          <w:bCs w:val="0"/>
          <w:color w:val="auto"/>
          <w:spacing w:val="-1"/>
          <w:sz w:val="24"/>
          <w:szCs w:val="24"/>
        </w:rPr>
        <w:t xml:space="preserve">且 </w:t>
      </w:r>
      <w:r>
        <w:rPr>
          <w:b/>
          <w:bCs w:val="0"/>
          <w:color w:val="auto"/>
          <w:sz w:val="24"/>
          <w:szCs w:val="24"/>
        </w:rPr>
        <w:t>24</w:t>
      </w:r>
      <w:r>
        <w:rPr>
          <w:b/>
          <w:bCs w:val="0"/>
          <w:color w:val="auto"/>
          <w:spacing w:val="-3"/>
          <w:sz w:val="24"/>
          <w:szCs w:val="24"/>
        </w:rPr>
        <w:t xml:space="preserve"> 小时有专人管理。项目</w:t>
      </w:r>
      <w:r>
        <w:rPr>
          <w:b/>
          <w:bCs w:val="0"/>
          <w:color w:val="auto"/>
          <w:sz w:val="24"/>
          <w:szCs w:val="24"/>
        </w:rPr>
        <w:t>（总监</w:t>
      </w:r>
      <w:r>
        <w:rPr>
          <w:b/>
          <w:bCs w:val="0"/>
          <w:color w:val="auto"/>
          <w:spacing w:val="-3"/>
          <w:sz w:val="24"/>
          <w:szCs w:val="24"/>
        </w:rPr>
        <w:t>）</w:t>
      </w:r>
      <w:r>
        <w:rPr>
          <w:b/>
          <w:bCs w:val="0"/>
          <w:color w:val="auto"/>
          <w:spacing w:val="-1"/>
          <w:sz w:val="24"/>
          <w:szCs w:val="24"/>
        </w:rPr>
        <w:t>办、驻地监理、物流</w:t>
      </w:r>
      <w:r>
        <w:rPr>
          <w:b/>
          <w:bCs w:val="0"/>
          <w:color w:val="auto"/>
          <w:spacing w:val="-3"/>
          <w:sz w:val="24"/>
          <w:szCs w:val="24"/>
        </w:rPr>
        <w:t xml:space="preserve">集团有权对其设施进行检查、要求整改。施工单位在施工场地自备不少于 </w:t>
      </w:r>
      <w:r>
        <w:rPr>
          <w:b/>
          <w:bCs w:val="0"/>
          <w:color w:val="auto"/>
          <w:sz w:val="24"/>
          <w:szCs w:val="24"/>
        </w:rPr>
        <w:t>7</w:t>
      </w:r>
      <w:r>
        <w:rPr>
          <w:b/>
          <w:bCs w:val="0"/>
          <w:color w:val="auto"/>
          <w:spacing w:val="-1"/>
          <w:sz w:val="24"/>
          <w:szCs w:val="24"/>
        </w:rPr>
        <w:t xml:space="preserve"> 天用量的散装水泥罐，并负责安装；袋装</w:t>
      </w:r>
    </w:p>
    <w:p>
      <w:pPr>
        <w:pStyle w:val="2"/>
        <w:spacing w:line="328" w:lineRule="auto"/>
        <w:ind w:right="936" w:firstLine="0"/>
        <w:jc w:val="both"/>
        <w:rPr>
          <w:b/>
          <w:bCs w:val="0"/>
          <w:color w:val="auto"/>
          <w:sz w:val="24"/>
          <w:szCs w:val="24"/>
        </w:rPr>
      </w:pPr>
      <w:r>
        <w:rPr>
          <w:b/>
          <w:bCs w:val="0"/>
          <w:color w:val="auto"/>
          <w:spacing w:val="-1"/>
          <w:sz w:val="24"/>
          <w:szCs w:val="24"/>
        </w:rPr>
        <w:t xml:space="preserve">水泥仓库库容不少于 </w:t>
      </w:r>
      <w:r>
        <w:rPr>
          <w:b/>
          <w:bCs w:val="0"/>
          <w:color w:val="auto"/>
          <w:sz w:val="24"/>
          <w:szCs w:val="24"/>
        </w:rPr>
        <w:t>200</w:t>
      </w:r>
      <w:r>
        <w:rPr>
          <w:b/>
          <w:bCs w:val="0"/>
          <w:color w:val="auto"/>
          <w:spacing w:val="-5"/>
          <w:sz w:val="24"/>
          <w:szCs w:val="24"/>
        </w:rPr>
        <w:t xml:space="preserve"> 吨，钢筋棚储备钢筋足以保证 20 </w:t>
      </w:r>
      <w:r>
        <w:rPr>
          <w:b/>
          <w:bCs w:val="0"/>
          <w:color w:val="auto"/>
          <w:spacing w:val="-3"/>
          <w:sz w:val="24"/>
          <w:szCs w:val="24"/>
        </w:rPr>
        <w:t>天的用量，有关费用综合包含在混凝土单价报价中。该自备</w:t>
      </w:r>
      <w:r>
        <w:rPr>
          <w:b/>
          <w:bCs w:val="0"/>
          <w:color w:val="auto"/>
          <w:spacing w:val="-33"/>
          <w:w w:val="95"/>
          <w:sz w:val="24"/>
          <w:szCs w:val="24"/>
        </w:rPr>
        <w:t>设施、堆放场地</w:t>
      </w:r>
      <w:r>
        <w:rPr>
          <w:b/>
          <w:bCs w:val="0"/>
          <w:color w:val="auto"/>
          <w:w w:val="95"/>
          <w:sz w:val="24"/>
          <w:szCs w:val="24"/>
        </w:rPr>
        <w:t>（</w:t>
      </w:r>
      <w:r>
        <w:rPr>
          <w:b/>
          <w:bCs w:val="0"/>
          <w:color w:val="auto"/>
          <w:spacing w:val="-10"/>
          <w:w w:val="95"/>
          <w:sz w:val="24"/>
          <w:szCs w:val="24"/>
        </w:rPr>
        <w:t xml:space="preserve">施工单位向项目办、总监办申报交货地点， </w:t>
      </w:r>
      <w:r>
        <w:rPr>
          <w:b/>
          <w:bCs w:val="0"/>
          <w:color w:val="auto"/>
          <w:spacing w:val="-6"/>
          <w:sz w:val="24"/>
          <w:szCs w:val="24"/>
        </w:rPr>
        <w:t>水泥、钢筋交货地点不超过两个</w:t>
      </w:r>
      <w:r>
        <w:rPr>
          <w:b/>
          <w:bCs w:val="0"/>
          <w:color w:val="auto"/>
          <w:spacing w:val="-5"/>
          <w:sz w:val="24"/>
          <w:szCs w:val="24"/>
        </w:rPr>
        <w:t>）</w:t>
      </w:r>
      <w:r>
        <w:rPr>
          <w:b/>
          <w:bCs w:val="0"/>
          <w:color w:val="auto"/>
          <w:sz w:val="24"/>
          <w:szCs w:val="24"/>
        </w:rPr>
        <w:t>应在项目总监理工程师下</w:t>
      </w:r>
      <w:r>
        <w:rPr>
          <w:b/>
          <w:bCs w:val="0"/>
          <w:color w:val="auto"/>
          <w:spacing w:val="-3"/>
          <w:sz w:val="24"/>
          <w:szCs w:val="24"/>
        </w:rPr>
        <w:t>达正式开工令前完备。如因施工单位自身原因造成按需求计</w:t>
      </w:r>
      <w:r>
        <w:rPr>
          <w:b/>
          <w:bCs w:val="0"/>
          <w:color w:val="auto"/>
          <w:spacing w:val="-1"/>
          <w:sz w:val="24"/>
          <w:szCs w:val="24"/>
        </w:rPr>
        <w:t>划供应的材料到达施工场地无法接卸而造成的损失，由施工单位自行负责。</w:t>
      </w:r>
    </w:p>
    <w:p>
      <w:pPr>
        <w:pStyle w:val="2"/>
        <w:spacing w:line="328" w:lineRule="auto"/>
        <w:ind w:right="936"/>
        <w:rPr>
          <w:b/>
          <w:bCs w:val="0"/>
          <w:color w:val="auto"/>
          <w:sz w:val="24"/>
          <w:szCs w:val="24"/>
        </w:rPr>
      </w:pPr>
      <w:r>
        <w:rPr>
          <w:b/>
          <w:bCs w:val="0"/>
          <w:color w:val="auto"/>
          <w:sz w:val="24"/>
          <w:szCs w:val="24"/>
        </w:rPr>
        <w:drawing>
          <wp:anchor distT="0" distB="0" distL="0" distR="0" simplePos="0" relativeHeight="251659264" behindDoc="1" locked="0" layoutInCell="1" allowOverlap="1">
            <wp:simplePos x="0" y="0"/>
            <wp:positionH relativeFrom="page">
              <wp:posOffset>4300220</wp:posOffset>
            </wp:positionH>
            <wp:positionV relativeFrom="paragraph">
              <wp:posOffset>407035</wp:posOffset>
            </wp:positionV>
            <wp:extent cx="85725" cy="155575"/>
            <wp:effectExtent l="0" t="0" r="9525" b="15875"/>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9" cstate="print"/>
                    <a:stretch>
                      <a:fillRect/>
                    </a:stretch>
                  </pic:blipFill>
                  <pic:spPr>
                    <a:xfrm>
                      <a:off x="0" y="0"/>
                      <a:ext cx="85725" cy="155575"/>
                    </a:xfrm>
                    <a:prstGeom prst="rect">
                      <a:avLst/>
                    </a:prstGeom>
                  </pic:spPr>
                </pic:pic>
              </a:graphicData>
            </a:graphic>
          </wp:anchor>
        </w:drawing>
      </w:r>
      <w:r>
        <w:rPr>
          <w:b/>
          <w:bCs w:val="0"/>
          <w:color w:val="auto"/>
          <w:sz w:val="24"/>
          <w:szCs w:val="24"/>
        </w:rPr>
        <w:drawing>
          <wp:anchor distT="0" distB="0" distL="0" distR="0" simplePos="0" relativeHeight="251660288" behindDoc="1" locked="0" layoutInCell="1" allowOverlap="1">
            <wp:simplePos x="0" y="0"/>
            <wp:positionH relativeFrom="page">
              <wp:posOffset>1455420</wp:posOffset>
            </wp:positionH>
            <wp:positionV relativeFrom="paragraph">
              <wp:posOffset>1474470</wp:posOffset>
            </wp:positionV>
            <wp:extent cx="85725" cy="155575"/>
            <wp:effectExtent l="0" t="0" r="9525" b="15875"/>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a:picLocks noChangeAspect="1"/>
                    </pic:cNvPicPr>
                  </pic:nvPicPr>
                  <pic:blipFill>
                    <a:blip r:embed="rId9" cstate="print"/>
                    <a:stretch>
                      <a:fillRect/>
                    </a:stretch>
                  </pic:blipFill>
                  <pic:spPr>
                    <a:xfrm>
                      <a:off x="0" y="0"/>
                      <a:ext cx="85725" cy="155575"/>
                    </a:xfrm>
                    <a:prstGeom prst="rect">
                      <a:avLst/>
                    </a:prstGeom>
                  </pic:spPr>
                </pic:pic>
              </a:graphicData>
            </a:graphic>
          </wp:anchor>
        </w:drawing>
      </w:r>
      <w:r>
        <w:rPr>
          <w:b/>
          <w:bCs w:val="0"/>
          <w:color w:val="auto"/>
          <w:sz w:val="24"/>
          <w:szCs w:val="24"/>
        </w:rPr>
        <w:t>（二</w:t>
      </w:r>
      <w:r>
        <w:rPr>
          <w:b/>
          <w:bCs w:val="0"/>
          <w:color w:val="auto"/>
          <w:spacing w:val="-8"/>
          <w:sz w:val="24"/>
          <w:szCs w:val="24"/>
        </w:rPr>
        <w:t>）</w:t>
      </w:r>
      <w:r>
        <w:rPr>
          <w:b/>
          <w:bCs w:val="0"/>
          <w:color w:val="auto"/>
          <w:spacing w:val="-1"/>
          <w:sz w:val="24"/>
          <w:szCs w:val="24"/>
        </w:rPr>
        <w:t>施工单位对甲供材料的使用，钢材用量应在经审批的各合同段工程量零号台账的</w:t>
      </w:r>
      <w:r>
        <w:rPr>
          <w:b/>
          <w:bCs w:val="0"/>
          <w:color w:val="auto"/>
          <w:spacing w:val="5"/>
          <w:sz w:val="24"/>
          <w:szCs w:val="24"/>
        </w:rPr>
        <w:t xml:space="preserve"> </w:t>
      </w:r>
      <w:r>
        <w:rPr>
          <w:b/>
          <w:bCs w:val="0"/>
          <w:color w:val="auto"/>
          <w:sz w:val="24"/>
          <w:szCs w:val="24"/>
        </w:rPr>
        <w:t>95～105</w:t>
      </w:r>
      <w:r>
        <w:rPr>
          <w:b/>
          <w:bCs w:val="0"/>
          <w:color w:val="auto"/>
          <w:spacing w:val="10"/>
          <w:w w:val="99"/>
          <w:sz w:val="24"/>
          <w:szCs w:val="24"/>
        </w:rPr>
        <w:drawing>
          <wp:inline distT="0" distB="0" distL="0" distR="0">
            <wp:extent cx="85725" cy="155575"/>
            <wp:effectExtent l="0" t="0" r="9525" b="15875"/>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9" cstate="print"/>
                    <a:stretch>
                      <a:fillRect/>
                    </a:stretch>
                  </pic:blipFill>
                  <pic:spPr>
                    <a:xfrm>
                      <a:off x="0" y="0"/>
                      <a:ext cx="85725" cy="155575"/>
                    </a:xfrm>
                    <a:prstGeom prst="rect">
                      <a:avLst/>
                    </a:prstGeom>
                  </pic:spPr>
                </pic:pic>
              </a:graphicData>
            </a:graphic>
          </wp:inline>
        </w:drawing>
      </w:r>
      <w:r>
        <w:rPr>
          <w:b/>
          <w:bCs w:val="0"/>
          <w:color w:val="auto"/>
          <w:sz w:val="24"/>
          <w:szCs w:val="24"/>
        </w:rPr>
        <w:t>之间</w:t>
      </w:r>
      <w:r>
        <w:rPr>
          <w:b/>
          <w:bCs w:val="0"/>
          <w:color w:val="auto"/>
          <w:spacing w:val="-15"/>
          <w:sz w:val="24"/>
          <w:szCs w:val="24"/>
        </w:rPr>
        <w:t>；</w:t>
      </w:r>
      <w:r>
        <w:rPr>
          <w:b/>
          <w:bCs w:val="0"/>
          <w:color w:val="auto"/>
          <w:sz w:val="24"/>
          <w:szCs w:val="24"/>
        </w:rPr>
        <w:t>水泥用</w:t>
      </w:r>
      <w:r>
        <w:rPr>
          <w:b/>
          <w:bCs w:val="0"/>
          <w:color w:val="auto"/>
          <w:spacing w:val="-154"/>
          <w:sz w:val="24"/>
          <w:szCs w:val="24"/>
        </w:rPr>
        <w:t>量</w:t>
      </w:r>
      <w:r>
        <w:rPr>
          <w:b/>
          <w:bCs w:val="0"/>
          <w:color w:val="auto"/>
          <w:sz w:val="24"/>
          <w:szCs w:val="24"/>
        </w:rPr>
        <w:t>应根据中心试验室审批的混凝土配合比和水泥砂浆配合比计算出水泥用量</w:t>
      </w:r>
      <w:r>
        <w:rPr>
          <w:b/>
          <w:bCs w:val="0"/>
          <w:color w:val="auto"/>
          <w:spacing w:val="-13"/>
          <w:sz w:val="24"/>
          <w:szCs w:val="24"/>
        </w:rPr>
        <w:t>，</w:t>
      </w:r>
      <w:r>
        <w:rPr>
          <w:b/>
          <w:bCs w:val="0"/>
          <w:color w:val="auto"/>
          <w:sz w:val="24"/>
          <w:szCs w:val="24"/>
        </w:rPr>
        <w:t>其使用量也应控制在该计算用量的</w:t>
      </w:r>
      <w:r>
        <w:rPr>
          <w:b/>
          <w:bCs w:val="0"/>
          <w:color w:val="auto"/>
          <w:spacing w:val="-3"/>
          <w:sz w:val="24"/>
          <w:szCs w:val="24"/>
        </w:rPr>
        <w:t xml:space="preserve"> </w:t>
      </w:r>
      <w:r>
        <w:rPr>
          <w:b/>
          <w:bCs w:val="0"/>
          <w:color w:val="auto"/>
          <w:spacing w:val="4"/>
          <w:sz w:val="24"/>
          <w:szCs w:val="24"/>
        </w:rPr>
        <w:t>95</w:t>
      </w:r>
      <w:r>
        <w:rPr>
          <w:b/>
          <w:bCs w:val="0"/>
          <w:color w:val="auto"/>
          <w:spacing w:val="8"/>
          <w:w w:val="99"/>
          <w:sz w:val="24"/>
          <w:szCs w:val="24"/>
        </w:rPr>
        <w:drawing>
          <wp:inline distT="0" distB="0" distL="0" distR="0">
            <wp:extent cx="85725" cy="155575"/>
            <wp:effectExtent l="0" t="0" r="9525" b="15875"/>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a:picLocks noChangeAspect="1"/>
                    </pic:cNvPicPr>
                  </pic:nvPicPr>
                  <pic:blipFill>
                    <a:blip r:embed="rId9" cstate="print"/>
                    <a:stretch>
                      <a:fillRect/>
                    </a:stretch>
                  </pic:blipFill>
                  <pic:spPr>
                    <a:xfrm>
                      <a:off x="0" y="0"/>
                      <a:ext cx="85725" cy="155575"/>
                    </a:xfrm>
                    <a:prstGeom prst="rect">
                      <a:avLst/>
                    </a:prstGeom>
                  </pic:spPr>
                </pic:pic>
              </a:graphicData>
            </a:graphic>
          </wp:inline>
        </w:drawing>
      </w:r>
      <w:r>
        <w:rPr>
          <w:b/>
          <w:bCs w:val="0"/>
          <w:color w:val="auto"/>
          <w:sz w:val="24"/>
          <w:szCs w:val="24"/>
        </w:rPr>
        <w:t>～ 105</w:t>
      </w:r>
      <w:r>
        <w:rPr>
          <w:b/>
          <w:bCs w:val="0"/>
          <w:color w:val="auto"/>
          <w:spacing w:val="-11"/>
          <w:sz w:val="24"/>
          <w:szCs w:val="24"/>
        </w:rPr>
        <w:t>之间。发生工程变更时作相应增减。若施工单位使用数</w:t>
      </w:r>
    </w:p>
    <w:p>
      <w:pPr>
        <w:spacing w:after="0" w:line="328" w:lineRule="auto"/>
        <w:rPr>
          <w:b/>
          <w:bCs w:val="0"/>
          <w:color w:val="auto"/>
          <w:sz w:val="24"/>
          <w:szCs w:val="24"/>
        </w:rPr>
        <w:sectPr>
          <w:pgSz w:w="11910" w:h="16840"/>
          <w:pgMar w:top="1520" w:right="860" w:bottom="1160" w:left="1680" w:header="0" w:footer="975" w:gutter="0"/>
          <w:pgNumType w:fmt="decimal"/>
        </w:sectPr>
      </w:pPr>
    </w:p>
    <w:p>
      <w:pPr>
        <w:pStyle w:val="2"/>
        <w:spacing w:before="30" w:line="328" w:lineRule="auto"/>
        <w:ind w:right="937" w:firstLine="0"/>
        <w:rPr>
          <w:b/>
          <w:bCs w:val="0"/>
          <w:color w:val="auto"/>
          <w:sz w:val="24"/>
          <w:szCs w:val="24"/>
        </w:rPr>
      </w:pPr>
      <w:r>
        <w:rPr>
          <w:b/>
          <w:bCs w:val="0"/>
          <w:color w:val="auto"/>
          <w:sz w:val="24"/>
          <w:szCs w:val="24"/>
        </w:rPr>
        <w:drawing>
          <wp:anchor distT="0" distB="0" distL="0" distR="0" simplePos="0" relativeHeight="251661312" behindDoc="1" locked="0" layoutInCell="1" allowOverlap="1">
            <wp:simplePos x="0" y="0"/>
            <wp:positionH relativeFrom="page">
              <wp:posOffset>3487420</wp:posOffset>
            </wp:positionH>
            <wp:positionV relativeFrom="paragraph">
              <wp:posOffset>69850</wp:posOffset>
            </wp:positionV>
            <wp:extent cx="85725" cy="155575"/>
            <wp:effectExtent l="0" t="0" r="9525" b="15875"/>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r:embed="rId9" cstate="print"/>
                    <a:stretch>
                      <a:fillRect/>
                    </a:stretch>
                  </pic:blipFill>
                  <pic:spPr>
                    <a:xfrm>
                      <a:off x="0" y="0"/>
                      <a:ext cx="85725" cy="155575"/>
                    </a:xfrm>
                    <a:prstGeom prst="rect">
                      <a:avLst/>
                    </a:prstGeom>
                  </pic:spPr>
                </pic:pic>
              </a:graphicData>
            </a:graphic>
          </wp:anchor>
        </w:drawing>
      </w:r>
      <w:r>
        <w:rPr>
          <w:b/>
          <w:bCs w:val="0"/>
          <w:color w:val="auto"/>
          <w:spacing w:val="-1"/>
          <w:sz w:val="24"/>
          <w:szCs w:val="24"/>
        </w:rPr>
        <w:t xml:space="preserve">量少于零号台账数量的 </w:t>
      </w:r>
      <w:r>
        <w:rPr>
          <w:b/>
          <w:bCs w:val="0"/>
          <w:color w:val="auto"/>
          <w:sz w:val="24"/>
          <w:szCs w:val="24"/>
        </w:rPr>
        <w:t>95而又无充分理由说明用量减少</w:t>
      </w:r>
      <w:r>
        <w:rPr>
          <w:b/>
          <w:bCs w:val="0"/>
          <w:color w:val="auto"/>
          <w:spacing w:val="-2"/>
          <w:sz w:val="24"/>
          <w:szCs w:val="24"/>
        </w:rPr>
        <w:t>的原因时，项目</w:t>
      </w:r>
      <w:r>
        <w:rPr>
          <w:b/>
          <w:bCs w:val="0"/>
          <w:color w:val="auto"/>
          <w:sz w:val="24"/>
          <w:szCs w:val="24"/>
        </w:rPr>
        <w:t>（总监</w:t>
      </w:r>
      <w:r>
        <w:rPr>
          <w:b/>
          <w:bCs w:val="0"/>
          <w:color w:val="auto"/>
          <w:spacing w:val="-3"/>
          <w:sz w:val="24"/>
          <w:szCs w:val="24"/>
        </w:rPr>
        <w:t>）</w:t>
      </w:r>
      <w:r>
        <w:rPr>
          <w:b/>
          <w:bCs w:val="0"/>
          <w:color w:val="auto"/>
          <w:spacing w:val="-1"/>
          <w:sz w:val="24"/>
          <w:szCs w:val="24"/>
        </w:rPr>
        <w:t>办和物流集团有权按零号台账数量</w:t>
      </w:r>
      <w:r>
        <w:rPr>
          <w:b/>
          <w:bCs w:val="0"/>
          <w:color w:val="auto"/>
          <w:sz w:val="24"/>
          <w:szCs w:val="24"/>
        </w:rPr>
        <w:t>的</w:t>
      </w:r>
      <w:r>
        <w:rPr>
          <w:b/>
          <w:bCs w:val="0"/>
          <w:color w:val="auto"/>
          <w:spacing w:val="1"/>
          <w:sz w:val="24"/>
          <w:szCs w:val="24"/>
        </w:rPr>
        <w:t xml:space="preserve"> </w:t>
      </w:r>
      <w:r>
        <w:rPr>
          <w:b/>
          <w:bCs w:val="0"/>
          <w:color w:val="auto"/>
          <w:spacing w:val="4"/>
          <w:sz w:val="24"/>
          <w:szCs w:val="24"/>
        </w:rPr>
        <w:t>95</w:t>
      </w:r>
      <w:r>
        <w:rPr>
          <w:b/>
          <w:bCs w:val="0"/>
          <w:color w:val="auto"/>
          <w:spacing w:val="10"/>
          <w:w w:val="99"/>
          <w:sz w:val="24"/>
          <w:szCs w:val="24"/>
        </w:rPr>
        <w:drawing>
          <wp:inline distT="0" distB="0" distL="0" distR="0">
            <wp:extent cx="85725" cy="155575"/>
            <wp:effectExtent l="0" t="0" r="9525" b="15875"/>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a:picLocks noChangeAspect="1"/>
                    </pic:cNvPicPr>
                  </pic:nvPicPr>
                  <pic:blipFill>
                    <a:blip r:embed="rId9" cstate="print"/>
                    <a:stretch>
                      <a:fillRect/>
                    </a:stretch>
                  </pic:blipFill>
                  <pic:spPr>
                    <a:xfrm>
                      <a:off x="0" y="0"/>
                      <a:ext cx="85725" cy="155575"/>
                    </a:xfrm>
                    <a:prstGeom prst="rect">
                      <a:avLst/>
                    </a:prstGeom>
                  </pic:spPr>
                </pic:pic>
              </a:graphicData>
            </a:graphic>
          </wp:inline>
        </w:drawing>
      </w:r>
      <w:r>
        <w:rPr>
          <w:b/>
          <w:bCs w:val="0"/>
          <w:color w:val="auto"/>
          <w:sz w:val="24"/>
          <w:szCs w:val="24"/>
        </w:rPr>
        <w:t>扣减施工</w:t>
      </w:r>
      <w:r>
        <w:rPr>
          <w:b/>
          <w:bCs w:val="0"/>
          <w:color w:val="auto"/>
          <w:spacing w:val="3"/>
          <w:sz w:val="24"/>
          <w:szCs w:val="24"/>
        </w:rPr>
        <w:t>单</w:t>
      </w:r>
      <w:r>
        <w:rPr>
          <w:b/>
          <w:bCs w:val="0"/>
          <w:color w:val="auto"/>
          <w:sz w:val="24"/>
          <w:szCs w:val="24"/>
        </w:rPr>
        <w:t>位的材料款</w:t>
      </w:r>
      <w:r>
        <w:rPr>
          <w:b/>
          <w:bCs w:val="0"/>
          <w:color w:val="auto"/>
          <w:spacing w:val="-15"/>
          <w:sz w:val="24"/>
          <w:szCs w:val="24"/>
        </w:rPr>
        <w:t>；</w:t>
      </w:r>
      <w:r>
        <w:rPr>
          <w:b/>
          <w:bCs w:val="0"/>
          <w:color w:val="auto"/>
          <w:sz w:val="24"/>
          <w:szCs w:val="24"/>
        </w:rPr>
        <w:t>若施工单位使用数量多于零</w:t>
      </w:r>
    </w:p>
    <w:p>
      <w:pPr>
        <w:pStyle w:val="2"/>
        <w:spacing w:line="328" w:lineRule="auto"/>
        <w:ind w:right="621" w:firstLine="0"/>
        <w:rPr>
          <w:b/>
          <w:bCs w:val="0"/>
          <w:color w:val="auto"/>
          <w:sz w:val="24"/>
          <w:szCs w:val="24"/>
        </w:rPr>
      </w:pPr>
      <w:r>
        <w:rPr>
          <w:b/>
          <w:bCs w:val="0"/>
          <w:color w:val="auto"/>
          <w:spacing w:val="7"/>
          <w:position w:val="1"/>
          <w:sz w:val="24"/>
          <w:szCs w:val="24"/>
        </w:rPr>
        <w:t>号台账数量</w:t>
      </w:r>
      <w:r>
        <w:rPr>
          <w:b/>
          <w:bCs w:val="0"/>
          <w:color w:val="auto"/>
          <w:position w:val="1"/>
          <w:sz w:val="24"/>
          <w:szCs w:val="24"/>
        </w:rPr>
        <w:t>的</w:t>
      </w:r>
      <w:r>
        <w:rPr>
          <w:b/>
          <w:bCs w:val="0"/>
          <w:color w:val="auto"/>
          <w:spacing w:val="6"/>
          <w:position w:val="1"/>
          <w:sz w:val="24"/>
          <w:szCs w:val="24"/>
        </w:rPr>
        <w:t xml:space="preserve"> </w:t>
      </w:r>
      <w:r>
        <w:rPr>
          <w:b/>
          <w:bCs w:val="0"/>
          <w:color w:val="auto"/>
          <w:spacing w:val="2"/>
          <w:position w:val="1"/>
          <w:sz w:val="24"/>
          <w:szCs w:val="24"/>
        </w:rPr>
        <w:t>105</w:t>
      </w:r>
      <w:r>
        <w:rPr>
          <w:b/>
          <w:bCs w:val="0"/>
          <w:color w:val="auto"/>
          <w:spacing w:val="10"/>
          <w:w w:val="99"/>
          <w:sz w:val="24"/>
          <w:szCs w:val="24"/>
        </w:rPr>
        <w:drawing>
          <wp:inline distT="0" distB="0" distL="0" distR="0">
            <wp:extent cx="85725" cy="155575"/>
            <wp:effectExtent l="0" t="0" r="9525" b="15875"/>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a:picLocks noChangeAspect="1"/>
                    </pic:cNvPicPr>
                  </pic:nvPicPr>
                  <pic:blipFill>
                    <a:blip r:embed="rId9" cstate="print"/>
                    <a:stretch>
                      <a:fillRect/>
                    </a:stretch>
                  </pic:blipFill>
                  <pic:spPr>
                    <a:xfrm>
                      <a:off x="0" y="0"/>
                      <a:ext cx="85725" cy="155575"/>
                    </a:xfrm>
                    <a:prstGeom prst="rect">
                      <a:avLst/>
                    </a:prstGeom>
                  </pic:spPr>
                </pic:pic>
              </a:graphicData>
            </a:graphic>
          </wp:inline>
        </w:drawing>
      </w:r>
      <w:r>
        <w:rPr>
          <w:b/>
          <w:bCs w:val="0"/>
          <w:color w:val="auto"/>
          <w:spacing w:val="7"/>
          <w:position w:val="1"/>
          <w:sz w:val="24"/>
          <w:szCs w:val="24"/>
        </w:rPr>
        <w:t>而又无充</w:t>
      </w:r>
      <w:r>
        <w:rPr>
          <w:b/>
          <w:bCs w:val="0"/>
          <w:color w:val="auto"/>
          <w:spacing w:val="4"/>
          <w:position w:val="1"/>
          <w:sz w:val="24"/>
          <w:szCs w:val="24"/>
        </w:rPr>
        <w:t>分理</w:t>
      </w:r>
      <w:r>
        <w:rPr>
          <w:b/>
          <w:bCs w:val="0"/>
          <w:color w:val="auto"/>
          <w:spacing w:val="7"/>
          <w:position w:val="1"/>
          <w:sz w:val="24"/>
          <w:szCs w:val="24"/>
        </w:rPr>
        <w:t>由说明用量</w:t>
      </w:r>
      <w:r>
        <w:rPr>
          <w:b/>
          <w:bCs w:val="0"/>
          <w:color w:val="auto"/>
          <w:spacing w:val="4"/>
          <w:position w:val="1"/>
          <w:sz w:val="24"/>
          <w:szCs w:val="24"/>
        </w:rPr>
        <w:t>增加</w:t>
      </w:r>
      <w:r>
        <w:rPr>
          <w:b/>
          <w:bCs w:val="0"/>
          <w:color w:val="auto"/>
          <w:spacing w:val="7"/>
          <w:position w:val="1"/>
          <w:sz w:val="24"/>
          <w:szCs w:val="24"/>
        </w:rPr>
        <w:t>的原因时</w:t>
      </w:r>
      <w:r>
        <w:rPr>
          <w:b/>
          <w:bCs w:val="0"/>
          <w:color w:val="auto"/>
          <w:position w:val="1"/>
          <w:sz w:val="24"/>
          <w:szCs w:val="24"/>
        </w:rPr>
        <w:t xml:space="preserve">， </w:t>
      </w:r>
      <w:r>
        <w:rPr>
          <w:b/>
          <w:bCs w:val="0"/>
          <w:color w:val="auto"/>
          <w:spacing w:val="-1"/>
          <w:sz w:val="24"/>
          <w:szCs w:val="24"/>
        </w:rPr>
        <w:t>项目办和物流集团有权拒绝向施工单位续供相应的材料，并 组织有关人员查明原因并按相关规定作出处理。</w:t>
      </w:r>
    </w:p>
    <w:p>
      <w:pPr>
        <w:pStyle w:val="3"/>
        <w:tabs>
          <w:tab w:val="left" w:pos="2693"/>
        </w:tabs>
        <w:spacing w:line="483" w:lineRule="exact"/>
        <w:rPr>
          <w:b/>
          <w:bCs w:val="0"/>
          <w:color w:val="auto"/>
          <w:sz w:val="24"/>
          <w:szCs w:val="24"/>
        </w:rPr>
      </w:pPr>
      <w:r>
        <w:rPr>
          <w:b/>
          <w:bCs w:val="0"/>
          <w:color w:val="auto"/>
          <w:sz w:val="24"/>
          <w:szCs w:val="24"/>
        </w:rPr>
        <w:t>第二十九条</w:t>
      </w:r>
      <w:r>
        <w:rPr>
          <w:b/>
          <w:bCs w:val="0"/>
          <w:color w:val="auto"/>
          <w:sz w:val="24"/>
          <w:szCs w:val="24"/>
        </w:rPr>
        <w:tab/>
      </w:r>
      <w:r>
        <w:rPr>
          <w:b/>
          <w:bCs w:val="0"/>
          <w:color w:val="auto"/>
          <w:sz w:val="24"/>
          <w:szCs w:val="24"/>
        </w:rPr>
        <w:t>需求计划管理</w:t>
      </w:r>
    </w:p>
    <w:p>
      <w:pPr>
        <w:pStyle w:val="2"/>
        <w:spacing w:before="67"/>
        <w:ind w:left="761" w:firstLine="0"/>
        <w:rPr>
          <w:b/>
          <w:bCs w:val="0"/>
          <w:color w:val="auto"/>
          <w:sz w:val="24"/>
          <w:szCs w:val="24"/>
        </w:rPr>
      </w:pPr>
      <w:r>
        <w:rPr>
          <w:b/>
          <w:bCs w:val="0"/>
          <w:color w:val="auto"/>
          <w:sz w:val="24"/>
          <w:szCs w:val="24"/>
        </w:rPr>
        <w:t>（一）材料需求计划</w:t>
      </w:r>
    </w:p>
    <w:p>
      <w:pPr>
        <w:pStyle w:val="2"/>
        <w:spacing w:before="152" w:line="326" w:lineRule="auto"/>
        <w:ind w:right="1085"/>
        <w:rPr>
          <w:b/>
          <w:bCs w:val="0"/>
          <w:color w:val="auto"/>
          <w:sz w:val="24"/>
          <w:szCs w:val="24"/>
        </w:rPr>
      </w:pPr>
      <w:r>
        <w:rPr>
          <w:b/>
          <w:bCs w:val="0"/>
          <w:color w:val="auto"/>
          <w:sz w:val="24"/>
          <w:szCs w:val="24"/>
        </w:rPr>
        <w:t>1、所有计划申报审核工作必须在甲供物资管理平台上完成。如</w:t>
      </w:r>
    </w:p>
    <w:p>
      <w:pPr>
        <w:pStyle w:val="2"/>
        <w:spacing w:before="3" w:line="328" w:lineRule="auto"/>
        <w:ind w:right="789"/>
        <w:rPr>
          <w:b/>
          <w:bCs w:val="0"/>
          <w:color w:val="auto"/>
          <w:sz w:val="24"/>
          <w:szCs w:val="24"/>
        </w:rPr>
      </w:pPr>
      <w:r>
        <w:rPr>
          <w:b/>
          <w:bCs w:val="0"/>
          <w:color w:val="auto"/>
          <w:spacing w:val="3"/>
          <w:w w:val="95"/>
          <w:sz w:val="24"/>
          <w:szCs w:val="24"/>
        </w:rPr>
        <w:t xml:space="preserve">因计划在甲供物资管理平台上申报不及时，造成误工、 </w:t>
      </w:r>
      <w:r>
        <w:rPr>
          <w:b/>
          <w:bCs w:val="0"/>
          <w:color w:val="auto"/>
          <w:sz w:val="24"/>
          <w:szCs w:val="24"/>
        </w:rPr>
        <w:t>停工损失应由施工单位自行负责。</w:t>
      </w:r>
    </w:p>
    <w:p>
      <w:pPr>
        <w:pStyle w:val="2"/>
        <w:spacing w:line="326" w:lineRule="auto"/>
        <w:ind w:right="1085"/>
        <w:rPr>
          <w:b/>
          <w:bCs w:val="0"/>
          <w:color w:val="auto"/>
          <w:sz w:val="24"/>
          <w:szCs w:val="24"/>
        </w:rPr>
      </w:pPr>
      <w:r>
        <w:rPr>
          <w:b/>
          <w:bCs w:val="0"/>
          <w:color w:val="auto"/>
          <w:sz w:val="24"/>
          <w:szCs w:val="24"/>
        </w:rPr>
        <w:t>2、总需求量计划：施工单位应在进场后第一次工地例会前根据</w:t>
      </w:r>
    </w:p>
    <w:p>
      <w:pPr>
        <w:pStyle w:val="2"/>
        <w:spacing w:before="4" w:line="328" w:lineRule="auto"/>
        <w:ind w:right="790"/>
        <w:rPr>
          <w:b/>
          <w:bCs w:val="0"/>
          <w:color w:val="auto"/>
          <w:sz w:val="24"/>
          <w:szCs w:val="24"/>
        </w:rPr>
      </w:pPr>
      <w:r>
        <w:rPr>
          <w:b/>
          <w:bCs w:val="0"/>
          <w:color w:val="auto"/>
          <w:sz w:val="24"/>
          <w:szCs w:val="24"/>
        </w:rPr>
        <w:drawing>
          <wp:anchor distT="0" distB="0" distL="0" distR="0" simplePos="0" relativeHeight="251662336" behindDoc="1" locked="0" layoutInCell="1" allowOverlap="1">
            <wp:simplePos x="0" y="0"/>
            <wp:positionH relativeFrom="page">
              <wp:posOffset>4905375</wp:posOffset>
            </wp:positionH>
            <wp:positionV relativeFrom="paragraph">
              <wp:posOffset>408305</wp:posOffset>
            </wp:positionV>
            <wp:extent cx="85725" cy="155575"/>
            <wp:effectExtent l="0" t="0" r="9525" b="15875"/>
            <wp:wrapNone/>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a:picLocks noChangeAspect="1"/>
                    </pic:cNvPicPr>
                  </pic:nvPicPr>
                  <pic:blipFill>
                    <a:blip r:embed="rId9" cstate="print"/>
                    <a:stretch>
                      <a:fillRect/>
                    </a:stretch>
                  </pic:blipFill>
                  <pic:spPr>
                    <a:xfrm>
                      <a:off x="0" y="0"/>
                      <a:ext cx="85725" cy="155575"/>
                    </a:xfrm>
                    <a:prstGeom prst="rect">
                      <a:avLst/>
                    </a:prstGeom>
                  </pic:spPr>
                </pic:pic>
              </a:graphicData>
            </a:graphic>
          </wp:anchor>
        </w:drawing>
      </w:r>
      <w:r>
        <w:rPr>
          <w:b/>
          <w:bCs w:val="0"/>
          <w:color w:val="auto"/>
          <w:spacing w:val="-1"/>
          <w:sz w:val="24"/>
          <w:szCs w:val="24"/>
        </w:rPr>
        <w:t>各自合同段的工程材料消耗数量和施工组织设计、编制总需求量计划（总偏差量（应</w:t>
      </w:r>
      <w:r>
        <w:rPr>
          <w:b/>
          <w:bCs w:val="0"/>
          <w:color w:val="auto"/>
          <w:spacing w:val="-3"/>
          <w:sz w:val="24"/>
          <w:szCs w:val="24"/>
        </w:rPr>
        <w:t>）</w:t>
      </w:r>
      <w:r>
        <w:rPr>
          <w:b/>
          <w:bCs w:val="0"/>
          <w:color w:val="auto"/>
          <w:sz w:val="24"/>
          <w:szCs w:val="24"/>
        </w:rPr>
        <w:t>控制在±5以内）</w:t>
      </w:r>
      <w:r>
        <w:rPr>
          <w:b/>
          <w:bCs w:val="0"/>
          <w:color w:val="auto"/>
          <w:spacing w:val="-7"/>
          <w:sz w:val="24"/>
          <w:szCs w:val="24"/>
        </w:rPr>
        <w:t>，需求计</w:t>
      </w:r>
      <w:r>
        <w:rPr>
          <w:b/>
          <w:bCs w:val="0"/>
          <w:color w:val="auto"/>
          <w:spacing w:val="-2"/>
          <w:sz w:val="24"/>
          <w:szCs w:val="24"/>
        </w:rPr>
        <w:t>划要求落实到各月份</w:t>
      </w:r>
      <w:r>
        <w:rPr>
          <w:b/>
          <w:bCs w:val="0"/>
          <w:color w:val="auto"/>
          <w:sz w:val="24"/>
          <w:szCs w:val="24"/>
        </w:rPr>
        <w:t>（将来各月份的需求计划可以根据工程</w:t>
      </w:r>
      <w:r>
        <w:rPr>
          <w:b/>
          <w:bCs w:val="0"/>
          <w:color w:val="auto"/>
          <w:spacing w:val="4"/>
          <w:w w:val="95"/>
          <w:sz w:val="24"/>
          <w:szCs w:val="24"/>
        </w:rPr>
        <w:t>实际进度调整</w:t>
      </w:r>
      <w:r>
        <w:rPr>
          <w:b/>
          <w:bCs w:val="0"/>
          <w:color w:val="auto"/>
          <w:spacing w:val="5"/>
          <w:w w:val="95"/>
          <w:sz w:val="24"/>
          <w:szCs w:val="24"/>
        </w:rPr>
        <w:t>）</w:t>
      </w:r>
      <w:r>
        <w:rPr>
          <w:b/>
          <w:bCs w:val="0"/>
          <w:color w:val="auto"/>
          <w:spacing w:val="4"/>
          <w:w w:val="95"/>
          <w:sz w:val="24"/>
          <w:szCs w:val="24"/>
        </w:rPr>
        <w:t>，经驻地监理审核签认后，报项目</w:t>
      </w:r>
      <w:r>
        <w:rPr>
          <w:b/>
          <w:bCs w:val="0"/>
          <w:color w:val="auto"/>
          <w:spacing w:val="7"/>
          <w:w w:val="95"/>
          <w:sz w:val="24"/>
          <w:szCs w:val="24"/>
        </w:rPr>
        <w:t>（</w:t>
      </w:r>
      <w:r>
        <w:rPr>
          <w:b/>
          <w:bCs w:val="0"/>
          <w:color w:val="auto"/>
          <w:spacing w:val="8"/>
          <w:w w:val="95"/>
          <w:sz w:val="24"/>
          <w:szCs w:val="24"/>
        </w:rPr>
        <w:t>总监</w:t>
      </w:r>
      <w:r>
        <w:rPr>
          <w:b/>
          <w:bCs w:val="0"/>
          <w:color w:val="auto"/>
          <w:spacing w:val="-11"/>
          <w:w w:val="95"/>
          <w:sz w:val="24"/>
          <w:szCs w:val="24"/>
        </w:rPr>
        <w:t xml:space="preserve">） </w:t>
      </w:r>
      <w:r>
        <w:rPr>
          <w:b/>
          <w:bCs w:val="0"/>
          <w:color w:val="auto"/>
          <w:sz w:val="24"/>
          <w:szCs w:val="24"/>
        </w:rPr>
        <w:t>办审批，总监办审批确认后送甲供材料项目部。</w:t>
      </w:r>
    </w:p>
    <w:p>
      <w:pPr>
        <w:pStyle w:val="2"/>
        <w:spacing w:line="328" w:lineRule="auto"/>
        <w:ind w:right="619"/>
        <w:rPr>
          <w:b/>
          <w:bCs w:val="0"/>
          <w:color w:val="auto"/>
          <w:sz w:val="24"/>
          <w:szCs w:val="24"/>
        </w:rPr>
      </w:pPr>
      <w:r>
        <w:rPr>
          <w:b/>
          <w:bCs w:val="0"/>
          <w:color w:val="auto"/>
          <w:sz w:val="24"/>
          <w:szCs w:val="24"/>
        </w:rPr>
        <w:t xml:space="preserve">3、月度需求计划：施工单位应编制材料月度需求计划 </w:t>
      </w:r>
      <w:r>
        <w:rPr>
          <w:b/>
          <w:bCs w:val="0"/>
          <w:color w:val="auto"/>
          <w:spacing w:val="3"/>
          <w:sz w:val="24"/>
          <w:szCs w:val="24"/>
        </w:rPr>
        <w:t xml:space="preserve">表，并注明批次到货时间及数量，经驻地监理审核签认后， </w:t>
      </w:r>
      <w:r>
        <w:rPr>
          <w:b/>
          <w:bCs w:val="0"/>
          <w:color w:val="auto"/>
          <w:sz w:val="24"/>
          <w:szCs w:val="24"/>
        </w:rPr>
        <w:t>每月 15</w:t>
      </w:r>
      <w:r>
        <w:rPr>
          <w:b/>
          <w:bCs w:val="0"/>
          <w:color w:val="auto"/>
          <w:spacing w:val="-5"/>
          <w:sz w:val="24"/>
          <w:szCs w:val="24"/>
        </w:rPr>
        <w:t xml:space="preserve"> 日前提交驻地监理、总监办审核后转交材料项目部。</w:t>
      </w:r>
      <w:r>
        <w:rPr>
          <w:b/>
          <w:bCs w:val="0"/>
          <w:color w:val="auto"/>
          <w:sz w:val="24"/>
          <w:szCs w:val="24"/>
        </w:rPr>
        <w:t>材料项目部收到计划表汇总后按时上报至项目办工程科审</w:t>
      </w:r>
    </w:p>
    <w:p>
      <w:pPr>
        <w:pStyle w:val="2"/>
        <w:spacing w:line="405" w:lineRule="exact"/>
        <w:ind w:firstLine="0"/>
        <w:rPr>
          <w:b/>
          <w:bCs w:val="0"/>
          <w:color w:val="auto"/>
          <w:sz w:val="24"/>
          <w:szCs w:val="24"/>
        </w:rPr>
      </w:pPr>
      <w:r>
        <w:rPr>
          <w:b/>
          <w:bCs w:val="0"/>
          <w:color w:val="auto"/>
          <w:w w:val="95"/>
          <w:sz w:val="24"/>
          <w:szCs w:val="24"/>
        </w:rPr>
        <w:t>核并及时报送供应厂商做好下月度材料供应计划的生产储</w:t>
      </w:r>
    </w:p>
    <w:p>
      <w:pPr>
        <w:spacing w:after="0" w:line="405" w:lineRule="exact"/>
        <w:rPr>
          <w:b/>
          <w:bCs w:val="0"/>
          <w:color w:val="auto"/>
          <w:sz w:val="24"/>
          <w:szCs w:val="24"/>
        </w:rPr>
        <w:sectPr>
          <w:pgSz w:w="11910" w:h="16840"/>
          <w:pgMar w:top="1520" w:right="860" w:bottom="1160" w:left="1680" w:header="0" w:footer="975" w:gutter="0"/>
          <w:pgNumType w:fmt="decimal"/>
        </w:sectPr>
      </w:pPr>
    </w:p>
    <w:p>
      <w:pPr>
        <w:pStyle w:val="2"/>
        <w:spacing w:before="30" w:line="328" w:lineRule="auto"/>
        <w:ind w:right="940" w:firstLine="0"/>
        <w:jc w:val="both"/>
        <w:rPr>
          <w:b/>
          <w:bCs w:val="0"/>
          <w:color w:val="auto"/>
          <w:sz w:val="24"/>
          <w:szCs w:val="24"/>
        </w:rPr>
      </w:pPr>
      <w:r>
        <w:rPr>
          <w:b/>
          <w:bCs w:val="0"/>
          <w:color w:val="auto"/>
          <w:spacing w:val="-4"/>
          <w:sz w:val="24"/>
          <w:szCs w:val="24"/>
        </w:rPr>
        <w:t>备工作。驻地监理交总监办工程科，总监办工程科审批完毕</w:t>
      </w:r>
      <w:r>
        <w:rPr>
          <w:b/>
          <w:bCs w:val="0"/>
          <w:color w:val="auto"/>
          <w:spacing w:val="-3"/>
          <w:sz w:val="24"/>
          <w:szCs w:val="24"/>
        </w:rPr>
        <w:t>后通知材料项目部，材料项目部汇总报项目办核备。当月申报材料数量当月有效，并以实际发货的时间为界限。原则上月度计划将全额足量供应，如遇计划未全额执行，材料项目</w:t>
      </w:r>
      <w:r>
        <w:rPr>
          <w:b/>
          <w:bCs w:val="0"/>
          <w:color w:val="auto"/>
          <w:sz w:val="24"/>
          <w:szCs w:val="24"/>
        </w:rPr>
        <w:t>部需在申报下月材料计划时重新列报。</w:t>
      </w:r>
    </w:p>
    <w:p>
      <w:pPr>
        <w:pStyle w:val="2"/>
        <w:spacing w:line="328" w:lineRule="auto"/>
        <w:ind w:right="790"/>
        <w:rPr>
          <w:b/>
          <w:bCs w:val="0"/>
          <w:color w:val="auto"/>
          <w:sz w:val="24"/>
          <w:szCs w:val="24"/>
        </w:rPr>
      </w:pPr>
      <w:r>
        <w:rPr>
          <w:b/>
          <w:bCs w:val="0"/>
          <w:color w:val="auto"/>
          <w:sz w:val="24"/>
          <w:szCs w:val="24"/>
        </w:rPr>
        <w:t>4、甲供材料项目部每月初统计上月施工单位计划执行</w:t>
      </w:r>
      <w:r>
        <w:rPr>
          <w:b/>
          <w:bCs w:val="0"/>
          <w:color w:val="auto"/>
          <w:spacing w:val="4"/>
          <w:w w:val="95"/>
          <w:sz w:val="24"/>
          <w:szCs w:val="24"/>
        </w:rPr>
        <w:t>情况汇总表报项目（</w:t>
      </w:r>
      <w:r>
        <w:rPr>
          <w:b/>
          <w:bCs w:val="0"/>
          <w:color w:val="auto"/>
          <w:spacing w:val="5"/>
          <w:w w:val="95"/>
          <w:sz w:val="24"/>
          <w:szCs w:val="24"/>
        </w:rPr>
        <w:t>总监</w:t>
      </w:r>
      <w:r>
        <w:rPr>
          <w:b/>
          <w:bCs w:val="0"/>
          <w:color w:val="auto"/>
          <w:spacing w:val="4"/>
          <w:w w:val="95"/>
          <w:sz w:val="24"/>
          <w:szCs w:val="24"/>
        </w:rPr>
        <w:t>）</w:t>
      </w:r>
      <w:r>
        <w:rPr>
          <w:b/>
          <w:bCs w:val="0"/>
          <w:color w:val="auto"/>
          <w:spacing w:val="2"/>
          <w:w w:val="95"/>
          <w:sz w:val="24"/>
          <w:szCs w:val="24"/>
        </w:rPr>
        <w:t xml:space="preserve">办，在未发生不保供的情况下， </w:t>
      </w:r>
      <w:r>
        <w:rPr>
          <w:b/>
          <w:bCs w:val="0"/>
          <w:color w:val="auto"/>
          <w:spacing w:val="-1"/>
          <w:sz w:val="24"/>
          <w:szCs w:val="24"/>
        </w:rPr>
        <w:t>对于计划执行偏差较大的单位应给予警告或违约处理，并承担材料项目部按计划备货带来的风险。</w:t>
      </w:r>
    </w:p>
    <w:p>
      <w:pPr>
        <w:pStyle w:val="2"/>
        <w:spacing w:line="403" w:lineRule="exact"/>
        <w:ind w:left="761" w:firstLine="0"/>
        <w:rPr>
          <w:b/>
          <w:bCs w:val="0"/>
          <w:color w:val="auto"/>
          <w:sz w:val="24"/>
          <w:szCs w:val="24"/>
        </w:rPr>
      </w:pPr>
      <w:r>
        <w:rPr>
          <w:b/>
          <w:bCs w:val="0"/>
          <w:color w:val="auto"/>
          <w:sz w:val="24"/>
          <w:szCs w:val="24"/>
        </w:rPr>
        <w:t>（二）材料增补计划</w:t>
      </w:r>
    </w:p>
    <w:p>
      <w:pPr>
        <w:pStyle w:val="2"/>
        <w:spacing w:before="142" w:line="328" w:lineRule="auto"/>
        <w:ind w:right="1085"/>
        <w:rPr>
          <w:b/>
          <w:bCs w:val="0"/>
          <w:color w:val="auto"/>
          <w:sz w:val="24"/>
          <w:szCs w:val="24"/>
        </w:rPr>
      </w:pPr>
      <w:r>
        <w:rPr>
          <w:b/>
          <w:bCs w:val="0"/>
          <w:color w:val="auto"/>
          <w:sz w:val="24"/>
          <w:szCs w:val="24"/>
        </w:rPr>
        <w:t>1、材料项目部对施工单位的月度计划应严格管理，不能随意启动增补计划。</w:t>
      </w:r>
    </w:p>
    <w:p>
      <w:pPr>
        <w:pStyle w:val="2"/>
        <w:spacing w:line="326" w:lineRule="auto"/>
        <w:ind w:right="939"/>
        <w:rPr>
          <w:b/>
          <w:bCs w:val="0"/>
          <w:color w:val="auto"/>
          <w:sz w:val="24"/>
          <w:szCs w:val="24"/>
        </w:rPr>
      </w:pPr>
      <w:r>
        <w:rPr>
          <w:b/>
          <w:bCs w:val="0"/>
          <w:color w:val="auto"/>
          <w:sz w:val="24"/>
          <w:szCs w:val="24"/>
        </w:rPr>
        <w:t>2、如施工单位在执行材料月度计划过程中因工程变动</w:t>
      </w:r>
      <w:r>
        <w:rPr>
          <w:b/>
          <w:bCs w:val="0"/>
          <w:color w:val="auto"/>
          <w:spacing w:val="-6"/>
          <w:sz w:val="24"/>
          <w:szCs w:val="24"/>
        </w:rPr>
        <w:t xml:space="preserve">不可控因素影响增补计划时，应提前 </w:t>
      </w:r>
      <w:r>
        <w:rPr>
          <w:b/>
          <w:bCs w:val="0"/>
          <w:color w:val="auto"/>
          <w:sz w:val="24"/>
          <w:szCs w:val="24"/>
        </w:rPr>
        <w:t>7</w:t>
      </w:r>
      <w:r>
        <w:rPr>
          <w:b/>
          <w:bCs w:val="0"/>
          <w:color w:val="auto"/>
          <w:spacing w:val="-13"/>
          <w:sz w:val="24"/>
          <w:szCs w:val="24"/>
        </w:rPr>
        <w:t xml:space="preserve"> 天申报，材料项目部</w:t>
      </w:r>
    </w:p>
    <w:p>
      <w:pPr>
        <w:pStyle w:val="2"/>
        <w:spacing w:before="3"/>
        <w:ind w:firstLine="0"/>
        <w:rPr>
          <w:b/>
          <w:bCs w:val="0"/>
          <w:color w:val="auto"/>
          <w:sz w:val="24"/>
          <w:szCs w:val="24"/>
        </w:rPr>
      </w:pPr>
      <w:r>
        <w:rPr>
          <w:b/>
          <w:bCs w:val="0"/>
          <w:color w:val="auto"/>
          <w:sz w:val="24"/>
          <w:szCs w:val="24"/>
        </w:rPr>
        <w:t>收到总监办审核的增补计划后 20 天内材料到场。</w:t>
      </w:r>
    </w:p>
    <w:p>
      <w:pPr>
        <w:pStyle w:val="2"/>
        <w:spacing w:before="150" w:line="328" w:lineRule="auto"/>
        <w:ind w:right="895"/>
        <w:rPr>
          <w:b/>
          <w:bCs w:val="0"/>
          <w:color w:val="auto"/>
          <w:sz w:val="24"/>
          <w:szCs w:val="24"/>
        </w:rPr>
      </w:pPr>
      <w:r>
        <w:rPr>
          <w:b/>
          <w:bCs w:val="0"/>
          <w:color w:val="auto"/>
          <w:sz w:val="24"/>
          <w:szCs w:val="24"/>
        </w:rPr>
        <w:t>3、施工单位未按规定时间申报材料月度计划，或材料月度计划调整未及时告知材料项目部，造成误工、停工或材料运输车辆滞留在工地等损失应由施工单位自行负责。</w:t>
      </w:r>
    </w:p>
    <w:p>
      <w:pPr>
        <w:pStyle w:val="3"/>
        <w:tabs>
          <w:tab w:val="left" w:pos="2372"/>
        </w:tabs>
        <w:spacing w:line="478" w:lineRule="exact"/>
        <w:rPr>
          <w:b/>
          <w:bCs w:val="0"/>
          <w:color w:val="auto"/>
          <w:sz w:val="24"/>
          <w:szCs w:val="24"/>
        </w:rPr>
      </w:pPr>
      <w:r>
        <w:rPr>
          <w:b/>
          <w:bCs w:val="0"/>
          <w:color w:val="auto"/>
          <w:sz w:val="24"/>
          <w:szCs w:val="24"/>
        </w:rPr>
        <w:t>第三十条</w:t>
      </w:r>
      <w:r>
        <w:rPr>
          <w:b/>
          <w:bCs w:val="0"/>
          <w:color w:val="auto"/>
          <w:sz w:val="24"/>
          <w:szCs w:val="24"/>
        </w:rPr>
        <w:tab/>
      </w:r>
      <w:r>
        <w:rPr>
          <w:b/>
          <w:bCs w:val="0"/>
          <w:color w:val="auto"/>
          <w:sz w:val="24"/>
          <w:szCs w:val="24"/>
        </w:rPr>
        <w:t>材料运输、装卸、便道</w:t>
      </w:r>
    </w:p>
    <w:p>
      <w:pPr>
        <w:pStyle w:val="2"/>
        <w:spacing w:before="76" w:line="328" w:lineRule="auto"/>
        <w:ind w:right="938"/>
        <w:jc w:val="both"/>
        <w:rPr>
          <w:b/>
          <w:bCs w:val="0"/>
          <w:color w:val="auto"/>
          <w:sz w:val="24"/>
          <w:szCs w:val="24"/>
        </w:rPr>
      </w:pPr>
      <w:r>
        <w:rPr>
          <w:b/>
          <w:bCs w:val="0"/>
          <w:color w:val="auto"/>
          <w:sz w:val="24"/>
          <w:szCs w:val="24"/>
        </w:rPr>
        <w:t>（一</w:t>
      </w:r>
      <w:r>
        <w:rPr>
          <w:b/>
          <w:bCs w:val="0"/>
          <w:color w:val="auto"/>
          <w:spacing w:val="-12"/>
          <w:sz w:val="24"/>
          <w:szCs w:val="24"/>
        </w:rPr>
        <w:t>）</w:t>
      </w:r>
      <w:r>
        <w:rPr>
          <w:b/>
          <w:bCs w:val="0"/>
          <w:color w:val="auto"/>
          <w:spacing w:val="-1"/>
          <w:sz w:val="24"/>
          <w:szCs w:val="24"/>
        </w:rPr>
        <w:t>施工单位须提供满足材料运输所需的汽车便道和</w:t>
      </w:r>
      <w:r>
        <w:rPr>
          <w:b/>
          <w:bCs w:val="0"/>
          <w:color w:val="auto"/>
          <w:spacing w:val="-4"/>
          <w:sz w:val="24"/>
          <w:szCs w:val="24"/>
        </w:rPr>
        <w:t>卸货作业场地，如因道路或场地原因导致材料无法送达而造</w:t>
      </w:r>
      <w:r>
        <w:rPr>
          <w:b/>
          <w:bCs w:val="0"/>
          <w:color w:val="auto"/>
          <w:sz w:val="24"/>
          <w:szCs w:val="24"/>
        </w:rPr>
        <w:t>成停工，损失由施工单位承担。</w:t>
      </w:r>
    </w:p>
    <w:p>
      <w:pPr>
        <w:pStyle w:val="2"/>
        <w:spacing w:line="328" w:lineRule="auto"/>
        <w:ind w:right="895"/>
        <w:rPr>
          <w:b/>
          <w:bCs w:val="0"/>
          <w:color w:val="auto"/>
          <w:sz w:val="24"/>
          <w:szCs w:val="24"/>
        </w:rPr>
      </w:pPr>
      <w:r>
        <w:rPr>
          <w:b/>
          <w:bCs w:val="0"/>
          <w:color w:val="auto"/>
          <w:sz w:val="24"/>
          <w:szCs w:val="24"/>
        </w:rPr>
        <w:t>（二）材料运输至施工单位钢筋棚和拌合站后，施工单位应及时安排专职材料管理人员到现场对材料进行验收、卸</w:t>
      </w:r>
    </w:p>
    <w:p>
      <w:pPr>
        <w:spacing w:after="0" w:line="328" w:lineRule="auto"/>
        <w:rPr>
          <w:b/>
          <w:bCs w:val="0"/>
          <w:color w:val="auto"/>
          <w:sz w:val="24"/>
          <w:szCs w:val="24"/>
        </w:rPr>
        <w:sectPr>
          <w:pgSz w:w="11910" w:h="16840"/>
          <w:pgMar w:top="1520" w:right="860" w:bottom="1160" w:left="1680" w:header="0" w:footer="975" w:gutter="0"/>
          <w:pgNumType w:fmt="decimal"/>
        </w:sectPr>
      </w:pPr>
    </w:p>
    <w:p>
      <w:pPr>
        <w:pStyle w:val="2"/>
        <w:spacing w:before="30" w:line="326" w:lineRule="auto"/>
        <w:ind w:right="936" w:firstLine="0"/>
        <w:rPr>
          <w:b/>
          <w:bCs w:val="0"/>
          <w:color w:val="auto"/>
          <w:sz w:val="24"/>
          <w:szCs w:val="24"/>
        </w:rPr>
      </w:pPr>
      <w:r>
        <w:rPr>
          <w:b/>
          <w:bCs w:val="0"/>
          <w:color w:val="auto"/>
          <w:spacing w:val="-24"/>
          <w:sz w:val="24"/>
          <w:szCs w:val="24"/>
        </w:rPr>
        <w:t xml:space="preserve">货，到达施工单位现场的钢材、水泥原则上在 </w:t>
      </w:r>
      <w:r>
        <w:rPr>
          <w:b/>
          <w:bCs w:val="0"/>
          <w:color w:val="auto"/>
          <w:sz w:val="24"/>
          <w:szCs w:val="24"/>
        </w:rPr>
        <w:t>8</w:t>
      </w:r>
      <w:r>
        <w:rPr>
          <w:b/>
          <w:bCs w:val="0"/>
          <w:color w:val="auto"/>
          <w:spacing w:val="-17"/>
          <w:sz w:val="24"/>
          <w:szCs w:val="24"/>
        </w:rPr>
        <w:t xml:space="preserve"> 小时内卸完， </w:t>
      </w:r>
      <w:r>
        <w:rPr>
          <w:b/>
          <w:bCs w:val="0"/>
          <w:color w:val="auto"/>
          <w:sz w:val="24"/>
          <w:szCs w:val="24"/>
        </w:rPr>
        <w:t>否则，滞留压车损失由施工单位负责赔偿。</w:t>
      </w:r>
    </w:p>
    <w:p>
      <w:pPr>
        <w:pStyle w:val="2"/>
        <w:spacing w:before="6" w:line="328" w:lineRule="auto"/>
        <w:ind w:right="790"/>
        <w:rPr>
          <w:b/>
          <w:bCs w:val="0"/>
          <w:color w:val="auto"/>
          <w:sz w:val="24"/>
          <w:szCs w:val="24"/>
        </w:rPr>
      </w:pPr>
      <w:r>
        <w:rPr>
          <w:b/>
          <w:bCs w:val="0"/>
          <w:color w:val="auto"/>
          <w:sz w:val="24"/>
          <w:szCs w:val="24"/>
        </w:rPr>
        <w:t>（三）本工程的施工便道为共用便道，临时道路、便桥</w:t>
      </w:r>
      <w:r>
        <w:rPr>
          <w:b/>
          <w:bCs w:val="0"/>
          <w:color w:val="auto"/>
          <w:w w:val="95"/>
          <w:sz w:val="24"/>
          <w:szCs w:val="24"/>
        </w:rPr>
        <w:t xml:space="preserve">应满足运输车辆通行。施工单位应负责所辖范围临时道路、 </w:t>
      </w:r>
      <w:r>
        <w:rPr>
          <w:b/>
          <w:bCs w:val="0"/>
          <w:color w:val="auto"/>
          <w:sz w:val="24"/>
          <w:szCs w:val="24"/>
        </w:rPr>
        <w:t>便桥的加固、维修和保养。为确保材料运输车辆按时安全到达交货地点。</w:t>
      </w:r>
    </w:p>
    <w:p>
      <w:pPr>
        <w:pStyle w:val="2"/>
        <w:spacing w:line="328" w:lineRule="auto"/>
        <w:ind w:right="788"/>
        <w:rPr>
          <w:b/>
          <w:bCs w:val="0"/>
          <w:color w:val="auto"/>
          <w:sz w:val="24"/>
          <w:szCs w:val="24"/>
        </w:rPr>
      </w:pPr>
      <w:r>
        <w:rPr>
          <w:b/>
          <w:bCs w:val="0"/>
          <w:color w:val="auto"/>
          <w:spacing w:val="7"/>
          <w:w w:val="95"/>
          <w:sz w:val="24"/>
          <w:szCs w:val="24"/>
        </w:rPr>
        <w:t>（</w:t>
      </w:r>
      <w:r>
        <w:rPr>
          <w:b/>
          <w:bCs w:val="0"/>
          <w:color w:val="auto"/>
          <w:spacing w:val="4"/>
          <w:w w:val="95"/>
          <w:sz w:val="24"/>
          <w:szCs w:val="24"/>
        </w:rPr>
        <w:t>四</w:t>
      </w:r>
      <w:r>
        <w:rPr>
          <w:b/>
          <w:bCs w:val="0"/>
          <w:color w:val="auto"/>
          <w:spacing w:val="5"/>
          <w:w w:val="95"/>
          <w:sz w:val="24"/>
          <w:szCs w:val="24"/>
        </w:rPr>
        <w:t>）</w:t>
      </w:r>
      <w:r>
        <w:rPr>
          <w:b/>
          <w:bCs w:val="0"/>
          <w:color w:val="auto"/>
          <w:spacing w:val="3"/>
          <w:w w:val="95"/>
          <w:sz w:val="24"/>
          <w:szCs w:val="24"/>
        </w:rPr>
        <w:t xml:space="preserve">材料运输车辆通过施工便道和工程施工场地时， </w:t>
      </w:r>
      <w:r>
        <w:rPr>
          <w:b/>
          <w:bCs w:val="0"/>
          <w:color w:val="auto"/>
          <w:spacing w:val="-1"/>
          <w:sz w:val="24"/>
          <w:szCs w:val="24"/>
        </w:rPr>
        <w:t>施工单位应为材料运输车辆提供通行方便。材料运输车辆在</w:t>
      </w:r>
      <w:r>
        <w:rPr>
          <w:b/>
          <w:bCs w:val="0"/>
          <w:color w:val="auto"/>
          <w:spacing w:val="-2"/>
          <w:sz w:val="24"/>
          <w:szCs w:val="24"/>
        </w:rPr>
        <w:t>施工便道上抛锚或坡陡路滑情况无法行进时，施工单位有责任协助其脱困。</w:t>
      </w:r>
    </w:p>
    <w:p>
      <w:pPr>
        <w:pStyle w:val="3"/>
        <w:tabs>
          <w:tab w:val="left" w:pos="2854"/>
        </w:tabs>
        <w:spacing w:line="476" w:lineRule="exact"/>
        <w:rPr>
          <w:b/>
          <w:bCs w:val="0"/>
          <w:color w:val="auto"/>
          <w:sz w:val="24"/>
          <w:szCs w:val="24"/>
        </w:rPr>
      </w:pPr>
      <w:r>
        <w:rPr>
          <w:b/>
          <w:bCs w:val="0"/>
          <w:color w:val="auto"/>
          <w:sz w:val="24"/>
          <w:szCs w:val="24"/>
        </w:rPr>
        <w:t>第三十一条</w:t>
      </w:r>
      <w:r>
        <w:rPr>
          <w:b/>
          <w:bCs w:val="0"/>
          <w:color w:val="auto"/>
          <w:sz w:val="24"/>
          <w:szCs w:val="24"/>
        </w:rPr>
        <w:tab/>
      </w:r>
      <w:r>
        <w:rPr>
          <w:b/>
          <w:bCs w:val="0"/>
          <w:color w:val="auto"/>
          <w:sz w:val="24"/>
          <w:szCs w:val="24"/>
        </w:rPr>
        <w:t>材料的外观鉴定及现场签收、质量检验</w:t>
      </w:r>
    </w:p>
    <w:p>
      <w:pPr>
        <w:pStyle w:val="2"/>
        <w:spacing w:before="71" w:line="326" w:lineRule="auto"/>
        <w:ind w:right="893"/>
        <w:rPr>
          <w:b/>
          <w:bCs w:val="0"/>
          <w:color w:val="auto"/>
          <w:sz w:val="24"/>
          <w:szCs w:val="24"/>
        </w:rPr>
      </w:pPr>
      <w:r>
        <w:rPr>
          <w:b/>
          <w:bCs w:val="0"/>
          <w:color w:val="auto"/>
          <w:sz w:val="24"/>
          <w:szCs w:val="24"/>
        </w:rPr>
        <w:t>（一）所有运至工地的材料必须有随货同行的出厂合格证书/检验报告单。施工单位必须妥善保管材料的出厂合格证/检验报告单等资料。</w:t>
      </w:r>
    </w:p>
    <w:p>
      <w:pPr>
        <w:pStyle w:val="2"/>
        <w:spacing w:before="8" w:line="328" w:lineRule="auto"/>
        <w:ind w:right="790"/>
        <w:rPr>
          <w:b/>
          <w:bCs w:val="0"/>
          <w:color w:val="auto"/>
          <w:sz w:val="24"/>
          <w:szCs w:val="24"/>
        </w:rPr>
      </w:pPr>
      <w:r>
        <w:rPr>
          <w:b/>
          <w:bCs w:val="0"/>
          <w:color w:val="auto"/>
          <w:sz w:val="24"/>
          <w:szCs w:val="24"/>
        </w:rPr>
        <w:t>（二</w:t>
      </w:r>
      <w:r>
        <w:rPr>
          <w:b/>
          <w:bCs w:val="0"/>
          <w:color w:val="auto"/>
          <w:spacing w:val="-3"/>
          <w:sz w:val="24"/>
          <w:szCs w:val="24"/>
        </w:rPr>
        <w:t>）水泥应按其品种、标号、批号等不同，分批进行</w:t>
      </w:r>
      <w:r>
        <w:rPr>
          <w:b/>
          <w:bCs w:val="0"/>
          <w:color w:val="auto"/>
          <w:spacing w:val="-5"/>
          <w:sz w:val="24"/>
          <w:szCs w:val="24"/>
        </w:rPr>
        <w:t>外观检查、试验和鉴定</w:t>
      </w:r>
      <w:r>
        <w:rPr>
          <w:b/>
          <w:bCs w:val="0"/>
          <w:color w:val="auto"/>
          <w:sz w:val="24"/>
          <w:szCs w:val="24"/>
        </w:rPr>
        <w:t>（</w:t>
      </w:r>
      <w:r>
        <w:rPr>
          <w:b/>
          <w:bCs w:val="0"/>
          <w:color w:val="auto"/>
          <w:spacing w:val="-1"/>
          <w:sz w:val="24"/>
          <w:szCs w:val="24"/>
        </w:rPr>
        <w:t>一般需驻地监理工程师参与，抽检</w:t>
      </w:r>
      <w:r>
        <w:rPr>
          <w:b/>
          <w:bCs w:val="0"/>
          <w:color w:val="auto"/>
          <w:spacing w:val="4"/>
          <w:w w:val="95"/>
          <w:sz w:val="24"/>
          <w:szCs w:val="24"/>
        </w:rPr>
        <w:t>频率参照相关管理办法</w:t>
      </w:r>
      <w:r>
        <w:rPr>
          <w:b/>
          <w:bCs w:val="0"/>
          <w:color w:val="auto"/>
          <w:spacing w:val="7"/>
          <w:w w:val="95"/>
          <w:sz w:val="24"/>
          <w:szCs w:val="24"/>
        </w:rPr>
        <w:t>）</w:t>
      </w:r>
      <w:r>
        <w:rPr>
          <w:b/>
          <w:bCs w:val="0"/>
          <w:color w:val="auto"/>
          <w:spacing w:val="3"/>
          <w:w w:val="95"/>
          <w:sz w:val="24"/>
          <w:szCs w:val="24"/>
        </w:rPr>
        <w:t xml:space="preserve">。外观检查要求：包装口无破损， </w:t>
      </w:r>
      <w:r>
        <w:rPr>
          <w:b/>
          <w:bCs w:val="0"/>
          <w:color w:val="auto"/>
          <w:spacing w:val="-3"/>
          <w:sz w:val="24"/>
          <w:szCs w:val="24"/>
        </w:rPr>
        <w:t>水泥无混杂，包装袋牌号、出厂编号、生产日期等标志清晰可辨，色泽一致，无受潮、结块现象。试验取样须从不同堆</w:t>
      </w:r>
      <w:r>
        <w:rPr>
          <w:b/>
          <w:bCs w:val="0"/>
          <w:color w:val="auto"/>
          <w:spacing w:val="-4"/>
          <w:sz w:val="24"/>
          <w:szCs w:val="24"/>
        </w:rPr>
        <w:t>放位置抽取等量水泥送至试验室按检验规范进行检测。水泥</w:t>
      </w:r>
      <w:r>
        <w:rPr>
          <w:b/>
          <w:bCs w:val="0"/>
          <w:color w:val="auto"/>
          <w:spacing w:val="-5"/>
          <w:sz w:val="24"/>
          <w:szCs w:val="24"/>
        </w:rPr>
        <w:t>出厂的检验报告单供应厂商应在水泥发出之日起，7</w:t>
      </w:r>
      <w:r>
        <w:rPr>
          <w:b/>
          <w:bCs w:val="0"/>
          <w:color w:val="auto"/>
          <w:spacing w:val="-2"/>
          <w:sz w:val="24"/>
          <w:szCs w:val="24"/>
        </w:rPr>
        <w:t xml:space="preserve"> 天内送达除 </w:t>
      </w:r>
      <w:r>
        <w:rPr>
          <w:b/>
          <w:bCs w:val="0"/>
          <w:color w:val="auto"/>
          <w:sz w:val="24"/>
          <w:szCs w:val="24"/>
        </w:rPr>
        <w:t>28</w:t>
      </w:r>
      <w:r>
        <w:rPr>
          <w:b/>
          <w:bCs w:val="0"/>
          <w:color w:val="auto"/>
          <w:spacing w:val="-1"/>
          <w:sz w:val="24"/>
          <w:szCs w:val="24"/>
        </w:rPr>
        <w:t xml:space="preserve"> 天强度以外的各项检验结果，</w:t>
      </w:r>
      <w:r>
        <w:rPr>
          <w:b/>
          <w:bCs w:val="0"/>
          <w:color w:val="auto"/>
          <w:sz w:val="24"/>
          <w:szCs w:val="24"/>
        </w:rPr>
        <w:t>32</w:t>
      </w:r>
      <w:r>
        <w:rPr>
          <w:b/>
          <w:bCs w:val="0"/>
          <w:color w:val="auto"/>
          <w:spacing w:val="-2"/>
          <w:sz w:val="24"/>
          <w:szCs w:val="24"/>
        </w:rPr>
        <w:t xml:space="preserve"> 天内补报 </w:t>
      </w:r>
      <w:r>
        <w:rPr>
          <w:b/>
          <w:bCs w:val="0"/>
          <w:color w:val="auto"/>
          <w:sz w:val="24"/>
          <w:szCs w:val="24"/>
        </w:rPr>
        <w:t>28</w:t>
      </w:r>
      <w:r>
        <w:rPr>
          <w:b/>
          <w:bCs w:val="0"/>
          <w:color w:val="auto"/>
          <w:spacing w:val="-1"/>
          <w:sz w:val="24"/>
          <w:szCs w:val="24"/>
        </w:rPr>
        <w:t xml:space="preserve"> 天强度的检验结果。</w:t>
      </w:r>
    </w:p>
    <w:p>
      <w:pPr>
        <w:pStyle w:val="2"/>
        <w:spacing w:line="395" w:lineRule="exact"/>
        <w:ind w:left="761" w:firstLine="0"/>
        <w:rPr>
          <w:b/>
          <w:bCs w:val="0"/>
          <w:color w:val="auto"/>
          <w:sz w:val="24"/>
          <w:szCs w:val="24"/>
        </w:rPr>
      </w:pPr>
      <w:r>
        <w:rPr>
          <w:b/>
          <w:bCs w:val="0"/>
          <w:color w:val="auto"/>
          <w:sz w:val="24"/>
          <w:szCs w:val="24"/>
        </w:rPr>
        <w:t>（三）每批钢筋、钢绞线、型钢运到工地后都必须作外</w:t>
      </w:r>
    </w:p>
    <w:p>
      <w:pPr>
        <w:spacing w:after="0" w:line="395" w:lineRule="exact"/>
        <w:rPr>
          <w:b/>
          <w:bCs w:val="0"/>
          <w:color w:val="auto"/>
          <w:sz w:val="24"/>
          <w:szCs w:val="24"/>
        </w:rPr>
        <w:sectPr>
          <w:pgSz w:w="11910" w:h="16840"/>
          <w:pgMar w:top="1520" w:right="860" w:bottom="1160" w:left="1680" w:header="0" w:footer="975" w:gutter="0"/>
          <w:pgNumType w:fmt="decimal"/>
        </w:sectPr>
      </w:pPr>
    </w:p>
    <w:p>
      <w:pPr>
        <w:pStyle w:val="2"/>
        <w:spacing w:before="30" w:line="328" w:lineRule="auto"/>
        <w:ind w:right="938" w:firstLine="0"/>
        <w:jc w:val="both"/>
        <w:rPr>
          <w:b/>
          <w:bCs w:val="0"/>
          <w:color w:val="auto"/>
          <w:sz w:val="24"/>
          <w:szCs w:val="24"/>
        </w:rPr>
      </w:pPr>
      <w:r>
        <w:rPr>
          <w:b/>
          <w:bCs w:val="0"/>
          <w:color w:val="auto"/>
          <w:spacing w:val="-2"/>
          <w:sz w:val="24"/>
          <w:szCs w:val="24"/>
        </w:rPr>
        <w:t>观鉴定和试验</w:t>
      </w:r>
      <w:r>
        <w:rPr>
          <w:b/>
          <w:bCs w:val="0"/>
          <w:color w:val="auto"/>
          <w:sz w:val="24"/>
          <w:szCs w:val="24"/>
        </w:rPr>
        <w:t>（</w:t>
      </w:r>
      <w:r>
        <w:rPr>
          <w:b/>
          <w:bCs w:val="0"/>
          <w:color w:val="auto"/>
          <w:spacing w:val="-2"/>
          <w:sz w:val="24"/>
          <w:szCs w:val="24"/>
        </w:rPr>
        <w:t>一般需驻地监理工程师参加，抽检频率参照</w:t>
      </w:r>
      <w:r>
        <w:rPr>
          <w:b/>
          <w:bCs w:val="0"/>
          <w:color w:val="auto"/>
          <w:sz w:val="24"/>
          <w:szCs w:val="24"/>
        </w:rPr>
        <w:t>相关管理法</w:t>
      </w:r>
      <w:r>
        <w:rPr>
          <w:b/>
          <w:bCs w:val="0"/>
          <w:color w:val="auto"/>
          <w:spacing w:val="-5"/>
          <w:sz w:val="24"/>
          <w:szCs w:val="24"/>
        </w:rPr>
        <w:t>）</w:t>
      </w:r>
      <w:r>
        <w:rPr>
          <w:b/>
          <w:bCs w:val="0"/>
          <w:color w:val="auto"/>
          <w:spacing w:val="-4"/>
          <w:sz w:val="24"/>
          <w:szCs w:val="24"/>
        </w:rPr>
        <w:t>。材料进场后的抽检工作必须是在卸车完毕后进行。外观检查：钢材无严重外观缺陷</w:t>
      </w:r>
      <w:r>
        <w:rPr>
          <w:b/>
          <w:bCs w:val="0"/>
          <w:color w:val="auto"/>
          <w:sz w:val="24"/>
          <w:szCs w:val="24"/>
        </w:rPr>
        <w:t>（</w:t>
      </w:r>
      <w:r>
        <w:rPr>
          <w:b/>
          <w:bCs w:val="0"/>
          <w:color w:val="auto"/>
          <w:spacing w:val="-2"/>
          <w:sz w:val="24"/>
          <w:szCs w:val="24"/>
        </w:rPr>
        <w:t>必须符合国标允许</w:t>
      </w:r>
      <w:r>
        <w:rPr>
          <w:b/>
          <w:bCs w:val="0"/>
          <w:color w:val="auto"/>
          <w:sz w:val="24"/>
          <w:szCs w:val="24"/>
        </w:rPr>
        <w:t>的公差强制要求）</w:t>
      </w:r>
      <w:r>
        <w:rPr>
          <w:b/>
          <w:bCs w:val="0"/>
          <w:color w:val="auto"/>
          <w:spacing w:val="-3"/>
          <w:sz w:val="24"/>
          <w:szCs w:val="24"/>
        </w:rPr>
        <w:t>，无严重锈蚀、扭曲，有出厂铭牌、质检证明书</w:t>
      </w:r>
      <w:r>
        <w:rPr>
          <w:b/>
          <w:bCs w:val="0"/>
          <w:color w:val="auto"/>
          <w:sz w:val="24"/>
          <w:szCs w:val="24"/>
        </w:rPr>
        <w:t>（</w:t>
      </w:r>
      <w:r>
        <w:rPr>
          <w:b/>
          <w:bCs w:val="0"/>
          <w:color w:val="auto"/>
          <w:spacing w:val="-2"/>
          <w:sz w:val="24"/>
          <w:szCs w:val="24"/>
        </w:rPr>
        <w:t>钢厂质检证明书为复印件，加盖材料项目部质量管</w:t>
      </w:r>
      <w:r>
        <w:rPr>
          <w:b/>
          <w:bCs w:val="0"/>
          <w:color w:val="auto"/>
          <w:sz w:val="24"/>
          <w:szCs w:val="24"/>
        </w:rPr>
        <w:t>理专用章）。</w:t>
      </w:r>
    </w:p>
    <w:p>
      <w:pPr>
        <w:pStyle w:val="2"/>
        <w:spacing w:line="328" w:lineRule="auto"/>
        <w:ind w:right="779"/>
        <w:rPr>
          <w:b/>
          <w:bCs w:val="0"/>
          <w:color w:val="auto"/>
          <w:sz w:val="24"/>
          <w:szCs w:val="24"/>
        </w:rPr>
      </w:pPr>
      <w:r>
        <w:rPr>
          <w:b/>
          <w:bCs w:val="0"/>
          <w:color w:val="auto"/>
          <w:sz w:val="24"/>
          <w:szCs w:val="24"/>
        </w:rPr>
        <w:t>（四</w:t>
      </w:r>
      <w:r>
        <w:rPr>
          <w:b/>
          <w:bCs w:val="0"/>
          <w:color w:val="auto"/>
          <w:spacing w:val="-8"/>
          <w:sz w:val="24"/>
          <w:szCs w:val="24"/>
        </w:rPr>
        <w:t>）</w:t>
      </w:r>
      <w:r>
        <w:rPr>
          <w:b/>
          <w:bCs w:val="0"/>
          <w:color w:val="auto"/>
          <w:spacing w:val="-1"/>
          <w:sz w:val="24"/>
          <w:szCs w:val="24"/>
        </w:rPr>
        <w:t>甲供材料送达施工单位钢筋棚后，施工单位材料</w:t>
      </w:r>
      <w:r>
        <w:rPr>
          <w:b/>
          <w:bCs w:val="0"/>
          <w:color w:val="auto"/>
          <w:spacing w:val="-3"/>
          <w:sz w:val="24"/>
          <w:szCs w:val="24"/>
        </w:rPr>
        <w:t>员须及时按验收规范确认数量、规格型号和出厂编号</w:t>
      </w:r>
      <w:r>
        <w:rPr>
          <w:b/>
          <w:bCs w:val="0"/>
          <w:color w:val="auto"/>
          <w:sz w:val="24"/>
          <w:szCs w:val="24"/>
        </w:rPr>
        <w:t>（炉批号）</w:t>
      </w:r>
      <w:r>
        <w:rPr>
          <w:b/>
          <w:bCs w:val="0"/>
          <w:color w:val="auto"/>
          <w:spacing w:val="-2"/>
          <w:sz w:val="24"/>
          <w:szCs w:val="24"/>
        </w:rPr>
        <w:t>与质保书、标牌</w:t>
      </w:r>
      <w:r>
        <w:rPr>
          <w:b/>
          <w:bCs w:val="0"/>
          <w:color w:val="auto"/>
          <w:sz w:val="24"/>
          <w:szCs w:val="24"/>
        </w:rPr>
        <w:t>（</w:t>
      </w:r>
      <w:r>
        <w:rPr>
          <w:b/>
          <w:bCs w:val="0"/>
          <w:color w:val="auto"/>
          <w:spacing w:val="-1"/>
          <w:sz w:val="24"/>
          <w:szCs w:val="24"/>
        </w:rPr>
        <w:t>运输、吊装过程中如出现个别标牌脱</w:t>
      </w:r>
      <w:r>
        <w:rPr>
          <w:b/>
          <w:bCs w:val="0"/>
          <w:color w:val="auto"/>
          <w:spacing w:val="-15"/>
          <w:sz w:val="24"/>
          <w:szCs w:val="24"/>
        </w:rPr>
        <w:t>落情况，可查看钢筋壁上的品牌钢号，确认品牌及材料等级</w:t>
      </w:r>
      <w:r>
        <w:rPr>
          <w:b/>
          <w:bCs w:val="0"/>
          <w:color w:val="auto"/>
          <w:spacing w:val="-14"/>
          <w:sz w:val="24"/>
          <w:szCs w:val="24"/>
        </w:rPr>
        <w:t xml:space="preserve">） </w:t>
      </w:r>
      <w:r>
        <w:rPr>
          <w:b/>
          <w:bCs w:val="0"/>
          <w:color w:val="auto"/>
          <w:sz w:val="24"/>
          <w:szCs w:val="24"/>
        </w:rPr>
        <w:t>相符后应立即在随货同行的材料配送单上签字确认（ 施工</w:t>
      </w:r>
      <w:r>
        <w:rPr>
          <w:b/>
          <w:bCs w:val="0"/>
          <w:color w:val="auto"/>
          <w:spacing w:val="-1"/>
          <w:sz w:val="24"/>
          <w:szCs w:val="24"/>
        </w:rPr>
        <w:t xml:space="preserve">单位委托的现场签收人 </w:t>
      </w:r>
      <w:r>
        <w:rPr>
          <w:b/>
          <w:bCs w:val="0"/>
          <w:color w:val="auto"/>
          <w:sz w:val="24"/>
          <w:szCs w:val="24"/>
        </w:rPr>
        <w:t>），并将材料签收情况 24</w:t>
      </w:r>
      <w:r>
        <w:rPr>
          <w:b/>
          <w:bCs w:val="0"/>
          <w:color w:val="auto"/>
          <w:spacing w:val="-1"/>
          <w:sz w:val="24"/>
          <w:szCs w:val="24"/>
        </w:rPr>
        <w:t xml:space="preserve"> 小时内在甲供物资管理平台上电子签收。</w:t>
      </w:r>
    </w:p>
    <w:p>
      <w:pPr>
        <w:pStyle w:val="2"/>
        <w:spacing w:line="328" w:lineRule="auto"/>
        <w:ind w:right="780"/>
        <w:rPr>
          <w:b/>
          <w:bCs w:val="0"/>
          <w:color w:val="auto"/>
          <w:sz w:val="24"/>
          <w:szCs w:val="24"/>
        </w:rPr>
      </w:pPr>
      <w:r>
        <w:rPr>
          <w:b/>
          <w:bCs w:val="0"/>
          <w:color w:val="auto"/>
          <w:sz w:val="24"/>
          <w:szCs w:val="24"/>
        </w:rPr>
        <w:t>（五</w:t>
      </w:r>
      <w:r>
        <w:rPr>
          <w:b/>
          <w:bCs w:val="0"/>
          <w:color w:val="auto"/>
          <w:spacing w:val="-8"/>
          <w:sz w:val="24"/>
          <w:szCs w:val="24"/>
        </w:rPr>
        <w:t>）</w:t>
      </w:r>
      <w:r>
        <w:rPr>
          <w:b/>
          <w:bCs w:val="0"/>
          <w:color w:val="auto"/>
          <w:spacing w:val="-1"/>
          <w:sz w:val="24"/>
          <w:szCs w:val="24"/>
        </w:rPr>
        <w:t>施工单位、驻地监理和中心试验室应按相关规定</w:t>
      </w:r>
      <w:r>
        <w:rPr>
          <w:b/>
          <w:bCs w:val="0"/>
          <w:color w:val="auto"/>
          <w:spacing w:val="-2"/>
          <w:sz w:val="24"/>
          <w:szCs w:val="24"/>
        </w:rPr>
        <w:t>频率对进场材料进行自检和抽检，只有检验合格的材料才能</w:t>
      </w:r>
      <w:r>
        <w:rPr>
          <w:b/>
          <w:bCs w:val="0"/>
          <w:color w:val="auto"/>
          <w:spacing w:val="-4"/>
          <w:sz w:val="24"/>
          <w:szCs w:val="24"/>
        </w:rPr>
        <w:t>用于本项目工程。检验费用由施工单位和监理各按合同条款</w:t>
      </w:r>
      <w:r>
        <w:rPr>
          <w:b/>
          <w:bCs w:val="0"/>
          <w:color w:val="auto"/>
          <w:spacing w:val="-5"/>
          <w:sz w:val="24"/>
          <w:szCs w:val="24"/>
        </w:rPr>
        <w:t>规定分别承担。如出现质量争议，以有国家资质检测机构的</w:t>
      </w:r>
      <w:r>
        <w:rPr>
          <w:b/>
          <w:bCs w:val="0"/>
          <w:color w:val="auto"/>
          <w:spacing w:val="-16"/>
          <w:sz w:val="24"/>
          <w:szCs w:val="24"/>
        </w:rPr>
        <w:t xml:space="preserve">检测报告为最终结果。如不合格，检测费用由供应厂商承担； </w:t>
      </w:r>
      <w:r>
        <w:rPr>
          <w:b/>
          <w:bCs w:val="0"/>
          <w:color w:val="auto"/>
          <w:sz w:val="24"/>
          <w:szCs w:val="24"/>
        </w:rPr>
        <w:t>如合格，检测费用由提出异议方承担。</w:t>
      </w:r>
    </w:p>
    <w:p>
      <w:pPr>
        <w:pStyle w:val="3"/>
        <w:tabs>
          <w:tab w:val="left" w:pos="2854"/>
        </w:tabs>
        <w:spacing w:line="473" w:lineRule="exact"/>
        <w:rPr>
          <w:b/>
          <w:bCs w:val="0"/>
          <w:color w:val="auto"/>
          <w:sz w:val="24"/>
          <w:szCs w:val="24"/>
        </w:rPr>
      </w:pPr>
      <w:r>
        <w:rPr>
          <w:b/>
          <w:bCs w:val="0"/>
          <w:color w:val="auto"/>
          <w:sz w:val="24"/>
          <w:szCs w:val="24"/>
        </w:rPr>
        <w:t>第三十二条</w:t>
      </w:r>
      <w:r>
        <w:rPr>
          <w:b/>
          <w:bCs w:val="0"/>
          <w:color w:val="auto"/>
          <w:sz w:val="24"/>
          <w:szCs w:val="24"/>
        </w:rPr>
        <w:tab/>
      </w:r>
      <w:r>
        <w:rPr>
          <w:b/>
          <w:bCs w:val="0"/>
          <w:color w:val="auto"/>
          <w:sz w:val="24"/>
          <w:szCs w:val="24"/>
        </w:rPr>
        <w:t>材料的保管、堆放</w:t>
      </w:r>
    </w:p>
    <w:p>
      <w:pPr>
        <w:pStyle w:val="2"/>
        <w:spacing w:before="57" w:line="328" w:lineRule="auto"/>
        <w:ind w:right="938"/>
        <w:jc w:val="both"/>
        <w:rPr>
          <w:b/>
          <w:bCs w:val="0"/>
          <w:color w:val="auto"/>
          <w:sz w:val="24"/>
          <w:szCs w:val="24"/>
        </w:rPr>
      </w:pPr>
      <w:r>
        <w:rPr>
          <w:b/>
          <w:bCs w:val="0"/>
          <w:color w:val="auto"/>
          <w:sz w:val="24"/>
          <w:szCs w:val="24"/>
        </w:rPr>
        <w:t>（一）</w:t>
      </w:r>
      <w:r>
        <w:rPr>
          <w:b/>
          <w:bCs w:val="0"/>
          <w:color w:val="auto"/>
          <w:spacing w:val="-4"/>
          <w:sz w:val="24"/>
          <w:szCs w:val="24"/>
        </w:rPr>
        <w:t>所有材料保管、堆放应按国家有关规范要求，做好材料的归堆、隔离、标识、遮盖等工作。材料项目部管理</w:t>
      </w:r>
      <w:r>
        <w:rPr>
          <w:b/>
          <w:bCs w:val="0"/>
          <w:color w:val="auto"/>
          <w:spacing w:val="-3"/>
          <w:sz w:val="24"/>
          <w:szCs w:val="24"/>
        </w:rPr>
        <w:t>人员应经常检查，发现不符合规定的应及时要求施工单位进</w:t>
      </w:r>
      <w:r>
        <w:rPr>
          <w:b/>
          <w:bCs w:val="0"/>
          <w:color w:val="auto"/>
          <w:spacing w:val="-2"/>
          <w:sz w:val="24"/>
          <w:szCs w:val="24"/>
        </w:rPr>
        <w:t>行整改。材料项目部在上报项目办</w:t>
      </w:r>
      <w:r>
        <w:rPr>
          <w:b/>
          <w:bCs w:val="0"/>
          <w:color w:val="auto"/>
          <w:sz w:val="24"/>
          <w:szCs w:val="24"/>
        </w:rPr>
        <w:t>（总监办</w:t>
      </w:r>
      <w:r>
        <w:rPr>
          <w:b/>
          <w:bCs w:val="0"/>
          <w:color w:val="auto"/>
          <w:spacing w:val="-3"/>
          <w:sz w:val="24"/>
          <w:szCs w:val="24"/>
        </w:rPr>
        <w:t>）同意后，有权</w:t>
      </w:r>
    </w:p>
    <w:p>
      <w:pPr>
        <w:spacing w:after="0" w:line="328" w:lineRule="auto"/>
        <w:jc w:val="both"/>
        <w:rPr>
          <w:b/>
          <w:bCs w:val="0"/>
          <w:color w:val="auto"/>
          <w:sz w:val="24"/>
          <w:szCs w:val="24"/>
        </w:rPr>
        <w:sectPr>
          <w:pgSz w:w="11910" w:h="16840"/>
          <w:pgMar w:top="1520" w:right="860" w:bottom="1160" w:left="1680" w:header="0" w:footer="975" w:gutter="0"/>
          <w:pgNumType w:fmt="decimal"/>
        </w:sectPr>
      </w:pPr>
    </w:p>
    <w:p>
      <w:pPr>
        <w:pStyle w:val="2"/>
        <w:spacing w:before="30" w:line="326" w:lineRule="auto"/>
        <w:ind w:right="790" w:firstLine="0"/>
        <w:rPr>
          <w:b/>
          <w:bCs w:val="0"/>
          <w:color w:val="auto"/>
          <w:sz w:val="24"/>
          <w:szCs w:val="24"/>
        </w:rPr>
      </w:pPr>
      <w:r>
        <w:rPr>
          <w:b/>
          <w:bCs w:val="0"/>
          <w:color w:val="auto"/>
          <w:w w:val="95"/>
          <w:sz w:val="24"/>
          <w:szCs w:val="24"/>
        </w:rPr>
        <w:t xml:space="preserve">对堆放不合要求而导致不适合继续使用的材料停止其使用， </w:t>
      </w:r>
      <w:r>
        <w:rPr>
          <w:b/>
          <w:bCs w:val="0"/>
          <w:color w:val="auto"/>
          <w:sz w:val="24"/>
          <w:szCs w:val="24"/>
        </w:rPr>
        <w:t>由此造成的损失由施工单位承担。</w:t>
      </w:r>
    </w:p>
    <w:p>
      <w:pPr>
        <w:pStyle w:val="2"/>
        <w:spacing w:before="6"/>
        <w:ind w:left="761" w:firstLine="0"/>
        <w:rPr>
          <w:b/>
          <w:bCs w:val="0"/>
          <w:color w:val="auto"/>
          <w:sz w:val="24"/>
          <w:szCs w:val="24"/>
        </w:rPr>
      </w:pPr>
      <w:r>
        <w:rPr>
          <w:b/>
          <w:bCs w:val="0"/>
          <w:color w:val="auto"/>
          <w:sz w:val="24"/>
          <w:szCs w:val="24"/>
        </w:rPr>
        <w:t>（二）水泥堆放标准</w:t>
      </w:r>
    </w:p>
    <w:p>
      <w:pPr>
        <w:pStyle w:val="2"/>
        <w:spacing w:before="149"/>
        <w:ind w:left="761" w:firstLine="0"/>
        <w:rPr>
          <w:b/>
          <w:bCs w:val="0"/>
          <w:color w:val="auto"/>
          <w:sz w:val="24"/>
          <w:szCs w:val="24"/>
        </w:rPr>
      </w:pPr>
      <w:r>
        <w:rPr>
          <w:b/>
          <w:bCs w:val="0"/>
          <w:color w:val="auto"/>
          <w:sz w:val="24"/>
          <w:szCs w:val="24"/>
        </w:rPr>
        <w:t>1、水泥要求：现场不少于 10 个水泥罐，每个水泥罐</w:t>
      </w:r>
    </w:p>
    <w:p>
      <w:pPr>
        <w:pStyle w:val="2"/>
        <w:spacing w:before="150" w:line="328" w:lineRule="auto"/>
        <w:ind w:right="892" w:firstLine="0"/>
        <w:rPr>
          <w:b/>
          <w:bCs w:val="0"/>
          <w:color w:val="auto"/>
          <w:sz w:val="24"/>
          <w:szCs w:val="24"/>
        </w:rPr>
      </w:pPr>
      <w:r>
        <w:rPr>
          <w:b/>
          <w:bCs w:val="0"/>
          <w:color w:val="auto"/>
          <w:sz w:val="24"/>
          <w:szCs w:val="24"/>
        </w:rPr>
        <w:t>不低于 80 吨。仓库搭建应牢固，不漏水，地面和离地 1.5 米的墙面必须作防水、防潮处理。</w:t>
      </w:r>
    </w:p>
    <w:p>
      <w:pPr>
        <w:pStyle w:val="2"/>
        <w:spacing w:line="328" w:lineRule="auto"/>
        <w:ind w:right="936"/>
        <w:rPr>
          <w:b/>
          <w:bCs w:val="0"/>
          <w:color w:val="auto"/>
          <w:sz w:val="24"/>
          <w:szCs w:val="24"/>
        </w:rPr>
      </w:pPr>
      <w:r>
        <w:rPr>
          <w:b/>
          <w:bCs w:val="0"/>
          <w:color w:val="auto"/>
          <w:sz w:val="24"/>
          <w:szCs w:val="24"/>
        </w:rPr>
        <w:t>2、不同品种或标号的水泥应按不同品种、规格、出厂</w:t>
      </w:r>
      <w:r>
        <w:rPr>
          <w:b/>
          <w:bCs w:val="0"/>
          <w:color w:val="auto"/>
          <w:spacing w:val="-3"/>
          <w:sz w:val="24"/>
          <w:szCs w:val="24"/>
        </w:rPr>
        <w:t>编号、生产日期、状态</w:t>
      </w:r>
      <w:r>
        <w:rPr>
          <w:b/>
          <w:bCs w:val="0"/>
          <w:color w:val="auto"/>
          <w:sz w:val="24"/>
          <w:szCs w:val="24"/>
        </w:rPr>
        <w:t>（</w:t>
      </w:r>
      <w:r>
        <w:rPr>
          <w:b/>
          <w:bCs w:val="0"/>
          <w:color w:val="auto"/>
          <w:spacing w:val="2"/>
          <w:sz w:val="24"/>
          <w:szCs w:val="24"/>
        </w:rPr>
        <w:t>合格</w:t>
      </w:r>
      <w:r>
        <w:rPr>
          <w:b/>
          <w:bCs w:val="0"/>
          <w:color w:val="auto"/>
          <w:sz w:val="24"/>
          <w:szCs w:val="24"/>
        </w:rPr>
        <w:t>/不合格/待检）</w:t>
      </w:r>
      <w:r>
        <w:rPr>
          <w:b/>
          <w:bCs w:val="0"/>
          <w:color w:val="auto"/>
          <w:spacing w:val="-3"/>
          <w:sz w:val="24"/>
          <w:szCs w:val="24"/>
        </w:rPr>
        <w:t>使用部位分别</w:t>
      </w:r>
      <w:r>
        <w:rPr>
          <w:b/>
          <w:bCs w:val="0"/>
          <w:color w:val="auto"/>
          <w:spacing w:val="-11"/>
          <w:sz w:val="24"/>
          <w:szCs w:val="24"/>
        </w:rPr>
        <w:t>储备堆放</w:t>
      </w:r>
      <w:r>
        <w:rPr>
          <w:b/>
          <w:bCs w:val="0"/>
          <w:color w:val="auto"/>
          <w:sz w:val="24"/>
          <w:szCs w:val="24"/>
        </w:rPr>
        <w:t>（</w:t>
      </w:r>
      <w:r>
        <w:rPr>
          <w:b/>
          <w:bCs w:val="0"/>
          <w:color w:val="auto"/>
          <w:spacing w:val="-1"/>
          <w:sz w:val="24"/>
          <w:szCs w:val="24"/>
        </w:rPr>
        <w:t xml:space="preserve">应离墙体 </w:t>
      </w:r>
      <w:r>
        <w:rPr>
          <w:b/>
          <w:bCs w:val="0"/>
          <w:color w:val="auto"/>
          <w:sz w:val="24"/>
          <w:szCs w:val="24"/>
        </w:rPr>
        <w:t>0.3</w:t>
      </w:r>
      <w:r>
        <w:rPr>
          <w:b/>
          <w:bCs w:val="0"/>
          <w:color w:val="auto"/>
          <w:spacing w:val="-2"/>
          <w:sz w:val="24"/>
          <w:szCs w:val="24"/>
        </w:rPr>
        <w:t xml:space="preserve"> 米以上</w:t>
      </w:r>
      <w:r>
        <w:rPr>
          <w:b/>
          <w:bCs w:val="0"/>
          <w:color w:val="auto"/>
          <w:spacing w:val="-43"/>
          <w:sz w:val="24"/>
          <w:szCs w:val="24"/>
        </w:rPr>
        <w:t>）</w:t>
      </w:r>
      <w:r>
        <w:rPr>
          <w:b/>
          <w:bCs w:val="0"/>
          <w:color w:val="auto"/>
          <w:spacing w:val="-10"/>
          <w:sz w:val="24"/>
          <w:szCs w:val="24"/>
        </w:rPr>
        <w:t>，标识醒目，不得混堆， 不得受潮或混入杂物。</w:t>
      </w:r>
    </w:p>
    <w:p>
      <w:pPr>
        <w:pStyle w:val="2"/>
        <w:spacing w:line="403" w:lineRule="exact"/>
        <w:ind w:left="761" w:firstLine="0"/>
        <w:rPr>
          <w:b/>
          <w:bCs w:val="0"/>
          <w:color w:val="auto"/>
          <w:sz w:val="24"/>
          <w:szCs w:val="24"/>
        </w:rPr>
      </w:pPr>
      <w:r>
        <w:rPr>
          <w:b/>
          <w:bCs w:val="0"/>
          <w:color w:val="auto"/>
          <w:sz w:val="24"/>
          <w:szCs w:val="24"/>
        </w:rPr>
        <w:t>3、袋装水泥堆放高度不宜超过 10 袋，最高不得超过</w:t>
      </w:r>
    </w:p>
    <w:p>
      <w:pPr>
        <w:pStyle w:val="2"/>
        <w:spacing w:before="148" w:line="326" w:lineRule="auto"/>
        <w:ind w:right="895" w:firstLine="0"/>
        <w:rPr>
          <w:b/>
          <w:bCs w:val="0"/>
          <w:color w:val="auto"/>
          <w:sz w:val="24"/>
          <w:szCs w:val="24"/>
        </w:rPr>
      </w:pPr>
      <w:r>
        <w:rPr>
          <w:b/>
          <w:bCs w:val="0"/>
          <w:color w:val="auto"/>
          <w:sz w:val="24"/>
          <w:szCs w:val="24"/>
        </w:rPr>
        <w:t>12 袋。在正常环境中存放不得超过一个月，若超过一个月时，该批水泥必须重新检验，如检测结果未达标，则为过期水泥，责任由施工单位负责。</w:t>
      </w:r>
    </w:p>
    <w:p>
      <w:pPr>
        <w:pStyle w:val="2"/>
        <w:spacing w:before="8" w:line="326" w:lineRule="auto"/>
        <w:ind w:right="1085"/>
        <w:rPr>
          <w:b/>
          <w:bCs w:val="0"/>
          <w:color w:val="auto"/>
          <w:sz w:val="24"/>
          <w:szCs w:val="24"/>
        </w:rPr>
      </w:pPr>
      <w:r>
        <w:rPr>
          <w:b/>
          <w:bCs w:val="0"/>
          <w:color w:val="auto"/>
          <w:sz w:val="24"/>
          <w:szCs w:val="24"/>
        </w:rPr>
        <w:t>4、过期水泥或受潮结块，应立即清理出现场，严禁继续使用。</w:t>
      </w:r>
    </w:p>
    <w:p>
      <w:pPr>
        <w:pStyle w:val="2"/>
        <w:spacing w:before="3"/>
        <w:ind w:left="761" w:firstLine="0"/>
        <w:rPr>
          <w:b/>
          <w:bCs w:val="0"/>
          <w:color w:val="auto"/>
          <w:sz w:val="24"/>
          <w:szCs w:val="24"/>
        </w:rPr>
      </w:pPr>
      <w:r>
        <w:rPr>
          <w:b/>
          <w:bCs w:val="0"/>
          <w:color w:val="auto"/>
          <w:sz w:val="24"/>
          <w:szCs w:val="24"/>
        </w:rPr>
        <w:t>（三）钢材和钢绞线</w:t>
      </w:r>
    </w:p>
    <w:p>
      <w:pPr>
        <w:pStyle w:val="2"/>
        <w:spacing w:before="152" w:line="326" w:lineRule="auto"/>
        <w:ind w:right="776"/>
        <w:rPr>
          <w:b/>
          <w:bCs w:val="0"/>
          <w:color w:val="auto"/>
          <w:sz w:val="24"/>
          <w:szCs w:val="24"/>
        </w:rPr>
      </w:pPr>
      <w:r>
        <w:rPr>
          <w:b/>
          <w:bCs w:val="0"/>
          <w:color w:val="auto"/>
          <w:sz w:val="24"/>
          <w:szCs w:val="24"/>
        </w:rPr>
        <w:t>1、钢材运到现场后，应按不同品种、规格、等级、牌</w:t>
      </w:r>
      <w:r>
        <w:rPr>
          <w:b/>
          <w:bCs w:val="0"/>
          <w:color w:val="auto"/>
          <w:spacing w:val="-22"/>
          <w:sz w:val="24"/>
          <w:szCs w:val="24"/>
        </w:rPr>
        <w:t>号和状态</w:t>
      </w:r>
      <w:r>
        <w:rPr>
          <w:b/>
          <w:bCs w:val="0"/>
          <w:color w:val="auto"/>
          <w:sz w:val="24"/>
          <w:szCs w:val="24"/>
        </w:rPr>
        <w:t>（</w:t>
      </w:r>
      <w:r>
        <w:rPr>
          <w:b/>
          <w:bCs w:val="0"/>
          <w:color w:val="auto"/>
          <w:spacing w:val="1"/>
          <w:sz w:val="24"/>
          <w:szCs w:val="24"/>
        </w:rPr>
        <w:t>合格</w:t>
      </w:r>
      <w:r>
        <w:rPr>
          <w:b/>
          <w:bCs w:val="0"/>
          <w:color w:val="auto"/>
          <w:sz w:val="24"/>
          <w:szCs w:val="24"/>
        </w:rPr>
        <w:t>/不合格/待检</w:t>
      </w:r>
      <w:r>
        <w:rPr>
          <w:b/>
          <w:bCs w:val="0"/>
          <w:color w:val="auto"/>
          <w:spacing w:val="-84"/>
          <w:sz w:val="24"/>
          <w:szCs w:val="24"/>
        </w:rPr>
        <w:t>）</w:t>
      </w:r>
      <w:r>
        <w:rPr>
          <w:b/>
          <w:bCs w:val="0"/>
          <w:color w:val="auto"/>
          <w:spacing w:val="-1"/>
          <w:sz w:val="24"/>
          <w:szCs w:val="24"/>
        </w:rPr>
        <w:t xml:space="preserve">使用部位分别挂牌堆放整齐， </w:t>
      </w:r>
      <w:r>
        <w:rPr>
          <w:b/>
          <w:bCs w:val="0"/>
          <w:color w:val="auto"/>
          <w:sz w:val="24"/>
          <w:szCs w:val="24"/>
        </w:rPr>
        <w:t>并按动态情况标明其数量。</w:t>
      </w:r>
    </w:p>
    <w:p>
      <w:pPr>
        <w:pStyle w:val="2"/>
        <w:spacing w:before="7" w:line="328" w:lineRule="auto"/>
        <w:ind w:right="894"/>
        <w:rPr>
          <w:b/>
          <w:bCs w:val="0"/>
          <w:color w:val="auto"/>
          <w:sz w:val="24"/>
          <w:szCs w:val="24"/>
        </w:rPr>
      </w:pPr>
      <w:r>
        <w:rPr>
          <w:b/>
          <w:bCs w:val="0"/>
          <w:color w:val="auto"/>
          <w:sz w:val="24"/>
          <w:szCs w:val="24"/>
        </w:rPr>
        <w:t>2、钢材应堆放在钢筋棚内，当限于条件必须露天堆放时，应选在地势较高、地形平坦的坚实处。并采取防雨、排水措施，钢筋下方应垫木方。钢绞线必须采取严密措施，确保不受雨水侵蚀。</w:t>
      </w:r>
    </w:p>
    <w:p>
      <w:pPr>
        <w:spacing w:after="0" w:line="328" w:lineRule="auto"/>
        <w:rPr>
          <w:b/>
          <w:bCs w:val="0"/>
          <w:color w:val="auto"/>
          <w:sz w:val="24"/>
          <w:szCs w:val="24"/>
        </w:rPr>
        <w:sectPr>
          <w:pgSz w:w="11910" w:h="16840"/>
          <w:pgMar w:top="1520" w:right="860" w:bottom="1160" w:left="1680" w:header="0" w:footer="975" w:gutter="0"/>
          <w:pgNumType w:fmt="decimal"/>
        </w:sectPr>
      </w:pPr>
    </w:p>
    <w:p>
      <w:pPr>
        <w:pStyle w:val="2"/>
        <w:spacing w:before="30"/>
        <w:ind w:left="761" w:firstLine="0"/>
        <w:rPr>
          <w:b/>
          <w:bCs w:val="0"/>
          <w:color w:val="auto"/>
          <w:sz w:val="24"/>
          <w:szCs w:val="24"/>
        </w:rPr>
      </w:pPr>
      <w:r>
        <w:rPr>
          <w:b/>
          <w:bCs w:val="0"/>
          <w:color w:val="auto"/>
          <w:sz w:val="24"/>
          <w:szCs w:val="24"/>
        </w:rPr>
        <w:t>3、不得与酸、盐、油类等腐蚀性物品堆放一起。</w:t>
      </w:r>
    </w:p>
    <w:p>
      <w:pPr>
        <w:pStyle w:val="2"/>
        <w:spacing w:before="150" w:line="328" w:lineRule="auto"/>
        <w:ind w:right="941"/>
        <w:jc w:val="both"/>
        <w:rPr>
          <w:b/>
          <w:bCs w:val="0"/>
          <w:color w:val="auto"/>
          <w:sz w:val="24"/>
          <w:szCs w:val="24"/>
        </w:rPr>
      </w:pPr>
      <w:r>
        <w:rPr>
          <w:b/>
          <w:bCs w:val="0"/>
          <w:color w:val="auto"/>
          <w:sz w:val="24"/>
          <w:szCs w:val="24"/>
        </w:rPr>
        <w:t>4</w:t>
      </w:r>
      <w:r>
        <w:rPr>
          <w:b/>
          <w:bCs w:val="0"/>
          <w:color w:val="auto"/>
          <w:spacing w:val="-5"/>
          <w:sz w:val="24"/>
          <w:szCs w:val="24"/>
        </w:rPr>
        <w:t>、 所有甲供材料在施工现场因保管不善，而引起材料</w:t>
      </w:r>
      <w:r>
        <w:rPr>
          <w:b/>
          <w:bCs w:val="0"/>
          <w:color w:val="auto"/>
          <w:spacing w:val="-4"/>
          <w:sz w:val="24"/>
          <w:szCs w:val="24"/>
        </w:rPr>
        <w:t>质量问题的，不得用于本项目工程，由此造成的损失由施工</w:t>
      </w:r>
      <w:r>
        <w:rPr>
          <w:b/>
          <w:bCs w:val="0"/>
          <w:color w:val="auto"/>
          <w:sz w:val="24"/>
          <w:szCs w:val="24"/>
        </w:rPr>
        <w:t>单位自行承担。</w:t>
      </w:r>
    </w:p>
    <w:p>
      <w:pPr>
        <w:pStyle w:val="3"/>
        <w:tabs>
          <w:tab w:val="left" w:pos="2693"/>
        </w:tabs>
        <w:spacing w:line="478" w:lineRule="exact"/>
        <w:rPr>
          <w:b/>
          <w:bCs w:val="0"/>
          <w:color w:val="auto"/>
          <w:sz w:val="24"/>
          <w:szCs w:val="24"/>
        </w:rPr>
      </w:pPr>
      <w:r>
        <w:rPr>
          <w:b/>
          <w:bCs w:val="0"/>
          <w:color w:val="auto"/>
          <w:sz w:val="24"/>
          <w:szCs w:val="24"/>
        </w:rPr>
        <w:t>第三十三条</w:t>
      </w:r>
      <w:r>
        <w:rPr>
          <w:b/>
          <w:bCs w:val="0"/>
          <w:color w:val="auto"/>
          <w:sz w:val="24"/>
          <w:szCs w:val="24"/>
        </w:rPr>
        <w:tab/>
      </w:r>
      <w:r>
        <w:rPr>
          <w:b/>
          <w:bCs w:val="0"/>
          <w:color w:val="auto"/>
          <w:sz w:val="24"/>
          <w:szCs w:val="24"/>
        </w:rPr>
        <w:t>材料供应、质量问题的争议及解决</w:t>
      </w:r>
    </w:p>
    <w:p>
      <w:pPr>
        <w:pStyle w:val="2"/>
        <w:spacing w:before="78" w:line="328" w:lineRule="auto"/>
        <w:ind w:right="790"/>
        <w:rPr>
          <w:b/>
          <w:bCs w:val="0"/>
          <w:color w:val="auto"/>
          <w:sz w:val="24"/>
          <w:szCs w:val="24"/>
        </w:rPr>
      </w:pPr>
      <w:r>
        <w:rPr>
          <w:b/>
          <w:bCs w:val="0"/>
          <w:color w:val="auto"/>
          <w:sz w:val="24"/>
          <w:szCs w:val="24"/>
        </w:rPr>
        <w:t>（一）对材料质量有异议时，由项目办（总监办）物流集团（材料项目部）驻地监理、中心试验室、供应厂商和施</w:t>
      </w:r>
      <w:r>
        <w:rPr>
          <w:b/>
          <w:bCs w:val="0"/>
          <w:color w:val="auto"/>
          <w:w w:val="95"/>
          <w:sz w:val="24"/>
          <w:szCs w:val="24"/>
        </w:rPr>
        <w:t xml:space="preserve">工单位到现场共同见证取样送有国家资质的检测机构复检， </w:t>
      </w:r>
      <w:r>
        <w:rPr>
          <w:b/>
          <w:bCs w:val="0"/>
          <w:color w:val="auto"/>
          <w:sz w:val="24"/>
          <w:szCs w:val="24"/>
        </w:rPr>
        <w:t>其检测报告的结论为最终结果。如检测结果不合格，由项目办（总监办）清除出场，供应厂商应无条件及时收回该批材料，所发生的一切费用由供应厂商承担。</w:t>
      </w:r>
    </w:p>
    <w:p>
      <w:pPr>
        <w:pStyle w:val="2"/>
        <w:spacing w:line="328" w:lineRule="auto"/>
        <w:ind w:right="780"/>
        <w:rPr>
          <w:b/>
          <w:bCs w:val="0"/>
          <w:color w:val="auto"/>
          <w:sz w:val="24"/>
          <w:szCs w:val="24"/>
        </w:rPr>
      </w:pPr>
      <w:r>
        <w:rPr>
          <w:b/>
          <w:bCs w:val="0"/>
          <w:color w:val="auto"/>
          <w:sz w:val="24"/>
          <w:szCs w:val="24"/>
        </w:rPr>
        <w:t>（二</w:t>
      </w:r>
      <w:r>
        <w:rPr>
          <w:b/>
          <w:bCs w:val="0"/>
          <w:color w:val="auto"/>
          <w:spacing w:val="-8"/>
          <w:sz w:val="24"/>
          <w:szCs w:val="24"/>
        </w:rPr>
        <w:t>）</w:t>
      </w:r>
      <w:r>
        <w:rPr>
          <w:b/>
          <w:bCs w:val="0"/>
          <w:color w:val="auto"/>
          <w:spacing w:val="-1"/>
          <w:sz w:val="24"/>
          <w:szCs w:val="24"/>
        </w:rPr>
        <w:t>材料送到工地后，如施工单位对其数量或重量提</w:t>
      </w:r>
      <w:r>
        <w:rPr>
          <w:b/>
          <w:bCs w:val="0"/>
          <w:color w:val="auto"/>
          <w:spacing w:val="-14"/>
          <w:sz w:val="24"/>
          <w:szCs w:val="24"/>
        </w:rPr>
        <w:t>出异议，施工单位应在承运人未离开时提出交涉复检、复磅。</w:t>
      </w:r>
      <w:r>
        <w:rPr>
          <w:b/>
          <w:bCs w:val="0"/>
          <w:color w:val="auto"/>
          <w:spacing w:val="-2"/>
          <w:sz w:val="24"/>
          <w:szCs w:val="24"/>
        </w:rPr>
        <w:t>复磅地点应选择有省、地级技术监督局检验合格</w:t>
      </w:r>
      <w:r>
        <w:rPr>
          <w:b/>
          <w:bCs w:val="0"/>
          <w:color w:val="auto"/>
          <w:sz w:val="24"/>
          <w:szCs w:val="24"/>
        </w:rPr>
        <w:t>（有检验合格证且未过期</w:t>
      </w:r>
      <w:r>
        <w:rPr>
          <w:b/>
          <w:bCs w:val="0"/>
          <w:color w:val="auto"/>
          <w:spacing w:val="-8"/>
          <w:sz w:val="24"/>
          <w:szCs w:val="24"/>
        </w:rPr>
        <w:t>）</w:t>
      </w:r>
      <w:r>
        <w:rPr>
          <w:b/>
          <w:bCs w:val="0"/>
          <w:color w:val="auto"/>
          <w:spacing w:val="-1"/>
          <w:sz w:val="24"/>
          <w:szCs w:val="24"/>
        </w:rPr>
        <w:t>并且距离施工现场较近的公磅处进行。如复检、复磅数量与送货单数量之差不超过±3‰范围，以材料</w:t>
      </w:r>
      <w:r>
        <w:rPr>
          <w:b/>
          <w:bCs w:val="0"/>
          <w:color w:val="auto"/>
          <w:spacing w:val="-10"/>
          <w:sz w:val="24"/>
          <w:szCs w:val="24"/>
        </w:rPr>
        <w:t>配送单的发货数量为准</w:t>
      </w:r>
      <w:r>
        <w:rPr>
          <w:b/>
          <w:bCs w:val="0"/>
          <w:color w:val="auto"/>
          <w:sz w:val="24"/>
          <w:szCs w:val="24"/>
        </w:rPr>
        <w:t>（复检复磅的费用由施工单位承担</w:t>
      </w:r>
      <w:r>
        <w:rPr>
          <w:b/>
          <w:bCs w:val="0"/>
          <w:color w:val="auto"/>
          <w:spacing w:val="-50"/>
          <w:sz w:val="24"/>
          <w:szCs w:val="24"/>
        </w:rPr>
        <w:t xml:space="preserve">）； </w:t>
      </w:r>
      <w:r>
        <w:rPr>
          <w:b/>
          <w:bCs w:val="0"/>
          <w:color w:val="auto"/>
          <w:sz w:val="24"/>
          <w:szCs w:val="24"/>
        </w:rPr>
        <w:t>若超出±3‰范围，则以复检、复磅数量为准（复检复磅费用由供应厂商承担）。</w:t>
      </w:r>
    </w:p>
    <w:p>
      <w:pPr>
        <w:pStyle w:val="2"/>
        <w:spacing w:line="395" w:lineRule="exact"/>
        <w:ind w:left="761" w:firstLine="0"/>
        <w:rPr>
          <w:b/>
          <w:bCs w:val="0"/>
          <w:color w:val="auto"/>
          <w:sz w:val="24"/>
          <w:szCs w:val="24"/>
        </w:rPr>
      </w:pPr>
      <w:r>
        <w:rPr>
          <w:b/>
          <w:bCs w:val="0"/>
          <w:color w:val="auto"/>
          <w:sz w:val="24"/>
          <w:szCs w:val="24"/>
        </w:rPr>
        <w:t>（三）材料供应过程中出现质量、保供问题时，施工单</w:t>
      </w:r>
    </w:p>
    <w:p>
      <w:pPr>
        <w:pStyle w:val="2"/>
        <w:spacing w:before="142" w:line="326" w:lineRule="auto"/>
        <w:ind w:right="938" w:firstLine="0"/>
        <w:jc w:val="both"/>
        <w:rPr>
          <w:b/>
          <w:bCs w:val="0"/>
          <w:color w:val="auto"/>
          <w:sz w:val="24"/>
          <w:szCs w:val="24"/>
        </w:rPr>
      </w:pPr>
      <w:r>
        <w:rPr>
          <w:b/>
          <w:bCs w:val="0"/>
          <w:color w:val="auto"/>
          <w:spacing w:val="-3"/>
          <w:sz w:val="24"/>
          <w:szCs w:val="24"/>
        </w:rPr>
        <w:t>位应及时通知甲供材料项目部，若材料项目部人员不及时到</w:t>
      </w:r>
      <w:r>
        <w:rPr>
          <w:b/>
          <w:bCs w:val="0"/>
          <w:color w:val="auto"/>
          <w:spacing w:val="-2"/>
          <w:sz w:val="24"/>
          <w:szCs w:val="24"/>
        </w:rPr>
        <w:t>现场或未及时处理，可向项目办</w:t>
      </w:r>
      <w:r>
        <w:rPr>
          <w:b/>
          <w:bCs w:val="0"/>
          <w:color w:val="auto"/>
          <w:sz w:val="24"/>
          <w:szCs w:val="24"/>
        </w:rPr>
        <w:t>（总监办</w:t>
      </w:r>
      <w:r>
        <w:rPr>
          <w:b/>
          <w:bCs w:val="0"/>
          <w:color w:val="auto"/>
          <w:spacing w:val="-5"/>
          <w:sz w:val="24"/>
          <w:szCs w:val="24"/>
        </w:rPr>
        <w:t>）</w:t>
      </w:r>
      <w:r>
        <w:rPr>
          <w:b/>
          <w:bCs w:val="0"/>
          <w:color w:val="auto"/>
          <w:spacing w:val="-2"/>
          <w:sz w:val="24"/>
          <w:szCs w:val="24"/>
        </w:rPr>
        <w:t>和管理公司反映</w:t>
      </w:r>
      <w:r>
        <w:rPr>
          <w:b/>
          <w:bCs w:val="0"/>
          <w:color w:val="auto"/>
          <w:sz w:val="24"/>
          <w:szCs w:val="24"/>
        </w:rPr>
        <w:t>并提出解决意见。</w:t>
      </w:r>
    </w:p>
    <w:p>
      <w:pPr>
        <w:pStyle w:val="3"/>
        <w:tabs>
          <w:tab w:val="left" w:pos="2693"/>
        </w:tabs>
        <w:spacing w:line="491" w:lineRule="exact"/>
        <w:rPr>
          <w:b/>
          <w:bCs w:val="0"/>
          <w:color w:val="auto"/>
          <w:sz w:val="24"/>
          <w:szCs w:val="24"/>
        </w:rPr>
      </w:pPr>
      <w:r>
        <w:rPr>
          <w:b/>
          <w:bCs w:val="0"/>
          <w:color w:val="auto"/>
          <w:sz w:val="24"/>
          <w:szCs w:val="24"/>
        </w:rPr>
        <w:t>第三十四条</w:t>
      </w:r>
      <w:r>
        <w:rPr>
          <w:b/>
          <w:bCs w:val="0"/>
          <w:color w:val="auto"/>
          <w:sz w:val="24"/>
          <w:szCs w:val="24"/>
        </w:rPr>
        <w:tab/>
      </w:r>
      <w:r>
        <w:rPr>
          <w:b/>
          <w:bCs w:val="0"/>
          <w:color w:val="auto"/>
          <w:sz w:val="24"/>
          <w:szCs w:val="24"/>
        </w:rPr>
        <w:t>材料款的结算、调差、支付</w:t>
      </w:r>
    </w:p>
    <w:p>
      <w:pPr>
        <w:spacing w:after="0" w:line="491" w:lineRule="exact"/>
        <w:rPr>
          <w:b/>
          <w:bCs w:val="0"/>
          <w:color w:val="auto"/>
          <w:sz w:val="24"/>
          <w:szCs w:val="24"/>
        </w:rPr>
        <w:sectPr>
          <w:pgSz w:w="11910" w:h="16840"/>
          <w:pgMar w:top="1520" w:right="860" w:bottom="1160" w:left="1680" w:header="0" w:footer="975" w:gutter="0"/>
          <w:pgNumType w:fmt="decimal"/>
        </w:sectPr>
      </w:pPr>
    </w:p>
    <w:p>
      <w:pPr>
        <w:pStyle w:val="2"/>
        <w:spacing w:before="30"/>
        <w:ind w:left="761" w:firstLine="0"/>
        <w:rPr>
          <w:b/>
          <w:bCs w:val="0"/>
          <w:color w:val="auto"/>
          <w:sz w:val="24"/>
          <w:szCs w:val="24"/>
        </w:rPr>
      </w:pPr>
      <w:r>
        <w:rPr>
          <w:b/>
          <w:bCs w:val="0"/>
          <w:color w:val="auto"/>
          <w:sz w:val="24"/>
          <w:szCs w:val="24"/>
        </w:rPr>
        <w:t>（一）施工单位甲供材料款由业主在工程计量款中扣除。</w:t>
      </w:r>
    </w:p>
    <w:p>
      <w:pPr>
        <w:pStyle w:val="2"/>
        <w:spacing w:before="150"/>
        <w:ind w:left="761" w:firstLine="0"/>
        <w:rPr>
          <w:b/>
          <w:bCs w:val="0"/>
          <w:color w:val="auto"/>
          <w:sz w:val="24"/>
          <w:szCs w:val="24"/>
        </w:rPr>
      </w:pPr>
      <w:r>
        <w:rPr>
          <w:b/>
          <w:bCs w:val="0"/>
          <w:color w:val="auto"/>
          <w:sz w:val="24"/>
          <w:szCs w:val="24"/>
        </w:rPr>
        <w:t>（二）月度材料结算核对</w:t>
      </w:r>
    </w:p>
    <w:p>
      <w:pPr>
        <w:pStyle w:val="2"/>
        <w:spacing w:before="151"/>
        <w:ind w:left="761" w:firstLine="0"/>
        <w:rPr>
          <w:b/>
          <w:bCs w:val="0"/>
          <w:color w:val="auto"/>
          <w:sz w:val="24"/>
          <w:szCs w:val="24"/>
        </w:rPr>
      </w:pPr>
      <w:r>
        <w:rPr>
          <w:b/>
          <w:bCs w:val="0"/>
          <w:color w:val="auto"/>
          <w:sz w:val="24"/>
          <w:szCs w:val="24"/>
        </w:rPr>
        <w:t>1、材料供应计量期自本月 1 日起至本月 30 日止（自</w:t>
      </w:r>
    </w:p>
    <w:p>
      <w:pPr>
        <w:pStyle w:val="2"/>
        <w:spacing w:before="149" w:line="326" w:lineRule="auto"/>
        <w:ind w:right="927" w:firstLine="0"/>
        <w:rPr>
          <w:b/>
          <w:bCs w:val="0"/>
          <w:color w:val="auto"/>
          <w:sz w:val="24"/>
          <w:szCs w:val="24"/>
        </w:rPr>
      </w:pPr>
      <w:r>
        <w:rPr>
          <w:b/>
          <w:bCs w:val="0"/>
          <w:color w:val="auto"/>
          <w:sz w:val="24"/>
          <w:szCs w:val="24"/>
        </w:rPr>
        <w:t>然月的最后一日）为月度计量期。每月 1 日至 5 日（节假日顺延）为月度材料供应结算核对时间。</w:t>
      </w:r>
    </w:p>
    <w:p>
      <w:pPr>
        <w:pStyle w:val="2"/>
        <w:spacing w:before="6" w:line="326" w:lineRule="auto"/>
        <w:ind w:right="1085"/>
        <w:rPr>
          <w:b/>
          <w:bCs w:val="0"/>
          <w:color w:val="auto"/>
          <w:sz w:val="24"/>
          <w:szCs w:val="24"/>
        </w:rPr>
      </w:pPr>
      <w:r>
        <w:rPr>
          <w:b/>
          <w:bCs w:val="0"/>
          <w:color w:val="auto"/>
          <w:sz w:val="24"/>
          <w:szCs w:val="24"/>
        </w:rPr>
        <w:t>2、施工单位必须在上述规定时间内带齐有关资料〔施工单位材</w:t>
      </w:r>
    </w:p>
    <w:p>
      <w:pPr>
        <w:pStyle w:val="2"/>
        <w:spacing w:before="4" w:line="328" w:lineRule="auto"/>
        <w:ind w:right="790"/>
        <w:rPr>
          <w:b/>
          <w:bCs w:val="0"/>
          <w:color w:val="auto"/>
          <w:sz w:val="24"/>
          <w:szCs w:val="24"/>
        </w:rPr>
      </w:pPr>
      <w:r>
        <w:rPr>
          <w:b/>
          <w:bCs w:val="0"/>
          <w:color w:val="auto"/>
          <w:sz w:val="24"/>
          <w:szCs w:val="24"/>
        </w:rPr>
        <w:t>料员带签收单、项目经理部公章〕，统一到材料项目部</w:t>
      </w:r>
      <w:r>
        <w:rPr>
          <w:b/>
          <w:bCs w:val="0"/>
          <w:color w:val="auto"/>
          <w:w w:val="95"/>
          <w:sz w:val="24"/>
          <w:szCs w:val="24"/>
        </w:rPr>
        <w:t xml:space="preserve">进行月度供应材料核对签认工作。如不按时完成结算签认， </w:t>
      </w:r>
      <w:r>
        <w:rPr>
          <w:b/>
          <w:bCs w:val="0"/>
          <w:color w:val="auto"/>
          <w:sz w:val="24"/>
          <w:szCs w:val="24"/>
        </w:rPr>
        <w:t>甲供材料项目部将停止供货，带来的损失由施工单位自行负责。</w:t>
      </w:r>
    </w:p>
    <w:p>
      <w:pPr>
        <w:pStyle w:val="2"/>
        <w:spacing w:line="326" w:lineRule="auto"/>
        <w:ind w:right="1085"/>
        <w:rPr>
          <w:b/>
          <w:bCs w:val="0"/>
          <w:color w:val="auto"/>
          <w:sz w:val="24"/>
          <w:szCs w:val="24"/>
        </w:rPr>
      </w:pPr>
      <w:r>
        <w:rPr>
          <w:b/>
          <w:bCs w:val="0"/>
          <w:color w:val="auto"/>
          <w:sz w:val="24"/>
          <w:szCs w:val="24"/>
        </w:rPr>
        <w:t>3、施工单位原指定人员如有特殊原因不能按时参加结算核对，应书面委派其他人员办理。</w:t>
      </w:r>
    </w:p>
    <w:p>
      <w:pPr>
        <w:pStyle w:val="2"/>
        <w:spacing w:line="328" w:lineRule="auto"/>
        <w:ind w:right="1085"/>
        <w:rPr>
          <w:b/>
          <w:bCs w:val="0"/>
          <w:color w:val="auto"/>
          <w:sz w:val="24"/>
          <w:szCs w:val="24"/>
        </w:rPr>
      </w:pPr>
      <w:r>
        <w:rPr>
          <w:b/>
          <w:bCs w:val="0"/>
          <w:color w:val="auto"/>
          <w:sz w:val="24"/>
          <w:szCs w:val="24"/>
        </w:rPr>
        <w:t>4、经核对无误后由各方在月度甲供材料结算确认表上签字盖章确认。</w:t>
      </w:r>
    </w:p>
    <w:p>
      <w:pPr>
        <w:pStyle w:val="2"/>
        <w:spacing w:line="328" w:lineRule="auto"/>
        <w:ind w:right="790"/>
        <w:rPr>
          <w:b/>
          <w:bCs w:val="0"/>
          <w:color w:val="auto"/>
          <w:sz w:val="24"/>
          <w:szCs w:val="24"/>
        </w:rPr>
      </w:pPr>
      <w:r>
        <w:rPr>
          <w:b/>
          <w:bCs w:val="0"/>
          <w:color w:val="auto"/>
          <w:sz w:val="24"/>
          <w:szCs w:val="24"/>
        </w:rPr>
        <w:t>5、材料项目部按各方确认的数据制作各施工单位月度</w:t>
      </w:r>
      <w:r>
        <w:rPr>
          <w:b/>
          <w:bCs w:val="0"/>
          <w:color w:val="auto"/>
          <w:spacing w:val="4"/>
          <w:w w:val="95"/>
          <w:sz w:val="24"/>
          <w:szCs w:val="24"/>
        </w:rPr>
        <w:t>材料结算汇总表、月度支付汇总表，报送项目办</w:t>
      </w:r>
      <w:r>
        <w:rPr>
          <w:b/>
          <w:bCs w:val="0"/>
          <w:color w:val="auto"/>
          <w:spacing w:val="9"/>
          <w:w w:val="95"/>
          <w:sz w:val="24"/>
          <w:szCs w:val="24"/>
        </w:rPr>
        <w:t>（</w:t>
      </w:r>
      <w:r>
        <w:rPr>
          <w:b/>
          <w:bCs w:val="0"/>
          <w:color w:val="auto"/>
          <w:spacing w:val="7"/>
          <w:w w:val="95"/>
          <w:sz w:val="24"/>
          <w:szCs w:val="24"/>
        </w:rPr>
        <w:t>总监办</w:t>
      </w:r>
      <w:r>
        <w:rPr>
          <w:b/>
          <w:bCs w:val="0"/>
          <w:color w:val="auto"/>
          <w:spacing w:val="-11"/>
          <w:w w:val="95"/>
          <w:sz w:val="24"/>
          <w:szCs w:val="24"/>
        </w:rPr>
        <w:t xml:space="preserve">） </w:t>
      </w:r>
      <w:r>
        <w:rPr>
          <w:b/>
          <w:bCs w:val="0"/>
          <w:color w:val="auto"/>
          <w:spacing w:val="-2"/>
          <w:sz w:val="24"/>
          <w:szCs w:val="24"/>
        </w:rPr>
        <w:t>审核，项目办</w:t>
      </w:r>
      <w:r>
        <w:rPr>
          <w:b/>
          <w:bCs w:val="0"/>
          <w:color w:val="auto"/>
          <w:spacing w:val="-3"/>
          <w:sz w:val="24"/>
          <w:szCs w:val="24"/>
        </w:rPr>
        <w:t>（</w:t>
      </w:r>
      <w:r>
        <w:rPr>
          <w:b/>
          <w:bCs w:val="0"/>
          <w:color w:val="auto"/>
          <w:sz w:val="24"/>
          <w:szCs w:val="24"/>
        </w:rPr>
        <w:t>总监办</w:t>
      </w:r>
      <w:r>
        <w:rPr>
          <w:b/>
          <w:bCs w:val="0"/>
          <w:color w:val="auto"/>
          <w:spacing w:val="-3"/>
          <w:sz w:val="24"/>
          <w:szCs w:val="24"/>
        </w:rPr>
        <w:t>）</w:t>
      </w:r>
      <w:r>
        <w:rPr>
          <w:b/>
          <w:bCs w:val="0"/>
          <w:color w:val="auto"/>
          <w:spacing w:val="-1"/>
          <w:sz w:val="24"/>
          <w:szCs w:val="24"/>
        </w:rPr>
        <w:t>在每月结算期审核上月报表，确认无误后签认上月甲供材料款支付书及汇总表。</w:t>
      </w:r>
    </w:p>
    <w:p>
      <w:pPr>
        <w:pStyle w:val="2"/>
        <w:spacing w:line="328" w:lineRule="auto"/>
        <w:ind w:right="894"/>
        <w:rPr>
          <w:b/>
          <w:bCs w:val="0"/>
          <w:color w:val="auto"/>
          <w:sz w:val="24"/>
          <w:szCs w:val="24"/>
        </w:rPr>
      </w:pPr>
      <w:r>
        <w:rPr>
          <w:b/>
          <w:bCs w:val="0"/>
          <w:color w:val="auto"/>
          <w:sz w:val="24"/>
          <w:szCs w:val="24"/>
        </w:rPr>
        <w:t>6、甲供材料调差结算工作遵循招标文件专用条款调差的原则，甲供材料调差结算工作流程与甲供材料结算工作流程相同。按贵州省交通信息造价站公布的每月材料单价进行调差结算工作，调差结算确认表对应所调月度的材料结算确认表，调差结算差额在当月的材料结算款中抵减或补扣。</w:t>
      </w:r>
    </w:p>
    <w:p>
      <w:pPr>
        <w:spacing w:after="0" w:line="328" w:lineRule="auto"/>
        <w:rPr>
          <w:b/>
          <w:bCs w:val="0"/>
          <w:color w:val="auto"/>
          <w:sz w:val="24"/>
          <w:szCs w:val="24"/>
        </w:rPr>
        <w:sectPr>
          <w:pgSz w:w="11910" w:h="16840"/>
          <w:pgMar w:top="1520" w:right="860" w:bottom="1160" w:left="1680" w:header="0" w:footer="975" w:gutter="0"/>
          <w:pgNumType w:fmt="decimal"/>
        </w:sectPr>
      </w:pPr>
    </w:p>
    <w:p>
      <w:pPr>
        <w:pStyle w:val="2"/>
        <w:spacing w:before="30"/>
        <w:ind w:left="761" w:firstLine="0"/>
        <w:rPr>
          <w:b/>
          <w:bCs w:val="0"/>
          <w:color w:val="auto"/>
          <w:sz w:val="24"/>
          <w:szCs w:val="24"/>
        </w:rPr>
      </w:pPr>
      <w:r>
        <w:rPr>
          <w:b/>
          <w:bCs w:val="0"/>
          <w:color w:val="auto"/>
          <w:sz w:val="24"/>
          <w:szCs w:val="24"/>
        </w:rPr>
        <w:t>（三）施工单位的材料扣款结算</w:t>
      </w:r>
    </w:p>
    <w:p>
      <w:pPr>
        <w:pStyle w:val="2"/>
        <w:spacing w:before="150" w:line="328" w:lineRule="auto"/>
        <w:ind w:right="893"/>
        <w:rPr>
          <w:b/>
          <w:bCs w:val="0"/>
          <w:color w:val="auto"/>
          <w:sz w:val="24"/>
          <w:szCs w:val="24"/>
        </w:rPr>
      </w:pPr>
      <w:r>
        <w:rPr>
          <w:b/>
          <w:bCs w:val="0"/>
          <w:color w:val="auto"/>
          <w:sz w:val="24"/>
          <w:szCs w:val="24"/>
        </w:rPr>
        <w:t>1、材料项目部把经各方确认的甲供材料资金支付书及结算确认总表报项目办（总监办）审核后，由物流集团开具所供材料对应的相关增值税专用发票给施工单位。</w:t>
      </w:r>
    </w:p>
    <w:p>
      <w:pPr>
        <w:pStyle w:val="2"/>
        <w:spacing w:line="328" w:lineRule="auto"/>
        <w:ind w:right="1085"/>
        <w:rPr>
          <w:b/>
          <w:bCs w:val="0"/>
          <w:color w:val="auto"/>
          <w:sz w:val="24"/>
          <w:szCs w:val="24"/>
        </w:rPr>
      </w:pPr>
      <w:r>
        <w:rPr>
          <w:b/>
          <w:bCs w:val="0"/>
          <w:color w:val="auto"/>
          <w:sz w:val="24"/>
          <w:szCs w:val="24"/>
        </w:rPr>
        <w:t>2、业主根据材料项目部与施工单位每月确认的甲供材料资金支付书及结算确认总表在施工单位所报工程结算款中予以扣回。</w:t>
      </w:r>
    </w:p>
    <w:p>
      <w:pPr>
        <w:pStyle w:val="2"/>
        <w:spacing w:line="328" w:lineRule="auto"/>
        <w:ind w:right="1085"/>
        <w:rPr>
          <w:b/>
          <w:bCs w:val="0"/>
          <w:color w:val="auto"/>
          <w:sz w:val="24"/>
          <w:szCs w:val="24"/>
        </w:rPr>
      </w:pPr>
      <w:r>
        <w:rPr>
          <w:b/>
          <w:bCs w:val="0"/>
          <w:color w:val="auto"/>
          <w:sz w:val="24"/>
          <w:szCs w:val="24"/>
        </w:rPr>
        <w:t>3、如施工单位对扣除和支付的材料款有异议时，可向材料项目</w:t>
      </w:r>
    </w:p>
    <w:p>
      <w:pPr>
        <w:pStyle w:val="2"/>
        <w:spacing w:line="328" w:lineRule="auto"/>
        <w:ind w:right="938"/>
        <w:jc w:val="both"/>
        <w:rPr>
          <w:b/>
          <w:bCs w:val="0"/>
          <w:color w:val="auto"/>
          <w:sz w:val="24"/>
          <w:szCs w:val="24"/>
        </w:rPr>
      </w:pPr>
      <w:r>
        <w:rPr>
          <w:b/>
          <w:bCs w:val="0"/>
          <w:color w:val="auto"/>
          <w:spacing w:val="-3"/>
          <w:sz w:val="24"/>
          <w:szCs w:val="24"/>
        </w:rPr>
        <w:t>部书面提出申请，如有差错，由材料项目部组织各方重</w:t>
      </w:r>
      <w:r>
        <w:rPr>
          <w:b/>
          <w:bCs w:val="0"/>
          <w:color w:val="auto"/>
          <w:spacing w:val="-2"/>
          <w:sz w:val="24"/>
          <w:szCs w:val="24"/>
        </w:rPr>
        <w:t>新核对，经确认后书面提交项目办</w:t>
      </w:r>
      <w:r>
        <w:rPr>
          <w:b/>
          <w:bCs w:val="0"/>
          <w:color w:val="auto"/>
          <w:sz w:val="24"/>
          <w:szCs w:val="24"/>
        </w:rPr>
        <w:t>（总监办</w:t>
      </w:r>
      <w:r>
        <w:rPr>
          <w:b/>
          <w:bCs w:val="0"/>
          <w:color w:val="auto"/>
          <w:spacing w:val="-3"/>
          <w:sz w:val="24"/>
          <w:szCs w:val="24"/>
        </w:rPr>
        <w:t>），项目办在次</w:t>
      </w:r>
      <w:r>
        <w:rPr>
          <w:b/>
          <w:bCs w:val="0"/>
          <w:color w:val="auto"/>
          <w:sz w:val="24"/>
          <w:szCs w:val="24"/>
        </w:rPr>
        <w:t>月支付材料月度需求计划款时予以调整。</w:t>
      </w:r>
    </w:p>
    <w:p>
      <w:pPr>
        <w:pStyle w:val="2"/>
        <w:spacing w:before="3"/>
        <w:ind w:left="0" w:firstLine="0"/>
        <w:rPr>
          <w:b/>
          <w:bCs w:val="0"/>
          <w:color w:val="auto"/>
          <w:sz w:val="24"/>
          <w:szCs w:val="24"/>
        </w:rPr>
      </w:pPr>
    </w:p>
    <w:p>
      <w:pPr>
        <w:pStyle w:val="2"/>
        <w:tabs>
          <w:tab w:val="left" w:pos="3944"/>
        </w:tabs>
        <w:ind w:left="2684" w:firstLine="0"/>
        <w:rPr>
          <w:rFonts w:hint="eastAsia" w:ascii="黑体" w:eastAsia="黑体"/>
          <w:b/>
          <w:bCs w:val="0"/>
          <w:color w:val="auto"/>
          <w:sz w:val="24"/>
          <w:szCs w:val="24"/>
        </w:rPr>
      </w:pPr>
      <w:r>
        <w:rPr>
          <w:rFonts w:hint="eastAsia" w:ascii="黑体" w:eastAsia="黑体"/>
          <w:b/>
          <w:bCs w:val="0"/>
          <w:color w:val="auto"/>
          <w:sz w:val="24"/>
          <w:szCs w:val="24"/>
        </w:rPr>
        <w:t>第五章</w:t>
      </w:r>
      <w:r>
        <w:rPr>
          <w:rFonts w:hint="eastAsia" w:ascii="黑体" w:eastAsia="黑体"/>
          <w:b/>
          <w:bCs w:val="0"/>
          <w:color w:val="auto"/>
          <w:sz w:val="24"/>
          <w:szCs w:val="24"/>
        </w:rPr>
        <w:tab/>
      </w:r>
      <w:r>
        <w:rPr>
          <w:rFonts w:hint="eastAsia" w:ascii="黑体" w:eastAsia="黑体"/>
          <w:b/>
          <w:bCs w:val="0"/>
          <w:color w:val="auto"/>
          <w:w w:val="95"/>
          <w:sz w:val="24"/>
          <w:szCs w:val="24"/>
        </w:rPr>
        <w:t>运输单位管理</w:t>
      </w:r>
    </w:p>
    <w:p>
      <w:pPr>
        <w:pStyle w:val="3"/>
        <w:tabs>
          <w:tab w:val="left" w:pos="2693"/>
        </w:tabs>
        <w:spacing w:before="47"/>
        <w:rPr>
          <w:b/>
          <w:bCs w:val="0"/>
          <w:color w:val="auto"/>
          <w:sz w:val="24"/>
          <w:szCs w:val="24"/>
        </w:rPr>
      </w:pPr>
      <w:r>
        <w:rPr>
          <w:b/>
          <w:bCs w:val="0"/>
          <w:color w:val="auto"/>
          <w:sz w:val="24"/>
          <w:szCs w:val="24"/>
        </w:rPr>
        <w:t>第三十五条</w:t>
      </w:r>
      <w:r>
        <w:rPr>
          <w:b/>
          <w:bCs w:val="0"/>
          <w:color w:val="auto"/>
          <w:sz w:val="24"/>
          <w:szCs w:val="24"/>
        </w:rPr>
        <w:tab/>
      </w:r>
      <w:r>
        <w:rPr>
          <w:b/>
          <w:bCs w:val="0"/>
          <w:color w:val="auto"/>
          <w:sz w:val="24"/>
          <w:szCs w:val="24"/>
        </w:rPr>
        <w:t>管理组织机构</w:t>
      </w:r>
    </w:p>
    <w:p>
      <w:pPr>
        <w:pStyle w:val="2"/>
        <w:spacing w:before="76" w:line="328" w:lineRule="auto"/>
        <w:ind w:right="936"/>
        <w:jc w:val="both"/>
        <w:rPr>
          <w:b/>
          <w:bCs w:val="0"/>
          <w:color w:val="auto"/>
          <w:sz w:val="24"/>
          <w:szCs w:val="24"/>
        </w:rPr>
      </w:pPr>
      <w:r>
        <w:rPr>
          <w:b/>
          <w:bCs w:val="0"/>
          <w:color w:val="auto"/>
          <w:sz w:val="24"/>
          <w:szCs w:val="24"/>
        </w:rPr>
        <w:t>（一</w:t>
      </w:r>
      <w:r>
        <w:rPr>
          <w:b/>
          <w:bCs w:val="0"/>
          <w:color w:val="auto"/>
          <w:spacing w:val="-8"/>
          <w:sz w:val="24"/>
          <w:szCs w:val="24"/>
        </w:rPr>
        <w:t>）</w:t>
      </w:r>
      <w:r>
        <w:rPr>
          <w:b/>
          <w:bCs w:val="0"/>
          <w:color w:val="auto"/>
          <w:spacing w:val="-1"/>
          <w:sz w:val="24"/>
          <w:szCs w:val="24"/>
        </w:rPr>
        <w:t>运输单位成立甲供材料短途运输小组，常驻材料</w:t>
      </w:r>
      <w:r>
        <w:rPr>
          <w:b/>
          <w:bCs w:val="0"/>
          <w:color w:val="auto"/>
          <w:spacing w:val="-4"/>
          <w:sz w:val="24"/>
          <w:szCs w:val="24"/>
        </w:rPr>
        <w:t>项目部中心库，并向甲供材料项目部提供小组组长及成员身</w:t>
      </w:r>
      <w:r>
        <w:rPr>
          <w:b/>
          <w:bCs w:val="0"/>
          <w:color w:val="auto"/>
          <w:spacing w:val="-2"/>
          <w:sz w:val="24"/>
          <w:szCs w:val="24"/>
        </w:rPr>
        <w:t>份证等详细资料和公司委托书以及相关对账、结算使用的公</w:t>
      </w:r>
      <w:r>
        <w:rPr>
          <w:b/>
          <w:bCs w:val="0"/>
          <w:color w:val="auto"/>
          <w:sz w:val="24"/>
          <w:szCs w:val="24"/>
        </w:rPr>
        <w:t>章样本。</w:t>
      </w:r>
    </w:p>
    <w:p>
      <w:pPr>
        <w:pStyle w:val="2"/>
        <w:spacing w:line="402" w:lineRule="exact"/>
        <w:ind w:left="761" w:firstLine="0"/>
        <w:rPr>
          <w:b/>
          <w:bCs w:val="0"/>
          <w:color w:val="auto"/>
          <w:sz w:val="24"/>
          <w:szCs w:val="24"/>
        </w:rPr>
      </w:pPr>
      <w:r>
        <w:rPr>
          <w:b/>
          <w:bCs w:val="0"/>
          <w:color w:val="auto"/>
          <w:sz w:val="24"/>
          <w:szCs w:val="24"/>
        </w:rPr>
        <w:t>（二）建立甲供材料运输台账。</w:t>
      </w:r>
    </w:p>
    <w:p>
      <w:pPr>
        <w:pStyle w:val="2"/>
        <w:spacing w:before="152" w:line="326" w:lineRule="auto"/>
        <w:ind w:right="940"/>
        <w:jc w:val="both"/>
        <w:rPr>
          <w:b/>
          <w:bCs w:val="0"/>
          <w:color w:val="auto"/>
          <w:sz w:val="24"/>
          <w:szCs w:val="24"/>
        </w:rPr>
      </w:pPr>
      <w:r>
        <w:rPr>
          <w:b/>
          <w:bCs w:val="0"/>
          <w:color w:val="auto"/>
          <w:sz w:val="24"/>
          <w:szCs w:val="24"/>
        </w:rPr>
        <w:t>（三</w:t>
      </w:r>
      <w:r>
        <w:rPr>
          <w:b/>
          <w:bCs w:val="0"/>
          <w:color w:val="auto"/>
          <w:spacing w:val="-5"/>
          <w:sz w:val="24"/>
          <w:szCs w:val="24"/>
        </w:rPr>
        <w:t>）</w:t>
      </w:r>
      <w:r>
        <w:rPr>
          <w:b/>
          <w:bCs w:val="0"/>
          <w:color w:val="auto"/>
          <w:spacing w:val="-3"/>
          <w:sz w:val="24"/>
          <w:szCs w:val="24"/>
        </w:rPr>
        <w:t>报送运输车辆信息，运输车辆必须符合《运输合</w:t>
      </w:r>
      <w:r>
        <w:rPr>
          <w:b/>
          <w:bCs w:val="0"/>
          <w:color w:val="auto"/>
          <w:spacing w:val="-5"/>
          <w:sz w:val="24"/>
          <w:szCs w:val="24"/>
        </w:rPr>
        <w:t>同》的条款要求，所有参加配送的车辆必须加装卫星定位装</w:t>
      </w:r>
      <w:r>
        <w:rPr>
          <w:b/>
          <w:bCs w:val="0"/>
          <w:color w:val="auto"/>
          <w:sz w:val="24"/>
          <w:szCs w:val="24"/>
        </w:rPr>
        <w:t>置，由材料项目部统一监控。</w:t>
      </w:r>
    </w:p>
    <w:p>
      <w:pPr>
        <w:pStyle w:val="3"/>
        <w:tabs>
          <w:tab w:val="left" w:pos="2693"/>
        </w:tabs>
        <w:spacing w:line="491" w:lineRule="exact"/>
        <w:rPr>
          <w:b/>
          <w:bCs w:val="0"/>
          <w:color w:val="auto"/>
          <w:sz w:val="24"/>
          <w:szCs w:val="24"/>
        </w:rPr>
      </w:pPr>
      <w:r>
        <w:rPr>
          <w:b/>
          <w:bCs w:val="0"/>
          <w:color w:val="auto"/>
          <w:sz w:val="24"/>
          <w:szCs w:val="24"/>
        </w:rPr>
        <w:t>第三十六条</w:t>
      </w:r>
      <w:r>
        <w:rPr>
          <w:b/>
          <w:bCs w:val="0"/>
          <w:color w:val="auto"/>
          <w:sz w:val="24"/>
          <w:szCs w:val="24"/>
        </w:rPr>
        <w:tab/>
      </w:r>
      <w:r>
        <w:rPr>
          <w:b/>
          <w:bCs w:val="0"/>
          <w:color w:val="auto"/>
          <w:sz w:val="24"/>
          <w:szCs w:val="24"/>
        </w:rPr>
        <w:t>路况运距勘测</w:t>
      </w:r>
    </w:p>
    <w:p>
      <w:pPr>
        <w:spacing w:after="0" w:line="491" w:lineRule="exact"/>
        <w:rPr>
          <w:b/>
          <w:bCs w:val="0"/>
          <w:color w:val="auto"/>
          <w:sz w:val="24"/>
          <w:szCs w:val="24"/>
        </w:rPr>
        <w:sectPr>
          <w:pgSz w:w="11910" w:h="16840"/>
          <w:pgMar w:top="1520" w:right="860" w:bottom="1160" w:left="1680" w:header="0" w:footer="975" w:gutter="0"/>
          <w:pgNumType w:fmt="decimal"/>
        </w:sectPr>
      </w:pPr>
    </w:p>
    <w:p>
      <w:pPr>
        <w:pStyle w:val="2"/>
        <w:spacing w:before="30" w:line="328" w:lineRule="auto"/>
        <w:ind w:right="784"/>
        <w:rPr>
          <w:b/>
          <w:bCs w:val="0"/>
          <w:color w:val="auto"/>
          <w:sz w:val="24"/>
          <w:szCs w:val="24"/>
        </w:rPr>
      </w:pPr>
      <w:r>
        <w:rPr>
          <w:b/>
          <w:bCs w:val="0"/>
          <w:color w:val="auto"/>
          <w:spacing w:val="7"/>
          <w:w w:val="95"/>
          <w:sz w:val="24"/>
          <w:szCs w:val="24"/>
        </w:rPr>
        <w:t>（</w:t>
      </w:r>
      <w:r>
        <w:rPr>
          <w:b/>
          <w:bCs w:val="0"/>
          <w:color w:val="auto"/>
          <w:spacing w:val="4"/>
          <w:w w:val="95"/>
          <w:sz w:val="24"/>
          <w:szCs w:val="24"/>
        </w:rPr>
        <w:t>一</w:t>
      </w:r>
      <w:r>
        <w:rPr>
          <w:b/>
          <w:bCs w:val="0"/>
          <w:color w:val="auto"/>
          <w:spacing w:val="5"/>
          <w:w w:val="95"/>
          <w:sz w:val="24"/>
          <w:szCs w:val="24"/>
        </w:rPr>
        <w:t>）</w:t>
      </w:r>
      <w:r>
        <w:rPr>
          <w:b/>
          <w:bCs w:val="0"/>
          <w:color w:val="auto"/>
          <w:spacing w:val="3"/>
          <w:w w:val="95"/>
          <w:sz w:val="24"/>
          <w:szCs w:val="24"/>
        </w:rPr>
        <w:t xml:space="preserve">运输单位应对运输包件内的现场路况进行考察， </w:t>
      </w:r>
      <w:r>
        <w:rPr>
          <w:b/>
          <w:bCs w:val="0"/>
          <w:color w:val="auto"/>
          <w:sz w:val="24"/>
          <w:szCs w:val="24"/>
        </w:rPr>
        <w:t>配送材料的运输路线必须经甲供材料项目部批准审核后执 行。</w:t>
      </w:r>
    </w:p>
    <w:p>
      <w:pPr>
        <w:pStyle w:val="2"/>
        <w:spacing w:line="405" w:lineRule="exact"/>
        <w:ind w:left="761" w:firstLine="0"/>
        <w:rPr>
          <w:b/>
          <w:bCs w:val="0"/>
          <w:color w:val="auto"/>
          <w:sz w:val="24"/>
          <w:szCs w:val="24"/>
        </w:rPr>
      </w:pPr>
      <w:r>
        <w:rPr>
          <w:b/>
          <w:bCs w:val="0"/>
          <w:color w:val="auto"/>
          <w:sz w:val="24"/>
          <w:szCs w:val="24"/>
        </w:rPr>
        <w:t>（二）运距勘测要求</w:t>
      </w:r>
    </w:p>
    <w:p>
      <w:pPr>
        <w:pStyle w:val="2"/>
        <w:spacing w:before="150" w:line="328" w:lineRule="auto"/>
        <w:ind w:right="894"/>
        <w:rPr>
          <w:b/>
          <w:bCs w:val="0"/>
          <w:color w:val="auto"/>
          <w:sz w:val="24"/>
          <w:szCs w:val="24"/>
        </w:rPr>
      </w:pPr>
      <w:r>
        <w:rPr>
          <w:b/>
          <w:bCs w:val="0"/>
          <w:color w:val="auto"/>
          <w:sz w:val="24"/>
          <w:szCs w:val="24"/>
        </w:rPr>
        <w:t>1、由材料项目部组织运输单位、施工单位按《招标文件》、《运输合同》条款要求对从中心库到施工单位卸货点的实际运距进行勘测。</w:t>
      </w:r>
    </w:p>
    <w:p>
      <w:pPr>
        <w:pStyle w:val="2"/>
        <w:spacing w:line="328" w:lineRule="auto"/>
        <w:ind w:right="1085"/>
        <w:rPr>
          <w:b/>
          <w:bCs w:val="0"/>
          <w:color w:val="auto"/>
          <w:sz w:val="24"/>
          <w:szCs w:val="24"/>
        </w:rPr>
      </w:pPr>
      <w:r>
        <w:rPr>
          <w:b/>
          <w:bCs w:val="0"/>
          <w:color w:val="auto"/>
          <w:sz w:val="24"/>
          <w:szCs w:val="24"/>
        </w:rPr>
        <w:t>2、勘测车辆不能少于两台，材料项目部一台，运输单位一台，要求车况良好，路码表准确。</w:t>
      </w:r>
    </w:p>
    <w:p>
      <w:pPr>
        <w:pStyle w:val="2"/>
        <w:spacing w:line="326" w:lineRule="auto"/>
        <w:ind w:right="1085"/>
        <w:rPr>
          <w:b/>
          <w:bCs w:val="0"/>
          <w:color w:val="auto"/>
          <w:sz w:val="24"/>
          <w:szCs w:val="24"/>
        </w:rPr>
      </w:pPr>
      <w:r>
        <w:rPr>
          <w:b/>
          <w:bCs w:val="0"/>
          <w:color w:val="auto"/>
          <w:sz w:val="24"/>
          <w:szCs w:val="24"/>
        </w:rPr>
        <w:t>3、参加人员：材料项目部最少两人，运输单位两人， 施工单位两人，物流集团纪检监察部门派员监督。</w:t>
      </w:r>
    </w:p>
    <w:p>
      <w:pPr>
        <w:pStyle w:val="2"/>
        <w:spacing w:line="326" w:lineRule="auto"/>
        <w:ind w:right="1085"/>
        <w:rPr>
          <w:b/>
          <w:bCs w:val="0"/>
          <w:color w:val="auto"/>
          <w:sz w:val="24"/>
          <w:szCs w:val="24"/>
        </w:rPr>
      </w:pPr>
      <w:r>
        <w:rPr>
          <w:b/>
          <w:bCs w:val="0"/>
          <w:color w:val="auto"/>
          <w:sz w:val="24"/>
          <w:szCs w:val="24"/>
        </w:rPr>
        <w:t>4、参加运距勘测人员需单位委托书，物流集团纪检监察部门监督人员需持派员函件。</w:t>
      </w:r>
    </w:p>
    <w:p>
      <w:pPr>
        <w:pStyle w:val="2"/>
        <w:spacing w:before="1"/>
        <w:ind w:left="761" w:firstLine="0"/>
        <w:rPr>
          <w:b/>
          <w:bCs w:val="0"/>
          <w:color w:val="auto"/>
          <w:sz w:val="24"/>
          <w:szCs w:val="24"/>
        </w:rPr>
      </w:pPr>
      <w:r>
        <w:rPr>
          <w:b/>
          <w:bCs w:val="0"/>
          <w:color w:val="auto"/>
          <w:sz w:val="24"/>
          <w:szCs w:val="24"/>
        </w:rPr>
        <w:t>（三）运距勘测确认表</w:t>
      </w:r>
    </w:p>
    <w:p>
      <w:pPr>
        <w:pStyle w:val="2"/>
        <w:spacing w:before="152" w:line="326" w:lineRule="auto"/>
        <w:ind w:right="1085"/>
        <w:rPr>
          <w:b/>
          <w:bCs w:val="0"/>
          <w:color w:val="auto"/>
          <w:sz w:val="24"/>
          <w:szCs w:val="24"/>
        </w:rPr>
      </w:pPr>
      <w:r>
        <w:rPr>
          <w:b/>
          <w:bCs w:val="0"/>
          <w:color w:val="auto"/>
          <w:sz w:val="24"/>
          <w:szCs w:val="24"/>
        </w:rPr>
        <w:t>1、材料项目部对勘测工作的结果需编制运距勘测确认表（附表 26），真实反应各卸货点的运距。</w:t>
      </w:r>
    </w:p>
    <w:p>
      <w:pPr>
        <w:pStyle w:val="2"/>
        <w:spacing w:before="4" w:line="328" w:lineRule="auto"/>
        <w:ind w:right="894"/>
        <w:rPr>
          <w:b/>
          <w:bCs w:val="0"/>
          <w:color w:val="auto"/>
          <w:sz w:val="24"/>
          <w:szCs w:val="24"/>
        </w:rPr>
      </w:pPr>
      <w:r>
        <w:rPr>
          <w:b/>
          <w:bCs w:val="0"/>
          <w:color w:val="auto"/>
          <w:sz w:val="24"/>
          <w:szCs w:val="24"/>
        </w:rPr>
        <w:t>2、运距确认表签字盖章流程：由材料项目部勘测人员及主任、施工单位、运输单位勘测人员签字。材料项目部盖公章、运输单位盖公章、施工单位盖公章。物流集团纪检监察部门人员签字盖章。</w:t>
      </w:r>
    </w:p>
    <w:p>
      <w:pPr>
        <w:pStyle w:val="3"/>
        <w:tabs>
          <w:tab w:val="left" w:pos="2693"/>
        </w:tabs>
        <w:spacing w:line="478" w:lineRule="exact"/>
        <w:rPr>
          <w:b/>
          <w:bCs w:val="0"/>
          <w:color w:val="auto"/>
          <w:sz w:val="24"/>
          <w:szCs w:val="24"/>
        </w:rPr>
      </w:pPr>
      <w:r>
        <w:rPr>
          <w:b/>
          <w:bCs w:val="0"/>
          <w:color w:val="auto"/>
          <w:sz w:val="24"/>
          <w:szCs w:val="24"/>
        </w:rPr>
        <w:t>第三十七条</w:t>
      </w:r>
      <w:r>
        <w:rPr>
          <w:b/>
          <w:bCs w:val="0"/>
          <w:color w:val="auto"/>
          <w:sz w:val="24"/>
          <w:szCs w:val="24"/>
        </w:rPr>
        <w:tab/>
      </w:r>
      <w:r>
        <w:rPr>
          <w:b/>
          <w:bCs w:val="0"/>
          <w:color w:val="auto"/>
          <w:sz w:val="24"/>
          <w:szCs w:val="24"/>
        </w:rPr>
        <w:t>运输保障管理</w:t>
      </w:r>
    </w:p>
    <w:p>
      <w:pPr>
        <w:pStyle w:val="2"/>
        <w:spacing w:before="77" w:line="326" w:lineRule="auto"/>
        <w:ind w:right="895"/>
        <w:rPr>
          <w:b/>
          <w:bCs w:val="0"/>
          <w:color w:val="auto"/>
          <w:sz w:val="24"/>
          <w:szCs w:val="24"/>
        </w:rPr>
      </w:pPr>
      <w:r>
        <w:rPr>
          <w:b/>
          <w:bCs w:val="0"/>
          <w:color w:val="auto"/>
          <w:sz w:val="24"/>
          <w:szCs w:val="24"/>
        </w:rPr>
        <w:t>（一）运输单位严格按照《运输合同》及材料项目部要求履行运输保障工作。</w:t>
      </w:r>
    </w:p>
    <w:p>
      <w:pPr>
        <w:pStyle w:val="2"/>
        <w:spacing w:before="5"/>
        <w:ind w:left="761" w:firstLine="0"/>
        <w:rPr>
          <w:b/>
          <w:bCs w:val="0"/>
          <w:color w:val="auto"/>
          <w:sz w:val="24"/>
          <w:szCs w:val="24"/>
        </w:rPr>
      </w:pPr>
      <w:r>
        <w:rPr>
          <w:b/>
          <w:bCs w:val="0"/>
          <w:color w:val="auto"/>
          <w:sz w:val="24"/>
          <w:szCs w:val="24"/>
        </w:rPr>
        <w:t>（二）运输单位加强对配送车辆驾驶员的交通法规和交</w:t>
      </w:r>
    </w:p>
    <w:p>
      <w:pPr>
        <w:spacing w:after="0"/>
        <w:rPr>
          <w:b/>
          <w:bCs w:val="0"/>
          <w:color w:val="auto"/>
          <w:sz w:val="24"/>
          <w:szCs w:val="24"/>
        </w:rPr>
        <w:sectPr>
          <w:pgSz w:w="11910" w:h="16840"/>
          <w:pgMar w:top="1520" w:right="860" w:bottom="1160" w:left="1680" w:header="0" w:footer="975" w:gutter="0"/>
          <w:pgNumType w:fmt="decimal"/>
        </w:sectPr>
      </w:pPr>
    </w:p>
    <w:p>
      <w:pPr>
        <w:pStyle w:val="2"/>
        <w:spacing w:before="30" w:line="328" w:lineRule="auto"/>
        <w:ind w:right="938" w:firstLine="0"/>
        <w:jc w:val="both"/>
        <w:rPr>
          <w:b/>
          <w:bCs w:val="0"/>
          <w:color w:val="auto"/>
          <w:sz w:val="24"/>
          <w:szCs w:val="24"/>
        </w:rPr>
      </w:pPr>
      <w:r>
        <w:rPr>
          <w:b/>
          <w:bCs w:val="0"/>
          <w:color w:val="auto"/>
          <w:spacing w:val="-3"/>
          <w:sz w:val="24"/>
          <w:szCs w:val="24"/>
        </w:rPr>
        <w:t>通安全进行培训、宣教，使每位驾驶员均严格遵守国家的交</w:t>
      </w:r>
      <w:r>
        <w:rPr>
          <w:b/>
          <w:bCs w:val="0"/>
          <w:color w:val="auto"/>
          <w:spacing w:val="-4"/>
          <w:sz w:val="24"/>
          <w:szCs w:val="24"/>
        </w:rPr>
        <w:t>通法规，随时检查车辆状况，保证车况良好，严禁超限、超</w:t>
      </w:r>
      <w:r>
        <w:rPr>
          <w:b/>
          <w:bCs w:val="0"/>
          <w:color w:val="auto"/>
          <w:sz w:val="24"/>
          <w:szCs w:val="24"/>
        </w:rPr>
        <w:t>速，严禁病车上路。</w:t>
      </w:r>
    </w:p>
    <w:p>
      <w:pPr>
        <w:pStyle w:val="2"/>
        <w:spacing w:line="326" w:lineRule="auto"/>
        <w:ind w:right="895"/>
        <w:rPr>
          <w:b/>
          <w:bCs w:val="0"/>
          <w:color w:val="auto"/>
          <w:sz w:val="24"/>
          <w:szCs w:val="24"/>
        </w:rPr>
      </w:pPr>
      <w:r>
        <w:rPr>
          <w:b/>
          <w:bCs w:val="0"/>
          <w:color w:val="auto"/>
          <w:sz w:val="24"/>
          <w:szCs w:val="24"/>
        </w:rPr>
        <w:t>（三）对货物运送至指定地点前的所有组织工作、管理工作、安全工作、防盗工作等负责。</w:t>
      </w:r>
    </w:p>
    <w:p>
      <w:pPr>
        <w:pStyle w:val="2"/>
        <w:spacing w:before="1" w:line="326" w:lineRule="auto"/>
        <w:ind w:right="895"/>
        <w:rPr>
          <w:b/>
          <w:bCs w:val="0"/>
          <w:color w:val="auto"/>
          <w:sz w:val="24"/>
          <w:szCs w:val="24"/>
        </w:rPr>
      </w:pPr>
      <w:r>
        <w:rPr>
          <w:b/>
          <w:bCs w:val="0"/>
          <w:color w:val="auto"/>
          <w:sz w:val="24"/>
          <w:szCs w:val="24"/>
        </w:rPr>
        <w:t>（四）在材料配送至规定地点后，运输车辆必须服从施工单位的安排，配合施工单位完成卸货、验收工作。</w:t>
      </w:r>
    </w:p>
    <w:p>
      <w:pPr>
        <w:pStyle w:val="2"/>
        <w:spacing w:before="4" w:line="328" w:lineRule="auto"/>
        <w:ind w:right="619"/>
        <w:rPr>
          <w:b/>
          <w:bCs w:val="0"/>
          <w:color w:val="auto"/>
          <w:sz w:val="24"/>
          <w:szCs w:val="24"/>
        </w:rPr>
      </w:pPr>
      <w:r>
        <w:rPr>
          <w:b/>
          <w:bCs w:val="0"/>
          <w:color w:val="auto"/>
          <w:sz w:val="24"/>
          <w:szCs w:val="24"/>
        </w:rPr>
        <w:t>（五</w:t>
      </w:r>
      <w:r>
        <w:rPr>
          <w:b/>
          <w:bCs w:val="0"/>
          <w:color w:val="auto"/>
          <w:spacing w:val="-12"/>
          <w:sz w:val="24"/>
          <w:szCs w:val="24"/>
        </w:rPr>
        <w:t>）</w:t>
      </w:r>
      <w:r>
        <w:rPr>
          <w:b/>
          <w:bCs w:val="0"/>
          <w:color w:val="auto"/>
          <w:sz w:val="24"/>
          <w:szCs w:val="24"/>
        </w:rPr>
        <w:t xml:space="preserve">在项目建设主要运输通道以及施工便道上产生拥 </w:t>
      </w:r>
      <w:r>
        <w:rPr>
          <w:b/>
          <w:bCs w:val="0"/>
          <w:color w:val="auto"/>
          <w:spacing w:val="-4"/>
          <w:sz w:val="24"/>
          <w:szCs w:val="24"/>
        </w:rPr>
        <w:t xml:space="preserve">堵时，运输车辆必须服从现场执法人员或施工单位的疏导人 </w:t>
      </w:r>
      <w:r>
        <w:rPr>
          <w:b/>
          <w:bCs w:val="0"/>
          <w:color w:val="auto"/>
          <w:spacing w:val="-7"/>
          <w:sz w:val="24"/>
          <w:szCs w:val="24"/>
        </w:rPr>
        <w:t>员的指挥，若因特殊原因离开车辆须在车辆上留下联系电话。</w:t>
      </w:r>
    </w:p>
    <w:p>
      <w:pPr>
        <w:pStyle w:val="2"/>
        <w:spacing w:line="328" w:lineRule="auto"/>
        <w:ind w:right="938"/>
        <w:jc w:val="both"/>
        <w:rPr>
          <w:b/>
          <w:bCs w:val="0"/>
          <w:color w:val="auto"/>
          <w:sz w:val="24"/>
          <w:szCs w:val="24"/>
        </w:rPr>
      </w:pPr>
      <w:r>
        <w:rPr>
          <w:b/>
          <w:bCs w:val="0"/>
          <w:color w:val="auto"/>
          <w:sz w:val="24"/>
          <w:szCs w:val="24"/>
        </w:rPr>
        <w:t>（六</w:t>
      </w:r>
      <w:r>
        <w:rPr>
          <w:b/>
          <w:bCs w:val="0"/>
          <w:color w:val="auto"/>
          <w:spacing w:val="-12"/>
          <w:sz w:val="24"/>
          <w:szCs w:val="24"/>
        </w:rPr>
        <w:t>）</w:t>
      </w:r>
      <w:r>
        <w:rPr>
          <w:b/>
          <w:bCs w:val="0"/>
          <w:color w:val="auto"/>
          <w:spacing w:val="-1"/>
          <w:sz w:val="24"/>
          <w:szCs w:val="24"/>
        </w:rPr>
        <w:t>积极配合材料项目部处理在配送环节中出现的材</w:t>
      </w:r>
      <w:r>
        <w:rPr>
          <w:b/>
          <w:bCs w:val="0"/>
          <w:color w:val="auto"/>
          <w:spacing w:val="-4"/>
          <w:sz w:val="24"/>
          <w:szCs w:val="24"/>
        </w:rPr>
        <w:t>料数量、质量、到货时间等方面与施工单位存在的分歧和纠</w:t>
      </w:r>
      <w:r>
        <w:rPr>
          <w:b/>
          <w:bCs w:val="0"/>
          <w:color w:val="auto"/>
          <w:sz w:val="24"/>
          <w:szCs w:val="24"/>
        </w:rPr>
        <w:t>纷。</w:t>
      </w:r>
    </w:p>
    <w:p>
      <w:pPr>
        <w:spacing w:before="0" w:line="266" w:lineRule="auto"/>
        <w:ind w:left="763" w:right="1245" w:hanging="3"/>
        <w:jc w:val="both"/>
        <w:rPr>
          <w:rFonts w:hint="eastAsia" w:ascii="Microsoft JhengHei" w:eastAsia="Microsoft JhengHei"/>
          <w:b/>
          <w:bCs w:val="0"/>
          <w:color w:val="auto"/>
          <w:sz w:val="24"/>
          <w:szCs w:val="24"/>
        </w:rPr>
      </w:pPr>
      <w:r>
        <w:rPr>
          <w:b/>
          <w:bCs w:val="0"/>
          <w:color w:val="auto"/>
          <w:sz w:val="24"/>
          <w:szCs w:val="24"/>
        </w:rPr>
        <w:t>（七）制定切实可行的运力保障预案，并落实到位。</w:t>
      </w:r>
      <w:r>
        <w:rPr>
          <w:rFonts w:hint="eastAsia" w:ascii="Microsoft JhengHei" w:eastAsia="Microsoft JhengHei"/>
          <w:b/>
          <w:bCs w:val="0"/>
          <w:color w:val="auto"/>
          <w:sz w:val="24"/>
          <w:szCs w:val="24"/>
        </w:rPr>
        <w:t>第三十八条 配送计划管理</w:t>
      </w:r>
    </w:p>
    <w:p>
      <w:pPr>
        <w:pStyle w:val="2"/>
        <w:spacing w:before="3" w:line="328" w:lineRule="auto"/>
        <w:ind w:right="619"/>
        <w:rPr>
          <w:b/>
          <w:bCs w:val="0"/>
          <w:color w:val="auto"/>
          <w:sz w:val="24"/>
          <w:szCs w:val="24"/>
        </w:rPr>
      </w:pPr>
      <w:r>
        <w:rPr>
          <w:b/>
          <w:bCs w:val="0"/>
          <w:color w:val="auto"/>
          <w:sz w:val="24"/>
          <w:szCs w:val="24"/>
        </w:rPr>
        <w:t>（一）</w:t>
      </w:r>
      <w:r>
        <w:rPr>
          <w:b/>
          <w:bCs w:val="0"/>
          <w:color w:val="auto"/>
          <w:spacing w:val="-1"/>
          <w:sz w:val="24"/>
          <w:szCs w:val="24"/>
        </w:rPr>
        <w:t>严格按照材料项目部在甲供物资平台上</w:t>
      </w:r>
      <w:r>
        <w:rPr>
          <w:b/>
          <w:bCs w:val="0"/>
          <w:color w:val="auto"/>
          <w:sz w:val="24"/>
          <w:szCs w:val="24"/>
        </w:rPr>
        <w:t>（或纸质</w:t>
      </w:r>
      <w:r>
        <w:rPr>
          <w:b/>
          <w:bCs w:val="0"/>
          <w:color w:val="auto"/>
          <w:spacing w:val="-14"/>
          <w:sz w:val="24"/>
          <w:szCs w:val="24"/>
        </w:rPr>
        <w:t xml:space="preserve">） </w:t>
      </w:r>
      <w:r>
        <w:rPr>
          <w:b/>
          <w:bCs w:val="0"/>
          <w:color w:val="auto"/>
          <w:spacing w:val="-2"/>
          <w:sz w:val="24"/>
          <w:szCs w:val="24"/>
        </w:rPr>
        <w:t xml:space="preserve">下达的配送计划及配送地点、时间运送材料，严禁出现私自 </w:t>
      </w:r>
      <w:r>
        <w:rPr>
          <w:b/>
          <w:bCs w:val="0"/>
          <w:color w:val="auto"/>
          <w:spacing w:val="-4"/>
          <w:sz w:val="24"/>
          <w:szCs w:val="24"/>
        </w:rPr>
        <w:t xml:space="preserve">不按规定地点卸货的情况，若因紧急情况材料需另行配送至 </w:t>
      </w:r>
      <w:r>
        <w:rPr>
          <w:b/>
          <w:bCs w:val="0"/>
          <w:color w:val="auto"/>
          <w:spacing w:val="-6"/>
          <w:sz w:val="24"/>
          <w:szCs w:val="24"/>
        </w:rPr>
        <w:t>其它地点时，由甲供材料项目部进行调整，材料运输单位必 须予以配合。</w:t>
      </w:r>
    </w:p>
    <w:p>
      <w:pPr>
        <w:pStyle w:val="2"/>
        <w:spacing w:line="328" w:lineRule="auto"/>
        <w:ind w:right="895"/>
        <w:rPr>
          <w:b/>
          <w:bCs w:val="0"/>
          <w:color w:val="auto"/>
          <w:sz w:val="24"/>
          <w:szCs w:val="24"/>
        </w:rPr>
      </w:pPr>
      <w:r>
        <w:rPr>
          <w:b/>
          <w:bCs w:val="0"/>
          <w:color w:val="auto"/>
          <w:sz w:val="24"/>
          <w:szCs w:val="24"/>
        </w:rPr>
        <w:t>（二）根据配送计划合理调配车辆，并跟踪落实，保证计划按点、按量、按时完成。</w:t>
      </w:r>
    </w:p>
    <w:p>
      <w:pPr>
        <w:pStyle w:val="2"/>
        <w:spacing w:line="328" w:lineRule="auto"/>
        <w:ind w:right="788"/>
        <w:rPr>
          <w:b/>
          <w:bCs w:val="0"/>
          <w:color w:val="auto"/>
          <w:sz w:val="24"/>
          <w:szCs w:val="24"/>
        </w:rPr>
      </w:pPr>
      <w:r>
        <w:rPr>
          <w:b/>
          <w:bCs w:val="0"/>
          <w:color w:val="auto"/>
          <w:w w:val="95"/>
          <w:sz w:val="24"/>
          <w:szCs w:val="24"/>
        </w:rPr>
        <w:t>（三）</w:t>
      </w:r>
      <w:r>
        <w:rPr>
          <w:b/>
          <w:bCs w:val="0"/>
          <w:color w:val="auto"/>
          <w:spacing w:val="5"/>
          <w:w w:val="95"/>
          <w:sz w:val="24"/>
          <w:szCs w:val="24"/>
        </w:rPr>
        <w:t xml:space="preserve">按材料项目部要求，完成配送计划统计分析表， </w:t>
      </w:r>
      <w:r>
        <w:rPr>
          <w:b/>
          <w:bCs w:val="0"/>
          <w:color w:val="auto"/>
          <w:sz w:val="24"/>
          <w:szCs w:val="24"/>
        </w:rPr>
        <w:t>签字盖章。</w:t>
      </w:r>
    </w:p>
    <w:p>
      <w:pPr>
        <w:spacing w:after="0" w:line="328" w:lineRule="auto"/>
        <w:rPr>
          <w:b/>
          <w:bCs w:val="0"/>
          <w:color w:val="auto"/>
          <w:sz w:val="24"/>
          <w:szCs w:val="24"/>
        </w:rPr>
        <w:sectPr>
          <w:pgSz w:w="11910" w:h="16840"/>
          <w:pgMar w:top="1520" w:right="860" w:bottom="1160" w:left="1680" w:header="0" w:footer="975" w:gutter="0"/>
          <w:pgNumType w:fmt="decimal"/>
        </w:sectPr>
      </w:pPr>
    </w:p>
    <w:p>
      <w:pPr>
        <w:pStyle w:val="2"/>
        <w:spacing w:before="30"/>
        <w:ind w:left="761" w:firstLine="0"/>
        <w:rPr>
          <w:b/>
          <w:bCs w:val="0"/>
          <w:color w:val="auto"/>
          <w:sz w:val="24"/>
          <w:szCs w:val="24"/>
        </w:rPr>
      </w:pPr>
      <w:r>
        <w:rPr>
          <w:b/>
          <w:bCs w:val="0"/>
          <w:color w:val="auto"/>
          <w:sz w:val="24"/>
          <w:szCs w:val="24"/>
        </w:rPr>
        <w:t>（四）按时交回配送签收单，确保配送计划能延续执行。</w:t>
      </w:r>
    </w:p>
    <w:p>
      <w:pPr>
        <w:pStyle w:val="2"/>
        <w:spacing w:before="150" w:line="328" w:lineRule="auto"/>
        <w:ind w:right="894"/>
        <w:rPr>
          <w:b/>
          <w:bCs w:val="0"/>
          <w:color w:val="auto"/>
          <w:sz w:val="24"/>
          <w:szCs w:val="24"/>
        </w:rPr>
      </w:pPr>
      <w:r>
        <w:rPr>
          <w:b/>
          <w:bCs w:val="0"/>
          <w:color w:val="auto"/>
          <w:sz w:val="24"/>
          <w:szCs w:val="24"/>
        </w:rPr>
        <w:t>（五）统计月度计划配送报表，为对账结算做好准备工作。</w:t>
      </w:r>
    </w:p>
    <w:p>
      <w:pPr>
        <w:pStyle w:val="3"/>
        <w:tabs>
          <w:tab w:val="left" w:pos="2693"/>
        </w:tabs>
        <w:spacing w:line="480" w:lineRule="exact"/>
        <w:rPr>
          <w:b/>
          <w:bCs w:val="0"/>
          <w:color w:val="auto"/>
          <w:sz w:val="24"/>
          <w:szCs w:val="24"/>
        </w:rPr>
      </w:pPr>
      <w:r>
        <w:rPr>
          <w:b/>
          <w:bCs w:val="0"/>
          <w:color w:val="auto"/>
          <w:sz w:val="24"/>
          <w:szCs w:val="24"/>
        </w:rPr>
        <w:t>第三十九条</w:t>
      </w:r>
      <w:r>
        <w:rPr>
          <w:b/>
          <w:bCs w:val="0"/>
          <w:color w:val="auto"/>
          <w:sz w:val="24"/>
          <w:szCs w:val="24"/>
        </w:rPr>
        <w:tab/>
      </w:r>
      <w:r>
        <w:rPr>
          <w:b/>
          <w:bCs w:val="0"/>
          <w:color w:val="auto"/>
          <w:sz w:val="24"/>
          <w:szCs w:val="24"/>
        </w:rPr>
        <w:t>运费结算支付</w:t>
      </w:r>
    </w:p>
    <w:p>
      <w:pPr>
        <w:pStyle w:val="2"/>
        <w:spacing w:before="76" w:line="328" w:lineRule="auto"/>
        <w:ind w:right="894"/>
        <w:rPr>
          <w:b/>
          <w:bCs w:val="0"/>
          <w:color w:val="auto"/>
          <w:sz w:val="24"/>
          <w:szCs w:val="24"/>
        </w:rPr>
      </w:pPr>
      <w:r>
        <w:rPr>
          <w:b/>
          <w:bCs w:val="0"/>
          <w:color w:val="auto"/>
          <w:sz w:val="24"/>
          <w:szCs w:val="24"/>
        </w:rPr>
        <w:t>（一）在材料项目部发起对账后，积极配合材料项目部每月的材料运输对账工作。</w:t>
      </w:r>
    </w:p>
    <w:p>
      <w:pPr>
        <w:pStyle w:val="2"/>
        <w:spacing w:line="328" w:lineRule="auto"/>
        <w:ind w:right="940"/>
        <w:rPr>
          <w:b/>
          <w:bCs w:val="0"/>
          <w:color w:val="auto"/>
          <w:sz w:val="24"/>
          <w:szCs w:val="24"/>
        </w:rPr>
      </w:pPr>
      <w:r>
        <w:rPr>
          <w:b/>
          <w:bCs w:val="0"/>
          <w:color w:val="auto"/>
          <w:sz w:val="24"/>
          <w:szCs w:val="24"/>
        </w:rPr>
        <w:t>（二）</w:t>
      </w:r>
      <w:r>
        <w:rPr>
          <w:b/>
          <w:bCs w:val="0"/>
          <w:color w:val="auto"/>
          <w:spacing w:val="-4"/>
          <w:sz w:val="24"/>
          <w:szCs w:val="24"/>
        </w:rPr>
        <w:t>提供有效、完整的对账结算资料，由专门结算人</w:t>
      </w:r>
      <w:r>
        <w:rPr>
          <w:b/>
          <w:bCs w:val="0"/>
          <w:color w:val="auto"/>
          <w:sz w:val="24"/>
          <w:szCs w:val="24"/>
        </w:rPr>
        <w:t>员到材料项目部办理对账结算手续。</w:t>
      </w:r>
    </w:p>
    <w:p>
      <w:pPr>
        <w:pStyle w:val="2"/>
        <w:spacing w:line="326" w:lineRule="auto"/>
        <w:ind w:right="617"/>
        <w:rPr>
          <w:b/>
          <w:bCs w:val="0"/>
          <w:color w:val="auto"/>
          <w:sz w:val="24"/>
          <w:szCs w:val="24"/>
        </w:rPr>
      </w:pPr>
      <w:r>
        <w:rPr>
          <w:b/>
          <w:bCs w:val="0"/>
          <w:color w:val="auto"/>
          <w:sz w:val="24"/>
          <w:szCs w:val="24"/>
        </w:rPr>
        <w:t>（三）</w:t>
      </w:r>
      <w:r>
        <w:rPr>
          <w:b/>
          <w:bCs w:val="0"/>
          <w:color w:val="auto"/>
          <w:spacing w:val="-13"/>
          <w:sz w:val="24"/>
          <w:szCs w:val="24"/>
        </w:rPr>
        <w:t xml:space="preserve">对账完毕后 </w:t>
      </w:r>
      <w:r>
        <w:rPr>
          <w:b/>
          <w:bCs w:val="0"/>
          <w:color w:val="auto"/>
          <w:sz w:val="24"/>
          <w:szCs w:val="24"/>
        </w:rPr>
        <w:t>5</w:t>
      </w:r>
      <w:r>
        <w:rPr>
          <w:b/>
          <w:bCs w:val="0"/>
          <w:color w:val="auto"/>
          <w:spacing w:val="-11"/>
          <w:sz w:val="24"/>
          <w:szCs w:val="24"/>
        </w:rPr>
        <w:t xml:space="preserve"> 个工作日内，向包件对应施工单位 </w:t>
      </w:r>
      <w:r>
        <w:rPr>
          <w:b/>
          <w:bCs w:val="0"/>
          <w:color w:val="auto"/>
          <w:spacing w:val="-13"/>
          <w:sz w:val="24"/>
          <w:szCs w:val="24"/>
        </w:rPr>
        <w:t xml:space="preserve">开具增值税运输专项发票，并送交给材料项目部结算管理员， </w:t>
      </w:r>
      <w:r>
        <w:rPr>
          <w:b/>
          <w:bCs w:val="0"/>
          <w:color w:val="auto"/>
          <w:sz w:val="24"/>
          <w:szCs w:val="24"/>
        </w:rPr>
        <w:t>经结算管理员核对无误后进行签收。</w:t>
      </w:r>
    </w:p>
    <w:p>
      <w:pPr>
        <w:pStyle w:val="2"/>
        <w:spacing w:before="3" w:line="326" w:lineRule="auto"/>
        <w:ind w:right="895"/>
        <w:rPr>
          <w:b/>
          <w:bCs w:val="0"/>
          <w:color w:val="auto"/>
          <w:sz w:val="24"/>
          <w:szCs w:val="24"/>
        </w:rPr>
      </w:pPr>
      <w:r>
        <w:rPr>
          <w:b/>
          <w:bCs w:val="0"/>
          <w:color w:val="auto"/>
          <w:sz w:val="24"/>
          <w:szCs w:val="24"/>
        </w:rPr>
        <w:t>（四）材料项目部按《运输合同》规定办理运费支付手续。</w:t>
      </w:r>
    </w:p>
    <w:p>
      <w:pPr>
        <w:pStyle w:val="2"/>
        <w:spacing w:before="1"/>
        <w:ind w:left="0" w:firstLine="0"/>
        <w:rPr>
          <w:b/>
          <w:bCs w:val="0"/>
          <w:color w:val="auto"/>
          <w:sz w:val="24"/>
          <w:szCs w:val="24"/>
        </w:rPr>
      </w:pPr>
    </w:p>
    <w:p>
      <w:pPr>
        <w:pStyle w:val="2"/>
        <w:tabs>
          <w:tab w:val="left" w:pos="3944"/>
        </w:tabs>
        <w:ind w:left="2684" w:firstLine="0"/>
        <w:rPr>
          <w:rFonts w:hint="eastAsia" w:ascii="黑体" w:eastAsia="黑体"/>
          <w:b/>
          <w:bCs w:val="0"/>
          <w:color w:val="auto"/>
          <w:sz w:val="24"/>
          <w:szCs w:val="24"/>
        </w:rPr>
      </w:pPr>
      <w:r>
        <w:rPr>
          <w:rFonts w:hint="eastAsia" w:ascii="黑体" w:eastAsia="黑体"/>
          <w:b/>
          <w:bCs w:val="0"/>
          <w:color w:val="auto"/>
          <w:sz w:val="24"/>
          <w:szCs w:val="24"/>
        </w:rPr>
        <w:t>第六章</w:t>
      </w:r>
      <w:r>
        <w:rPr>
          <w:rFonts w:hint="eastAsia" w:ascii="黑体" w:eastAsia="黑体"/>
          <w:b/>
          <w:bCs w:val="0"/>
          <w:color w:val="auto"/>
          <w:sz w:val="24"/>
          <w:szCs w:val="24"/>
        </w:rPr>
        <w:tab/>
      </w:r>
      <w:r>
        <w:rPr>
          <w:rFonts w:hint="eastAsia" w:ascii="黑体" w:eastAsia="黑体"/>
          <w:b/>
          <w:bCs w:val="0"/>
          <w:color w:val="auto"/>
          <w:w w:val="95"/>
          <w:sz w:val="24"/>
          <w:szCs w:val="24"/>
        </w:rPr>
        <w:t>安全防范管理</w:t>
      </w:r>
    </w:p>
    <w:p>
      <w:pPr>
        <w:pStyle w:val="3"/>
        <w:tabs>
          <w:tab w:val="left" w:pos="2372"/>
        </w:tabs>
        <w:spacing w:before="44"/>
        <w:rPr>
          <w:b/>
          <w:bCs w:val="0"/>
          <w:color w:val="auto"/>
          <w:sz w:val="24"/>
          <w:szCs w:val="24"/>
        </w:rPr>
      </w:pPr>
      <w:r>
        <w:rPr>
          <w:b/>
          <w:bCs w:val="0"/>
          <w:color w:val="auto"/>
          <w:sz w:val="24"/>
          <w:szCs w:val="24"/>
        </w:rPr>
        <w:t>第四十条</w:t>
      </w:r>
      <w:r>
        <w:rPr>
          <w:b/>
          <w:bCs w:val="0"/>
          <w:color w:val="auto"/>
          <w:sz w:val="24"/>
          <w:szCs w:val="24"/>
        </w:rPr>
        <w:tab/>
      </w:r>
      <w:r>
        <w:rPr>
          <w:b/>
          <w:bCs w:val="0"/>
          <w:color w:val="auto"/>
          <w:sz w:val="24"/>
          <w:szCs w:val="24"/>
        </w:rPr>
        <w:t>项目部安全工作基本要求</w:t>
      </w:r>
    </w:p>
    <w:p>
      <w:pPr>
        <w:pStyle w:val="2"/>
        <w:spacing w:before="76" w:line="328" w:lineRule="auto"/>
        <w:ind w:right="788"/>
        <w:rPr>
          <w:b/>
          <w:bCs w:val="0"/>
          <w:color w:val="auto"/>
          <w:sz w:val="24"/>
          <w:szCs w:val="24"/>
        </w:rPr>
      </w:pPr>
      <w:r>
        <w:rPr>
          <w:b/>
          <w:bCs w:val="0"/>
          <w:color w:val="auto"/>
          <w:w w:val="95"/>
          <w:sz w:val="24"/>
          <w:szCs w:val="24"/>
        </w:rPr>
        <w:t>（一）</w:t>
      </w:r>
      <w:r>
        <w:rPr>
          <w:b/>
          <w:bCs w:val="0"/>
          <w:color w:val="auto"/>
          <w:spacing w:val="5"/>
          <w:w w:val="95"/>
          <w:sz w:val="24"/>
          <w:szCs w:val="24"/>
        </w:rPr>
        <w:t xml:space="preserve">材料项目部成立安全生产小组，由主任兼组长， </w:t>
      </w:r>
      <w:r>
        <w:rPr>
          <w:b/>
          <w:bCs w:val="0"/>
          <w:color w:val="auto"/>
          <w:spacing w:val="-2"/>
          <w:sz w:val="24"/>
          <w:szCs w:val="24"/>
        </w:rPr>
        <w:t>各岗位主要人员兼组员。安全生产小组根据《物流集团安全生产管理办法》要求对材料项目部的安全生产负责。</w:t>
      </w:r>
    </w:p>
    <w:p>
      <w:pPr>
        <w:pStyle w:val="2"/>
        <w:spacing w:line="405" w:lineRule="exact"/>
        <w:ind w:left="761" w:firstLine="0"/>
        <w:rPr>
          <w:b/>
          <w:bCs w:val="0"/>
          <w:color w:val="auto"/>
          <w:sz w:val="24"/>
          <w:szCs w:val="24"/>
        </w:rPr>
      </w:pPr>
      <w:r>
        <w:rPr>
          <w:b/>
          <w:bCs w:val="0"/>
          <w:color w:val="auto"/>
          <w:w w:val="95"/>
          <w:sz w:val="24"/>
          <w:szCs w:val="24"/>
        </w:rPr>
        <w:t>（二）建立完整的安全生产台账。</w:t>
      </w:r>
    </w:p>
    <w:p>
      <w:pPr>
        <w:tabs>
          <w:tab w:val="left" w:pos="2693"/>
        </w:tabs>
        <w:spacing w:before="152" w:line="266" w:lineRule="auto"/>
        <w:ind w:left="763" w:right="2205" w:hanging="3"/>
        <w:jc w:val="left"/>
        <w:rPr>
          <w:rFonts w:hint="eastAsia" w:ascii="Microsoft JhengHei" w:eastAsia="Microsoft JhengHei"/>
          <w:b/>
          <w:bCs w:val="0"/>
          <w:color w:val="auto"/>
          <w:sz w:val="24"/>
          <w:szCs w:val="24"/>
        </w:rPr>
      </w:pPr>
      <w:r>
        <w:rPr>
          <w:b/>
          <w:bCs w:val="0"/>
          <w:color w:val="auto"/>
          <w:sz w:val="24"/>
          <w:szCs w:val="24"/>
        </w:rPr>
        <w:t>（三）对材料项目部人员进行安全生产教育</w:t>
      </w:r>
      <w:r>
        <w:rPr>
          <w:b/>
          <w:bCs w:val="0"/>
          <w:color w:val="auto"/>
          <w:spacing w:val="-15"/>
          <w:sz w:val="24"/>
          <w:szCs w:val="24"/>
        </w:rPr>
        <w:t>。</w:t>
      </w:r>
      <w:r>
        <w:rPr>
          <w:rFonts w:hint="eastAsia" w:ascii="Microsoft JhengHei" w:eastAsia="Microsoft JhengHei"/>
          <w:b/>
          <w:bCs w:val="0"/>
          <w:color w:val="auto"/>
          <w:sz w:val="24"/>
          <w:szCs w:val="24"/>
        </w:rPr>
        <w:t>第四十一条</w:t>
      </w:r>
      <w:r>
        <w:rPr>
          <w:rFonts w:hint="eastAsia" w:ascii="Microsoft JhengHei" w:eastAsia="Microsoft JhengHei"/>
          <w:b/>
          <w:bCs w:val="0"/>
          <w:color w:val="auto"/>
          <w:sz w:val="24"/>
          <w:szCs w:val="24"/>
        </w:rPr>
        <w:tab/>
      </w:r>
      <w:r>
        <w:rPr>
          <w:rFonts w:hint="eastAsia" w:ascii="Microsoft JhengHei" w:eastAsia="Microsoft JhengHei"/>
          <w:b/>
          <w:bCs w:val="0"/>
          <w:color w:val="auto"/>
          <w:sz w:val="24"/>
          <w:szCs w:val="24"/>
        </w:rPr>
        <w:t>日常安全与材料安全</w:t>
      </w:r>
    </w:p>
    <w:p>
      <w:pPr>
        <w:pStyle w:val="2"/>
        <w:spacing w:before="10"/>
        <w:ind w:left="761" w:firstLine="0"/>
        <w:rPr>
          <w:b/>
          <w:bCs w:val="0"/>
          <w:color w:val="auto"/>
          <w:sz w:val="24"/>
          <w:szCs w:val="24"/>
        </w:rPr>
      </w:pPr>
      <w:r>
        <w:rPr>
          <w:b/>
          <w:bCs w:val="0"/>
          <w:color w:val="auto"/>
          <w:sz w:val="24"/>
          <w:szCs w:val="24"/>
        </w:rPr>
        <w:t>（一）材料项目部应保证岗位工作人员的人身安全。</w:t>
      </w:r>
    </w:p>
    <w:p>
      <w:pPr>
        <w:pStyle w:val="2"/>
        <w:spacing w:before="152"/>
        <w:ind w:left="761" w:firstLine="0"/>
        <w:rPr>
          <w:b/>
          <w:bCs w:val="0"/>
          <w:color w:val="auto"/>
          <w:sz w:val="24"/>
          <w:szCs w:val="24"/>
        </w:rPr>
      </w:pPr>
      <w:r>
        <w:rPr>
          <w:b/>
          <w:bCs w:val="0"/>
          <w:color w:val="auto"/>
          <w:sz w:val="24"/>
          <w:szCs w:val="24"/>
        </w:rPr>
        <w:t>（二）材料项目部驻地安全。</w:t>
      </w:r>
    </w:p>
    <w:p>
      <w:pPr>
        <w:spacing w:after="0"/>
        <w:rPr>
          <w:b/>
          <w:bCs w:val="0"/>
          <w:color w:val="auto"/>
          <w:sz w:val="24"/>
          <w:szCs w:val="24"/>
        </w:rPr>
        <w:sectPr>
          <w:pgSz w:w="11910" w:h="16840"/>
          <w:pgMar w:top="1520" w:right="860" w:bottom="1160" w:left="1680" w:header="0" w:footer="975" w:gutter="0"/>
          <w:pgNumType w:fmt="decimal"/>
        </w:sectPr>
      </w:pPr>
    </w:p>
    <w:p>
      <w:pPr>
        <w:pStyle w:val="2"/>
        <w:spacing w:before="30"/>
        <w:ind w:left="761" w:firstLine="0"/>
        <w:rPr>
          <w:b/>
          <w:bCs w:val="0"/>
          <w:color w:val="auto"/>
          <w:sz w:val="24"/>
          <w:szCs w:val="24"/>
        </w:rPr>
      </w:pPr>
      <w:r>
        <w:rPr>
          <w:b/>
          <w:bCs w:val="0"/>
          <w:color w:val="auto"/>
          <w:w w:val="95"/>
          <w:sz w:val="24"/>
          <w:szCs w:val="24"/>
        </w:rPr>
        <w:t>（三）仓库材料安全。</w:t>
      </w:r>
    </w:p>
    <w:p>
      <w:pPr>
        <w:pStyle w:val="2"/>
        <w:spacing w:before="150"/>
        <w:ind w:left="761" w:firstLine="0"/>
        <w:rPr>
          <w:b/>
          <w:bCs w:val="0"/>
          <w:color w:val="auto"/>
          <w:sz w:val="24"/>
          <w:szCs w:val="24"/>
        </w:rPr>
      </w:pPr>
      <w:r>
        <w:rPr>
          <w:b/>
          <w:bCs w:val="0"/>
          <w:color w:val="auto"/>
          <w:w w:val="95"/>
          <w:sz w:val="24"/>
          <w:szCs w:val="24"/>
        </w:rPr>
        <w:t>（四）车辆运行安全。</w:t>
      </w:r>
    </w:p>
    <w:p>
      <w:pPr>
        <w:pStyle w:val="2"/>
        <w:ind w:left="0" w:firstLine="0"/>
        <w:rPr>
          <w:b/>
          <w:bCs w:val="0"/>
          <w:color w:val="auto"/>
          <w:sz w:val="24"/>
          <w:szCs w:val="24"/>
        </w:rPr>
      </w:pPr>
    </w:p>
    <w:p>
      <w:pPr>
        <w:pStyle w:val="2"/>
        <w:spacing w:before="6"/>
        <w:ind w:left="0" w:firstLine="0"/>
        <w:rPr>
          <w:b/>
          <w:bCs w:val="0"/>
          <w:color w:val="auto"/>
          <w:sz w:val="24"/>
          <w:szCs w:val="24"/>
        </w:rPr>
      </w:pPr>
    </w:p>
    <w:p>
      <w:pPr>
        <w:pStyle w:val="2"/>
        <w:tabs>
          <w:tab w:val="left" w:pos="4102"/>
        </w:tabs>
        <w:ind w:left="2842" w:firstLine="0"/>
        <w:rPr>
          <w:rFonts w:hint="eastAsia" w:ascii="黑体" w:eastAsia="黑体"/>
          <w:b/>
          <w:bCs w:val="0"/>
          <w:color w:val="auto"/>
          <w:sz w:val="24"/>
          <w:szCs w:val="24"/>
        </w:rPr>
      </w:pPr>
      <w:r>
        <w:rPr>
          <w:rFonts w:hint="eastAsia" w:ascii="黑体" w:eastAsia="黑体"/>
          <w:b/>
          <w:bCs w:val="0"/>
          <w:color w:val="auto"/>
          <w:sz w:val="24"/>
          <w:szCs w:val="24"/>
        </w:rPr>
        <w:t>第七章</w:t>
      </w:r>
      <w:r>
        <w:rPr>
          <w:rFonts w:hint="eastAsia" w:ascii="黑体" w:eastAsia="黑体"/>
          <w:b/>
          <w:bCs w:val="0"/>
          <w:color w:val="auto"/>
          <w:sz w:val="24"/>
          <w:szCs w:val="24"/>
        </w:rPr>
        <w:tab/>
      </w:r>
      <w:r>
        <w:rPr>
          <w:rFonts w:hint="eastAsia" w:ascii="黑体" w:eastAsia="黑体"/>
          <w:b/>
          <w:bCs w:val="0"/>
          <w:color w:val="auto"/>
          <w:sz w:val="24"/>
          <w:szCs w:val="24"/>
        </w:rPr>
        <w:t>投诉及处理</w:t>
      </w:r>
    </w:p>
    <w:p>
      <w:pPr>
        <w:pStyle w:val="3"/>
        <w:tabs>
          <w:tab w:val="left" w:pos="2693"/>
        </w:tabs>
        <w:spacing w:before="43"/>
        <w:rPr>
          <w:b/>
          <w:bCs w:val="0"/>
          <w:color w:val="auto"/>
          <w:sz w:val="24"/>
          <w:szCs w:val="24"/>
        </w:rPr>
      </w:pPr>
      <w:r>
        <w:rPr>
          <w:b/>
          <w:bCs w:val="0"/>
          <w:color w:val="auto"/>
          <w:sz w:val="24"/>
          <w:szCs w:val="24"/>
        </w:rPr>
        <w:t>第四十二条</w:t>
      </w:r>
      <w:r>
        <w:rPr>
          <w:b/>
          <w:bCs w:val="0"/>
          <w:color w:val="auto"/>
          <w:sz w:val="24"/>
          <w:szCs w:val="24"/>
        </w:rPr>
        <w:tab/>
      </w:r>
      <w:r>
        <w:rPr>
          <w:b/>
          <w:bCs w:val="0"/>
          <w:color w:val="auto"/>
          <w:sz w:val="24"/>
          <w:szCs w:val="24"/>
        </w:rPr>
        <w:t>投诉受理</w:t>
      </w:r>
    </w:p>
    <w:p>
      <w:pPr>
        <w:pStyle w:val="2"/>
        <w:spacing w:before="79" w:line="326" w:lineRule="auto"/>
        <w:ind w:right="780"/>
        <w:rPr>
          <w:b/>
          <w:bCs w:val="0"/>
          <w:color w:val="auto"/>
          <w:sz w:val="24"/>
          <w:szCs w:val="24"/>
        </w:rPr>
      </w:pPr>
      <w:r>
        <w:rPr>
          <w:b/>
          <w:bCs w:val="0"/>
          <w:color w:val="auto"/>
          <w:sz w:val="24"/>
          <w:szCs w:val="24"/>
        </w:rPr>
        <w:t>（一</w:t>
      </w:r>
      <w:r>
        <w:rPr>
          <w:b/>
          <w:bCs w:val="0"/>
          <w:color w:val="auto"/>
          <w:spacing w:val="-12"/>
          <w:sz w:val="24"/>
          <w:szCs w:val="24"/>
        </w:rPr>
        <w:t>）</w:t>
      </w:r>
      <w:r>
        <w:rPr>
          <w:b/>
          <w:bCs w:val="0"/>
          <w:color w:val="auto"/>
          <w:sz w:val="24"/>
          <w:szCs w:val="24"/>
        </w:rPr>
        <w:t>为切实有效的提高甲供材料采购供应过程中的争</w:t>
      </w:r>
      <w:r>
        <w:rPr>
          <w:b/>
          <w:bCs w:val="0"/>
          <w:color w:val="auto"/>
          <w:spacing w:val="-14"/>
          <w:sz w:val="24"/>
          <w:szCs w:val="24"/>
        </w:rPr>
        <w:t>议事件处置时效，保证投诉事件能够及时、有效地得以处理、</w:t>
      </w:r>
      <w:r>
        <w:rPr>
          <w:b/>
          <w:bCs w:val="0"/>
          <w:color w:val="auto"/>
          <w:sz w:val="24"/>
          <w:szCs w:val="24"/>
        </w:rPr>
        <w:t>解决，材料项目部应认真对待接到的投诉意见。</w:t>
      </w:r>
    </w:p>
    <w:p>
      <w:pPr>
        <w:pStyle w:val="2"/>
        <w:spacing w:before="8" w:line="328" w:lineRule="auto"/>
        <w:ind w:right="894"/>
        <w:rPr>
          <w:b/>
          <w:bCs w:val="0"/>
          <w:color w:val="auto"/>
          <w:sz w:val="24"/>
          <w:szCs w:val="24"/>
        </w:rPr>
      </w:pPr>
      <w:r>
        <w:rPr>
          <w:b/>
          <w:bCs w:val="0"/>
          <w:color w:val="auto"/>
          <w:sz w:val="24"/>
          <w:szCs w:val="24"/>
        </w:rPr>
        <w:t>（二） 对投诉人的投诉受理及处理工作应该秉承“公正、务实、高效”的原则，严禁推诿、拖延、包庇等不负责任的行为出现，做到积极面对、实事求是、耐心处理、有错必究。</w:t>
      </w:r>
    </w:p>
    <w:p>
      <w:pPr>
        <w:pStyle w:val="3"/>
        <w:tabs>
          <w:tab w:val="left" w:pos="2693"/>
        </w:tabs>
        <w:spacing w:line="475" w:lineRule="exact"/>
        <w:rPr>
          <w:b/>
          <w:bCs w:val="0"/>
          <w:color w:val="auto"/>
          <w:sz w:val="24"/>
          <w:szCs w:val="24"/>
        </w:rPr>
      </w:pPr>
      <w:r>
        <w:rPr>
          <w:b/>
          <w:bCs w:val="0"/>
          <w:color w:val="auto"/>
          <w:sz w:val="24"/>
          <w:szCs w:val="24"/>
        </w:rPr>
        <w:t>第四十三条</w:t>
      </w:r>
      <w:r>
        <w:rPr>
          <w:b/>
          <w:bCs w:val="0"/>
          <w:color w:val="auto"/>
          <w:sz w:val="24"/>
          <w:szCs w:val="24"/>
        </w:rPr>
        <w:tab/>
      </w:r>
      <w:r>
        <w:rPr>
          <w:b/>
          <w:bCs w:val="0"/>
          <w:color w:val="auto"/>
          <w:sz w:val="24"/>
          <w:szCs w:val="24"/>
        </w:rPr>
        <w:t>组织架构和职责分工</w:t>
      </w:r>
    </w:p>
    <w:p>
      <w:pPr>
        <w:pStyle w:val="2"/>
        <w:spacing w:before="76"/>
        <w:ind w:left="761" w:firstLine="0"/>
        <w:rPr>
          <w:b/>
          <w:bCs w:val="0"/>
          <w:color w:val="auto"/>
          <w:sz w:val="24"/>
          <w:szCs w:val="24"/>
        </w:rPr>
      </w:pPr>
      <w:r>
        <w:rPr>
          <w:b/>
          <w:bCs w:val="0"/>
          <w:color w:val="auto"/>
          <w:sz w:val="24"/>
          <w:szCs w:val="24"/>
        </w:rPr>
        <w:t>（一）组织架构</w:t>
      </w:r>
    </w:p>
    <w:p>
      <w:pPr>
        <w:pStyle w:val="2"/>
        <w:spacing w:before="152"/>
        <w:ind w:left="761" w:firstLine="0"/>
        <w:rPr>
          <w:b/>
          <w:bCs w:val="0"/>
          <w:color w:val="auto"/>
          <w:sz w:val="24"/>
          <w:szCs w:val="24"/>
        </w:rPr>
      </w:pPr>
      <w:r>
        <w:rPr>
          <w:b/>
          <w:bCs w:val="0"/>
          <w:color w:val="auto"/>
          <w:sz w:val="24"/>
          <w:szCs w:val="24"/>
        </w:rPr>
        <w:t>1、投诉管理领导小组：由物流集团党委、纪委组成。</w:t>
      </w:r>
    </w:p>
    <w:p>
      <w:pPr>
        <w:pStyle w:val="2"/>
        <w:spacing w:before="150" w:line="326" w:lineRule="auto"/>
        <w:ind w:right="1085"/>
        <w:rPr>
          <w:b/>
          <w:bCs w:val="0"/>
          <w:color w:val="auto"/>
          <w:sz w:val="24"/>
          <w:szCs w:val="24"/>
        </w:rPr>
      </w:pPr>
      <w:r>
        <w:rPr>
          <w:b/>
          <w:bCs w:val="0"/>
          <w:color w:val="auto"/>
          <w:sz w:val="24"/>
          <w:szCs w:val="24"/>
        </w:rPr>
        <w:t>2、投诉处理小组：材料项目部主任、投诉管理相关人员、投诉具体事件受理人员。</w:t>
      </w:r>
    </w:p>
    <w:p>
      <w:pPr>
        <w:pStyle w:val="2"/>
        <w:spacing w:before="5"/>
        <w:ind w:left="761" w:firstLine="0"/>
        <w:rPr>
          <w:b/>
          <w:bCs w:val="0"/>
          <w:color w:val="auto"/>
          <w:sz w:val="24"/>
          <w:szCs w:val="24"/>
        </w:rPr>
      </w:pPr>
      <w:r>
        <w:rPr>
          <w:b/>
          <w:bCs w:val="0"/>
          <w:color w:val="auto"/>
          <w:sz w:val="24"/>
          <w:szCs w:val="24"/>
        </w:rPr>
        <w:t>（二）工作职责</w:t>
      </w:r>
    </w:p>
    <w:p>
      <w:pPr>
        <w:pStyle w:val="2"/>
        <w:spacing w:before="149"/>
        <w:ind w:left="761" w:firstLine="0"/>
        <w:rPr>
          <w:b/>
          <w:bCs w:val="0"/>
          <w:color w:val="auto"/>
          <w:sz w:val="24"/>
          <w:szCs w:val="24"/>
        </w:rPr>
      </w:pPr>
      <w:r>
        <w:rPr>
          <w:b/>
          <w:bCs w:val="0"/>
          <w:color w:val="auto"/>
          <w:sz w:val="24"/>
          <w:szCs w:val="24"/>
        </w:rPr>
        <w:t>1、投诉管理领导小组工作职责</w:t>
      </w:r>
    </w:p>
    <w:p>
      <w:pPr>
        <w:pStyle w:val="2"/>
        <w:spacing w:before="150" w:line="328" w:lineRule="auto"/>
        <w:ind w:right="941"/>
        <w:jc w:val="both"/>
        <w:rPr>
          <w:b/>
          <w:bCs w:val="0"/>
          <w:color w:val="auto"/>
          <w:sz w:val="24"/>
          <w:szCs w:val="24"/>
        </w:rPr>
      </w:pPr>
      <w:r>
        <w:rPr>
          <w:b/>
          <w:bCs w:val="0"/>
          <w:color w:val="auto"/>
          <w:spacing w:val="-5"/>
          <w:sz w:val="24"/>
          <w:szCs w:val="24"/>
        </w:rPr>
        <w:t>督促、催办投诉受理项目及时处理相关投诉；对情节严</w:t>
      </w:r>
      <w:r>
        <w:rPr>
          <w:b/>
          <w:bCs w:val="0"/>
          <w:color w:val="auto"/>
          <w:spacing w:val="-4"/>
          <w:sz w:val="24"/>
          <w:szCs w:val="24"/>
        </w:rPr>
        <w:t>重的投诉，视情况需要，组织召开专题会议进行处理；对各</w:t>
      </w:r>
      <w:r>
        <w:rPr>
          <w:b/>
          <w:bCs w:val="0"/>
          <w:color w:val="auto"/>
          <w:spacing w:val="-3"/>
          <w:sz w:val="24"/>
          <w:szCs w:val="24"/>
        </w:rPr>
        <w:t>类投诉情况进行汇总，并定期进行分析，向相关项目提出改</w:t>
      </w:r>
      <w:r>
        <w:rPr>
          <w:b/>
          <w:bCs w:val="0"/>
          <w:color w:val="auto"/>
          <w:sz w:val="24"/>
          <w:szCs w:val="24"/>
        </w:rPr>
        <w:t>进工作方式、应对特殊情况的意见及建议。</w:t>
      </w:r>
    </w:p>
    <w:p>
      <w:pPr>
        <w:pStyle w:val="2"/>
        <w:spacing w:line="405" w:lineRule="exact"/>
        <w:ind w:left="761" w:firstLine="0"/>
        <w:rPr>
          <w:b/>
          <w:bCs w:val="0"/>
          <w:color w:val="auto"/>
          <w:sz w:val="24"/>
          <w:szCs w:val="24"/>
        </w:rPr>
      </w:pPr>
      <w:r>
        <w:rPr>
          <w:b/>
          <w:bCs w:val="0"/>
          <w:color w:val="auto"/>
          <w:sz w:val="24"/>
          <w:szCs w:val="24"/>
        </w:rPr>
        <w:t>2、投诉处理小组工作职责</w:t>
      </w:r>
    </w:p>
    <w:p>
      <w:pPr>
        <w:spacing w:after="0" w:line="405" w:lineRule="exact"/>
        <w:rPr>
          <w:b/>
          <w:bCs w:val="0"/>
          <w:color w:val="auto"/>
          <w:sz w:val="24"/>
          <w:szCs w:val="24"/>
        </w:rPr>
        <w:sectPr>
          <w:pgSz w:w="11910" w:h="16840"/>
          <w:pgMar w:top="1520" w:right="860" w:bottom="1160" w:left="1680" w:header="0" w:footer="975" w:gutter="0"/>
          <w:pgNumType w:fmt="decimal"/>
        </w:sectPr>
      </w:pPr>
    </w:p>
    <w:p>
      <w:pPr>
        <w:pStyle w:val="2"/>
        <w:spacing w:before="30" w:line="328" w:lineRule="auto"/>
        <w:ind w:right="619"/>
        <w:rPr>
          <w:b/>
          <w:bCs w:val="0"/>
          <w:color w:val="auto"/>
          <w:sz w:val="24"/>
          <w:szCs w:val="24"/>
        </w:rPr>
      </w:pPr>
      <w:r>
        <w:rPr>
          <w:b/>
          <w:bCs w:val="0"/>
          <w:color w:val="auto"/>
          <w:spacing w:val="-2"/>
          <w:sz w:val="24"/>
          <w:szCs w:val="24"/>
        </w:rPr>
        <w:t xml:space="preserve">接到相关投诉之后，需在第一时间判断是否需要马上赶 </w:t>
      </w:r>
      <w:r>
        <w:rPr>
          <w:b/>
          <w:bCs w:val="0"/>
          <w:color w:val="auto"/>
          <w:spacing w:val="-4"/>
          <w:sz w:val="24"/>
          <w:szCs w:val="24"/>
        </w:rPr>
        <w:t xml:space="preserve">往现场，并立即联系相关部门从多方面了解情况，得出初步 </w:t>
      </w:r>
      <w:r>
        <w:rPr>
          <w:b/>
          <w:bCs w:val="0"/>
          <w:color w:val="auto"/>
          <w:spacing w:val="-5"/>
          <w:sz w:val="24"/>
          <w:szCs w:val="24"/>
        </w:rPr>
        <w:t xml:space="preserve">解决方案；与投诉方进行充分的沟通、协调；遇到无法解决 </w:t>
      </w:r>
      <w:r>
        <w:rPr>
          <w:b/>
          <w:bCs w:val="0"/>
          <w:color w:val="auto"/>
          <w:spacing w:val="-7"/>
          <w:sz w:val="24"/>
          <w:szCs w:val="24"/>
        </w:rPr>
        <w:t xml:space="preserve">的投诉争议时，及时上报甲供项目分管领导；定期对本项目 </w:t>
      </w:r>
      <w:r>
        <w:rPr>
          <w:b/>
          <w:bCs w:val="0"/>
          <w:color w:val="auto"/>
          <w:spacing w:val="-9"/>
          <w:sz w:val="24"/>
          <w:szCs w:val="24"/>
        </w:rPr>
        <w:t>的投诉情况进行总结和分析，针对投诉频率出现过高的问题，</w:t>
      </w:r>
    </w:p>
    <w:p>
      <w:pPr>
        <w:pStyle w:val="2"/>
        <w:spacing w:line="268" w:lineRule="auto"/>
        <w:ind w:right="936" w:firstLine="0"/>
        <w:jc w:val="both"/>
        <w:rPr>
          <w:b/>
          <w:bCs w:val="0"/>
          <w:color w:val="auto"/>
          <w:sz w:val="24"/>
          <w:szCs w:val="24"/>
        </w:rPr>
      </w:pPr>
      <w:r>
        <w:rPr>
          <w:b/>
          <w:bCs w:val="0"/>
          <w:color w:val="auto"/>
          <w:spacing w:val="-2"/>
          <w:sz w:val="24"/>
          <w:szCs w:val="24"/>
        </w:rPr>
        <w:t>制定相关整改措施并落实整改工作；投诉事件处理完毕后填</w:t>
      </w:r>
      <w:r>
        <w:rPr>
          <w:b/>
          <w:bCs w:val="0"/>
          <w:color w:val="auto"/>
          <w:spacing w:val="-8"/>
          <w:sz w:val="24"/>
          <w:szCs w:val="24"/>
        </w:rPr>
        <w:t>写《甲供材料投诉处理记录表》</w:t>
      </w:r>
      <w:r>
        <w:rPr>
          <w:rFonts w:hint="eastAsia" w:ascii="Microsoft JhengHei" w:eastAsia="Microsoft JhengHei"/>
          <w:b/>
          <w:bCs w:val="0"/>
          <w:color w:val="auto"/>
          <w:sz w:val="24"/>
          <w:szCs w:val="24"/>
        </w:rPr>
        <w:t>（</w:t>
      </w:r>
      <w:r>
        <w:rPr>
          <w:rFonts w:hint="eastAsia" w:ascii="Microsoft JhengHei" w:eastAsia="Microsoft JhengHei"/>
          <w:b/>
          <w:bCs w:val="0"/>
          <w:color w:val="auto"/>
          <w:spacing w:val="-16"/>
          <w:sz w:val="24"/>
          <w:szCs w:val="24"/>
        </w:rPr>
        <w:t xml:space="preserve">附表 </w:t>
      </w:r>
      <w:r>
        <w:rPr>
          <w:rFonts w:hint="eastAsia" w:ascii="Microsoft JhengHei" w:eastAsia="Microsoft JhengHei"/>
          <w:b/>
          <w:bCs w:val="0"/>
          <w:color w:val="auto"/>
          <w:spacing w:val="-10"/>
          <w:sz w:val="24"/>
          <w:szCs w:val="24"/>
        </w:rPr>
        <w:t>27）</w:t>
      </w:r>
      <w:r>
        <w:rPr>
          <w:b/>
          <w:bCs w:val="0"/>
          <w:color w:val="auto"/>
          <w:spacing w:val="-5"/>
          <w:sz w:val="24"/>
          <w:szCs w:val="24"/>
        </w:rPr>
        <w:t>，并做好投诉档</w:t>
      </w:r>
      <w:r>
        <w:rPr>
          <w:b/>
          <w:bCs w:val="0"/>
          <w:color w:val="auto"/>
          <w:sz w:val="24"/>
          <w:szCs w:val="24"/>
        </w:rPr>
        <w:t>案归纳整理工作。</w:t>
      </w:r>
    </w:p>
    <w:p>
      <w:pPr>
        <w:pStyle w:val="3"/>
        <w:spacing w:line="586" w:lineRule="exact"/>
        <w:rPr>
          <w:b/>
          <w:bCs w:val="0"/>
          <w:color w:val="auto"/>
          <w:sz w:val="24"/>
          <w:szCs w:val="24"/>
        </w:rPr>
      </w:pPr>
      <w:r>
        <w:rPr>
          <w:b/>
          <w:bCs w:val="0"/>
          <w:color w:val="auto"/>
          <w:sz w:val="24"/>
          <w:szCs w:val="24"/>
        </w:rPr>
        <w:t>第四十四条 投诉处理流程</w:t>
      </w:r>
    </w:p>
    <w:p>
      <w:pPr>
        <w:pStyle w:val="2"/>
        <w:spacing w:before="69"/>
        <w:ind w:left="761" w:firstLine="0"/>
        <w:rPr>
          <w:b/>
          <w:bCs w:val="0"/>
          <w:color w:val="auto"/>
          <w:sz w:val="24"/>
          <w:szCs w:val="24"/>
        </w:rPr>
      </w:pPr>
      <w:r>
        <w:rPr>
          <w:b/>
          <w:bCs w:val="0"/>
          <w:color w:val="auto"/>
          <w:sz w:val="24"/>
          <w:szCs w:val="24"/>
        </w:rPr>
        <w:t>（一）供应厂商投诉</w:t>
      </w:r>
    </w:p>
    <w:p>
      <w:pPr>
        <w:pStyle w:val="2"/>
        <w:spacing w:before="149" w:line="328" w:lineRule="auto"/>
        <w:ind w:right="894"/>
        <w:rPr>
          <w:b/>
          <w:bCs w:val="0"/>
          <w:color w:val="auto"/>
          <w:sz w:val="24"/>
          <w:szCs w:val="24"/>
        </w:rPr>
      </w:pPr>
      <w:r>
        <w:rPr>
          <w:b/>
          <w:bCs w:val="0"/>
          <w:color w:val="auto"/>
          <w:sz w:val="24"/>
          <w:szCs w:val="24"/>
        </w:rPr>
        <w:t>1、材料项目部在计划执行管理过程中，若存在争议， 经供应商、材料项目部双方充分沟通、协调，仍无法达成一致意见的，供应商需以书面形式向材料项目部主任、物流集团分管领导、物流集团总经理逐级投诉；</w:t>
      </w:r>
    </w:p>
    <w:p>
      <w:pPr>
        <w:pStyle w:val="2"/>
        <w:spacing w:line="326" w:lineRule="auto"/>
        <w:ind w:right="1085"/>
        <w:rPr>
          <w:b/>
          <w:bCs w:val="0"/>
          <w:color w:val="auto"/>
          <w:sz w:val="24"/>
          <w:szCs w:val="24"/>
        </w:rPr>
      </w:pPr>
      <w:r>
        <w:rPr>
          <w:b/>
          <w:bCs w:val="0"/>
          <w:color w:val="auto"/>
          <w:sz w:val="24"/>
          <w:szCs w:val="24"/>
        </w:rPr>
        <w:t>2、供应商的投诉受理后，秉着双方平等、实事求是的原则，经过受理方核实调查，明确责任后进行妥善处理；</w:t>
      </w:r>
    </w:p>
    <w:p>
      <w:pPr>
        <w:pStyle w:val="2"/>
        <w:spacing w:line="328" w:lineRule="auto"/>
        <w:ind w:right="1085"/>
        <w:rPr>
          <w:b/>
          <w:bCs w:val="0"/>
          <w:color w:val="auto"/>
          <w:sz w:val="24"/>
          <w:szCs w:val="24"/>
        </w:rPr>
      </w:pPr>
      <w:r>
        <w:rPr>
          <w:b/>
          <w:bCs w:val="0"/>
          <w:color w:val="auto"/>
          <w:sz w:val="24"/>
          <w:szCs w:val="24"/>
        </w:rPr>
        <w:t>3、对情节严重的投诉，视情况需要，投诉管理领导小组组织召开专题会议商讨处理措施；</w:t>
      </w:r>
    </w:p>
    <w:p>
      <w:pPr>
        <w:pStyle w:val="2"/>
        <w:spacing w:line="326" w:lineRule="auto"/>
        <w:ind w:right="1085"/>
        <w:rPr>
          <w:b/>
          <w:bCs w:val="0"/>
          <w:color w:val="auto"/>
          <w:sz w:val="24"/>
          <w:szCs w:val="24"/>
        </w:rPr>
      </w:pPr>
      <w:r>
        <w:rPr>
          <w:b/>
          <w:bCs w:val="0"/>
          <w:color w:val="auto"/>
          <w:sz w:val="24"/>
          <w:szCs w:val="24"/>
        </w:rPr>
        <w:t>4、投诉处理流程结束后，材料项目部需将投诉及处理资料完整存档备查。</w:t>
      </w:r>
    </w:p>
    <w:p>
      <w:pPr>
        <w:pStyle w:val="2"/>
        <w:spacing w:before="2"/>
        <w:ind w:left="761" w:firstLine="0"/>
        <w:rPr>
          <w:b/>
          <w:bCs w:val="0"/>
          <w:color w:val="auto"/>
          <w:sz w:val="24"/>
          <w:szCs w:val="24"/>
        </w:rPr>
      </w:pPr>
      <w:r>
        <w:rPr>
          <w:b/>
          <w:bCs w:val="0"/>
          <w:color w:val="auto"/>
          <w:sz w:val="24"/>
          <w:szCs w:val="24"/>
        </w:rPr>
        <w:t>（二） 施工单位投诉</w:t>
      </w:r>
    </w:p>
    <w:p>
      <w:pPr>
        <w:pStyle w:val="2"/>
        <w:spacing w:before="150" w:line="328" w:lineRule="auto"/>
        <w:ind w:right="894"/>
        <w:rPr>
          <w:b/>
          <w:bCs w:val="0"/>
          <w:color w:val="auto"/>
          <w:sz w:val="24"/>
          <w:szCs w:val="24"/>
        </w:rPr>
      </w:pPr>
      <w:r>
        <w:rPr>
          <w:b/>
          <w:bCs w:val="0"/>
          <w:color w:val="auto"/>
          <w:sz w:val="24"/>
          <w:szCs w:val="24"/>
        </w:rPr>
        <w:t>1、材料项目部在接到施工单位关于甲供材料不保供或甲供材料质量问题的投诉之后，需在第一时间判断是否需要马上前往工地现场，并立即联系相关的供应商、承运商从多</w:t>
      </w:r>
    </w:p>
    <w:p>
      <w:pPr>
        <w:spacing w:after="0" w:line="328" w:lineRule="auto"/>
        <w:rPr>
          <w:b/>
          <w:bCs w:val="0"/>
          <w:color w:val="auto"/>
          <w:sz w:val="24"/>
          <w:szCs w:val="24"/>
        </w:rPr>
        <w:sectPr>
          <w:pgSz w:w="11910" w:h="16840"/>
          <w:pgMar w:top="1520" w:right="860" w:bottom="1160" w:left="1680" w:header="0" w:footer="975" w:gutter="0"/>
          <w:pgNumType w:fmt="decimal"/>
        </w:sectPr>
      </w:pPr>
    </w:p>
    <w:p>
      <w:pPr>
        <w:pStyle w:val="2"/>
        <w:spacing w:before="30"/>
        <w:ind w:firstLine="0"/>
        <w:rPr>
          <w:b/>
          <w:bCs w:val="0"/>
          <w:color w:val="auto"/>
          <w:sz w:val="24"/>
          <w:szCs w:val="24"/>
        </w:rPr>
      </w:pPr>
      <w:r>
        <w:rPr>
          <w:b/>
          <w:bCs w:val="0"/>
          <w:color w:val="auto"/>
          <w:w w:val="95"/>
          <w:sz w:val="24"/>
          <w:szCs w:val="24"/>
        </w:rPr>
        <w:t>方面了解情况，得出初步解决方案；</w:t>
      </w:r>
    </w:p>
    <w:p>
      <w:pPr>
        <w:pStyle w:val="2"/>
        <w:spacing w:before="150" w:line="328" w:lineRule="auto"/>
        <w:ind w:right="937"/>
        <w:rPr>
          <w:b/>
          <w:bCs w:val="0"/>
          <w:color w:val="auto"/>
          <w:sz w:val="24"/>
          <w:szCs w:val="24"/>
        </w:rPr>
      </w:pPr>
      <w:r>
        <w:rPr>
          <w:b/>
          <w:bCs w:val="0"/>
          <w:color w:val="auto"/>
          <w:sz w:val="24"/>
          <w:szCs w:val="24"/>
        </w:rPr>
        <w:t>2</w:t>
      </w:r>
      <w:r>
        <w:rPr>
          <w:b/>
          <w:bCs w:val="0"/>
          <w:color w:val="auto"/>
          <w:spacing w:val="-12"/>
          <w:sz w:val="24"/>
          <w:szCs w:val="24"/>
        </w:rPr>
        <w:t xml:space="preserve">、材料项目部需在 </w:t>
      </w:r>
      <w:r>
        <w:rPr>
          <w:b/>
          <w:bCs w:val="0"/>
          <w:color w:val="auto"/>
          <w:sz w:val="24"/>
          <w:szCs w:val="24"/>
        </w:rPr>
        <w:t>24</w:t>
      </w:r>
      <w:r>
        <w:rPr>
          <w:b/>
          <w:bCs w:val="0"/>
          <w:color w:val="auto"/>
          <w:spacing w:val="-11"/>
          <w:sz w:val="24"/>
          <w:szCs w:val="24"/>
        </w:rPr>
        <w:t xml:space="preserve"> 小时内向施工单位进行回复，明</w:t>
      </w:r>
      <w:r>
        <w:rPr>
          <w:b/>
          <w:bCs w:val="0"/>
          <w:color w:val="auto"/>
          <w:sz w:val="24"/>
          <w:szCs w:val="24"/>
        </w:rPr>
        <w:t>确答复保供时间、数量、解决方案；</w:t>
      </w:r>
    </w:p>
    <w:p>
      <w:pPr>
        <w:pStyle w:val="2"/>
        <w:spacing w:line="328" w:lineRule="auto"/>
        <w:ind w:right="894"/>
        <w:rPr>
          <w:b/>
          <w:bCs w:val="0"/>
          <w:color w:val="auto"/>
          <w:sz w:val="24"/>
          <w:szCs w:val="24"/>
        </w:rPr>
      </w:pPr>
      <w:r>
        <w:rPr>
          <w:b/>
          <w:bCs w:val="0"/>
          <w:color w:val="auto"/>
          <w:sz w:val="24"/>
          <w:szCs w:val="24"/>
        </w:rPr>
        <w:t>3、材料项目部需评估施工单位投诉的性质及影响，对情节影响严重的投诉，及时上报物流集团，由投诉管理领导小组组织召开专题会议商讨处理措施；</w:t>
      </w:r>
    </w:p>
    <w:p>
      <w:pPr>
        <w:pStyle w:val="2"/>
        <w:spacing w:line="328" w:lineRule="auto"/>
        <w:ind w:right="1085"/>
        <w:rPr>
          <w:b/>
          <w:bCs w:val="0"/>
          <w:color w:val="auto"/>
          <w:sz w:val="24"/>
          <w:szCs w:val="24"/>
        </w:rPr>
      </w:pPr>
      <w:r>
        <w:rPr>
          <w:b/>
          <w:bCs w:val="0"/>
          <w:color w:val="auto"/>
          <w:sz w:val="24"/>
          <w:szCs w:val="24"/>
        </w:rPr>
        <w:t>4、投诉处理流程结束后，材料项目部需将投诉及处理资料完整存档备查。</w:t>
      </w:r>
    </w:p>
    <w:p>
      <w:pPr>
        <w:pStyle w:val="2"/>
        <w:spacing w:line="408" w:lineRule="exact"/>
        <w:ind w:left="761" w:firstLine="0"/>
        <w:rPr>
          <w:b/>
          <w:bCs w:val="0"/>
          <w:color w:val="auto"/>
          <w:sz w:val="24"/>
          <w:szCs w:val="24"/>
        </w:rPr>
      </w:pPr>
      <w:r>
        <w:rPr>
          <w:b/>
          <w:bCs w:val="0"/>
          <w:color w:val="auto"/>
          <w:sz w:val="24"/>
          <w:szCs w:val="24"/>
        </w:rPr>
        <w:t>（三）项目办（总监办、管理处）投诉</w:t>
      </w:r>
    </w:p>
    <w:p>
      <w:pPr>
        <w:pStyle w:val="2"/>
        <w:spacing w:before="141" w:line="328" w:lineRule="auto"/>
        <w:ind w:right="1085"/>
        <w:jc w:val="both"/>
        <w:rPr>
          <w:b/>
          <w:bCs w:val="0"/>
          <w:color w:val="auto"/>
          <w:sz w:val="24"/>
          <w:szCs w:val="24"/>
        </w:rPr>
      </w:pPr>
      <w:r>
        <w:rPr>
          <w:b/>
          <w:bCs w:val="0"/>
          <w:color w:val="auto"/>
          <w:sz w:val="24"/>
          <w:szCs w:val="24"/>
        </w:rPr>
        <w:t>1、材料项目部接到项目办（总监办、管理处）</w:t>
      </w:r>
      <w:r>
        <w:rPr>
          <w:b/>
          <w:bCs w:val="0"/>
          <w:color w:val="auto"/>
          <w:spacing w:val="-5"/>
          <w:sz w:val="24"/>
          <w:szCs w:val="24"/>
        </w:rPr>
        <w:t>的投诉</w:t>
      </w:r>
      <w:r>
        <w:rPr>
          <w:b/>
          <w:bCs w:val="0"/>
          <w:color w:val="auto"/>
          <w:spacing w:val="-14"/>
          <w:sz w:val="24"/>
          <w:szCs w:val="24"/>
        </w:rPr>
        <w:t xml:space="preserve">后，必须在 </w:t>
      </w:r>
      <w:r>
        <w:rPr>
          <w:b/>
          <w:bCs w:val="0"/>
          <w:color w:val="auto"/>
          <w:sz w:val="24"/>
          <w:szCs w:val="24"/>
        </w:rPr>
        <w:t>24</w:t>
      </w:r>
      <w:r>
        <w:rPr>
          <w:b/>
          <w:bCs w:val="0"/>
          <w:color w:val="auto"/>
          <w:spacing w:val="-11"/>
          <w:sz w:val="24"/>
          <w:szCs w:val="24"/>
        </w:rPr>
        <w:t xml:space="preserve"> 小时之内报送物流集团甲供项目分管领导， </w:t>
      </w:r>
      <w:r>
        <w:rPr>
          <w:b/>
          <w:bCs w:val="0"/>
          <w:color w:val="auto"/>
          <w:sz w:val="24"/>
          <w:szCs w:val="24"/>
        </w:rPr>
        <w:t>视情况缓急必要时提前电话汇报；</w:t>
      </w:r>
    </w:p>
    <w:p>
      <w:pPr>
        <w:pStyle w:val="2"/>
        <w:spacing w:line="328" w:lineRule="auto"/>
        <w:ind w:right="937"/>
        <w:jc w:val="both"/>
        <w:rPr>
          <w:b/>
          <w:bCs w:val="0"/>
          <w:color w:val="auto"/>
          <w:sz w:val="24"/>
          <w:szCs w:val="24"/>
        </w:rPr>
      </w:pPr>
      <w:r>
        <w:rPr>
          <w:b/>
          <w:bCs w:val="0"/>
          <w:color w:val="auto"/>
          <w:sz w:val="24"/>
          <w:szCs w:val="24"/>
        </w:rPr>
        <w:t>2</w:t>
      </w:r>
      <w:r>
        <w:rPr>
          <w:b/>
          <w:bCs w:val="0"/>
          <w:color w:val="auto"/>
          <w:spacing w:val="-15"/>
          <w:sz w:val="24"/>
          <w:szCs w:val="24"/>
        </w:rPr>
        <w:t>、参照施工单位投诉的处理办法，通过前往工地现场、</w:t>
      </w:r>
      <w:r>
        <w:rPr>
          <w:b/>
          <w:bCs w:val="0"/>
          <w:color w:val="auto"/>
          <w:spacing w:val="-3"/>
          <w:sz w:val="24"/>
          <w:szCs w:val="24"/>
        </w:rPr>
        <w:t>从供应商、承运商多方面了解信息、与施工单位直接沟通等</w:t>
      </w:r>
      <w:r>
        <w:rPr>
          <w:b/>
          <w:bCs w:val="0"/>
          <w:color w:val="auto"/>
          <w:spacing w:val="-6"/>
          <w:sz w:val="24"/>
          <w:szCs w:val="24"/>
        </w:rPr>
        <w:t>多种方法，综合分析，得出解决投诉问题的方案，报送物流集团甲供项目分管领导，得到许可后，</w:t>
      </w:r>
      <w:r>
        <w:rPr>
          <w:b/>
          <w:bCs w:val="0"/>
          <w:color w:val="auto"/>
          <w:spacing w:val="-15"/>
          <w:sz w:val="24"/>
          <w:szCs w:val="24"/>
        </w:rPr>
        <w:t>24</w:t>
      </w:r>
      <w:r>
        <w:rPr>
          <w:b/>
          <w:bCs w:val="0"/>
          <w:color w:val="auto"/>
          <w:spacing w:val="-13"/>
          <w:sz w:val="24"/>
          <w:szCs w:val="24"/>
        </w:rPr>
        <w:t xml:space="preserve"> 小时内书面回复项</w:t>
      </w:r>
      <w:r>
        <w:rPr>
          <w:b/>
          <w:bCs w:val="0"/>
          <w:color w:val="auto"/>
          <w:sz w:val="24"/>
          <w:szCs w:val="24"/>
        </w:rPr>
        <w:t>目办（总监办、管理处）；</w:t>
      </w:r>
    </w:p>
    <w:p>
      <w:pPr>
        <w:pStyle w:val="2"/>
        <w:spacing w:line="326" w:lineRule="auto"/>
        <w:ind w:right="894"/>
        <w:rPr>
          <w:b/>
          <w:bCs w:val="0"/>
          <w:color w:val="auto"/>
          <w:sz w:val="24"/>
          <w:szCs w:val="24"/>
        </w:rPr>
      </w:pPr>
      <w:r>
        <w:rPr>
          <w:b/>
          <w:bCs w:val="0"/>
          <w:color w:val="auto"/>
          <w:sz w:val="24"/>
          <w:szCs w:val="24"/>
        </w:rPr>
        <w:t>3、对情节影响严重的投诉，材料项目部需及时上报物流集团，由投诉管理领导小组组织召开专题会议商讨处理措施；</w:t>
      </w:r>
    </w:p>
    <w:p>
      <w:pPr>
        <w:pStyle w:val="2"/>
        <w:spacing w:line="328" w:lineRule="auto"/>
        <w:ind w:right="1085"/>
        <w:rPr>
          <w:b/>
          <w:bCs w:val="0"/>
          <w:color w:val="auto"/>
          <w:sz w:val="24"/>
          <w:szCs w:val="24"/>
        </w:rPr>
      </w:pPr>
      <w:r>
        <w:rPr>
          <w:b/>
          <w:bCs w:val="0"/>
          <w:color w:val="auto"/>
          <w:sz w:val="24"/>
          <w:szCs w:val="24"/>
        </w:rPr>
        <w:t>4、投诉处理流程结束后，材料项目部需将投诉及处理资料完整存档备查。</w:t>
      </w:r>
    </w:p>
    <w:p>
      <w:pPr>
        <w:pStyle w:val="3"/>
        <w:tabs>
          <w:tab w:val="left" w:pos="2693"/>
        </w:tabs>
        <w:spacing w:line="478" w:lineRule="exact"/>
        <w:rPr>
          <w:b/>
          <w:bCs w:val="0"/>
          <w:color w:val="auto"/>
          <w:sz w:val="24"/>
          <w:szCs w:val="24"/>
        </w:rPr>
      </w:pPr>
      <w:r>
        <w:rPr>
          <w:b/>
          <w:bCs w:val="0"/>
          <w:color w:val="auto"/>
          <w:sz w:val="24"/>
          <w:szCs w:val="24"/>
        </w:rPr>
        <w:t>第四十五条</w:t>
      </w:r>
      <w:r>
        <w:rPr>
          <w:b/>
          <w:bCs w:val="0"/>
          <w:color w:val="auto"/>
          <w:sz w:val="24"/>
          <w:szCs w:val="24"/>
        </w:rPr>
        <w:tab/>
      </w:r>
      <w:r>
        <w:rPr>
          <w:b/>
          <w:bCs w:val="0"/>
          <w:color w:val="auto"/>
          <w:sz w:val="24"/>
          <w:szCs w:val="24"/>
        </w:rPr>
        <w:t>投诉流程的结束标准</w:t>
      </w:r>
    </w:p>
    <w:p>
      <w:pPr>
        <w:pStyle w:val="2"/>
        <w:spacing w:before="74"/>
        <w:ind w:left="761" w:firstLine="0"/>
        <w:rPr>
          <w:b/>
          <w:bCs w:val="0"/>
          <w:color w:val="auto"/>
          <w:sz w:val="24"/>
          <w:szCs w:val="24"/>
        </w:rPr>
      </w:pPr>
      <w:r>
        <w:rPr>
          <w:b/>
          <w:bCs w:val="0"/>
          <w:color w:val="auto"/>
          <w:sz w:val="24"/>
          <w:szCs w:val="24"/>
        </w:rPr>
        <w:t>（一）投诉方接受我方提出的处理方案；</w:t>
      </w:r>
    </w:p>
    <w:p>
      <w:pPr>
        <w:spacing w:after="0"/>
        <w:rPr>
          <w:b/>
          <w:bCs w:val="0"/>
          <w:color w:val="auto"/>
          <w:sz w:val="24"/>
          <w:szCs w:val="24"/>
        </w:rPr>
        <w:sectPr>
          <w:pgSz w:w="11910" w:h="16840"/>
          <w:pgMar w:top="1520" w:right="860" w:bottom="1160" w:left="1680" w:header="0" w:footer="975" w:gutter="0"/>
          <w:pgNumType w:fmt="decimal"/>
        </w:sectPr>
      </w:pPr>
    </w:p>
    <w:p>
      <w:pPr>
        <w:pStyle w:val="2"/>
        <w:spacing w:before="30" w:line="326" w:lineRule="auto"/>
        <w:ind w:right="778"/>
        <w:rPr>
          <w:b/>
          <w:bCs w:val="0"/>
          <w:color w:val="auto"/>
          <w:sz w:val="24"/>
          <w:szCs w:val="24"/>
        </w:rPr>
      </w:pPr>
      <w:r>
        <w:rPr>
          <w:b/>
          <w:bCs w:val="0"/>
          <w:color w:val="auto"/>
          <w:sz w:val="24"/>
          <w:szCs w:val="24"/>
        </w:rPr>
        <w:t>（二</w:t>
      </w:r>
      <w:r>
        <w:rPr>
          <w:b/>
          <w:bCs w:val="0"/>
          <w:color w:val="auto"/>
          <w:spacing w:val="-87"/>
          <w:sz w:val="24"/>
          <w:szCs w:val="24"/>
        </w:rPr>
        <w:t>）</w:t>
      </w:r>
      <w:r>
        <w:rPr>
          <w:b/>
          <w:bCs w:val="0"/>
          <w:color w:val="auto"/>
          <w:spacing w:val="-8"/>
          <w:sz w:val="24"/>
          <w:szCs w:val="24"/>
        </w:rPr>
        <w:t>投诉方不接受我方的处理方案，但有足够的法律、</w:t>
      </w:r>
      <w:r>
        <w:rPr>
          <w:b/>
          <w:bCs w:val="0"/>
          <w:color w:val="auto"/>
          <w:sz w:val="24"/>
          <w:szCs w:val="24"/>
        </w:rPr>
        <w:t>法规、相关条款支持我方的处理意见；</w:t>
      </w:r>
    </w:p>
    <w:p>
      <w:pPr>
        <w:pStyle w:val="2"/>
        <w:spacing w:before="6"/>
        <w:ind w:left="761" w:firstLine="0"/>
        <w:rPr>
          <w:b/>
          <w:bCs w:val="0"/>
          <w:color w:val="auto"/>
          <w:sz w:val="24"/>
          <w:szCs w:val="24"/>
        </w:rPr>
      </w:pPr>
      <w:r>
        <w:rPr>
          <w:b/>
          <w:bCs w:val="0"/>
          <w:color w:val="auto"/>
          <w:sz w:val="24"/>
          <w:szCs w:val="24"/>
        </w:rPr>
        <w:t>（三）相关管理部门认定的无效投诉。</w:t>
      </w:r>
    </w:p>
    <w:p>
      <w:pPr>
        <w:pStyle w:val="2"/>
        <w:spacing w:before="149"/>
        <w:ind w:left="761" w:firstLine="0"/>
        <w:rPr>
          <w:b/>
          <w:bCs w:val="0"/>
          <w:color w:val="auto"/>
          <w:sz w:val="24"/>
          <w:szCs w:val="24"/>
        </w:rPr>
      </w:pPr>
      <w:r>
        <w:rPr>
          <w:b/>
          <w:bCs w:val="0"/>
          <w:color w:val="auto"/>
          <w:sz w:val="24"/>
          <w:szCs w:val="24"/>
        </w:rPr>
        <w:t>（四）管理整改意见</w:t>
      </w:r>
    </w:p>
    <w:p>
      <w:pPr>
        <w:pStyle w:val="2"/>
        <w:spacing w:before="150" w:line="328" w:lineRule="auto"/>
        <w:ind w:right="930"/>
        <w:rPr>
          <w:b/>
          <w:bCs w:val="0"/>
          <w:color w:val="auto"/>
          <w:sz w:val="24"/>
          <w:szCs w:val="24"/>
        </w:rPr>
      </w:pPr>
      <w:r>
        <w:rPr>
          <w:b/>
          <w:bCs w:val="0"/>
          <w:color w:val="auto"/>
          <w:sz w:val="24"/>
          <w:szCs w:val="24"/>
        </w:rPr>
        <w:t>在投诉处理过程中发现材料项目部自身管理问题时，投诉处理相关人员应以书面形式向投诉管理领导小组反应情况，并积极提出整改意见，</w:t>
      </w:r>
    </w:p>
    <w:p>
      <w:pPr>
        <w:pStyle w:val="2"/>
        <w:spacing w:before="5"/>
        <w:ind w:left="0" w:firstLine="0"/>
        <w:rPr>
          <w:b/>
          <w:bCs w:val="0"/>
          <w:color w:val="auto"/>
          <w:sz w:val="24"/>
          <w:szCs w:val="24"/>
        </w:rPr>
      </w:pPr>
    </w:p>
    <w:p>
      <w:pPr>
        <w:pStyle w:val="2"/>
        <w:tabs>
          <w:tab w:val="left" w:pos="4263"/>
        </w:tabs>
        <w:spacing w:before="1"/>
        <w:ind w:left="3003" w:firstLine="0"/>
        <w:rPr>
          <w:rFonts w:hint="eastAsia" w:ascii="黑体" w:eastAsia="黑体"/>
          <w:b/>
          <w:bCs w:val="0"/>
          <w:color w:val="auto"/>
          <w:sz w:val="24"/>
          <w:szCs w:val="24"/>
        </w:rPr>
      </w:pPr>
      <w:r>
        <w:rPr>
          <w:rFonts w:hint="eastAsia" w:ascii="黑体" w:eastAsia="黑体"/>
          <w:b/>
          <w:bCs w:val="0"/>
          <w:color w:val="auto"/>
          <w:sz w:val="24"/>
          <w:szCs w:val="24"/>
        </w:rPr>
        <w:t>第八章</w:t>
      </w:r>
      <w:r>
        <w:rPr>
          <w:rFonts w:hint="eastAsia" w:ascii="黑体" w:eastAsia="黑体"/>
          <w:b/>
          <w:bCs w:val="0"/>
          <w:color w:val="auto"/>
          <w:sz w:val="24"/>
          <w:szCs w:val="24"/>
        </w:rPr>
        <w:tab/>
      </w:r>
      <w:r>
        <w:rPr>
          <w:rFonts w:hint="eastAsia" w:ascii="黑体" w:eastAsia="黑体"/>
          <w:b/>
          <w:bCs w:val="0"/>
          <w:color w:val="auto"/>
          <w:sz w:val="24"/>
          <w:szCs w:val="24"/>
        </w:rPr>
        <w:t>违约处理</w:t>
      </w:r>
    </w:p>
    <w:p>
      <w:pPr>
        <w:pStyle w:val="3"/>
        <w:tabs>
          <w:tab w:val="left" w:pos="2693"/>
        </w:tabs>
        <w:spacing w:before="43"/>
        <w:rPr>
          <w:b/>
          <w:bCs w:val="0"/>
          <w:color w:val="auto"/>
          <w:sz w:val="24"/>
          <w:szCs w:val="24"/>
        </w:rPr>
      </w:pPr>
      <w:r>
        <w:rPr>
          <w:b/>
          <w:bCs w:val="0"/>
          <w:color w:val="auto"/>
          <w:sz w:val="24"/>
          <w:szCs w:val="24"/>
        </w:rPr>
        <w:t>第四十六条</w:t>
      </w:r>
      <w:r>
        <w:rPr>
          <w:b/>
          <w:bCs w:val="0"/>
          <w:color w:val="auto"/>
          <w:sz w:val="24"/>
          <w:szCs w:val="24"/>
        </w:rPr>
        <w:tab/>
      </w:r>
      <w:r>
        <w:rPr>
          <w:b/>
          <w:bCs w:val="0"/>
          <w:color w:val="auto"/>
          <w:sz w:val="24"/>
          <w:szCs w:val="24"/>
        </w:rPr>
        <w:t>供应厂商违约处理</w:t>
      </w:r>
    </w:p>
    <w:p>
      <w:pPr>
        <w:pStyle w:val="2"/>
        <w:spacing w:before="77" w:line="328" w:lineRule="auto"/>
        <w:ind w:right="938"/>
        <w:jc w:val="both"/>
        <w:rPr>
          <w:b/>
          <w:bCs w:val="0"/>
          <w:color w:val="auto"/>
          <w:sz w:val="24"/>
          <w:szCs w:val="24"/>
        </w:rPr>
      </w:pPr>
      <w:r>
        <w:rPr>
          <w:b/>
          <w:bCs w:val="0"/>
          <w:color w:val="auto"/>
          <w:sz w:val="24"/>
          <w:szCs w:val="24"/>
        </w:rPr>
        <w:t>（一</w:t>
      </w:r>
      <w:r>
        <w:rPr>
          <w:b/>
          <w:bCs w:val="0"/>
          <w:color w:val="auto"/>
          <w:spacing w:val="-12"/>
          <w:sz w:val="24"/>
          <w:szCs w:val="24"/>
        </w:rPr>
        <w:t>）</w:t>
      </w:r>
      <w:r>
        <w:rPr>
          <w:b/>
          <w:bCs w:val="0"/>
          <w:color w:val="auto"/>
          <w:spacing w:val="-1"/>
          <w:sz w:val="24"/>
          <w:szCs w:val="24"/>
        </w:rPr>
        <w:t>供应厂商在材料供应过程中不得随意更换中标品</w:t>
      </w:r>
      <w:r>
        <w:rPr>
          <w:b/>
          <w:bCs w:val="0"/>
          <w:color w:val="auto"/>
          <w:spacing w:val="-5"/>
          <w:sz w:val="24"/>
          <w:szCs w:val="24"/>
        </w:rPr>
        <w:t>牌，但因保供需更换品牌时，必须提前申请备选品牌，取得</w:t>
      </w:r>
      <w:r>
        <w:rPr>
          <w:b/>
          <w:bCs w:val="0"/>
          <w:color w:val="auto"/>
          <w:spacing w:val="-4"/>
          <w:sz w:val="24"/>
          <w:szCs w:val="24"/>
        </w:rPr>
        <w:t>物流集团批准。如供应厂商未经批准擅自调换品牌或提供冒牌伪劣产品，材料一律没收，并按所供应数量处以五倍的违</w:t>
      </w:r>
      <w:r>
        <w:rPr>
          <w:b/>
          <w:bCs w:val="0"/>
          <w:color w:val="auto"/>
          <w:spacing w:val="-2"/>
          <w:sz w:val="24"/>
          <w:szCs w:val="24"/>
        </w:rPr>
        <w:t>约金。情节严重</w:t>
      </w:r>
      <w:r>
        <w:rPr>
          <w:b/>
          <w:bCs w:val="0"/>
          <w:color w:val="auto"/>
          <w:sz w:val="24"/>
          <w:szCs w:val="24"/>
        </w:rPr>
        <w:t>（或因此造成重大质量事故</w:t>
      </w:r>
      <w:r>
        <w:rPr>
          <w:b/>
          <w:bCs w:val="0"/>
          <w:color w:val="auto"/>
          <w:spacing w:val="-3"/>
          <w:sz w:val="24"/>
          <w:szCs w:val="24"/>
        </w:rPr>
        <w:t>）</w:t>
      </w:r>
      <w:r>
        <w:rPr>
          <w:b/>
          <w:bCs w:val="0"/>
          <w:color w:val="auto"/>
          <w:spacing w:val="-4"/>
          <w:sz w:val="24"/>
          <w:szCs w:val="24"/>
        </w:rPr>
        <w:t>的，除取消其</w:t>
      </w:r>
      <w:r>
        <w:rPr>
          <w:b/>
          <w:bCs w:val="0"/>
          <w:color w:val="auto"/>
          <w:sz w:val="24"/>
          <w:szCs w:val="24"/>
        </w:rPr>
        <w:t>材料合同供应资格外，还将追究当事人的相关法律责任。</w:t>
      </w:r>
    </w:p>
    <w:p>
      <w:pPr>
        <w:pStyle w:val="2"/>
        <w:spacing w:line="328" w:lineRule="auto"/>
        <w:ind w:right="790"/>
        <w:rPr>
          <w:b/>
          <w:bCs w:val="0"/>
          <w:color w:val="auto"/>
          <w:sz w:val="24"/>
          <w:szCs w:val="24"/>
        </w:rPr>
      </w:pPr>
      <w:r>
        <w:rPr>
          <w:b/>
          <w:bCs w:val="0"/>
          <w:color w:val="auto"/>
          <w:sz w:val="24"/>
          <w:szCs w:val="24"/>
        </w:rPr>
        <w:t>（二）供应厂商未能按材料项目部下达的计划按时足额保质保量供应材料，导致施工单位停工待料，除误期赔偿费</w:t>
      </w:r>
      <w:r>
        <w:rPr>
          <w:b/>
          <w:bCs w:val="0"/>
          <w:color w:val="auto"/>
          <w:w w:val="95"/>
          <w:sz w:val="24"/>
          <w:szCs w:val="24"/>
        </w:rPr>
        <w:t xml:space="preserve">外，材料项目部将按《招标文件》要求启动应急采购措施， </w:t>
      </w:r>
      <w:r>
        <w:rPr>
          <w:b/>
          <w:bCs w:val="0"/>
          <w:color w:val="auto"/>
          <w:sz w:val="24"/>
          <w:szCs w:val="24"/>
        </w:rPr>
        <w:t>产生的差价由供应商承担，因此给施工单位造成的直接和间接损失也由供应商负责。</w:t>
      </w:r>
    </w:p>
    <w:p>
      <w:pPr>
        <w:pStyle w:val="2"/>
        <w:spacing w:line="328" w:lineRule="auto"/>
        <w:ind w:right="938"/>
        <w:jc w:val="both"/>
        <w:rPr>
          <w:b/>
          <w:bCs w:val="0"/>
          <w:color w:val="auto"/>
          <w:sz w:val="24"/>
          <w:szCs w:val="24"/>
        </w:rPr>
      </w:pPr>
      <w:r>
        <w:rPr>
          <w:b/>
          <w:bCs w:val="0"/>
          <w:color w:val="auto"/>
          <w:sz w:val="24"/>
          <w:szCs w:val="24"/>
        </w:rPr>
        <w:t>（三</w:t>
      </w:r>
      <w:r>
        <w:rPr>
          <w:b/>
          <w:bCs w:val="0"/>
          <w:color w:val="auto"/>
          <w:spacing w:val="-12"/>
          <w:sz w:val="24"/>
          <w:szCs w:val="24"/>
        </w:rPr>
        <w:t>）</w:t>
      </w:r>
      <w:r>
        <w:rPr>
          <w:b/>
          <w:bCs w:val="0"/>
          <w:color w:val="auto"/>
          <w:spacing w:val="-1"/>
          <w:sz w:val="24"/>
          <w:szCs w:val="24"/>
        </w:rPr>
        <w:t>供应厂商伙同施工单位擅自倒买倒卖甲供材料行</w:t>
      </w:r>
      <w:r>
        <w:rPr>
          <w:b/>
          <w:bCs w:val="0"/>
          <w:color w:val="auto"/>
          <w:spacing w:val="-5"/>
          <w:sz w:val="24"/>
          <w:szCs w:val="24"/>
        </w:rPr>
        <w:t>为的，一经发现和查证，将对所倒买倒卖甲供材料数量按当</w:t>
      </w:r>
      <w:r>
        <w:rPr>
          <w:b/>
          <w:bCs w:val="0"/>
          <w:color w:val="auto"/>
          <w:spacing w:val="-2"/>
          <w:sz w:val="24"/>
          <w:szCs w:val="24"/>
        </w:rPr>
        <w:t>时材料市场价格的两倍以上处以违约金，并将相关单位进入</w:t>
      </w:r>
    </w:p>
    <w:p>
      <w:pPr>
        <w:spacing w:after="0" w:line="328" w:lineRule="auto"/>
        <w:jc w:val="both"/>
        <w:rPr>
          <w:b/>
          <w:bCs w:val="0"/>
          <w:color w:val="auto"/>
          <w:sz w:val="24"/>
          <w:szCs w:val="24"/>
        </w:rPr>
        <w:sectPr>
          <w:pgSz w:w="11910" w:h="16840"/>
          <w:pgMar w:top="1520" w:right="860" w:bottom="1160" w:left="1680" w:header="0" w:footer="975" w:gutter="0"/>
          <w:pgNumType w:fmt="decimal"/>
        </w:sectPr>
      </w:pPr>
    </w:p>
    <w:p>
      <w:pPr>
        <w:pStyle w:val="2"/>
        <w:spacing w:before="30" w:line="328" w:lineRule="auto"/>
        <w:ind w:right="941" w:firstLine="0"/>
        <w:jc w:val="both"/>
        <w:rPr>
          <w:b/>
          <w:bCs w:val="0"/>
          <w:color w:val="auto"/>
          <w:sz w:val="24"/>
          <w:szCs w:val="24"/>
        </w:rPr>
      </w:pPr>
      <w:r>
        <w:rPr>
          <w:b/>
          <w:bCs w:val="0"/>
          <w:color w:val="auto"/>
          <w:spacing w:val="-3"/>
          <w:sz w:val="24"/>
          <w:szCs w:val="24"/>
        </w:rPr>
        <w:t>贵州省交通厅信誉评价系统，若倒买倒卖材料数量巨大，情节严重且触犯法律的，将移交公安和司法部门处置。因此造</w:t>
      </w:r>
      <w:r>
        <w:rPr>
          <w:b/>
          <w:bCs w:val="0"/>
          <w:color w:val="auto"/>
          <w:sz w:val="24"/>
          <w:szCs w:val="24"/>
        </w:rPr>
        <w:t>成工程质量事故的，将追究其相关法律责任。</w:t>
      </w:r>
    </w:p>
    <w:p>
      <w:pPr>
        <w:pStyle w:val="2"/>
        <w:spacing w:line="328" w:lineRule="auto"/>
        <w:ind w:right="941"/>
        <w:jc w:val="both"/>
        <w:rPr>
          <w:b/>
          <w:bCs w:val="0"/>
          <w:color w:val="auto"/>
          <w:sz w:val="24"/>
          <w:szCs w:val="24"/>
        </w:rPr>
      </w:pPr>
      <w:r>
        <w:rPr>
          <w:b/>
          <w:bCs w:val="0"/>
          <w:color w:val="auto"/>
          <w:sz w:val="24"/>
          <w:szCs w:val="24"/>
        </w:rPr>
        <w:t>（四</w:t>
      </w:r>
      <w:r>
        <w:rPr>
          <w:b/>
          <w:bCs w:val="0"/>
          <w:color w:val="auto"/>
          <w:spacing w:val="-8"/>
          <w:sz w:val="24"/>
          <w:szCs w:val="24"/>
        </w:rPr>
        <w:t>）</w:t>
      </w:r>
      <w:r>
        <w:rPr>
          <w:b/>
          <w:bCs w:val="0"/>
          <w:color w:val="auto"/>
          <w:spacing w:val="-2"/>
          <w:sz w:val="24"/>
          <w:szCs w:val="24"/>
        </w:rPr>
        <w:t>供应厂商如屡次不能履约计划，造成工期延误影</w:t>
      </w:r>
      <w:r>
        <w:rPr>
          <w:b/>
          <w:bCs w:val="0"/>
          <w:color w:val="auto"/>
          <w:spacing w:val="-4"/>
          <w:sz w:val="24"/>
          <w:szCs w:val="24"/>
        </w:rPr>
        <w:t>响严重的，物流集团可终止采购合同，并把相关单位上报后</w:t>
      </w:r>
      <w:r>
        <w:rPr>
          <w:b/>
          <w:bCs w:val="0"/>
          <w:color w:val="auto"/>
          <w:sz w:val="24"/>
          <w:szCs w:val="24"/>
        </w:rPr>
        <w:t>进入贵州省交通运输厅信誉评价系统。</w:t>
      </w:r>
    </w:p>
    <w:p>
      <w:pPr>
        <w:pStyle w:val="3"/>
        <w:tabs>
          <w:tab w:val="left" w:pos="2693"/>
        </w:tabs>
        <w:spacing w:line="478" w:lineRule="exact"/>
        <w:rPr>
          <w:b/>
          <w:bCs w:val="0"/>
          <w:color w:val="auto"/>
          <w:sz w:val="24"/>
          <w:szCs w:val="24"/>
        </w:rPr>
      </w:pPr>
      <w:r>
        <w:rPr>
          <w:b/>
          <w:bCs w:val="0"/>
          <w:color w:val="auto"/>
          <w:sz w:val="24"/>
          <w:szCs w:val="24"/>
        </w:rPr>
        <w:t>第四十七条</w:t>
      </w:r>
      <w:r>
        <w:rPr>
          <w:b/>
          <w:bCs w:val="0"/>
          <w:color w:val="auto"/>
          <w:sz w:val="24"/>
          <w:szCs w:val="24"/>
        </w:rPr>
        <w:tab/>
      </w:r>
      <w:r>
        <w:rPr>
          <w:b/>
          <w:bCs w:val="0"/>
          <w:color w:val="auto"/>
          <w:sz w:val="24"/>
          <w:szCs w:val="24"/>
        </w:rPr>
        <w:t>运输单位违约处理</w:t>
      </w:r>
    </w:p>
    <w:p>
      <w:pPr>
        <w:pStyle w:val="2"/>
        <w:spacing w:before="72" w:line="328" w:lineRule="auto"/>
        <w:ind w:right="938"/>
        <w:jc w:val="both"/>
        <w:rPr>
          <w:b/>
          <w:bCs w:val="0"/>
          <w:color w:val="auto"/>
          <w:sz w:val="24"/>
          <w:szCs w:val="24"/>
        </w:rPr>
      </w:pPr>
      <w:r>
        <w:rPr>
          <w:b/>
          <w:bCs w:val="0"/>
          <w:color w:val="auto"/>
          <w:sz w:val="24"/>
          <w:szCs w:val="24"/>
        </w:rPr>
        <w:t>（一</w:t>
      </w:r>
      <w:r>
        <w:rPr>
          <w:b/>
          <w:bCs w:val="0"/>
          <w:color w:val="auto"/>
          <w:spacing w:val="-12"/>
          <w:sz w:val="24"/>
          <w:szCs w:val="24"/>
        </w:rPr>
        <w:t>）</w:t>
      </w:r>
      <w:r>
        <w:rPr>
          <w:b/>
          <w:bCs w:val="0"/>
          <w:color w:val="auto"/>
          <w:spacing w:val="-1"/>
          <w:sz w:val="24"/>
          <w:szCs w:val="24"/>
        </w:rPr>
        <w:t>材料运输单位应按甲供材料项目部指定的线路考</w:t>
      </w:r>
      <w:r>
        <w:rPr>
          <w:b/>
          <w:bCs w:val="0"/>
          <w:color w:val="auto"/>
          <w:spacing w:val="-4"/>
          <w:sz w:val="24"/>
          <w:szCs w:val="24"/>
        </w:rPr>
        <w:t>察配送路线路况，组织适应《运输合同》要求的车辆进行材</w:t>
      </w:r>
      <w:r>
        <w:rPr>
          <w:b/>
          <w:bCs w:val="0"/>
          <w:color w:val="auto"/>
          <w:spacing w:val="-5"/>
          <w:sz w:val="24"/>
          <w:szCs w:val="24"/>
        </w:rPr>
        <w:t>料运输，如果所配置的车辆不适合本项目的要求导致不能正</w:t>
      </w:r>
      <w:r>
        <w:rPr>
          <w:b/>
          <w:bCs w:val="0"/>
          <w:color w:val="auto"/>
          <w:spacing w:val="-3"/>
          <w:sz w:val="24"/>
          <w:szCs w:val="24"/>
        </w:rPr>
        <w:t>常通过施工便道的，造成便道堵塞或垮塌带来的损失，运输</w:t>
      </w:r>
      <w:r>
        <w:rPr>
          <w:b/>
          <w:bCs w:val="0"/>
          <w:color w:val="auto"/>
          <w:sz w:val="24"/>
          <w:szCs w:val="24"/>
        </w:rPr>
        <w:t>单位负全部责任。</w:t>
      </w:r>
    </w:p>
    <w:p>
      <w:pPr>
        <w:pStyle w:val="2"/>
        <w:spacing w:line="328" w:lineRule="auto"/>
        <w:ind w:right="938"/>
        <w:jc w:val="both"/>
        <w:rPr>
          <w:b/>
          <w:bCs w:val="0"/>
          <w:color w:val="auto"/>
          <w:sz w:val="24"/>
          <w:szCs w:val="24"/>
        </w:rPr>
      </w:pPr>
      <w:r>
        <w:rPr>
          <w:b/>
          <w:bCs w:val="0"/>
          <w:color w:val="auto"/>
          <w:sz w:val="24"/>
          <w:szCs w:val="24"/>
        </w:rPr>
        <w:t>（二</w:t>
      </w:r>
      <w:r>
        <w:rPr>
          <w:b/>
          <w:bCs w:val="0"/>
          <w:color w:val="auto"/>
          <w:spacing w:val="-12"/>
          <w:sz w:val="24"/>
          <w:szCs w:val="24"/>
        </w:rPr>
        <w:t>）</w:t>
      </w:r>
      <w:r>
        <w:rPr>
          <w:b/>
          <w:bCs w:val="0"/>
          <w:color w:val="auto"/>
          <w:spacing w:val="-1"/>
          <w:sz w:val="24"/>
          <w:szCs w:val="24"/>
        </w:rPr>
        <w:t>所有参加配送的车辆必须加装卫星定位装置并保</w:t>
      </w:r>
      <w:r>
        <w:rPr>
          <w:b/>
          <w:bCs w:val="0"/>
          <w:color w:val="auto"/>
          <w:spacing w:val="-3"/>
          <w:sz w:val="24"/>
          <w:szCs w:val="24"/>
        </w:rPr>
        <w:t>证装置的正常运行，不能擅自关闭卫星定位装置，违者处以</w:t>
      </w:r>
      <w:r>
        <w:rPr>
          <w:b/>
          <w:bCs w:val="0"/>
          <w:color w:val="auto"/>
          <w:spacing w:val="-20"/>
          <w:sz w:val="24"/>
          <w:szCs w:val="24"/>
        </w:rPr>
        <w:t xml:space="preserve">违约金 </w:t>
      </w:r>
      <w:r>
        <w:rPr>
          <w:b/>
          <w:bCs w:val="0"/>
          <w:color w:val="auto"/>
          <w:sz w:val="24"/>
          <w:szCs w:val="24"/>
        </w:rPr>
        <w:t>5000</w:t>
      </w:r>
      <w:r>
        <w:rPr>
          <w:b/>
          <w:bCs w:val="0"/>
          <w:color w:val="auto"/>
          <w:spacing w:val="-40"/>
          <w:sz w:val="24"/>
          <w:szCs w:val="24"/>
        </w:rPr>
        <w:t xml:space="preserve"> 元</w:t>
      </w:r>
      <w:r>
        <w:rPr>
          <w:b/>
          <w:bCs w:val="0"/>
          <w:color w:val="auto"/>
          <w:sz w:val="24"/>
          <w:szCs w:val="24"/>
        </w:rPr>
        <w:t>/辆，并勒令限期整改。</w:t>
      </w:r>
    </w:p>
    <w:p>
      <w:pPr>
        <w:pStyle w:val="2"/>
        <w:spacing w:line="328" w:lineRule="auto"/>
        <w:ind w:right="938"/>
        <w:jc w:val="both"/>
        <w:rPr>
          <w:b/>
          <w:bCs w:val="0"/>
          <w:color w:val="auto"/>
          <w:sz w:val="24"/>
          <w:szCs w:val="24"/>
        </w:rPr>
      </w:pPr>
      <w:r>
        <w:rPr>
          <w:b/>
          <w:bCs w:val="0"/>
          <w:color w:val="auto"/>
          <w:sz w:val="24"/>
          <w:szCs w:val="24"/>
        </w:rPr>
        <w:t>（三</w:t>
      </w:r>
      <w:r>
        <w:rPr>
          <w:b/>
          <w:bCs w:val="0"/>
          <w:color w:val="auto"/>
          <w:spacing w:val="-12"/>
          <w:sz w:val="24"/>
          <w:szCs w:val="24"/>
        </w:rPr>
        <w:t>）</w:t>
      </w:r>
      <w:r>
        <w:rPr>
          <w:b/>
          <w:bCs w:val="0"/>
          <w:color w:val="auto"/>
          <w:spacing w:val="-1"/>
          <w:sz w:val="24"/>
          <w:szCs w:val="24"/>
        </w:rPr>
        <w:t>运输单位必须严格按照甲供材料项目部下达的供</w:t>
      </w:r>
      <w:r>
        <w:rPr>
          <w:b/>
          <w:bCs w:val="0"/>
          <w:color w:val="auto"/>
          <w:spacing w:val="-3"/>
          <w:sz w:val="24"/>
          <w:szCs w:val="24"/>
        </w:rPr>
        <w:t>应计划中的指定地点进行配送，严禁出现私自不按规定地点</w:t>
      </w:r>
      <w:r>
        <w:rPr>
          <w:b/>
          <w:bCs w:val="0"/>
          <w:color w:val="auto"/>
          <w:spacing w:val="-6"/>
          <w:sz w:val="24"/>
          <w:szCs w:val="24"/>
        </w:rPr>
        <w:t xml:space="preserve">卸货的情况，违者处以违约金 </w:t>
      </w:r>
      <w:r>
        <w:rPr>
          <w:b/>
          <w:bCs w:val="0"/>
          <w:color w:val="auto"/>
          <w:sz w:val="24"/>
          <w:szCs w:val="24"/>
        </w:rPr>
        <w:t>3000</w:t>
      </w:r>
      <w:r>
        <w:rPr>
          <w:b/>
          <w:bCs w:val="0"/>
          <w:color w:val="auto"/>
          <w:spacing w:val="-40"/>
          <w:sz w:val="24"/>
          <w:szCs w:val="24"/>
        </w:rPr>
        <w:t xml:space="preserve"> 元</w:t>
      </w:r>
      <w:r>
        <w:rPr>
          <w:b/>
          <w:bCs w:val="0"/>
          <w:color w:val="auto"/>
          <w:sz w:val="24"/>
          <w:szCs w:val="24"/>
        </w:rPr>
        <w:t>/车次 。</w:t>
      </w:r>
    </w:p>
    <w:p>
      <w:pPr>
        <w:pStyle w:val="2"/>
        <w:spacing w:line="328" w:lineRule="auto"/>
        <w:ind w:right="940"/>
        <w:jc w:val="both"/>
        <w:rPr>
          <w:b/>
          <w:bCs w:val="0"/>
          <w:color w:val="auto"/>
          <w:sz w:val="24"/>
          <w:szCs w:val="24"/>
        </w:rPr>
      </w:pPr>
      <w:r>
        <w:rPr>
          <w:b/>
          <w:bCs w:val="0"/>
          <w:color w:val="auto"/>
          <w:sz w:val="24"/>
          <w:szCs w:val="24"/>
        </w:rPr>
        <w:t>（四</w:t>
      </w:r>
      <w:r>
        <w:rPr>
          <w:b/>
          <w:bCs w:val="0"/>
          <w:color w:val="auto"/>
          <w:spacing w:val="-8"/>
          <w:sz w:val="24"/>
          <w:szCs w:val="24"/>
        </w:rPr>
        <w:t>）</w:t>
      </w:r>
      <w:r>
        <w:rPr>
          <w:b/>
          <w:bCs w:val="0"/>
          <w:color w:val="auto"/>
          <w:spacing w:val="-2"/>
          <w:sz w:val="24"/>
          <w:szCs w:val="24"/>
        </w:rPr>
        <w:t>在材料配送至规定地点后，运输车辆必须服从施</w:t>
      </w:r>
      <w:r>
        <w:rPr>
          <w:b/>
          <w:bCs w:val="0"/>
          <w:color w:val="auto"/>
          <w:spacing w:val="-4"/>
          <w:sz w:val="24"/>
          <w:szCs w:val="24"/>
        </w:rPr>
        <w:t>工单位的安排，配合施工单位完成卸货、验收工作，不配合</w:t>
      </w:r>
      <w:r>
        <w:rPr>
          <w:b/>
          <w:bCs w:val="0"/>
          <w:color w:val="auto"/>
          <w:spacing w:val="-12"/>
          <w:sz w:val="24"/>
          <w:szCs w:val="24"/>
        </w:rPr>
        <w:t xml:space="preserve">者处以违约金 </w:t>
      </w:r>
      <w:r>
        <w:rPr>
          <w:b/>
          <w:bCs w:val="0"/>
          <w:color w:val="auto"/>
          <w:sz w:val="24"/>
          <w:szCs w:val="24"/>
        </w:rPr>
        <w:t>3000</w:t>
      </w:r>
      <w:r>
        <w:rPr>
          <w:b/>
          <w:bCs w:val="0"/>
          <w:color w:val="auto"/>
          <w:spacing w:val="-40"/>
          <w:sz w:val="24"/>
          <w:szCs w:val="24"/>
        </w:rPr>
        <w:t xml:space="preserve"> 元</w:t>
      </w:r>
      <w:r>
        <w:rPr>
          <w:b/>
          <w:bCs w:val="0"/>
          <w:color w:val="auto"/>
          <w:sz w:val="24"/>
          <w:szCs w:val="24"/>
        </w:rPr>
        <w:t>/车次。</w:t>
      </w:r>
    </w:p>
    <w:p>
      <w:pPr>
        <w:pStyle w:val="2"/>
        <w:spacing w:line="328" w:lineRule="auto"/>
        <w:ind w:right="938"/>
        <w:jc w:val="both"/>
        <w:rPr>
          <w:b/>
          <w:bCs w:val="0"/>
          <w:color w:val="auto"/>
          <w:sz w:val="24"/>
          <w:szCs w:val="24"/>
        </w:rPr>
      </w:pPr>
      <w:r>
        <w:rPr>
          <w:b/>
          <w:bCs w:val="0"/>
          <w:color w:val="auto"/>
          <w:sz w:val="24"/>
          <w:szCs w:val="24"/>
        </w:rPr>
        <w:t>（五</w:t>
      </w:r>
      <w:r>
        <w:rPr>
          <w:b/>
          <w:bCs w:val="0"/>
          <w:color w:val="auto"/>
          <w:spacing w:val="-12"/>
          <w:sz w:val="24"/>
          <w:szCs w:val="24"/>
        </w:rPr>
        <w:t>）</w:t>
      </w:r>
      <w:r>
        <w:rPr>
          <w:b/>
          <w:bCs w:val="0"/>
          <w:color w:val="auto"/>
          <w:spacing w:val="-1"/>
          <w:sz w:val="24"/>
          <w:szCs w:val="24"/>
        </w:rPr>
        <w:t>在项目建设主要运输通道以及施工便道上产生拥</w:t>
      </w:r>
      <w:r>
        <w:rPr>
          <w:b/>
          <w:bCs w:val="0"/>
          <w:color w:val="auto"/>
          <w:spacing w:val="-5"/>
          <w:sz w:val="24"/>
          <w:szCs w:val="24"/>
        </w:rPr>
        <w:t>堵时，运输车辆必须服从现场执法人员或施工单位的疏导人</w:t>
      </w:r>
      <w:r>
        <w:rPr>
          <w:b/>
          <w:bCs w:val="0"/>
          <w:color w:val="auto"/>
          <w:spacing w:val="-6"/>
          <w:sz w:val="24"/>
          <w:szCs w:val="24"/>
        </w:rPr>
        <w:t xml:space="preserve">员的指挥，违者处以违约金 </w:t>
      </w:r>
      <w:r>
        <w:rPr>
          <w:b/>
          <w:bCs w:val="0"/>
          <w:color w:val="auto"/>
          <w:sz w:val="24"/>
          <w:szCs w:val="24"/>
        </w:rPr>
        <w:t>3000</w:t>
      </w:r>
      <w:r>
        <w:rPr>
          <w:b/>
          <w:bCs w:val="0"/>
          <w:color w:val="auto"/>
          <w:spacing w:val="-41"/>
          <w:sz w:val="24"/>
          <w:szCs w:val="24"/>
        </w:rPr>
        <w:t xml:space="preserve"> 元</w:t>
      </w:r>
      <w:r>
        <w:rPr>
          <w:b/>
          <w:bCs w:val="0"/>
          <w:color w:val="auto"/>
          <w:sz w:val="24"/>
          <w:szCs w:val="24"/>
        </w:rPr>
        <w:t>/车次。</w:t>
      </w:r>
    </w:p>
    <w:p>
      <w:pPr>
        <w:spacing w:after="0" w:line="328" w:lineRule="auto"/>
        <w:jc w:val="both"/>
        <w:rPr>
          <w:b/>
          <w:bCs w:val="0"/>
          <w:color w:val="auto"/>
          <w:sz w:val="24"/>
          <w:szCs w:val="24"/>
        </w:rPr>
        <w:sectPr>
          <w:pgSz w:w="11910" w:h="16840"/>
          <w:pgMar w:top="1520" w:right="860" w:bottom="1160" w:left="1680" w:header="0" w:footer="975" w:gutter="0"/>
          <w:pgNumType w:fmt="decimal"/>
        </w:sectPr>
      </w:pPr>
    </w:p>
    <w:p>
      <w:pPr>
        <w:pStyle w:val="2"/>
        <w:spacing w:before="30" w:line="326" w:lineRule="auto"/>
        <w:ind w:right="938"/>
        <w:jc w:val="both"/>
        <w:rPr>
          <w:b/>
          <w:bCs w:val="0"/>
          <w:color w:val="auto"/>
          <w:sz w:val="24"/>
          <w:szCs w:val="24"/>
        </w:rPr>
      </w:pPr>
      <w:r>
        <w:rPr>
          <w:b/>
          <w:bCs w:val="0"/>
          <w:color w:val="auto"/>
          <w:sz w:val="24"/>
          <w:szCs w:val="24"/>
        </w:rPr>
        <w:t>（六</w:t>
      </w:r>
      <w:r>
        <w:rPr>
          <w:b/>
          <w:bCs w:val="0"/>
          <w:color w:val="auto"/>
          <w:spacing w:val="-12"/>
          <w:sz w:val="24"/>
          <w:szCs w:val="24"/>
        </w:rPr>
        <w:t>）</w:t>
      </w:r>
      <w:r>
        <w:rPr>
          <w:b/>
          <w:bCs w:val="0"/>
          <w:color w:val="auto"/>
          <w:spacing w:val="-1"/>
          <w:sz w:val="24"/>
          <w:szCs w:val="24"/>
        </w:rPr>
        <w:t>未积极配合甲供材料项目部组织的每月材料对账</w:t>
      </w:r>
      <w:r>
        <w:rPr>
          <w:b/>
          <w:bCs w:val="0"/>
          <w:color w:val="auto"/>
          <w:spacing w:val="-9"/>
          <w:sz w:val="24"/>
          <w:szCs w:val="24"/>
        </w:rPr>
        <w:t xml:space="preserve">工作的处以违约金 </w:t>
      </w:r>
      <w:r>
        <w:rPr>
          <w:b/>
          <w:bCs w:val="0"/>
          <w:color w:val="auto"/>
          <w:sz w:val="24"/>
          <w:szCs w:val="24"/>
        </w:rPr>
        <w:t>5000</w:t>
      </w:r>
      <w:r>
        <w:rPr>
          <w:b/>
          <w:bCs w:val="0"/>
          <w:color w:val="auto"/>
          <w:spacing w:val="-28"/>
          <w:sz w:val="24"/>
          <w:szCs w:val="24"/>
        </w:rPr>
        <w:t xml:space="preserve"> 元。</w:t>
      </w:r>
    </w:p>
    <w:p>
      <w:pPr>
        <w:pStyle w:val="2"/>
        <w:spacing w:before="6" w:line="326" w:lineRule="auto"/>
        <w:ind w:right="940"/>
        <w:jc w:val="both"/>
        <w:rPr>
          <w:b/>
          <w:bCs w:val="0"/>
          <w:color w:val="auto"/>
          <w:sz w:val="24"/>
          <w:szCs w:val="24"/>
        </w:rPr>
      </w:pPr>
      <w:r>
        <w:rPr>
          <w:b/>
          <w:bCs w:val="0"/>
          <w:color w:val="auto"/>
          <w:sz w:val="24"/>
          <w:szCs w:val="24"/>
        </w:rPr>
        <w:t>（七</w:t>
      </w:r>
      <w:r>
        <w:rPr>
          <w:b/>
          <w:bCs w:val="0"/>
          <w:color w:val="auto"/>
          <w:spacing w:val="-8"/>
          <w:sz w:val="24"/>
          <w:szCs w:val="24"/>
        </w:rPr>
        <w:t>）</w:t>
      </w:r>
      <w:r>
        <w:rPr>
          <w:b/>
          <w:bCs w:val="0"/>
          <w:color w:val="auto"/>
          <w:spacing w:val="-2"/>
          <w:sz w:val="24"/>
          <w:szCs w:val="24"/>
        </w:rPr>
        <w:t>违反上述各项条款且未按要求整改达标的，项目办与材料项目部均可暂缓支付当期承运商的运费，直至整改</w:t>
      </w:r>
      <w:r>
        <w:rPr>
          <w:b/>
          <w:bCs w:val="0"/>
          <w:color w:val="auto"/>
          <w:sz w:val="24"/>
          <w:szCs w:val="24"/>
        </w:rPr>
        <w:t>完成达标后再行支付。</w:t>
      </w:r>
    </w:p>
    <w:p>
      <w:pPr>
        <w:pStyle w:val="2"/>
        <w:spacing w:before="7" w:line="328" w:lineRule="auto"/>
        <w:ind w:right="790"/>
        <w:rPr>
          <w:b/>
          <w:bCs w:val="0"/>
          <w:color w:val="auto"/>
          <w:sz w:val="24"/>
          <w:szCs w:val="24"/>
        </w:rPr>
      </w:pPr>
      <w:r>
        <w:rPr>
          <w:b/>
          <w:bCs w:val="0"/>
          <w:color w:val="auto"/>
          <w:sz w:val="24"/>
          <w:szCs w:val="24"/>
        </w:rPr>
        <w:t>（八）伙同施工单位擅自倒买倒卖甲供材料行为的，一经发现和查证，将对所倒买倒卖甲供材料数量按当时材料市</w:t>
      </w:r>
      <w:r>
        <w:rPr>
          <w:b/>
          <w:bCs w:val="0"/>
          <w:color w:val="auto"/>
          <w:w w:val="95"/>
          <w:sz w:val="24"/>
          <w:szCs w:val="24"/>
        </w:rPr>
        <w:t xml:space="preserve">场价格的两倍以上处以违约金，若倒买倒卖材料数量巨大， </w:t>
      </w:r>
      <w:r>
        <w:rPr>
          <w:b/>
          <w:bCs w:val="0"/>
          <w:color w:val="auto"/>
          <w:sz w:val="24"/>
          <w:szCs w:val="24"/>
        </w:rPr>
        <w:t>情节严重且触犯法律的，将移交公安和司法部门。</w:t>
      </w:r>
    </w:p>
    <w:p>
      <w:pPr>
        <w:pStyle w:val="2"/>
        <w:spacing w:line="326" w:lineRule="auto"/>
        <w:ind w:right="895"/>
        <w:rPr>
          <w:b/>
          <w:bCs w:val="0"/>
          <w:color w:val="auto"/>
          <w:sz w:val="24"/>
          <w:szCs w:val="24"/>
        </w:rPr>
      </w:pPr>
      <w:r>
        <w:rPr>
          <w:b/>
          <w:bCs w:val="0"/>
          <w:color w:val="auto"/>
          <w:sz w:val="24"/>
          <w:szCs w:val="24"/>
        </w:rPr>
        <w:t>（九）配送签收单未按要求时间交回，影响月度对账结算的，处以 10000 元违约金。</w:t>
      </w:r>
    </w:p>
    <w:p>
      <w:pPr>
        <w:pStyle w:val="3"/>
        <w:tabs>
          <w:tab w:val="left" w:pos="2693"/>
        </w:tabs>
        <w:spacing w:line="488" w:lineRule="exact"/>
        <w:rPr>
          <w:b/>
          <w:bCs w:val="0"/>
          <w:color w:val="auto"/>
          <w:sz w:val="24"/>
          <w:szCs w:val="24"/>
        </w:rPr>
      </w:pPr>
      <w:r>
        <w:rPr>
          <w:b/>
          <w:bCs w:val="0"/>
          <w:color w:val="auto"/>
          <w:sz w:val="24"/>
          <w:szCs w:val="24"/>
        </w:rPr>
        <w:t>第四十八条</w:t>
      </w:r>
      <w:r>
        <w:rPr>
          <w:b/>
          <w:bCs w:val="0"/>
          <w:color w:val="auto"/>
          <w:sz w:val="24"/>
          <w:szCs w:val="24"/>
        </w:rPr>
        <w:tab/>
      </w:r>
      <w:r>
        <w:rPr>
          <w:b/>
          <w:bCs w:val="0"/>
          <w:color w:val="auto"/>
          <w:sz w:val="24"/>
          <w:szCs w:val="24"/>
        </w:rPr>
        <w:t>施工单位的违约处理</w:t>
      </w:r>
    </w:p>
    <w:p>
      <w:pPr>
        <w:pStyle w:val="2"/>
        <w:spacing w:before="70" w:line="326" w:lineRule="auto"/>
        <w:ind w:right="895"/>
        <w:rPr>
          <w:b/>
          <w:bCs w:val="0"/>
          <w:color w:val="auto"/>
          <w:sz w:val="24"/>
          <w:szCs w:val="24"/>
        </w:rPr>
      </w:pPr>
      <w:r>
        <w:rPr>
          <w:b/>
          <w:bCs w:val="0"/>
          <w:color w:val="auto"/>
          <w:sz w:val="24"/>
          <w:szCs w:val="24"/>
        </w:rPr>
        <w:t>（一）对申报计划不严谨，偏差较大，造成物流集团库存积压，产生损失的，应承担所有经济责任。</w:t>
      </w:r>
    </w:p>
    <w:p>
      <w:pPr>
        <w:pStyle w:val="2"/>
        <w:spacing w:before="6" w:line="326" w:lineRule="auto"/>
        <w:ind w:right="931"/>
        <w:jc w:val="both"/>
        <w:rPr>
          <w:b/>
          <w:bCs w:val="0"/>
          <w:color w:val="auto"/>
          <w:sz w:val="24"/>
          <w:szCs w:val="24"/>
        </w:rPr>
      </w:pPr>
      <w:r>
        <w:rPr>
          <w:b/>
          <w:bCs w:val="0"/>
          <w:color w:val="auto"/>
          <w:sz w:val="24"/>
          <w:szCs w:val="24"/>
        </w:rPr>
        <w:t>（二</w:t>
      </w:r>
      <w:r>
        <w:rPr>
          <w:b/>
          <w:bCs w:val="0"/>
          <w:color w:val="auto"/>
          <w:spacing w:val="-12"/>
          <w:sz w:val="24"/>
          <w:szCs w:val="24"/>
        </w:rPr>
        <w:t>）</w:t>
      </w:r>
      <w:r>
        <w:rPr>
          <w:b/>
          <w:bCs w:val="0"/>
          <w:color w:val="auto"/>
          <w:spacing w:val="-5"/>
          <w:sz w:val="24"/>
          <w:szCs w:val="24"/>
        </w:rPr>
        <w:t xml:space="preserve">因施工单位方面的原因造成材料运输车辆 </w:t>
      </w:r>
      <w:r>
        <w:rPr>
          <w:b/>
          <w:bCs w:val="0"/>
          <w:color w:val="auto"/>
          <w:sz w:val="24"/>
          <w:szCs w:val="24"/>
        </w:rPr>
        <w:t>8</w:t>
      </w:r>
      <w:r>
        <w:rPr>
          <w:b/>
          <w:bCs w:val="0"/>
          <w:color w:val="auto"/>
          <w:spacing w:val="-31"/>
          <w:sz w:val="24"/>
          <w:szCs w:val="24"/>
        </w:rPr>
        <w:t xml:space="preserve"> 小时</w:t>
      </w:r>
      <w:r>
        <w:rPr>
          <w:b/>
          <w:bCs w:val="0"/>
          <w:color w:val="auto"/>
          <w:spacing w:val="-1"/>
          <w:sz w:val="24"/>
          <w:szCs w:val="24"/>
        </w:rPr>
        <w:t>以上的滞留损失</w:t>
      </w:r>
      <w:r>
        <w:rPr>
          <w:b/>
          <w:bCs w:val="0"/>
          <w:color w:val="auto"/>
          <w:sz w:val="24"/>
          <w:szCs w:val="24"/>
        </w:rPr>
        <w:t>（按台班计</w:t>
      </w:r>
      <w:r>
        <w:rPr>
          <w:b/>
          <w:bCs w:val="0"/>
          <w:color w:val="auto"/>
          <w:spacing w:val="-4"/>
          <w:sz w:val="24"/>
          <w:szCs w:val="24"/>
        </w:rPr>
        <w:t>）</w:t>
      </w:r>
      <w:r>
        <w:rPr>
          <w:b/>
          <w:bCs w:val="0"/>
          <w:color w:val="auto"/>
          <w:spacing w:val="-2"/>
          <w:sz w:val="24"/>
          <w:szCs w:val="24"/>
        </w:rPr>
        <w:t>，由施工单位负责赔偿给运输方（施工便道因自然原因或其它意外视情况协商）。</w:t>
      </w:r>
    </w:p>
    <w:p>
      <w:pPr>
        <w:pStyle w:val="2"/>
        <w:spacing w:before="7" w:line="328" w:lineRule="auto"/>
        <w:ind w:right="938"/>
        <w:jc w:val="both"/>
        <w:rPr>
          <w:b/>
          <w:bCs w:val="0"/>
          <w:color w:val="auto"/>
          <w:sz w:val="24"/>
          <w:szCs w:val="24"/>
        </w:rPr>
      </w:pPr>
      <w:r>
        <w:rPr>
          <w:b/>
          <w:bCs w:val="0"/>
          <w:color w:val="auto"/>
          <w:sz w:val="24"/>
          <w:szCs w:val="24"/>
        </w:rPr>
        <w:t>（三</w:t>
      </w:r>
      <w:r>
        <w:rPr>
          <w:b/>
          <w:bCs w:val="0"/>
          <w:color w:val="auto"/>
          <w:spacing w:val="-8"/>
          <w:sz w:val="24"/>
          <w:szCs w:val="24"/>
        </w:rPr>
        <w:t>）</w:t>
      </w:r>
      <w:r>
        <w:rPr>
          <w:b/>
          <w:bCs w:val="0"/>
          <w:color w:val="auto"/>
          <w:spacing w:val="-2"/>
          <w:sz w:val="24"/>
          <w:szCs w:val="24"/>
        </w:rPr>
        <w:t>施工单位如有擅自倒买倒卖甲供材料行为的，一</w:t>
      </w:r>
      <w:r>
        <w:rPr>
          <w:b/>
          <w:bCs w:val="0"/>
          <w:color w:val="auto"/>
          <w:spacing w:val="-4"/>
          <w:sz w:val="24"/>
          <w:szCs w:val="24"/>
        </w:rPr>
        <w:t>经发现和查证，将对所倒买倒卖材料数量按甲供材料结算价</w:t>
      </w:r>
      <w:r>
        <w:rPr>
          <w:b/>
          <w:bCs w:val="0"/>
          <w:color w:val="auto"/>
          <w:spacing w:val="-3"/>
          <w:sz w:val="24"/>
          <w:szCs w:val="24"/>
        </w:rPr>
        <w:t>格的两倍以上处以违约金，并将相关单位上报后进入贵州省交通运输厅信誉评价系统，若倒买倒卖数量巨大、情节严重</w:t>
      </w:r>
      <w:r>
        <w:rPr>
          <w:b/>
          <w:bCs w:val="0"/>
          <w:color w:val="auto"/>
          <w:spacing w:val="-4"/>
          <w:sz w:val="24"/>
          <w:szCs w:val="24"/>
        </w:rPr>
        <w:t>且触犯法律的，将移交公安和司法部门处置，由此造成工程</w:t>
      </w:r>
      <w:r>
        <w:rPr>
          <w:b/>
          <w:bCs w:val="0"/>
          <w:color w:val="auto"/>
          <w:sz w:val="24"/>
          <w:szCs w:val="24"/>
        </w:rPr>
        <w:t>质量事故的，追究其相关法律责任。</w:t>
      </w:r>
    </w:p>
    <w:p>
      <w:pPr>
        <w:pStyle w:val="2"/>
        <w:spacing w:line="400" w:lineRule="exact"/>
        <w:ind w:left="761" w:firstLine="0"/>
        <w:rPr>
          <w:b/>
          <w:bCs w:val="0"/>
          <w:color w:val="auto"/>
          <w:sz w:val="24"/>
          <w:szCs w:val="24"/>
        </w:rPr>
      </w:pPr>
      <w:r>
        <w:rPr>
          <w:b/>
          <w:bCs w:val="0"/>
          <w:color w:val="auto"/>
          <w:sz w:val="24"/>
          <w:szCs w:val="24"/>
        </w:rPr>
        <w:t>（四）未经项目办（总监办）书面同意，私自将本合同</w:t>
      </w:r>
    </w:p>
    <w:p>
      <w:pPr>
        <w:spacing w:after="0" w:line="400" w:lineRule="exact"/>
        <w:rPr>
          <w:b/>
          <w:bCs w:val="0"/>
          <w:color w:val="auto"/>
          <w:sz w:val="24"/>
          <w:szCs w:val="24"/>
        </w:rPr>
        <w:sectPr>
          <w:pgSz w:w="11910" w:h="16840"/>
          <w:pgMar w:top="1520" w:right="860" w:bottom="1160" w:left="1680" w:header="0" w:footer="975" w:gutter="0"/>
          <w:pgNumType w:fmt="decimal"/>
        </w:sectPr>
      </w:pPr>
    </w:p>
    <w:p>
      <w:pPr>
        <w:pStyle w:val="2"/>
        <w:spacing w:before="30" w:line="328" w:lineRule="auto"/>
        <w:ind w:right="941" w:firstLine="0"/>
        <w:jc w:val="both"/>
        <w:rPr>
          <w:b/>
          <w:bCs w:val="0"/>
          <w:color w:val="auto"/>
          <w:sz w:val="24"/>
          <w:szCs w:val="24"/>
        </w:rPr>
      </w:pPr>
      <w:r>
        <w:rPr>
          <w:b/>
          <w:bCs w:val="0"/>
          <w:color w:val="auto"/>
          <w:spacing w:val="-1"/>
          <w:sz w:val="24"/>
          <w:szCs w:val="24"/>
        </w:rPr>
        <w:t>段外的材料挪至本合同段使用的或私自将甲供材料挪至</w:t>
      </w:r>
      <w:r>
        <w:rPr>
          <w:b/>
          <w:bCs w:val="0"/>
          <w:color w:val="auto"/>
          <w:sz w:val="24"/>
          <w:szCs w:val="24"/>
        </w:rPr>
        <w:t>（</w:t>
      </w:r>
      <w:r>
        <w:rPr>
          <w:b/>
          <w:bCs w:val="0"/>
          <w:color w:val="auto"/>
          <w:spacing w:val="-15"/>
          <w:sz w:val="24"/>
          <w:szCs w:val="24"/>
        </w:rPr>
        <w:t>或</w:t>
      </w:r>
      <w:r>
        <w:rPr>
          <w:b/>
          <w:bCs w:val="0"/>
          <w:color w:val="auto"/>
          <w:sz w:val="24"/>
          <w:szCs w:val="24"/>
        </w:rPr>
        <w:t>借给</w:t>
      </w:r>
      <w:r>
        <w:rPr>
          <w:b/>
          <w:bCs w:val="0"/>
          <w:color w:val="auto"/>
          <w:spacing w:val="-8"/>
          <w:sz w:val="24"/>
          <w:szCs w:val="24"/>
        </w:rPr>
        <w:t>）</w:t>
      </w:r>
      <w:r>
        <w:rPr>
          <w:b/>
          <w:bCs w:val="0"/>
          <w:color w:val="auto"/>
          <w:spacing w:val="-2"/>
          <w:sz w:val="24"/>
          <w:szCs w:val="24"/>
        </w:rPr>
        <w:t>本合同段以外地方使用的，将按擅自倒买倒卖甲供材</w:t>
      </w:r>
      <w:r>
        <w:rPr>
          <w:b/>
          <w:bCs w:val="0"/>
          <w:color w:val="auto"/>
          <w:sz w:val="24"/>
          <w:szCs w:val="24"/>
        </w:rPr>
        <w:t>料行为进行处理。</w:t>
      </w:r>
    </w:p>
    <w:p>
      <w:pPr>
        <w:pStyle w:val="2"/>
        <w:spacing w:line="328" w:lineRule="auto"/>
        <w:ind w:right="938"/>
        <w:jc w:val="both"/>
        <w:rPr>
          <w:b/>
          <w:bCs w:val="0"/>
          <w:color w:val="auto"/>
          <w:sz w:val="24"/>
          <w:szCs w:val="24"/>
        </w:rPr>
      </w:pPr>
      <w:r>
        <w:rPr>
          <w:b/>
          <w:bCs w:val="0"/>
          <w:color w:val="auto"/>
          <w:sz w:val="24"/>
          <w:szCs w:val="24"/>
        </w:rPr>
        <w:t>（五</w:t>
      </w:r>
      <w:r>
        <w:rPr>
          <w:b/>
          <w:bCs w:val="0"/>
          <w:color w:val="auto"/>
          <w:spacing w:val="-12"/>
          <w:sz w:val="24"/>
          <w:szCs w:val="24"/>
        </w:rPr>
        <w:t>）</w:t>
      </w:r>
      <w:r>
        <w:rPr>
          <w:b/>
          <w:bCs w:val="0"/>
          <w:color w:val="auto"/>
          <w:spacing w:val="-1"/>
          <w:sz w:val="24"/>
          <w:szCs w:val="24"/>
        </w:rPr>
        <w:t>不按施工规范技术标准及施工图设计恶意扣减使</w:t>
      </w:r>
      <w:r>
        <w:rPr>
          <w:b/>
          <w:bCs w:val="0"/>
          <w:color w:val="auto"/>
          <w:spacing w:val="-4"/>
          <w:sz w:val="24"/>
          <w:szCs w:val="24"/>
        </w:rPr>
        <w:t>用材料数量，造成工程质量隐患的，项目办除按施工合同约</w:t>
      </w:r>
      <w:r>
        <w:rPr>
          <w:b/>
          <w:bCs w:val="0"/>
          <w:color w:val="auto"/>
          <w:spacing w:val="-3"/>
          <w:sz w:val="24"/>
          <w:szCs w:val="24"/>
        </w:rPr>
        <w:t>定及上述条款给予处罚外，应将事件因果上报施工企业信用</w:t>
      </w:r>
      <w:r>
        <w:rPr>
          <w:b/>
          <w:bCs w:val="0"/>
          <w:color w:val="auto"/>
          <w:spacing w:val="-4"/>
          <w:sz w:val="24"/>
          <w:szCs w:val="24"/>
        </w:rPr>
        <w:t>等级评审部门，作为施工企业信用等级评审的资信参考挂钩</w:t>
      </w:r>
      <w:r>
        <w:rPr>
          <w:b/>
          <w:bCs w:val="0"/>
          <w:color w:val="auto"/>
          <w:sz w:val="24"/>
          <w:szCs w:val="24"/>
        </w:rPr>
        <w:t>资料。</w:t>
      </w:r>
    </w:p>
    <w:p>
      <w:pPr>
        <w:spacing w:before="0" w:line="476" w:lineRule="exact"/>
        <w:ind w:left="763" w:right="0" w:firstLine="0"/>
        <w:jc w:val="both"/>
        <w:rPr>
          <w:b/>
          <w:bCs w:val="0"/>
          <w:color w:val="auto"/>
          <w:sz w:val="24"/>
          <w:szCs w:val="24"/>
        </w:rPr>
      </w:pPr>
      <w:r>
        <w:rPr>
          <w:rFonts w:hint="eastAsia" w:ascii="Microsoft JhengHei" w:eastAsia="Microsoft JhengHei"/>
          <w:b/>
          <w:bCs w:val="0"/>
          <w:color w:val="auto"/>
          <w:sz w:val="24"/>
          <w:szCs w:val="24"/>
        </w:rPr>
        <w:t xml:space="preserve">第四十九条 </w:t>
      </w:r>
      <w:r>
        <w:rPr>
          <w:b/>
          <w:bCs w:val="0"/>
          <w:color w:val="auto"/>
          <w:sz w:val="24"/>
          <w:szCs w:val="24"/>
        </w:rPr>
        <w:t>本办法自下发之日起试行。</w:t>
      </w:r>
    </w:p>
    <w:p>
      <w:pPr>
        <w:rPr>
          <w:rFonts w:hint="eastAsia"/>
          <w:b/>
          <w:bCs w:val="0"/>
          <w:color w:val="auto"/>
          <w:sz w:val="24"/>
          <w:szCs w:val="24"/>
          <w:highlight w:val="none"/>
          <w:lang w:val="en-US" w:eastAsia="zh-CN"/>
        </w:rPr>
      </w:pPr>
      <w:r>
        <w:rPr>
          <w:rFonts w:hint="eastAsia"/>
          <w:b/>
          <w:bCs w:val="0"/>
          <w:color w:val="auto"/>
          <w:sz w:val="24"/>
          <w:szCs w:val="24"/>
          <w:highlight w:val="none"/>
          <w:lang w:val="en-US" w:eastAsia="zh-CN"/>
        </w:rPr>
        <w:br w:type="page"/>
      </w:r>
    </w:p>
    <w:p>
      <w:pPr>
        <w:pStyle w:val="26"/>
        <w:jc w:val="left"/>
        <w:rPr>
          <w:rFonts w:hint="default" w:eastAsia="宋体"/>
          <w:b/>
          <w:bCs w:val="0"/>
          <w:color w:val="auto"/>
          <w:sz w:val="24"/>
          <w:szCs w:val="24"/>
          <w:lang w:val="en-US" w:eastAsia="zh-CN"/>
        </w:rPr>
      </w:pPr>
      <w:r>
        <w:rPr>
          <w:rFonts w:hint="eastAsia"/>
          <w:b/>
          <w:bCs w:val="0"/>
          <w:color w:val="auto"/>
          <w:sz w:val="24"/>
          <w:szCs w:val="24"/>
          <w:lang w:val="en-US" w:eastAsia="zh-CN"/>
        </w:rPr>
        <w:t>附件二</w:t>
      </w:r>
    </w:p>
    <w:p>
      <w:pPr>
        <w:pStyle w:val="26"/>
        <w:jc w:val="center"/>
        <w:rPr>
          <w:rFonts w:hint="eastAsia"/>
          <w:b/>
          <w:bCs w:val="0"/>
          <w:color w:val="auto"/>
          <w:sz w:val="24"/>
          <w:szCs w:val="24"/>
        </w:rPr>
      </w:pPr>
      <w:r>
        <w:rPr>
          <w:rFonts w:hint="eastAsia"/>
          <w:b/>
          <w:bCs w:val="0"/>
          <w:color w:val="auto"/>
          <w:sz w:val="24"/>
          <w:szCs w:val="24"/>
        </w:rPr>
        <w:t>兰海国家高速公路重庆至遵义段（贵州境）扩容工程甲供材料供应管理办法</w:t>
      </w:r>
    </w:p>
    <w:p>
      <w:pPr>
        <w:pStyle w:val="26"/>
        <w:jc w:val="center"/>
        <w:rPr>
          <w:rFonts w:hint="eastAsia"/>
          <w:b/>
          <w:bCs w:val="0"/>
          <w:color w:val="auto"/>
          <w:sz w:val="24"/>
          <w:szCs w:val="24"/>
        </w:rPr>
      </w:pPr>
      <w:r>
        <w:rPr>
          <w:rFonts w:hint="eastAsia"/>
          <w:b/>
          <w:bCs w:val="0"/>
          <w:color w:val="auto"/>
          <w:sz w:val="24"/>
          <w:szCs w:val="24"/>
        </w:rPr>
        <w:t>（供应商）</w:t>
      </w:r>
    </w:p>
    <w:p>
      <w:pPr>
        <w:pStyle w:val="26"/>
        <w:spacing w:line="360" w:lineRule="auto"/>
        <w:rPr>
          <w:rFonts w:hint="eastAsia"/>
          <w:b/>
          <w:bCs w:val="0"/>
          <w:color w:val="auto"/>
          <w:sz w:val="24"/>
          <w:szCs w:val="24"/>
        </w:rPr>
      </w:pPr>
      <w:r>
        <w:rPr>
          <w:rFonts w:hint="eastAsia"/>
          <w:b/>
          <w:bCs w:val="0"/>
          <w:color w:val="auto"/>
          <w:sz w:val="24"/>
          <w:szCs w:val="24"/>
        </w:rPr>
        <w:t xml:space="preserve"> </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为确保本项目的工程进度，保质、保量、及时做好材料的供应，理顺材料采购与供应流程，规范材料采购、计划、运输、现场管理以及款项结算等各项工作，明确有关各方的权利义务，根据《贵州高速公路集团有限公司建设项目甲供材料管理办法》和本项目的工程施工、监理、材料采购等招标文件条款及国家有关技术标准和规范，特制定本办法。</w:t>
      </w:r>
    </w:p>
    <w:p>
      <w:pPr>
        <w:pStyle w:val="26"/>
        <w:spacing w:line="300" w:lineRule="auto"/>
        <w:jc w:val="center"/>
        <w:rPr>
          <w:rFonts w:hint="eastAsia"/>
          <w:b/>
          <w:bCs w:val="0"/>
          <w:color w:val="auto"/>
          <w:sz w:val="24"/>
          <w:szCs w:val="24"/>
        </w:rPr>
      </w:pPr>
      <w:r>
        <w:rPr>
          <w:rFonts w:hint="eastAsia"/>
          <w:b/>
          <w:bCs w:val="0"/>
          <w:color w:val="auto"/>
          <w:sz w:val="24"/>
          <w:szCs w:val="24"/>
        </w:rPr>
        <w:t>第一章  总则</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第一条  定义</w:t>
      </w:r>
    </w:p>
    <w:p>
      <w:pPr>
        <w:pStyle w:val="26"/>
        <w:ind w:firstLine="482" w:firstLineChars="200"/>
        <w:rPr>
          <w:rFonts w:hint="eastAsia"/>
          <w:b/>
          <w:bCs w:val="0"/>
          <w:color w:val="auto"/>
          <w:sz w:val="24"/>
          <w:szCs w:val="24"/>
        </w:rPr>
      </w:pPr>
      <w:r>
        <w:rPr>
          <w:rFonts w:hint="eastAsia"/>
          <w:b/>
          <w:bCs w:val="0"/>
          <w:color w:val="auto"/>
          <w:sz w:val="24"/>
          <w:szCs w:val="24"/>
        </w:rPr>
        <w:t>1、项目业主：指执行本建设项目投资计划的单位，或其指定的负责管理本建设项目的代表机构，以及取得该当事人(单位)资格的合法继承人(单位)。兰海国家高速公路重庆至遵义段（贵州境）扩容工程</w:t>
      </w:r>
      <w:r>
        <w:rPr>
          <w:rFonts w:hint="eastAsia"/>
          <w:b/>
          <w:bCs w:val="0"/>
          <w:color w:val="auto"/>
          <w:sz w:val="24"/>
          <w:szCs w:val="24"/>
          <w:u w:val="single"/>
        </w:rPr>
        <w:t>建设项目办公室</w:t>
      </w:r>
      <w:r>
        <w:rPr>
          <w:rFonts w:hint="eastAsia"/>
          <w:b/>
          <w:bCs w:val="0"/>
          <w:color w:val="auto"/>
          <w:sz w:val="24"/>
          <w:szCs w:val="24"/>
        </w:rPr>
        <w:t>（以下简称：项目办），是本项目建设的组织和管理者。对本项目所指定的甲供材料的采购、供应全过程进行监管。</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2、监理工程师：指贵州高速公路集团有限公司委托的或指定的承担本项目工程监理工作的单位或个人。监理单位：</w:t>
      </w:r>
      <w:r>
        <w:rPr>
          <w:rFonts w:hint="eastAsia"/>
          <w:b/>
          <w:bCs w:val="0"/>
          <w:color w:val="auto"/>
          <w:sz w:val="24"/>
          <w:szCs w:val="24"/>
          <w:u w:val="single"/>
        </w:rPr>
        <w:t xml:space="preserve">            </w:t>
      </w:r>
      <w:r>
        <w:rPr>
          <w:rFonts w:hint="eastAsia"/>
          <w:b/>
          <w:bCs w:val="0"/>
          <w:color w:val="auto"/>
          <w:sz w:val="24"/>
          <w:szCs w:val="24"/>
        </w:rPr>
        <w:t>（以下简称“监理”），依照监理合同对项目工程建设过程（包括材料质量）进行监理。</w:t>
      </w:r>
    </w:p>
    <w:p>
      <w:pPr>
        <w:pStyle w:val="26"/>
        <w:spacing w:line="300" w:lineRule="auto"/>
        <w:ind w:right="-101" w:firstLine="482" w:firstLineChars="200"/>
        <w:jc w:val="both"/>
        <w:rPr>
          <w:rFonts w:hint="eastAsia"/>
          <w:b/>
          <w:bCs w:val="0"/>
          <w:color w:val="auto"/>
          <w:sz w:val="24"/>
          <w:szCs w:val="24"/>
        </w:rPr>
      </w:pPr>
      <w:r>
        <w:rPr>
          <w:rFonts w:hint="eastAsia"/>
          <w:b/>
          <w:bCs w:val="0"/>
          <w:color w:val="auto"/>
          <w:sz w:val="24"/>
          <w:szCs w:val="24"/>
        </w:rPr>
        <w:t>3、材料供应专业管理公司：指贵州高速公路集团有限公司委托或指定对本项目材料供应全过程实施业务管理的专业公司。本项目材料供应专业管理公司：</w:t>
      </w:r>
      <w:r>
        <w:rPr>
          <w:rFonts w:hint="eastAsia"/>
          <w:b/>
          <w:bCs w:val="0"/>
          <w:color w:val="auto"/>
          <w:sz w:val="24"/>
          <w:szCs w:val="24"/>
          <w:u w:val="single"/>
        </w:rPr>
        <w:t>贵州交通物流集团有限公司</w:t>
      </w:r>
      <w:r>
        <w:rPr>
          <w:rFonts w:hint="eastAsia"/>
          <w:b/>
          <w:bCs w:val="0"/>
          <w:color w:val="auto"/>
          <w:sz w:val="24"/>
          <w:szCs w:val="24"/>
        </w:rPr>
        <w:t>（以下简称“管理公司”），负责材料计划、采购、仓储保管、供应、验收、结算支付等管理工作。</w:t>
      </w:r>
    </w:p>
    <w:p>
      <w:pPr>
        <w:pStyle w:val="26"/>
        <w:spacing w:line="300" w:lineRule="auto"/>
        <w:ind w:firstLine="482" w:firstLineChars="200"/>
        <w:jc w:val="both"/>
        <w:rPr>
          <w:rFonts w:hint="eastAsia"/>
          <w:b/>
          <w:bCs w:val="0"/>
          <w:color w:val="auto"/>
          <w:sz w:val="24"/>
          <w:szCs w:val="24"/>
        </w:rPr>
      </w:pPr>
      <w:r>
        <w:rPr>
          <w:rFonts w:hint="eastAsia"/>
          <w:b/>
          <w:bCs w:val="0"/>
          <w:color w:val="auto"/>
          <w:sz w:val="24"/>
          <w:szCs w:val="24"/>
        </w:rPr>
        <w:t>4、施工单位：指其投标已为贵州高速公路集团有限公司所接受，并与贵州高速公路集团有限公司签订了施工合同协议书，负责承建本标段工程项目的当事人（单位），以及取得该当事人(单位)资格的合法继承人(单位)。施工单位在甲供材料供应业务中接受项目办（总监办）、监理和管理公司的管理。</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5、供应厂商：指其投标已为贵州高速公路集团有限公司所接受，并与贵州高速公路集团有限公司签订了合同协议书的当事人（单位），以及取得该当事人（单位）资格的合法继承人（单位）。根据甲供材料《采购合同》规定对中标标段实施材料供应，并接受项目办（总监办）、监理、管理公司的监督管理。</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第二条  适用范围和适用单位。适用范围：本工程所使用的甲供材料采购、计划、运输装卸、现场管理以及款项结算。适用单位：项目办（总监办）、监理、管理公司、供应厂商、施工单位，各方应遵照本管理办法执行。</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第三条  本项目使用的甲供材料由贵州高速公路集团有限公司招标选定供应厂商供应，由贵州高速公路集团有限公司委托管理公司进行业务管理。施工单位不得擅自采购《供应合同》所明确的甲供材料用于本工程，如有发现，项目办或管理公司将按自行采购材料金额的双倍处以违约金。任何施工单位不得将任何品种的甲供材料挪用到本工程以外的其他用途，如有发现，项目办或管理公司将按挪用甲供材料金额的双倍处以违约金。</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第四条  所有用于本工程的甲供材料，其质量必须符合相关技术规范及其引用的标准并满足有关要求，必须按相应的材料标准和试验规程进行材料性能试验或质量检验。不合格材料不得用于本工程。</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第五条  为规范甲供材料采购、供应和结算等工作的管理，管理公司、监理单位、材料供应厂商、施工单位须按项目办要求，有偿使用贵州高速公路甲供建设物资管理系统（简称“甲供物资管理平台”），并按相关技术和管理规范运行。材料供应商在报价中应充分考虑软件使用权、软件部署和实施、操作人员培训、软件维护、数据安全和备份管理等有关费用。</w:t>
      </w:r>
    </w:p>
    <w:p>
      <w:pPr>
        <w:pStyle w:val="26"/>
        <w:spacing w:line="300" w:lineRule="auto"/>
        <w:jc w:val="center"/>
        <w:rPr>
          <w:rFonts w:hint="eastAsia"/>
          <w:b/>
          <w:bCs w:val="0"/>
          <w:color w:val="auto"/>
          <w:sz w:val="24"/>
          <w:szCs w:val="24"/>
        </w:rPr>
      </w:pPr>
      <w:r>
        <w:rPr>
          <w:rFonts w:hint="eastAsia"/>
          <w:b/>
          <w:bCs w:val="0"/>
          <w:color w:val="auto"/>
          <w:sz w:val="24"/>
          <w:szCs w:val="24"/>
        </w:rPr>
        <w:t>第二章  管理组织机构</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第六条  管理公司全面负责本项目甲供材料采购与供应的全过程管理，并承担相应责任。当受到某些不可预见因素影响出现材料的供应不能满足施工单位的需求情况时，管理公司负责对计划内材料组织采购调配，供应厂商应予积极配合。</w:t>
      </w:r>
    </w:p>
    <w:p>
      <w:pPr>
        <w:pStyle w:val="26"/>
        <w:spacing w:line="300" w:lineRule="auto"/>
        <w:ind w:firstLine="480"/>
        <w:rPr>
          <w:rFonts w:hint="eastAsia"/>
          <w:b/>
          <w:bCs w:val="0"/>
          <w:color w:val="auto"/>
          <w:sz w:val="24"/>
          <w:szCs w:val="24"/>
        </w:rPr>
      </w:pPr>
      <w:r>
        <w:rPr>
          <w:rFonts w:hint="eastAsia"/>
          <w:b/>
          <w:bCs w:val="0"/>
          <w:color w:val="auto"/>
          <w:sz w:val="24"/>
          <w:szCs w:val="24"/>
        </w:rPr>
        <w:t xml:space="preserve">第七条  </w:t>
      </w:r>
      <w:r>
        <w:rPr>
          <w:rFonts w:hint="eastAsia"/>
          <w:b/>
          <w:bCs w:val="0"/>
          <w:color w:val="auto"/>
          <w:sz w:val="24"/>
          <w:szCs w:val="24"/>
          <w:u w:val="none"/>
        </w:rPr>
        <w:t>管理公司成立</w:t>
      </w:r>
      <w:r>
        <w:rPr>
          <w:rFonts w:hint="eastAsia"/>
          <w:b/>
          <w:bCs w:val="0"/>
          <w:color w:val="auto"/>
          <w:sz w:val="24"/>
          <w:szCs w:val="24"/>
          <w:u w:val="single"/>
        </w:rPr>
        <w:t>“兰海国家高速公路重庆至遵义段（贵州境）扩容工程</w:t>
      </w:r>
      <w:r>
        <w:rPr>
          <w:rFonts w:hint="eastAsia"/>
          <w:b/>
          <w:bCs w:val="0"/>
          <w:color w:val="auto"/>
          <w:sz w:val="24"/>
          <w:szCs w:val="24"/>
          <w:u w:val="single"/>
          <w:lang w:eastAsia="zh-CN"/>
        </w:rPr>
        <w:t>甲供材料项目部</w:t>
      </w:r>
      <w:r>
        <w:rPr>
          <w:rFonts w:hint="eastAsia"/>
          <w:b/>
          <w:bCs w:val="0"/>
          <w:color w:val="auto"/>
          <w:sz w:val="24"/>
          <w:szCs w:val="24"/>
          <w:u w:val="single"/>
        </w:rPr>
        <w:t>”</w:t>
      </w:r>
      <w:r>
        <w:rPr>
          <w:rFonts w:hint="eastAsia"/>
          <w:b/>
          <w:bCs w:val="0"/>
          <w:color w:val="auto"/>
          <w:sz w:val="24"/>
          <w:szCs w:val="24"/>
        </w:rPr>
        <w:t>（ 以下简称“材料项目部”），并指派责任心强的专职材料管理人员常驻项目所在地，代表项目办（总监办）和管理公司负责对供应商和施工单位的甲供材料的采购、计划、储备、运输装卸、现场管理及制作相关的材料统计报表和款项结算（初审）等全过程实行全面管理和协调。</w:t>
      </w:r>
    </w:p>
    <w:p>
      <w:pPr>
        <w:pStyle w:val="26"/>
        <w:spacing w:line="300" w:lineRule="auto"/>
        <w:jc w:val="center"/>
        <w:rPr>
          <w:rFonts w:hint="eastAsia"/>
          <w:b/>
          <w:bCs w:val="0"/>
          <w:color w:val="auto"/>
          <w:sz w:val="24"/>
          <w:szCs w:val="24"/>
        </w:rPr>
      </w:pPr>
      <w:r>
        <w:rPr>
          <w:rFonts w:hint="eastAsia"/>
          <w:b/>
          <w:bCs w:val="0"/>
          <w:color w:val="auto"/>
          <w:sz w:val="24"/>
          <w:szCs w:val="24"/>
        </w:rPr>
        <w:t>第三章  采购过程管理</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第八条  供应厂商在接受贵州高速公路集团有限公司中标通知，并签订了采购合同（协议）并设立自备中转仓库配送货物时（如果有），必须在项目办（总监办）和管理公司监督下进行。材料中转仓库规模、设施配备、堆放场地、物流配送能力及办公场所必须满足合同强制性标准及业主要求，且24小时有专人管理。材料管理公司有权对其实施检查、整改，以满足项目工程的需求保障。</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第九条  供应厂商在本项目供应材料过程中不得更换中标品牌（包括生产厂址），特殊情况下如需更换品牌或生产厂址，必须经过项目办(总监办)和管理公司书面批准。如果供应厂商未经批准擅自调换品牌（厂址）或提供冒牌伪劣产品，材料一律没收，并按所供应数量处以五倍的违约金。情节严重（或因此造成重大质量事故）的，除取消其材料合同供应资格外，还将追究当事人的相关法律责任。</w:t>
      </w:r>
    </w:p>
    <w:p>
      <w:pPr>
        <w:pStyle w:val="26"/>
        <w:spacing w:line="300" w:lineRule="auto"/>
        <w:jc w:val="center"/>
        <w:rPr>
          <w:rFonts w:hint="eastAsia"/>
          <w:b/>
          <w:bCs w:val="0"/>
          <w:color w:val="auto"/>
          <w:sz w:val="24"/>
          <w:szCs w:val="24"/>
        </w:rPr>
      </w:pPr>
      <w:r>
        <w:rPr>
          <w:rFonts w:hint="eastAsia"/>
          <w:b/>
          <w:bCs w:val="0"/>
          <w:color w:val="auto"/>
          <w:sz w:val="24"/>
          <w:szCs w:val="24"/>
        </w:rPr>
        <w:t>第四章  材料需求计划与供应计划</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第十条  中标并签订了采购合同的生产供应厂商，应无偿提供进场的业主中心试验室及各施工单位做混凝土和水泥砂浆集配用的水泥试样产品。</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第十一条  材料需求计划</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1、总需求量计划：施工单位应在进场后30日内根据各自合同段的材料使用数量和施工组织设计编制统一采购供应材料的总需求量计划（总偏差量要求控制在±</w:t>
      </w:r>
      <w:r>
        <w:rPr>
          <w:rFonts w:hint="eastAsia"/>
          <w:b/>
          <w:bCs w:val="0"/>
          <w:color w:val="auto"/>
          <w:sz w:val="24"/>
          <w:szCs w:val="24"/>
        </w:rPr>
        <w:tab/>
      </w:r>
      <w:r>
        <w:rPr>
          <w:rFonts w:hint="eastAsia"/>
          <w:b/>
          <w:bCs w:val="0"/>
          <w:color w:val="auto"/>
          <w:sz w:val="24"/>
          <w:szCs w:val="24"/>
        </w:rPr>
        <w:t>以内），需求计划要求落实到各月份（将来各月份的需求计划可根据工程实际进度调整），经驻地监理审核签认后，报项目办(总监办)和材料项目部。材料项目部把经审核同意后的各标段总用量计划，下达供应厂商。</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2、月度供应计划：每月20日前由材料项目部提供下个月度材料供应计划，供应厂商应及时做好材料的生产、运输和保供筹备工作。</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3、批次需求计划：在月度计划数量内，对于每批材料的供应，材料项目部根据施工单位的具体需求提前三天向材料供应厂商用传真下达。</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非材料项目部提供的总需求量计划、月度需求（供应）计划和批次需求计划都是无效的计划，项目办(总监办)和材料管理公司均不予认可。</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4、当月申报材料数量当月有效，并以实际到货时间为界限。计划未执行部分自然作废，须在申报下月材料计划时重新列报。</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第十二条  材料供应计划</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1、材料项目部根据各施工单位提交的材料总需求量计划和月度需求计划，编制本项目材料供应总体计划、材料月度供应计划下达给各供应厂商。</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2、供应厂商应严格按材料项目部的供应总体计划、材料月度供应计划和当月批次计划组织充足的货源，并根据交货时间要求及时运送到规定的交货地点。</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3、施工单位因故对已申报的材料计划有变动时，材料项目部调整计划后，书面下达供应厂商，供应厂商应予及时调整发货计划。</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4、若供应厂商因故不能按申报材料计划及时供应材料，供应厂商应提前3天书面通知材料项目部材料员，并说明原因及最快可在什么时间恢复供货承诺。如工程急需，</w:t>
      </w:r>
      <w:r>
        <w:rPr>
          <w:b/>
          <w:bCs w:val="0"/>
          <w:color w:val="auto"/>
          <w:sz w:val="24"/>
          <w:szCs w:val="24"/>
        </w:rPr>
        <w:t>由管理公司采购同一类别的材料应急使用</w:t>
      </w:r>
      <w:r>
        <w:rPr>
          <w:rFonts w:hint="eastAsia"/>
          <w:b/>
          <w:bCs w:val="0"/>
          <w:color w:val="auto"/>
          <w:sz w:val="24"/>
          <w:szCs w:val="24"/>
        </w:rPr>
        <w:t>，</w:t>
      </w:r>
      <w:r>
        <w:rPr>
          <w:b/>
          <w:bCs w:val="0"/>
          <w:color w:val="auto"/>
          <w:sz w:val="24"/>
          <w:szCs w:val="24"/>
        </w:rPr>
        <w:t>直到供应商可恢复供货</w:t>
      </w:r>
      <w:r>
        <w:rPr>
          <w:rFonts w:hint="eastAsia"/>
          <w:b/>
          <w:bCs w:val="0"/>
          <w:color w:val="auto"/>
          <w:sz w:val="24"/>
          <w:szCs w:val="24"/>
        </w:rPr>
        <w:t>，应急</w:t>
      </w:r>
      <w:r>
        <w:rPr>
          <w:b/>
          <w:bCs w:val="0"/>
          <w:color w:val="auto"/>
          <w:sz w:val="24"/>
          <w:szCs w:val="24"/>
        </w:rPr>
        <w:t>数量及时间向项目办（总监办）报备</w:t>
      </w:r>
      <w:r>
        <w:rPr>
          <w:rFonts w:hint="eastAsia"/>
          <w:b/>
          <w:bCs w:val="0"/>
          <w:color w:val="auto"/>
          <w:sz w:val="24"/>
          <w:szCs w:val="24"/>
        </w:rPr>
        <w:t>。若另行采购的材料价格高于供应厂商的中标价，差价部分由管理公司在支付供应厂商材料货款或履约保证金中扣除。</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5、供应厂商不能按材料项目部提供的材料供应计划及时供应材料，造成施工单位误工、停工等一切损失，由供应厂商负责赔偿。</w:t>
      </w:r>
    </w:p>
    <w:p>
      <w:pPr>
        <w:pStyle w:val="26"/>
        <w:spacing w:line="300" w:lineRule="auto"/>
        <w:jc w:val="center"/>
        <w:rPr>
          <w:rFonts w:hint="eastAsia"/>
          <w:b/>
          <w:bCs w:val="0"/>
          <w:color w:val="auto"/>
          <w:sz w:val="24"/>
          <w:szCs w:val="24"/>
        </w:rPr>
      </w:pPr>
      <w:r>
        <w:rPr>
          <w:rFonts w:hint="eastAsia"/>
          <w:b/>
          <w:bCs w:val="0"/>
          <w:color w:val="auto"/>
          <w:sz w:val="24"/>
          <w:szCs w:val="24"/>
        </w:rPr>
        <w:t>第五章   材料的运输及装卸</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第十三条  供应厂商负责将材料运到施工单位或管理公司规定的仓库或场地交货。材料在运输途中的毁损、灭失的风险由供应厂商承担并自行办理理赔事宜。</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第十四条  水泥材料品种规格不同时，每车货物不得混运。对个别用量较少、规格分散的钢材需混运时，不同品规的货物必须用鲜明标志加以隔离区分。</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第十五条  材料运输至施工单位或管理公司的仓库或场地后，由施工单位或材料公司的专职材料管理人员及时组织卸货并验收。</w:t>
      </w:r>
    </w:p>
    <w:p>
      <w:pPr>
        <w:pStyle w:val="26"/>
        <w:spacing w:line="300" w:lineRule="auto"/>
        <w:jc w:val="center"/>
        <w:rPr>
          <w:rFonts w:hint="eastAsia"/>
          <w:b/>
          <w:bCs w:val="0"/>
          <w:color w:val="auto"/>
          <w:sz w:val="24"/>
          <w:szCs w:val="24"/>
        </w:rPr>
      </w:pPr>
      <w:r>
        <w:rPr>
          <w:rFonts w:hint="eastAsia"/>
          <w:b/>
          <w:bCs w:val="0"/>
          <w:color w:val="auto"/>
          <w:sz w:val="24"/>
          <w:szCs w:val="24"/>
        </w:rPr>
        <w:t>第六章  材料的外观鉴定及现场签收、质量检验</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第十六条  所有运至工地的材料必须有随货同行的出厂合格证书/检验报告单。如缺少材料的合格证明书/检验报告单，施工单位应配合暂时接收该批材料，待出厂合格证书/检验报告到达后，再办理材料有关接收手续，如材料的出厂合格证/检验报告齐全且材料外观检验合格，施工单位必须当天办理接收手续。</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第十七条  每批水泥应按其品种、标号、出厂编号等不同，分批进行外观检查、试验和鉴定（一般需驻地监理工程师参与，下同）。外观检查要求：包装口无破损，水泥无混杂，包装袋上厂牌标号、生产许可证编号、包装日期等标志清晰可辨，色泽一致，无受潮、无结块现象。试验取样须从不同堆放位置抽取水泥样品（取样方法按GB12573进行）送至试验室按检验规范进行检测。水泥出厂的检验报告单由供应厂商在水泥发出之日起7天内送达除28天强度以外的各项检验结果，32天内补报28天强度的检验结果。每批次材料质量保证书应同时加盖供应厂商公章另送一份交材料项目部存档备查。</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第十八条  每批钢材、钢绞线、型钢运到工地都必须作外观鉴定和试验。外观检查：钢材无严重外观缺陷，无严重锈蚀、扭曲，有产品铭牌、出厂编号（炉批号）、质检证明书。钢材、钢绞线、型钢的取样与试验按国家标准执行。</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第十九条  供应厂商每次送料到达中心仓库或施工方规定仓库场地时，中心仓库或施工单位材料员按验收规范确认数量品牌、规格型号、出厂时间与质保书/合格证、铭牌相符后应及时在随货同行的收料单上签字并盖材料验收公章或其它有效公章确认。但该签章并不表示收货单位对材料质量的确认及接受，只有经过检测合格后的材料才能正式成为施工单位的物资材料。</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第二十条  进场材料应按规范及时进行取样检验，检验费用由施工单位和监理各按合同条款规定分别承担。如出现质量异议，应及时通知管理公司、中心试验室、监理，施工单位和材料生产厂商48小时内在各方共同见证下重新抽检后，由业主委托有资质的检测机构出具的检测报告为最终结果。如不合格，检测费用由供应厂商承担；如合格，检测费用由提出异议方承担。终检结果被判定为不合格的产品必须及时清退并移出施工场地，由此产生的一切费用由供应厂商承担。</w:t>
      </w:r>
    </w:p>
    <w:p>
      <w:pPr>
        <w:pStyle w:val="26"/>
        <w:spacing w:line="300" w:lineRule="auto"/>
        <w:jc w:val="center"/>
        <w:rPr>
          <w:rFonts w:hint="eastAsia"/>
          <w:b/>
          <w:bCs w:val="0"/>
          <w:color w:val="auto"/>
          <w:sz w:val="24"/>
          <w:szCs w:val="24"/>
        </w:rPr>
      </w:pPr>
      <w:r>
        <w:rPr>
          <w:rFonts w:hint="eastAsia"/>
          <w:b/>
          <w:bCs w:val="0"/>
          <w:color w:val="auto"/>
          <w:sz w:val="24"/>
          <w:szCs w:val="24"/>
        </w:rPr>
        <w:t>第七章   材料的保供和相关服务</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第二十一条  当供应厂商在材料的生产、供应出现紧张或意外事故时，对有限资源应优先保证本项目供应，如分配专供材料、开辟绿色通道等。必要时中标厂商要协助管理公司派人驻生产厂监督生产与发货。</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第二十二条：为保证本工程项目材料及时顺畅的保供，供应厂商应设立专门机构和人员（必要时驻点），协调需求与供应矛盾；材料质检单（合格证书）的送达；配合材料项目部定期或不定期的走访施工单位、监理、中心试验室和项目办（总监办），介绍材料性能特点和提供必要的技术指导，收集在使用中对材料的适配性、特殊性要求反馈回本部研究改进；及时到现场处理所供材料的质量或数量异议。</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第二十三条：供应厂商应有责任和义务向施工单位提供辅助性技术支持，在材料的仓储保管方面，提供合规易行的建议方案。</w:t>
      </w:r>
    </w:p>
    <w:p>
      <w:pPr>
        <w:pStyle w:val="26"/>
        <w:spacing w:line="300" w:lineRule="auto"/>
        <w:jc w:val="center"/>
        <w:rPr>
          <w:rFonts w:hint="eastAsia"/>
          <w:b/>
          <w:bCs w:val="0"/>
          <w:color w:val="auto"/>
          <w:sz w:val="24"/>
          <w:szCs w:val="24"/>
        </w:rPr>
      </w:pPr>
      <w:r>
        <w:rPr>
          <w:rFonts w:hint="eastAsia"/>
          <w:b/>
          <w:bCs w:val="0"/>
          <w:color w:val="auto"/>
          <w:sz w:val="24"/>
          <w:szCs w:val="24"/>
        </w:rPr>
        <w:t>第八章  材料款的结算及支付</w:t>
      </w:r>
    </w:p>
    <w:p>
      <w:pPr>
        <w:pStyle w:val="26"/>
        <w:spacing w:line="300" w:lineRule="auto"/>
        <w:ind w:firstLine="480"/>
        <w:rPr>
          <w:rFonts w:hint="eastAsia"/>
          <w:b/>
          <w:bCs w:val="0"/>
          <w:color w:val="auto"/>
          <w:sz w:val="24"/>
          <w:szCs w:val="24"/>
        </w:rPr>
      </w:pPr>
      <w:r>
        <w:rPr>
          <w:rFonts w:hint="eastAsia"/>
          <w:b/>
          <w:bCs w:val="0"/>
          <w:color w:val="auto"/>
          <w:sz w:val="24"/>
          <w:szCs w:val="24"/>
        </w:rPr>
        <w:t>第二十四条   月度材料结算核对确认：</w:t>
      </w:r>
    </w:p>
    <w:p>
      <w:pPr>
        <w:pStyle w:val="26"/>
        <w:spacing w:line="300" w:lineRule="auto"/>
        <w:ind w:firstLine="494" w:firstLineChars="205"/>
        <w:rPr>
          <w:rFonts w:hint="eastAsia"/>
          <w:b/>
          <w:bCs w:val="0"/>
          <w:color w:val="auto"/>
          <w:sz w:val="24"/>
          <w:szCs w:val="24"/>
        </w:rPr>
      </w:pPr>
      <w:r>
        <w:rPr>
          <w:rFonts w:hint="eastAsia"/>
          <w:b/>
          <w:bCs w:val="0"/>
          <w:color w:val="auto"/>
          <w:sz w:val="24"/>
          <w:szCs w:val="24"/>
        </w:rPr>
        <w:t>1、材料供应计量日期：自本月 1 日起至本月末止为月度计量期。每月1日5日（节假日顺延）为各施工单位和各材料供应厂商月度材料结算核对时间。</w:t>
      </w:r>
    </w:p>
    <w:p>
      <w:pPr>
        <w:pStyle w:val="26"/>
        <w:spacing w:line="300" w:lineRule="auto"/>
        <w:ind w:firstLine="494" w:firstLineChars="205"/>
        <w:rPr>
          <w:rFonts w:hint="eastAsia"/>
          <w:b/>
          <w:bCs w:val="0"/>
          <w:color w:val="auto"/>
          <w:sz w:val="24"/>
          <w:szCs w:val="24"/>
        </w:rPr>
      </w:pPr>
      <w:r>
        <w:rPr>
          <w:rFonts w:hint="eastAsia"/>
          <w:b/>
          <w:bCs w:val="0"/>
          <w:color w:val="auto"/>
          <w:sz w:val="24"/>
          <w:szCs w:val="24"/>
        </w:rPr>
        <w:t>2、材料供应厂商必须在上述规定时间内备齐有关资料〔签收单、公章、各标段供应清单（附表4）、分标段供应数量汇总表（附表5）和月度供应结算确认表（附表6）〕，统一到材料项目部进行月度供应材料核对。</w:t>
      </w:r>
    </w:p>
    <w:p>
      <w:pPr>
        <w:pStyle w:val="26"/>
        <w:spacing w:line="300" w:lineRule="auto"/>
        <w:ind w:firstLine="494" w:firstLineChars="205"/>
        <w:rPr>
          <w:rFonts w:hint="eastAsia"/>
          <w:b/>
          <w:bCs w:val="0"/>
          <w:color w:val="auto"/>
          <w:sz w:val="24"/>
          <w:szCs w:val="24"/>
        </w:rPr>
      </w:pPr>
      <w:r>
        <w:rPr>
          <w:rFonts w:hint="eastAsia"/>
          <w:b/>
          <w:bCs w:val="0"/>
          <w:color w:val="auto"/>
          <w:sz w:val="24"/>
          <w:szCs w:val="24"/>
        </w:rPr>
        <w:t>3、供应厂商原指定人员如因特殊原因不能按时参加结算核对，应书面委托其他人员办理，否则，将停止支付当月材料款，顺延至下月支付。</w:t>
      </w:r>
    </w:p>
    <w:p>
      <w:pPr>
        <w:pStyle w:val="26"/>
        <w:spacing w:line="300" w:lineRule="auto"/>
        <w:ind w:firstLine="494" w:firstLineChars="205"/>
        <w:rPr>
          <w:rFonts w:hint="eastAsia"/>
          <w:b/>
          <w:bCs w:val="0"/>
          <w:color w:val="auto"/>
          <w:sz w:val="24"/>
          <w:szCs w:val="24"/>
        </w:rPr>
      </w:pPr>
      <w:r>
        <w:rPr>
          <w:rFonts w:hint="eastAsia"/>
          <w:b/>
          <w:bCs w:val="0"/>
          <w:color w:val="auto"/>
          <w:sz w:val="24"/>
          <w:szCs w:val="24"/>
        </w:rPr>
        <w:t>4、经核对无误后供应厂商须在各标段供应清单（附表4）、分标段供应数量汇总表（附表5）和月度供应结算确认表（附表6）上签字盖章确认，并应在对账日后5个工作日内按《采购合同》规定向材料管理公司提交销售发票（由供应商开具一张包含投标单价的增值税专用发票，不接受非合同主体方开具的发票）。</w:t>
      </w:r>
    </w:p>
    <w:p>
      <w:pPr>
        <w:pStyle w:val="26"/>
        <w:spacing w:line="300" w:lineRule="auto"/>
        <w:ind w:firstLine="494" w:firstLineChars="205"/>
        <w:rPr>
          <w:rFonts w:hint="eastAsia"/>
          <w:b/>
          <w:bCs w:val="0"/>
          <w:color w:val="auto"/>
          <w:sz w:val="24"/>
          <w:szCs w:val="24"/>
        </w:rPr>
      </w:pPr>
      <w:r>
        <w:rPr>
          <w:rFonts w:hint="eastAsia"/>
          <w:b/>
          <w:bCs w:val="0"/>
          <w:color w:val="auto"/>
          <w:sz w:val="24"/>
          <w:szCs w:val="24"/>
        </w:rPr>
        <w:t>未在规定时间内交齐结算资料的（含发票），材料款本月内不再支付，统一挪到次月结算后再一并支付，由此带来的损失和影响供应商自行承担。</w:t>
      </w:r>
    </w:p>
    <w:p>
      <w:pPr>
        <w:pStyle w:val="26"/>
        <w:spacing w:line="300" w:lineRule="auto"/>
        <w:ind w:firstLine="494" w:firstLineChars="205"/>
        <w:rPr>
          <w:rFonts w:hint="eastAsia"/>
          <w:b/>
          <w:bCs w:val="0"/>
          <w:color w:val="auto"/>
          <w:sz w:val="24"/>
          <w:szCs w:val="24"/>
        </w:rPr>
      </w:pPr>
      <w:r>
        <w:rPr>
          <w:rFonts w:hint="eastAsia"/>
          <w:b/>
          <w:bCs w:val="0"/>
          <w:color w:val="auto"/>
          <w:sz w:val="24"/>
          <w:szCs w:val="24"/>
        </w:rPr>
        <w:t>5、集团公司根据相关规定及各方确认的供应数量和结算金额，完整的结算票据，按照合同约定，在每月工程计量款拨付时扣</w:t>
      </w:r>
      <w:r>
        <w:rPr>
          <w:rFonts w:hint="eastAsia"/>
          <w:b/>
          <w:bCs w:val="0"/>
          <w:color w:val="auto"/>
          <w:sz w:val="24"/>
          <w:szCs w:val="24"/>
          <w:lang w:eastAsia="zh-CN"/>
        </w:rPr>
        <w:t>除</w:t>
      </w:r>
      <w:r>
        <w:rPr>
          <w:rFonts w:hint="eastAsia"/>
          <w:b/>
          <w:bCs w:val="0"/>
          <w:color w:val="auto"/>
          <w:sz w:val="24"/>
          <w:szCs w:val="24"/>
        </w:rPr>
        <w:t>材料结算款并通过材料管理公司支付给供应厂商，管理公司与供应商对账确认后90天支付材料款，如项目资金紧缺的情况下，应适当延长支付周期或按一定比例支付。</w:t>
      </w:r>
    </w:p>
    <w:p>
      <w:pPr>
        <w:pStyle w:val="26"/>
        <w:spacing w:line="300" w:lineRule="auto"/>
        <w:ind w:firstLine="494" w:firstLineChars="205"/>
        <w:rPr>
          <w:rFonts w:hint="eastAsia"/>
          <w:b/>
          <w:bCs w:val="0"/>
          <w:color w:val="auto"/>
          <w:sz w:val="24"/>
          <w:szCs w:val="24"/>
        </w:rPr>
      </w:pPr>
      <w:r>
        <w:rPr>
          <w:rFonts w:hint="eastAsia"/>
          <w:b/>
          <w:bCs w:val="0"/>
          <w:color w:val="auto"/>
          <w:sz w:val="24"/>
          <w:szCs w:val="24"/>
        </w:rPr>
        <w:t>6、如施工单位或供应厂商对扣除和支付材料款有异议时，可向材料项目部书面提出申请，如有差错，由材料项目部组织各方重新核对，经确认后书面提交项目办(总监办)，集团公司在次月支付材料款时调整。</w:t>
      </w:r>
    </w:p>
    <w:p>
      <w:pPr>
        <w:pStyle w:val="26"/>
        <w:spacing w:line="300" w:lineRule="auto"/>
        <w:jc w:val="center"/>
        <w:rPr>
          <w:rFonts w:hint="eastAsia"/>
          <w:b/>
          <w:bCs w:val="0"/>
          <w:color w:val="auto"/>
          <w:sz w:val="24"/>
          <w:szCs w:val="24"/>
        </w:rPr>
      </w:pPr>
      <w:r>
        <w:rPr>
          <w:rFonts w:hint="eastAsia"/>
          <w:b/>
          <w:bCs w:val="0"/>
          <w:color w:val="auto"/>
          <w:sz w:val="24"/>
          <w:szCs w:val="24"/>
        </w:rPr>
        <w:t>第九章  材料供应问题的争议及解决</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第二十五条  材料送到工地后，如施工单位对其数量或重量提出异议，施工单位应在承运人未离开时提出交涉复检、复磅。复磅应选择有省、地级技术监督局检验合格（有检验合格证且未过期）并且距离施工现场较近的公磅处进行。如复检、复磅数量与送货单数量之差不超过±3‰范围，以送货单发货数量为准（复检复磅的费用由施工单位负责）；如超出±3‰范围，则以复检、复磅数量为准（复检复磅费用由供应厂商负责并及时结清）。</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第二十六条  项目办（总监办）、监理、项目材料部可对到达工地的货物数量或重量进行抽查，如发现同一牌号运输车辆在一个月内三次以上（含三次）有数量或重量负偏差达到或超过3‰时（若供应厂商对抽查结果无异议），项目办将在本施工标段的当月计量周期内对该运输车辆的材料运费支付时钢材按其单车该次材料价值的3‰；水泥以当月该车负偏差所运输总量价值的5‰予以处罚。</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第二十七条  若供应厂商对抽查结果有异议，则另行指定一家由各方（包括项目业主、监理工程师、施工单位、管理公司、材料供应厂商）认可的具有省、地级技术监督局检验合格（有检验合格证且未过期）并且距离施工现场较近的公榜处进行进行复磅。复磅的结果为最终结果，若复磅数量的结果达到或超过±3‰，施工单位以该数量值收货，复磅的相关费用由供应商承担；若复磅数量的偏差在±3‰以内，则施工单位按发货单的发货数量签收，复磅的相关费用由提出方承担。</w:t>
      </w:r>
    </w:p>
    <w:p>
      <w:pPr>
        <w:pStyle w:val="26"/>
        <w:spacing w:line="300" w:lineRule="auto"/>
        <w:jc w:val="center"/>
        <w:rPr>
          <w:rFonts w:hint="eastAsia"/>
          <w:b/>
          <w:bCs w:val="0"/>
          <w:color w:val="auto"/>
          <w:sz w:val="24"/>
          <w:szCs w:val="24"/>
        </w:rPr>
      </w:pPr>
      <w:r>
        <w:rPr>
          <w:rFonts w:hint="eastAsia"/>
          <w:b/>
          <w:bCs w:val="0"/>
          <w:color w:val="auto"/>
          <w:sz w:val="24"/>
          <w:szCs w:val="24"/>
        </w:rPr>
        <w:t>第十章  材料供应保障及质量控制</w:t>
      </w:r>
    </w:p>
    <w:p>
      <w:pPr>
        <w:pStyle w:val="27"/>
        <w:spacing w:line="300" w:lineRule="auto"/>
        <w:ind w:firstLine="482" w:firstLineChars="200"/>
        <w:rPr>
          <w:rFonts w:hint="eastAsia" w:ascii="宋体" w:hAnsi="宋体" w:cs="宋体"/>
          <w:b/>
          <w:bCs w:val="0"/>
          <w:color w:val="auto"/>
          <w:sz w:val="24"/>
          <w:szCs w:val="24"/>
        </w:rPr>
      </w:pPr>
      <w:r>
        <w:rPr>
          <w:rFonts w:hint="eastAsia" w:ascii="宋体" w:hAnsi="宋体" w:cs="宋体"/>
          <w:b/>
          <w:bCs w:val="0"/>
          <w:color w:val="auto"/>
          <w:sz w:val="24"/>
          <w:szCs w:val="24"/>
        </w:rPr>
        <w:t>第二十八条  为确保水泥供应及质量，供应厂商有义务和责任为管理公司对水泥运输车辆提供加装RFED或电子锁硬件设备（如果有）。如材料供应厂商或其指定的承运人不能满足材料运输或时间要求时，管理公司可以委托其它专业运输车辆在项目办(总监办)监督下与供应厂商（承运商）、施工单位协商运输水泥到指定工地事宜。运输单价原则上不高于中标人《采购合同》中所确定的运价。</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第二十九条  送达工地的水泥必须保证与其中标品牌标识、铭牌的完整一致性，施工单位验收时如发现与其品牌标识和中标品牌不一致的弄虚作假行为（或发现瘦身钢材，材料的公称直径、横肋高、纵肋高、腰高、脚宽达不到国标允许公差强制性要求）时，施工单位可拒收，并及时通知供应商和材料项目部到现场辨别真伪。</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第三十条  材料项目部在日常工作或巡视过程中可对材料厂商供应的材料作随机抽检送样试验，取样地点可在工地现场，也可在管理公司或生产厂成品库区，材料供应商不得拒绝或阻挠。</w:t>
      </w:r>
    </w:p>
    <w:p>
      <w:pPr>
        <w:pStyle w:val="26"/>
        <w:spacing w:line="300" w:lineRule="auto"/>
        <w:jc w:val="center"/>
        <w:rPr>
          <w:rFonts w:hint="eastAsia"/>
          <w:b/>
          <w:bCs w:val="0"/>
          <w:color w:val="auto"/>
          <w:sz w:val="24"/>
          <w:szCs w:val="24"/>
        </w:rPr>
      </w:pPr>
      <w:r>
        <w:rPr>
          <w:rFonts w:hint="eastAsia"/>
          <w:b/>
          <w:bCs w:val="0"/>
          <w:color w:val="auto"/>
          <w:sz w:val="24"/>
          <w:szCs w:val="24"/>
        </w:rPr>
        <w:t>第十一章  罚则</w:t>
      </w:r>
    </w:p>
    <w:p>
      <w:pPr>
        <w:pStyle w:val="26"/>
        <w:spacing w:line="300" w:lineRule="auto"/>
        <w:ind w:firstLine="482" w:firstLineChars="200"/>
        <w:jc w:val="both"/>
        <w:rPr>
          <w:rFonts w:hint="eastAsia"/>
          <w:b/>
          <w:bCs w:val="0"/>
          <w:color w:val="auto"/>
          <w:sz w:val="24"/>
          <w:szCs w:val="24"/>
        </w:rPr>
      </w:pPr>
      <w:r>
        <w:rPr>
          <w:rFonts w:hint="eastAsia"/>
          <w:b/>
          <w:bCs w:val="0"/>
          <w:color w:val="auto"/>
          <w:sz w:val="24"/>
          <w:szCs w:val="24"/>
        </w:rPr>
        <w:t>第三十一条  供应厂商无不可抗力原因未能按专业管理公司材料项目部下达的计划按时足额保质保量供应材料，导致施工单位停工待料，除必须承担因此造成的直接和间接损失、误期赔偿金，在供应厂商的材料款支付（或履约保证金）中予以扣除。</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第三十二条   因施工单位方面的原因造成材料运输车辆8小时以上的滞留损失（按台班计），由相关的施工单位负责赔偿给运输方。（施工便道因自然原因或其它意外视情协商）。</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第三十三条  供应厂商必须保证所供材料与中标的品牌标识、包装、标牌的完全一致，如有弄虚作假，以次充好行为，除材料将被没收清场外，并给予不低于五万元违约金的处罚。</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第三十四条  供应厂商伙同施工单位擅自倒买倒卖甲供材料行为的，一经发现和查证，将对所倒买倒卖甲供材料数量按当时材料市场价格的两倍以上处以违约金，并将相关单位进入贵州省交通运输厅信誉评价系统，若倒买倒卖材料数量巨大，情节严重且触犯法律的，将移交公安和司法部门处置。因此造成工程质量事故的，将追究其相关法律责任。</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第三十五条  供应厂商如屡犯本章第三十一条造成工期延误影响严重的，项目办和管理公司可终止采购合同，并把相关单位上报后进入贵州省交通运输厅信誉评价系统；若供应厂商违反本章第九条、第三十三条规定，情节严重的，由项目办和管理公司上报贵州高速公路集团有限公司、省交通运输厅备案后，将其清除出贵州交通建设市场，触犯法律的，将移交公安和司法部门，追究其相关法律责任。</w:t>
      </w:r>
    </w:p>
    <w:p>
      <w:pPr>
        <w:pStyle w:val="26"/>
        <w:spacing w:line="300" w:lineRule="auto"/>
        <w:ind w:firstLine="482" w:firstLineChars="200"/>
        <w:rPr>
          <w:rFonts w:hint="eastAsia"/>
          <w:b/>
          <w:bCs w:val="0"/>
          <w:color w:val="auto"/>
          <w:sz w:val="24"/>
          <w:szCs w:val="24"/>
        </w:rPr>
      </w:pPr>
      <w:r>
        <w:rPr>
          <w:rFonts w:hint="eastAsia"/>
          <w:b/>
          <w:bCs w:val="0"/>
          <w:color w:val="auto"/>
          <w:sz w:val="24"/>
          <w:szCs w:val="24"/>
        </w:rPr>
        <w:t>第三十六条  本办法解释权属兰海国家高速公路重庆至遵义段（贵州境）扩容工程建设项目办公室和贵州交通物流集团有限公司。本办法作为《材料采购合同》的组成部分，并与合同一并执行。项目办有权根据工程实际情况对本管理办法进行修改，供货厂商必须无条件接受。</w:t>
      </w:r>
    </w:p>
    <w:p>
      <w:pPr>
        <w:widowControl/>
        <w:autoSpaceDE/>
        <w:autoSpaceDN/>
        <w:snapToGrid w:val="0"/>
        <w:jc w:val="center"/>
        <w:textAlignment w:val="auto"/>
        <w:rPr>
          <w:rFonts w:ascii="仿宋" w:hAnsi="仿宋" w:eastAsia="仿宋" w:cs="仿宋"/>
          <w:b/>
          <w:bCs w:val="0"/>
          <w:color w:val="auto"/>
          <w:sz w:val="24"/>
          <w:szCs w:val="24"/>
        </w:rPr>
      </w:pPr>
    </w:p>
    <w:p>
      <w:pPr>
        <w:widowControl/>
        <w:autoSpaceDE/>
        <w:autoSpaceDN/>
        <w:snapToGrid w:val="0"/>
        <w:jc w:val="center"/>
        <w:textAlignment w:val="auto"/>
        <w:rPr>
          <w:rFonts w:hint="eastAsia" w:ascii="仿宋" w:hAnsi="仿宋" w:eastAsia="仿宋" w:cs="仿宋"/>
          <w:b/>
          <w:bCs w:val="0"/>
          <w:color w:val="auto"/>
          <w:sz w:val="24"/>
          <w:szCs w:val="24"/>
        </w:rPr>
      </w:pPr>
    </w:p>
    <w:p>
      <w:pPr>
        <w:widowControl/>
        <w:autoSpaceDE/>
        <w:autoSpaceDN/>
        <w:snapToGrid w:val="0"/>
        <w:jc w:val="center"/>
        <w:textAlignment w:val="auto"/>
        <w:rPr>
          <w:rFonts w:hint="eastAsia" w:ascii="仿宋" w:hAnsi="仿宋" w:eastAsia="仿宋" w:cs="仿宋"/>
          <w:b/>
          <w:bCs w:val="0"/>
          <w:color w:val="auto"/>
          <w:sz w:val="24"/>
          <w:szCs w:val="24"/>
        </w:rPr>
      </w:pPr>
    </w:p>
    <w:p>
      <w:pPr>
        <w:widowControl/>
        <w:autoSpaceDE/>
        <w:autoSpaceDN/>
        <w:snapToGrid w:val="0"/>
        <w:jc w:val="center"/>
        <w:textAlignment w:val="auto"/>
        <w:rPr>
          <w:rFonts w:hint="eastAsia" w:ascii="仿宋" w:hAnsi="仿宋" w:eastAsia="仿宋" w:cs="仿宋"/>
          <w:b/>
          <w:bCs w:val="0"/>
          <w:color w:val="auto"/>
          <w:sz w:val="24"/>
          <w:szCs w:val="24"/>
        </w:rPr>
      </w:pPr>
    </w:p>
    <w:p>
      <w:pPr>
        <w:widowControl/>
        <w:autoSpaceDE/>
        <w:autoSpaceDN/>
        <w:snapToGrid w:val="0"/>
        <w:jc w:val="center"/>
        <w:textAlignment w:val="auto"/>
        <w:rPr>
          <w:rFonts w:hint="eastAsia" w:ascii="仿宋" w:hAnsi="仿宋" w:eastAsia="仿宋" w:cs="仿宋"/>
          <w:b/>
          <w:bCs w:val="0"/>
          <w:color w:val="auto"/>
          <w:sz w:val="24"/>
          <w:szCs w:val="24"/>
        </w:rPr>
      </w:pPr>
    </w:p>
    <w:p>
      <w:pPr>
        <w:widowControl/>
        <w:autoSpaceDE/>
        <w:autoSpaceDN/>
        <w:snapToGrid w:val="0"/>
        <w:jc w:val="center"/>
        <w:textAlignment w:val="auto"/>
        <w:rPr>
          <w:rFonts w:hint="eastAsia" w:ascii="仿宋" w:hAnsi="仿宋" w:eastAsia="仿宋" w:cs="仿宋"/>
          <w:b/>
          <w:bCs w:val="0"/>
          <w:color w:val="auto"/>
          <w:sz w:val="24"/>
          <w:szCs w:val="24"/>
        </w:rPr>
      </w:pPr>
    </w:p>
    <w:p>
      <w:pPr>
        <w:widowControl/>
        <w:autoSpaceDE/>
        <w:autoSpaceDN/>
        <w:snapToGrid w:val="0"/>
        <w:jc w:val="center"/>
        <w:textAlignment w:val="auto"/>
        <w:rPr>
          <w:rFonts w:hint="eastAsia" w:ascii="仿宋" w:hAnsi="仿宋" w:eastAsia="仿宋" w:cs="仿宋"/>
          <w:b/>
          <w:bCs w:val="0"/>
          <w:color w:val="auto"/>
          <w:sz w:val="24"/>
          <w:szCs w:val="24"/>
        </w:rPr>
      </w:pPr>
    </w:p>
    <w:p>
      <w:pPr>
        <w:widowControl/>
        <w:autoSpaceDE/>
        <w:autoSpaceDN/>
        <w:snapToGrid w:val="0"/>
        <w:jc w:val="center"/>
        <w:textAlignment w:val="auto"/>
        <w:rPr>
          <w:rFonts w:hint="eastAsia" w:ascii="仿宋" w:hAnsi="仿宋" w:eastAsia="仿宋" w:cs="仿宋"/>
          <w:b/>
          <w:bCs w:val="0"/>
          <w:color w:val="auto"/>
          <w:sz w:val="24"/>
          <w:szCs w:val="24"/>
        </w:rPr>
      </w:pPr>
    </w:p>
    <w:p>
      <w:pPr>
        <w:widowControl/>
        <w:autoSpaceDE/>
        <w:autoSpaceDN/>
        <w:snapToGrid w:val="0"/>
        <w:jc w:val="center"/>
        <w:textAlignment w:val="auto"/>
        <w:rPr>
          <w:rFonts w:hint="eastAsia" w:ascii="仿宋" w:hAnsi="仿宋" w:eastAsia="仿宋" w:cs="仿宋"/>
          <w:b/>
          <w:bCs w:val="0"/>
          <w:color w:val="auto"/>
          <w:sz w:val="24"/>
          <w:szCs w:val="24"/>
        </w:rPr>
      </w:pPr>
    </w:p>
    <w:p>
      <w:pPr>
        <w:widowControl/>
        <w:autoSpaceDE/>
        <w:autoSpaceDN/>
        <w:snapToGrid w:val="0"/>
        <w:jc w:val="both"/>
        <w:textAlignment w:val="auto"/>
        <w:rPr>
          <w:rFonts w:hint="eastAsia" w:ascii="仿宋" w:hAnsi="仿宋" w:eastAsia="仿宋" w:cs="仿宋"/>
          <w:b/>
          <w:bCs w:val="0"/>
          <w:color w:val="auto"/>
          <w:sz w:val="24"/>
          <w:szCs w:val="24"/>
          <w:lang w:val="en-US" w:eastAsia="zh-CN"/>
        </w:rPr>
      </w:pPr>
    </w:p>
    <w:p>
      <w:pPr>
        <w:rPr>
          <w:rFonts w:hint="eastAsia" w:ascii="仿宋" w:hAnsi="仿宋" w:eastAsia="仿宋" w:cs="仿宋"/>
          <w:b/>
          <w:bCs w:val="0"/>
          <w:color w:val="auto"/>
          <w:sz w:val="24"/>
          <w:szCs w:val="24"/>
        </w:rPr>
      </w:pPr>
    </w:p>
    <w:p>
      <w:pPr>
        <w:rPr>
          <w:rFonts w:hint="eastAsia"/>
          <w:b/>
          <w:bCs w:val="0"/>
          <w:color w:val="auto"/>
          <w:sz w:val="24"/>
          <w:szCs w:val="24"/>
          <w:highlight w:val="none"/>
          <w:lang w:val="en-US" w:eastAsia="zh-CN"/>
        </w:rPr>
      </w:pPr>
      <w:r>
        <w:rPr>
          <w:rFonts w:hint="eastAsia"/>
          <w:b/>
          <w:bCs w:val="0"/>
          <w:color w:val="auto"/>
          <w:sz w:val="24"/>
          <w:szCs w:val="24"/>
          <w:highlight w:val="none"/>
          <w:lang w:val="en-US" w:eastAsia="zh-CN"/>
        </w:rPr>
        <w:br w:type="page"/>
      </w:r>
    </w:p>
    <w:p>
      <w:pPr>
        <w:keepNext w:val="0"/>
        <w:keepLines w:val="0"/>
        <w:pageBreakBefore w:val="0"/>
        <w:widowControl/>
        <w:kinsoku/>
        <w:wordWrap w:val="0"/>
        <w:overflowPunct/>
        <w:topLinePunct w:val="0"/>
        <w:autoSpaceDE/>
        <w:autoSpaceDN/>
        <w:bidi w:val="0"/>
        <w:adjustRightInd/>
        <w:snapToGrid/>
        <w:spacing w:line="360" w:lineRule="auto"/>
        <w:ind w:left="0"/>
        <w:jc w:val="left"/>
        <w:textAlignment w:val="auto"/>
        <w:rPr>
          <w:rFonts w:hint="eastAsia"/>
          <w:b/>
          <w:bCs w:val="0"/>
          <w:color w:val="auto"/>
          <w:sz w:val="24"/>
          <w:szCs w:val="24"/>
          <w:highlight w:val="none"/>
          <w:lang w:val="en-US" w:eastAsia="zh-CN"/>
        </w:rPr>
      </w:pPr>
      <w:r>
        <w:rPr>
          <w:rFonts w:hint="eastAsia"/>
          <w:b/>
          <w:bCs w:val="0"/>
          <w:color w:val="auto"/>
          <w:sz w:val="24"/>
          <w:szCs w:val="24"/>
          <w:highlight w:val="none"/>
          <w:lang w:val="en-US" w:eastAsia="zh-CN"/>
        </w:rPr>
        <w:t>附件三</w:t>
      </w:r>
    </w:p>
    <w:p>
      <w:pPr>
        <w:jc w:val="center"/>
        <w:rPr>
          <w:rFonts w:hint="eastAsia" w:eastAsia="宋体"/>
          <w:b/>
          <w:bCs w:val="0"/>
          <w:color w:val="auto"/>
          <w:sz w:val="24"/>
          <w:szCs w:val="24"/>
          <w:lang w:eastAsia="zh-CN"/>
        </w:rPr>
      </w:pPr>
      <w:r>
        <w:rPr>
          <w:rFonts w:hint="eastAsia"/>
          <w:b/>
          <w:bCs w:val="0"/>
          <w:color w:val="auto"/>
          <w:sz w:val="24"/>
          <w:szCs w:val="24"/>
        </w:rPr>
        <w:t xml:space="preserve">                                                                                                                         重遵高速公路甲供沥青管理单位职责</w:t>
      </w:r>
      <w:r>
        <w:rPr>
          <w:rFonts w:hint="eastAsia"/>
          <w:b/>
          <w:bCs w:val="0"/>
          <w:color w:val="auto"/>
          <w:sz w:val="24"/>
          <w:szCs w:val="24"/>
          <w:lang w:eastAsia="zh-CN"/>
        </w:rPr>
        <w:t>分工</w:t>
      </w:r>
    </w:p>
    <w:p>
      <w:pPr>
        <w:jc w:val="center"/>
        <w:rPr>
          <w:rFonts w:hint="eastAsia"/>
          <w:b/>
          <w:bCs w:val="0"/>
          <w:color w:val="auto"/>
          <w:sz w:val="24"/>
          <w:szCs w:val="24"/>
        </w:rPr>
      </w:pPr>
    </w:p>
    <w:p>
      <w:pPr>
        <w:spacing w:line="360" w:lineRule="auto"/>
        <w:ind w:firstLine="482" w:firstLineChars="200"/>
        <w:outlineLvl w:val="0"/>
        <w:rPr>
          <w:rFonts w:hint="eastAsia" w:ascii="宋体" w:hAnsi="宋体" w:cs="宋体"/>
          <w:b/>
          <w:bCs w:val="0"/>
          <w:color w:val="auto"/>
          <w:sz w:val="24"/>
          <w:szCs w:val="24"/>
        </w:rPr>
      </w:pPr>
      <w:r>
        <w:rPr>
          <w:rFonts w:hint="eastAsia" w:ascii="宋体" w:hAnsi="宋体" w:cs="宋体"/>
          <w:b/>
          <w:bCs w:val="0"/>
          <w:color w:val="auto"/>
          <w:sz w:val="24"/>
          <w:szCs w:val="24"/>
        </w:rPr>
        <w:t>一、</w:t>
      </w:r>
      <w:r>
        <w:rPr>
          <w:rFonts w:hint="eastAsia" w:ascii="宋体" w:hAnsi="宋体" w:cs="宋体"/>
          <w:b/>
          <w:bCs w:val="0"/>
          <w:color w:val="auto"/>
          <w:sz w:val="24"/>
          <w:szCs w:val="24"/>
          <w:lang w:eastAsia="zh-CN"/>
        </w:rPr>
        <w:t>贵州高速集团</w:t>
      </w:r>
      <w:r>
        <w:rPr>
          <w:rFonts w:hint="eastAsia" w:ascii="宋体" w:hAnsi="宋体" w:cs="宋体"/>
          <w:b/>
          <w:bCs w:val="0"/>
          <w:color w:val="auto"/>
          <w:sz w:val="24"/>
          <w:szCs w:val="24"/>
        </w:rPr>
        <w:t>建设事业部</w:t>
      </w:r>
    </w:p>
    <w:p>
      <w:pPr>
        <w:spacing w:line="360" w:lineRule="auto"/>
        <w:ind w:firstLine="482" w:firstLineChars="200"/>
        <w:rPr>
          <w:rFonts w:hint="eastAsia" w:ascii="宋体" w:hAnsi="宋体" w:cs="宋体"/>
          <w:b/>
          <w:bCs w:val="0"/>
          <w:color w:val="auto"/>
          <w:sz w:val="24"/>
          <w:szCs w:val="24"/>
        </w:rPr>
      </w:pPr>
      <w:r>
        <w:rPr>
          <w:rFonts w:hint="eastAsia" w:ascii="宋体" w:hAnsi="宋体" w:cs="宋体"/>
          <w:b/>
          <w:bCs w:val="0"/>
          <w:color w:val="auto"/>
          <w:sz w:val="24"/>
          <w:szCs w:val="24"/>
        </w:rPr>
        <w:t>1、指导、督促和协调建设项目沥青路面质量管理工作；</w:t>
      </w:r>
      <w:r>
        <w:rPr>
          <w:rFonts w:hint="eastAsia" w:ascii="宋体" w:hAnsi="宋体" w:cs="宋体"/>
          <w:b/>
          <w:bCs w:val="0"/>
          <w:color w:val="auto"/>
          <w:sz w:val="24"/>
          <w:szCs w:val="24"/>
        </w:rPr>
        <w:br w:type="textWrapping"/>
      </w:r>
      <w:r>
        <w:rPr>
          <w:rFonts w:hint="eastAsia" w:ascii="宋体" w:hAnsi="宋体" w:cs="宋体"/>
          <w:b/>
          <w:bCs w:val="0"/>
          <w:color w:val="auto"/>
          <w:sz w:val="24"/>
          <w:szCs w:val="24"/>
        </w:rPr>
        <w:t>   2、根据工作需要，定期或不定期组织沥青材料质量专项检查。</w:t>
      </w:r>
    </w:p>
    <w:p>
      <w:pPr>
        <w:spacing w:line="360" w:lineRule="auto"/>
        <w:ind w:firstLine="482" w:firstLineChars="200"/>
        <w:outlineLvl w:val="0"/>
        <w:rPr>
          <w:rFonts w:hint="eastAsia" w:ascii="宋体" w:hAnsi="宋体" w:cs="宋体"/>
          <w:b/>
          <w:bCs w:val="0"/>
          <w:color w:val="auto"/>
          <w:sz w:val="24"/>
          <w:szCs w:val="24"/>
        </w:rPr>
      </w:pPr>
      <w:r>
        <w:rPr>
          <w:rFonts w:hint="eastAsia" w:ascii="宋体" w:hAnsi="宋体" w:cs="宋体"/>
          <w:b/>
          <w:bCs w:val="0"/>
          <w:color w:val="auto"/>
          <w:sz w:val="24"/>
          <w:szCs w:val="24"/>
        </w:rPr>
        <w:t>二、项目管理机构（重遵扩容项目办、总监办）</w:t>
      </w:r>
    </w:p>
    <w:p>
      <w:pPr>
        <w:spacing w:line="360" w:lineRule="auto"/>
        <w:ind w:firstLine="482" w:firstLineChars="200"/>
        <w:rPr>
          <w:rFonts w:hint="eastAsia" w:ascii="宋体" w:hAnsi="宋体" w:cs="宋体"/>
          <w:b/>
          <w:bCs w:val="0"/>
          <w:color w:val="auto"/>
          <w:sz w:val="24"/>
          <w:szCs w:val="24"/>
        </w:rPr>
      </w:pPr>
      <w:r>
        <w:rPr>
          <w:rFonts w:hint="eastAsia" w:ascii="宋体" w:hAnsi="宋体" w:cs="宋体"/>
          <w:b/>
          <w:bCs w:val="0"/>
          <w:color w:val="auto"/>
          <w:sz w:val="24"/>
          <w:szCs w:val="24"/>
        </w:rPr>
        <w:t xml:space="preserve">1、项目管理机构负责监督项目建设从业各方严格执行相关规定要求，承担项目建设法人现场管理机构监管责任。 </w:t>
      </w:r>
    </w:p>
    <w:p>
      <w:pPr>
        <w:spacing w:line="360" w:lineRule="auto"/>
        <w:ind w:firstLine="482" w:firstLineChars="200"/>
        <w:rPr>
          <w:rFonts w:hint="eastAsia" w:ascii="宋体" w:hAnsi="宋体" w:cs="宋体"/>
          <w:b/>
          <w:bCs w:val="0"/>
          <w:color w:val="auto"/>
          <w:sz w:val="24"/>
          <w:szCs w:val="24"/>
        </w:rPr>
      </w:pPr>
      <w:r>
        <w:rPr>
          <w:rFonts w:hint="eastAsia" w:ascii="宋体" w:hAnsi="宋体" w:cs="宋体"/>
          <w:b/>
          <w:bCs w:val="0"/>
          <w:color w:val="auto"/>
          <w:sz w:val="24"/>
          <w:szCs w:val="24"/>
        </w:rPr>
        <w:t>2、项目管理机构在日常巡查和质量检查时，应一并对本规定执行情况进行检查，对不合格的产品有权作清场处理。</w:t>
      </w:r>
    </w:p>
    <w:p>
      <w:pPr>
        <w:spacing w:line="360" w:lineRule="auto"/>
        <w:ind w:firstLine="482" w:firstLineChars="200"/>
        <w:rPr>
          <w:rFonts w:hint="eastAsia" w:ascii="宋体" w:hAnsi="宋体" w:cs="宋体"/>
          <w:b/>
          <w:bCs w:val="0"/>
          <w:color w:val="auto"/>
          <w:sz w:val="24"/>
          <w:szCs w:val="24"/>
        </w:rPr>
      </w:pPr>
      <w:r>
        <w:rPr>
          <w:rFonts w:hint="eastAsia" w:ascii="宋体" w:hAnsi="宋体" w:cs="宋体"/>
          <w:b/>
          <w:bCs w:val="0"/>
          <w:color w:val="auto"/>
          <w:sz w:val="24"/>
          <w:szCs w:val="24"/>
        </w:rPr>
        <w:t>3、项目管理机构在收到有关材料质量问题的投诉、举报、通报后，应及时组织相关单位进行调查处理并按规定进行验证检测，相关情况应及时书面报告集团公司建设事业部</w:t>
      </w:r>
    </w:p>
    <w:p>
      <w:pPr>
        <w:spacing w:line="360" w:lineRule="auto"/>
        <w:ind w:firstLine="482" w:firstLineChars="200"/>
        <w:outlineLvl w:val="0"/>
        <w:rPr>
          <w:rFonts w:ascii="宋体" w:hAnsi="宋体" w:cs="宋体"/>
          <w:b/>
          <w:bCs w:val="0"/>
          <w:color w:val="auto"/>
          <w:sz w:val="24"/>
          <w:szCs w:val="24"/>
        </w:rPr>
      </w:pPr>
      <w:r>
        <w:rPr>
          <w:rFonts w:hint="eastAsia" w:ascii="宋体" w:hAnsi="宋体" w:cs="宋体"/>
          <w:b/>
          <w:bCs w:val="0"/>
          <w:color w:val="auto"/>
          <w:sz w:val="24"/>
          <w:szCs w:val="24"/>
        </w:rPr>
        <w:t>三、</w:t>
      </w:r>
      <w:r>
        <w:rPr>
          <w:rFonts w:ascii="宋体" w:hAnsi="宋体" w:cs="宋体"/>
          <w:b/>
          <w:bCs w:val="0"/>
          <w:color w:val="auto"/>
          <w:sz w:val="24"/>
          <w:szCs w:val="24"/>
        </w:rPr>
        <w:t>路面咨询监控单位</w:t>
      </w:r>
    </w:p>
    <w:p>
      <w:pPr>
        <w:spacing w:line="360" w:lineRule="auto"/>
        <w:ind w:firstLine="482" w:firstLineChars="200"/>
        <w:rPr>
          <w:rFonts w:hint="eastAsia" w:ascii="宋体" w:hAnsi="宋体" w:cs="宋体"/>
          <w:b/>
          <w:bCs w:val="0"/>
          <w:color w:val="auto"/>
          <w:sz w:val="24"/>
          <w:szCs w:val="24"/>
        </w:rPr>
      </w:pPr>
      <w:r>
        <w:rPr>
          <w:rFonts w:hint="eastAsia" w:ascii="宋体" w:hAnsi="宋体" w:cs="宋体"/>
          <w:b/>
          <w:bCs w:val="0"/>
          <w:color w:val="auto"/>
          <w:sz w:val="24"/>
          <w:szCs w:val="24"/>
        </w:rPr>
        <w:t>路面</w:t>
      </w:r>
      <w:r>
        <w:rPr>
          <w:rFonts w:ascii="宋体" w:hAnsi="宋体" w:cs="宋体"/>
          <w:b/>
          <w:bCs w:val="0"/>
          <w:color w:val="auto"/>
          <w:sz w:val="24"/>
          <w:szCs w:val="24"/>
        </w:rPr>
        <w:t>技术监控单位</w:t>
      </w:r>
      <w:r>
        <w:rPr>
          <w:rFonts w:hint="eastAsia" w:ascii="宋体" w:hAnsi="宋体" w:cs="宋体"/>
          <w:b/>
          <w:bCs w:val="0"/>
          <w:color w:val="auto"/>
          <w:sz w:val="24"/>
          <w:szCs w:val="24"/>
        </w:rPr>
        <w:t>承担</w:t>
      </w:r>
      <w:r>
        <w:rPr>
          <w:rFonts w:ascii="宋体" w:hAnsi="宋体" w:cs="宋体"/>
          <w:b/>
          <w:bCs w:val="0"/>
          <w:color w:val="auto"/>
          <w:sz w:val="24"/>
          <w:szCs w:val="24"/>
        </w:rPr>
        <w:t>质量监控的同时，</w:t>
      </w:r>
      <w:r>
        <w:rPr>
          <w:rFonts w:hint="eastAsia" w:ascii="宋体" w:hAnsi="宋体" w:cs="宋体"/>
          <w:b/>
          <w:bCs w:val="0"/>
          <w:color w:val="auto"/>
          <w:sz w:val="24"/>
          <w:szCs w:val="24"/>
        </w:rPr>
        <w:t>定期或不定期参加对改性沥青进行驻厂监控和检测（主要见证沥青供应单位的沥青自检，并加强对沥青供应单位的试验室检查，要求其配备与开展沥青试验、检测相适应的人员、</w:t>
      </w:r>
      <w:r>
        <w:rPr>
          <w:rFonts w:ascii="宋体" w:hAnsi="宋体" w:cs="宋体"/>
          <w:b/>
          <w:bCs w:val="0"/>
          <w:color w:val="auto"/>
          <w:sz w:val="24"/>
          <w:szCs w:val="24"/>
        </w:rPr>
        <w:t>仪器</w:t>
      </w:r>
      <w:r>
        <w:rPr>
          <w:rFonts w:hint="eastAsia" w:ascii="宋体" w:hAnsi="宋体" w:cs="宋体"/>
          <w:b/>
          <w:bCs w:val="0"/>
          <w:color w:val="auto"/>
          <w:sz w:val="24"/>
          <w:szCs w:val="24"/>
        </w:rPr>
        <w:t>、设备等），负责对沥青质量进行动态控制，定期向业主提交沥青质量报告（主要包括：改性沥青生产加工配比设计报告和工艺指导书、现场监控系统数据的分析、其它原材料使用管理等）。</w:t>
      </w:r>
    </w:p>
    <w:p>
      <w:pPr>
        <w:spacing w:line="360" w:lineRule="auto"/>
        <w:ind w:firstLine="482" w:firstLineChars="200"/>
        <w:outlineLvl w:val="0"/>
        <w:rPr>
          <w:rFonts w:hint="eastAsia" w:ascii="宋体" w:hAnsi="宋体" w:cs="宋体"/>
          <w:b/>
          <w:bCs w:val="0"/>
          <w:color w:val="auto"/>
          <w:sz w:val="24"/>
          <w:szCs w:val="24"/>
        </w:rPr>
      </w:pPr>
      <w:r>
        <w:rPr>
          <w:rFonts w:hint="eastAsia" w:ascii="宋体" w:hAnsi="宋体" w:cs="宋体"/>
          <w:b/>
          <w:bCs w:val="0"/>
          <w:color w:val="auto"/>
          <w:sz w:val="24"/>
          <w:szCs w:val="24"/>
        </w:rPr>
        <w:t>四</w:t>
      </w:r>
      <w:r>
        <w:rPr>
          <w:rFonts w:ascii="宋体" w:hAnsi="宋体" w:cs="宋体"/>
          <w:b/>
          <w:bCs w:val="0"/>
          <w:color w:val="auto"/>
          <w:sz w:val="24"/>
          <w:szCs w:val="24"/>
        </w:rPr>
        <w:t>、</w:t>
      </w:r>
      <w:r>
        <w:rPr>
          <w:rFonts w:hint="eastAsia" w:ascii="宋体" w:hAnsi="宋体" w:cs="宋体"/>
          <w:b/>
          <w:bCs w:val="0"/>
          <w:color w:val="auto"/>
          <w:sz w:val="24"/>
          <w:szCs w:val="24"/>
        </w:rPr>
        <w:t>中心试验室</w:t>
      </w:r>
    </w:p>
    <w:p>
      <w:pPr>
        <w:ind w:firstLine="482" w:firstLineChars="200"/>
        <w:rPr>
          <w:rFonts w:hint="eastAsia"/>
          <w:b/>
          <w:bCs w:val="0"/>
          <w:color w:val="auto"/>
          <w:sz w:val="24"/>
          <w:szCs w:val="24"/>
        </w:rPr>
      </w:pPr>
      <w:r>
        <w:rPr>
          <w:rFonts w:hint="eastAsia"/>
          <w:b/>
          <w:bCs w:val="0"/>
          <w:color w:val="auto"/>
          <w:sz w:val="24"/>
          <w:szCs w:val="24"/>
        </w:rPr>
        <w:t>1、在总监办组织下参加对沥青供应商的考察。</w:t>
      </w:r>
    </w:p>
    <w:p>
      <w:pPr>
        <w:ind w:firstLine="482" w:firstLineChars="200"/>
        <w:rPr>
          <w:b/>
          <w:bCs w:val="0"/>
          <w:color w:val="auto"/>
          <w:sz w:val="24"/>
          <w:szCs w:val="24"/>
        </w:rPr>
      </w:pPr>
      <w:r>
        <w:rPr>
          <w:rFonts w:hint="eastAsia"/>
          <w:b/>
          <w:bCs w:val="0"/>
          <w:color w:val="auto"/>
          <w:sz w:val="24"/>
          <w:szCs w:val="24"/>
        </w:rPr>
        <w:t>2、负责首批沥青盲样外委检测，以后每三个月至少1次，对送样及检测过程进行保密，填写盲样检测结果台账，上报总监办。</w:t>
      </w:r>
    </w:p>
    <w:p>
      <w:pPr>
        <w:ind w:firstLine="482" w:firstLineChars="200"/>
        <w:rPr>
          <w:b/>
          <w:bCs w:val="0"/>
          <w:color w:val="auto"/>
          <w:sz w:val="24"/>
          <w:szCs w:val="24"/>
        </w:rPr>
      </w:pPr>
      <w:r>
        <w:rPr>
          <w:rFonts w:hint="eastAsia"/>
          <w:b/>
          <w:bCs w:val="0"/>
          <w:color w:val="auto"/>
          <w:sz w:val="24"/>
          <w:szCs w:val="24"/>
        </w:rPr>
        <w:t>3、监督驻地办及施工单位对沥青的检测频率和结果，并按不低于合同约定的抽检频率开展期抽检工作。</w:t>
      </w:r>
    </w:p>
    <w:p>
      <w:pPr>
        <w:ind w:firstLine="482" w:firstLineChars="200"/>
        <w:rPr>
          <w:b/>
          <w:bCs w:val="0"/>
          <w:color w:val="auto"/>
          <w:sz w:val="24"/>
          <w:szCs w:val="24"/>
        </w:rPr>
      </w:pPr>
      <w:r>
        <w:rPr>
          <w:rFonts w:hint="eastAsia"/>
          <w:b/>
          <w:bCs w:val="0"/>
          <w:color w:val="auto"/>
          <w:sz w:val="24"/>
          <w:szCs w:val="24"/>
        </w:rPr>
        <w:t>4、每周少于一次对入场沥青质量、管理情况进行巡视，检查驻地办及施工单位对沥青的管理情况。</w:t>
      </w:r>
    </w:p>
    <w:p>
      <w:pPr>
        <w:ind w:firstLine="482" w:firstLineChars="200"/>
        <w:rPr>
          <w:b/>
          <w:bCs w:val="0"/>
          <w:color w:val="auto"/>
          <w:sz w:val="24"/>
          <w:szCs w:val="24"/>
        </w:rPr>
      </w:pPr>
      <w:r>
        <w:rPr>
          <w:rFonts w:hint="eastAsia"/>
          <w:b/>
          <w:bCs w:val="0"/>
          <w:color w:val="auto"/>
          <w:sz w:val="24"/>
          <w:szCs w:val="24"/>
        </w:rPr>
        <w:t>5、向总监办报告沥青抽检不合格结果，并在总监办指导下对不合格结果进行调查，对不合格材料进行处理，收集完善的全过程资料。</w:t>
      </w:r>
    </w:p>
    <w:p>
      <w:pPr>
        <w:spacing w:line="360" w:lineRule="auto"/>
        <w:ind w:firstLine="482" w:firstLineChars="200"/>
        <w:outlineLvl w:val="0"/>
        <w:rPr>
          <w:rFonts w:hint="eastAsia" w:ascii="宋体" w:hAnsi="宋体" w:cs="宋体"/>
          <w:b/>
          <w:bCs w:val="0"/>
          <w:color w:val="auto"/>
          <w:sz w:val="24"/>
          <w:szCs w:val="24"/>
        </w:rPr>
      </w:pPr>
      <w:r>
        <w:rPr>
          <w:rFonts w:hint="eastAsia" w:ascii="宋体" w:hAnsi="宋体" w:cs="宋体"/>
          <w:b/>
          <w:bCs w:val="0"/>
          <w:color w:val="auto"/>
          <w:sz w:val="24"/>
          <w:szCs w:val="24"/>
        </w:rPr>
        <w:t>五、驻监办</w:t>
      </w:r>
    </w:p>
    <w:p>
      <w:pPr>
        <w:spacing w:line="520" w:lineRule="exact"/>
        <w:ind w:firstLine="482" w:firstLineChars="200"/>
        <w:rPr>
          <w:rFonts w:hint="eastAsia" w:ascii="宋体" w:hAnsi="宋体"/>
          <w:b/>
          <w:bCs w:val="0"/>
          <w:color w:val="auto"/>
          <w:sz w:val="24"/>
          <w:szCs w:val="24"/>
        </w:rPr>
      </w:pPr>
      <w:r>
        <w:rPr>
          <w:rFonts w:hint="eastAsia" w:ascii="宋体" w:hAnsi="宋体"/>
          <w:b/>
          <w:bCs w:val="0"/>
          <w:color w:val="auto"/>
          <w:sz w:val="24"/>
          <w:szCs w:val="24"/>
        </w:rPr>
        <w:t>1、按照高速集团及重遵项目办有关监督管理规定做好材料的出厂和进场质量管理。</w:t>
      </w:r>
    </w:p>
    <w:p>
      <w:pPr>
        <w:spacing w:line="520" w:lineRule="exact"/>
        <w:ind w:firstLine="482" w:firstLineChars="200"/>
        <w:rPr>
          <w:rFonts w:hint="eastAsia" w:ascii="宋体" w:hAnsi="宋体"/>
          <w:b/>
          <w:bCs w:val="0"/>
          <w:color w:val="auto"/>
          <w:sz w:val="24"/>
          <w:szCs w:val="24"/>
        </w:rPr>
      </w:pPr>
      <w:r>
        <w:rPr>
          <w:rFonts w:hint="eastAsia" w:ascii="宋体" w:hAnsi="宋体"/>
          <w:b/>
          <w:bCs w:val="0"/>
          <w:color w:val="auto"/>
          <w:sz w:val="24"/>
          <w:szCs w:val="24"/>
        </w:rPr>
        <w:t>2、及时填写好完整的监理日志，并及时向项目总监办进行汇报工作情况及重大问题。</w:t>
      </w:r>
    </w:p>
    <w:p>
      <w:pPr>
        <w:spacing w:line="520" w:lineRule="exact"/>
        <w:ind w:firstLine="482" w:firstLineChars="200"/>
        <w:rPr>
          <w:rFonts w:hint="eastAsia" w:ascii="宋体" w:hAnsi="宋体" w:cs="宋体"/>
          <w:b/>
          <w:bCs w:val="0"/>
          <w:color w:val="auto"/>
          <w:sz w:val="24"/>
          <w:szCs w:val="24"/>
        </w:rPr>
      </w:pPr>
      <w:r>
        <w:rPr>
          <w:rFonts w:hint="eastAsia" w:ascii="宋体" w:hAnsi="宋体"/>
          <w:b/>
          <w:bCs w:val="0"/>
          <w:color w:val="auto"/>
          <w:sz w:val="24"/>
          <w:szCs w:val="24"/>
        </w:rPr>
        <w:t>3、与施工单位、中心试验室共同做好到场材料验收工作（随车商检报告、数量核定、行走路线等），并不得少于规范要求和合同约定的抽检频率（200吨/次）进行现场取样试验。</w:t>
      </w:r>
    </w:p>
    <w:p>
      <w:pPr>
        <w:pStyle w:val="2"/>
        <w:rPr>
          <w:rFonts w:hint="eastAsia"/>
          <w:b/>
          <w:bCs w:val="0"/>
          <w:color w:val="auto"/>
          <w:sz w:val="24"/>
          <w:szCs w:val="24"/>
        </w:rPr>
      </w:pPr>
    </w:p>
    <w:p>
      <w:pPr>
        <w:ind w:left="420" w:leftChars="200"/>
        <w:outlineLvl w:val="0"/>
        <w:rPr>
          <w:rFonts w:hint="eastAsia" w:ascii="宋体" w:hAnsi="宋体" w:cs="宋体"/>
          <w:b/>
          <w:bCs w:val="0"/>
          <w:color w:val="auto"/>
          <w:sz w:val="24"/>
          <w:szCs w:val="24"/>
        </w:rPr>
      </w:pPr>
      <w:r>
        <w:rPr>
          <w:rFonts w:hint="eastAsia" w:ascii="宋体" w:hAnsi="宋体" w:cs="宋体"/>
          <w:b/>
          <w:bCs w:val="0"/>
          <w:color w:val="auto"/>
          <w:sz w:val="24"/>
          <w:szCs w:val="24"/>
        </w:rPr>
        <w:t>六、贵州交通物流集团</w:t>
      </w:r>
    </w:p>
    <w:p>
      <w:pPr>
        <w:ind w:firstLine="482" w:firstLineChars="200"/>
        <w:rPr>
          <w:rFonts w:hint="eastAsia" w:ascii="宋体" w:hAnsi="宋体" w:cs="宋体"/>
          <w:b/>
          <w:bCs w:val="0"/>
          <w:color w:val="auto"/>
          <w:sz w:val="24"/>
          <w:szCs w:val="24"/>
        </w:rPr>
      </w:pPr>
      <w:r>
        <w:rPr>
          <w:rFonts w:hint="eastAsia" w:ascii="宋体" w:hAnsi="宋体" w:cs="宋体"/>
          <w:b/>
          <w:bCs w:val="0"/>
          <w:color w:val="auto"/>
          <w:sz w:val="24"/>
          <w:szCs w:val="24"/>
        </w:rPr>
        <w:t>1、负责监督沥青中标单位沥青品牌、数量、规格、进出货单的数量。</w:t>
      </w:r>
    </w:p>
    <w:p>
      <w:pPr>
        <w:ind w:firstLine="482" w:firstLineChars="200"/>
        <w:rPr>
          <w:rFonts w:hint="eastAsia" w:ascii="宋体" w:hAnsi="宋体" w:cs="宋体"/>
          <w:b/>
          <w:bCs w:val="0"/>
          <w:color w:val="auto"/>
          <w:sz w:val="24"/>
          <w:szCs w:val="24"/>
        </w:rPr>
      </w:pPr>
      <w:r>
        <w:rPr>
          <w:rFonts w:hint="eastAsia" w:ascii="宋体" w:hAnsi="宋体" w:cs="宋体"/>
          <w:b/>
          <w:bCs w:val="0"/>
          <w:color w:val="auto"/>
          <w:sz w:val="24"/>
          <w:szCs w:val="24"/>
        </w:rPr>
        <w:t>2、协调施工单位、运输单位、仓储单位，材料供应单位每月的需求计划。</w:t>
      </w:r>
    </w:p>
    <w:p>
      <w:pPr>
        <w:ind w:firstLine="482" w:firstLineChars="200"/>
        <w:rPr>
          <w:rFonts w:hint="eastAsia" w:ascii="宋体" w:hAnsi="宋体" w:cs="宋体"/>
          <w:b/>
          <w:bCs w:val="0"/>
          <w:color w:val="auto"/>
          <w:sz w:val="24"/>
          <w:szCs w:val="24"/>
        </w:rPr>
      </w:pPr>
      <w:r>
        <w:rPr>
          <w:rFonts w:hint="eastAsia" w:ascii="宋体" w:hAnsi="宋体" w:cs="宋体"/>
          <w:b/>
          <w:bCs w:val="0"/>
          <w:color w:val="auto"/>
          <w:sz w:val="24"/>
          <w:szCs w:val="24"/>
        </w:rPr>
        <w:t>4、在沥青的使用过程中，加强对沥青中标单位、运输单位、仓储单位质量管控。从源头上对供应沥青质量负责，组织开展甲供材料质量初检、进场首检、过程抽检，确保供应沥青质量合格，杜绝存在质量问题的沥青进入工地现场。</w:t>
      </w:r>
    </w:p>
    <w:p>
      <w:pPr>
        <w:ind w:firstLine="482" w:firstLineChars="200"/>
        <w:rPr>
          <w:rFonts w:hint="eastAsia" w:ascii="宋体" w:hAnsi="宋体" w:cs="宋体"/>
          <w:b/>
          <w:bCs w:val="0"/>
          <w:color w:val="auto"/>
          <w:sz w:val="24"/>
          <w:szCs w:val="24"/>
        </w:rPr>
      </w:pPr>
      <w:r>
        <w:rPr>
          <w:rFonts w:hint="eastAsia" w:ascii="宋体" w:hAnsi="宋体" w:cs="宋体"/>
          <w:b/>
          <w:bCs w:val="0"/>
          <w:color w:val="auto"/>
          <w:sz w:val="24"/>
          <w:szCs w:val="24"/>
        </w:rPr>
        <w:t>4、每月统计施工单位、运输单位、仓储单位，材料供应单位实际使用量，并形成计量台账，进行结算。</w:t>
      </w:r>
    </w:p>
    <w:p>
      <w:pPr>
        <w:ind w:firstLine="482" w:firstLineChars="200"/>
        <w:outlineLvl w:val="0"/>
        <w:rPr>
          <w:rFonts w:hint="eastAsia" w:ascii="宋体" w:hAnsi="宋体" w:cs="宋体"/>
          <w:b/>
          <w:bCs w:val="0"/>
          <w:color w:val="auto"/>
          <w:sz w:val="24"/>
          <w:szCs w:val="24"/>
        </w:rPr>
      </w:pPr>
      <w:r>
        <w:rPr>
          <w:rFonts w:hint="eastAsia" w:ascii="宋体" w:hAnsi="宋体" w:cs="宋体"/>
          <w:b/>
          <w:bCs w:val="0"/>
          <w:color w:val="auto"/>
          <w:sz w:val="24"/>
          <w:szCs w:val="24"/>
        </w:rPr>
        <w:t>七、仓储单位</w:t>
      </w:r>
    </w:p>
    <w:p>
      <w:pPr>
        <w:ind w:firstLine="482" w:firstLineChars="200"/>
        <w:rPr>
          <w:rFonts w:hint="eastAsia" w:ascii="宋体" w:hAnsi="宋体" w:cs="宋体"/>
          <w:b/>
          <w:bCs w:val="0"/>
          <w:color w:val="auto"/>
          <w:sz w:val="24"/>
          <w:szCs w:val="24"/>
        </w:rPr>
      </w:pPr>
      <w:r>
        <w:rPr>
          <w:rFonts w:hint="eastAsia" w:ascii="宋体" w:hAnsi="宋体" w:cs="宋体"/>
          <w:b/>
          <w:bCs w:val="0"/>
          <w:color w:val="auto"/>
          <w:sz w:val="24"/>
          <w:szCs w:val="24"/>
        </w:rPr>
        <w:t>1、仓储方负责与铁路部门协调，确保指定仓储库铁路专用线接收甲方采购的沥青，保证供应商罐车到达后及时质量检测卸货，协调沥青运输罐车的返空回程事宜。</w:t>
      </w:r>
    </w:p>
    <w:p>
      <w:pPr>
        <w:ind w:firstLine="482" w:firstLineChars="200"/>
        <w:rPr>
          <w:rFonts w:hint="eastAsia" w:ascii="宋体" w:hAnsi="宋体" w:cs="宋体"/>
          <w:b/>
          <w:bCs w:val="0"/>
          <w:color w:val="auto"/>
          <w:sz w:val="24"/>
          <w:szCs w:val="24"/>
        </w:rPr>
      </w:pPr>
      <w:r>
        <w:rPr>
          <w:rFonts w:hint="eastAsia" w:ascii="宋体" w:hAnsi="宋体" w:cs="宋体"/>
          <w:b/>
          <w:bCs w:val="0"/>
          <w:color w:val="auto"/>
          <w:sz w:val="24"/>
          <w:szCs w:val="24"/>
        </w:rPr>
        <w:t>2、沥青仓储方应积极协调铁路专用线入库工作，沥青供应商应服从仓储方铁路入库指令安排，以免造成密集发货堵塞铁路货场及专用线。若沥青供应商应不服从沥青仓储方铁路入库指令安排，因此造成的铁路部门下达停装令及处罚由供应商承担。</w:t>
      </w:r>
    </w:p>
    <w:p>
      <w:pPr>
        <w:ind w:firstLine="482" w:firstLineChars="200"/>
        <w:rPr>
          <w:rFonts w:hint="eastAsia" w:ascii="宋体" w:hAnsi="宋体" w:cs="宋体"/>
          <w:b/>
          <w:bCs w:val="0"/>
          <w:color w:val="auto"/>
          <w:sz w:val="24"/>
          <w:szCs w:val="24"/>
        </w:rPr>
      </w:pPr>
      <w:r>
        <w:rPr>
          <w:rFonts w:hint="eastAsia" w:ascii="宋体" w:hAnsi="宋体" w:cs="宋体"/>
          <w:b/>
          <w:bCs w:val="0"/>
          <w:color w:val="auto"/>
          <w:sz w:val="24"/>
          <w:szCs w:val="24"/>
        </w:rPr>
        <w:t>3、仓储方沥青库须保证沥青的接卸、加温、发油等功能正常运转，对仓储期间的沥青质量负责。沥青库必须满足日接卸沥青能力≧1000吨，日发送沥青能力≧1000吨，确保甲方路面施工单位的沥青供应。</w:t>
      </w:r>
    </w:p>
    <w:p>
      <w:pPr>
        <w:ind w:firstLine="482" w:firstLineChars="200"/>
        <w:rPr>
          <w:rFonts w:hint="eastAsia" w:ascii="宋体" w:hAnsi="宋体" w:cs="宋体"/>
          <w:b/>
          <w:bCs w:val="0"/>
          <w:color w:val="auto"/>
          <w:sz w:val="24"/>
          <w:szCs w:val="24"/>
        </w:rPr>
      </w:pPr>
      <w:r>
        <w:rPr>
          <w:rFonts w:hint="eastAsia" w:ascii="宋体" w:hAnsi="宋体" w:cs="宋体"/>
          <w:b/>
          <w:bCs w:val="0"/>
          <w:color w:val="auto"/>
          <w:sz w:val="24"/>
          <w:szCs w:val="24"/>
        </w:rPr>
        <w:t>4、仓储方负责对甲方所供沥青质量进行全程监控，协助项目业主作好供应商沥青质量入库前检测，发现不合格产品一律退还拒收，确保供应商沥青入库合格率100%，维护甲方权利。每批次入库的沥青卸货前，仓储方必须对沥青供应商提供真实有效的沥青中标品牌一致性、产品检验合格证进行检验，若存在问题，仓储方有权拒收。</w:t>
      </w:r>
    </w:p>
    <w:p>
      <w:pPr>
        <w:ind w:firstLine="482" w:firstLineChars="200"/>
        <w:rPr>
          <w:rFonts w:ascii="宋体" w:hAnsi="宋体" w:cs="宋体"/>
          <w:b/>
          <w:bCs w:val="0"/>
          <w:color w:val="auto"/>
          <w:sz w:val="24"/>
          <w:szCs w:val="24"/>
        </w:rPr>
      </w:pPr>
      <w:r>
        <w:rPr>
          <w:rFonts w:hint="eastAsia" w:ascii="宋体" w:hAnsi="宋体" w:cs="宋体"/>
          <w:b/>
          <w:bCs w:val="0"/>
          <w:color w:val="auto"/>
          <w:sz w:val="24"/>
          <w:szCs w:val="24"/>
        </w:rPr>
        <w:t>5、供应商运输到达仓储点的第一批次沥青由业主代表、仓储方、供应商共同见证取样送至第三方试验室进行检测并出具报告，以佐证到库沥青质量（包含PG等级检测）。今后每供应10000吨进行一次见证外检，费用由供应商承担。</w:t>
      </w:r>
    </w:p>
    <w:p>
      <w:pPr>
        <w:ind w:firstLine="482" w:firstLineChars="200"/>
        <w:rPr>
          <w:rFonts w:hint="eastAsia" w:ascii="宋体" w:hAnsi="宋体" w:cs="宋体"/>
          <w:b/>
          <w:bCs w:val="0"/>
          <w:color w:val="auto"/>
          <w:sz w:val="24"/>
          <w:szCs w:val="24"/>
        </w:rPr>
      </w:pPr>
      <w:r>
        <w:rPr>
          <w:rFonts w:hint="eastAsia" w:ascii="宋体" w:hAnsi="宋体" w:cs="宋体"/>
          <w:b/>
          <w:bCs w:val="0"/>
          <w:color w:val="auto"/>
          <w:sz w:val="24"/>
          <w:szCs w:val="24"/>
        </w:rPr>
        <w:t>6、仓储方负责对供应商入库数量进行确认，供应商入库需提供有效的数量证明文件，最终实际入库数量以仓储方铁路计量软件或库区磅单为准。出现较大差异时，可由双方共同复核数量或请第三方机构进行数量复核，费用由出错方承担。</w:t>
      </w:r>
    </w:p>
    <w:p>
      <w:pPr>
        <w:ind w:firstLine="482" w:firstLineChars="200"/>
        <w:rPr>
          <w:rFonts w:hint="eastAsia" w:ascii="宋体" w:hAnsi="宋体" w:cs="宋体"/>
          <w:b/>
          <w:bCs w:val="0"/>
          <w:color w:val="auto"/>
          <w:sz w:val="24"/>
          <w:szCs w:val="24"/>
        </w:rPr>
      </w:pPr>
      <w:r>
        <w:rPr>
          <w:rFonts w:hint="eastAsia" w:ascii="宋体" w:hAnsi="宋体" w:cs="宋体"/>
          <w:b/>
          <w:bCs w:val="0"/>
          <w:color w:val="auto"/>
          <w:sz w:val="24"/>
          <w:szCs w:val="24"/>
        </w:rPr>
        <w:t>7、仓储方接卸后储存的沥青出现质量问题或沥青泄漏、丢失等，责任由仓储方全部承担，</w:t>
      </w:r>
    </w:p>
    <w:p>
      <w:pPr>
        <w:ind w:firstLine="482" w:firstLineChars="200"/>
        <w:rPr>
          <w:rFonts w:ascii="宋体" w:hAnsi="宋体" w:cs="宋体"/>
          <w:b/>
          <w:bCs w:val="0"/>
          <w:color w:val="auto"/>
          <w:sz w:val="24"/>
          <w:szCs w:val="24"/>
        </w:rPr>
      </w:pPr>
      <w:r>
        <w:rPr>
          <w:rFonts w:hint="eastAsia" w:ascii="宋体" w:hAnsi="宋体" w:cs="宋体"/>
          <w:b/>
          <w:bCs w:val="0"/>
          <w:color w:val="auto"/>
          <w:sz w:val="24"/>
          <w:szCs w:val="24"/>
        </w:rPr>
        <w:t>8、仓储方应配合业主或施工单位派驻库区代表的工作。</w:t>
      </w:r>
    </w:p>
    <w:p>
      <w:pPr>
        <w:spacing w:line="360" w:lineRule="auto"/>
        <w:ind w:firstLine="482" w:firstLineChars="200"/>
        <w:rPr>
          <w:rFonts w:hint="eastAsia" w:ascii="宋体" w:hAnsi="宋体" w:cs="宋体"/>
          <w:b/>
          <w:bCs w:val="0"/>
          <w:color w:val="auto"/>
          <w:sz w:val="24"/>
          <w:szCs w:val="24"/>
        </w:rPr>
      </w:pPr>
      <w:r>
        <w:rPr>
          <w:rFonts w:hint="eastAsia" w:ascii="宋体" w:hAnsi="宋体" w:cs="宋体"/>
          <w:b/>
          <w:bCs w:val="0"/>
          <w:color w:val="auto"/>
          <w:sz w:val="24"/>
          <w:szCs w:val="24"/>
        </w:rPr>
        <w:t>9、因不可抗力或铁路部门线路维修等不可预测因素造成供应商沥青不能正常接卸，仓储方应保证提供临时接卸站点，仓储费不作调整。</w:t>
      </w:r>
    </w:p>
    <w:p>
      <w:pPr>
        <w:ind w:firstLine="482" w:firstLineChars="200"/>
        <w:outlineLvl w:val="0"/>
        <w:rPr>
          <w:rFonts w:hint="eastAsia" w:ascii="宋体" w:hAnsi="宋体" w:cs="宋体"/>
          <w:b/>
          <w:bCs w:val="0"/>
          <w:color w:val="auto"/>
          <w:sz w:val="24"/>
          <w:szCs w:val="24"/>
        </w:rPr>
      </w:pPr>
      <w:r>
        <w:rPr>
          <w:rFonts w:hint="eastAsia" w:ascii="宋体" w:hAnsi="宋体" w:cs="宋体"/>
          <w:b/>
          <w:bCs w:val="0"/>
          <w:color w:val="auto"/>
          <w:sz w:val="24"/>
          <w:szCs w:val="24"/>
        </w:rPr>
        <w:t>八、承运单位</w:t>
      </w:r>
    </w:p>
    <w:p>
      <w:pPr>
        <w:spacing w:line="360" w:lineRule="auto"/>
        <w:ind w:firstLine="482" w:firstLineChars="200"/>
        <w:rPr>
          <w:rFonts w:hint="eastAsia" w:ascii="宋体" w:hAnsi="宋体" w:cs="宋体"/>
          <w:b/>
          <w:bCs w:val="0"/>
          <w:color w:val="auto"/>
          <w:sz w:val="24"/>
          <w:szCs w:val="24"/>
        </w:rPr>
      </w:pPr>
      <w:r>
        <w:rPr>
          <w:rFonts w:hint="eastAsia" w:ascii="宋体" w:hAnsi="宋体" w:cs="宋体"/>
          <w:b/>
          <w:bCs w:val="0"/>
          <w:color w:val="auto"/>
          <w:sz w:val="24"/>
          <w:szCs w:val="24"/>
        </w:rPr>
        <w:t>1、承运方须保证沥青配送车辆满足项目需求，若因承运方代理配送车辆不足，所造成项目停工损失，责任由承运方承担。</w:t>
      </w:r>
    </w:p>
    <w:p>
      <w:pPr>
        <w:spacing w:line="360" w:lineRule="auto"/>
        <w:ind w:firstLine="482" w:firstLineChars="200"/>
        <w:rPr>
          <w:rFonts w:hint="eastAsia" w:ascii="宋体" w:hAnsi="宋体" w:cs="宋体"/>
          <w:b/>
          <w:bCs w:val="0"/>
          <w:color w:val="auto"/>
          <w:sz w:val="24"/>
          <w:szCs w:val="24"/>
        </w:rPr>
      </w:pPr>
      <w:r>
        <w:rPr>
          <w:rFonts w:hint="eastAsia" w:ascii="宋体" w:hAnsi="宋体" w:cs="宋体"/>
          <w:b/>
          <w:bCs w:val="0"/>
          <w:color w:val="auto"/>
          <w:sz w:val="24"/>
          <w:szCs w:val="24"/>
        </w:rPr>
        <w:t>2、承运方代理配送的沥青到达施工</w:t>
      </w:r>
      <w:bookmarkStart w:id="22" w:name="OLE_LINK3"/>
      <w:bookmarkStart w:id="23" w:name="OLE_LINK2"/>
      <w:r>
        <w:rPr>
          <w:rFonts w:hint="eastAsia" w:ascii="宋体" w:hAnsi="宋体" w:cs="宋体"/>
          <w:b/>
          <w:bCs w:val="0"/>
          <w:color w:val="auto"/>
          <w:sz w:val="24"/>
          <w:szCs w:val="24"/>
        </w:rPr>
        <w:t>标段</w:t>
      </w:r>
      <w:bookmarkEnd w:id="22"/>
      <w:bookmarkEnd w:id="23"/>
      <w:r>
        <w:rPr>
          <w:rFonts w:hint="eastAsia" w:ascii="宋体" w:hAnsi="宋体" w:cs="宋体"/>
          <w:b/>
          <w:bCs w:val="0"/>
          <w:color w:val="auto"/>
          <w:sz w:val="24"/>
          <w:szCs w:val="24"/>
        </w:rPr>
        <w:t>，出库磅单上须有施工标段收货人签字、盖章。若出库沥青数量和施工标段验收数量有较大磅差时，须到第三方公平秤过磅，双方达成共识后确认签字。</w:t>
      </w:r>
    </w:p>
    <w:p>
      <w:pPr>
        <w:spacing w:line="360" w:lineRule="auto"/>
        <w:ind w:firstLine="482" w:firstLineChars="200"/>
        <w:rPr>
          <w:rFonts w:hint="eastAsia" w:ascii="宋体" w:hAnsi="宋体" w:cs="宋体"/>
          <w:b/>
          <w:bCs w:val="0"/>
          <w:color w:val="auto"/>
          <w:sz w:val="24"/>
          <w:szCs w:val="24"/>
        </w:rPr>
      </w:pPr>
      <w:r>
        <w:rPr>
          <w:rFonts w:hint="eastAsia" w:ascii="宋体" w:hAnsi="宋体" w:cs="宋体"/>
          <w:b/>
          <w:bCs w:val="0"/>
          <w:color w:val="auto"/>
          <w:sz w:val="24"/>
          <w:szCs w:val="24"/>
        </w:rPr>
        <w:t>3、施工单位对自有磅房履行监管职责，因管理问题造成磅房及周边设备被安装遥控器（作弊器）等情况出现，属于施工单位监管失职。由此造成过磅数量偏离及甲供物资的损失由施工单位承担相应责任及赔偿。若有运输车辆驾驶员私自参与作弊行为，依法移送公安机关处理。</w:t>
      </w:r>
    </w:p>
    <w:p>
      <w:pPr>
        <w:spacing w:line="360" w:lineRule="auto"/>
        <w:ind w:firstLine="482" w:firstLineChars="200"/>
        <w:rPr>
          <w:rFonts w:ascii="宋体" w:hAnsi="宋体" w:cs="宋体"/>
          <w:b/>
          <w:bCs w:val="0"/>
          <w:color w:val="auto"/>
          <w:sz w:val="24"/>
          <w:szCs w:val="24"/>
        </w:rPr>
      </w:pPr>
      <w:r>
        <w:rPr>
          <w:rFonts w:hint="eastAsia" w:ascii="宋体" w:hAnsi="宋体" w:cs="宋体"/>
          <w:b/>
          <w:bCs w:val="0"/>
          <w:color w:val="auto"/>
          <w:sz w:val="24"/>
          <w:szCs w:val="24"/>
        </w:rPr>
        <w:t>4、沥青运输车到达施工现场卸货点后，应积极配合施工单位的质量检测工作。接到施工单位质量确认和卸货指令后，立即进行卸货。卸货后的沥青保管权移交施工单位，视为施工单位对质量、数量已进行确认，承运商对数量、质量不再承担责任。</w:t>
      </w:r>
    </w:p>
    <w:p>
      <w:pPr>
        <w:spacing w:line="360" w:lineRule="auto"/>
        <w:ind w:firstLine="482" w:firstLineChars="200"/>
        <w:rPr>
          <w:rFonts w:hint="eastAsia" w:ascii="宋体" w:hAnsi="宋体" w:cs="宋体"/>
          <w:b/>
          <w:bCs w:val="0"/>
          <w:color w:val="auto"/>
          <w:sz w:val="24"/>
          <w:szCs w:val="24"/>
        </w:rPr>
      </w:pPr>
      <w:r>
        <w:rPr>
          <w:rFonts w:hint="eastAsia" w:ascii="宋体" w:hAnsi="宋体" w:cs="宋体"/>
          <w:b/>
          <w:bCs w:val="0"/>
          <w:color w:val="auto"/>
          <w:sz w:val="24"/>
          <w:szCs w:val="24"/>
        </w:rPr>
        <w:t>5、承运方代理配送的沥青车辆必须安装北斗定位系统，定位数据保证实时上传至甲方监管平台，运输车辆必须配合甲方要求的信息化管理手段及相关设备安装，否则将不得参与本项目运输。沥青装车出库时须打铅封，以保证甲方货物安全。</w:t>
      </w:r>
    </w:p>
    <w:p>
      <w:pPr>
        <w:spacing w:line="360" w:lineRule="auto"/>
        <w:ind w:firstLine="482" w:firstLineChars="200"/>
        <w:rPr>
          <w:rFonts w:hint="eastAsia" w:ascii="宋体" w:hAnsi="宋体" w:cs="宋体"/>
          <w:b/>
          <w:bCs w:val="0"/>
          <w:color w:val="auto"/>
          <w:sz w:val="24"/>
          <w:szCs w:val="24"/>
        </w:rPr>
      </w:pPr>
      <w:r>
        <w:rPr>
          <w:rFonts w:hint="eastAsia" w:ascii="宋体" w:hAnsi="宋体" w:cs="宋体"/>
          <w:b/>
          <w:bCs w:val="0"/>
          <w:color w:val="auto"/>
          <w:sz w:val="24"/>
          <w:szCs w:val="24"/>
        </w:rPr>
        <w:t>6、因不可抗力因素造成运输车辆不能按预定路线通行的，经甲方认可后按新运输路线实际发生的运距重新计算运费，每公里运输单价不变。</w:t>
      </w:r>
    </w:p>
    <w:p>
      <w:pPr>
        <w:spacing w:line="360" w:lineRule="auto"/>
        <w:ind w:firstLine="482" w:firstLineChars="200"/>
        <w:rPr>
          <w:rFonts w:hint="eastAsia" w:ascii="宋体" w:hAnsi="宋体" w:cs="宋体"/>
          <w:b/>
          <w:bCs w:val="0"/>
          <w:color w:val="auto"/>
          <w:sz w:val="24"/>
          <w:szCs w:val="24"/>
        </w:rPr>
      </w:pPr>
      <w:r>
        <w:rPr>
          <w:rFonts w:hint="eastAsia" w:ascii="宋体" w:hAnsi="宋体" w:cs="宋体"/>
          <w:b/>
          <w:bCs w:val="0"/>
          <w:color w:val="auto"/>
          <w:sz w:val="24"/>
          <w:szCs w:val="24"/>
        </w:rPr>
        <w:t>7、因不可抗力或铁路部门线路维修等不可预测因素造成甲方供应商沥青不能正常接卸，仓储方更换临时接卸站点后，运距按经甲方同意的临时接卸站点至工地现场重新确定。</w:t>
      </w:r>
    </w:p>
    <w:p>
      <w:pPr>
        <w:pStyle w:val="2"/>
        <w:rPr>
          <w:rFonts w:hint="eastAsia"/>
          <w:b/>
          <w:bCs w:val="0"/>
          <w:color w:val="auto"/>
          <w:sz w:val="24"/>
          <w:szCs w:val="24"/>
        </w:rPr>
      </w:pPr>
      <w:r>
        <w:rPr>
          <w:rFonts w:ascii="宋体" w:hAnsi="宋体" w:cs="宋体"/>
          <w:b/>
          <w:bCs w:val="0"/>
          <w:color w:val="auto"/>
          <w:sz w:val="24"/>
          <w:szCs w:val="24"/>
        </w:rPr>
        <w:t xml:space="preserve">    8、建立沥青质量综合信息化管控系统，将沥青快速识别检测、供货计划安排、运输车定位、在线粘度监测、沥青指标检测、过磅整合为统一APP共同管理。</w:t>
      </w:r>
    </w:p>
    <w:p>
      <w:pPr>
        <w:spacing w:line="360" w:lineRule="auto"/>
        <w:ind w:firstLine="482" w:firstLineChars="200"/>
        <w:outlineLvl w:val="0"/>
        <w:rPr>
          <w:rFonts w:ascii="宋体" w:hAnsi="宋体" w:cs="宋体"/>
          <w:b/>
          <w:bCs w:val="0"/>
          <w:color w:val="auto"/>
          <w:sz w:val="24"/>
          <w:szCs w:val="24"/>
        </w:rPr>
      </w:pPr>
      <w:r>
        <w:rPr>
          <w:rFonts w:ascii="宋体" w:hAnsi="宋体" w:cs="宋体"/>
          <w:b/>
          <w:bCs w:val="0"/>
          <w:color w:val="auto"/>
          <w:sz w:val="24"/>
          <w:szCs w:val="24"/>
        </w:rPr>
        <w:t>九</w:t>
      </w:r>
      <w:r>
        <w:rPr>
          <w:rFonts w:hint="eastAsia" w:ascii="宋体" w:hAnsi="宋体" w:cs="宋体"/>
          <w:b/>
          <w:bCs w:val="0"/>
          <w:color w:val="auto"/>
          <w:sz w:val="24"/>
          <w:szCs w:val="24"/>
        </w:rPr>
        <w:t>、施工单位</w:t>
      </w:r>
    </w:p>
    <w:p>
      <w:pPr>
        <w:ind w:firstLine="482" w:firstLineChars="200"/>
        <w:rPr>
          <w:rFonts w:hint="eastAsia"/>
          <w:b/>
          <w:bCs w:val="0"/>
          <w:color w:val="auto"/>
          <w:sz w:val="24"/>
          <w:szCs w:val="24"/>
        </w:rPr>
      </w:pPr>
      <w:r>
        <w:rPr>
          <w:rFonts w:hint="eastAsia"/>
          <w:b/>
          <w:bCs w:val="0"/>
          <w:color w:val="auto"/>
          <w:sz w:val="24"/>
          <w:szCs w:val="24"/>
        </w:rPr>
        <w:t>1、</w:t>
      </w:r>
      <w:r>
        <w:rPr>
          <w:rFonts w:hint="eastAsia" w:ascii="宋体" w:hAnsi="宋体"/>
          <w:b/>
          <w:bCs w:val="0"/>
          <w:color w:val="auto"/>
          <w:sz w:val="24"/>
          <w:szCs w:val="24"/>
        </w:rPr>
        <w:t>按照高速集团及重遵项目办有关监督管理规定做好</w:t>
      </w:r>
      <w:r>
        <w:rPr>
          <w:rFonts w:hint="eastAsia"/>
          <w:b/>
          <w:bCs w:val="0"/>
          <w:color w:val="auto"/>
          <w:sz w:val="24"/>
          <w:szCs w:val="24"/>
        </w:rPr>
        <w:t>沥青</w:t>
      </w:r>
      <w:r>
        <w:rPr>
          <w:rFonts w:hint="eastAsia" w:ascii="宋体" w:hAnsi="宋体"/>
          <w:b/>
          <w:bCs w:val="0"/>
          <w:color w:val="auto"/>
          <w:sz w:val="24"/>
          <w:szCs w:val="24"/>
        </w:rPr>
        <w:t>的进场</w:t>
      </w:r>
      <w:r>
        <w:rPr>
          <w:rFonts w:hint="eastAsia"/>
          <w:b/>
          <w:bCs w:val="0"/>
          <w:color w:val="auto"/>
          <w:sz w:val="24"/>
          <w:szCs w:val="24"/>
        </w:rPr>
        <w:t>批次、批量自检，并做好进场台账和储存等相关工作。</w:t>
      </w:r>
    </w:p>
    <w:p>
      <w:pPr>
        <w:spacing w:line="360" w:lineRule="auto"/>
        <w:ind w:firstLine="482" w:firstLineChars="200"/>
        <w:rPr>
          <w:rFonts w:hint="eastAsia" w:ascii="宋体" w:hAnsi="宋体" w:cs="宋体"/>
          <w:b/>
          <w:bCs w:val="0"/>
          <w:color w:val="auto"/>
          <w:sz w:val="24"/>
          <w:szCs w:val="24"/>
        </w:rPr>
      </w:pPr>
      <w:r>
        <w:rPr>
          <w:rFonts w:hint="eastAsia"/>
          <w:b/>
          <w:bCs w:val="0"/>
          <w:color w:val="auto"/>
          <w:sz w:val="24"/>
          <w:szCs w:val="24"/>
        </w:rPr>
        <w:t>2、派驻有经验的试验检测人员进驻沥青中转库，见证改性沥青的生产及质量检测，参与对沥青运输车辆贴封条，</w:t>
      </w:r>
      <w:r>
        <w:rPr>
          <w:rFonts w:hint="eastAsia" w:ascii="宋体" w:hAnsi="宋体" w:cs="宋体"/>
          <w:b/>
          <w:bCs w:val="0"/>
          <w:color w:val="auto"/>
          <w:sz w:val="24"/>
          <w:szCs w:val="24"/>
        </w:rPr>
        <w:t>对生产过程拍照、文字记录，并上传至</w:t>
      </w:r>
      <w:r>
        <w:rPr>
          <w:rFonts w:ascii="宋体" w:hAnsi="宋体" w:cs="宋体"/>
          <w:b/>
          <w:bCs w:val="0"/>
          <w:color w:val="auto"/>
          <w:sz w:val="24"/>
          <w:szCs w:val="24"/>
        </w:rPr>
        <w:t>沥青质量综合信息化管控系统</w:t>
      </w:r>
      <w:r>
        <w:rPr>
          <w:rFonts w:hint="eastAsia" w:ascii="宋体" w:hAnsi="宋体" w:cs="宋体"/>
          <w:b/>
          <w:bCs w:val="0"/>
          <w:color w:val="auto"/>
          <w:sz w:val="24"/>
          <w:szCs w:val="24"/>
        </w:rPr>
        <w:t>。</w:t>
      </w:r>
    </w:p>
    <w:p>
      <w:pPr>
        <w:ind w:firstLine="482" w:firstLineChars="200"/>
        <w:rPr>
          <w:rFonts w:hint="eastAsia"/>
          <w:b/>
          <w:bCs w:val="0"/>
          <w:color w:val="auto"/>
          <w:sz w:val="24"/>
          <w:szCs w:val="24"/>
        </w:rPr>
      </w:pPr>
      <w:r>
        <w:rPr>
          <w:rFonts w:hint="eastAsia"/>
          <w:b/>
          <w:bCs w:val="0"/>
          <w:color w:val="auto"/>
          <w:sz w:val="24"/>
          <w:szCs w:val="24"/>
        </w:rPr>
        <w:t>3、对进场检测不合格的沥青，有权拒收，并将该批次报备监理办和中心试验室，避免不合格沥青材料混入其它标段。</w:t>
      </w:r>
    </w:p>
    <w:p>
      <w:pPr>
        <w:pStyle w:val="2"/>
        <w:rPr>
          <w:b/>
          <w:bCs w:val="0"/>
          <w:color w:val="auto"/>
          <w:sz w:val="24"/>
          <w:szCs w:val="24"/>
        </w:rPr>
      </w:pPr>
      <w:r>
        <w:rPr>
          <w:rFonts w:hint="eastAsia"/>
          <w:b/>
          <w:bCs w:val="0"/>
          <w:color w:val="auto"/>
          <w:sz w:val="24"/>
          <w:szCs w:val="24"/>
        </w:rPr>
        <w:t xml:space="preserve">    </w:t>
      </w:r>
    </w:p>
    <w:p>
      <w:pPr>
        <w:pStyle w:val="2"/>
        <w:rPr>
          <w:rFonts w:hint="eastAsia"/>
          <w:b/>
          <w:bCs w:val="0"/>
          <w:color w:val="auto"/>
          <w:sz w:val="24"/>
          <w:szCs w:val="24"/>
        </w:rPr>
      </w:pPr>
    </w:p>
    <w:p>
      <w:pPr>
        <w:spacing w:line="360" w:lineRule="auto"/>
        <w:rPr>
          <w:rFonts w:hint="eastAsia" w:ascii="宋体" w:hAnsi="宋体" w:cs="宋体"/>
          <w:b/>
          <w:bCs w:val="0"/>
          <w:color w:val="auto"/>
          <w:sz w:val="24"/>
          <w:szCs w:val="24"/>
        </w:rPr>
      </w:pPr>
    </w:p>
    <w:p>
      <w:pPr>
        <w:keepNext w:val="0"/>
        <w:keepLines w:val="0"/>
        <w:pageBreakBefore w:val="0"/>
        <w:widowControl/>
        <w:kinsoku/>
        <w:wordWrap w:val="0"/>
        <w:overflowPunct/>
        <w:topLinePunct w:val="0"/>
        <w:autoSpaceDE/>
        <w:autoSpaceDN/>
        <w:bidi w:val="0"/>
        <w:adjustRightInd/>
        <w:snapToGrid/>
        <w:spacing w:line="360" w:lineRule="auto"/>
        <w:ind w:left="0"/>
        <w:jc w:val="left"/>
        <w:textAlignment w:val="auto"/>
        <w:rPr>
          <w:rFonts w:hint="default"/>
          <w:b/>
          <w:bCs w:val="0"/>
          <w:color w:val="auto"/>
          <w:sz w:val="24"/>
          <w:szCs w:val="24"/>
          <w:highlight w:val="none"/>
          <w:lang w:val="en-US" w:eastAsia="zh-CN"/>
        </w:rPr>
      </w:pP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8E33377-CE1A-45B7-B1DB-3D26A1408A9D}"/>
  </w:font>
  <w:font w:name="黑体">
    <w:panose1 w:val="02010609060101010101"/>
    <w:charset w:val="86"/>
    <w:family w:val="auto"/>
    <w:pitch w:val="default"/>
    <w:sig w:usb0="800002BF" w:usb1="38CF7CFA" w:usb2="00000016" w:usb3="00000000" w:csb0="00040001" w:csb1="00000000"/>
    <w:embedRegular r:id="rId2" w:fontKey="{4896387E-7B85-44D6-A982-5DABC8C38B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4F3CC5AB-D090-4200-BF84-36C0261A708B}"/>
  </w:font>
  <w:font w:name="Calibri Light">
    <w:panose1 w:val="020F0302020204030204"/>
    <w:charset w:val="00"/>
    <w:family w:val="auto"/>
    <w:pitch w:val="default"/>
    <w:sig w:usb0="E4002EFF" w:usb1="C000247B" w:usb2="00000009" w:usb3="00000000" w:csb0="200001FF" w:csb1="00000000"/>
  </w:font>
  <w:font w:name="PMingLiU">
    <w:altName w:val="Segoe Print"/>
    <w:panose1 w:val="00000000000000000000"/>
    <w:charset w:val="00"/>
    <w:family w:val="roman"/>
    <w:pitch w:val="default"/>
    <w:sig w:usb0="00000000" w:usb1="00000000" w:usb2="00000000" w:usb3="00000000" w:csb0="00000000" w:csb1="00000000"/>
    <w:embedRegular r:id="rId4" w:fontKey="{9BD76171-169D-406B-8115-91FE9B80D0DE}"/>
  </w:font>
  <w:font w:name="Microsoft JhengHei">
    <w:panose1 w:val="020B0604030504040204"/>
    <w:charset w:val="88"/>
    <w:family w:val="swiss"/>
    <w:pitch w:val="default"/>
    <w:sig w:usb0="000002A7" w:usb1="28CF4400" w:usb2="00000016" w:usb3="00000000" w:csb0="00100009" w:csb1="00000000"/>
    <w:embedRegular r:id="rId5" w:fontKey="{22389E55-003C-4C58-97E6-E0DEB18A1E1C}"/>
  </w:font>
  <w:font w:name="仿宋">
    <w:panose1 w:val="02010609060101010101"/>
    <w:charset w:val="86"/>
    <w:family w:val="modern"/>
    <w:pitch w:val="default"/>
    <w:sig w:usb0="800002BF" w:usb1="38CF7CFA" w:usb2="00000016" w:usb3="00000000" w:csb0="00040001" w:csb1="00000000"/>
    <w:embedRegular r:id="rId6" w:fontKey="{993DDA64-1EFA-4F6B-88B1-7D2778E0D64F}"/>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ascii="Times New Roman"/>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-15240</wp:posOffset>
              </wp:positionV>
              <wp:extent cx="5991225" cy="9525"/>
              <wp:effectExtent l="0" t="19050" r="9525" b="28575"/>
              <wp:wrapNone/>
              <wp:docPr id="5" name="直接连接符 5"/>
              <wp:cNvGraphicFramePr/>
              <a:graphic xmlns:a="http://schemas.openxmlformats.org/drawingml/2006/main">
                <a:graphicData uri="http://schemas.microsoft.com/office/word/2010/wordprocessingShape">
                  <wps:wsp>
                    <wps:cNvCnPr/>
                    <wps:spPr>
                      <a:xfrm>
                        <a:off x="0" y="0"/>
                        <a:ext cx="5991225" cy="9525"/>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1.2pt;height:0.75pt;width:471.75pt;z-index:251663360;mso-width-relative:page;mso-height-relative:page;" filled="f" stroked="t" coordsize="21600,21600" o:gfxdata="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JNoq7UAAAABwEAAA8AAAAAAAAAAQAgAAAAIgAAAGRycy9kb3ducmV2LnhtbFBLAQIU&#10;ABQAAAAIAIdO4kAO8cKJ9wEAAOgDAAAOAAAAAAAAAAEAIAAAACMBAABkcnMvZTJvRG9jLnhtbFBL&#10;BQYAAAAABgAGAFkBAACMBQAAAAA=&#10;">
              <v:fill on="f" focussize="0,0"/>
              <v:stroke weight="3pt" color="#000000" linestyle="thinThin"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firstLine="0"/>
      <w:rPr>
        <w:sz w:val="20"/>
      </w:rPr>
    </w:pPr>
    <w:r>
      <w:rPr>
        <w:sz w:val="3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3696970</wp:posOffset>
              </wp:positionH>
              <wp:positionV relativeFrom="page">
                <wp:posOffset>9933305</wp:posOffset>
              </wp:positionV>
              <wp:extent cx="167005" cy="1397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p>
                      </w:txbxContent>
                    </wps:txbx>
                    <wps:bodyPr lIns="0" tIns="0" rIns="0" bIns="0" upright="1"/>
                  </wps:wsp>
                </a:graphicData>
              </a:graphic>
            </wp:anchor>
          </w:drawing>
        </mc:Choice>
        <mc:Fallback>
          <w:pict>
            <v:shape id="_x0000_s1026" o:spid="_x0000_s1026" o:spt="202" type="#_x0000_t202" style="position:absolute;left:0pt;margin-left:291.1pt;margin-top:782.15pt;height:11pt;width:13.15pt;mso-position-horizontal-relative:page;mso-position-vertical-relative:page;z-index:-251657216;mso-width-relative:page;mso-height-relative:page;" filled="f" stroked="f" coordsize="21600,21600" o:gfxdata="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lV+8E2wAAAA0BAAAPAAAAAAAAAAEAIAAAACIAAABkcnMvZG93bnJldi54bWxQSwEC&#10;FAAUAAAACACHTuJA8QqbCbgBAABzAwAADgAAAAAAAAABACAAAAAq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jc w:val="center"/>
                          </w:pPr>
                          <w:r>
                            <w:rPr>
                              <w:rFonts w:ascii="Times New Roman"/>
                            </w:rPr>
                            <w:t xml:space="preserve">第 </w:t>
                          </w:r>
                          <w:r>
                            <w:rPr>
                              <w:rFonts w:ascii="Times New Roman"/>
                            </w:rPr>
                            <w:fldChar w:fldCharType="begin"/>
                          </w:r>
                          <w:r>
                            <w:rPr>
                              <w:rFonts w:ascii="Times New Roman"/>
                            </w:rPr>
                            <w:instrText xml:space="preserve"> PAGE  \* MERGEFORMAT </w:instrText>
                          </w:r>
                          <w:r>
                            <w:rPr>
                              <w:rFonts w:ascii="Times New Roman"/>
                            </w:rPr>
                            <w:fldChar w:fldCharType="separate"/>
                          </w:r>
                          <w:r>
                            <w:t>110</w:t>
                          </w:r>
                          <w:r>
                            <w:rPr>
                              <w:rFonts w:ascii="Times New Roman"/>
                            </w:rPr>
                            <w:fldChar w:fldCharType="end"/>
                          </w:r>
                          <w:r>
                            <w:rPr>
                              <w:rFonts w:ascii="Times New Roman"/>
                            </w:rPr>
                            <w:t xml:space="preserve"> 页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pPr>
                      <w:pStyle w:val="12"/>
                      <w:jc w:val="center"/>
                    </w:pPr>
                    <w:r>
                      <w:rPr>
                        <w:rFonts w:ascii="Times New Roman"/>
                      </w:rPr>
                      <w:t xml:space="preserve">第 </w:t>
                    </w:r>
                    <w:r>
                      <w:rPr>
                        <w:rFonts w:ascii="Times New Roman"/>
                      </w:rPr>
                      <w:fldChar w:fldCharType="begin"/>
                    </w:r>
                    <w:r>
                      <w:rPr>
                        <w:rFonts w:ascii="Times New Roman"/>
                      </w:rPr>
                      <w:instrText xml:space="preserve"> PAGE  \* MERGEFORMAT </w:instrText>
                    </w:r>
                    <w:r>
                      <w:rPr>
                        <w:rFonts w:ascii="Times New Roman"/>
                      </w:rPr>
                      <w:fldChar w:fldCharType="separate"/>
                    </w:r>
                    <w:r>
                      <w:t>110</w:t>
                    </w:r>
                    <w:r>
                      <w:rPr>
                        <w:rFonts w:ascii="Times New Roman"/>
                      </w:rPr>
                      <w:fldChar w:fldCharType="end"/>
                    </w:r>
                    <w:r>
                      <w:rPr>
                        <w:rFonts w:ascii="Times New Roman"/>
                      </w:rPr>
                      <w:t xml:space="preserve"> 页 </w:t>
                    </w:r>
                  </w:p>
                </w:txbxContent>
              </v:textbox>
            </v:shape>
          </w:pict>
        </mc:Fallback>
      </mc:AlternateContent>
    </w:r>
    <w:r>
      <w:rPr>
        <w:rFonts w:ascii="Times New Roman"/>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-15240</wp:posOffset>
              </wp:positionV>
              <wp:extent cx="5991225" cy="9525"/>
              <wp:effectExtent l="0" t="19050" r="9525" b="28575"/>
              <wp:wrapNone/>
              <wp:docPr id="9" name="直接连接符 9"/>
              <wp:cNvGraphicFramePr/>
              <a:graphic xmlns:a="http://schemas.openxmlformats.org/drawingml/2006/main">
                <a:graphicData uri="http://schemas.microsoft.com/office/word/2010/wordprocessingShape">
                  <wps:wsp>
                    <wps:cNvCnPr/>
                    <wps:spPr>
                      <a:xfrm>
                        <a:off x="0" y="0"/>
                        <a:ext cx="5991225" cy="9525"/>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1.2pt;height:0.75pt;width:471.75pt;z-index:251663360;mso-width-relative:page;mso-height-relative:page;" filled="f" stroked="t" coordsize="21600,21600" o:gfxdata="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JNoq7UAAAABwEAAA8AAAAAAAAAAQAgAAAAIgAAAGRycy9kb3ducmV2LnhtbFBLAQIU&#10;ABQAAAAIAIdO4kBXSAyw9wEAAOgDAAAOAAAAAAAAAAEAIAAAACMBAABkcnMvZTJvRG9jLnhtbFBL&#10;BQYAAAAABgAGAFkBAACMBQAAAAA=&#10;">
              <v:fill on="f" focussize="0,0"/>
              <v:stroke weight="3pt" color="#000000" linestyle="thinThin"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left"/>
    </w:pPr>
    <w:r>
      <w:rPr>
        <w:rFonts w:hint="eastAsia"/>
        <w:b/>
        <w:bCs/>
        <w:color w:val="auto"/>
        <w:sz w:val="15"/>
        <w:szCs w:val="15"/>
        <w:u w:val="single"/>
        <w:lang w:val="en-US" w:eastAsia="zh-CN"/>
      </w:rPr>
      <w:t>贵州省</w:t>
    </w:r>
    <w:r>
      <w:rPr>
        <w:rFonts w:hint="eastAsia"/>
        <w:b/>
        <w:bCs/>
        <w:color w:val="auto"/>
        <w:sz w:val="15"/>
        <w:szCs w:val="15"/>
        <w:u w:val="single"/>
        <w:lang w:eastAsia="zh-CN"/>
      </w:rPr>
      <w:t>兰州至海口国家高速公路重庆至遵义段（贵州境）扩容工程</w:t>
    </w:r>
    <w:r>
      <w:rPr>
        <w:rFonts w:hint="eastAsia"/>
        <w:b/>
        <w:bCs/>
        <w:color w:val="auto"/>
        <w:sz w:val="15"/>
        <w:szCs w:val="15"/>
        <w:u w:val="single"/>
        <w:lang w:val="en-US" w:eastAsia="zh-CN"/>
      </w:rPr>
      <w:t>甲供沥青材料采购</w:t>
    </w:r>
    <w:r>
      <w:rPr>
        <w:rFonts w:hint="eastAsia"/>
        <w:b/>
        <w:bCs/>
        <w:color w:val="auto"/>
        <w:sz w:val="15"/>
        <w:szCs w:val="15"/>
        <w:u w:val="single"/>
        <w:lang w:eastAsia="zh-CN"/>
      </w:rPr>
      <w:t>招标</w:t>
    </w:r>
    <w:r>
      <w:rPr>
        <w:rFonts w:hint="eastAsia"/>
        <w:b/>
        <w:bCs/>
        <w:color w:val="auto"/>
        <w:sz w:val="15"/>
        <w:szCs w:val="15"/>
        <w:u w:val="single"/>
        <w:lang w:val="en-US" w:eastAsia="zh-CN"/>
      </w:rPr>
      <w:t xml:space="preserve">文件            华能招标有限公司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left"/>
    </w:pPr>
    <w:r>
      <w:rPr>
        <w:rFonts w:hint="eastAsia"/>
        <w:b/>
        <w:bCs/>
        <w:color w:val="auto"/>
        <w:sz w:val="15"/>
        <w:szCs w:val="15"/>
        <w:u w:val="single"/>
        <w:lang w:val="en-US" w:eastAsia="zh-CN"/>
      </w:rPr>
      <w:t>贵州省</w:t>
    </w:r>
    <w:r>
      <w:rPr>
        <w:rFonts w:hint="eastAsia"/>
        <w:b/>
        <w:bCs/>
        <w:color w:val="auto"/>
        <w:sz w:val="15"/>
        <w:szCs w:val="15"/>
        <w:u w:val="single"/>
        <w:lang w:eastAsia="zh-CN"/>
      </w:rPr>
      <w:t>兰州至海口国家高速公路重庆至遵义段（贵州境）扩容工程</w:t>
    </w:r>
    <w:r>
      <w:rPr>
        <w:rFonts w:hint="eastAsia"/>
        <w:b/>
        <w:bCs/>
        <w:color w:val="auto"/>
        <w:sz w:val="15"/>
        <w:szCs w:val="15"/>
        <w:u w:val="single"/>
        <w:lang w:val="en-US" w:eastAsia="zh-CN"/>
      </w:rPr>
      <w:t>甲供沥青材料采购</w:t>
    </w:r>
    <w:r>
      <w:rPr>
        <w:rFonts w:hint="eastAsia"/>
        <w:b/>
        <w:bCs/>
        <w:color w:val="auto"/>
        <w:sz w:val="15"/>
        <w:szCs w:val="15"/>
        <w:u w:val="single"/>
        <w:lang w:eastAsia="zh-CN"/>
      </w:rPr>
      <w:t>招标</w:t>
    </w:r>
    <w:r>
      <w:rPr>
        <w:rFonts w:hint="eastAsia"/>
        <w:b/>
        <w:bCs/>
        <w:color w:val="auto"/>
        <w:sz w:val="15"/>
        <w:szCs w:val="15"/>
        <w:u w:val="single"/>
        <w:lang w:val="en-US" w:eastAsia="zh-CN"/>
      </w:rPr>
      <w:t xml:space="preserve">文件            华能招标有限公司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18E91"/>
    <w:multiLevelType w:val="singleLevel"/>
    <w:tmpl w:val="84418E91"/>
    <w:lvl w:ilvl="0" w:tentative="0">
      <w:start w:val="1"/>
      <w:numFmt w:val="lowerLetter"/>
      <w:suff w:val="space"/>
      <w:lvlText w:val="%1."/>
      <w:lvlJc w:val="left"/>
    </w:lvl>
  </w:abstractNum>
  <w:abstractNum w:abstractNumId="1">
    <w:nsid w:val="88C5B7E3"/>
    <w:multiLevelType w:val="singleLevel"/>
    <w:tmpl w:val="88C5B7E3"/>
    <w:lvl w:ilvl="0" w:tentative="0">
      <w:start w:val="20"/>
      <w:numFmt w:val="decimal"/>
      <w:lvlText w:val="%1."/>
      <w:lvlJc w:val="left"/>
      <w:pPr>
        <w:tabs>
          <w:tab w:val="left" w:pos="312"/>
        </w:tabs>
      </w:pPr>
    </w:lvl>
  </w:abstractNum>
  <w:abstractNum w:abstractNumId="2">
    <w:nsid w:val="B0BF4B46"/>
    <w:multiLevelType w:val="singleLevel"/>
    <w:tmpl w:val="B0BF4B46"/>
    <w:lvl w:ilvl="0" w:tentative="0">
      <w:start w:val="1"/>
      <w:numFmt w:val="decimal"/>
      <w:suff w:val="nothing"/>
      <w:lvlText w:val="（%1）"/>
      <w:lvlJc w:val="left"/>
    </w:lvl>
  </w:abstractNum>
  <w:abstractNum w:abstractNumId="3">
    <w:nsid w:val="B23A94A9"/>
    <w:multiLevelType w:val="multilevel"/>
    <w:tmpl w:val="B23A94A9"/>
    <w:lvl w:ilvl="0" w:tentative="0">
      <w:start w:val="1"/>
      <w:numFmt w:val="decimal"/>
      <w:lvlText w:val="%1."/>
      <w:lvlJc w:val="left"/>
      <w:pPr>
        <w:ind w:left="1140" w:hanging="363"/>
      </w:pPr>
      <w:rPr>
        <w:rFonts w:hint="default" w:ascii="宋体" w:hAnsi="宋体" w:eastAsia="宋体" w:cs="宋体"/>
        <w:b/>
        <w:bCs/>
        <w:spacing w:val="0"/>
        <w:w w:val="99"/>
        <w:sz w:val="24"/>
        <w:szCs w:val="24"/>
        <w:lang w:val="zh-CN" w:eastAsia="zh-CN" w:bidi="zh-CN"/>
      </w:rPr>
    </w:lvl>
    <w:lvl w:ilvl="1" w:tentative="0">
      <w:start w:val="1"/>
      <w:numFmt w:val="lowerLetter"/>
      <w:lvlText w:val="%2)"/>
      <w:lvlJc w:val="left"/>
      <w:pPr>
        <w:ind w:left="1508" w:hanging="310"/>
      </w:pPr>
      <w:rPr>
        <w:rFonts w:hint="default" w:ascii="宋体" w:hAnsi="宋体" w:eastAsia="宋体" w:cs="宋体"/>
        <w:w w:val="100"/>
        <w:sz w:val="24"/>
        <w:szCs w:val="24"/>
        <w:lang w:val="zh-CN" w:eastAsia="zh-CN" w:bidi="zh-CN"/>
      </w:rPr>
    </w:lvl>
    <w:lvl w:ilvl="2" w:tentative="0">
      <w:start w:val="0"/>
      <w:numFmt w:val="bullet"/>
      <w:lvlText w:val="•"/>
      <w:lvlJc w:val="left"/>
      <w:pPr>
        <w:ind w:left="2460" w:hanging="310"/>
      </w:pPr>
      <w:rPr>
        <w:rFonts w:hint="default"/>
        <w:lang w:val="zh-CN" w:eastAsia="zh-CN" w:bidi="zh-CN"/>
      </w:rPr>
    </w:lvl>
    <w:lvl w:ilvl="3" w:tentative="0">
      <w:start w:val="0"/>
      <w:numFmt w:val="bullet"/>
      <w:lvlText w:val="•"/>
      <w:lvlJc w:val="left"/>
      <w:pPr>
        <w:ind w:left="3421" w:hanging="310"/>
      </w:pPr>
      <w:rPr>
        <w:rFonts w:hint="default"/>
        <w:lang w:val="zh-CN" w:eastAsia="zh-CN" w:bidi="zh-CN"/>
      </w:rPr>
    </w:lvl>
    <w:lvl w:ilvl="4" w:tentative="0">
      <w:start w:val="0"/>
      <w:numFmt w:val="bullet"/>
      <w:lvlText w:val="•"/>
      <w:lvlJc w:val="left"/>
      <w:pPr>
        <w:ind w:left="4382" w:hanging="310"/>
      </w:pPr>
      <w:rPr>
        <w:rFonts w:hint="default"/>
        <w:lang w:val="zh-CN" w:eastAsia="zh-CN" w:bidi="zh-CN"/>
      </w:rPr>
    </w:lvl>
    <w:lvl w:ilvl="5" w:tentative="0">
      <w:start w:val="0"/>
      <w:numFmt w:val="bullet"/>
      <w:lvlText w:val="•"/>
      <w:lvlJc w:val="left"/>
      <w:pPr>
        <w:ind w:left="5342" w:hanging="310"/>
      </w:pPr>
      <w:rPr>
        <w:rFonts w:hint="default"/>
        <w:lang w:val="zh-CN" w:eastAsia="zh-CN" w:bidi="zh-CN"/>
      </w:rPr>
    </w:lvl>
    <w:lvl w:ilvl="6" w:tentative="0">
      <w:start w:val="0"/>
      <w:numFmt w:val="bullet"/>
      <w:lvlText w:val="•"/>
      <w:lvlJc w:val="left"/>
      <w:pPr>
        <w:ind w:left="6303" w:hanging="310"/>
      </w:pPr>
      <w:rPr>
        <w:rFonts w:hint="default"/>
        <w:lang w:val="zh-CN" w:eastAsia="zh-CN" w:bidi="zh-CN"/>
      </w:rPr>
    </w:lvl>
    <w:lvl w:ilvl="7" w:tentative="0">
      <w:start w:val="0"/>
      <w:numFmt w:val="bullet"/>
      <w:lvlText w:val="•"/>
      <w:lvlJc w:val="left"/>
      <w:pPr>
        <w:ind w:left="7264" w:hanging="310"/>
      </w:pPr>
      <w:rPr>
        <w:rFonts w:hint="default"/>
        <w:lang w:val="zh-CN" w:eastAsia="zh-CN" w:bidi="zh-CN"/>
      </w:rPr>
    </w:lvl>
    <w:lvl w:ilvl="8" w:tentative="0">
      <w:start w:val="0"/>
      <w:numFmt w:val="bullet"/>
      <w:lvlText w:val="•"/>
      <w:lvlJc w:val="left"/>
      <w:pPr>
        <w:ind w:left="8224" w:hanging="310"/>
      </w:pPr>
      <w:rPr>
        <w:rFonts w:hint="default"/>
        <w:lang w:val="zh-CN" w:eastAsia="zh-CN" w:bidi="zh-CN"/>
      </w:rPr>
    </w:lvl>
  </w:abstractNum>
  <w:abstractNum w:abstractNumId="4">
    <w:nsid w:val="701B1791"/>
    <w:multiLevelType w:val="singleLevel"/>
    <w:tmpl w:val="701B1791"/>
    <w:lvl w:ilvl="0" w:tentative="0">
      <w:start w:val="5"/>
      <w:numFmt w:val="chineseCounting"/>
      <w:suff w:val="space"/>
      <w:lvlText w:val="第%1章"/>
      <w:lvlJc w:val="left"/>
      <w:rPr>
        <w:rFonts w:hint="eastAsi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46806"/>
    <w:rsid w:val="017D023C"/>
    <w:rsid w:val="038D511F"/>
    <w:rsid w:val="03C652EC"/>
    <w:rsid w:val="03D158D3"/>
    <w:rsid w:val="043467D0"/>
    <w:rsid w:val="045C2F6E"/>
    <w:rsid w:val="04A115FC"/>
    <w:rsid w:val="05E06B80"/>
    <w:rsid w:val="05EB6744"/>
    <w:rsid w:val="05F83B9D"/>
    <w:rsid w:val="06293987"/>
    <w:rsid w:val="06755659"/>
    <w:rsid w:val="075725FE"/>
    <w:rsid w:val="077A78C2"/>
    <w:rsid w:val="07945469"/>
    <w:rsid w:val="07C12BF0"/>
    <w:rsid w:val="07CC6298"/>
    <w:rsid w:val="07FC770D"/>
    <w:rsid w:val="08363325"/>
    <w:rsid w:val="083805DB"/>
    <w:rsid w:val="08745E8C"/>
    <w:rsid w:val="08F15D43"/>
    <w:rsid w:val="09025B7E"/>
    <w:rsid w:val="0AFC37F5"/>
    <w:rsid w:val="0BA52C82"/>
    <w:rsid w:val="0C082692"/>
    <w:rsid w:val="0CD14489"/>
    <w:rsid w:val="0CF442C8"/>
    <w:rsid w:val="0E4310DC"/>
    <w:rsid w:val="0F0F11A7"/>
    <w:rsid w:val="10E13452"/>
    <w:rsid w:val="114A215E"/>
    <w:rsid w:val="11B75166"/>
    <w:rsid w:val="11F55789"/>
    <w:rsid w:val="11FC4676"/>
    <w:rsid w:val="134A2423"/>
    <w:rsid w:val="151B3D66"/>
    <w:rsid w:val="152B4FE5"/>
    <w:rsid w:val="159E1A0C"/>
    <w:rsid w:val="169D616A"/>
    <w:rsid w:val="16AE5795"/>
    <w:rsid w:val="17164988"/>
    <w:rsid w:val="1773191E"/>
    <w:rsid w:val="17B40B6E"/>
    <w:rsid w:val="17DF6BC7"/>
    <w:rsid w:val="18CD4D07"/>
    <w:rsid w:val="1925738E"/>
    <w:rsid w:val="19576B1B"/>
    <w:rsid w:val="1A3B0A78"/>
    <w:rsid w:val="1A4860FC"/>
    <w:rsid w:val="1B26719C"/>
    <w:rsid w:val="1C3F5708"/>
    <w:rsid w:val="1CC916A3"/>
    <w:rsid w:val="1DDB13BF"/>
    <w:rsid w:val="1E354265"/>
    <w:rsid w:val="1E746806"/>
    <w:rsid w:val="1F272DC4"/>
    <w:rsid w:val="1FA2703A"/>
    <w:rsid w:val="1FD906DE"/>
    <w:rsid w:val="223410F5"/>
    <w:rsid w:val="22D252CC"/>
    <w:rsid w:val="22EF684A"/>
    <w:rsid w:val="24282750"/>
    <w:rsid w:val="24E5450A"/>
    <w:rsid w:val="253279EE"/>
    <w:rsid w:val="25AC377A"/>
    <w:rsid w:val="25C03CD3"/>
    <w:rsid w:val="269631EA"/>
    <w:rsid w:val="26A45CEF"/>
    <w:rsid w:val="26B61F5B"/>
    <w:rsid w:val="26E26294"/>
    <w:rsid w:val="2748168B"/>
    <w:rsid w:val="27D15B30"/>
    <w:rsid w:val="28006724"/>
    <w:rsid w:val="29314BE6"/>
    <w:rsid w:val="2B12442B"/>
    <w:rsid w:val="2C9720B9"/>
    <w:rsid w:val="2D612C7D"/>
    <w:rsid w:val="2DBA1D74"/>
    <w:rsid w:val="2DFA0B94"/>
    <w:rsid w:val="2E087F0C"/>
    <w:rsid w:val="2E8D44F6"/>
    <w:rsid w:val="2ECB62E5"/>
    <w:rsid w:val="2F4C0242"/>
    <w:rsid w:val="31043B83"/>
    <w:rsid w:val="31660320"/>
    <w:rsid w:val="31A65148"/>
    <w:rsid w:val="333C0A53"/>
    <w:rsid w:val="33551083"/>
    <w:rsid w:val="336673F5"/>
    <w:rsid w:val="347666CF"/>
    <w:rsid w:val="34DC1EB5"/>
    <w:rsid w:val="350D3187"/>
    <w:rsid w:val="35102300"/>
    <w:rsid w:val="35B35FB1"/>
    <w:rsid w:val="35EF7103"/>
    <w:rsid w:val="369406D2"/>
    <w:rsid w:val="37043C20"/>
    <w:rsid w:val="37AE195C"/>
    <w:rsid w:val="38205E20"/>
    <w:rsid w:val="3843066B"/>
    <w:rsid w:val="39462BA4"/>
    <w:rsid w:val="395C0B0F"/>
    <w:rsid w:val="3A803D30"/>
    <w:rsid w:val="3BB53896"/>
    <w:rsid w:val="3BF31860"/>
    <w:rsid w:val="3C556B6F"/>
    <w:rsid w:val="3D6A468C"/>
    <w:rsid w:val="3ED43AAF"/>
    <w:rsid w:val="3EE15723"/>
    <w:rsid w:val="3FB15CC8"/>
    <w:rsid w:val="3FC04487"/>
    <w:rsid w:val="3FCD05A6"/>
    <w:rsid w:val="414675C5"/>
    <w:rsid w:val="41B9460C"/>
    <w:rsid w:val="41E164FD"/>
    <w:rsid w:val="42C70127"/>
    <w:rsid w:val="43310D4C"/>
    <w:rsid w:val="43FF10CC"/>
    <w:rsid w:val="449700C6"/>
    <w:rsid w:val="44B74178"/>
    <w:rsid w:val="45413945"/>
    <w:rsid w:val="465D421A"/>
    <w:rsid w:val="46AF6B57"/>
    <w:rsid w:val="47A36A43"/>
    <w:rsid w:val="48D87174"/>
    <w:rsid w:val="48FC223E"/>
    <w:rsid w:val="496825B7"/>
    <w:rsid w:val="4B5E71DF"/>
    <w:rsid w:val="4B92583F"/>
    <w:rsid w:val="4DFA2028"/>
    <w:rsid w:val="4F106058"/>
    <w:rsid w:val="502478F1"/>
    <w:rsid w:val="511564A0"/>
    <w:rsid w:val="52277E94"/>
    <w:rsid w:val="52B318C4"/>
    <w:rsid w:val="536E6611"/>
    <w:rsid w:val="541E12ED"/>
    <w:rsid w:val="548B1BCF"/>
    <w:rsid w:val="54FB44B2"/>
    <w:rsid w:val="5521433A"/>
    <w:rsid w:val="592114FA"/>
    <w:rsid w:val="592F22BF"/>
    <w:rsid w:val="594661F3"/>
    <w:rsid w:val="5A1170C8"/>
    <w:rsid w:val="5A141B4B"/>
    <w:rsid w:val="5A372F3A"/>
    <w:rsid w:val="5A627F94"/>
    <w:rsid w:val="5BCB7831"/>
    <w:rsid w:val="5D61631A"/>
    <w:rsid w:val="5DA169BF"/>
    <w:rsid w:val="5DDE72AB"/>
    <w:rsid w:val="5E33379C"/>
    <w:rsid w:val="601C52EB"/>
    <w:rsid w:val="606C1B60"/>
    <w:rsid w:val="60C65ADB"/>
    <w:rsid w:val="614856C5"/>
    <w:rsid w:val="622B66CE"/>
    <w:rsid w:val="62AC3FD2"/>
    <w:rsid w:val="63AB5D85"/>
    <w:rsid w:val="63B107C6"/>
    <w:rsid w:val="642B3E0B"/>
    <w:rsid w:val="64BB4619"/>
    <w:rsid w:val="650A0031"/>
    <w:rsid w:val="66205846"/>
    <w:rsid w:val="663972CF"/>
    <w:rsid w:val="666B1CB4"/>
    <w:rsid w:val="66D4795A"/>
    <w:rsid w:val="681E602B"/>
    <w:rsid w:val="69252ADE"/>
    <w:rsid w:val="69310CD7"/>
    <w:rsid w:val="698C0CEB"/>
    <w:rsid w:val="69BD223A"/>
    <w:rsid w:val="6A4B061B"/>
    <w:rsid w:val="6A5159D0"/>
    <w:rsid w:val="6A7D54EA"/>
    <w:rsid w:val="6B2B0BF4"/>
    <w:rsid w:val="6C7A14E2"/>
    <w:rsid w:val="6D1D3E58"/>
    <w:rsid w:val="6E362EC6"/>
    <w:rsid w:val="6E3653AC"/>
    <w:rsid w:val="6F0D6DCE"/>
    <w:rsid w:val="6F965688"/>
    <w:rsid w:val="6FA45FB1"/>
    <w:rsid w:val="6FB30BFE"/>
    <w:rsid w:val="700F5AAF"/>
    <w:rsid w:val="708372F7"/>
    <w:rsid w:val="70EF3058"/>
    <w:rsid w:val="727E2590"/>
    <w:rsid w:val="732521FC"/>
    <w:rsid w:val="73BD4860"/>
    <w:rsid w:val="750A5125"/>
    <w:rsid w:val="77A314D5"/>
    <w:rsid w:val="77F22A27"/>
    <w:rsid w:val="78B46DF8"/>
    <w:rsid w:val="79F81457"/>
    <w:rsid w:val="7AC1068D"/>
    <w:rsid w:val="7BD06817"/>
    <w:rsid w:val="7D434DEC"/>
    <w:rsid w:val="7E2C169E"/>
    <w:rsid w:val="7E6338A3"/>
    <w:rsid w:val="7F1C7FCF"/>
    <w:rsid w:val="7F2F4AA8"/>
    <w:rsid w:val="7FAE7B51"/>
    <w:rsid w:val="7FC85E9B"/>
    <w:rsid w:val="7FF66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spacing w:beforeLines="0" w:afterLines="0"/>
      <w:jc w:val="both"/>
    </w:pPr>
    <w:rPr>
      <w:rFonts w:hint="default" w:ascii="Times New Roman" w:hAnsi="Times New Roman" w:eastAsia="宋体" w:cs="Times New Roman"/>
      <w:kern w:val="2"/>
      <w:sz w:val="21"/>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5"/>
    <w:qFormat/>
    <w:uiPriority w:val="0"/>
    <w:pPr>
      <w:keepNext/>
      <w:keepLines/>
      <w:spacing w:before="260" w:after="260" w:line="480" w:lineRule="exact"/>
      <w:jc w:val="left"/>
      <w:outlineLvl w:val="1"/>
    </w:pPr>
    <w:rPr>
      <w:rFonts w:ascii="宋体" w:hAnsi="宋体" w:eastAsia="黑体"/>
      <w:bCs/>
      <w:iCs/>
      <w:sz w:val="24"/>
      <w:szCs w:val="20"/>
    </w:rPr>
  </w:style>
  <w:style w:type="paragraph" w:styleId="5">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6">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8">
    <w:name w:val="Normal Indent"/>
    <w:basedOn w:val="1"/>
    <w:unhideWhenUsed/>
    <w:qFormat/>
    <w:uiPriority w:val="0"/>
    <w:pPr>
      <w:ind w:firstLine="420" w:firstLineChars="200"/>
    </w:pPr>
  </w:style>
  <w:style w:type="paragraph" w:styleId="9">
    <w:name w:val="annotation text"/>
    <w:basedOn w:val="1"/>
    <w:qFormat/>
    <w:uiPriority w:val="0"/>
    <w:pPr>
      <w:jc w:val="left"/>
    </w:pPr>
  </w:style>
  <w:style w:type="paragraph" w:styleId="10">
    <w:name w:val="Body Text 3"/>
    <w:basedOn w:val="1"/>
    <w:qFormat/>
    <w:uiPriority w:val="0"/>
    <w:rPr>
      <w:rFonts w:ascii="宋体" w:hAnsiTheme="minorHAnsi" w:cstheme="minorBidi"/>
      <w:sz w:val="24"/>
      <w:szCs w:val="22"/>
    </w:rPr>
  </w:style>
  <w:style w:type="paragraph" w:styleId="11">
    <w:name w:val="Plain Text"/>
    <w:basedOn w:val="1"/>
    <w:qFormat/>
    <w:uiPriority w:val="0"/>
    <w:pPr>
      <w:autoSpaceDE/>
      <w:autoSpaceDN/>
      <w:adjustRightInd/>
      <w:jc w:val="both"/>
      <w:textAlignment w:val="auto"/>
    </w:pPr>
    <w:rPr>
      <w:rFonts w:hAnsi="Courier New"/>
      <w:kern w:val="2"/>
      <w:sz w:val="21"/>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unhideWhenUsed/>
    <w:qFormat/>
    <w:uiPriority w:val="99"/>
    <w:pPr>
      <w:widowControl/>
      <w:autoSpaceDE/>
      <w:autoSpaceDN/>
      <w:adjustRightInd/>
      <w:spacing w:before="100" w:beforeAutospacing="1" w:after="100" w:afterAutospacing="1"/>
      <w:textAlignment w:val="auto"/>
    </w:pPr>
    <w:rPr>
      <w:rFonts w:hAnsi="宋体" w:cs="宋体"/>
      <w:sz w:val="24"/>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styleId="21">
    <w:name w:val="List Paragraph"/>
    <w:basedOn w:val="1"/>
    <w:qFormat/>
    <w:uiPriority w:val="34"/>
    <w:pPr>
      <w:ind w:firstLine="420" w:firstLineChars="200"/>
    </w:pPr>
  </w:style>
  <w:style w:type="paragraph" w:customStyle="1" w:styleId="22">
    <w:name w:val="样式 标题 3 + (中文) 黑体 小四 非加粗 段前: 7.8 磅 段后: 0 磅 行距: 固定值 20 磅"/>
    <w:basedOn w:val="5"/>
    <w:qFormat/>
    <w:uiPriority w:val="0"/>
    <w:pPr>
      <w:autoSpaceDE/>
      <w:autoSpaceDN/>
      <w:adjustRightInd/>
      <w:spacing w:before="0" w:beforeLines="0" w:after="0" w:afterLines="0" w:line="400" w:lineRule="exact"/>
      <w:jc w:val="both"/>
      <w:textAlignment w:val="auto"/>
    </w:pPr>
    <w:rPr>
      <w:rFonts w:ascii="Times New Roman" w:eastAsia="黑体" w:cs="宋体"/>
      <w:b w:val="0"/>
      <w:bCs w:val="0"/>
      <w:kern w:val="2"/>
      <w:sz w:val="24"/>
      <w:szCs w:val="20"/>
    </w:rPr>
  </w:style>
  <w:style w:type="paragraph" w:customStyle="1" w:styleId="23">
    <w:name w:val="样式 标题 2 + Times New Roman 四号 非加粗 段前: 5 磅 段后: 0 磅 行距: 固定值 20..."/>
    <w:basedOn w:val="4"/>
    <w:qFormat/>
    <w:uiPriority w:val="0"/>
    <w:pPr>
      <w:spacing w:before="100" w:beforeLines="0" w:after="0" w:afterLines="0" w:line="400" w:lineRule="exact"/>
    </w:pPr>
    <w:rPr>
      <w:rFonts w:ascii="Times New Roman" w:hAnsi="Times New Roman" w:cs="宋体"/>
      <w:bCs w:val="0"/>
      <w:sz w:val="28"/>
      <w:szCs w:val="20"/>
    </w:rPr>
  </w:style>
  <w:style w:type="paragraph" w:customStyle="1" w:styleId="24">
    <w:name w:val="Table Paragraph"/>
    <w:basedOn w:val="1"/>
    <w:qFormat/>
    <w:uiPriority w:val="1"/>
    <w:pPr>
      <w:adjustRightInd/>
      <w:textAlignment w:val="auto"/>
    </w:pPr>
    <w:rPr>
      <w:rFonts w:hAnsi="宋体" w:cs="宋体"/>
      <w:sz w:val="22"/>
      <w:szCs w:val="22"/>
      <w:lang w:val="zh-CN" w:bidi="zh-CN"/>
    </w:rPr>
  </w:style>
  <w:style w:type="character" w:customStyle="1" w:styleId="25">
    <w:name w:val="标题 2 Char"/>
    <w:link w:val="4"/>
    <w:qFormat/>
    <w:uiPriority w:val="0"/>
    <w:rPr>
      <w:rFonts w:ascii="宋体" w:hAnsi="宋体" w:eastAsia="黑体"/>
      <w:bCs/>
      <w:iCs/>
      <w:sz w:val="24"/>
      <w:szCs w:val="20"/>
    </w:rPr>
  </w:style>
  <w:style w:type="paragraph" w:customStyle="1" w:styleId="26">
    <w:name w:val="p0"/>
    <w:basedOn w:val="1"/>
    <w:qFormat/>
    <w:uiPriority w:val="0"/>
    <w:pPr>
      <w:widowControl/>
      <w:autoSpaceDE/>
      <w:autoSpaceDN/>
      <w:textAlignment w:val="auto"/>
    </w:pPr>
    <w:rPr>
      <w:rFonts w:hAnsi="宋体" w:cs="宋体"/>
      <w:szCs w:val="34"/>
    </w:rPr>
  </w:style>
  <w:style w:type="paragraph" w:customStyle="1" w:styleId="27">
    <w:name w:val="p16"/>
    <w:basedOn w:val="1"/>
    <w:qFormat/>
    <w:uiPriority w:val="0"/>
    <w:pPr>
      <w:widowControl/>
      <w:autoSpaceDE/>
      <w:adjustRightInd/>
      <w:textAlignment w:val="auto"/>
    </w:pPr>
    <w:rPr>
      <w:rFonts w:ascii="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2020-06-09T01:53:00Z</dcterms:created>
  <dc:creator>࿓༬࿆ྂ啸ཛྷ༹༰༤</dc:creator>
  <cp:lastModifiedBy>pc</cp:lastModifiedBy>
  <cp:lastPrinted>2020-06-28T06:58:00Z</cp:lastPrinted>
  <dcterms:modified xsi:type="dcterms:W3CDTF">2021-01-18T01:24:33Z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