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宋体" w:hAnsi="宋体"/>
          <w:b/>
          <w:color w:val="0070C0"/>
          <w:sz w:val="24"/>
          <w:szCs w:val="24"/>
          <w:highlight w:val="none"/>
          <w:lang w:val="en-US" w:eastAsia="zh-CN"/>
        </w:rPr>
      </w:pPr>
      <w:r>
        <w:rPr>
          <w:rFonts w:hint="eastAsia" w:ascii="宋体" w:hAnsi="宋体"/>
          <w:b/>
          <w:color w:val="0070C0"/>
          <w:sz w:val="24"/>
          <w:szCs w:val="24"/>
          <w:highlight w:val="none"/>
          <w:lang w:val="en-US" w:eastAsia="zh-CN"/>
        </w:rPr>
        <w:t>附件1：资格审查条件</w:t>
      </w:r>
    </w:p>
    <w:p>
      <w:pPr>
        <w:spacing w:line="240" w:lineRule="auto"/>
        <w:jc w:val="center"/>
        <w:rPr>
          <w:rFonts w:hint="eastAsia" w:ascii="宋体" w:hAnsi="宋体"/>
          <w:b/>
          <w:color w:val="0070C0"/>
          <w:sz w:val="24"/>
          <w:szCs w:val="24"/>
          <w:highlight w:val="none"/>
          <w:lang w:val="en-US" w:eastAsia="zh-CN"/>
        </w:rPr>
      </w:pPr>
    </w:p>
    <w:p>
      <w:pPr>
        <w:spacing w:line="240" w:lineRule="auto"/>
        <w:jc w:val="center"/>
        <w:rPr>
          <w:rFonts w:eastAsia="黑体"/>
          <w:b/>
          <w:sz w:val="24"/>
          <w:szCs w:val="24"/>
        </w:rPr>
      </w:pPr>
      <w:r>
        <w:rPr>
          <w:rFonts w:hint="eastAsia" w:eastAsia="黑体"/>
          <w:b/>
          <w:sz w:val="32"/>
          <w:szCs w:val="32"/>
        </w:rPr>
        <w:t>附录1</w:t>
      </w:r>
      <w:r>
        <w:rPr>
          <w:rFonts w:eastAsia="黑体"/>
          <w:b/>
          <w:sz w:val="32"/>
          <w:szCs w:val="32"/>
        </w:rPr>
        <w:t xml:space="preserve">  </w:t>
      </w:r>
      <w:r>
        <w:rPr>
          <w:rFonts w:hint="eastAsia" w:eastAsia="黑体"/>
          <w:b/>
          <w:sz w:val="32"/>
          <w:szCs w:val="32"/>
        </w:rPr>
        <w:t>资格审查条件（资质最低要求）</w:t>
      </w:r>
    </w:p>
    <w:p>
      <w:pPr>
        <w:spacing w:line="240" w:lineRule="auto"/>
        <w:ind w:firstLine="105" w:firstLineChars="50"/>
        <w:jc w:val="center"/>
        <w:rPr>
          <w:b/>
          <w:u w:val="single"/>
        </w:rPr>
      </w:pPr>
    </w:p>
    <w:tbl>
      <w:tblPr>
        <w:tblStyle w:val="36"/>
        <w:tblW w:w="8449" w:type="dxa"/>
        <w:jc w:val="center"/>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01"/>
        <w:gridCol w:w="1873"/>
      </w:tblGrid>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449" w:type="dxa"/>
            <w:gridSpan w:val="3"/>
            <w:vAlign w:val="center"/>
          </w:tcPr>
          <w:p>
            <w:pPr>
              <w:spacing w:line="240" w:lineRule="auto"/>
              <w:jc w:val="center"/>
              <w:rPr>
                <w:b/>
              </w:rPr>
            </w:pPr>
            <w:r>
              <w:rPr>
                <w:rFonts w:hint="eastAsia"/>
                <w:b/>
              </w:rPr>
              <w:t>企业资质等级要求</w:t>
            </w:r>
          </w:p>
        </w:tc>
      </w:tr>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5" w:type="dxa"/>
            <w:vAlign w:val="center"/>
          </w:tcPr>
          <w:p>
            <w:pPr>
              <w:spacing w:line="240" w:lineRule="auto"/>
              <w:jc w:val="center"/>
              <w:rPr>
                <w:b/>
              </w:rPr>
            </w:pPr>
            <w:r>
              <w:rPr>
                <w:rFonts w:hint="eastAsia"/>
                <w:b/>
              </w:rPr>
              <w:t>序号</w:t>
            </w:r>
          </w:p>
        </w:tc>
        <w:tc>
          <w:tcPr>
            <w:tcW w:w="5901" w:type="dxa"/>
            <w:vAlign w:val="center"/>
          </w:tcPr>
          <w:p>
            <w:pPr>
              <w:spacing w:line="240" w:lineRule="auto"/>
              <w:jc w:val="center"/>
              <w:rPr>
                <w:b/>
              </w:rPr>
            </w:pPr>
            <w:r>
              <w:rPr>
                <w:rFonts w:hint="eastAsia"/>
                <w:b/>
              </w:rPr>
              <w:t>要求</w:t>
            </w:r>
          </w:p>
        </w:tc>
        <w:tc>
          <w:tcPr>
            <w:tcW w:w="1873" w:type="dxa"/>
            <w:vAlign w:val="center"/>
          </w:tcPr>
          <w:p>
            <w:pPr>
              <w:spacing w:line="240" w:lineRule="auto"/>
              <w:jc w:val="center"/>
              <w:rPr>
                <w:b/>
              </w:rPr>
            </w:pPr>
            <w:r>
              <w:rPr>
                <w:rFonts w:hint="eastAsia"/>
                <w:b/>
              </w:rPr>
              <w:t>适用标段</w:t>
            </w:r>
          </w:p>
        </w:tc>
      </w:tr>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5" w:type="dxa"/>
            <w:vAlign w:val="center"/>
          </w:tcPr>
          <w:p>
            <w:pPr>
              <w:spacing w:line="240" w:lineRule="auto"/>
              <w:jc w:val="center"/>
            </w:pPr>
            <w:r>
              <w:rPr>
                <w:rFonts w:hint="eastAsia"/>
              </w:rPr>
              <w:t>1</w:t>
            </w:r>
          </w:p>
        </w:tc>
        <w:tc>
          <w:tcPr>
            <w:tcW w:w="5901" w:type="dxa"/>
            <w:vAlign w:val="center"/>
          </w:tcPr>
          <w:p>
            <w:pPr>
              <w:spacing w:line="360" w:lineRule="exact"/>
              <w:rPr>
                <w:szCs w:val="21"/>
              </w:rPr>
            </w:pPr>
            <w:r>
              <w:rPr>
                <w:rFonts w:hint="eastAsia"/>
                <w:szCs w:val="21"/>
              </w:rPr>
              <w:t>具备有效的营业执照</w:t>
            </w:r>
            <w:r>
              <w:rPr>
                <w:rFonts w:hint="eastAsia"/>
                <w:b/>
                <w:bCs/>
                <w:szCs w:val="21"/>
              </w:rPr>
              <w:t>或</w:t>
            </w:r>
            <w:r>
              <w:rPr>
                <w:rFonts w:hint="eastAsia"/>
                <w:szCs w:val="21"/>
              </w:rPr>
              <w:t>有效的事业单位法人证书</w:t>
            </w:r>
          </w:p>
        </w:tc>
        <w:tc>
          <w:tcPr>
            <w:tcW w:w="1873" w:type="dxa"/>
            <w:vAlign w:val="center"/>
          </w:tcPr>
          <w:p>
            <w:pPr>
              <w:spacing w:line="240" w:lineRule="auto"/>
              <w:jc w:val="center"/>
            </w:pPr>
            <w:r>
              <w:rPr>
                <w:rFonts w:hint="eastAsia"/>
              </w:rPr>
              <w:t>全部</w:t>
            </w:r>
          </w:p>
        </w:tc>
      </w:tr>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675" w:type="dxa"/>
            <w:vAlign w:val="center"/>
          </w:tcPr>
          <w:p>
            <w:pPr>
              <w:spacing w:line="240" w:lineRule="auto"/>
              <w:jc w:val="center"/>
            </w:pPr>
            <w:r>
              <w:rPr>
                <w:rFonts w:hint="eastAsia"/>
              </w:rPr>
              <w:t>2</w:t>
            </w:r>
          </w:p>
        </w:tc>
        <w:tc>
          <w:tcPr>
            <w:tcW w:w="5901" w:type="dxa"/>
            <w:vAlign w:val="center"/>
          </w:tcPr>
          <w:p>
            <w:pPr>
              <w:spacing w:line="360" w:lineRule="exact"/>
              <w:rPr>
                <w:rFonts w:hint="eastAsia"/>
                <w:szCs w:val="21"/>
              </w:rPr>
            </w:pPr>
            <w:r>
              <w:rPr>
                <w:rFonts w:hint="eastAsia"/>
                <w:szCs w:val="21"/>
              </w:rPr>
              <w:t>具备公路工程试验检测综合甲级资质</w:t>
            </w:r>
            <w:r>
              <w:rPr>
                <w:rFonts w:hint="eastAsia"/>
                <w:b/>
                <w:bCs/>
                <w:szCs w:val="21"/>
              </w:rPr>
              <w:t>或</w:t>
            </w:r>
            <w:r>
              <w:rPr>
                <w:rFonts w:hint="eastAsia"/>
                <w:b w:val="0"/>
                <w:bCs w:val="0"/>
                <w:szCs w:val="21"/>
                <w:lang w:val="en-US" w:eastAsia="zh-CN"/>
              </w:rPr>
              <w:t>桥</w:t>
            </w:r>
            <w:r>
              <w:rPr>
                <w:rFonts w:hint="eastAsia"/>
                <w:szCs w:val="21"/>
              </w:rPr>
              <w:t>梁隧道工程专项试验检测资质</w:t>
            </w:r>
          </w:p>
          <w:p>
            <w:pPr>
              <w:spacing w:line="360" w:lineRule="exact"/>
              <w:rPr>
                <w:rFonts w:hint="eastAsia" w:eastAsia="宋体"/>
                <w:szCs w:val="21"/>
                <w:lang w:val="en-US" w:eastAsia="zh-CN"/>
              </w:rPr>
            </w:pPr>
            <w:r>
              <w:rPr>
                <w:rFonts w:hint="eastAsia"/>
                <w:szCs w:val="21"/>
                <w:lang w:val="en-US" w:eastAsia="zh-CN"/>
              </w:rPr>
              <w:t>注：试验检测资质证书上写明的试验检测机构可以是投标人的不具有独立法人资格的附属机构。</w:t>
            </w:r>
          </w:p>
        </w:tc>
        <w:tc>
          <w:tcPr>
            <w:tcW w:w="1873" w:type="dxa"/>
            <w:vAlign w:val="center"/>
          </w:tcPr>
          <w:p>
            <w:pPr>
              <w:spacing w:line="240" w:lineRule="auto"/>
              <w:jc w:val="center"/>
            </w:pPr>
            <w:r>
              <w:rPr>
                <w:rFonts w:hint="eastAsia"/>
              </w:rPr>
              <w:t>全部</w:t>
            </w:r>
          </w:p>
        </w:tc>
      </w:tr>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5" w:type="dxa"/>
            <w:vAlign w:val="center"/>
          </w:tcPr>
          <w:p>
            <w:pPr>
              <w:spacing w:line="240" w:lineRule="auto"/>
              <w:jc w:val="center"/>
            </w:pPr>
            <w:r>
              <w:t>3</w:t>
            </w:r>
          </w:p>
        </w:tc>
        <w:tc>
          <w:tcPr>
            <w:tcW w:w="5901" w:type="dxa"/>
            <w:vAlign w:val="center"/>
          </w:tcPr>
          <w:p>
            <w:pPr>
              <w:spacing w:line="360" w:lineRule="exact"/>
              <w:rPr>
                <w:rFonts w:hint="eastAsia" w:eastAsia="宋体"/>
                <w:szCs w:val="21"/>
                <w:lang w:val="en-US" w:eastAsia="zh-CN"/>
              </w:rPr>
            </w:pPr>
            <w:r>
              <w:rPr>
                <w:rFonts w:hint="eastAsia"/>
                <w:szCs w:val="21"/>
                <w:lang w:val="en-US" w:eastAsia="zh-CN"/>
              </w:rPr>
              <w:t>具备有效的</w:t>
            </w:r>
            <w:r>
              <w:rPr>
                <w:rFonts w:hint="eastAsia"/>
                <w:szCs w:val="21"/>
              </w:rPr>
              <w:t>计量认证证书</w:t>
            </w:r>
            <w:r>
              <w:rPr>
                <w:rFonts w:hint="eastAsia"/>
                <w:szCs w:val="21"/>
                <w:lang w:eastAsia="zh-CN"/>
              </w:rPr>
              <w:t>（计量认证证书附表覆盖本项目检测工作内容）</w:t>
            </w:r>
          </w:p>
        </w:tc>
        <w:tc>
          <w:tcPr>
            <w:tcW w:w="1873" w:type="dxa"/>
            <w:vAlign w:val="center"/>
          </w:tcPr>
          <w:p>
            <w:pPr>
              <w:spacing w:line="240" w:lineRule="auto"/>
              <w:jc w:val="center"/>
            </w:pPr>
            <w:r>
              <w:rPr>
                <w:rFonts w:hint="eastAsia"/>
              </w:rPr>
              <w:t>全部</w:t>
            </w:r>
          </w:p>
        </w:tc>
      </w:tr>
    </w:tbl>
    <w:p>
      <w:pPr>
        <w:spacing w:line="400" w:lineRule="exact"/>
        <w:ind w:firstLine="105" w:firstLineChars="50"/>
        <w:jc w:val="center"/>
        <w:rPr>
          <w:b/>
          <w:u w:val="single"/>
        </w:rPr>
      </w:pPr>
    </w:p>
    <w:p>
      <w:pPr>
        <w:spacing w:line="400" w:lineRule="exact"/>
        <w:ind w:firstLine="105" w:firstLineChars="50"/>
        <w:jc w:val="center"/>
        <w:rPr>
          <w:b/>
          <w:u w:val="single"/>
        </w:rPr>
      </w:pPr>
    </w:p>
    <w:p>
      <w:pPr>
        <w:spacing w:line="400" w:lineRule="exact"/>
        <w:ind w:firstLine="105" w:firstLineChars="50"/>
        <w:jc w:val="center"/>
        <w:rPr>
          <w:b/>
          <w:u w:val="single"/>
        </w:rPr>
      </w:pPr>
    </w:p>
    <w:p>
      <w:pPr>
        <w:spacing w:line="240" w:lineRule="auto"/>
        <w:jc w:val="center"/>
        <w:rPr>
          <w:rFonts w:eastAsia="黑体"/>
          <w:b/>
          <w:sz w:val="24"/>
          <w:szCs w:val="24"/>
        </w:rPr>
      </w:pPr>
      <w:r>
        <w:rPr>
          <w:rFonts w:hint="eastAsia" w:eastAsia="黑体"/>
          <w:b/>
          <w:sz w:val="32"/>
          <w:szCs w:val="32"/>
        </w:rPr>
        <w:t>附录</w:t>
      </w:r>
      <w:r>
        <w:rPr>
          <w:rFonts w:eastAsia="黑体"/>
          <w:b/>
          <w:sz w:val="32"/>
          <w:szCs w:val="32"/>
        </w:rPr>
        <w:t xml:space="preserve">2  </w:t>
      </w:r>
      <w:r>
        <w:rPr>
          <w:rFonts w:hint="eastAsia" w:eastAsia="黑体"/>
          <w:b/>
          <w:sz w:val="32"/>
          <w:szCs w:val="32"/>
        </w:rPr>
        <w:t>资格审查条件（业绩最低要求）</w:t>
      </w:r>
    </w:p>
    <w:p>
      <w:pPr>
        <w:spacing w:line="240" w:lineRule="auto"/>
        <w:ind w:firstLine="105" w:firstLineChars="50"/>
        <w:jc w:val="center"/>
        <w:rPr>
          <w:b/>
          <w:u w:val="single"/>
        </w:rPr>
      </w:pPr>
    </w:p>
    <w:tbl>
      <w:tblPr>
        <w:tblStyle w:val="36"/>
        <w:tblW w:w="8533" w:type="dxa"/>
        <w:jc w:val="center"/>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Layout w:type="fixed"/>
        <w:tblCellMar>
          <w:top w:w="0" w:type="dxa"/>
          <w:left w:w="108" w:type="dxa"/>
          <w:bottom w:w="0" w:type="dxa"/>
          <w:right w:w="108" w:type="dxa"/>
        </w:tblCellMar>
      </w:tblPr>
      <w:tblGrid>
        <w:gridCol w:w="8533"/>
      </w:tblGrid>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33" w:type="dxa"/>
            <w:vAlign w:val="center"/>
          </w:tcPr>
          <w:p>
            <w:pPr>
              <w:spacing w:line="240" w:lineRule="auto"/>
              <w:jc w:val="center"/>
              <w:rPr>
                <w:b/>
              </w:rPr>
            </w:pPr>
            <w:r>
              <w:rPr>
                <w:rFonts w:hint="eastAsia"/>
                <w:b/>
              </w:rPr>
              <w:t>业 绩 要 求</w:t>
            </w:r>
          </w:p>
        </w:tc>
      </w:tr>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8533" w:type="dxa"/>
            <w:vAlign w:val="center"/>
          </w:tcPr>
          <w:p>
            <w:pPr>
              <w:spacing w:line="240" w:lineRule="auto"/>
              <w:ind w:firstLine="422" w:firstLineChars="200"/>
              <w:rPr>
                <w:b/>
                <w:bCs/>
              </w:rPr>
            </w:pPr>
            <w:r>
              <w:rPr>
                <w:rFonts w:hint="eastAsia"/>
                <w:b/>
                <w:bCs/>
              </w:rPr>
              <w:t>不强制要求业绩，投标人如提供，按照评标办法相应条款进行加分。</w:t>
            </w:r>
          </w:p>
          <w:p>
            <w:pPr>
              <w:spacing w:line="240" w:lineRule="auto"/>
              <w:ind w:firstLine="420" w:firstLineChars="200"/>
            </w:pPr>
            <w:r>
              <w:rPr>
                <w:rFonts w:hint="eastAsia"/>
              </w:rPr>
              <w:t>业绩证明材料见投标人须知前附表。</w:t>
            </w:r>
          </w:p>
        </w:tc>
      </w:tr>
    </w:tbl>
    <w:p>
      <w:pPr>
        <w:spacing w:line="400" w:lineRule="exact"/>
        <w:ind w:firstLine="105" w:firstLineChars="50"/>
        <w:jc w:val="center"/>
        <w:rPr>
          <w:b/>
          <w:u w:val="single"/>
        </w:rPr>
      </w:pPr>
    </w:p>
    <w:p>
      <w:pPr>
        <w:spacing w:line="400" w:lineRule="exact"/>
        <w:ind w:firstLine="105" w:firstLineChars="50"/>
        <w:jc w:val="center"/>
        <w:rPr>
          <w:b/>
          <w:u w:val="single"/>
        </w:rPr>
      </w:pPr>
    </w:p>
    <w:p>
      <w:pPr>
        <w:spacing w:line="240" w:lineRule="auto"/>
        <w:jc w:val="center"/>
        <w:rPr>
          <w:rFonts w:eastAsia="黑体"/>
          <w:b/>
          <w:sz w:val="32"/>
          <w:szCs w:val="32"/>
        </w:rPr>
      </w:pPr>
      <w:r>
        <w:rPr>
          <w:rFonts w:eastAsia="黑体"/>
          <w:b/>
          <w:sz w:val="32"/>
          <w:szCs w:val="32"/>
        </w:rPr>
        <w:br w:type="page"/>
      </w:r>
      <w:r>
        <w:rPr>
          <w:rFonts w:hint="eastAsia" w:eastAsia="黑体"/>
          <w:b/>
          <w:sz w:val="32"/>
          <w:szCs w:val="32"/>
        </w:rPr>
        <w:t>附录</w:t>
      </w:r>
      <w:r>
        <w:rPr>
          <w:rFonts w:eastAsia="黑体"/>
          <w:b/>
          <w:sz w:val="32"/>
          <w:szCs w:val="32"/>
        </w:rPr>
        <w:t xml:space="preserve">3 </w:t>
      </w:r>
      <w:r>
        <w:rPr>
          <w:rFonts w:hint="eastAsia" w:eastAsia="黑体"/>
          <w:b/>
          <w:sz w:val="32"/>
          <w:szCs w:val="32"/>
        </w:rPr>
        <w:t>资格审查条件（信誉最低要求）</w:t>
      </w:r>
    </w:p>
    <w:p>
      <w:pPr>
        <w:spacing w:line="240" w:lineRule="auto"/>
        <w:ind w:firstLine="105" w:firstLineChars="50"/>
        <w:jc w:val="center"/>
        <w:rPr>
          <w:b/>
          <w:u w:val="single"/>
        </w:rPr>
      </w:pPr>
    </w:p>
    <w:tbl>
      <w:tblPr>
        <w:tblStyle w:val="36"/>
        <w:tblW w:w="8534" w:type="dxa"/>
        <w:jc w:val="center"/>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407"/>
        <w:gridCol w:w="1452"/>
      </w:tblGrid>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34" w:type="dxa"/>
            <w:gridSpan w:val="3"/>
            <w:vAlign w:val="center"/>
          </w:tcPr>
          <w:p>
            <w:pPr>
              <w:spacing w:line="240" w:lineRule="auto"/>
              <w:jc w:val="center"/>
              <w:rPr>
                <w:b/>
              </w:rPr>
            </w:pPr>
            <w:r>
              <w:rPr>
                <w:rFonts w:hint="eastAsia"/>
                <w:b/>
              </w:rPr>
              <w:t>信 誉 要 求</w:t>
            </w:r>
          </w:p>
        </w:tc>
      </w:tr>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5" w:type="dxa"/>
            <w:vAlign w:val="center"/>
          </w:tcPr>
          <w:p>
            <w:pPr>
              <w:spacing w:line="240" w:lineRule="auto"/>
              <w:jc w:val="center"/>
              <w:rPr>
                <w:b/>
              </w:rPr>
            </w:pPr>
            <w:r>
              <w:rPr>
                <w:rFonts w:hint="eastAsia"/>
                <w:b/>
              </w:rPr>
              <w:t>序号</w:t>
            </w:r>
          </w:p>
        </w:tc>
        <w:tc>
          <w:tcPr>
            <w:tcW w:w="6407" w:type="dxa"/>
            <w:vAlign w:val="center"/>
          </w:tcPr>
          <w:p>
            <w:pPr>
              <w:spacing w:line="240" w:lineRule="auto"/>
              <w:jc w:val="center"/>
              <w:rPr>
                <w:b/>
              </w:rPr>
            </w:pPr>
            <w:r>
              <w:rPr>
                <w:rFonts w:hint="eastAsia"/>
                <w:b/>
              </w:rPr>
              <w:t>要求</w:t>
            </w:r>
          </w:p>
        </w:tc>
        <w:tc>
          <w:tcPr>
            <w:tcW w:w="1452" w:type="dxa"/>
            <w:vAlign w:val="center"/>
          </w:tcPr>
          <w:p>
            <w:pPr>
              <w:spacing w:line="240" w:lineRule="auto"/>
              <w:jc w:val="center"/>
              <w:rPr>
                <w:b/>
              </w:rPr>
            </w:pPr>
            <w:r>
              <w:rPr>
                <w:rFonts w:hint="eastAsia"/>
                <w:b/>
              </w:rPr>
              <w:t>适用标段</w:t>
            </w:r>
          </w:p>
        </w:tc>
      </w:tr>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75" w:type="dxa"/>
            <w:vAlign w:val="center"/>
          </w:tcPr>
          <w:p>
            <w:pPr>
              <w:spacing w:line="240" w:lineRule="auto"/>
              <w:jc w:val="center"/>
            </w:pPr>
            <w:r>
              <w:rPr>
                <w:rFonts w:hint="eastAsia"/>
              </w:rPr>
              <w:t>1</w:t>
            </w:r>
          </w:p>
        </w:tc>
        <w:tc>
          <w:tcPr>
            <w:tcW w:w="6407" w:type="dxa"/>
            <w:vAlign w:val="center"/>
          </w:tcPr>
          <w:p>
            <w:r>
              <w:rPr>
                <w:rFonts w:hint="eastAsia"/>
              </w:rPr>
              <w:t>投标人不存在“投标人须知”正文第1</w:t>
            </w:r>
            <w:r>
              <w:t>.4.4</w:t>
            </w:r>
            <w:r>
              <w:rPr>
                <w:rFonts w:hint="eastAsia"/>
              </w:rPr>
              <w:t>项规定的任何情形，其中：</w:t>
            </w:r>
          </w:p>
          <w:p>
            <w:r>
              <w:rPr>
                <w:rFonts w:hint="eastAsia"/>
              </w:rPr>
              <w:t>（1）（2）（3）（6）（7）项</w:t>
            </w:r>
            <w:r>
              <w:rPr>
                <w:rFonts w:hint="eastAsia"/>
                <w:b/>
                <w:bCs/>
              </w:rPr>
              <w:t>以投标人出具的承诺函为准</w:t>
            </w:r>
            <w:r>
              <w:rPr>
                <w:rFonts w:hint="eastAsia"/>
              </w:rPr>
              <w:t>；</w:t>
            </w:r>
          </w:p>
          <w:p>
            <w:r>
              <w:rPr>
                <w:rFonts w:hint="eastAsia"/>
              </w:rPr>
              <w:t>（4）（5）项</w:t>
            </w:r>
            <w:r>
              <w:rPr>
                <w:rFonts w:hint="eastAsia"/>
                <w:b/>
                <w:bCs/>
              </w:rPr>
              <w:t>以相关网站的网页截图彩色复印件为准</w:t>
            </w:r>
            <w:r>
              <w:rPr>
                <w:rFonts w:hint="eastAsia"/>
              </w:rPr>
              <w:t>。</w:t>
            </w:r>
          </w:p>
        </w:tc>
        <w:tc>
          <w:tcPr>
            <w:tcW w:w="1452" w:type="dxa"/>
            <w:vAlign w:val="center"/>
          </w:tcPr>
          <w:p>
            <w:pPr>
              <w:spacing w:line="240" w:lineRule="auto"/>
              <w:jc w:val="center"/>
            </w:pPr>
            <w:r>
              <w:rPr>
                <w:rFonts w:hint="eastAsia"/>
              </w:rPr>
              <w:t>全部</w:t>
            </w:r>
          </w:p>
        </w:tc>
      </w:tr>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75" w:type="dxa"/>
            <w:vAlign w:val="center"/>
          </w:tcPr>
          <w:p>
            <w:pPr>
              <w:spacing w:line="240" w:lineRule="auto"/>
              <w:jc w:val="center"/>
            </w:pPr>
            <w:r>
              <w:rPr>
                <w:rFonts w:hint="eastAsia"/>
              </w:rPr>
              <w:t>2</w:t>
            </w:r>
          </w:p>
        </w:tc>
        <w:tc>
          <w:tcPr>
            <w:tcW w:w="6407" w:type="dxa"/>
            <w:vAlign w:val="center"/>
          </w:tcPr>
          <w:p>
            <w:r>
              <w:rPr>
                <w:rFonts w:hint="eastAsia"/>
              </w:rPr>
              <w:t>1. 投标人在最近三年内未在工程建设领域发生工程质量事故或重大安全事故或特别重大安全事故；</w:t>
            </w:r>
          </w:p>
          <w:p>
            <w:pPr>
              <w:rPr>
                <w:rFonts w:hint="eastAsia" w:eastAsia="宋体"/>
                <w:lang w:eastAsia="zh-CN"/>
              </w:rPr>
            </w:pPr>
            <w:r>
              <w:rPr>
                <w:rFonts w:hint="eastAsia"/>
              </w:rPr>
              <w:t>2. 投标人在贵州省公路建设市场未发生重大违约问题</w:t>
            </w:r>
            <w:r>
              <w:rPr>
                <w:rFonts w:hint="eastAsia"/>
                <w:lang w:eastAsia="zh-CN"/>
              </w:rPr>
              <w:t>。</w:t>
            </w:r>
          </w:p>
          <w:p>
            <w:r>
              <w:rPr>
                <w:rFonts w:hint="eastAsia"/>
                <w:b/>
                <w:bCs/>
              </w:rPr>
              <w:t>以投标人出具的承诺函为准</w:t>
            </w:r>
          </w:p>
        </w:tc>
        <w:tc>
          <w:tcPr>
            <w:tcW w:w="1452" w:type="dxa"/>
            <w:vAlign w:val="center"/>
          </w:tcPr>
          <w:p>
            <w:pPr>
              <w:spacing w:line="240" w:lineRule="auto"/>
              <w:jc w:val="center"/>
            </w:pPr>
            <w:r>
              <w:rPr>
                <w:rFonts w:hint="eastAsia"/>
              </w:rPr>
              <w:t>全部</w:t>
            </w:r>
          </w:p>
        </w:tc>
      </w:tr>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5" w:type="dxa"/>
            <w:vAlign w:val="center"/>
          </w:tcPr>
          <w:p>
            <w:pPr>
              <w:spacing w:line="240" w:lineRule="auto"/>
              <w:jc w:val="center"/>
            </w:pPr>
            <w:r>
              <w:rPr>
                <w:rFonts w:hint="eastAsia"/>
              </w:rPr>
              <w:t>3</w:t>
            </w:r>
          </w:p>
        </w:tc>
        <w:tc>
          <w:tcPr>
            <w:tcW w:w="6407" w:type="dxa"/>
            <w:vAlign w:val="center"/>
          </w:tcPr>
          <w:p>
            <w:pPr>
              <w:rPr>
                <w:szCs w:val="21"/>
              </w:rPr>
            </w:pPr>
            <w:r>
              <w:rPr>
                <w:rFonts w:hint="eastAsia"/>
                <w:szCs w:val="21"/>
              </w:rPr>
              <w:t>投标人最新信用评价等级为B级及以上。</w:t>
            </w:r>
          </w:p>
          <w:p>
            <w:r>
              <w:rPr>
                <w:rFonts w:hint="eastAsia"/>
              </w:rPr>
              <w:t>投标单位最新信用等级的最终引用规则详见招标公告。</w:t>
            </w:r>
          </w:p>
          <w:p>
            <w:pPr>
              <w:rPr>
                <w:szCs w:val="21"/>
              </w:rPr>
            </w:pPr>
            <w:r>
              <w:rPr>
                <w:rFonts w:hint="eastAsia"/>
              </w:rPr>
              <w:t>关于投标人信用等级偏差的调整：在评标期间，若招标人发现投标人信用等级申报存在偏差，招标人将按照核实且掌握的信息确定投标人最终的信用等级。</w:t>
            </w:r>
          </w:p>
        </w:tc>
        <w:tc>
          <w:tcPr>
            <w:tcW w:w="1452" w:type="dxa"/>
            <w:vAlign w:val="center"/>
          </w:tcPr>
          <w:p>
            <w:pPr>
              <w:spacing w:line="240" w:lineRule="auto"/>
              <w:jc w:val="center"/>
            </w:pPr>
            <w:r>
              <w:rPr>
                <w:rFonts w:hint="eastAsia"/>
              </w:rPr>
              <w:t>全部</w:t>
            </w:r>
          </w:p>
        </w:tc>
      </w:tr>
    </w:tbl>
    <w:p>
      <w:pPr>
        <w:spacing w:line="400" w:lineRule="exact"/>
        <w:jc w:val="center"/>
        <w:rPr>
          <w:b/>
          <w:u w:val="single"/>
        </w:rPr>
      </w:pPr>
    </w:p>
    <w:p>
      <w:pPr>
        <w:spacing w:line="240" w:lineRule="auto"/>
        <w:jc w:val="center"/>
        <w:rPr>
          <w:rFonts w:eastAsia="黑体"/>
          <w:b/>
          <w:sz w:val="24"/>
          <w:szCs w:val="24"/>
        </w:rPr>
      </w:pPr>
      <w:r>
        <w:rPr>
          <w:rFonts w:hint="eastAsia" w:eastAsia="黑体"/>
          <w:b/>
          <w:sz w:val="32"/>
          <w:szCs w:val="32"/>
        </w:rPr>
        <w:t>附录</w:t>
      </w:r>
      <w:r>
        <w:rPr>
          <w:rFonts w:eastAsia="黑体"/>
          <w:b/>
          <w:sz w:val="32"/>
          <w:szCs w:val="32"/>
        </w:rPr>
        <w:t xml:space="preserve">4  </w:t>
      </w:r>
      <w:r>
        <w:rPr>
          <w:rFonts w:hint="eastAsia" w:eastAsia="黑体"/>
          <w:b/>
          <w:sz w:val="32"/>
          <w:szCs w:val="32"/>
        </w:rPr>
        <w:t>资格审查条件（主要人员最低要求）</w:t>
      </w:r>
    </w:p>
    <w:p>
      <w:pPr>
        <w:spacing w:line="240" w:lineRule="auto"/>
        <w:ind w:firstLine="105" w:firstLineChars="50"/>
        <w:jc w:val="center"/>
        <w:rPr>
          <w:b/>
          <w:u w:val="single"/>
        </w:rPr>
      </w:pPr>
    </w:p>
    <w:tbl>
      <w:tblPr>
        <w:tblStyle w:val="36"/>
        <w:tblW w:w="8463" w:type="dxa"/>
        <w:jc w:val="center"/>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276"/>
        <w:gridCol w:w="567"/>
        <w:gridCol w:w="4280"/>
        <w:gridCol w:w="1179"/>
      </w:tblGrid>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61" w:type="dxa"/>
            <w:vAlign w:val="center"/>
          </w:tcPr>
          <w:p>
            <w:pPr>
              <w:spacing w:line="240" w:lineRule="auto"/>
              <w:jc w:val="center"/>
              <w:rPr>
                <w:b/>
              </w:rPr>
            </w:pPr>
            <w:r>
              <w:rPr>
                <w:rFonts w:hint="eastAsia"/>
                <w:b/>
              </w:rPr>
              <w:t>人员</w:t>
            </w:r>
          </w:p>
        </w:tc>
        <w:tc>
          <w:tcPr>
            <w:tcW w:w="1276" w:type="dxa"/>
            <w:vAlign w:val="center"/>
          </w:tcPr>
          <w:p>
            <w:pPr>
              <w:spacing w:line="240" w:lineRule="auto"/>
              <w:jc w:val="center"/>
              <w:rPr>
                <w:b/>
              </w:rPr>
            </w:pPr>
            <w:r>
              <w:rPr>
                <w:rFonts w:hint="eastAsia"/>
                <w:b/>
              </w:rPr>
              <w:t>适用标段</w:t>
            </w:r>
          </w:p>
        </w:tc>
        <w:tc>
          <w:tcPr>
            <w:tcW w:w="567" w:type="dxa"/>
            <w:vAlign w:val="center"/>
          </w:tcPr>
          <w:p>
            <w:pPr>
              <w:spacing w:line="240" w:lineRule="auto"/>
              <w:jc w:val="center"/>
              <w:rPr>
                <w:b/>
              </w:rPr>
            </w:pPr>
            <w:r>
              <w:rPr>
                <w:rFonts w:hint="eastAsia"/>
                <w:b/>
              </w:rPr>
              <w:t>数量</w:t>
            </w:r>
          </w:p>
        </w:tc>
        <w:tc>
          <w:tcPr>
            <w:tcW w:w="4280" w:type="dxa"/>
            <w:vAlign w:val="center"/>
          </w:tcPr>
          <w:p>
            <w:pPr>
              <w:spacing w:line="240" w:lineRule="auto"/>
              <w:jc w:val="center"/>
              <w:rPr>
                <w:b/>
              </w:rPr>
            </w:pPr>
            <w:r>
              <w:rPr>
                <w:rFonts w:hint="eastAsia"/>
                <w:b/>
              </w:rPr>
              <w:t>资格要求</w:t>
            </w:r>
          </w:p>
        </w:tc>
        <w:tc>
          <w:tcPr>
            <w:tcW w:w="1179" w:type="dxa"/>
            <w:vAlign w:val="center"/>
          </w:tcPr>
          <w:p>
            <w:pPr>
              <w:spacing w:line="240" w:lineRule="auto"/>
              <w:jc w:val="center"/>
              <w:rPr>
                <w:b/>
              </w:rPr>
            </w:pPr>
            <w:r>
              <w:rPr>
                <w:rFonts w:hint="eastAsia"/>
                <w:b/>
              </w:rPr>
              <w:t>在岗要求</w:t>
            </w:r>
          </w:p>
        </w:tc>
      </w:tr>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161" w:type="dxa"/>
            <w:vAlign w:val="center"/>
          </w:tcPr>
          <w:p>
            <w:pPr>
              <w:spacing w:line="240" w:lineRule="auto"/>
              <w:jc w:val="center"/>
              <w:rPr>
                <w:rFonts w:hint="default" w:eastAsia="宋体"/>
                <w:lang w:val="en-US" w:eastAsia="zh-CN"/>
              </w:rPr>
            </w:pPr>
            <w:r>
              <w:rPr>
                <w:rFonts w:hint="eastAsia"/>
                <w:lang w:val="en-US" w:eastAsia="zh-CN"/>
              </w:rPr>
              <w:t>项目负责人</w:t>
            </w:r>
          </w:p>
        </w:tc>
        <w:tc>
          <w:tcPr>
            <w:tcW w:w="1276" w:type="dxa"/>
            <w:vAlign w:val="center"/>
          </w:tcPr>
          <w:p>
            <w:pPr>
              <w:spacing w:line="240" w:lineRule="auto"/>
              <w:jc w:val="center"/>
              <w:rPr>
                <w:rFonts w:hint="eastAsia" w:eastAsia="宋体"/>
                <w:lang w:eastAsia="zh-CN"/>
              </w:rPr>
            </w:pPr>
            <w:r>
              <w:rPr>
                <w:rFonts w:hint="eastAsia"/>
                <w:lang w:val="en-US" w:eastAsia="zh-CN"/>
              </w:rPr>
              <w:t>全部</w:t>
            </w:r>
          </w:p>
        </w:tc>
        <w:tc>
          <w:tcPr>
            <w:tcW w:w="567" w:type="dxa"/>
            <w:vAlign w:val="center"/>
          </w:tcPr>
          <w:p>
            <w:pPr>
              <w:spacing w:line="240" w:lineRule="auto"/>
              <w:jc w:val="center"/>
            </w:pPr>
            <w:r>
              <w:rPr>
                <w:rFonts w:hint="eastAsia"/>
              </w:rPr>
              <w:t>1</w:t>
            </w:r>
          </w:p>
        </w:tc>
        <w:tc>
          <w:tcPr>
            <w:tcW w:w="4280" w:type="dxa"/>
            <w:vAlign w:val="center"/>
          </w:tcPr>
          <w:p>
            <w:pPr>
              <w:spacing w:line="240" w:lineRule="auto"/>
            </w:pPr>
            <w:r>
              <w:rPr>
                <w:rFonts w:hint="eastAsia"/>
              </w:rPr>
              <w:t>（</w:t>
            </w:r>
            <w:r>
              <w:t>1</w:t>
            </w:r>
            <w:r>
              <w:rPr>
                <w:rFonts w:hint="eastAsia"/>
              </w:rPr>
              <w:t>）工程师及以上职称；</w:t>
            </w:r>
          </w:p>
          <w:p>
            <w:pPr>
              <w:spacing w:line="240" w:lineRule="auto"/>
            </w:pPr>
            <w:r>
              <w:rPr>
                <w:rFonts w:hint="eastAsia"/>
              </w:rPr>
              <w:t>（</w:t>
            </w:r>
            <w:r>
              <w:t>2</w:t>
            </w:r>
            <w:r>
              <w:rPr>
                <w:rFonts w:hint="eastAsia"/>
              </w:rPr>
              <w:t>）持有交通运输部质量监督局（站）或交通运输部职业资格中心颁发的试验检测工程师证书或试验检测师</w:t>
            </w:r>
            <w:r>
              <w:rPr>
                <w:rFonts w:hint="eastAsia"/>
                <w:lang w:eastAsia="zh-CN"/>
              </w:rPr>
              <w:t>（</w:t>
            </w:r>
            <w:r>
              <w:rPr>
                <w:rFonts w:hint="eastAsia"/>
                <w:lang w:val="en-US" w:eastAsia="zh-CN"/>
              </w:rPr>
              <w:t>隧道专业</w:t>
            </w:r>
            <w:r>
              <w:rPr>
                <w:rFonts w:hint="eastAsia"/>
                <w:lang w:eastAsia="zh-CN"/>
              </w:rPr>
              <w:t>）</w:t>
            </w:r>
            <w:r>
              <w:rPr>
                <w:rFonts w:hint="eastAsia"/>
              </w:rPr>
              <w:t>；</w:t>
            </w:r>
          </w:p>
          <w:p>
            <w:pPr>
              <w:spacing w:line="240" w:lineRule="auto"/>
              <w:rPr>
                <w:rFonts w:hint="eastAsia" w:eastAsia="宋体"/>
                <w:lang w:eastAsia="zh-CN"/>
              </w:rPr>
            </w:pPr>
            <w:r>
              <w:rPr>
                <w:rFonts w:hint="eastAsia"/>
              </w:rPr>
              <w:t>（</w:t>
            </w:r>
            <w:r>
              <w:t>3</w:t>
            </w:r>
            <w:r>
              <w:rPr>
                <w:rFonts w:hint="eastAsia"/>
              </w:rPr>
              <w:t>）5年以上公路工程试验检测工作经验（以简历表中填报的工作经历为准）</w:t>
            </w:r>
            <w:r>
              <w:rPr>
                <w:rFonts w:hint="eastAsia"/>
                <w:lang w:eastAsia="zh-CN"/>
              </w:rPr>
              <w:t>。</w:t>
            </w:r>
          </w:p>
        </w:tc>
        <w:tc>
          <w:tcPr>
            <w:tcW w:w="1179" w:type="dxa"/>
            <w:vMerge w:val="restart"/>
            <w:vAlign w:val="center"/>
          </w:tcPr>
          <w:p>
            <w:pPr>
              <w:spacing w:line="240" w:lineRule="auto"/>
            </w:pPr>
            <w:r>
              <w:rPr>
                <w:rFonts w:hint="eastAsia"/>
              </w:rPr>
              <w:t>无在岗项目（指目前未在其他项目上任职，或虽在其他项目上任职但本项目中标后能够从该项目撤离）</w:t>
            </w:r>
          </w:p>
        </w:tc>
      </w:tr>
      <w:tr>
        <w:tblPrEx>
          <w:tblBorders>
            <w:top w:val="single" w:color="0070C0" w:sz="18" w:space="0"/>
            <w:left w:val="single" w:color="0070C0" w:sz="18" w:space="0"/>
            <w:bottom w:val="single" w:color="0070C0" w:sz="18" w:space="0"/>
            <w:right w:val="single" w:color="0070C0" w:sz="18"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161" w:type="dxa"/>
            <w:vAlign w:val="center"/>
          </w:tcPr>
          <w:p>
            <w:pPr>
              <w:spacing w:line="240" w:lineRule="auto"/>
              <w:jc w:val="center"/>
              <w:rPr>
                <w:rFonts w:hint="default" w:eastAsia="宋体"/>
                <w:lang w:val="en-US" w:eastAsia="zh-CN"/>
              </w:rPr>
            </w:pPr>
            <w:r>
              <w:rPr>
                <w:rFonts w:hint="eastAsia"/>
                <w:lang w:val="en-US" w:eastAsia="zh-CN"/>
              </w:rPr>
              <w:t>技术负责人</w:t>
            </w:r>
          </w:p>
        </w:tc>
        <w:tc>
          <w:tcPr>
            <w:tcW w:w="1276" w:type="dxa"/>
            <w:vAlign w:val="center"/>
          </w:tcPr>
          <w:p>
            <w:pPr>
              <w:spacing w:line="240" w:lineRule="auto"/>
              <w:jc w:val="center"/>
              <w:rPr>
                <w:rFonts w:hint="eastAsia" w:eastAsia="宋体"/>
                <w:lang w:val="en-US" w:eastAsia="zh-CN"/>
              </w:rPr>
            </w:pPr>
            <w:r>
              <w:rPr>
                <w:rFonts w:hint="eastAsia"/>
                <w:lang w:val="en-US" w:eastAsia="zh-CN"/>
              </w:rPr>
              <w:t>全部</w:t>
            </w:r>
          </w:p>
        </w:tc>
        <w:tc>
          <w:tcPr>
            <w:tcW w:w="567" w:type="dxa"/>
            <w:vAlign w:val="center"/>
          </w:tcPr>
          <w:p>
            <w:pPr>
              <w:spacing w:line="240" w:lineRule="auto"/>
              <w:jc w:val="center"/>
              <w:rPr>
                <w:rFonts w:hint="eastAsia" w:eastAsia="宋体"/>
                <w:lang w:val="en-US" w:eastAsia="zh-CN"/>
              </w:rPr>
            </w:pPr>
            <w:r>
              <w:rPr>
                <w:rFonts w:hint="eastAsia"/>
                <w:lang w:val="en-US" w:eastAsia="zh-CN"/>
              </w:rPr>
              <w:t>1</w:t>
            </w:r>
          </w:p>
        </w:tc>
        <w:tc>
          <w:tcPr>
            <w:tcW w:w="4280" w:type="dxa"/>
            <w:vAlign w:val="center"/>
          </w:tcPr>
          <w:p>
            <w:pPr>
              <w:spacing w:line="240" w:lineRule="auto"/>
            </w:pPr>
            <w:r>
              <w:rPr>
                <w:rFonts w:hint="eastAsia"/>
              </w:rPr>
              <w:t>（</w:t>
            </w:r>
            <w:r>
              <w:t>1</w:t>
            </w:r>
            <w:r>
              <w:rPr>
                <w:rFonts w:hint="eastAsia"/>
              </w:rPr>
              <w:t>）</w:t>
            </w:r>
            <w:r>
              <w:rPr>
                <w:rFonts w:hint="eastAsia"/>
                <w:lang w:val="en-US" w:eastAsia="zh-CN"/>
              </w:rPr>
              <w:t>高级</w:t>
            </w:r>
            <w:r>
              <w:rPr>
                <w:rFonts w:hint="eastAsia"/>
              </w:rPr>
              <w:t>工程师及以上职称；</w:t>
            </w:r>
          </w:p>
          <w:p>
            <w:pPr>
              <w:spacing w:line="240" w:lineRule="auto"/>
            </w:pPr>
            <w:r>
              <w:rPr>
                <w:rFonts w:hint="eastAsia"/>
              </w:rPr>
              <w:t>（</w:t>
            </w:r>
            <w:r>
              <w:t>2</w:t>
            </w:r>
            <w:r>
              <w:rPr>
                <w:rFonts w:hint="eastAsia"/>
              </w:rPr>
              <w:t>）持有交通运输部质量监督局（站）或交通运输部职业资格中心颁发的试验检测工程师证书或试验检测师</w:t>
            </w:r>
            <w:r>
              <w:rPr>
                <w:rFonts w:hint="eastAsia"/>
                <w:lang w:eastAsia="zh-CN"/>
              </w:rPr>
              <w:t>（</w:t>
            </w:r>
            <w:r>
              <w:rPr>
                <w:rFonts w:hint="eastAsia"/>
                <w:lang w:val="en-US" w:eastAsia="zh-CN"/>
              </w:rPr>
              <w:t>隧道专业</w:t>
            </w:r>
            <w:r>
              <w:rPr>
                <w:rFonts w:hint="eastAsia"/>
                <w:lang w:eastAsia="zh-CN"/>
              </w:rPr>
              <w:t>）</w:t>
            </w:r>
            <w:r>
              <w:rPr>
                <w:rFonts w:hint="eastAsia"/>
              </w:rPr>
              <w:t>；</w:t>
            </w:r>
          </w:p>
          <w:p>
            <w:pPr>
              <w:spacing w:line="240" w:lineRule="auto"/>
              <w:rPr>
                <w:rFonts w:hint="eastAsia" w:eastAsia="宋体"/>
                <w:lang w:eastAsia="zh-CN"/>
              </w:rPr>
            </w:pPr>
            <w:r>
              <w:rPr>
                <w:rFonts w:hint="eastAsia"/>
              </w:rPr>
              <w:t>（</w:t>
            </w:r>
            <w:r>
              <w:t>3</w:t>
            </w:r>
            <w:r>
              <w:rPr>
                <w:rFonts w:hint="eastAsia"/>
              </w:rPr>
              <w:t>）5年以上公路工程试验检测工作经验（以简历表中填报的工作经历为准）</w:t>
            </w:r>
            <w:r>
              <w:rPr>
                <w:rFonts w:hint="eastAsia"/>
                <w:lang w:eastAsia="zh-CN"/>
              </w:rPr>
              <w:t>。</w:t>
            </w:r>
          </w:p>
        </w:tc>
        <w:tc>
          <w:tcPr>
            <w:tcW w:w="1179" w:type="dxa"/>
            <w:vMerge w:val="continue"/>
            <w:vAlign w:val="center"/>
          </w:tcPr>
          <w:p>
            <w:pPr>
              <w:spacing w:line="240" w:lineRule="auto"/>
            </w:pPr>
          </w:p>
        </w:tc>
      </w:tr>
    </w:tbl>
    <w:p>
      <w:pPr>
        <w:snapToGrid w:val="0"/>
        <w:spacing w:line="240" w:lineRule="exact"/>
        <w:rPr>
          <w:szCs w:val="21"/>
        </w:rPr>
      </w:pPr>
      <w:r>
        <w:rPr>
          <w:szCs w:val="21"/>
        </w:rPr>
        <w:t>注：</w:t>
      </w:r>
      <w:r>
        <w:rPr>
          <w:rFonts w:hint="eastAsia" w:ascii="楷体" w:hAnsi="楷体" w:eastAsia="楷体"/>
          <w:b/>
          <w:bCs/>
          <w:szCs w:val="21"/>
        </w:rPr>
        <w:t>1</w:t>
      </w:r>
      <w:r>
        <w:rPr>
          <w:rFonts w:ascii="楷体" w:hAnsi="楷体" w:eastAsia="楷体"/>
          <w:b/>
          <w:bCs/>
          <w:szCs w:val="21"/>
        </w:rPr>
        <w:t>.</w:t>
      </w:r>
      <w:r>
        <w:rPr>
          <w:rFonts w:hint="eastAsia"/>
          <w:szCs w:val="21"/>
          <w:lang w:val="en-US" w:eastAsia="zh-CN"/>
        </w:rPr>
        <w:t>项目负责人、技术负责人</w:t>
      </w:r>
      <w:r>
        <w:rPr>
          <w:rFonts w:hint="eastAsia"/>
          <w:szCs w:val="21"/>
        </w:rPr>
        <w:t>不得在本项目中兼职</w:t>
      </w:r>
      <w:r>
        <w:rPr>
          <w:szCs w:val="21"/>
        </w:rPr>
        <w:t>。</w:t>
      </w:r>
    </w:p>
    <w:p>
      <w:pPr>
        <w:snapToGrid w:val="0"/>
        <w:spacing w:line="240" w:lineRule="exact"/>
        <w:ind w:firstLine="422" w:firstLineChars="200"/>
        <w:rPr>
          <w:szCs w:val="21"/>
        </w:rPr>
      </w:pPr>
      <w:r>
        <w:rPr>
          <w:rFonts w:ascii="楷体" w:hAnsi="楷体" w:eastAsia="楷体"/>
          <w:b/>
          <w:bCs/>
          <w:szCs w:val="21"/>
        </w:rPr>
        <w:t>2.</w:t>
      </w:r>
      <w:r>
        <w:rPr>
          <w:rFonts w:hint="eastAsia"/>
          <w:szCs w:val="21"/>
          <w:lang w:val="en-US" w:eastAsia="zh-CN"/>
        </w:rPr>
        <w:t>项目负责人、技术负责人</w:t>
      </w:r>
      <w:r>
        <w:rPr>
          <w:rFonts w:hint="eastAsia"/>
          <w:szCs w:val="21"/>
        </w:rPr>
        <w:t>须填写简历表，并按要求附有效的身份证、资格证书、职称证、相关业绩证明材料（如有，不强制）以及近三个月社保缴费证明的彩色复印件。工作经验由简历表中填写的工作经历为准。</w:t>
      </w:r>
    </w:p>
    <w:p>
      <w:pPr>
        <w:snapToGrid w:val="0"/>
        <w:spacing w:line="240" w:lineRule="exact"/>
        <w:ind w:firstLine="422" w:firstLineChars="200"/>
        <w:rPr>
          <w:szCs w:val="21"/>
        </w:rPr>
      </w:pPr>
      <w:r>
        <w:rPr>
          <w:rFonts w:hint="eastAsia" w:ascii="楷体" w:hAnsi="楷体" w:eastAsia="楷体"/>
          <w:b/>
          <w:bCs/>
          <w:szCs w:val="21"/>
          <w:lang w:val="en-US" w:eastAsia="zh-CN"/>
        </w:rPr>
        <w:t>3</w:t>
      </w:r>
      <w:r>
        <w:rPr>
          <w:rFonts w:hint="eastAsia" w:ascii="楷体" w:hAnsi="楷体" w:eastAsia="楷体"/>
          <w:b/>
          <w:bCs/>
          <w:szCs w:val="21"/>
        </w:rPr>
        <w:t>.最新信用等级为“AA”或“A”的投标人</w:t>
      </w:r>
      <w:r>
        <w:rPr>
          <w:rFonts w:hint="eastAsia"/>
          <w:szCs w:val="21"/>
        </w:rPr>
        <w:t>主要拟派人员可以发生重复但只能中 1个标段，若同时在 2 个</w:t>
      </w:r>
      <w:r>
        <w:rPr>
          <w:rFonts w:hint="eastAsia"/>
          <w:szCs w:val="21"/>
          <w:lang w:val="en-US" w:eastAsia="zh-CN"/>
        </w:rPr>
        <w:t>或以上</w:t>
      </w:r>
      <w:r>
        <w:rPr>
          <w:rFonts w:hint="eastAsia"/>
          <w:szCs w:val="21"/>
        </w:rPr>
        <w:t>标段排名均为第一，评标委员会将按照</w:t>
      </w:r>
      <w:r>
        <w:rPr>
          <w:rFonts w:hint="eastAsia"/>
          <w:szCs w:val="21"/>
          <w:lang w:val="en-US" w:eastAsia="zh-CN"/>
        </w:rPr>
        <w:t>其标段投标金额大小</w:t>
      </w:r>
      <w:r>
        <w:rPr>
          <w:rFonts w:hint="eastAsia"/>
          <w:szCs w:val="21"/>
        </w:rPr>
        <w:t>的顺序</w:t>
      </w:r>
      <w:r>
        <w:rPr>
          <w:rFonts w:hint="eastAsia"/>
          <w:szCs w:val="21"/>
          <w:lang w:eastAsia="zh-CN"/>
        </w:rPr>
        <w:t>，</w:t>
      </w:r>
      <w:r>
        <w:rPr>
          <w:rFonts w:hint="eastAsia"/>
          <w:szCs w:val="21"/>
          <w:lang w:val="en-US" w:eastAsia="zh-CN"/>
        </w:rPr>
        <w:t>从大到小</w:t>
      </w:r>
      <w:r>
        <w:rPr>
          <w:rFonts w:hint="eastAsia"/>
          <w:szCs w:val="21"/>
        </w:rPr>
        <w:t>依次推荐，已在之前的标段推荐为第一中标候选人，之后的标段则不作为中标候选人推荐，推荐排序第二的投标人为第一中标候选人，依次类推。</w:t>
      </w:r>
    </w:p>
    <w:p>
      <w:pPr>
        <w:spacing w:line="200" w:lineRule="atLeast"/>
        <w:ind w:firstLine="420" w:firstLineChars="200"/>
        <w:rPr>
          <w:szCs w:val="21"/>
        </w:rPr>
      </w:pPr>
    </w:p>
    <w:p>
      <w:pPr>
        <w:spacing w:line="200" w:lineRule="atLeast"/>
        <w:rPr>
          <w:szCs w:val="21"/>
        </w:rPr>
      </w:pPr>
    </w:p>
    <w:p>
      <w:pPr>
        <w:spacing w:line="240" w:lineRule="auto"/>
        <w:jc w:val="center"/>
        <w:rPr>
          <w:rFonts w:eastAsia="黑体"/>
          <w:b/>
          <w:sz w:val="24"/>
          <w:szCs w:val="24"/>
        </w:rPr>
      </w:pPr>
      <w:r>
        <w:rPr>
          <w:rFonts w:eastAsia="黑体"/>
          <w:b/>
          <w:sz w:val="32"/>
          <w:szCs w:val="32"/>
        </w:rPr>
        <w:br w:type="page"/>
      </w:r>
      <w:r>
        <w:rPr>
          <w:rFonts w:hint="eastAsia" w:eastAsia="黑体"/>
          <w:b/>
          <w:sz w:val="32"/>
          <w:szCs w:val="32"/>
        </w:rPr>
        <w:t>附录</w:t>
      </w:r>
      <w:r>
        <w:rPr>
          <w:rFonts w:eastAsia="黑体"/>
          <w:b/>
          <w:sz w:val="32"/>
          <w:szCs w:val="32"/>
        </w:rPr>
        <w:t xml:space="preserve">5 </w:t>
      </w:r>
      <w:r>
        <w:rPr>
          <w:rFonts w:hint="eastAsia" w:eastAsia="黑体"/>
          <w:b/>
          <w:sz w:val="32"/>
          <w:szCs w:val="32"/>
        </w:rPr>
        <w:t>资格审查条件（其他要求）</w:t>
      </w:r>
    </w:p>
    <w:p>
      <w:pPr>
        <w:spacing w:line="240" w:lineRule="auto"/>
        <w:ind w:firstLine="105" w:firstLineChars="50"/>
        <w:jc w:val="center"/>
        <w:rPr>
          <w:b/>
          <w:u w:val="single"/>
        </w:rPr>
      </w:pPr>
    </w:p>
    <w:p>
      <w:pPr>
        <w:spacing w:line="280" w:lineRule="exact"/>
        <w:ind w:firstLine="480" w:firstLineChars="200"/>
        <w:rPr>
          <w:rFonts w:ascii="宋体" w:hAnsi="宋体"/>
          <w:bCs/>
          <w:sz w:val="24"/>
          <w:szCs w:val="24"/>
        </w:rPr>
      </w:pPr>
      <w:r>
        <w:rPr>
          <w:rFonts w:hint="eastAsia" w:ascii="宋体" w:hAnsi="宋体"/>
          <w:bCs/>
          <w:sz w:val="24"/>
          <w:szCs w:val="24"/>
        </w:rPr>
        <w:t>1、</w:t>
      </w:r>
      <w:r>
        <w:rPr>
          <w:rFonts w:hint="eastAsia"/>
          <w:sz w:val="24"/>
          <w:szCs w:val="24"/>
        </w:rPr>
        <w:t>本次招标只审查</w:t>
      </w:r>
      <w:r>
        <w:rPr>
          <w:rFonts w:hint="eastAsia"/>
          <w:sz w:val="24"/>
          <w:szCs w:val="24"/>
          <w:lang w:val="en-US" w:eastAsia="zh-CN"/>
        </w:rPr>
        <w:t>项目负责人、技术负责人</w:t>
      </w:r>
      <w:r>
        <w:rPr>
          <w:rFonts w:hint="eastAsia"/>
          <w:sz w:val="24"/>
          <w:szCs w:val="24"/>
        </w:rPr>
        <w:t>，其他试验检测人员由招标人和中标人在合同谈判阶段确定（详见合同条款），投标时无须提供人员名单及相关资料，但其他人员配备应满足合同条款最低要求，以及本项目</w:t>
      </w:r>
      <w:r>
        <w:rPr>
          <w:rFonts w:hint="eastAsia" w:ascii="宋体" w:hAnsi="宋体"/>
          <w:bCs/>
          <w:sz w:val="24"/>
          <w:szCs w:val="24"/>
        </w:rPr>
        <w:t>施工</w:t>
      </w:r>
      <w:r>
        <w:rPr>
          <w:rFonts w:hint="eastAsia" w:ascii="宋体" w:hAnsi="宋体"/>
          <w:bCs/>
          <w:sz w:val="24"/>
          <w:szCs w:val="24"/>
          <w:lang w:val="en-US" w:eastAsia="zh-CN"/>
        </w:rPr>
        <w:t>监控或</w:t>
      </w:r>
      <w:r>
        <w:rPr>
          <w:rFonts w:hint="eastAsia" w:ascii="宋体" w:hAnsi="宋体"/>
          <w:bCs/>
          <w:sz w:val="24"/>
          <w:szCs w:val="24"/>
        </w:rPr>
        <w:t>试验检测需求</w:t>
      </w:r>
      <w:r>
        <w:rPr>
          <w:rFonts w:hint="eastAsia"/>
          <w:sz w:val="24"/>
          <w:szCs w:val="24"/>
        </w:rPr>
        <w:t>。</w:t>
      </w:r>
    </w:p>
    <w:p>
      <w:pPr>
        <w:spacing w:line="280" w:lineRule="exact"/>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、试验、检测设备及办公设备、交通工具不作强制要求，由招标人和中标人在合同谈判阶段确定</w:t>
      </w:r>
      <w:r>
        <w:rPr>
          <w:rFonts w:hint="eastAsia"/>
          <w:sz w:val="24"/>
          <w:szCs w:val="24"/>
        </w:rPr>
        <w:t>（详见合同条款）</w:t>
      </w:r>
      <w:r>
        <w:rPr>
          <w:rFonts w:hint="eastAsia" w:ascii="宋体" w:hAnsi="宋体"/>
          <w:bCs/>
          <w:sz w:val="24"/>
          <w:szCs w:val="24"/>
        </w:rPr>
        <w:t>，但投入的试验、检测设备及办公设备、交通工具</w:t>
      </w:r>
      <w:r>
        <w:rPr>
          <w:rFonts w:hint="eastAsia"/>
          <w:sz w:val="24"/>
          <w:szCs w:val="24"/>
        </w:rPr>
        <w:t>应满足合同条款最低要求以及本项目</w:t>
      </w:r>
      <w:r>
        <w:rPr>
          <w:rFonts w:hint="eastAsia" w:ascii="宋体" w:hAnsi="宋体"/>
          <w:bCs/>
          <w:sz w:val="24"/>
          <w:szCs w:val="24"/>
        </w:rPr>
        <w:t>施工</w:t>
      </w:r>
      <w:r>
        <w:rPr>
          <w:rFonts w:hint="eastAsia" w:ascii="宋体" w:hAnsi="宋体"/>
          <w:bCs/>
          <w:sz w:val="24"/>
          <w:szCs w:val="24"/>
          <w:lang w:val="en-US" w:eastAsia="zh-CN"/>
        </w:rPr>
        <w:t>监控或</w:t>
      </w:r>
      <w:r>
        <w:rPr>
          <w:rFonts w:hint="eastAsia" w:ascii="宋体" w:hAnsi="宋体"/>
          <w:bCs/>
          <w:sz w:val="24"/>
          <w:szCs w:val="24"/>
        </w:rPr>
        <w:t>试验检测需求。</w:t>
      </w:r>
    </w:p>
    <w:p>
      <w:pPr>
        <w:wordWrap/>
        <w:spacing w:line="240" w:lineRule="auto"/>
        <w:ind w:right="480"/>
        <w:jc w:val="left"/>
        <w:rPr>
          <w:rFonts w:hint="default" w:ascii="宋体" w:hAnsi="宋体" w:eastAsia="宋体"/>
          <w:b/>
          <w:color w:val="0070C0"/>
          <w:sz w:val="24"/>
          <w:szCs w:val="24"/>
          <w:highlight w:val="none"/>
          <w:lang w:val="en-US" w:eastAsia="zh-CN"/>
        </w:rPr>
      </w:pPr>
      <w:r>
        <w:rPr>
          <w:rFonts w:ascii="宋体" w:hAnsi="宋体"/>
          <w:bCs/>
          <w:sz w:val="24"/>
          <w:szCs w:val="24"/>
        </w:rPr>
        <w:t>3</w:t>
      </w:r>
      <w:r>
        <w:rPr>
          <w:rFonts w:hint="eastAsia" w:ascii="宋体" w:hAnsi="宋体"/>
          <w:bCs/>
          <w:sz w:val="24"/>
          <w:szCs w:val="24"/>
        </w:rPr>
        <w:t>、如在</w:t>
      </w:r>
      <w:r>
        <w:rPr>
          <w:rFonts w:hint="eastAsia" w:ascii="宋体" w:hAnsi="宋体"/>
          <w:bCs/>
          <w:sz w:val="24"/>
          <w:szCs w:val="24"/>
          <w:lang w:val="en-US" w:eastAsia="zh-CN"/>
        </w:rPr>
        <w:t>施工监控</w:t>
      </w:r>
      <w:r>
        <w:rPr>
          <w:rFonts w:hint="eastAsia" w:ascii="宋体" w:hAnsi="宋体"/>
          <w:bCs/>
          <w:sz w:val="24"/>
          <w:szCs w:val="24"/>
        </w:rPr>
        <w:t>和试验检测过程中，需要投入更多的试验、检测设备、办公设备、交通工具、试验检测人员，中标人须无条件增加投入实际工程所需的设备、人员的种类和数量，直至满足工程需要。产生的费用包含在投标报价中，不再另行支付。</w:t>
      </w:r>
    </w:p>
    <w:p>
      <w:r>
        <w:br w:type="page"/>
      </w:r>
    </w:p>
    <w:p>
      <w:pPr>
        <w:spacing w:line="240" w:lineRule="auto"/>
        <w:jc w:val="left"/>
        <w:rPr>
          <w:rFonts w:hint="eastAsia" w:ascii="宋体" w:hAnsi="宋体"/>
          <w:b/>
          <w:color w:val="0070C0"/>
          <w:sz w:val="24"/>
          <w:szCs w:val="24"/>
          <w:highlight w:val="none"/>
          <w:lang w:val="en-US" w:eastAsia="zh-CN"/>
        </w:rPr>
      </w:pPr>
      <w:r>
        <w:rPr>
          <w:rFonts w:hint="eastAsia" w:ascii="宋体" w:hAnsi="宋体"/>
          <w:b/>
          <w:color w:val="0070C0"/>
          <w:sz w:val="24"/>
          <w:szCs w:val="24"/>
          <w:highlight w:val="none"/>
          <w:lang w:val="en-US" w:eastAsia="zh-CN"/>
        </w:rPr>
        <w:t>附件2：评标办法</w:t>
      </w:r>
    </w:p>
    <w:p>
      <w:pPr>
        <w:spacing w:before="120" w:beforeLines="50" w:after="120" w:afterLines="50" w:line="400" w:lineRule="exact"/>
        <w:jc w:val="center"/>
        <w:rPr>
          <w:rFonts w:eastAsia="黑体"/>
          <w:b/>
          <w:spacing w:val="30"/>
          <w:sz w:val="32"/>
        </w:rPr>
      </w:pPr>
      <w:r>
        <w:rPr>
          <w:rFonts w:hint="eastAsia" w:ascii="黑体" w:hAnsi="黑体" w:eastAsia="黑体"/>
          <w:b/>
          <w:spacing w:val="40"/>
          <w:sz w:val="36"/>
          <w:szCs w:val="36"/>
        </w:rPr>
        <w:t xml:space="preserve">第三章 </w:t>
      </w:r>
      <w:r>
        <w:rPr>
          <w:rFonts w:ascii="黑体" w:hAnsi="黑体" w:eastAsia="黑体"/>
          <w:b/>
          <w:spacing w:val="40"/>
          <w:sz w:val="36"/>
          <w:szCs w:val="36"/>
        </w:rPr>
        <w:t xml:space="preserve"> </w:t>
      </w:r>
      <w:r>
        <w:rPr>
          <w:rFonts w:hint="eastAsia" w:ascii="黑体" w:hAnsi="黑体" w:eastAsia="黑体"/>
          <w:b/>
          <w:spacing w:val="40"/>
          <w:sz w:val="36"/>
          <w:szCs w:val="36"/>
        </w:rPr>
        <w:t xml:space="preserve"> 评标办法（综合评估法）</w:t>
      </w:r>
      <w:bookmarkStart w:id="1" w:name="_GoBack"/>
      <w:bookmarkEnd w:id="1"/>
    </w:p>
    <w:p>
      <w:pPr>
        <w:spacing w:line="320" w:lineRule="exact"/>
        <w:ind w:firstLine="480" w:firstLineChars="200"/>
        <w:rPr>
          <w:rFonts w:ascii="宋体" w:hAnsi="宋体"/>
          <w:sz w:val="24"/>
          <w:szCs w:val="24"/>
        </w:rPr>
      </w:pPr>
      <w:r>
        <w:rPr>
          <w:rFonts w:hint="eastAsia" w:ascii="宋体" w:hAnsi="宋体"/>
          <w:sz w:val="24"/>
          <w:szCs w:val="24"/>
        </w:rPr>
        <w:t>说明：“评标办法前附表”是对“ 评标办法正文”的补充、细化，“评标办法前附表”与“ 评标办法正文”不一致的以“ 评标办法前附表”为准。</w:t>
      </w:r>
    </w:p>
    <w:p>
      <w:pPr>
        <w:spacing w:before="120" w:beforeLines="50" w:after="120" w:afterLines="50" w:line="400" w:lineRule="exact"/>
        <w:ind w:firstLine="482" w:firstLineChars="200"/>
        <w:rPr>
          <w:b/>
          <w:bCs/>
          <w:sz w:val="24"/>
          <w:szCs w:val="24"/>
        </w:rPr>
      </w:pPr>
      <w:r>
        <w:rPr>
          <w:rFonts w:hint="eastAsia" w:eastAsia="黑体"/>
          <w:b/>
          <w:bCs/>
          <w:sz w:val="24"/>
          <w:szCs w:val="24"/>
        </w:rPr>
        <w:t>评标办法</w:t>
      </w:r>
      <w:r>
        <w:rPr>
          <w:rFonts w:eastAsia="黑体"/>
          <w:b/>
          <w:bCs/>
          <w:sz w:val="24"/>
          <w:szCs w:val="24"/>
        </w:rPr>
        <w:t>前附表</w:t>
      </w:r>
    </w:p>
    <w:tbl>
      <w:tblPr>
        <w:tblStyle w:val="36"/>
        <w:tblW w:w="8612" w:type="dxa"/>
        <w:jc w:val="center"/>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Layout w:type="fixed"/>
        <w:tblCellMar>
          <w:top w:w="0" w:type="dxa"/>
          <w:left w:w="108" w:type="dxa"/>
          <w:bottom w:w="0" w:type="dxa"/>
          <w:right w:w="108" w:type="dxa"/>
        </w:tblCellMar>
      </w:tblPr>
      <w:tblGrid>
        <w:gridCol w:w="946"/>
        <w:gridCol w:w="1303"/>
        <w:gridCol w:w="6363"/>
      </w:tblGrid>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2249" w:type="dxa"/>
            <w:gridSpan w:val="2"/>
            <w:vAlign w:val="center"/>
          </w:tcPr>
          <w:p>
            <w:pPr>
              <w:jc w:val="center"/>
              <w:rPr>
                <w:rFonts w:ascii="宋体" w:hAnsi="宋体"/>
                <w:b/>
                <w:bCs/>
                <w:sz w:val="24"/>
                <w:szCs w:val="24"/>
              </w:rPr>
            </w:pPr>
            <w:r>
              <w:rPr>
                <w:rFonts w:hint="eastAsia" w:ascii="宋体" w:hAnsi="宋体"/>
                <w:b/>
                <w:bCs/>
                <w:sz w:val="24"/>
                <w:szCs w:val="24"/>
              </w:rPr>
              <w:t>条款号</w:t>
            </w:r>
          </w:p>
        </w:tc>
        <w:tc>
          <w:tcPr>
            <w:tcW w:w="6363" w:type="dxa"/>
            <w:vAlign w:val="center"/>
          </w:tcPr>
          <w:p>
            <w:pPr>
              <w:jc w:val="center"/>
              <w:rPr>
                <w:rFonts w:ascii="宋体" w:hAnsi="宋体"/>
                <w:b/>
                <w:bCs/>
                <w:sz w:val="24"/>
                <w:szCs w:val="24"/>
              </w:rPr>
            </w:pPr>
            <w:r>
              <w:rPr>
                <w:rFonts w:hint="eastAsia" w:ascii="宋体" w:hAnsi="宋体"/>
                <w:b/>
                <w:bCs/>
                <w:sz w:val="24"/>
                <w:szCs w:val="24"/>
              </w:rPr>
              <w:t>评审因素与评审标准</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1926" w:hRule="atLeast"/>
          <w:jc w:val="center"/>
        </w:trPr>
        <w:tc>
          <w:tcPr>
            <w:tcW w:w="946" w:type="dxa"/>
            <w:vAlign w:val="center"/>
          </w:tcPr>
          <w:p>
            <w:pPr>
              <w:spacing w:line="300" w:lineRule="exact"/>
              <w:jc w:val="center"/>
              <w:rPr>
                <w:rFonts w:ascii="宋体" w:hAnsi="宋体"/>
                <w:sz w:val="24"/>
                <w:szCs w:val="24"/>
              </w:rPr>
            </w:pPr>
            <w:r>
              <w:rPr>
                <w:rFonts w:hint="eastAsia" w:ascii="宋体" w:hAnsi="宋体"/>
                <w:sz w:val="24"/>
                <w:szCs w:val="24"/>
              </w:rPr>
              <w:t>1</w:t>
            </w:r>
          </w:p>
        </w:tc>
        <w:tc>
          <w:tcPr>
            <w:tcW w:w="1303" w:type="dxa"/>
            <w:vAlign w:val="center"/>
          </w:tcPr>
          <w:p>
            <w:pPr>
              <w:spacing w:line="300" w:lineRule="exact"/>
              <w:jc w:val="center"/>
              <w:rPr>
                <w:rFonts w:ascii="宋体" w:hAnsi="宋体"/>
                <w:sz w:val="24"/>
                <w:szCs w:val="24"/>
              </w:rPr>
            </w:pPr>
            <w:r>
              <w:rPr>
                <w:rFonts w:hint="eastAsia" w:ascii="宋体" w:hAnsi="宋体"/>
                <w:sz w:val="24"/>
                <w:szCs w:val="24"/>
              </w:rPr>
              <w:t>评标方法</w:t>
            </w:r>
          </w:p>
        </w:tc>
        <w:tc>
          <w:tcPr>
            <w:tcW w:w="6363" w:type="dxa"/>
            <w:vAlign w:val="center"/>
          </w:tcPr>
          <w:p>
            <w:pPr>
              <w:spacing w:line="300" w:lineRule="exact"/>
              <w:ind w:firstLine="480" w:firstLineChars="200"/>
              <w:rPr>
                <w:sz w:val="24"/>
                <w:szCs w:val="24"/>
              </w:rPr>
            </w:pPr>
            <w:r>
              <w:rPr>
                <w:rFonts w:hint="eastAsia" w:ascii="宋体" w:hAnsi="宋体"/>
                <w:sz w:val="24"/>
                <w:szCs w:val="24"/>
              </w:rPr>
              <w:t>综合评分相等时，评标委员会依次按照以下优先顺序推荐中标候选人或确定中标人：</w:t>
            </w:r>
          </w:p>
          <w:p>
            <w:pPr>
              <w:spacing w:line="300" w:lineRule="exact"/>
              <w:ind w:firstLine="480" w:firstLineChars="200"/>
              <w:rPr>
                <w:sz w:val="24"/>
                <w:szCs w:val="24"/>
              </w:rPr>
            </w:pPr>
            <w:r>
              <w:rPr>
                <w:rFonts w:hint="eastAsia" w:ascii="宋体" w:hAnsi="宋体"/>
                <w:sz w:val="24"/>
                <w:szCs w:val="24"/>
              </w:rPr>
              <w:t>（</w:t>
            </w:r>
            <w:r>
              <w:rPr>
                <w:rFonts w:hint="eastAsia"/>
                <w:sz w:val="24"/>
                <w:szCs w:val="24"/>
              </w:rPr>
              <w:t>1</w:t>
            </w:r>
            <w:r>
              <w:rPr>
                <w:rFonts w:hint="eastAsia" w:ascii="宋体" w:hAnsi="宋体"/>
                <w:sz w:val="24"/>
                <w:szCs w:val="24"/>
              </w:rPr>
              <w:t>）评标价低的优先；</w:t>
            </w:r>
          </w:p>
          <w:p>
            <w:pPr>
              <w:spacing w:line="300" w:lineRule="exact"/>
              <w:ind w:firstLine="480" w:firstLineChars="200"/>
              <w:rPr>
                <w:sz w:val="24"/>
                <w:szCs w:val="24"/>
              </w:rPr>
            </w:pPr>
            <w:r>
              <w:rPr>
                <w:rFonts w:hint="eastAsia" w:ascii="宋体" w:hAnsi="宋体"/>
                <w:sz w:val="24"/>
                <w:szCs w:val="24"/>
              </w:rPr>
              <w:t>（</w:t>
            </w:r>
            <w:r>
              <w:rPr>
                <w:rFonts w:hint="eastAsia"/>
                <w:sz w:val="24"/>
                <w:szCs w:val="24"/>
              </w:rPr>
              <w:t>2</w:t>
            </w:r>
            <w:r>
              <w:rPr>
                <w:rFonts w:hint="eastAsia" w:ascii="宋体" w:hAnsi="宋体"/>
                <w:sz w:val="24"/>
                <w:szCs w:val="24"/>
              </w:rPr>
              <w:t>）以评标时采用的信用等级较高的的投标人优先；</w:t>
            </w:r>
          </w:p>
          <w:p>
            <w:pPr>
              <w:spacing w:line="300" w:lineRule="exact"/>
              <w:ind w:firstLine="480" w:firstLineChars="200"/>
              <w:rPr>
                <w:rFonts w:ascii="宋体" w:hAnsi="宋体"/>
                <w:sz w:val="24"/>
                <w:szCs w:val="24"/>
              </w:rPr>
            </w:pPr>
            <w:r>
              <w:rPr>
                <w:rFonts w:hint="eastAsia" w:ascii="宋体" w:hAnsi="宋体"/>
                <w:sz w:val="24"/>
                <w:szCs w:val="24"/>
              </w:rPr>
              <w:t>（</w:t>
            </w:r>
            <w:r>
              <w:rPr>
                <w:rFonts w:hint="eastAsia"/>
                <w:sz w:val="24"/>
                <w:szCs w:val="24"/>
              </w:rPr>
              <w:t>3</w:t>
            </w:r>
            <w:r>
              <w:rPr>
                <w:rFonts w:hint="eastAsia" w:ascii="宋体" w:hAnsi="宋体"/>
                <w:sz w:val="24"/>
                <w:szCs w:val="24"/>
              </w:rPr>
              <w:t>）商务和技术得分较高的投标人优先；</w:t>
            </w:r>
          </w:p>
          <w:p>
            <w:pPr>
              <w:spacing w:line="300" w:lineRule="exact"/>
              <w:ind w:firstLine="480" w:firstLineChars="200"/>
              <w:rPr>
                <w:rFonts w:hint="eastAsia" w:ascii="宋体" w:hAnsi="宋体"/>
                <w:sz w:val="24"/>
                <w:szCs w:val="24"/>
              </w:rPr>
            </w:pPr>
            <w:r>
              <w:rPr>
                <w:rFonts w:hint="eastAsia" w:ascii="宋体" w:hAnsi="宋体"/>
                <w:sz w:val="24"/>
                <w:szCs w:val="24"/>
              </w:rPr>
              <w:t>（4）由评标委员会择优确定。</w:t>
            </w:r>
          </w:p>
          <w:p>
            <w:pPr>
              <w:spacing w:line="300" w:lineRule="exact"/>
              <w:ind w:firstLine="480" w:firstLineChars="200"/>
              <w:rPr>
                <w:rFonts w:hint="eastAsia" w:ascii="宋体" w:hAnsi="宋体"/>
                <w:sz w:val="24"/>
                <w:szCs w:val="24"/>
              </w:rPr>
            </w:pPr>
            <w:r>
              <w:rPr>
                <w:rFonts w:hint="eastAsia" w:ascii="宋体" w:hAnsi="宋体"/>
                <w:sz w:val="24"/>
                <w:szCs w:val="24"/>
              </w:rPr>
              <w:t>注：各投标人的投标得分等于商务评分、技术评分与财务评分之和（各阶段评分均保留两位小数）</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8516" w:hRule="atLeast"/>
          <w:jc w:val="center"/>
        </w:trPr>
        <w:tc>
          <w:tcPr>
            <w:tcW w:w="946" w:type="dxa"/>
            <w:vAlign w:val="center"/>
          </w:tcPr>
          <w:p>
            <w:pPr>
              <w:spacing w:line="300" w:lineRule="exact"/>
              <w:jc w:val="center"/>
              <w:rPr>
                <w:sz w:val="24"/>
                <w:szCs w:val="24"/>
              </w:rPr>
            </w:pPr>
            <w:r>
              <w:rPr>
                <w:rFonts w:hint="eastAsia" w:ascii="宋体" w:hAnsi="宋体"/>
                <w:sz w:val="24"/>
                <w:szCs w:val="24"/>
              </w:rPr>
              <w:t>2</w:t>
            </w:r>
            <w:r>
              <w:rPr>
                <w:sz w:val="24"/>
                <w:szCs w:val="24"/>
              </w:rPr>
              <w:t>.1.1</w:t>
            </w:r>
          </w:p>
          <w:p>
            <w:pPr>
              <w:spacing w:line="300" w:lineRule="exact"/>
              <w:jc w:val="center"/>
              <w:rPr>
                <w:rFonts w:ascii="宋体" w:hAnsi="宋体"/>
                <w:sz w:val="24"/>
                <w:szCs w:val="24"/>
              </w:rPr>
            </w:pPr>
            <w:r>
              <w:rPr>
                <w:rFonts w:hint="eastAsia" w:ascii="宋体" w:hAnsi="宋体"/>
                <w:sz w:val="24"/>
                <w:szCs w:val="24"/>
              </w:rPr>
              <w:t>2</w:t>
            </w:r>
            <w:r>
              <w:rPr>
                <w:sz w:val="24"/>
                <w:szCs w:val="24"/>
              </w:rPr>
              <w:t>.1.3</w:t>
            </w:r>
          </w:p>
        </w:tc>
        <w:tc>
          <w:tcPr>
            <w:tcW w:w="1303" w:type="dxa"/>
            <w:vAlign w:val="center"/>
          </w:tcPr>
          <w:p>
            <w:pPr>
              <w:spacing w:line="300" w:lineRule="exact"/>
              <w:jc w:val="center"/>
              <w:rPr>
                <w:rFonts w:ascii="宋体" w:hAnsi="宋体"/>
                <w:sz w:val="24"/>
                <w:szCs w:val="24"/>
              </w:rPr>
            </w:pPr>
            <w:r>
              <w:rPr>
                <w:rFonts w:hint="eastAsia" w:ascii="宋体" w:hAnsi="宋体"/>
                <w:sz w:val="24"/>
                <w:szCs w:val="24"/>
              </w:rPr>
              <w:t>形式评审与响应性评审标准</w:t>
            </w:r>
          </w:p>
        </w:tc>
        <w:tc>
          <w:tcPr>
            <w:tcW w:w="6363" w:type="dxa"/>
            <w:vAlign w:val="center"/>
          </w:tcPr>
          <w:p>
            <w:pPr>
              <w:spacing w:line="300" w:lineRule="exact"/>
              <w:ind w:left="113" w:right="113" w:firstLine="241" w:firstLineChars="100"/>
              <w:rPr>
                <w:rFonts w:ascii="黑体" w:hAnsi="黑体" w:eastAsia="黑体"/>
                <w:b/>
                <w:bCs/>
                <w:sz w:val="24"/>
                <w:szCs w:val="24"/>
              </w:rPr>
            </w:pPr>
            <w:r>
              <w:rPr>
                <w:rFonts w:hint="eastAsia" w:ascii="黑体" w:hAnsi="黑体" w:eastAsia="黑体"/>
                <w:b/>
                <w:bCs/>
                <w:sz w:val="24"/>
                <w:szCs w:val="24"/>
              </w:rPr>
              <w:t>第一个信封（商务及技术文件）评审标准：</w:t>
            </w:r>
          </w:p>
          <w:p>
            <w:pPr>
              <w:spacing w:line="300" w:lineRule="exact"/>
              <w:ind w:left="113" w:right="113" w:firstLine="240" w:firstLineChars="100"/>
              <w:rPr>
                <w:rFonts w:ascii="宋体" w:hAnsi="宋体"/>
                <w:sz w:val="24"/>
                <w:szCs w:val="24"/>
              </w:rPr>
            </w:pPr>
            <w:r>
              <w:rPr>
                <w:rFonts w:hint="eastAsia" w:ascii="宋体" w:hAnsi="宋体"/>
                <w:sz w:val="24"/>
                <w:szCs w:val="24"/>
              </w:rPr>
              <w:t>（1）投标文件按照招标文件规定的格式、内容填写，字迹清晰可辨；</w:t>
            </w:r>
          </w:p>
          <w:p>
            <w:pPr>
              <w:spacing w:line="300" w:lineRule="exact"/>
              <w:ind w:left="113" w:right="113" w:firstLine="240" w:firstLineChars="100"/>
              <w:rPr>
                <w:rFonts w:ascii="宋体" w:hAnsi="宋体"/>
                <w:sz w:val="24"/>
                <w:szCs w:val="24"/>
              </w:rPr>
            </w:pPr>
            <w:r>
              <w:rPr>
                <w:rFonts w:hint="eastAsia" w:ascii="宋体" w:hAnsi="宋体"/>
                <w:sz w:val="24"/>
                <w:szCs w:val="24"/>
              </w:rPr>
              <w:t>a.投标函按招标文件规定填报了项目名称、标段号、补遗书编号（如有）、服务期限、工程质量要求及安全目标；</w:t>
            </w:r>
          </w:p>
          <w:p>
            <w:pPr>
              <w:spacing w:line="300" w:lineRule="exact"/>
              <w:ind w:left="113" w:right="113" w:firstLine="240" w:firstLineChars="100"/>
              <w:rPr>
                <w:rFonts w:ascii="宋体" w:hAnsi="宋体"/>
                <w:sz w:val="24"/>
                <w:szCs w:val="24"/>
              </w:rPr>
            </w:pPr>
            <w:r>
              <w:rPr>
                <w:rFonts w:hint="eastAsia" w:ascii="宋体" w:hAnsi="宋体"/>
                <w:sz w:val="24"/>
                <w:szCs w:val="24"/>
              </w:rPr>
              <w:t>b.投标文件组成齐全完整，内容均按规定填写。</w:t>
            </w:r>
          </w:p>
          <w:p>
            <w:pPr>
              <w:spacing w:line="300" w:lineRule="exact"/>
              <w:ind w:left="113" w:right="113" w:firstLine="240" w:firstLineChars="100"/>
              <w:rPr>
                <w:rFonts w:ascii="宋体" w:hAnsi="宋体"/>
                <w:sz w:val="24"/>
                <w:szCs w:val="24"/>
              </w:rPr>
            </w:pPr>
            <w:r>
              <w:rPr>
                <w:rFonts w:hint="eastAsia" w:ascii="宋体" w:hAnsi="宋体"/>
                <w:sz w:val="24"/>
                <w:szCs w:val="24"/>
              </w:rPr>
              <w:t>（2）投标文件上法定代表人或其委托代理人的签字、投标人的单位章盖章齐全，符合招标文件规定。</w:t>
            </w:r>
          </w:p>
          <w:p>
            <w:pPr>
              <w:spacing w:line="300" w:lineRule="exact"/>
              <w:ind w:left="113" w:right="113" w:firstLine="240" w:firstLineChars="100"/>
              <w:rPr>
                <w:rFonts w:ascii="宋体" w:hAnsi="宋体"/>
                <w:sz w:val="24"/>
                <w:szCs w:val="24"/>
              </w:rPr>
            </w:pPr>
            <w:r>
              <w:rPr>
                <w:rFonts w:hint="eastAsia" w:ascii="宋体" w:hAnsi="宋体"/>
                <w:sz w:val="24"/>
                <w:szCs w:val="24"/>
              </w:rPr>
              <w:t>（3）投标人按照招标文件的规定提供了投标保证金；</w:t>
            </w:r>
          </w:p>
          <w:p>
            <w:pPr>
              <w:spacing w:line="300" w:lineRule="exact"/>
              <w:ind w:left="113" w:right="113" w:firstLine="240" w:firstLineChars="100"/>
              <w:rPr>
                <w:rFonts w:ascii="宋体" w:hAnsi="宋体"/>
                <w:sz w:val="24"/>
                <w:szCs w:val="24"/>
              </w:rPr>
            </w:pPr>
            <w:r>
              <w:rPr>
                <w:rFonts w:hint="eastAsia" w:ascii="宋体" w:hAnsi="宋体"/>
                <w:sz w:val="24"/>
                <w:szCs w:val="24"/>
              </w:rPr>
              <w:t xml:space="preserve">a.投标保证金金额符合招标文件规定的金额，且投标保证金有效期不少于投标有效期； </w:t>
            </w:r>
            <w:r>
              <w:rPr>
                <w:rFonts w:ascii="宋体" w:hAnsi="宋体"/>
                <w:sz w:val="24"/>
                <w:szCs w:val="24"/>
              </w:rPr>
              <w:t xml:space="preserve">                                                                                                   </w:t>
            </w:r>
          </w:p>
          <w:p>
            <w:pPr>
              <w:spacing w:line="300" w:lineRule="exact"/>
              <w:ind w:left="113" w:right="113" w:firstLine="240" w:firstLineChars="100"/>
              <w:rPr>
                <w:rFonts w:ascii="宋体" w:hAnsi="宋体"/>
                <w:sz w:val="24"/>
                <w:szCs w:val="24"/>
              </w:rPr>
            </w:pPr>
            <w:r>
              <w:rPr>
                <w:rFonts w:hint="eastAsia" w:ascii="宋体" w:hAnsi="宋体"/>
                <w:sz w:val="24"/>
                <w:szCs w:val="24"/>
              </w:rPr>
              <w:t>b.若投标保证金采用现金或支票形式提交，投标人应在递交投标文件截止时间之前，将投标保证金由投标人的基本账户转入招标人指定账户；</w:t>
            </w:r>
          </w:p>
          <w:p>
            <w:pPr>
              <w:spacing w:line="300" w:lineRule="exact"/>
              <w:ind w:left="113" w:right="113" w:firstLine="240" w:firstLineChars="100"/>
              <w:rPr>
                <w:rFonts w:ascii="宋体" w:hAnsi="宋体"/>
                <w:sz w:val="24"/>
                <w:szCs w:val="24"/>
              </w:rPr>
            </w:pPr>
            <w:r>
              <w:rPr>
                <w:rFonts w:hint="eastAsia" w:ascii="宋体" w:hAnsi="宋体"/>
                <w:sz w:val="24"/>
                <w:szCs w:val="24"/>
              </w:rPr>
              <w:t>c.若投标保证金采用银行保函形式提交，银行保函的格式、开具保函的银行均满足招标文件要求，且在递交投标文件截止时间之前向招标人提交了银行保函原件</w:t>
            </w:r>
            <w:r>
              <w:rPr>
                <w:rFonts w:hint="eastAsia" w:ascii="宋体" w:hAnsi="宋体"/>
                <w:sz w:val="24"/>
                <w:szCs w:val="24"/>
                <w:lang w:val="en-US" w:eastAsia="zh-CN"/>
              </w:rPr>
              <w:t>或电子保函的原件扫描件</w:t>
            </w:r>
            <w:r>
              <w:rPr>
                <w:rFonts w:hint="eastAsia" w:ascii="宋体" w:hAnsi="宋体"/>
                <w:sz w:val="24"/>
                <w:szCs w:val="24"/>
              </w:rPr>
              <w:t>。</w:t>
            </w:r>
          </w:p>
          <w:p>
            <w:pPr>
              <w:spacing w:line="300" w:lineRule="exact"/>
              <w:ind w:left="113" w:right="113" w:firstLine="240" w:firstLineChars="1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）投标人法定代表人授权委托代理人签署投标文件的，须提交授权委托书，且授权人和被授权人均在授权委托书上签名，未使用印章、签名章或其他电子制版签名代替。</w:t>
            </w:r>
          </w:p>
          <w:p>
            <w:pPr>
              <w:spacing w:line="300" w:lineRule="exact"/>
              <w:ind w:left="113" w:right="113" w:firstLine="240" w:firstLineChars="100"/>
              <w:rPr>
                <w:rFonts w:ascii="宋体" w:hAnsi="宋体"/>
                <w:sz w:val="24"/>
                <w:szCs w:val="24"/>
              </w:rPr>
            </w:pPr>
            <w:r>
              <w:rPr>
                <w:rFonts w:hint="eastAsia" w:ascii="宋体" w:hAnsi="宋体"/>
                <w:sz w:val="24"/>
                <w:szCs w:val="24"/>
              </w:rPr>
              <w:t>（5）投标人法定代表人亲自签署投标文件的，提供了法定代表人身份证明，且法定代表人在法定代表人身份证明上签名，未使用印章、签名章或其他电子制版签名代替。</w:t>
            </w:r>
          </w:p>
          <w:p>
            <w:pPr>
              <w:spacing w:line="300" w:lineRule="exact"/>
              <w:ind w:left="113" w:right="113" w:firstLine="240" w:firstLineChars="100"/>
              <w:rPr>
                <w:rFonts w:ascii="宋体" w:hAnsi="宋体"/>
                <w:sz w:val="24"/>
                <w:szCs w:val="24"/>
              </w:rPr>
            </w:pPr>
            <w:r>
              <w:rPr>
                <w:rFonts w:hint="eastAsia" w:ascii="宋体" w:hAnsi="宋体"/>
                <w:sz w:val="24"/>
                <w:szCs w:val="24"/>
              </w:rPr>
              <w:t>（6）投标人以联合体形式投标时，联合体满足招标文件的要求（如标段不接受联合体，本条修改为：投标人未以联合体形式投标）：</w:t>
            </w:r>
          </w:p>
          <w:p>
            <w:pPr>
              <w:spacing w:line="300" w:lineRule="exact"/>
              <w:ind w:left="113" w:right="113" w:firstLine="240" w:firstLineChars="100"/>
              <w:rPr>
                <w:rFonts w:ascii="宋体" w:hAnsi="宋体"/>
                <w:sz w:val="24"/>
                <w:szCs w:val="24"/>
              </w:rPr>
            </w:pPr>
            <w:r>
              <w:rPr>
                <w:rFonts w:hint="eastAsia" w:ascii="宋体" w:hAnsi="宋体"/>
                <w:sz w:val="24"/>
                <w:szCs w:val="24"/>
              </w:rPr>
              <w:t>a.未进行资格预审的，投标人按照招标文件提供的格式签订了联合体协议书，明确各方承担连带责任，并明确了联合体牵头人；</w:t>
            </w:r>
          </w:p>
          <w:p>
            <w:pPr>
              <w:spacing w:line="300" w:lineRule="exact"/>
              <w:ind w:left="113" w:right="113" w:firstLine="240" w:firstLineChars="100"/>
              <w:rPr>
                <w:rFonts w:ascii="宋体" w:hAnsi="宋体"/>
                <w:sz w:val="24"/>
                <w:szCs w:val="24"/>
              </w:rPr>
            </w:pPr>
            <w:r>
              <w:rPr>
                <w:rFonts w:hint="eastAsia" w:ascii="宋体" w:hAnsi="宋体"/>
                <w:sz w:val="24"/>
                <w:szCs w:val="24"/>
              </w:rPr>
              <w:t>b.己进行资格预审的，投标人提供了资格预审申请文件中所附的联合体协议书复印件，且通过资格预审后的联合体无成员增减或更换的情况。</w:t>
            </w:r>
          </w:p>
          <w:p>
            <w:pPr>
              <w:spacing w:line="300" w:lineRule="exact"/>
              <w:ind w:left="113" w:right="113" w:firstLine="240" w:firstLineChars="100"/>
              <w:rPr>
                <w:rFonts w:ascii="宋体" w:hAnsi="宋体"/>
                <w:sz w:val="24"/>
                <w:szCs w:val="24"/>
              </w:rPr>
            </w:pPr>
            <w:r>
              <w:rPr>
                <w:rFonts w:hint="eastAsia" w:ascii="宋体" w:hAnsi="宋体"/>
                <w:sz w:val="24"/>
                <w:szCs w:val="24"/>
              </w:rPr>
              <w:t>（7）同一投标人未提交两个以上不同的投标文件，但招标文件要求提交备选投标的除外。</w:t>
            </w:r>
          </w:p>
          <w:p>
            <w:pPr>
              <w:spacing w:line="300" w:lineRule="exact"/>
              <w:ind w:left="113" w:right="113" w:firstLine="240" w:firstLineChars="100"/>
              <w:rPr>
                <w:rFonts w:ascii="宋体" w:hAnsi="宋体"/>
                <w:sz w:val="24"/>
                <w:szCs w:val="24"/>
              </w:rPr>
            </w:pPr>
            <w:r>
              <w:rPr>
                <w:rFonts w:hint="eastAsia" w:ascii="宋体" w:hAnsi="宋体"/>
                <w:sz w:val="24"/>
                <w:szCs w:val="24"/>
              </w:rPr>
              <w:t>（8）投标文件中未出现有关投标报价的内容。</w:t>
            </w:r>
          </w:p>
          <w:p>
            <w:pPr>
              <w:spacing w:line="300" w:lineRule="exact"/>
              <w:ind w:left="113" w:right="113" w:firstLine="240" w:firstLineChars="100"/>
              <w:rPr>
                <w:rFonts w:ascii="宋体" w:hAnsi="宋体"/>
                <w:sz w:val="24"/>
                <w:szCs w:val="24"/>
              </w:rPr>
            </w:pPr>
            <w:r>
              <w:rPr>
                <w:rFonts w:hint="eastAsia" w:ascii="宋体" w:hAnsi="宋体"/>
                <w:sz w:val="24"/>
                <w:szCs w:val="24"/>
              </w:rPr>
              <w:t>（9）投标文件载明的招标项目完成期限未超过招标文件规定的时限。</w:t>
            </w:r>
          </w:p>
          <w:p>
            <w:pPr>
              <w:spacing w:line="300" w:lineRule="exact"/>
              <w:ind w:left="113" w:right="113" w:firstLine="240" w:firstLineChars="10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）投标文件对招标文件的实质性要求和条件作出响应。</w:t>
            </w:r>
          </w:p>
          <w:p>
            <w:pPr>
              <w:spacing w:line="300" w:lineRule="exact"/>
              <w:ind w:left="113" w:right="113" w:firstLine="240" w:firstLineChars="100"/>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）权利义务符合招标文件规定：</w:t>
            </w:r>
          </w:p>
          <w:p>
            <w:pPr>
              <w:spacing w:line="300" w:lineRule="exact"/>
              <w:ind w:left="113" w:right="113" w:firstLine="240" w:firstLineChars="100"/>
              <w:rPr>
                <w:rFonts w:ascii="宋体" w:hAnsi="宋体"/>
                <w:sz w:val="24"/>
                <w:szCs w:val="24"/>
              </w:rPr>
            </w:pPr>
            <w:r>
              <w:rPr>
                <w:rFonts w:hint="eastAsia" w:ascii="宋体" w:hAnsi="宋体"/>
                <w:sz w:val="24"/>
                <w:szCs w:val="24"/>
              </w:rPr>
              <w:t>a.投标人应接受招标文件规定的风险划分原则，未提出新的风险划分办法；</w:t>
            </w:r>
          </w:p>
          <w:p>
            <w:pPr>
              <w:spacing w:line="300" w:lineRule="exact"/>
              <w:ind w:left="113" w:right="113" w:firstLine="240" w:firstLineChars="100"/>
              <w:rPr>
                <w:rFonts w:ascii="宋体" w:hAnsi="宋体"/>
                <w:sz w:val="24"/>
                <w:szCs w:val="24"/>
              </w:rPr>
            </w:pPr>
            <w:r>
              <w:rPr>
                <w:rFonts w:hint="eastAsia" w:ascii="宋体" w:hAnsi="宋体"/>
                <w:sz w:val="24"/>
                <w:szCs w:val="24"/>
              </w:rPr>
              <w:t>b.投标人未增加委托人的责任范围，或减少投标人义务；</w:t>
            </w:r>
          </w:p>
          <w:p>
            <w:pPr>
              <w:spacing w:line="300" w:lineRule="exact"/>
              <w:ind w:left="113" w:right="113" w:firstLine="240" w:firstLineChars="100"/>
              <w:rPr>
                <w:rFonts w:ascii="宋体" w:hAnsi="宋体"/>
                <w:sz w:val="24"/>
                <w:szCs w:val="24"/>
              </w:rPr>
            </w:pPr>
            <w:r>
              <w:rPr>
                <w:rFonts w:hint="eastAsia" w:ascii="宋体" w:hAnsi="宋体"/>
                <w:sz w:val="24"/>
                <w:szCs w:val="24"/>
              </w:rPr>
              <w:t>c.投标人未提出不同的支付办法；</w:t>
            </w:r>
          </w:p>
          <w:p>
            <w:pPr>
              <w:spacing w:line="300" w:lineRule="exact"/>
              <w:ind w:left="113" w:right="113" w:firstLine="240" w:firstLineChars="100"/>
              <w:rPr>
                <w:rFonts w:ascii="宋体" w:hAnsi="宋体"/>
                <w:sz w:val="24"/>
                <w:szCs w:val="24"/>
              </w:rPr>
            </w:pPr>
            <w:r>
              <w:rPr>
                <w:rFonts w:hint="eastAsia" w:ascii="宋体" w:hAnsi="宋体"/>
                <w:sz w:val="24"/>
                <w:szCs w:val="24"/>
              </w:rPr>
              <w:t>d.投标人对合同纠纷、事故处理办法未提出异议；</w:t>
            </w:r>
          </w:p>
          <w:p>
            <w:pPr>
              <w:spacing w:line="300" w:lineRule="exact"/>
              <w:ind w:left="113" w:right="113" w:firstLine="240" w:firstLineChars="100"/>
              <w:rPr>
                <w:rFonts w:ascii="宋体" w:hAnsi="宋体"/>
                <w:sz w:val="24"/>
                <w:szCs w:val="24"/>
              </w:rPr>
            </w:pPr>
            <w:r>
              <w:rPr>
                <w:rFonts w:hint="eastAsia" w:ascii="宋体" w:hAnsi="宋体"/>
                <w:sz w:val="24"/>
                <w:szCs w:val="24"/>
              </w:rPr>
              <w:t>e.投标人在投标活动中无欺诈行为；</w:t>
            </w:r>
          </w:p>
          <w:p>
            <w:pPr>
              <w:spacing w:line="300" w:lineRule="exact"/>
              <w:ind w:left="113" w:right="113" w:firstLine="240" w:firstLineChars="100"/>
              <w:rPr>
                <w:rFonts w:ascii="宋体" w:hAnsi="宋体"/>
                <w:sz w:val="24"/>
                <w:szCs w:val="24"/>
              </w:rPr>
            </w:pPr>
            <w:r>
              <w:rPr>
                <w:rFonts w:hint="eastAsia" w:ascii="宋体" w:hAnsi="宋体"/>
                <w:sz w:val="24"/>
                <w:szCs w:val="24"/>
              </w:rPr>
              <w:t>f.投标人未对合同条款有重要保留。</w:t>
            </w:r>
          </w:p>
          <w:p>
            <w:pPr>
              <w:spacing w:line="300" w:lineRule="exact"/>
              <w:ind w:left="113" w:right="113" w:firstLine="240" w:firstLineChars="10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）投标文件正、副本份数符合招标文件第二章“投标人须知”第 3.7.4 项规定。</w:t>
            </w:r>
          </w:p>
          <w:p>
            <w:pPr>
              <w:spacing w:line="300" w:lineRule="exact"/>
              <w:ind w:left="113" w:right="113" w:firstLine="240" w:firstLineChars="100"/>
              <w:rPr>
                <w:rFonts w:ascii="宋体" w:hAnsi="宋体"/>
                <w:sz w:val="24"/>
                <w:szCs w:val="24"/>
              </w:rPr>
            </w:pPr>
            <w:r>
              <w:rPr>
                <w:rFonts w:hint="eastAsia" w:ascii="宋体" w:hAnsi="宋体"/>
                <w:sz w:val="24"/>
                <w:szCs w:val="24"/>
              </w:rPr>
              <w:t>（1</w:t>
            </w:r>
            <w:r>
              <w:rPr>
                <w:rFonts w:ascii="宋体" w:hAnsi="宋体"/>
                <w:sz w:val="24"/>
                <w:szCs w:val="24"/>
              </w:rPr>
              <w:t>3</w:t>
            </w:r>
            <w:r>
              <w:rPr>
                <w:rFonts w:hint="eastAsia" w:ascii="宋体" w:hAnsi="宋体"/>
                <w:sz w:val="24"/>
                <w:szCs w:val="24"/>
              </w:rPr>
              <w:t>）未附有招标人不能接受的其他条件。</w:t>
            </w:r>
          </w:p>
          <w:p>
            <w:pPr>
              <w:spacing w:line="300" w:lineRule="exact"/>
              <w:ind w:left="113" w:right="113" w:firstLine="241" w:firstLineChars="100"/>
              <w:rPr>
                <w:rFonts w:ascii="黑体" w:hAnsi="黑体" w:eastAsia="黑体"/>
                <w:b/>
                <w:bCs/>
                <w:sz w:val="24"/>
                <w:szCs w:val="24"/>
              </w:rPr>
            </w:pPr>
            <w:r>
              <w:rPr>
                <w:rFonts w:hint="eastAsia" w:ascii="黑体" w:hAnsi="黑体" w:eastAsia="黑体"/>
                <w:b/>
                <w:bCs/>
                <w:sz w:val="24"/>
                <w:szCs w:val="24"/>
              </w:rPr>
              <w:t>第二个信封（报价文件）评审标准：</w:t>
            </w:r>
          </w:p>
          <w:p>
            <w:pPr>
              <w:spacing w:line="300" w:lineRule="exact"/>
              <w:ind w:left="113" w:right="113" w:firstLine="241" w:firstLineChars="100"/>
              <w:rPr>
                <w:rFonts w:ascii="宋体" w:hAnsi="宋体"/>
                <w:sz w:val="24"/>
                <w:szCs w:val="24"/>
              </w:rPr>
            </w:pPr>
            <w:r>
              <w:rPr>
                <w:rFonts w:hint="eastAsia" w:ascii="宋体" w:hAnsi="宋体"/>
                <w:b/>
                <w:bCs/>
                <w:sz w:val="24"/>
                <w:szCs w:val="24"/>
              </w:rPr>
              <w:t>（1）</w:t>
            </w:r>
            <w:r>
              <w:rPr>
                <w:rFonts w:hint="eastAsia" w:ascii="宋体" w:hAnsi="宋体"/>
                <w:sz w:val="24"/>
                <w:szCs w:val="24"/>
              </w:rPr>
              <w:t>投标文件按照招标文件规定的格式、内容填写，字迹清晰可辩；</w:t>
            </w:r>
          </w:p>
          <w:p>
            <w:pPr>
              <w:spacing w:line="300" w:lineRule="exact"/>
              <w:ind w:left="113" w:right="113" w:firstLine="240" w:firstLineChars="100"/>
              <w:rPr>
                <w:rFonts w:ascii="宋体" w:hAnsi="宋体"/>
                <w:sz w:val="24"/>
                <w:szCs w:val="24"/>
              </w:rPr>
            </w:pPr>
            <w:r>
              <w:rPr>
                <w:rFonts w:hint="eastAsia" w:ascii="宋体" w:hAnsi="宋体"/>
                <w:sz w:val="24"/>
                <w:szCs w:val="24"/>
              </w:rPr>
              <w:t>a. 投标函按招标文件规定填报了项目名称、标段号、补遗书编号（如有）、投标价（包括大写金额和小写金额）；</w:t>
            </w:r>
          </w:p>
          <w:p>
            <w:pPr>
              <w:spacing w:line="300" w:lineRule="exact"/>
              <w:ind w:left="113" w:right="113" w:firstLine="240" w:firstLineChars="100"/>
              <w:rPr>
                <w:rFonts w:ascii="宋体" w:hAnsi="宋体"/>
                <w:sz w:val="24"/>
                <w:szCs w:val="24"/>
              </w:rPr>
            </w:pPr>
            <w:r>
              <w:rPr>
                <w:rFonts w:hint="eastAsia" w:ascii="宋体" w:hAnsi="宋体"/>
                <w:sz w:val="24"/>
                <w:szCs w:val="24"/>
              </w:rPr>
              <w:t>b.</w:t>
            </w:r>
            <w:r>
              <w:rPr>
                <w:rFonts w:hint="eastAsia"/>
              </w:rPr>
              <w:t xml:space="preserve"> </w:t>
            </w:r>
            <w:r>
              <w:rPr>
                <w:rFonts w:hint="eastAsia" w:ascii="宋体" w:hAnsi="宋体"/>
                <w:sz w:val="24"/>
                <w:szCs w:val="24"/>
              </w:rPr>
              <w:t>已标价报价清单说明文字与招标文件规定一致，未进行实质性修改和删减；</w:t>
            </w:r>
          </w:p>
          <w:p>
            <w:pPr>
              <w:spacing w:line="300" w:lineRule="exact"/>
              <w:ind w:left="113" w:right="113" w:firstLine="240" w:firstLineChars="100"/>
              <w:rPr>
                <w:rFonts w:ascii="宋体" w:hAnsi="宋体"/>
                <w:sz w:val="24"/>
                <w:szCs w:val="24"/>
              </w:rPr>
            </w:pPr>
            <w:r>
              <w:rPr>
                <w:rFonts w:hint="eastAsia" w:ascii="宋体" w:hAnsi="宋体"/>
                <w:sz w:val="24"/>
                <w:szCs w:val="24"/>
              </w:rPr>
              <w:t>c. 投标文件组成齐全完整，内容均按规定填写。</w:t>
            </w:r>
          </w:p>
          <w:p>
            <w:pPr>
              <w:spacing w:line="300" w:lineRule="exact"/>
              <w:ind w:left="113" w:right="113" w:firstLine="241" w:firstLineChars="100"/>
              <w:rPr>
                <w:rFonts w:ascii="宋体" w:hAnsi="宋体"/>
                <w:sz w:val="24"/>
                <w:szCs w:val="24"/>
              </w:rPr>
            </w:pPr>
            <w:r>
              <w:rPr>
                <w:rFonts w:hint="eastAsia" w:ascii="宋体" w:hAnsi="宋体"/>
                <w:b/>
                <w:bCs/>
                <w:sz w:val="24"/>
                <w:szCs w:val="24"/>
              </w:rPr>
              <w:t>（2）</w:t>
            </w:r>
            <w:r>
              <w:rPr>
                <w:rFonts w:hint="eastAsia" w:ascii="宋体" w:hAnsi="宋体"/>
                <w:sz w:val="24"/>
                <w:szCs w:val="24"/>
              </w:rPr>
              <w:t>投标文件上法定代表人或其授权代理人的签字、投标人的单位章盖章齐全，符合招标文件规定。</w:t>
            </w:r>
          </w:p>
          <w:p>
            <w:pPr>
              <w:spacing w:line="300" w:lineRule="exact"/>
              <w:ind w:left="113" w:right="113" w:firstLine="241" w:firstLineChars="100"/>
              <w:rPr>
                <w:rFonts w:ascii="宋体" w:hAnsi="宋体"/>
                <w:sz w:val="24"/>
                <w:szCs w:val="24"/>
              </w:rPr>
            </w:pPr>
            <w:r>
              <w:rPr>
                <w:rFonts w:hint="eastAsia" w:ascii="宋体" w:hAnsi="宋体"/>
                <w:b/>
                <w:bCs/>
                <w:sz w:val="24"/>
                <w:szCs w:val="24"/>
              </w:rPr>
              <w:t>（3）</w:t>
            </w:r>
            <w:r>
              <w:rPr>
                <w:rFonts w:hint="eastAsia" w:ascii="宋体" w:hAnsi="宋体"/>
                <w:sz w:val="24"/>
                <w:szCs w:val="24"/>
              </w:rPr>
              <w:t>投标报价未超过招标文件设定的最高投标限价。</w:t>
            </w:r>
          </w:p>
          <w:p>
            <w:pPr>
              <w:spacing w:line="300" w:lineRule="exact"/>
              <w:ind w:left="113" w:right="113" w:firstLine="241" w:firstLineChars="100"/>
              <w:rPr>
                <w:rFonts w:ascii="宋体" w:hAnsi="宋体"/>
                <w:sz w:val="24"/>
                <w:szCs w:val="24"/>
              </w:rPr>
            </w:pPr>
            <w:r>
              <w:rPr>
                <w:rFonts w:hint="eastAsia" w:ascii="宋体" w:hAnsi="宋体"/>
                <w:b/>
                <w:bCs/>
                <w:sz w:val="24"/>
                <w:szCs w:val="24"/>
              </w:rPr>
              <w:t>（4）</w:t>
            </w:r>
            <w:r>
              <w:rPr>
                <w:rFonts w:hint="eastAsia" w:ascii="宋体" w:hAnsi="宋体"/>
                <w:sz w:val="24"/>
                <w:szCs w:val="24"/>
              </w:rPr>
              <w:t>投标报价的大写金额能够确定具体数值。</w:t>
            </w:r>
          </w:p>
          <w:p>
            <w:pPr>
              <w:spacing w:line="300" w:lineRule="exact"/>
              <w:ind w:left="113" w:right="113" w:firstLine="241" w:firstLineChars="100"/>
              <w:rPr>
                <w:rFonts w:ascii="宋体" w:hAnsi="宋体"/>
                <w:sz w:val="24"/>
                <w:szCs w:val="24"/>
              </w:rPr>
            </w:pPr>
            <w:r>
              <w:rPr>
                <w:rFonts w:hint="eastAsia" w:ascii="宋体" w:hAnsi="宋体"/>
                <w:b/>
                <w:bCs/>
                <w:sz w:val="24"/>
                <w:szCs w:val="24"/>
              </w:rPr>
              <w:t>（5）</w:t>
            </w:r>
            <w:r>
              <w:rPr>
                <w:rFonts w:hint="eastAsia" w:ascii="宋体" w:hAnsi="宋体"/>
                <w:sz w:val="24"/>
                <w:szCs w:val="24"/>
              </w:rPr>
              <w:t>同一投标人未提交两个以上不同的投标报价，但招标文件要求提交备选投标的除外。</w:t>
            </w:r>
          </w:p>
          <w:p>
            <w:pPr>
              <w:spacing w:line="300" w:lineRule="exact"/>
              <w:ind w:left="113" w:right="113" w:firstLine="241" w:firstLineChars="100"/>
              <w:rPr>
                <w:rFonts w:ascii="宋体" w:hAnsi="宋体"/>
                <w:sz w:val="24"/>
                <w:szCs w:val="24"/>
              </w:rPr>
            </w:pPr>
            <w:r>
              <w:rPr>
                <w:rFonts w:hint="eastAsia" w:ascii="宋体" w:hAnsi="宋体"/>
                <w:b/>
                <w:bCs/>
                <w:sz w:val="24"/>
                <w:szCs w:val="24"/>
              </w:rPr>
              <w:t>（6）</w:t>
            </w:r>
            <w:r>
              <w:rPr>
                <w:rFonts w:hint="eastAsia" w:ascii="宋体" w:hAnsi="宋体"/>
                <w:sz w:val="24"/>
                <w:szCs w:val="24"/>
              </w:rPr>
              <w:t>投标文件正、副本及电子文件份数符合招标文件第二章“投标人须知”第3.7.4项规定。</w:t>
            </w:r>
          </w:p>
          <w:p>
            <w:pPr>
              <w:spacing w:line="300" w:lineRule="exact"/>
              <w:ind w:left="113" w:right="113" w:firstLine="241" w:firstLineChars="100"/>
              <w:rPr>
                <w:rFonts w:ascii="宋体" w:hAnsi="宋体"/>
                <w:sz w:val="24"/>
                <w:szCs w:val="24"/>
              </w:rPr>
            </w:pPr>
            <w:r>
              <w:rPr>
                <w:rFonts w:hint="eastAsia" w:ascii="宋体" w:hAnsi="宋体"/>
                <w:b/>
                <w:bCs/>
                <w:sz w:val="24"/>
                <w:szCs w:val="24"/>
              </w:rPr>
              <w:t>（</w:t>
            </w:r>
            <w:r>
              <w:rPr>
                <w:rFonts w:ascii="宋体" w:hAnsi="宋体"/>
                <w:b/>
                <w:bCs/>
                <w:sz w:val="24"/>
                <w:szCs w:val="24"/>
              </w:rPr>
              <w:t>7</w:t>
            </w:r>
            <w:r>
              <w:rPr>
                <w:rFonts w:hint="eastAsia" w:ascii="宋体" w:hAnsi="宋体"/>
                <w:b/>
                <w:bCs/>
                <w:sz w:val="24"/>
                <w:szCs w:val="24"/>
              </w:rPr>
              <w:t>）</w:t>
            </w:r>
            <w:r>
              <w:rPr>
                <w:rFonts w:hint="eastAsia" w:ascii="宋体" w:hAnsi="宋体"/>
                <w:sz w:val="24"/>
                <w:szCs w:val="24"/>
              </w:rPr>
              <w:t>未附有招标人不能接受的其他条件。</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4957" w:hRule="atLeast"/>
          <w:jc w:val="center"/>
        </w:trPr>
        <w:tc>
          <w:tcPr>
            <w:tcW w:w="946" w:type="dxa"/>
            <w:vAlign w:val="center"/>
          </w:tcPr>
          <w:p>
            <w:pPr>
              <w:spacing w:line="300" w:lineRule="exact"/>
              <w:jc w:val="center"/>
              <w:rPr>
                <w:rFonts w:ascii="宋体" w:hAnsi="宋体"/>
                <w:sz w:val="24"/>
                <w:szCs w:val="24"/>
              </w:rPr>
            </w:pPr>
            <w:r>
              <w:rPr>
                <w:rFonts w:hint="eastAsia" w:ascii="宋体" w:hAnsi="宋体"/>
                <w:sz w:val="24"/>
                <w:szCs w:val="24"/>
              </w:rPr>
              <w:t>2</w:t>
            </w:r>
            <w:r>
              <w:rPr>
                <w:sz w:val="24"/>
                <w:szCs w:val="24"/>
              </w:rPr>
              <w:t>.1.2</w:t>
            </w:r>
          </w:p>
        </w:tc>
        <w:tc>
          <w:tcPr>
            <w:tcW w:w="1303" w:type="dxa"/>
            <w:vAlign w:val="center"/>
          </w:tcPr>
          <w:p>
            <w:pPr>
              <w:spacing w:line="300" w:lineRule="exact"/>
              <w:jc w:val="center"/>
              <w:rPr>
                <w:rFonts w:ascii="宋体" w:hAnsi="宋体"/>
                <w:sz w:val="24"/>
                <w:szCs w:val="24"/>
              </w:rPr>
            </w:pPr>
            <w:r>
              <w:rPr>
                <w:rFonts w:hint="eastAsia" w:ascii="宋体" w:hAnsi="宋体"/>
                <w:sz w:val="24"/>
                <w:szCs w:val="24"/>
              </w:rPr>
              <w:t>资格评审标准</w:t>
            </w:r>
          </w:p>
        </w:tc>
        <w:tc>
          <w:tcPr>
            <w:tcW w:w="6363" w:type="dxa"/>
            <w:vAlign w:val="center"/>
          </w:tcPr>
          <w:p>
            <w:pPr>
              <w:spacing w:line="300" w:lineRule="exact"/>
              <w:ind w:left="113" w:right="113" w:firstLine="241" w:firstLineChars="100"/>
              <w:rPr>
                <w:rFonts w:ascii="宋体" w:hAnsi="宋体"/>
                <w:sz w:val="24"/>
                <w:szCs w:val="24"/>
              </w:rPr>
            </w:pPr>
            <w:r>
              <w:rPr>
                <w:rFonts w:hint="eastAsia" w:ascii="宋体" w:hAnsi="宋体"/>
                <w:b/>
                <w:bCs/>
                <w:sz w:val="24"/>
                <w:szCs w:val="24"/>
              </w:rPr>
              <w:t>（1）</w:t>
            </w:r>
            <w:r>
              <w:rPr>
                <w:rFonts w:hint="eastAsia" w:ascii="宋体" w:hAnsi="宋体"/>
                <w:sz w:val="24"/>
                <w:szCs w:val="24"/>
              </w:rPr>
              <w:t>投标人具备有效的营业执照、资质证书和基本账户开户许可证及招标文件要求的其他证书；</w:t>
            </w:r>
          </w:p>
          <w:p>
            <w:pPr>
              <w:spacing w:line="300" w:lineRule="exact"/>
              <w:ind w:left="113" w:right="113" w:firstLine="241" w:firstLineChars="100"/>
              <w:rPr>
                <w:rFonts w:ascii="宋体" w:hAnsi="宋体"/>
                <w:sz w:val="24"/>
                <w:szCs w:val="24"/>
              </w:rPr>
            </w:pPr>
            <w:r>
              <w:rPr>
                <w:rFonts w:hint="eastAsia" w:ascii="宋体" w:hAnsi="宋体"/>
                <w:b/>
                <w:bCs/>
                <w:sz w:val="24"/>
                <w:szCs w:val="24"/>
              </w:rPr>
              <w:t>（2）</w:t>
            </w:r>
            <w:r>
              <w:rPr>
                <w:rFonts w:hint="eastAsia" w:ascii="宋体" w:hAnsi="宋体"/>
                <w:sz w:val="24"/>
                <w:szCs w:val="24"/>
              </w:rPr>
              <w:t>投标人的资质等级符合招标文件规定；</w:t>
            </w:r>
          </w:p>
          <w:p>
            <w:pPr>
              <w:spacing w:line="300" w:lineRule="exact"/>
              <w:ind w:left="113" w:right="113" w:firstLine="241" w:firstLineChars="100"/>
              <w:rPr>
                <w:rFonts w:ascii="宋体" w:hAnsi="宋体"/>
                <w:sz w:val="24"/>
                <w:szCs w:val="24"/>
              </w:rPr>
            </w:pPr>
            <w:r>
              <w:rPr>
                <w:rFonts w:hint="eastAsia" w:ascii="宋体" w:hAnsi="宋体"/>
                <w:b/>
                <w:bCs/>
                <w:sz w:val="24"/>
                <w:szCs w:val="24"/>
              </w:rPr>
              <w:t>（</w:t>
            </w:r>
            <w:r>
              <w:rPr>
                <w:rFonts w:ascii="宋体" w:hAnsi="宋体"/>
                <w:b/>
                <w:bCs/>
                <w:sz w:val="24"/>
                <w:szCs w:val="24"/>
              </w:rPr>
              <w:t>3</w:t>
            </w:r>
            <w:r>
              <w:rPr>
                <w:rFonts w:hint="eastAsia" w:ascii="宋体" w:hAnsi="宋体"/>
                <w:b/>
                <w:bCs/>
                <w:sz w:val="24"/>
                <w:szCs w:val="24"/>
              </w:rPr>
              <w:t>）</w:t>
            </w:r>
            <w:r>
              <w:rPr>
                <w:rFonts w:hint="eastAsia" w:ascii="宋体" w:hAnsi="宋体"/>
                <w:sz w:val="24"/>
                <w:szCs w:val="24"/>
              </w:rPr>
              <w:t>投标人的信誉符合招标文件规定；</w:t>
            </w:r>
          </w:p>
          <w:p>
            <w:pPr>
              <w:spacing w:line="300" w:lineRule="exact"/>
              <w:ind w:left="113" w:right="113" w:firstLine="241" w:firstLineChars="100"/>
              <w:rPr>
                <w:rFonts w:ascii="宋体" w:hAnsi="宋体"/>
                <w:sz w:val="24"/>
                <w:szCs w:val="24"/>
              </w:rPr>
            </w:pPr>
            <w:r>
              <w:rPr>
                <w:rFonts w:hint="eastAsia" w:ascii="宋体" w:hAnsi="宋体"/>
                <w:b/>
                <w:bCs/>
                <w:sz w:val="24"/>
                <w:szCs w:val="24"/>
              </w:rPr>
              <w:t>（</w:t>
            </w:r>
            <w:r>
              <w:rPr>
                <w:rFonts w:ascii="宋体" w:hAnsi="宋体"/>
                <w:b/>
                <w:bCs/>
                <w:sz w:val="24"/>
                <w:szCs w:val="24"/>
              </w:rPr>
              <w:t>4</w:t>
            </w:r>
            <w:r>
              <w:rPr>
                <w:rFonts w:hint="eastAsia" w:ascii="宋体" w:hAnsi="宋体"/>
                <w:b/>
                <w:bCs/>
                <w:sz w:val="24"/>
                <w:szCs w:val="24"/>
              </w:rPr>
              <w:t>）</w:t>
            </w:r>
            <w:r>
              <w:rPr>
                <w:rFonts w:hint="eastAsia" w:ascii="宋体" w:hAnsi="宋体"/>
                <w:sz w:val="24"/>
                <w:szCs w:val="24"/>
              </w:rPr>
              <w:t>投标人的主要人员资格、在岗情况符合招标文件规定；</w:t>
            </w:r>
          </w:p>
          <w:p>
            <w:pPr>
              <w:spacing w:line="300" w:lineRule="exact"/>
              <w:ind w:left="113" w:right="113" w:firstLine="241" w:firstLineChars="100"/>
              <w:rPr>
                <w:rFonts w:ascii="宋体" w:hAnsi="宋体"/>
                <w:sz w:val="24"/>
                <w:szCs w:val="24"/>
              </w:rPr>
            </w:pPr>
            <w:r>
              <w:rPr>
                <w:rFonts w:hint="eastAsia" w:ascii="宋体" w:hAnsi="宋体"/>
                <w:b/>
                <w:bCs/>
                <w:sz w:val="24"/>
                <w:szCs w:val="24"/>
              </w:rPr>
              <w:t>（5）</w:t>
            </w:r>
            <w:r>
              <w:rPr>
                <w:rFonts w:hint="eastAsia" w:ascii="宋体" w:hAnsi="宋体"/>
                <w:sz w:val="24"/>
                <w:szCs w:val="24"/>
              </w:rPr>
              <w:t>投标人的其他要求符合招标文件规定；</w:t>
            </w:r>
          </w:p>
          <w:p>
            <w:pPr>
              <w:spacing w:line="300" w:lineRule="exact"/>
              <w:ind w:left="113" w:right="113" w:firstLine="241" w:firstLineChars="100"/>
              <w:rPr>
                <w:rFonts w:ascii="宋体" w:hAnsi="宋体"/>
                <w:sz w:val="24"/>
                <w:szCs w:val="24"/>
              </w:rPr>
            </w:pPr>
            <w:r>
              <w:rPr>
                <w:rFonts w:hint="eastAsia" w:ascii="宋体" w:hAnsi="宋体"/>
                <w:b/>
                <w:bCs/>
                <w:sz w:val="24"/>
                <w:szCs w:val="24"/>
              </w:rPr>
              <w:t>（</w:t>
            </w:r>
            <w:r>
              <w:rPr>
                <w:rFonts w:ascii="宋体" w:hAnsi="宋体"/>
                <w:b/>
                <w:bCs/>
                <w:sz w:val="24"/>
                <w:szCs w:val="24"/>
              </w:rPr>
              <w:t>6</w:t>
            </w:r>
            <w:r>
              <w:rPr>
                <w:rFonts w:hint="eastAsia" w:ascii="宋体" w:hAnsi="宋体"/>
                <w:b/>
                <w:bCs/>
                <w:sz w:val="24"/>
                <w:szCs w:val="24"/>
              </w:rPr>
              <w:t>）</w:t>
            </w:r>
            <w:r>
              <w:rPr>
                <w:rFonts w:hint="eastAsia" w:ascii="宋体" w:hAnsi="宋体"/>
                <w:sz w:val="24"/>
                <w:szCs w:val="24"/>
              </w:rPr>
              <w:t>投标人不存在第二章“投标人须知正文”第1.4.3项或1.4.4项规定的任何一种情形；</w:t>
            </w:r>
          </w:p>
          <w:p>
            <w:pPr>
              <w:spacing w:line="300" w:lineRule="exact"/>
              <w:ind w:left="113" w:right="113" w:firstLine="241" w:firstLineChars="100"/>
              <w:rPr>
                <w:rFonts w:ascii="宋体" w:hAnsi="宋体"/>
                <w:sz w:val="24"/>
                <w:szCs w:val="24"/>
              </w:rPr>
            </w:pPr>
            <w:r>
              <w:rPr>
                <w:rFonts w:hint="eastAsia" w:ascii="宋体" w:hAnsi="宋体"/>
                <w:b/>
                <w:bCs/>
                <w:sz w:val="24"/>
                <w:szCs w:val="24"/>
              </w:rPr>
              <w:t>（</w:t>
            </w:r>
            <w:r>
              <w:rPr>
                <w:rFonts w:hint="eastAsia" w:ascii="宋体" w:hAnsi="宋体"/>
                <w:b/>
                <w:bCs/>
                <w:sz w:val="24"/>
                <w:szCs w:val="24"/>
                <w:lang w:val="en-US" w:eastAsia="zh-CN"/>
              </w:rPr>
              <w:t>7</w:t>
            </w:r>
            <w:r>
              <w:rPr>
                <w:rFonts w:hint="eastAsia" w:ascii="宋体" w:hAnsi="宋体"/>
                <w:b/>
                <w:bCs/>
                <w:sz w:val="24"/>
                <w:szCs w:val="24"/>
              </w:rPr>
              <w:t>）</w:t>
            </w:r>
            <w:r>
              <w:rPr>
                <w:rFonts w:hint="eastAsia" w:ascii="宋体" w:hAnsi="宋体"/>
                <w:sz w:val="24"/>
                <w:szCs w:val="24"/>
              </w:rPr>
              <w:t>以联合体形式参与投标的，联合体各方均未再以自己名义单独或参加其他联合体在同一标段中投标；独立参与投标的，投标人未同时参加联合体在同一标段中投标。（如标段不接受联合体，本条不适用）</w:t>
            </w:r>
          </w:p>
        </w:tc>
      </w:tr>
    </w:tbl>
    <w:p>
      <w:pPr>
        <w:widowControl/>
        <w:autoSpaceDE w:val="0"/>
        <w:autoSpaceDN w:val="0"/>
        <w:spacing w:line="240" w:lineRule="auto"/>
        <w:jc w:val="right"/>
        <w:textAlignment w:val="bottom"/>
        <w:rPr>
          <w:bCs/>
          <w:spacing w:val="30"/>
          <w:sz w:val="24"/>
          <w:szCs w:val="24"/>
        </w:rPr>
      </w:pPr>
    </w:p>
    <w:p>
      <w:pPr>
        <w:widowControl/>
        <w:autoSpaceDE w:val="0"/>
        <w:autoSpaceDN w:val="0"/>
        <w:spacing w:line="240" w:lineRule="auto"/>
        <w:jc w:val="right"/>
        <w:textAlignment w:val="bottom"/>
        <w:rPr>
          <w:bCs/>
          <w:spacing w:val="30"/>
          <w:sz w:val="24"/>
          <w:szCs w:val="24"/>
        </w:rPr>
      </w:pPr>
    </w:p>
    <w:p>
      <w:pPr>
        <w:widowControl/>
        <w:autoSpaceDE w:val="0"/>
        <w:autoSpaceDN w:val="0"/>
        <w:spacing w:line="240" w:lineRule="auto"/>
        <w:jc w:val="right"/>
        <w:textAlignment w:val="bottom"/>
        <w:rPr>
          <w:b/>
          <w:spacing w:val="30"/>
          <w:sz w:val="24"/>
          <w:szCs w:val="24"/>
        </w:rPr>
      </w:pPr>
      <w:r>
        <w:rPr>
          <w:rFonts w:hint="eastAsia"/>
          <w:bCs/>
          <w:spacing w:val="30"/>
          <w:sz w:val="24"/>
          <w:szCs w:val="24"/>
        </w:rPr>
        <w:br w:type="page"/>
      </w:r>
      <w:r>
        <w:rPr>
          <w:rFonts w:hint="eastAsia"/>
          <w:b/>
          <w:spacing w:val="30"/>
          <w:sz w:val="24"/>
          <w:szCs w:val="24"/>
        </w:rPr>
        <w:t>续上表</w:t>
      </w:r>
    </w:p>
    <w:tbl>
      <w:tblPr>
        <w:tblStyle w:val="36"/>
        <w:tblW w:w="8531" w:type="dxa"/>
        <w:jc w:val="center"/>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Layout w:type="fixed"/>
        <w:tblCellMar>
          <w:top w:w="0" w:type="dxa"/>
          <w:left w:w="108" w:type="dxa"/>
          <w:bottom w:w="0" w:type="dxa"/>
          <w:right w:w="108" w:type="dxa"/>
        </w:tblCellMar>
      </w:tblPr>
      <w:tblGrid>
        <w:gridCol w:w="1047"/>
        <w:gridCol w:w="1661"/>
        <w:gridCol w:w="5823"/>
      </w:tblGrid>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1047" w:type="dxa"/>
            <w:vAlign w:val="center"/>
          </w:tcPr>
          <w:p>
            <w:pPr>
              <w:jc w:val="center"/>
              <w:rPr>
                <w:rFonts w:ascii="宋体" w:hAnsi="宋体"/>
                <w:b/>
                <w:bCs/>
                <w:sz w:val="24"/>
                <w:szCs w:val="24"/>
              </w:rPr>
            </w:pPr>
            <w:r>
              <w:rPr>
                <w:rFonts w:hint="eastAsia" w:ascii="宋体" w:hAnsi="宋体"/>
                <w:b/>
                <w:bCs/>
                <w:sz w:val="24"/>
                <w:szCs w:val="24"/>
              </w:rPr>
              <w:t>条款号</w:t>
            </w:r>
          </w:p>
        </w:tc>
        <w:tc>
          <w:tcPr>
            <w:tcW w:w="1661" w:type="dxa"/>
            <w:vAlign w:val="center"/>
          </w:tcPr>
          <w:p>
            <w:pPr>
              <w:jc w:val="center"/>
              <w:rPr>
                <w:rFonts w:ascii="宋体" w:hAnsi="宋体"/>
                <w:b/>
                <w:bCs/>
                <w:sz w:val="24"/>
                <w:szCs w:val="24"/>
              </w:rPr>
            </w:pPr>
            <w:r>
              <w:rPr>
                <w:rFonts w:hint="eastAsia" w:ascii="宋体" w:hAnsi="宋体"/>
                <w:b/>
                <w:bCs/>
                <w:sz w:val="24"/>
                <w:szCs w:val="24"/>
              </w:rPr>
              <w:t>条款内容</w:t>
            </w:r>
          </w:p>
        </w:tc>
        <w:tc>
          <w:tcPr>
            <w:tcW w:w="5823" w:type="dxa"/>
            <w:vAlign w:val="center"/>
          </w:tcPr>
          <w:p>
            <w:pPr>
              <w:jc w:val="center"/>
              <w:rPr>
                <w:rFonts w:ascii="宋体" w:hAnsi="宋体"/>
                <w:b/>
                <w:bCs/>
                <w:sz w:val="24"/>
                <w:szCs w:val="24"/>
              </w:rPr>
            </w:pPr>
            <w:r>
              <w:rPr>
                <w:rFonts w:hint="eastAsia" w:ascii="宋体" w:hAnsi="宋体"/>
                <w:b/>
                <w:bCs/>
                <w:sz w:val="24"/>
                <w:szCs w:val="24"/>
              </w:rPr>
              <w:t>编列内容</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2812" w:hRule="atLeast"/>
          <w:jc w:val="center"/>
        </w:trPr>
        <w:tc>
          <w:tcPr>
            <w:tcW w:w="1047" w:type="dxa"/>
            <w:vAlign w:val="center"/>
          </w:tcPr>
          <w:p>
            <w:pPr>
              <w:jc w:val="center"/>
              <w:rPr>
                <w:rFonts w:ascii="宋体" w:hAnsi="宋体"/>
                <w:sz w:val="24"/>
                <w:szCs w:val="24"/>
              </w:rPr>
            </w:pPr>
            <w:r>
              <w:rPr>
                <w:rFonts w:ascii="宋体" w:hAnsi="宋体"/>
                <w:sz w:val="24"/>
                <w:szCs w:val="24"/>
              </w:rPr>
              <w:t>2.2.1</w:t>
            </w:r>
          </w:p>
        </w:tc>
        <w:tc>
          <w:tcPr>
            <w:tcW w:w="1661" w:type="dxa"/>
            <w:vAlign w:val="center"/>
          </w:tcPr>
          <w:p>
            <w:pPr>
              <w:jc w:val="center"/>
              <w:rPr>
                <w:rFonts w:ascii="宋体" w:hAnsi="宋体"/>
                <w:sz w:val="24"/>
                <w:szCs w:val="24"/>
              </w:rPr>
            </w:pPr>
            <w:r>
              <w:rPr>
                <w:rFonts w:hint="eastAsia" w:ascii="宋体" w:hAnsi="宋体"/>
                <w:sz w:val="24"/>
                <w:szCs w:val="24"/>
              </w:rPr>
              <w:t>分值构成（总分100分）</w:t>
            </w:r>
          </w:p>
        </w:tc>
        <w:tc>
          <w:tcPr>
            <w:tcW w:w="5823" w:type="dxa"/>
            <w:vAlign w:val="center"/>
          </w:tcPr>
          <w:p>
            <w:pPr>
              <w:spacing w:line="320" w:lineRule="exact"/>
              <w:ind w:firstLine="173" w:firstLineChars="72"/>
              <w:rPr>
                <w:rFonts w:ascii="黑体" w:hAnsi="黑体" w:eastAsia="黑体"/>
                <w:b/>
                <w:bCs/>
                <w:sz w:val="24"/>
                <w:szCs w:val="24"/>
              </w:rPr>
            </w:pPr>
            <w:r>
              <w:rPr>
                <w:rFonts w:hint="eastAsia" w:ascii="黑体" w:hAnsi="黑体" w:eastAsia="黑体"/>
                <w:b/>
                <w:bCs/>
                <w:sz w:val="24"/>
                <w:szCs w:val="24"/>
              </w:rPr>
              <w:t>第一个信封（商务及技术文件）评分分值构成：</w:t>
            </w:r>
          </w:p>
          <w:p>
            <w:pPr>
              <w:spacing w:line="320" w:lineRule="exact"/>
              <w:ind w:firstLine="172" w:firstLineChars="72"/>
              <w:rPr>
                <w:rFonts w:ascii="宋体" w:hAnsi="宋体"/>
                <w:sz w:val="24"/>
                <w:szCs w:val="24"/>
              </w:rPr>
            </w:pPr>
            <w:r>
              <w:rPr>
                <w:rFonts w:hint="eastAsia" w:ascii="宋体" w:hAnsi="宋体"/>
                <w:sz w:val="24"/>
                <w:szCs w:val="24"/>
              </w:rPr>
              <w:t xml:space="preserve">技术建议书： </w:t>
            </w:r>
            <w:r>
              <w:rPr>
                <w:rFonts w:ascii="宋体" w:hAnsi="宋体"/>
                <w:sz w:val="24"/>
                <w:szCs w:val="24"/>
              </w:rPr>
              <w:t xml:space="preserve"> </w:t>
            </w:r>
            <w:r>
              <w:rPr>
                <w:rFonts w:ascii="宋体" w:hAnsi="宋体"/>
                <w:sz w:val="24"/>
                <w:szCs w:val="24"/>
                <w:u w:val="single"/>
              </w:rPr>
              <w:t xml:space="preserve"> 35</w:t>
            </w:r>
            <w:r>
              <w:rPr>
                <w:rFonts w:hint="eastAsia" w:ascii="宋体" w:hAnsi="宋体"/>
                <w:sz w:val="24"/>
                <w:szCs w:val="24"/>
                <w:u w:val="single"/>
              </w:rPr>
              <w:t xml:space="preserve"> </w:t>
            </w:r>
            <w:r>
              <w:rPr>
                <w:rFonts w:hint="eastAsia" w:ascii="宋体" w:hAnsi="宋体"/>
                <w:sz w:val="24"/>
                <w:szCs w:val="24"/>
              </w:rPr>
              <w:t>分</w:t>
            </w:r>
          </w:p>
          <w:p>
            <w:pPr>
              <w:spacing w:line="320" w:lineRule="exact"/>
              <w:ind w:firstLine="172" w:firstLineChars="72"/>
              <w:rPr>
                <w:rFonts w:ascii="宋体" w:hAnsi="宋体"/>
                <w:sz w:val="24"/>
                <w:szCs w:val="24"/>
              </w:rPr>
            </w:pPr>
            <w:r>
              <w:rPr>
                <w:rFonts w:hint="eastAsia" w:ascii="宋体" w:hAnsi="宋体"/>
                <w:sz w:val="24"/>
                <w:szCs w:val="24"/>
              </w:rPr>
              <w:t xml:space="preserve">主要人员：    </w:t>
            </w:r>
            <w:r>
              <w:rPr>
                <w:rFonts w:hint="eastAsia" w:ascii="宋体" w:hAnsi="宋体"/>
                <w:sz w:val="24"/>
                <w:szCs w:val="24"/>
                <w:u w:val="single"/>
              </w:rPr>
              <w:t xml:space="preserve"> </w:t>
            </w:r>
            <w:r>
              <w:rPr>
                <w:rFonts w:ascii="宋体" w:hAnsi="宋体"/>
                <w:sz w:val="24"/>
                <w:szCs w:val="24"/>
                <w:u w:val="single"/>
              </w:rPr>
              <w:t>30</w:t>
            </w:r>
            <w:r>
              <w:rPr>
                <w:rFonts w:hint="eastAsia" w:ascii="宋体" w:hAnsi="宋体"/>
                <w:sz w:val="24"/>
                <w:szCs w:val="24"/>
                <w:u w:val="single"/>
              </w:rPr>
              <w:t xml:space="preserve"> </w:t>
            </w:r>
            <w:r>
              <w:rPr>
                <w:rFonts w:hint="eastAsia" w:ascii="宋体" w:hAnsi="宋体"/>
                <w:sz w:val="24"/>
                <w:szCs w:val="24"/>
              </w:rPr>
              <w:t>分</w:t>
            </w:r>
          </w:p>
          <w:p>
            <w:pPr>
              <w:spacing w:line="320" w:lineRule="exact"/>
              <w:ind w:firstLine="172" w:firstLineChars="72"/>
              <w:rPr>
                <w:rFonts w:ascii="宋体" w:hAnsi="宋体"/>
                <w:sz w:val="24"/>
                <w:szCs w:val="24"/>
              </w:rPr>
            </w:pPr>
            <w:r>
              <w:rPr>
                <w:rFonts w:hint="eastAsia" w:ascii="宋体" w:hAnsi="宋体"/>
                <w:sz w:val="24"/>
                <w:szCs w:val="24"/>
              </w:rPr>
              <w:t xml:space="preserve">技术能力：    </w:t>
            </w:r>
            <w:r>
              <w:rPr>
                <w:rFonts w:hint="eastAsia" w:ascii="宋体" w:hAnsi="宋体"/>
                <w:sz w:val="24"/>
                <w:szCs w:val="24"/>
                <w:u w:val="single"/>
              </w:rPr>
              <w:t xml:space="preserve"> </w:t>
            </w:r>
            <w:r>
              <w:rPr>
                <w:rFonts w:ascii="宋体" w:hAnsi="宋体"/>
                <w:sz w:val="24"/>
                <w:szCs w:val="24"/>
                <w:u w:val="single"/>
              </w:rPr>
              <w:t xml:space="preserve"> 0</w:t>
            </w:r>
            <w:r>
              <w:rPr>
                <w:rFonts w:hint="eastAsia" w:ascii="宋体" w:hAnsi="宋体"/>
                <w:sz w:val="24"/>
                <w:szCs w:val="24"/>
                <w:u w:val="single"/>
              </w:rPr>
              <w:t xml:space="preserve"> </w:t>
            </w:r>
            <w:r>
              <w:rPr>
                <w:rFonts w:hint="eastAsia" w:ascii="宋体" w:hAnsi="宋体"/>
                <w:sz w:val="24"/>
                <w:szCs w:val="24"/>
              </w:rPr>
              <w:t>分</w:t>
            </w:r>
          </w:p>
          <w:p>
            <w:pPr>
              <w:spacing w:line="320" w:lineRule="exact"/>
              <w:ind w:firstLine="172" w:firstLineChars="72"/>
              <w:rPr>
                <w:rFonts w:ascii="宋体" w:hAnsi="宋体"/>
                <w:sz w:val="24"/>
                <w:szCs w:val="24"/>
              </w:rPr>
            </w:pPr>
            <w:r>
              <w:rPr>
                <w:rFonts w:hint="eastAsia" w:ascii="宋体" w:hAnsi="宋体"/>
                <w:sz w:val="24"/>
                <w:szCs w:val="24"/>
              </w:rPr>
              <w:t xml:space="preserve">业绩：        </w:t>
            </w:r>
            <w:r>
              <w:rPr>
                <w:rFonts w:hint="eastAsia" w:ascii="宋体" w:hAnsi="宋体"/>
                <w:sz w:val="24"/>
                <w:szCs w:val="24"/>
                <w:u w:val="single"/>
              </w:rPr>
              <w:t xml:space="preserve"> </w:t>
            </w:r>
            <w:r>
              <w:rPr>
                <w:rFonts w:ascii="宋体" w:hAnsi="宋体"/>
                <w:sz w:val="24"/>
                <w:szCs w:val="24"/>
                <w:u w:val="single"/>
              </w:rPr>
              <w:t>20</w:t>
            </w:r>
            <w:r>
              <w:rPr>
                <w:rFonts w:hint="eastAsia" w:ascii="宋体" w:hAnsi="宋体"/>
                <w:sz w:val="24"/>
                <w:szCs w:val="24"/>
                <w:u w:val="single"/>
              </w:rPr>
              <w:t xml:space="preserve"> </w:t>
            </w:r>
            <w:r>
              <w:rPr>
                <w:rFonts w:hint="eastAsia" w:ascii="宋体" w:hAnsi="宋体"/>
                <w:sz w:val="24"/>
                <w:szCs w:val="24"/>
              </w:rPr>
              <w:t>分</w:t>
            </w:r>
          </w:p>
          <w:p>
            <w:pPr>
              <w:spacing w:line="320" w:lineRule="exact"/>
              <w:ind w:firstLine="172" w:firstLineChars="72"/>
              <w:rPr>
                <w:rFonts w:ascii="宋体" w:hAnsi="宋体"/>
                <w:sz w:val="24"/>
                <w:szCs w:val="24"/>
              </w:rPr>
            </w:pPr>
            <w:r>
              <w:rPr>
                <w:rFonts w:hint="eastAsia" w:ascii="宋体" w:hAnsi="宋体"/>
                <w:sz w:val="24"/>
                <w:szCs w:val="24"/>
              </w:rPr>
              <w:t xml:space="preserve">履约信誉：    </w:t>
            </w:r>
            <w:r>
              <w:rPr>
                <w:rFonts w:hint="eastAsia" w:ascii="宋体" w:hAnsi="宋体"/>
                <w:sz w:val="24"/>
                <w:szCs w:val="24"/>
                <w:u w:val="single"/>
              </w:rPr>
              <w:t xml:space="preserve"> </w:t>
            </w:r>
            <w:r>
              <w:rPr>
                <w:rFonts w:ascii="宋体" w:hAnsi="宋体"/>
                <w:sz w:val="24"/>
                <w:szCs w:val="24"/>
                <w:u w:val="single"/>
              </w:rPr>
              <w:t xml:space="preserve"> 5</w:t>
            </w:r>
            <w:r>
              <w:rPr>
                <w:rFonts w:hint="eastAsia" w:ascii="宋体" w:hAnsi="宋体"/>
                <w:sz w:val="24"/>
                <w:szCs w:val="24"/>
                <w:u w:val="single"/>
              </w:rPr>
              <w:t xml:space="preserve"> </w:t>
            </w:r>
            <w:r>
              <w:rPr>
                <w:rFonts w:hint="eastAsia" w:ascii="宋体" w:hAnsi="宋体"/>
                <w:sz w:val="24"/>
                <w:szCs w:val="24"/>
              </w:rPr>
              <w:t>分</w:t>
            </w:r>
          </w:p>
          <w:p>
            <w:pPr>
              <w:spacing w:line="320" w:lineRule="exact"/>
              <w:ind w:firstLine="173" w:firstLineChars="72"/>
              <w:rPr>
                <w:rFonts w:ascii="黑体" w:hAnsi="黑体" w:eastAsia="黑体"/>
                <w:b/>
                <w:bCs/>
                <w:sz w:val="24"/>
                <w:szCs w:val="24"/>
              </w:rPr>
            </w:pPr>
            <w:r>
              <w:rPr>
                <w:rFonts w:hint="eastAsia" w:ascii="黑体" w:hAnsi="黑体" w:eastAsia="黑体"/>
                <w:b/>
                <w:bCs/>
                <w:sz w:val="24"/>
                <w:szCs w:val="24"/>
              </w:rPr>
              <w:t>第二个信封（报价文件）评分分值构成：</w:t>
            </w:r>
          </w:p>
          <w:p>
            <w:pPr>
              <w:spacing w:line="320" w:lineRule="exact"/>
              <w:ind w:firstLine="172" w:firstLineChars="72"/>
              <w:rPr>
                <w:rFonts w:ascii="宋体" w:hAnsi="宋体"/>
                <w:sz w:val="24"/>
                <w:szCs w:val="24"/>
              </w:rPr>
            </w:pPr>
            <w:r>
              <w:rPr>
                <w:rFonts w:hint="eastAsia" w:ascii="宋体" w:hAnsi="宋体"/>
                <w:sz w:val="24"/>
                <w:szCs w:val="24"/>
              </w:rPr>
              <w:t xml:space="preserve">评标价： </w:t>
            </w:r>
            <w:r>
              <w:rPr>
                <w:rFonts w:ascii="宋体" w:hAnsi="宋体"/>
                <w:sz w:val="24"/>
                <w:szCs w:val="24"/>
              </w:rPr>
              <w:t xml:space="preserve">     </w:t>
            </w:r>
            <w:r>
              <w:rPr>
                <w:rFonts w:ascii="宋体" w:hAnsi="宋体"/>
                <w:sz w:val="24"/>
                <w:szCs w:val="24"/>
                <w:u w:val="single"/>
              </w:rPr>
              <w:t xml:space="preserve"> 10</w:t>
            </w:r>
            <w:r>
              <w:rPr>
                <w:rFonts w:hint="eastAsia" w:ascii="宋体" w:hAnsi="宋体"/>
                <w:sz w:val="24"/>
                <w:szCs w:val="24"/>
                <w:u w:val="single"/>
              </w:rPr>
              <w:t xml:space="preserve"> </w:t>
            </w:r>
            <w:r>
              <w:rPr>
                <w:rFonts w:hint="eastAsia" w:ascii="宋体" w:hAnsi="宋体"/>
                <w:sz w:val="24"/>
                <w:szCs w:val="24"/>
              </w:rPr>
              <w:t>分</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2113" w:hRule="atLeast"/>
          <w:jc w:val="center"/>
        </w:trPr>
        <w:tc>
          <w:tcPr>
            <w:tcW w:w="1047" w:type="dxa"/>
            <w:vAlign w:val="center"/>
          </w:tcPr>
          <w:p>
            <w:pPr>
              <w:jc w:val="center"/>
              <w:rPr>
                <w:rFonts w:ascii="宋体" w:hAnsi="宋体"/>
                <w:sz w:val="24"/>
                <w:szCs w:val="24"/>
              </w:rPr>
            </w:pPr>
            <w:r>
              <w:rPr>
                <w:rFonts w:hint="eastAsia" w:ascii="宋体" w:hAnsi="宋体"/>
                <w:sz w:val="24"/>
                <w:szCs w:val="24"/>
              </w:rPr>
              <w:t>2</w:t>
            </w:r>
            <w:r>
              <w:rPr>
                <w:rFonts w:ascii="宋体" w:hAnsi="宋体"/>
                <w:sz w:val="24"/>
                <w:szCs w:val="24"/>
              </w:rPr>
              <w:t>.2.2</w:t>
            </w:r>
          </w:p>
        </w:tc>
        <w:tc>
          <w:tcPr>
            <w:tcW w:w="1661" w:type="dxa"/>
            <w:vAlign w:val="center"/>
          </w:tcPr>
          <w:p>
            <w:pPr>
              <w:jc w:val="center"/>
              <w:rPr>
                <w:rFonts w:ascii="宋体" w:hAnsi="宋体"/>
                <w:sz w:val="24"/>
                <w:szCs w:val="24"/>
              </w:rPr>
            </w:pPr>
            <w:r>
              <w:rPr>
                <w:rFonts w:hint="eastAsia" w:ascii="宋体" w:hAnsi="宋体"/>
                <w:sz w:val="24"/>
                <w:szCs w:val="24"/>
              </w:rPr>
              <w:t>评标基准价计算方法</w:t>
            </w:r>
          </w:p>
        </w:tc>
        <w:tc>
          <w:tcPr>
            <w:tcW w:w="5823" w:type="dxa"/>
            <w:vAlign w:val="center"/>
          </w:tcPr>
          <w:p>
            <w:pPr>
              <w:spacing w:line="320" w:lineRule="exact"/>
              <w:ind w:firstLine="173" w:firstLineChars="72"/>
              <w:rPr>
                <w:rFonts w:ascii="宋体" w:hAnsi="宋体"/>
                <w:b/>
                <w:bCs/>
                <w:sz w:val="24"/>
                <w:szCs w:val="24"/>
              </w:rPr>
            </w:pPr>
            <w:r>
              <w:rPr>
                <w:rFonts w:hint="eastAsia" w:ascii="宋体" w:hAnsi="宋体"/>
                <w:b/>
                <w:bCs/>
                <w:sz w:val="24"/>
                <w:szCs w:val="24"/>
              </w:rPr>
              <w:t>评标基准价的计算：</w:t>
            </w:r>
          </w:p>
          <w:p>
            <w:pPr>
              <w:spacing w:line="320" w:lineRule="exact"/>
              <w:ind w:firstLine="172" w:firstLineChars="72"/>
              <w:rPr>
                <w:rFonts w:ascii="宋体" w:hAnsi="宋体"/>
                <w:sz w:val="24"/>
                <w:szCs w:val="24"/>
              </w:rPr>
            </w:pPr>
            <w:r>
              <w:rPr>
                <w:rFonts w:hint="eastAsia" w:ascii="宋体" w:hAnsi="宋体"/>
                <w:sz w:val="24"/>
                <w:szCs w:val="24"/>
              </w:rPr>
              <w:t>在开标现场，招标人将当场计算并宣布评标基准价。</w:t>
            </w:r>
          </w:p>
          <w:p>
            <w:pPr>
              <w:spacing w:line="320" w:lineRule="exact"/>
              <w:ind w:firstLine="173" w:firstLineChars="72"/>
              <w:rPr>
                <w:rFonts w:ascii="宋体" w:hAnsi="宋体"/>
                <w:b/>
                <w:bCs/>
                <w:sz w:val="24"/>
                <w:szCs w:val="24"/>
              </w:rPr>
            </w:pPr>
            <w:r>
              <w:rPr>
                <w:rFonts w:hint="eastAsia" w:ascii="宋体" w:hAnsi="宋体"/>
                <w:b/>
                <w:bCs/>
                <w:sz w:val="24"/>
                <w:szCs w:val="24"/>
              </w:rPr>
              <w:t>（1）评标价的确定：</w:t>
            </w:r>
          </w:p>
          <w:p>
            <w:pPr>
              <w:spacing w:line="320" w:lineRule="exact"/>
              <w:ind w:firstLine="172" w:firstLineChars="72"/>
              <w:rPr>
                <w:rFonts w:ascii="宋体" w:hAnsi="宋体"/>
                <w:sz w:val="24"/>
                <w:szCs w:val="24"/>
              </w:rPr>
            </w:pPr>
            <w:r>
              <w:rPr>
                <w:rFonts w:hint="eastAsia" w:ascii="宋体" w:hAnsi="宋体"/>
                <w:sz w:val="24"/>
                <w:szCs w:val="24"/>
              </w:rPr>
              <w:t>评标价＝投标函文字报价</w:t>
            </w:r>
          </w:p>
          <w:p>
            <w:pPr>
              <w:spacing w:line="320" w:lineRule="exact"/>
              <w:ind w:firstLine="173" w:firstLineChars="72"/>
              <w:rPr>
                <w:rFonts w:ascii="宋体" w:hAnsi="宋体"/>
                <w:b/>
                <w:bCs/>
                <w:sz w:val="24"/>
                <w:szCs w:val="24"/>
              </w:rPr>
            </w:pPr>
            <w:r>
              <w:rPr>
                <w:rFonts w:hint="eastAsia" w:ascii="宋体" w:hAnsi="宋体"/>
                <w:b/>
                <w:bCs/>
                <w:sz w:val="24"/>
                <w:szCs w:val="24"/>
              </w:rPr>
              <w:t>（2）评标价平均值的计算：</w:t>
            </w:r>
          </w:p>
          <w:p>
            <w:pPr>
              <w:spacing w:line="320" w:lineRule="exact"/>
              <w:ind w:firstLine="172" w:firstLineChars="72"/>
              <w:rPr>
                <w:rFonts w:ascii="宋体" w:hAnsi="宋体"/>
                <w:sz w:val="24"/>
                <w:szCs w:val="24"/>
              </w:rPr>
            </w:pPr>
            <w:r>
              <w:rPr>
                <w:rFonts w:hint="eastAsia" w:ascii="宋体" w:hAnsi="宋体"/>
                <w:sz w:val="24"/>
                <w:szCs w:val="24"/>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20" w:lineRule="exact"/>
              <w:ind w:firstLine="173" w:firstLineChars="72"/>
              <w:rPr>
                <w:rFonts w:ascii="宋体" w:hAnsi="宋体"/>
                <w:b/>
                <w:bCs/>
                <w:sz w:val="24"/>
                <w:szCs w:val="24"/>
              </w:rPr>
            </w:pPr>
            <w:r>
              <w:rPr>
                <w:rFonts w:hint="eastAsia" w:ascii="宋体" w:hAnsi="宋体"/>
                <w:b/>
                <w:bCs/>
                <w:sz w:val="24"/>
                <w:szCs w:val="24"/>
              </w:rPr>
              <w:t>（3）评标基准价的确定：</w:t>
            </w:r>
          </w:p>
          <w:p>
            <w:pPr>
              <w:spacing w:line="320" w:lineRule="exact"/>
              <w:ind w:firstLine="172" w:firstLineChars="72"/>
              <w:rPr>
                <w:rFonts w:ascii="宋体" w:hAnsi="宋体"/>
                <w:sz w:val="24"/>
                <w:szCs w:val="24"/>
              </w:rPr>
            </w:pPr>
            <w:r>
              <w:rPr>
                <w:rFonts w:hint="eastAsia" w:ascii="宋体" w:hAnsi="宋体"/>
                <w:sz w:val="24"/>
                <w:szCs w:val="24"/>
              </w:rPr>
              <w:t>将评标价平均值直接作为评标基准价。</w:t>
            </w:r>
          </w:p>
          <w:p>
            <w:pPr>
              <w:spacing w:line="320" w:lineRule="exact"/>
              <w:ind w:firstLine="172" w:firstLineChars="72"/>
              <w:rPr>
                <w:rFonts w:ascii="宋体" w:hAnsi="宋体"/>
                <w:sz w:val="24"/>
                <w:szCs w:val="24"/>
              </w:rPr>
            </w:pPr>
            <w:r>
              <w:rPr>
                <w:rFonts w:hint="eastAsia" w:ascii="宋体" w:hAnsi="宋体"/>
                <w:sz w:val="24"/>
                <w:szCs w:val="24"/>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1063" w:hRule="atLeast"/>
          <w:jc w:val="center"/>
        </w:trPr>
        <w:tc>
          <w:tcPr>
            <w:tcW w:w="1047" w:type="dxa"/>
            <w:vAlign w:val="center"/>
          </w:tcPr>
          <w:p>
            <w:pPr>
              <w:jc w:val="center"/>
              <w:rPr>
                <w:rFonts w:ascii="宋体" w:hAnsi="宋体"/>
                <w:sz w:val="24"/>
                <w:szCs w:val="24"/>
              </w:rPr>
            </w:pPr>
            <w:r>
              <w:rPr>
                <w:rFonts w:hint="eastAsia" w:ascii="宋体" w:hAnsi="宋体"/>
                <w:sz w:val="24"/>
                <w:szCs w:val="24"/>
              </w:rPr>
              <w:t>2</w:t>
            </w:r>
            <w:r>
              <w:rPr>
                <w:rFonts w:ascii="宋体" w:hAnsi="宋体"/>
                <w:sz w:val="24"/>
                <w:szCs w:val="24"/>
              </w:rPr>
              <w:t>.2.3</w:t>
            </w:r>
          </w:p>
        </w:tc>
        <w:tc>
          <w:tcPr>
            <w:tcW w:w="1661" w:type="dxa"/>
            <w:vAlign w:val="center"/>
          </w:tcPr>
          <w:p>
            <w:pPr>
              <w:jc w:val="center"/>
              <w:rPr>
                <w:rFonts w:ascii="宋体" w:hAnsi="宋体"/>
                <w:sz w:val="24"/>
                <w:szCs w:val="24"/>
              </w:rPr>
            </w:pPr>
            <w:r>
              <w:rPr>
                <w:rFonts w:hint="eastAsia" w:ascii="宋体" w:hAnsi="宋体"/>
                <w:sz w:val="24"/>
                <w:szCs w:val="24"/>
              </w:rPr>
              <w:t>评标价的偏差率计算公式</w:t>
            </w:r>
          </w:p>
        </w:tc>
        <w:tc>
          <w:tcPr>
            <w:tcW w:w="5823" w:type="dxa"/>
            <w:vAlign w:val="center"/>
          </w:tcPr>
          <w:p>
            <w:pPr>
              <w:spacing w:line="320" w:lineRule="exact"/>
              <w:ind w:firstLine="172" w:firstLineChars="72"/>
              <w:rPr>
                <w:rFonts w:ascii="宋体" w:hAnsi="宋体"/>
                <w:sz w:val="24"/>
                <w:szCs w:val="24"/>
              </w:rPr>
            </w:pPr>
            <w:r>
              <w:rPr>
                <w:rFonts w:hint="eastAsia" w:ascii="宋体" w:hAnsi="宋体"/>
                <w:sz w:val="24"/>
                <w:szCs w:val="24"/>
              </w:rPr>
              <w:t xml:space="preserve">偏差率=100%×（投标人评标价－评标基准价）/评标基准价 </w:t>
            </w:r>
          </w:p>
          <w:p>
            <w:pPr>
              <w:spacing w:line="320" w:lineRule="exact"/>
              <w:ind w:firstLine="172" w:firstLineChars="72"/>
              <w:rPr>
                <w:rFonts w:ascii="宋体" w:hAnsi="宋体"/>
                <w:sz w:val="24"/>
                <w:szCs w:val="24"/>
              </w:rPr>
            </w:pPr>
            <w:r>
              <w:rPr>
                <w:rFonts w:hint="eastAsia" w:ascii="宋体" w:hAnsi="宋体"/>
                <w:sz w:val="24"/>
                <w:szCs w:val="24"/>
              </w:rPr>
              <w:t>偏差率保留</w:t>
            </w:r>
            <w:r>
              <w:rPr>
                <w:rFonts w:hint="eastAsia" w:ascii="宋体" w:hAnsi="宋体"/>
                <w:b/>
                <w:bCs/>
                <w:sz w:val="24"/>
                <w:szCs w:val="24"/>
                <w:u w:val="single"/>
              </w:rPr>
              <w:t xml:space="preserve"> </w:t>
            </w:r>
            <w:r>
              <w:rPr>
                <w:rFonts w:ascii="宋体" w:hAnsi="宋体"/>
                <w:b/>
                <w:bCs/>
                <w:sz w:val="24"/>
                <w:szCs w:val="24"/>
                <w:u w:val="single"/>
              </w:rPr>
              <w:t>2</w:t>
            </w:r>
            <w:r>
              <w:rPr>
                <w:rFonts w:hint="eastAsia" w:ascii="宋体" w:hAnsi="宋体"/>
                <w:b/>
                <w:bCs/>
                <w:sz w:val="24"/>
                <w:szCs w:val="24"/>
                <w:u w:val="single"/>
              </w:rPr>
              <w:t xml:space="preserve"> </w:t>
            </w:r>
            <w:r>
              <w:rPr>
                <w:rFonts w:hint="eastAsia" w:ascii="宋体" w:hAnsi="宋体"/>
                <w:sz w:val="24"/>
                <w:szCs w:val="24"/>
              </w:rPr>
              <w:t>位小数</w:t>
            </w:r>
          </w:p>
        </w:tc>
      </w:tr>
    </w:tbl>
    <w:p>
      <w:pPr>
        <w:widowControl/>
        <w:autoSpaceDE w:val="0"/>
        <w:autoSpaceDN w:val="0"/>
        <w:spacing w:line="440" w:lineRule="atLeast"/>
        <w:jc w:val="right"/>
        <w:textAlignment w:val="bottom"/>
        <w:rPr>
          <w:b/>
          <w:spacing w:val="30"/>
          <w:sz w:val="28"/>
        </w:rPr>
      </w:pPr>
    </w:p>
    <w:p>
      <w:pPr>
        <w:widowControl/>
        <w:autoSpaceDE w:val="0"/>
        <w:autoSpaceDN w:val="0"/>
        <w:spacing w:line="240" w:lineRule="auto"/>
        <w:jc w:val="right"/>
        <w:textAlignment w:val="bottom"/>
        <w:rPr>
          <w:b/>
          <w:spacing w:val="30"/>
          <w:sz w:val="24"/>
          <w:szCs w:val="24"/>
        </w:rPr>
      </w:pPr>
      <w:r>
        <w:rPr>
          <w:b/>
          <w:spacing w:val="30"/>
          <w:sz w:val="28"/>
        </w:rPr>
        <w:br w:type="page"/>
      </w:r>
      <w:r>
        <w:rPr>
          <w:rFonts w:hint="eastAsia"/>
          <w:b/>
          <w:spacing w:val="30"/>
          <w:sz w:val="24"/>
          <w:szCs w:val="24"/>
        </w:rPr>
        <w:t>续上表</w:t>
      </w:r>
    </w:p>
    <w:tbl>
      <w:tblPr>
        <w:tblStyle w:val="36"/>
        <w:tblW w:w="9261" w:type="dxa"/>
        <w:jc w:val="center"/>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Layout w:type="fixed"/>
        <w:tblCellMar>
          <w:top w:w="0" w:type="dxa"/>
          <w:left w:w="108" w:type="dxa"/>
          <w:bottom w:w="0" w:type="dxa"/>
          <w:right w:w="108" w:type="dxa"/>
        </w:tblCellMar>
      </w:tblPr>
      <w:tblGrid>
        <w:gridCol w:w="876"/>
        <w:gridCol w:w="499"/>
        <w:gridCol w:w="708"/>
        <w:gridCol w:w="1134"/>
        <w:gridCol w:w="1616"/>
        <w:gridCol w:w="851"/>
        <w:gridCol w:w="3577"/>
      </w:tblGrid>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334" w:hRule="atLeast"/>
          <w:jc w:val="center"/>
        </w:trPr>
        <w:tc>
          <w:tcPr>
            <w:tcW w:w="5684" w:type="dxa"/>
            <w:gridSpan w:val="6"/>
            <w:vAlign w:val="center"/>
          </w:tcPr>
          <w:p>
            <w:pPr>
              <w:spacing w:line="240" w:lineRule="auto"/>
              <w:jc w:val="center"/>
              <w:rPr>
                <w:rFonts w:ascii="宋体" w:hAnsi="宋体"/>
                <w:b/>
                <w:bCs/>
              </w:rPr>
            </w:pPr>
            <w:r>
              <w:rPr>
                <w:rFonts w:hint="eastAsia" w:ascii="宋体" w:hAnsi="宋体"/>
                <w:b/>
                <w:bCs/>
              </w:rPr>
              <w:t>评分因素与权重分值</w:t>
            </w:r>
            <w:r>
              <w:rPr>
                <w:rStyle w:val="44"/>
                <w:rFonts w:ascii="宋体" w:hAnsi="宋体"/>
                <w:b/>
                <w:bCs/>
              </w:rPr>
              <w:footnoteReference w:id="0"/>
            </w:r>
          </w:p>
        </w:tc>
        <w:tc>
          <w:tcPr>
            <w:tcW w:w="3577" w:type="dxa"/>
            <w:vMerge w:val="restart"/>
            <w:vAlign w:val="center"/>
          </w:tcPr>
          <w:p>
            <w:pPr>
              <w:spacing w:line="240" w:lineRule="auto"/>
              <w:jc w:val="center"/>
              <w:rPr>
                <w:rFonts w:ascii="宋体" w:hAnsi="宋体"/>
                <w:b/>
                <w:bCs/>
              </w:rPr>
            </w:pPr>
            <w:r>
              <w:rPr>
                <w:rFonts w:hint="eastAsia" w:ascii="宋体" w:hAnsi="宋体"/>
                <w:b/>
                <w:bCs/>
              </w:rPr>
              <w:t>评分标准</w:t>
            </w:r>
            <w:r>
              <w:rPr>
                <w:rStyle w:val="44"/>
                <w:rFonts w:ascii="宋体" w:hAnsi="宋体"/>
                <w:b/>
                <w:bCs/>
              </w:rPr>
              <w:footnoteReference w:id="1"/>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563" w:hRule="atLeast"/>
          <w:jc w:val="center"/>
        </w:trPr>
        <w:tc>
          <w:tcPr>
            <w:tcW w:w="876" w:type="dxa"/>
            <w:vAlign w:val="center"/>
          </w:tcPr>
          <w:p>
            <w:pPr>
              <w:spacing w:line="240" w:lineRule="auto"/>
              <w:jc w:val="center"/>
              <w:rPr>
                <w:rFonts w:ascii="宋体" w:hAnsi="宋体"/>
                <w:b/>
                <w:bCs/>
              </w:rPr>
            </w:pPr>
            <w:r>
              <w:rPr>
                <w:rFonts w:hint="eastAsia" w:ascii="宋体" w:hAnsi="宋体"/>
                <w:b/>
                <w:bCs/>
              </w:rPr>
              <w:t>条款号</w:t>
            </w:r>
          </w:p>
        </w:tc>
        <w:tc>
          <w:tcPr>
            <w:tcW w:w="1207" w:type="dxa"/>
            <w:gridSpan w:val="2"/>
            <w:vAlign w:val="center"/>
          </w:tcPr>
          <w:p>
            <w:pPr>
              <w:spacing w:line="240" w:lineRule="auto"/>
              <w:jc w:val="center"/>
              <w:rPr>
                <w:rFonts w:ascii="宋体" w:hAnsi="宋体"/>
                <w:b/>
                <w:bCs/>
              </w:rPr>
            </w:pPr>
            <w:r>
              <w:rPr>
                <w:rFonts w:hint="eastAsia" w:ascii="宋体" w:hAnsi="宋体"/>
                <w:b/>
                <w:bCs/>
              </w:rPr>
              <w:t>评分因素</w:t>
            </w:r>
          </w:p>
        </w:tc>
        <w:tc>
          <w:tcPr>
            <w:tcW w:w="1134" w:type="dxa"/>
            <w:vAlign w:val="center"/>
          </w:tcPr>
          <w:p>
            <w:pPr>
              <w:spacing w:line="240" w:lineRule="auto"/>
              <w:jc w:val="center"/>
              <w:rPr>
                <w:rFonts w:ascii="宋体" w:hAnsi="宋体"/>
                <w:b/>
                <w:bCs/>
              </w:rPr>
            </w:pPr>
            <w:r>
              <w:rPr>
                <w:rFonts w:hint="eastAsia" w:ascii="宋体" w:hAnsi="宋体"/>
                <w:b/>
                <w:bCs/>
              </w:rPr>
              <w:t>评分因素</w:t>
            </w:r>
          </w:p>
          <w:p>
            <w:pPr>
              <w:spacing w:line="240" w:lineRule="auto"/>
              <w:jc w:val="center"/>
              <w:rPr>
                <w:rFonts w:ascii="宋体" w:hAnsi="宋体"/>
                <w:b/>
                <w:bCs/>
              </w:rPr>
            </w:pPr>
            <w:r>
              <w:rPr>
                <w:rFonts w:hint="eastAsia" w:ascii="宋体" w:hAnsi="宋体"/>
                <w:b/>
                <w:bCs/>
              </w:rPr>
              <w:t>权重分值</w:t>
            </w:r>
          </w:p>
        </w:tc>
        <w:tc>
          <w:tcPr>
            <w:tcW w:w="1616" w:type="dxa"/>
            <w:vAlign w:val="center"/>
          </w:tcPr>
          <w:p>
            <w:pPr>
              <w:spacing w:line="240" w:lineRule="auto"/>
              <w:jc w:val="center"/>
              <w:rPr>
                <w:rFonts w:ascii="宋体" w:hAnsi="宋体"/>
                <w:b/>
                <w:bCs/>
              </w:rPr>
            </w:pPr>
            <w:r>
              <w:rPr>
                <w:rFonts w:hint="eastAsia" w:ascii="宋体" w:hAnsi="宋体"/>
                <w:b/>
                <w:bCs/>
              </w:rPr>
              <w:t>各评分因素</w:t>
            </w:r>
          </w:p>
          <w:p>
            <w:pPr>
              <w:spacing w:line="240" w:lineRule="auto"/>
              <w:jc w:val="center"/>
              <w:rPr>
                <w:rFonts w:ascii="宋体" w:hAnsi="宋体"/>
                <w:b/>
                <w:bCs/>
              </w:rPr>
            </w:pPr>
            <w:r>
              <w:rPr>
                <w:rFonts w:hint="eastAsia" w:ascii="宋体" w:hAnsi="宋体"/>
                <w:b/>
                <w:bCs/>
              </w:rPr>
              <w:t>细分项</w:t>
            </w:r>
          </w:p>
        </w:tc>
        <w:tc>
          <w:tcPr>
            <w:tcW w:w="851" w:type="dxa"/>
            <w:vAlign w:val="center"/>
          </w:tcPr>
          <w:p>
            <w:pPr>
              <w:spacing w:line="240" w:lineRule="auto"/>
              <w:jc w:val="center"/>
              <w:rPr>
                <w:rFonts w:ascii="宋体" w:hAnsi="宋体"/>
                <w:b/>
                <w:bCs/>
              </w:rPr>
            </w:pPr>
            <w:r>
              <w:rPr>
                <w:rFonts w:hint="eastAsia" w:ascii="宋体" w:hAnsi="宋体"/>
                <w:b/>
                <w:bCs/>
              </w:rPr>
              <w:t>分值</w:t>
            </w:r>
          </w:p>
        </w:tc>
        <w:tc>
          <w:tcPr>
            <w:tcW w:w="3577" w:type="dxa"/>
            <w:vMerge w:val="continue"/>
            <w:vAlign w:val="center"/>
          </w:tcPr>
          <w:p>
            <w:pPr>
              <w:widowControl/>
              <w:spacing w:line="240" w:lineRule="auto"/>
              <w:rPr>
                <w:rFonts w:ascii="宋体" w:hAnsi="宋体"/>
                <w:b/>
                <w:bCs/>
                <w:kern w:val="2"/>
                <w:szCs w:val="21"/>
              </w:rPr>
            </w:pP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876" w:type="dxa"/>
            <w:vMerge w:val="restart"/>
            <w:vAlign w:val="center"/>
          </w:tcPr>
          <w:p>
            <w:pPr>
              <w:spacing w:line="240" w:lineRule="auto"/>
              <w:jc w:val="center"/>
              <w:rPr>
                <w:rFonts w:ascii="宋体" w:hAnsi="宋体"/>
              </w:rPr>
            </w:pPr>
            <w:r>
              <w:rPr>
                <w:rFonts w:hint="eastAsia" w:ascii="宋体" w:hAnsi="宋体"/>
              </w:rPr>
              <w:t>2.2.</w:t>
            </w:r>
            <w:r>
              <w:rPr>
                <w:rFonts w:ascii="宋体" w:hAnsi="宋体"/>
              </w:rPr>
              <w:t>4</w:t>
            </w:r>
          </w:p>
          <w:p>
            <w:pPr>
              <w:spacing w:line="240" w:lineRule="auto"/>
              <w:jc w:val="center"/>
              <w:rPr>
                <w:rFonts w:ascii="宋体" w:hAnsi="宋体"/>
              </w:rPr>
            </w:pPr>
            <w:r>
              <w:rPr>
                <w:rFonts w:hint="eastAsia" w:ascii="宋体" w:hAnsi="宋体"/>
              </w:rPr>
              <w:t>（1）</w:t>
            </w:r>
          </w:p>
        </w:tc>
        <w:tc>
          <w:tcPr>
            <w:tcW w:w="1207" w:type="dxa"/>
            <w:gridSpan w:val="2"/>
            <w:vMerge w:val="restart"/>
            <w:vAlign w:val="center"/>
          </w:tcPr>
          <w:p>
            <w:pPr>
              <w:spacing w:line="240" w:lineRule="auto"/>
              <w:ind w:left="-173" w:right="-111"/>
              <w:jc w:val="center"/>
              <w:rPr>
                <w:rFonts w:ascii="宋体" w:hAnsi="宋体"/>
              </w:rPr>
            </w:pPr>
            <w:r>
              <w:rPr>
                <w:rFonts w:hint="eastAsia" w:ascii="宋体" w:hAnsi="宋体"/>
              </w:rPr>
              <w:t>技术建议书</w:t>
            </w:r>
          </w:p>
        </w:tc>
        <w:tc>
          <w:tcPr>
            <w:tcW w:w="1134" w:type="dxa"/>
            <w:vMerge w:val="restart"/>
            <w:vAlign w:val="center"/>
          </w:tcPr>
          <w:p>
            <w:pPr>
              <w:spacing w:line="240" w:lineRule="auto"/>
              <w:jc w:val="center"/>
              <w:rPr>
                <w:rFonts w:ascii="宋体" w:hAnsi="宋体"/>
              </w:rPr>
            </w:pPr>
            <w:r>
              <w:rPr>
                <w:rFonts w:ascii="宋体" w:hAnsi="宋体"/>
                <w:u w:val="single"/>
              </w:rPr>
              <w:t xml:space="preserve"> 35</w:t>
            </w:r>
            <w:r>
              <w:rPr>
                <w:rFonts w:hint="eastAsia" w:ascii="宋体" w:hAnsi="宋体"/>
                <w:u w:val="single"/>
              </w:rPr>
              <w:t xml:space="preserve"> </w:t>
            </w:r>
            <w:r>
              <w:rPr>
                <w:rFonts w:hint="eastAsia" w:ascii="宋体" w:hAnsi="宋体"/>
              </w:rPr>
              <w:t>分</w:t>
            </w:r>
          </w:p>
        </w:tc>
        <w:tc>
          <w:tcPr>
            <w:tcW w:w="1616" w:type="dxa"/>
            <w:vAlign w:val="center"/>
          </w:tcPr>
          <w:p>
            <w:pPr>
              <w:spacing w:line="240" w:lineRule="auto"/>
              <w:ind w:left="113" w:right="113"/>
              <w:rPr>
                <w:rFonts w:ascii="宋体" w:hAnsi="宋体"/>
                <w:szCs w:val="21"/>
              </w:rPr>
            </w:pPr>
            <w:r>
              <w:rPr>
                <w:rFonts w:hint="eastAsia" w:ascii="宋体" w:hAnsi="宋体"/>
                <w:szCs w:val="21"/>
              </w:rPr>
              <w:t>服务大纲和</w:t>
            </w:r>
            <w:r>
              <w:rPr>
                <w:rFonts w:hint="eastAsia" w:ascii="宋体" w:hAnsi="宋体"/>
                <w:szCs w:val="21"/>
                <w:lang w:val="en-US" w:eastAsia="zh-CN"/>
              </w:rPr>
              <w:t>工作</w:t>
            </w:r>
            <w:r>
              <w:rPr>
                <w:rFonts w:hint="eastAsia" w:ascii="宋体" w:hAnsi="宋体"/>
                <w:szCs w:val="21"/>
              </w:rPr>
              <w:t>措施</w:t>
            </w:r>
          </w:p>
        </w:tc>
        <w:tc>
          <w:tcPr>
            <w:tcW w:w="851" w:type="dxa"/>
            <w:vAlign w:val="center"/>
          </w:tcPr>
          <w:p>
            <w:pPr>
              <w:spacing w:line="240" w:lineRule="auto"/>
              <w:jc w:val="cente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12</w:t>
            </w:r>
            <w:r>
              <w:rPr>
                <w:rFonts w:ascii="宋体" w:hAnsi="宋体"/>
                <w:szCs w:val="21"/>
                <w:u w:val="single"/>
              </w:rPr>
              <w:t xml:space="preserve"> </w:t>
            </w:r>
            <w:r>
              <w:rPr>
                <w:rFonts w:hint="eastAsia" w:ascii="宋体" w:hAnsi="宋体"/>
                <w:szCs w:val="21"/>
              </w:rPr>
              <w:t>分</w:t>
            </w:r>
          </w:p>
        </w:tc>
        <w:tc>
          <w:tcPr>
            <w:tcW w:w="3577" w:type="dxa"/>
            <w:vAlign w:val="center"/>
          </w:tcPr>
          <w:p>
            <w:pPr>
              <w:spacing w:line="240" w:lineRule="auto"/>
              <w:rPr>
                <w:rFonts w:ascii="宋体" w:hAnsi="宋体"/>
                <w:szCs w:val="21"/>
              </w:rPr>
            </w:pPr>
            <w:r>
              <w:rPr>
                <w:rFonts w:hint="eastAsia" w:ascii="宋体" w:hAnsi="宋体"/>
                <w:szCs w:val="21"/>
              </w:rPr>
              <w:t>根据服务大纲的先进性、适用性，工作措施和工作计划的科学、合理性，能否满足标段工作要求等进行评分，一般得</w:t>
            </w:r>
            <w:r>
              <w:rPr>
                <w:rFonts w:hint="eastAsia" w:ascii="宋体" w:hAnsi="宋体"/>
                <w:szCs w:val="21"/>
                <w:lang w:val="en-US" w:eastAsia="zh-CN"/>
              </w:rPr>
              <w:t>7.2</w:t>
            </w:r>
            <w:r>
              <w:rPr>
                <w:rFonts w:hint="eastAsia" w:ascii="宋体" w:hAnsi="宋体"/>
                <w:szCs w:val="21"/>
              </w:rPr>
              <w:t>-</w:t>
            </w:r>
            <w:r>
              <w:rPr>
                <w:rFonts w:hint="eastAsia" w:ascii="宋体" w:hAnsi="宋体"/>
                <w:szCs w:val="21"/>
                <w:lang w:val="en-US" w:eastAsia="zh-CN"/>
              </w:rPr>
              <w:t>8.5</w:t>
            </w:r>
            <w:r>
              <w:rPr>
                <w:rFonts w:hint="eastAsia" w:ascii="宋体" w:hAnsi="宋体"/>
                <w:szCs w:val="21"/>
              </w:rPr>
              <w:t>分，较好得</w:t>
            </w:r>
            <w:r>
              <w:rPr>
                <w:rFonts w:hint="eastAsia" w:ascii="宋体" w:hAnsi="宋体"/>
                <w:szCs w:val="21"/>
                <w:lang w:val="en-US" w:eastAsia="zh-CN"/>
              </w:rPr>
              <w:t>8.5</w:t>
            </w:r>
            <w:r>
              <w:rPr>
                <w:rFonts w:hint="eastAsia" w:ascii="宋体" w:hAnsi="宋体"/>
                <w:szCs w:val="21"/>
              </w:rPr>
              <w:t>-</w:t>
            </w:r>
            <w:r>
              <w:rPr>
                <w:rFonts w:hint="eastAsia" w:ascii="宋体" w:hAnsi="宋体"/>
                <w:szCs w:val="21"/>
                <w:lang w:val="en-US" w:eastAsia="zh-CN"/>
              </w:rPr>
              <w:t>10</w:t>
            </w:r>
            <w:r>
              <w:rPr>
                <w:rFonts w:hint="eastAsia" w:ascii="宋体" w:hAnsi="宋体"/>
                <w:szCs w:val="21"/>
              </w:rPr>
              <w:t>分，好得</w:t>
            </w:r>
            <w:r>
              <w:rPr>
                <w:rFonts w:hint="eastAsia" w:ascii="宋体" w:hAnsi="宋体"/>
                <w:szCs w:val="21"/>
                <w:lang w:val="en-US" w:eastAsia="zh-CN"/>
              </w:rPr>
              <w:t>10</w:t>
            </w:r>
            <w:r>
              <w:rPr>
                <w:rFonts w:hint="eastAsia" w:ascii="宋体" w:hAnsi="宋体"/>
                <w:szCs w:val="21"/>
              </w:rPr>
              <w:t>-</w:t>
            </w:r>
            <w:r>
              <w:rPr>
                <w:rFonts w:ascii="宋体" w:hAnsi="宋体"/>
                <w:szCs w:val="21"/>
              </w:rPr>
              <w:t>1</w:t>
            </w:r>
            <w:r>
              <w:rPr>
                <w:rFonts w:hint="eastAsia" w:ascii="宋体" w:hAnsi="宋体"/>
                <w:szCs w:val="21"/>
                <w:lang w:val="en-US" w:eastAsia="zh-CN"/>
              </w:rPr>
              <w:t>2</w:t>
            </w:r>
            <w:r>
              <w:rPr>
                <w:rFonts w:hint="eastAsia" w:ascii="宋体" w:hAnsi="宋体"/>
                <w:szCs w:val="21"/>
              </w:rPr>
              <w:t>分</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701" w:hRule="atLeast"/>
          <w:jc w:val="center"/>
        </w:trPr>
        <w:tc>
          <w:tcPr>
            <w:tcW w:w="876" w:type="dxa"/>
            <w:vMerge w:val="continue"/>
            <w:vAlign w:val="center"/>
          </w:tcPr>
          <w:p>
            <w:pPr>
              <w:widowControl/>
              <w:spacing w:line="240" w:lineRule="auto"/>
              <w:rPr>
                <w:rFonts w:ascii="宋体" w:hAnsi="宋体"/>
                <w:kern w:val="2"/>
                <w:szCs w:val="21"/>
              </w:rPr>
            </w:pPr>
          </w:p>
        </w:tc>
        <w:tc>
          <w:tcPr>
            <w:tcW w:w="1207" w:type="dxa"/>
            <w:gridSpan w:val="2"/>
            <w:vMerge w:val="continue"/>
            <w:vAlign w:val="center"/>
          </w:tcPr>
          <w:p>
            <w:pPr>
              <w:widowControl/>
              <w:spacing w:line="240" w:lineRule="auto"/>
              <w:rPr>
                <w:rFonts w:ascii="宋体" w:hAnsi="宋体"/>
                <w:kern w:val="2"/>
                <w:szCs w:val="21"/>
              </w:rPr>
            </w:pPr>
          </w:p>
        </w:tc>
        <w:tc>
          <w:tcPr>
            <w:tcW w:w="1134" w:type="dxa"/>
            <w:vMerge w:val="continue"/>
            <w:vAlign w:val="center"/>
          </w:tcPr>
          <w:p>
            <w:pPr>
              <w:widowControl/>
              <w:spacing w:line="240" w:lineRule="auto"/>
              <w:rPr>
                <w:rFonts w:ascii="宋体" w:hAnsi="宋体"/>
                <w:kern w:val="2"/>
                <w:szCs w:val="21"/>
              </w:rPr>
            </w:pPr>
          </w:p>
        </w:tc>
        <w:tc>
          <w:tcPr>
            <w:tcW w:w="1616" w:type="dxa"/>
            <w:vAlign w:val="center"/>
          </w:tcPr>
          <w:p>
            <w:pPr>
              <w:spacing w:line="240" w:lineRule="auto"/>
              <w:ind w:left="113" w:right="-79"/>
              <w:rPr>
                <w:rFonts w:ascii="宋体" w:hAnsi="宋体"/>
                <w:szCs w:val="21"/>
              </w:rPr>
            </w:pPr>
            <w:r>
              <w:rPr>
                <w:rFonts w:hint="eastAsia" w:ascii="宋体" w:hAnsi="宋体"/>
                <w:szCs w:val="21"/>
              </w:rPr>
              <w:t>本工程</w:t>
            </w:r>
            <w:r>
              <w:rPr>
                <w:rFonts w:hint="eastAsia" w:ascii="宋体" w:hAnsi="宋体"/>
                <w:szCs w:val="21"/>
                <w:lang w:val="en-US" w:eastAsia="zh-CN"/>
              </w:rPr>
              <w:t>监测、</w:t>
            </w:r>
            <w:r>
              <w:rPr>
                <w:rFonts w:hint="eastAsia" w:ascii="宋体" w:hAnsi="宋体"/>
                <w:szCs w:val="21"/>
              </w:rPr>
              <w:t>检测工作的重点与难点分析</w:t>
            </w:r>
          </w:p>
        </w:tc>
        <w:tc>
          <w:tcPr>
            <w:tcW w:w="851" w:type="dxa"/>
            <w:vAlign w:val="center"/>
          </w:tcPr>
          <w:p>
            <w:pPr>
              <w:spacing w:line="240" w:lineRule="auto"/>
              <w:jc w:val="cente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18</w:t>
            </w:r>
            <w:r>
              <w:rPr>
                <w:rFonts w:ascii="宋体" w:hAnsi="宋体"/>
                <w:szCs w:val="21"/>
                <w:u w:val="single"/>
              </w:rPr>
              <w:t xml:space="preserve"> </w:t>
            </w:r>
            <w:r>
              <w:rPr>
                <w:rFonts w:hint="eastAsia" w:ascii="宋体" w:hAnsi="宋体"/>
                <w:szCs w:val="21"/>
              </w:rPr>
              <w:t>分</w:t>
            </w:r>
          </w:p>
        </w:tc>
        <w:tc>
          <w:tcPr>
            <w:tcW w:w="3577" w:type="dxa"/>
            <w:vAlign w:val="center"/>
          </w:tcPr>
          <w:p>
            <w:pPr>
              <w:spacing w:line="240" w:lineRule="auto"/>
              <w:rPr>
                <w:rFonts w:ascii="宋体" w:hAnsi="宋体"/>
                <w:szCs w:val="21"/>
              </w:rPr>
            </w:pPr>
            <w:r>
              <w:rPr>
                <w:rFonts w:hint="eastAsia" w:ascii="宋体" w:hAnsi="宋体"/>
                <w:szCs w:val="21"/>
              </w:rPr>
              <w:t>根据对监测、检测工作重点和难点是否考虑全面，对应措施是否合理有效，一般得</w:t>
            </w:r>
            <w:r>
              <w:rPr>
                <w:rFonts w:hint="eastAsia" w:ascii="宋体" w:hAnsi="宋体"/>
                <w:szCs w:val="21"/>
                <w:lang w:val="en-US" w:eastAsia="zh-CN"/>
              </w:rPr>
              <w:t>10.8</w:t>
            </w:r>
            <w:r>
              <w:rPr>
                <w:rFonts w:hint="eastAsia" w:ascii="宋体" w:hAnsi="宋体"/>
                <w:szCs w:val="21"/>
              </w:rPr>
              <w:t>-</w:t>
            </w:r>
            <w:r>
              <w:rPr>
                <w:rFonts w:ascii="宋体" w:hAnsi="宋体"/>
                <w:szCs w:val="21"/>
              </w:rPr>
              <w:t>1</w:t>
            </w:r>
            <w:r>
              <w:rPr>
                <w:rFonts w:hint="eastAsia" w:ascii="宋体" w:hAnsi="宋体"/>
                <w:szCs w:val="21"/>
                <w:lang w:val="en-US" w:eastAsia="zh-CN"/>
              </w:rPr>
              <w:t>2</w:t>
            </w:r>
            <w:r>
              <w:rPr>
                <w:rFonts w:hint="eastAsia" w:ascii="宋体" w:hAnsi="宋体"/>
                <w:szCs w:val="21"/>
              </w:rPr>
              <w:t>分，较好得</w:t>
            </w:r>
            <w:r>
              <w:rPr>
                <w:rFonts w:ascii="宋体" w:hAnsi="宋体"/>
                <w:szCs w:val="21"/>
              </w:rPr>
              <w:t>1</w:t>
            </w:r>
            <w:r>
              <w:rPr>
                <w:rFonts w:hint="eastAsia" w:ascii="宋体" w:hAnsi="宋体"/>
                <w:szCs w:val="21"/>
                <w:lang w:val="en-US" w:eastAsia="zh-CN"/>
              </w:rPr>
              <w:t>2</w:t>
            </w:r>
            <w:r>
              <w:rPr>
                <w:rFonts w:hint="eastAsia" w:ascii="宋体" w:hAnsi="宋体"/>
                <w:szCs w:val="21"/>
              </w:rPr>
              <w:t>-</w:t>
            </w:r>
            <w:r>
              <w:rPr>
                <w:rFonts w:ascii="宋体" w:hAnsi="宋体"/>
                <w:szCs w:val="21"/>
              </w:rPr>
              <w:t>1</w:t>
            </w:r>
            <w:r>
              <w:rPr>
                <w:rFonts w:hint="eastAsia" w:ascii="宋体" w:hAnsi="宋体"/>
                <w:szCs w:val="21"/>
                <w:lang w:val="en-US" w:eastAsia="zh-CN"/>
              </w:rPr>
              <w:t>5</w:t>
            </w:r>
            <w:r>
              <w:rPr>
                <w:rFonts w:hint="eastAsia" w:ascii="宋体" w:hAnsi="宋体"/>
                <w:szCs w:val="21"/>
              </w:rPr>
              <w:t>分，好得</w:t>
            </w:r>
            <w:r>
              <w:rPr>
                <w:rFonts w:ascii="宋体" w:hAnsi="宋体"/>
                <w:szCs w:val="21"/>
              </w:rPr>
              <w:t>1</w:t>
            </w:r>
            <w:r>
              <w:rPr>
                <w:rFonts w:hint="eastAsia" w:ascii="宋体" w:hAnsi="宋体"/>
                <w:szCs w:val="21"/>
                <w:lang w:val="en-US" w:eastAsia="zh-CN"/>
              </w:rPr>
              <w:t>5</w:t>
            </w:r>
            <w:r>
              <w:rPr>
                <w:rFonts w:hint="eastAsia" w:ascii="宋体" w:hAnsi="宋体"/>
                <w:szCs w:val="21"/>
              </w:rPr>
              <w:t>-</w:t>
            </w:r>
            <w:r>
              <w:rPr>
                <w:rFonts w:ascii="宋体" w:hAnsi="宋体"/>
                <w:szCs w:val="21"/>
              </w:rPr>
              <w:t>1</w:t>
            </w:r>
            <w:r>
              <w:rPr>
                <w:rFonts w:hint="eastAsia" w:ascii="宋体" w:hAnsi="宋体"/>
                <w:szCs w:val="21"/>
                <w:lang w:val="en-US" w:eastAsia="zh-CN"/>
              </w:rPr>
              <w:t>8</w:t>
            </w:r>
            <w:r>
              <w:rPr>
                <w:rFonts w:hint="eastAsia" w:ascii="宋体" w:hAnsi="宋体"/>
                <w:szCs w:val="21"/>
              </w:rPr>
              <w:t>分</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444" w:hRule="atLeast"/>
          <w:jc w:val="center"/>
        </w:trPr>
        <w:tc>
          <w:tcPr>
            <w:tcW w:w="876" w:type="dxa"/>
            <w:vMerge w:val="continue"/>
            <w:vAlign w:val="center"/>
          </w:tcPr>
          <w:p>
            <w:pPr>
              <w:widowControl/>
              <w:spacing w:line="240" w:lineRule="auto"/>
              <w:rPr>
                <w:rFonts w:ascii="宋体" w:hAnsi="宋体"/>
                <w:kern w:val="2"/>
                <w:szCs w:val="21"/>
              </w:rPr>
            </w:pPr>
          </w:p>
        </w:tc>
        <w:tc>
          <w:tcPr>
            <w:tcW w:w="1207" w:type="dxa"/>
            <w:gridSpan w:val="2"/>
            <w:vMerge w:val="continue"/>
            <w:vAlign w:val="center"/>
          </w:tcPr>
          <w:p>
            <w:pPr>
              <w:widowControl/>
              <w:spacing w:line="240" w:lineRule="auto"/>
              <w:rPr>
                <w:rFonts w:ascii="宋体" w:hAnsi="宋体"/>
                <w:kern w:val="2"/>
                <w:szCs w:val="21"/>
              </w:rPr>
            </w:pPr>
          </w:p>
        </w:tc>
        <w:tc>
          <w:tcPr>
            <w:tcW w:w="1134" w:type="dxa"/>
            <w:vMerge w:val="continue"/>
            <w:vAlign w:val="center"/>
          </w:tcPr>
          <w:p>
            <w:pPr>
              <w:widowControl/>
              <w:spacing w:line="240" w:lineRule="auto"/>
              <w:rPr>
                <w:rFonts w:ascii="宋体" w:hAnsi="宋体"/>
                <w:kern w:val="2"/>
                <w:szCs w:val="21"/>
              </w:rPr>
            </w:pPr>
          </w:p>
        </w:tc>
        <w:tc>
          <w:tcPr>
            <w:tcW w:w="1616" w:type="dxa"/>
            <w:vAlign w:val="center"/>
          </w:tcPr>
          <w:p>
            <w:pPr>
              <w:spacing w:line="240" w:lineRule="auto"/>
              <w:ind w:left="113" w:right="113"/>
              <w:rPr>
                <w:rFonts w:ascii="宋体" w:hAnsi="宋体"/>
                <w:szCs w:val="21"/>
              </w:rPr>
            </w:pPr>
            <w:r>
              <w:rPr>
                <w:rFonts w:hint="eastAsia" w:ascii="宋体" w:hAnsi="宋体"/>
                <w:szCs w:val="21"/>
              </w:rPr>
              <w:t>对本工程的建议</w:t>
            </w:r>
          </w:p>
        </w:tc>
        <w:tc>
          <w:tcPr>
            <w:tcW w:w="851" w:type="dxa"/>
            <w:vAlign w:val="center"/>
          </w:tcPr>
          <w:p>
            <w:pPr>
              <w:spacing w:line="240" w:lineRule="auto"/>
              <w:jc w:val="cente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5</w:t>
            </w:r>
            <w:r>
              <w:rPr>
                <w:rFonts w:ascii="宋体" w:hAnsi="宋体"/>
                <w:szCs w:val="21"/>
                <w:u w:val="single"/>
              </w:rPr>
              <w:t xml:space="preserve"> </w:t>
            </w:r>
            <w:r>
              <w:rPr>
                <w:rFonts w:hint="eastAsia" w:ascii="宋体" w:hAnsi="宋体"/>
                <w:szCs w:val="21"/>
              </w:rPr>
              <w:t>分</w:t>
            </w:r>
          </w:p>
        </w:tc>
        <w:tc>
          <w:tcPr>
            <w:tcW w:w="3577" w:type="dxa"/>
            <w:vAlign w:val="center"/>
          </w:tcPr>
          <w:p>
            <w:pPr>
              <w:spacing w:line="240" w:lineRule="auto"/>
              <w:rPr>
                <w:szCs w:val="21"/>
              </w:rPr>
            </w:pPr>
            <w:r>
              <w:rPr>
                <w:rFonts w:hint="eastAsia" w:ascii="宋体" w:hAnsi="宋体"/>
                <w:szCs w:val="21"/>
              </w:rPr>
              <w:t>一般得</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3.5</w:t>
            </w:r>
            <w:r>
              <w:rPr>
                <w:rFonts w:hint="eastAsia" w:ascii="宋体" w:hAnsi="宋体"/>
                <w:szCs w:val="21"/>
              </w:rPr>
              <w:t>分，较好得</w:t>
            </w:r>
            <w:r>
              <w:rPr>
                <w:rFonts w:hint="eastAsia" w:ascii="宋体" w:hAnsi="宋体"/>
                <w:szCs w:val="21"/>
                <w:lang w:val="en-US" w:eastAsia="zh-CN"/>
              </w:rPr>
              <w:t>3.5</w:t>
            </w:r>
            <w:r>
              <w:rPr>
                <w:rFonts w:hint="eastAsia" w:ascii="宋体" w:hAnsi="宋体"/>
                <w:szCs w:val="21"/>
              </w:rPr>
              <w:t>-</w:t>
            </w:r>
            <w:r>
              <w:rPr>
                <w:rFonts w:hint="eastAsia" w:ascii="宋体" w:hAnsi="宋体"/>
                <w:szCs w:val="21"/>
                <w:lang w:val="en-US" w:eastAsia="zh-CN"/>
              </w:rPr>
              <w:t>4</w:t>
            </w:r>
            <w:r>
              <w:rPr>
                <w:rFonts w:hint="eastAsia" w:ascii="宋体" w:hAnsi="宋体"/>
                <w:szCs w:val="21"/>
              </w:rPr>
              <w:t>分，好得</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5</w:t>
            </w:r>
            <w:r>
              <w:rPr>
                <w:rFonts w:hint="eastAsia" w:ascii="宋体" w:hAnsi="宋体"/>
                <w:szCs w:val="21"/>
              </w:rPr>
              <w:t>分</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1635" w:hRule="atLeast"/>
          <w:jc w:val="center"/>
        </w:trPr>
        <w:tc>
          <w:tcPr>
            <w:tcW w:w="876" w:type="dxa"/>
            <w:vMerge w:val="restart"/>
            <w:vAlign w:val="center"/>
          </w:tcPr>
          <w:p>
            <w:pPr>
              <w:spacing w:line="240" w:lineRule="auto"/>
              <w:jc w:val="center"/>
              <w:rPr>
                <w:rFonts w:ascii="宋体" w:hAnsi="宋体"/>
              </w:rPr>
            </w:pPr>
            <w:r>
              <w:rPr>
                <w:rFonts w:hint="eastAsia" w:ascii="宋体" w:hAnsi="宋体"/>
              </w:rPr>
              <w:t>2.2.</w:t>
            </w:r>
            <w:r>
              <w:rPr>
                <w:rFonts w:ascii="宋体" w:hAnsi="宋体"/>
              </w:rPr>
              <w:t>4</w:t>
            </w:r>
          </w:p>
          <w:p>
            <w:pPr>
              <w:spacing w:line="240" w:lineRule="auto"/>
              <w:jc w:val="center"/>
              <w:rPr>
                <w:rFonts w:ascii="宋体" w:hAnsi="宋体"/>
                <w:szCs w:val="21"/>
              </w:rPr>
            </w:pPr>
            <w:r>
              <w:rPr>
                <w:rFonts w:hint="eastAsia" w:ascii="宋体" w:hAnsi="宋体"/>
              </w:rPr>
              <w:t>（2）</w:t>
            </w:r>
          </w:p>
        </w:tc>
        <w:tc>
          <w:tcPr>
            <w:tcW w:w="1207" w:type="dxa"/>
            <w:gridSpan w:val="2"/>
            <w:vMerge w:val="restart"/>
            <w:vAlign w:val="center"/>
          </w:tcPr>
          <w:p>
            <w:pPr>
              <w:spacing w:line="240" w:lineRule="auto"/>
              <w:ind w:left="-34" w:leftChars="-16" w:right="-111"/>
              <w:jc w:val="center"/>
              <w:rPr>
                <w:rFonts w:ascii="宋体" w:hAnsi="宋体"/>
              </w:rPr>
            </w:pPr>
            <w:r>
              <w:rPr>
                <w:rFonts w:hint="eastAsia" w:ascii="宋体" w:hAnsi="宋体"/>
              </w:rPr>
              <w:t>主要</w:t>
            </w:r>
          </w:p>
          <w:p>
            <w:pPr>
              <w:spacing w:line="240" w:lineRule="auto"/>
              <w:ind w:left="-34" w:leftChars="-16" w:right="-111"/>
              <w:jc w:val="center"/>
              <w:rPr>
                <w:rFonts w:ascii="宋体" w:hAnsi="宋体"/>
              </w:rPr>
            </w:pPr>
            <w:r>
              <w:rPr>
                <w:rFonts w:hint="eastAsia" w:ascii="宋体" w:hAnsi="宋体"/>
              </w:rPr>
              <w:t>人员</w:t>
            </w:r>
          </w:p>
        </w:tc>
        <w:tc>
          <w:tcPr>
            <w:tcW w:w="1134" w:type="dxa"/>
            <w:vMerge w:val="restart"/>
            <w:vAlign w:val="center"/>
          </w:tcPr>
          <w:p>
            <w:pPr>
              <w:spacing w:line="240" w:lineRule="auto"/>
              <w:jc w:val="center"/>
              <w:rPr>
                <w:rFonts w:ascii="宋体" w:hAnsi="宋体"/>
              </w:rPr>
            </w:pPr>
            <w:r>
              <w:rPr>
                <w:rFonts w:ascii="宋体" w:hAnsi="宋体"/>
                <w:u w:val="single"/>
              </w:rPr>
              <w:t xml:space="preserve"> 30</w:t>
            </w:r>
            <w:r>
              <w:rPr>
                <w:rFonts w:hint="eastAsia" w:ascii="宋体" w:hAnsi="宋体"/>
                <w:u w:val="single"/>
              </w:rPr>
              <w:t xml:space="preserve"> </w:t>
            </w:r>
            <w:r>
              <w:rPr>
                <w:rFonts w:hint="eastAsia" w:ascii="宋体" w:hAnsi="宋体"/>
              </w:rPr>
              <w:t>分</w:t>
            </w:r>
          </w:p>
        </w:tc>
        <w:tc>
          <w:tcPr>
            <w:tcW w:w="1616" w:type="dxa"/>
            <w:vAlign w:val="center"/>
          </w:tcPr>
          <w:p>
            <w:pPr>
              <w:spacing w:line="240" w:lineRule="auto"/>
              <w:ind w:left="113" w:right="113"/>
              <w:rPr>
                <w:rFonts w:ascii="宋体" w:hAnsi="宋体"/>
                <w:szCs w:val="21"/>
              </w:rPr>
            </w:pPr>
            <w:r>
              <w:rPr>
                <w:rFonts w:hint="eastAsia" w:ascii="宋体" w:hAnsi="宋体"/>
                <w:szCs w:val="21"/>
                <w:lang w:val="en-US" w:eastAsia="zh-CN"/>
              </w:rPr>
              <w:t>项目负责人</w:t>
            </w:r>
            <w:r>
              <w:rPr>
                <w:rFonts w:hint="eastAsia" w:ascii="宋体" w:hAnsi="宋体"/>
                <w:szCs w:val="21"/>
              </w:rPr>
              <w:t>任职资格与业绩</w:t>
            </w:r>
          </w:p>
        </w:tc>
        <w:tc>
          <w:tcPr>
            <w:tcW w:w="851" w:type="dxa"/>
            <w:vAlign w:val="center"/>
          </w:tcPr>
          <w:p>
            <w:pPr>
              <w:spacing w:line="240" w:lineRule="auto"/>
              <w:jc w:val="cente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15</w:t>
            </w:r>
            <w:r>
              <w:rPr>
                <w:rFonts w:ascii="宋体" w:hAnsi="宋体"/>
                <w:szCs w:val="21"/>
                <w:u w:val="single"/>
              </w:rPr>
              <w:t xml:space="preserve"> </w:t>
            </w:r>
            <w:r>
              <w:rPr>
                <w:rFonts w:hint="eastAsia" w:ascii="宋体" w:hAnsi="宋体"/>
                <w:szCs w:val="21"/>
              </w:rPr>
              <w:t>分</w:t>
            </w:r>
          </w:p>
        </w:tc>
        <w:tc>
          <w:tcPr>
            <w:tcW w:w="3577" w:type="dxa"/>
            <w:vAlign w:val="center"/>
          </w:tcPr>
          <w:p>
            <w:pPr>
              <w:snapToGrid w:val="0"/>
              <w:spacing w:line="240" w:lineRule="auto"/>
              <w:rPr>
                <w:rFonts w:ascii="宋体" w:hAnsi="宋体"/>
                <w:b w:val="0"/>
                <w:bCs w:val="0"/>
                <w:szCs w:val="21"/>
              </w:rPr>
            </w:pPr>
            <w:r>
              <w:rPr>
                <w:rFonts w:hint="eastAsia" w:ascii="宋体" w:hAnsi="宋体"/>
                <w:b/>
                <w:bCs/>
                <w:szCs w:val="21"/>
              </w:rPr>
              <w:t>（1）</w:t>
            </w:r>
            <w:r>
              <w:rPr>
                <w:rFonts w:hint="eastAsia" w:ascii="宋体" w:hAnsi="宋体"/>
                <w:szCs w:val="21"/>
              </w:rPr>
              <w:t>满足最低资格条件要求的，</w:t>
            </w:r>
            <w:r>
              <w:rPr>
                <w:rFonts w:hint="eastAsia" w:ascii="宋体" w:hAnsi="宋体"/>
                <w:b/>
                <w:bCs/>
                <w:szCs w:val="21"/>
              </w:rPr>
              <w:t>得</w:t>
            </w:r>
            <w:r>
              <w:rPr>
                <w:rFonts w:hint="eastAsia" w:ascii="宋体" w:hAnsi="宋体"/>
                <w:b/>
                <w:bCs/>
                <w:szCs w:val="21"/>
                <w:lang w:val="en-US" w:eastAsia="zh-CN"/>
              </w:rPr>
              <w:t>9</w:t>
            </w:r>
            <w:r>
              <w:rPr>
                <w:rFonts w:hint="eastAsia" w:ascii="宋体" w:hAnsi="宋体"/>
                <w:b/>
                <w:bCs/>
                <w:szCs w:val="21"/>
              </w:rPr>
              <w:t>分</w:t>
            </w:r>
            <w:r>
              <w:rPr>
                <w:rFonts w:hint="eastAsia" w:ascii="宋体" w:hAnsi="宋体"/>
                <w:b w:val="0"/>
                <w:bCs w:val="0"/>
                <w:szCs w:val="21"/>
              </w:rPr>
              <w:t>；</w:t>
            </w:r>
          </w:p>
          <w:p>
            <w:pPr>
              <w:snapToGrid w:val="0"/>
              <w:spacing w:line="240" w:lineRule="auto"/>
              <w:rPr>
                <w:rFonts w:hint="default" w:ascii="宋体" w:hAnsi="宋体"/>
                <w:b/>
                <w:bCs/>
                <w:szCs w:val="21"/>
                <w:lang w:val="en-US"/>
              </w:rPr>
            </w:pPr>
            <w:r>
              <w:rPr>
                <w:rFonts w:hint="eastAsia" w:ascii="宋体" w:hAnsi="宋体"/>
                <w:b/>
                <w:bCs/>
                <w:szCs w:val="21"/>
              </w:rPr>
              <w:t>（</w:t>
            </w:r>
            <w:r>
              <w:rPr>
                <w:rFonts w:hint="eastAsia" w:ascii="宋体" w:hAnsi="宋体"/>
                <w:b/>
                <w:bCs/>
                <w:szCs w:val="21"/>
                <w:lang w:val="en-US" w:eastAsia="zh-CN"/>
              </w:rPr>
              <w:t>2</w:t>
            </w:r>
            <w:r>
              <w:rPr>
                <w:rFonts w:hint="eastAsia" w:ascii="宋体" w:hAnsi="宋体"/>
                <w:b/>
                <w:bCs/>
                <w:szCs w:val="21"/>
              </w:rPr>
              <w:t>）</w:t>
            </w:r>
            <w:r>
              <w:rPr>
                <w:rFonts w:hint="eastAsia" w:ascii="宋体" w:hAnsi="宋体"/>
                <w:b w:val="0"/>
                <w:bCs w:val="0"/>
                <w:szCs w:val="21"/>
                <w:lang w:val="en-US" w:eastAsia="zh-CN"/>
              </w:rPr>
              <w:t>项目负责人具备高级工程师或以上职称，</w:t>
            </w:r>
            <w:r>
              <w:rPr>
                <w:rFonts w:hint="eastAsia" w:ascii="宋体" w:hAnsi="宋体"/>
                <w:b/>
                <w:bCs/>
                <w:szCs w:val="21"/>
                <w:lang w:val="en-US" w:eastAsia="zh-CN"/>
              </w:rPr>
              <w:t>加2分</w:t>
            </w:r>
            <w:r>
              <w:rPr>
                <w:rFonts w:hint="eastAsia" w:ascii="宋体" w:hAnsi="宋体"/>
                <w:b w:val="0"/>
                <w:bCs w:val="0"/>
                <w:szCs w:val="21"/>
                <w:lang w:val="en-US" w:eastAsia="zh-CN"/>
              </w:rPr>
              <w:t>；</w:t>
            </w:r>
          </w:p>
          <w:p>
            <w:pPr>
              <w:snapToGrid w:val="0"/>
              <w:spacing w:line="240" w:lineRule="auto"/>
              <w:rPr>
                <w:rFonts w:hint="eastAsia" w:ascii="宋体" w:hAnsi="宋体"/>
                <w:szCs w:val="21"/>
              </w:rPr>
            </w:pPr>
            <w:r>
              <w:rPr>
                <w:rFonts w:hint="eastAsia" w:ascii="宋体" w:hAnsi="宋体"/>
                <w:b/>
                <w:bCs/>
                <w:szCs w:val="21"/>
              </w:rPr>
              <w:t>（</w:t>
            </w:r>
            <w:r>
              <w:rPr>
                <w:rFonts w:hint="eastAsia" w:ascii="宋体" w:hAnsi="宋体"/>
                <w:b/>
                <w:bCs/>
                <w:szCs w:val="21"/>
                <w:lang w:val="en-US" w:eastAsia="zh-CN"/>
              </w:rPr>
              <w:t>3</w:t>
            </w:r>
            <w:r>
              <w:rPr>
                <w:rFonts w:hint="eastAsia" w:ascii="宋体" w:hAnsi="宋体"/>
                <w:b/>
                <w:bCs/>
                <w:szCs w:val="21"/>
              </w:rPr>
              <w:t>）</w:t>
            </w:r>
            <w:r>
              <w:rPr>
                <w:rFonts w:hint="eastAsia" w:ascii="宋体" w:hAnsi="宋体"/>
                <w:szCs w:val="21"/>
              </w:rPr>
              <w:t>每担任过1个高速公路</w:t>
            </w:r>
            <w:r>
              <w:rPr>
                <w:rFonts w:hint="eastAsia" w:ascii="宋体" w:hAnsi="宋体"/>
                <w:szCs w:val="21"/>
                <w:lang w:val="en-US" w:eastAsia="zh-CN"/>
              </w:rPr>
              <w:t>隧道检测或</w:t>
            </w:r>
            <w:r>
              <w:rPr>
                <w:rFonts w:hint="eastAsia" w:ascii="宋体" w:hAnsi="宋体"/>
                <w:szCs w:val="21"/>
              </w:rPr>
              <w:t>超前地质预报或监控量测项目的项目负责人</w:t>
            </w:r>
            <w:r>
              <w:rPr>
                <w:rFonts w:hint="eastAsia" w:ascii="宋体" w:hAnsi="宋体"/>
                <w:szCs w:val="21"/>
                <w:lang w:val="en-US" w:eastAsia="zh-CN"/>
              </w:rPr>
              <w:t>或技术负责人</w:t>
            </w:r>
            <w:r>
              <w:rPr>
                <w:rFonts w:hint="eastAsia" w:ascii="宋体" w:hAnsi="宋体"/>
                <w:b/>
                <w:bCs/>
                <w:szCs w:val="21"/>
              </w:rPr>
              <w:t>加2分</w:t>
            </w:r>
            <w:r>
              <w:rPr>
                <w:rFonts w:hint="eastAsia" w:ascii="宋体" w:hAnsi="宋体"/>
                <w:szCs w:val="21"/>
              </w:rPr>
              <w:t>，最多</w:t>
            </w:r>
            <w:r>
              <w:rPr>
                <w:rFonts w:hint="eastAsia" w:ascii="宋体" w:hAnsi="宋体"/>
                <w:b/>
                <w:bCs/>
                <w:szCs w:val="21"/>
              </w:rPr>
              <w:t>加4分</w:t>
            </w:r>
            <w:r>
              <w:rPr>
                <w:rFonts w:hint="eastAsia" w:ascii="宋体" w:hAnsi="宋体"/>
                <w:szCs w:val="21"/>
              </w:rPr>
              <w:t>。</w:t>
            </w:r>
          </w:p>
          <w:p>
            <w:pPr>
              <w:snapToGrid w:val="0"/>
              <w:spacing w:line="240" w:lineRule="auto"/>
              <w:rPr>
                <w:rFonts w:ascii="楷体" w:hAnsi="楷体" w:eastAsia="楷体"/>
                <w:b/>
                <w:bCs/>
                <w:szCs w:val="21"/>
              </w:rPr>
            </w:pPr>
            <w:r>
              <w:rPr>
                <w:rFonts w:hint="eastAsia" w:ascii="宋体" w:hAnsi="宋体"/>
                <w:b/>
                <w:bCs/>
                <w:szCs w:val="21"/>
              </w:rPr>
              <w:t>注：以上业绩须按招标文件要求提供相应证明材料，否则不予计分。</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1635" w:hRule="atLeast"/>
          <w:jc w:val="center"/>
        </w:trPr>
        <w:tc>
          <w:tcPr>
            <w:tcW w:w="876" w:type="dxa"/>
            <w:vMerge w:val="continue"/>
            <w:vAlign w:val="center"/>
          </w:tcPr>
          <w:p>
            <w:pPr>
              <w:spacing w:line="240" w:lineRule="auto"/>
              <w:jc w:val="center"/>
              <w:rPr>
                <w:rFonts w:hint="eastAsia" w:ascii="宋体" w:hAnsi="宋体"/>
              </w:rPr>
            </w:pPr>
          </w:p>
        </w:tc>
        <w:tc>
          <w:tcPr>
            <w:tcW w:w="1207" w:type="dxa"/>
            <w:gridSpan w:val="2"/>
            <w:vMerge w:val="continue"/>
            <w:vAlign w:val="center"/>
          </w:tcPr>
          <w:p>
            <w:pPr>
              <w:spacing w:line="240" w:lineRule="auto"/>
              <w:ind w:left="-34" w:leftChars="-16" w:right="-111"/>
              <w:jc w:val="center"/>
              <w:rPr>
                <w:rFonts w:hint="eastAsia" w:ascii="宋体" w:hAnsi="宋体"/>
              </w:rPr>
            </w:pPr>
          </w:p>
        </w:tc>
        <w:tc>
          <w:tcPr>
            <w:tcW w:w="1134" w:type="dxa"/>
            <w:vMerge w:val="continue"/>
            <w:vAlign w:val="center"/>
          </w:tcPr>
          <w:p>
            <w:pPr>
              <w:spacing w:line="240" w:lineRule="auto"/>
              <w:jc w:val="center"/>
              <w:rPr>
                <w:rFonts w:ascii="宋体" w:hAnsi="宋体"/>
                <w:u w:val="single"/>
              </w:rPr>
            </w:pPr>
          </w:p>
        </w:tc>
        <w:tc>
          <w:tcPr>
            <w:tcW w:w="1616" w:type="dxa"/>
            <w:vAlign w:val="center"/>
          </w:tcPr>
          <w:p>
            <w:pPr>
              <w:spacing w:line="240" w:lineRule="auto"/>
              <w:ind w:left="113" w:right="113"/>
              <w:rPr>
                <w:rFonts w:hint="eastAsia" w:ascii="宋体" w:hAnsi="宋体"/>
                <w:szCs w:val="21"/>
              </w:rPr>
            </w:pPr>
            <w:r>
              <w:rPr>
                <w:rFonts w:hint="eastAsia" w:ascii="宋体" w:hAnsi="宋体"/>
                <w:szCs w:val="21"/>
                <w:lang w:val="en-US" w:eastAsia="zh-CN"/>
              </w:rPr>
              <w:t>技术负责人</w:t>
            </w:r>
            <w:r>
              <w:rPr>
                <w:rFonts w:hint="eastAsia" w:ascii="宋体" w:hAnsi="宋体"/>
                <w:szCs w:val="21"/>
              </w:rPr>
              <w:t>任职资格与业绩</w:t>
            </w:r>
          </w:p>
        </w:tc>
        <w:tc>
          <w:tcPr>
            <w:tcW w:w="851" w:type="dxa"/>
            <w:vAlign w:val="center"/>
          </w:tcPr>
          <w:p>
            <w:pPr>
              <w:spacing w:line="240" w:lineRule="auto"/>
              <w:jc w:val="center"/>
              <w:rPr>
                <w:rFonts w:ascii="宋体" w:hAnsi="宋体"/>
                <w:szCs w:val="21"/>
                <w:u w:val="single"/>
              </w:rPr>
            </w:pPr>
            <w:r>
              <w:rPr>
                <w:rFonts w:ascii="宋体" w:hAnsi="宋体"/>
                <w:szCs w:val="21"/>
                <w:u w:val="single"/>
              </w:rPr>
              <w:t xml:space="preserve"> </w:t>
            </w:r>
            <w:r>
              <w:rPr>
                <w:rFonts w:hint="eastAsia" w:ascii="宋体" w:hAnsi="宋体"/>
                <w:szCs w:val="21"/>
                <w:u w:val="single"/>
                <w:lang w:val="en-US" w:eastAsia="zh-CN"/>
              </w:rPr>
              <w:t>15</w:t>
            </w:r>
            <w:r>
              <w:rPr>
                <w:rFonts w:ascii="宋体" w:hAnsi="宋体"/>
                <w:szCs w:val="21"/>
                <w:u w:val="single"/>
              </w:rPr>
              <w:t xml:space="preserve"> </w:t>
            </w:r>
            <w:r>
              <w:rPr>
                <w:rFonts w:hint="eastAsia" w:ascii="宋体" w:hAnsi="宋体"/>
                <w:szCs w:val="21"/>
              </w:rPr>
              <w:t>分</w:t>
            </w:r>
          </w:p>
        </w:tc>
        <w:tc>
          <w:tcPr>
            <w:tcW w:w="3577" w:type="dxa"/>
            <w:vAlign w:val="center"/>
          </w:tcPr>
          <w:p>
            <w:pPr>
              <w:snapToGrid w:val="0"/>
              <w:spacing w:line="240" w:lineRule="auto"/>
              <w:rPr>
                <w:rFonts w:ascii="宋体" w:hAnsi="宋体"/>
                <w:b w:val="0"/>
                <w:bCs w:val="0"/>
                <w:szCs w:val="21"/>
              </w:rPr>
            </w:pPr>
            <w:r>
              <w:rPr>
                <w:rFonts w:hint="eastAsia" w:ascii="宋体" w:hAnsi="宋体"/>
                <w:b/>
                <w:bCs/>
                <w:szCs w:val="21"/>
              </w:rPr>
              <w:t>（1）</w:t>
            </w:r>
            <w:r>
              <w:rPr>
                <w:rFonts w:hint="eastAsia" w:ascii="宋体" w:hAnsi="宋体"/>
                <w:szCs w:val="21"/>
              </w:rPr>
              <w:t>满足最低资格条件要求的，</w:t>
            </w:r>
            <w:r>
              <w:rPr>
                <w:rFonts w:hint="eastAsia" w:ascii="宋体" w:hAnsi="宋体"/>
                <w:b/>
                <w:bCs/>
                <w:szCs w:val="21"/>
              </w:rPr>
              <w:t>得</w:t>
            </w:r>
            <w:r>
              <w:rPr>
                <w:rFonts w:hint="eastAsia" w:ascii="宋体" w:hAnsi="宋体"/>
                <w:b/>
                <w:bCs/>
                <w:szCs w:val="21"/>
                <w:lang w:val="en-US" w:eastAsia="zh-CN"/>
              </w:rPr>
              <w:t>9</w:t>
            </w:r>
            <w:r>
              <w:rPr>
                <w:rFonts w:hint="eastAsia" w:ascii="宋体" w:hAnsi="宋体"/>
                <w:b/>
                <w:bCs/>
                <w:szCs w:val="21"/>
              </w:rPr>
              <w:t>分</w:t>
            </w:r>
            <w:r>
              <w:rPr>
                <w:rFonts w:hint="eastAsia" w:ascii="宋体" w:hAnsi="宋体"/>
                <w:b w:val="0"/>
                <w:bCs w:val="0"/>
                <w:szCs w:val="21"/>
              </w:rPr>
              <w:t>；</w:t>
            </w:r>
          </w:p>
          <w:p>
            <w:pPr>
              <w:snapToGrid w:val="0"/>
              <w:spacing w:line="240" w:lineRule="auto"/>
              <w:rPr>
                <w:rFonts w:hint="eastAsia" w:ascii="宋体" w:hAnsi="宋体"/>
                <w:szCs w:val="21"/>
              </w:rPr>
            </w:pPr>
            <w:r>
              <w:rPr>
                <w:rFonts w:hint="eastAsia" w:ascii="宋体" w:hAnsi="宋体"/>
                <w:b/>
                <w:bCs/>
                <w:szCs w:val="21"/>
              </w:rPr>
              <w:t>（2）</w:t>
            </w:r>
            <w:r>
              <w:rPr>
                <w:rFonts w:hint="eastAsia" w:ascii="宋体" w:hAnsi="宋体"/>
                <w:szCs w:val="21"/>
              </w:rPr>
              <w:t>每担任过1个高速公路</w:t>
            </w:r>
            <w:r>
              <w:rPr>
                <w:rFonts w:hint="eastAsia" w:ascii="宋体" w:hAnsi="宋体"/>
                <w:szCs w:val="21"/>
                <w:lang w:val="en-US" w:eastAsia="zh-CN"/>
              </w:rPr>
              <w:t>隧道检测或</w:t>
            </w:r>
            <w:r>
              <w:rPr>
                <w:rFonts w:hint="eastAsia" w:ascii="宋体" w:hAnsi="宋体"/>
                <w:szCs w:val="21"/>
              </w:rPr>
              <w:t>超前地质预报或监控量测项目的项目负责人</w:t>
            </w:r>
            <w:r>
              <w:rPr>
                <w:rFonts w:hint="eastAsia" w:ascii="宋体" w:hAnsi="宋体"/>
                <w:szCs w:val="21"/>
                <w:lang w:val="en-US" w:eastAsia="zh-CN"/>
              </w:rPr>
              <w:t>或技术负责人</w:t>
            </w:r>
            <w:r>
              <w:rPr>
                <w:rFonts w:hint="eastAsia" w:ascii="宋体" w:hAnsi="宋体"/>
                <w:b/>
                <w:bCs/>
                <w:szCs w:val="21"/>
              </w:rPr>
              <w:t>加</w:t>
            </w:r>
            <w:r>
              <w:rPr>
                <w:rFonts w:hint="eastAsia" w:ascii="宋体" w:hAnsi="宋体"/>
                <w:b/>
                <w:bCs/>
                <w:szCs w:val="21"/>
                <w:lang w:val="en-US" w:eastAsia="zh-CN"/>
              </w:rPr>
              <w:t>3</w:t>
            </w:r>
            <w:r>
              <w:rPr>
                <w:rFonts w:hint="eastAsia" w:ascii="宋体" w:hAnsi="宋体"/>
                <w:b/>
                <w:bCs/>
                <w:szCs w:val="21"/>
              </w:rPr>
              <w:t>分</w:t>
            </w:r>
            <w:r>
              <w:rPr>
                <w:rFonts w:hint="eastAsia" w:ascii="宋体" w:hAnsi="宋体"/>
                <w:szCs w:val="21"/>
              </w:rPr>
              <w:t>，最多</w:t>
            </w:r>
            <w:r>
              <w:rPr>
                <w:rFonts w:hint="eastAsia" w:ascii="宋体" w:hAnsi="宋体"/>
                <w:b/>
                <w:bCs/>
                <w:szCs w:val="21"/>
              </w:rPr>
              <w:t>加</w:t>
            </w:r>
            <w:r>
              <w:rPr>
                <w:rFonts w:hint="eastAsia" w:ascii="宋体" w:hAnsi="宋体"/>
                <w:b/>
                <w:bCs/>
                <w:szCs w:val="21"/>
                <w:lang w:val="en-US" w:eastAsia="zh-CN"/>
              </w:rPr>
              <w:t>6</w:t>
            </w:r>
            <w:r>
              <w:rPr>
                <w:rFonts w:hint="eastAsia" w:ascii="宋体" w:hAnsi="宋体"/>
                <w:b/>
                <w:bCs/>
                <w:szCs w:val="21"/>
              </w:rPr>
              <w:t>分</w:t>
            </w:r>
            <w:r>
              <w:rPr>
                <w:rFonts w:hint="eastAsia" w:ascii="宋体" w:hAnsi="宋体"/>
                <w:szCs w:val="21"/>
              </w:rPr>
              <w:t>。</w:t>
            </w:r>
          </w:p>
          <w:p>
            <w:pPr>
              <w:snapToGrid w:val="0"/>
              <w:spacing w:line="240" w:lineRule="auto"/>
              <w:rPr>
                <w:rFonts w:hint="eastAsia" w:ascii="宋体" w:hAnsi="宋体"/>
                <w:b/>
                <w:bCs/>
                <w:szCs w:val="21"/>
              </w:rPr>
            </w:pPr>
            <w:r>
              <w:rPr>
                <w:rFonts w:hint="eastAsia" w:ascii="宋体" w:hAnsi="宋体"/>
                <w:b/>
                <w:bCs/>
                <w:szCs w:val="21"/>
              </w:rPr>
              <w:t>注：以上业绩须按招标文件要求提供相应证明材料，否则不予计分。</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3965" w:hRule="atLeast"/>
          <w:jc w:val="center"/>
        </w:trPr>
        <w:tc>
          <w:tcPr>
            <w:tcW w:w="876" w:type="dxa"/>
            <w:vAlign w:val="center"/>
          </w:tcPr>
          <w:p>
            <w:pPr>
              <w:spacing w:line="240" w:lineRule="auto"/>
              <w:jc w:val="center"/>
              <w:rPr>
                <w:rFonts w:ascii="宋体" w:hAnsi="宋体"/>
              </w:rPr>
            </w:pPr>
            <w:r>
              <w:rPr>
                <w:rFonts w:ascii="宋体" w:hAnsi="宋体"/>
              </w:rPr>
              <w:t>2.2.4</w:t>
            </w:r>
          </w:p>
          <w:p>
            <w:pPr>
              <w:spacing w:line="240" w:lineRule="auto"/>
              <w:jc w:val="center"/>
              <w:rPr>
                <w:rFonts w:ascii="宋体" w:hAnsi="宋体"/>
              </w:rPr>
            </w:pPr>
            <w:r>
              <w:rPr>
                <w:rFonts w:hint="eastAsia" w:ascii="宋体" w:hAnsi="宋体"/>
              </w:rPr>
              <w:t>（3）</w:t>
            </w:r>
          </w:p>
        </w:tc>
        <w:tc>
          <w:tcPr>
            <w:tcW w:w="1207" w:type="dxa"/>
            <w:gridSpan w:val="2"/>
            <w:vAlign w:val="center"/>
          </w:tcPr>
          <w:p>
            <w:pPr>
              <w:spacing w:line="240" w:lineRule="auto"/>
              <w:ind w:left="-34" w:leftChars="-16" w:right="-111"/>
              <w:jc w:val="center"/>
              <w:rPr>
                <w:rFonts w:ascii="宋体" w:hAnsi="宋体"/>
              </w:rPr>
            </w:pPr>
            <w:r>
              <w:rPr>
                <w:rFonts w:hint="eastAsia" w:ascii="宋体" w:hAnsi="宋体"/>
              </w:rPr>
              <w:t>评标价</w:t>
            </w:r>
          </w:p>
        </w:tc>
        <w:tc>
          <w:tcPr>
            <w:tcW w:w="1134" w:type="dxa"/>
            <w:vAlign w:val="center"/>
          </w:tcPr>
          <w:p>
            <w:pPr>
              <w:spacing w:line="240" w:lineRule="auto"/>
              <w:jc w:val="center"/>
              <w:rPr>
                <w:rFonts w:ascii="宋体" w:hAnsi="宋体"/>
                <w:u w:val="single"/>
              </w:rPr>
            </w:pPr>
            <w:r>
              <w:rPr>
                <w:rFonts w:ascii="宋体" w:hAnsi="宋体"/>
                <w:u w:val="single"/>
              </w:rPr>
              <w:t xml:space="preserve"> 10</w:t>
            </w:r>
            <w:r>
              <w:rPr>
                <w:rFonts w:hint="eastAsia" w:ascii="宋体" w:hAnsi="宋体"/>
                <w:u w:val="single"/>
              </w:rPr>
              <w:t xml:space="preserve"> </w:t>
            </w:r>
            <w:r>
              <w:rPr>
                <w:rFonts w:hint="eastAsia" w:ascii="宋体" w:hAnsi="宋体"/>
              </w:rPr>
              <w:t>分</w:t>
            </w:r>
          </w:p>
        </w:tc>
        <w:tc>
          <w:tcPr>
            <w:tcW w:w="6044" w:type="dxa"/>
            <w:gridSpan w:val="3"/>
            <w:vAlign w:val="center"/>
          </w:tcPr>
          <w:p>
            <w:pPr>
              <w:spacing w:line="240" w:lineRule="auto"/>
              <w:ind w:firstLine="420" w:firstLineChars="200"/>
              <w:rPr>
                <w:rFonts w:ascii="宋体" w:hAnsi="宋体"/>
                <w:szCs w:val="21"/>
              </w:rPr>
            </w:pPr>
            <w:r>
              <w:rPr>
                <w:rFonts w:hint="eastAsia" w:ascii="宋体" w:hAnsi="宋体"/>
                <w:szCs w:val="21"/>
              </w:rPr>
              <w:t>当投标人报价等于评标基准价时得满分。投标报价每高于评标基准价一个百分点扣0.2分；低于最高投标限价</w:t>
            </w:r>
            <w:r>
              <w:rPr>
                <w:rFonts w:hint="eastAsia" w:ascii="宋体" w:hAnsi="宋体"/>
                <w:szCs w:val="21"/>
                <w:lang w:val="en-US" w:eastAsia="zh-CN"/>
              </w:rPr>
              <w:t>9</w:t>
            </w:r>
            <w:r>
              <w:rPr>
                <w:rFonts w:hint="eastAsia" w:ascii="宋体" w:hAnsi="宋体"/>
                <w:szCs w:val="21"/>
              </w:rPr>
              <w:t>0%的投标报价不参与计算评标基准价，且每低于评标基准价一个百分点扣0.2 分；低于评标基准价但不低于最高投标限价</w:t>
            </w:r>
            <w:r>
              <w:rPr>
                <w:rFonts w:hint="eastAsia" w:ascii="宋体" w:hAnsi="宋体"/>
                <w:szCs w:val="21"/>
                <w:lang w:val="en-US" w:eastAsia="zh-CN"/>
              </w:rPr>
              <w:t>9</w:t>
            </w:r>
            <w:r>
              <w:rPr>
                <w:rFonts w:hint="eastAsia" w:ascii="宋体" w:hAnsi="宋体"/>
                <w:szCs w:val="21"/>
              </w:rPr>
              <w:t>0%的投标报价每低于评标基准价一个百分点扣</w:t>
            </w:r>
            <w:r>
              <w:rPr>
                <w:rFonts w:ascii="宋体" w:hAnsi="宋体"/>
                <w:szCs w:val="21"/>
              </w:rPr>
              <w:t>0.1</w:t>
            </w:r>
            <w:r>
              <w:rPr>
                <w:rFonts w:hint="eastAsia" w:ascii="宋体" w:hAnsi="宋体"/>
                <w:szCs w:val="21"/>
              </w:rPr>
              <w:t>分。中间值按比例内插，四舍五入，保留两位小数。</w:t>
            </w:r>
          </w:p>
          <w:p>
            <w:pPr>
              <w:spacing w:line="24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用公式表示如下：</w:t>
            </w:r>
          </w:p>
          <w:p>
            <w:pPr>
              <w:spacing w:line="240" w:lineRule="auto"/>
              <w:rPr>
                <w:rFonts w:ascii="宋体" w:hAnsi="宋体"/>
                <w:b/>
                <w:bCs/>
                <w:szCs w:val="21"/>
              </w:rPr>
            </w:pPr>
            <w:r>
              <w:rPr>
                <w:rFonts w:hint="eastAsia" w:ascii="宋体" w:hAnsi="宋体"/>
                <w:szCs w:val="21"/>
              </w:rPr>
              <w:t xml:space="preserve"> </w:t>
            </w:r>
            <w:r>
              <w:rPr>
                <w:rFonts w:ascii="宋体" w:hAnsi="宋体"/>
                <w:szCs w:val="21"/>
              </w:rPr>
              <w:t xml:space="preserve">   </w:t>
            </w:r>
            <w:r>
              <w:rPr>
                <w:rFonts w:hint="eastAsia" w:ascii="宋体" w:hAnsi="宋体"/>
                <w:b/>
                <w:bCs/>
                <w:szCs w:val="21"/>
              </w:rPr>
              <w:t>F</w:t>
            </w:r>
            <w:r>
              <w:rPr>
                <w:rFonts w:hint="eastAsia" w:ascii="宋体" w:hAnsi="宋体"/>
                <w:b/>
                <w:bCs/>
                <w:szCs w:val="21"/>
                <w:vertAlign w:val="subscript"/>
              </w:rPr>
              <w:t>1</w:t>
            </w:r>
            <w:r>
              <w:rPr>
                <w:rFonts w:ascii="宋体" w:hAnsi="宋体"/>
                <w:b/>
                <w:bCs/>
                <w:szCs w:val="21"/>
                <w:vertAlign w:val="subscript"/>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F</w:t>
            </w:r>
            <w:r>
              <w:rPr>
                <w:rFonts w:ascii="宋体" w:hAnsi="宋体"/>
                <w:b/>
                <w:bCs/>
                <w:szCs w:val="21"/>
              </w:rPr>
              <w:t xml:space="preserve"> </w:t>
            </w:r>
            <w:r>
              <w:rPr>
                <w:rFonts w:hint="eastAsia" w:ascii="宋体" w:hAnsi="宋体"/>
                <w:b/>
                <w:bCs/>
                <w:szCs w:val="21"/>
              </w:rPr>
              <w:t>-</w:t>
            </w:r>
            <w:r>
              <w:rPr>
                <w:rFonts w:ascii="宋体" w:hAnsi="宋体"/>
                <w:b/>
                <w:bCs/>
                <w:szCs w:val="21"/>
              </w:rPr>
              <w:t xml:space="preserve"> </w:t>
            </w:r>
            <w:r>
              <w:rPr>
                <w:rFonts w:hint="eastAsia" w:ascii="宋体" w:hAnsi="宋体"/>
                <w:b/>
                <w:bCs/>
                <w:szCs w:val="21"/>
              </w:rPr>
              <w:t>│D</w:t>
            </w:r>
            <w:r>
              <w:rPr>
                <w:rFonts w:hint="eastAsia" w:ascii="宋体" w:hAnsi="宋体"/>
                <w:b/>
                <w:bCs/>
                <w:szCs w:val="21"/>
                <w:vertAlign w:val="subscript"/>
              </w:rPr>
              <w:t>1</w:t>
            </w:r>
            <w:r>
              <w:rPr>
                <w:rFonts w:hint="eastAsia" w:ascii="宋体" w:hAnsi="宋体"/>
                <w:b/>
                <w:bCs/>
                <w:szCs w:val="21"/>
              </w:rPr>
              <w:t>-D│ /</w:t>
            </w:r>
            <w:r>
              <w:rPr>
                <w:rFonts w:ascii="宋体" w:hAnsi="宋体"/>
                <w:b/>
                <w:bCs/>
                <w:szCs w:val="21"/>
              </w:rPr>
              <w:t xml:space="preserve"> </w:t>
            </w:r>
            <w:r>
              <w:rPr>
                <w:rFonts w:hint="eastAsia" w:ascii="宋体" w:hAnsi="宋体"/>
                <w:b/>
                <w:bCs/>
                <w:szCs w:val="21"/>
              </w:rPr>
              <w:t>D</w:t>
            </w:r>
            <w:r>
              <w:rPr>
                <w:rFonts w:ascii="宋体" w:hAnsi="宋体"/>
                <w:b/>
                <w:bCs/>
                <w:szCs w:val="21"/>
              </w:rPr>
              <w:t xml:space="preserve"> </w:t>
            </w:r>
            <w:r>
              <w:rPr>
                <w:rFonts w:hint="eastAsia" w:ascii="宋体" w:hAnsi="宋体"/>
                <w:b/>
                <w:bCs/>
                <w:szCs w:val="21"/>
              </w:rPr>
              <w:t>× 100</w:t>
            </w:r>
            <w:r>
              <w:rPr>
                <w:rFonts w:ascii="宋体" w:hAnsi="宋体"/>
                <w:b/>
                <w:bCs/>
                <w:szCs w:val="21"/>
              </w:rPr>
              <w:t xml:space="preserve"> </w:t>
            </w:r>
            <w:r>
              <w:rPr>
                <w:rFonts w:hint="eastAsia" w:ascii="宋体" w:hAnsi="宋体"/>
                <w:b/>
                <w:bCs/>
                <w:szCs w:val="21"/>
              </w:rPr>
              <w:t xml:space="preserve">× E </w:t>
            </w:r>
          </w:p>
          <w:p>
            <w:pPr>
              <w:spacing w:line="240" w:lineRule="auto"/>
              <w:ind w:firstLine="420" w:firstLineChars="200"/>
              <w:rPr>
                <w:rFonts w:ascii="宋体" w:hAnsi="宋体"/>
                <w:szCs w:val="21"/>
              </w:rPr>
            </w:pPr>
            <w:r>
              <w:rPr>
                <w:rFonts w:hint="eastAsia" w:ascii="宋体" w:hAnsi="宋体"/>
                <w:szCs w:val="21"/>
              </w:rPr>
              <w:t>式中：F</w:t>
            </w:r>
            <w:r>
              <w:rPr>
                <w:rFonts w:hint="eastAsia" w:ascii="宋体" w:hAnsi="宋体"/>
                <w:szCs w:val="21"/>
                <w:vertAlign w:val="subscript"/>
              </w:rPr>
              <w:t>1</w:t>
            </w:r>
            <w:r>
              <w:rPr>
                <w:rFonts w:hint="eastAsia" w:ascii="宋体" w:hAnsi="宋体"/>
                <w:szCs w:val="21"/>
              </w:rPr>
              <w:t>—投标人评标价得分；</w:t>
            </w:r>
          </w:p>
          <w:p>
            <w:pPr>
              <w:spacing w:line="240" w:lineRule="auto"/>
              <w:ind w:firstLine="1050" w:firstLineChars="500"/>
              <w:rPr>
                <w:rFonts w:ascii="宋体" w:hAnsi="宋体"/>
                <w:szCs w:val="21"/>
              </w:rPr>
            </w:pPr>
            <w:r>
              <w:rPr>
                <w:rFonts w:hint="eastAsia" w:ascii="宋体" w:hAnsi="宋体"/>
                <w:szCs w:val="21"/>
              </w:rPr>
              <w:t>F—评标价得分所占的百分比权重，F = 10；</w:t>
            </w:r>
          </w:p>
          <w:p>
            <w:pPr>
              <w:spacing w:line="240" w:lineRule="auto"/>
              <w:ind w:firstLine="1050" w:firstLineChars="500"/>
              <w:rPr>
                <w:rFonts w:ascii="宋体" w:hAnsi="宋体"/>
                <w:szCs w:val="21"/>
              </w:rPr>
            </w:pPr>
            <w:r>
              <w:rPr>
                <w:rFonts w:hint="eastAsia" w:ascii="宋体" w:hAnsi="宋体"/>
                <w:szCs w:val="21"/>
              </w:rPr>
              <w:t>D</w:t>
            </w:r>
            <w:r>
              <w:rPr>
                <w:rFonts w:hint="eastAsia" w:ascii="宋体" w:hAnsi="宋体"/>
                <w:szCs w:val="21"/>
                <w:vertAlign w:val="subscript"/>
              </w:rPr>
              <w:t>1</w:t>
            </w:r>
            <w:r>
              <w:rPr>
                <w:rFonts w:hint="eastAsia" w:ascii="宋体" w:hAnsi="宋体"/>
                <w:szCs w:val="21"/>
              </w:rPr>
              <w:t>—投标人的评标价；</w:t>
            </w:r>
          </w:p>
          <w:p>
            <w:pPr>
              <w:spacing w:line="240" w:lineRule="auto"/>
              <w:ind w:firstLine="1050" w:firstLineChars="500"/>
              <w:rPr>
                <w:rFonts w:ascii="宋体" w:hAnsi="宋体"/>
                <w:szCs w:val="21"/>
              </w:rPr>
            </w:pPr>
            <w:r>
              <w:rPr>
                <w:rFonts w:hint="eastAsia" w:ascii="宋体" w:hAnsi="宋体"/>
                <w:szCs w:val="21"/>
              </w:rPr>
              <w:t>D—评标基准价。</w:t>
            </w:r>
          </w:p>
          <w:p>
            <w:pPr>
              <w:spacing w:line="240" w:lineRule="auto"/>
              <w:rPr>
                <w:rFonts w:ascii="宋体" w:hAnsi="宋体"/>
                <w:szCs w:val="21"/>
              </w:rPr>
            </w:pPr>
            <w:r>
              <w:rPr>
                <w:rFonts w:hint="eastAsia" w:ascii="宋体" w:hAnsi="宋体"/>
                <w:szCs w:val="21"/>
              </w:rPr>
              <w:t>若 D</w:t>
            </w:r>
            <w:r>
              <w:rPr>
                <w:rFonts w:hint="eastAsia" w:ascii="宋体" w:hAnsi="宋体"/>
                <w:szCs w:val="21"/>
                <w:vertAlign w:val="subscript"/>
              </w:rPr>
              <w:t>1</w:t>
            </w:r>
            <w:r>
              <w:rPr>
                <w:rFonts w:hint="eastAsia" w:ascii="宋体" w:hAnsi="宋体"/>
                <w:szCs w:val="21"/>
              </w:rPr>
              <w:t>＞D，则 E = 0.2；若 D1</w:t>
            </w:r>
            <w:r>
              <w:rPr>
                <w:rFonts w:hint="eastAsia" w:ascii="宋体" w:hAnsi="宋体"/>
                <w:szCs w:val="21"/>
                <w:highlight w:val="none"/>
              </w:rPr>
              <w:t>＜最高投标限价的</w:t>
            </w:r>
            <w:r>
              <w:rPr>
                <w:rFonts w:hint="eastAsia" w:ascii="宋体" w:hAnsi="宋体"/>
                <w:szCs w:val="21"/>
                <w:highlight w:val="none"/>
                <w:lang w:val="en-US" w:eastAsia="zh-CN"/>
              </w:rPr>
              <w:t>9</w:t>
            </w:r>
            <w:r>
              <w:rPr>
                <w:rFonts w:hint="eastAsia" w:ascii="宋体" w:hAnsi="宋体"/>
                <w:szCs w:val="21"/>
                <w:highlight w:val="none"/>
              </w:rPr>
              <w:t>0%，则E = 0.2；若D</w:t>
            </w:r>
            <w:r>
              <w:rPr>
                <w:rFonts w:hint="eastAsia" w:ascii="宋体" w:hAnsi="宋体"/>
                <w:szCs w:val="21"/>
                <w:highlight w:val="none"/>
                <w:vertAlign w:val="subscript"/>
              </w:rPr>
              <w:t>1</w:t>
            </w:r>
            <w:r>
              <w:rPr>
                <w:rFonts w:hint="eastAsia" w:ascii="宋体" w:hAnsi="宋体"/>
                <w:szCs w:val="21"/>
                <w:highlight w:val="none"/>
              </w:rPr>
              <w:t>＜D且D</w:t>
            </w:r>
            <w:r>
              <w:rPr>
                <w:rFonts w:hint="eastAsia" w:ascii="宋体" w:hAnsi="宋体"/>
                <w:szCs w:val="21"/>
                <w:highlight w:val="none"/>
                <w:vertAlign w:val="subscript"/>
              </w:rPr>
              <w:t>1</w:t>
            </w:r>
            <w:r>
              <w:rPr>
                <w:rFonts w:hint="eastAsia" w:ascii="宋体" w:hAnsi="宋体"/>
                <w:szCs w:val="21"/>
                <w:highlight w:val="none"/>
              </w:rPr>
              <w:t>≥最高投标限价的</w:t>
            </w:r>
            <w:r>
              <w:rPr>
                <w:rFonts w:hint="eastAsia" w:ascii="宋体" w:hAnsi="宋体"/>
                <w:szCs w:val="21"/>
                <w:highlight w:val="none"/>
                <w:lang w:val="en-US" w:eastAsia="zh-CN"/>
              </w:rPr>
              <w:t>9</w:t>
            </w:r>
            <w:r>
              <w:rPr>
                <w:rFonts w:hint="eastAsia" w:ascii="宋体" w:hAnsi="宋体"/>
                <w:szCs w:val="21"/>
                <w:highlight w:val="none"/>
              </w:rPr>
              <w:t>0%，则 E = 0.1。评标价得分最低为 0 分。</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606" w:hRule="atLeast"/>
          <w:jc w:val="center"/>
        </w:trPr>
        <w:tc>
          <w:tcPr>
            <w:tcW w:w="876" w:type="dxa"/>
            <w:vMerge w:val="restart"/>
            <w:vAlign w:val="center"/>
          </w:tcPr>
          <w:p>
            <w:pPr>
              <w:spacing w:line="240" w:lineRule="auto"/>
              <w:jc w:val="center"/>
              <w:rPr>
                <w:rFonts w:ascii="宋体" w:hAnsi="宋体"/>
              </w:rPr>
            </w:pPr>
            <w:r>
              <w:rPr>
                <w:rFonts w:ascii="宋体" w:hAnsi="宋体"/>
              </w:rPr>
              <w:t>2.2.4</w:t>
            </w:r>
          </w:p>
          <w:p>
            <w:pPr>
              <w:widowControl/>
              <w:spacing w:line="240" w:lineRule="auto"/>
              <w:rPr>
                <w:rFonts w:ascii="宋体" w:hAnsi="宋体"/>
                <w:kern w:val="2"/>
                <w:szCs w:val="21"/>
              </w:rPr>
            </w:pPr>
            <w:r>
              <w:rPr>
                <w:rFonts w:hint="eastAsia" w:ascii="宋体" w:hAnsi="宋体"/>
              </w:rPr>
              <w:t>（</w:t>
            </w:r>
            <w:r>
              <w:rPr>
                <w:rFonts w:ascii="宋体" w:hAnsi="宋体"/>
              </w:rPr>
              <w:t>4</w:t>
            </w:r>
            <w:r>
              <w:rPr>
                <w:rFonts w:hint="eastAsia" w:ascii="宋体" w:hAnsi="宋体"/>
              </w:rPr>
              <w:t>）</w:t>
            </w:r>
          </w:p>
        </w:tc>
        <w:tc>
          <w:tcPr>
            <w:tcW w:w="499" w:type="dxa"/>
            <w:vMerge w:val="restart"/>
            <w:vAlign w:val="center"/>
          </w:tcPr>
          <w:p>
            <w:pPr>
              <w:spacing w:line="240" w:lineRule="auto"/>
              <w:ind w:left="-174" w:leftChars="-83" w:right="-189" w:rightChars="-90"/>
              <w:jc w:val="center"/>
              <w:rPr>
                <w:rFonts w:ascii="宋体" w:hAnsi="宋体"/>
                <w:szCs w:val="21"/>
              </w:rPr>
            </w:pPr>
            <w:r>
              <w:rPr>
                <w:rFonts w:hint="eastAsia" w:ascii="宋体" w:hAnsi="宋体"/>
                <w:szCs w:val="21"/>
              </w:rPr>
              <w:t>其</w:t>
            </w:r>
          </w:p>
          <w:p>
            <w:pPr>
              <w:spacing w:line="240" w:lineRule="auto"/>
              <w:ind w:left="-174" w:leftChars="-83" w:right="-189" w:rightChars="-90"/>
              <w:jc w:val="center"/>
              <w:rPr>
                <w:rFonts w:ascii="宋体" w:hAnsi="宋体"/>
                <w:szCs w:val="21"/>
              </w:rPr>
            </w:pPr>
            <w:r>
              <w:rPr>
                <w:rFonts w:hint="eastAsia" w:ascii="宋体" w:hAnsi="宋体"/>
                <w:szCs w:val="21"/>
              </w:rPr>
              <w:t>他</w:t>
            </w:r>
          </w:p>
          <w:p>
            <w:pPr>
              <w:spacing w:line="240" w:lineRule="auto"/>
              <w:ind w:left="-174" w:leftChars="-83" w:right="-189" w:rightChars="-90"/>
              <w:jc w:val="center"/>
              <w:rPr>
                <w:rFonts w:ascii="宋体" w:hAnsi="宋体"/>
                <w:szCs w:val="21"/>
              </w:rPr>
            </w:pPr>
            <w:r>
              <w:rPr>
                <w:rFonts w:hint="eastAsia" w:ascii="宋体" w:hAnsi="宋体"/>
                <w:szCs w:val="21"/>
              </w:rPr>
              <w:t>因</w:t>
            </w:r>
          </w:p>
          <w:p>
            <w:pPr>
              <w:spacing w:line="240" w:lineRule="auto"/>
              <w:ind w:left="-174" w:leftChars="-83" w:right="-189" w:rightChars="-90"/>
              <w:jc w:val="center"/>
              <w:rPr>
                <w:rFonts w:ascii="宋体" w:hAnsi="宋体"/>
                <w:szCs w:val="21"/>
              </w:rPr>
            </w:pPr>
            <w:r>
              <w:rPr>
                <w:rFonts w:hint="eastAsia" w:ascii="宋体" w:hAnsi="宋体"/>
                <w:szCs w:val="21"/>
              </w:rPr>
              <w:t>素</w:t>
            </w:r>
          </w:p>
        </w:tc>
        <w:tc>
          <w:tcPr>
            <w:tcW w:w="708" w:type="dxa"/>
            <w:vAlign w:val="center"/>
          </w:tcPr>
          <w:p>
            <w:pPr>
              <w:spacing w:line="240" w:lineRule="auto"/>
              <w:ind w:left="-336" w:leftChars="-160" w:right="-109" w:rightChars="-52" w:firstLine="161" w:firstLineChars="77"/>
              <w:jc w:val="center"/>
              <w:rPr>
                <w:rFonts w:ascii="宋体" w:hAnsi="宋体"/>
                <w:szCs w:val="21"/>
              </w:rPr>
            </w:pPr>
            <w:r>
              <w:rPr>
                <w:rFonts w:hint="eastAsia" w:ascii="宋体" w:hAnsi="宋体"/>
                <w:szCs w:val="21"/>
              </w:rPr>
              <w:t>技术</w:t>
            </w:r>
          </w:p>
          <w:p>
            <w:pPr>
              <w:spacing w:line="240" w:lineRule="auto"/>
              <w:ind w:left="-336" w:leftChars="-160" w:right="-109" w:rightChars="-52" w:firstLine="161" w:firstLineChars="77"/>
              <w:jc w:val="center"/>
              <w:rPr>
                <w:rFonts w:ascii="宋体" w:hAnsi="宋体"/>
                <w:szCs w:val="21"/>
              </w:rPr>
            </w:pPr>
            <w:r>
              <w:rPr>
                <w:rFonts w:hint="eastAsia" w:ascii="宋体" w:hAnsi="宋体"/>
                <w:szCs w:val="21"/>
              </w:rPr>
              <w:t>能力</w:t>
            </w:r>
          </w:p>
        </w:tc>
        <w:tc>
          <w:tcPr>
            <w:tcW w:w="1134" w:type="dxa"/>
            <w:vAlign w:val="center"/>
          </w:tcPr>
          <w:p>
            <w:pPr>
              <w:spacing w:line="240" w:lineRule="auto"/>
              <w:jc w:val="center"/>
              <w:rPr>
                <w:rFonts w:ascii="宋体" w:hAnsi="宋体"/>
                <w:szCs w:val="21"/>
                <w:u w:val="single"/>
              </w:rPr>
            </w:pPr>
            <w:r>
              <w:rPr>
                <w:rFonts w:ascii="宋体" w:hAnsi="宋体"/>
                <w:u w:val="single"/>
              </w:rPr>
              <w:t xml:space="preserve"> 0</w:t>
            </w:r>
            <w:r>
              <w:rPr>
                <w:rFonts w:hint="eastAsia" w:ascii="宋体" w:hAnsi="宋体"/>
                <w:u w:val="single"/>
              </w:rPr>
              <w:t xml:space="preserve"> </w:t>
            </w:r>
            <w:r>
              <w:rPr>
                <w:rFonts w:hint="eastAsia" w:ascii="宋体" w:hAnsi="宋体"/>
              </w:rPr>
              <w:t>分</w:t>
            </w:r>
          </w:p>
        </w:tc>
        <w:tc>
          <w:tcPr>
            <w:tcW w:w="1616" w:type="dxa"/>
            <w:vAlign w:val="center"/>
          </w:tcPr>
          <w:p>
            <w:pPr>
              <w:spacing w:line="240" w:lineRule="auto"/>
              <w:ind w:left="113" w:right="113"/>
              <w:rPr>
                <w:rFonts w:ascii="宋体" w:hAnsi="宋体"/>
                <w:szCs w:val="21"/>
              </w:rPr>
            </w:pPr>
            <w:r>
              <w:rPr>
                <w:rFonts w:hint="eastAsia" w:ascii="宋体" w:hAnsi="宋体"/>
                <w:szCs w:val="21"/>
              </w:rPr>
              <w:t>技术能力</w:t>
            </w:r>
          </w:p>
        </w:tc>
        <w:tc>
          <w:tcPr>
            <w:tcW w:w="851" w:type="dxa"/>
            <w:vAlign w:val="center"/>
          </w:tcPr>
          <w:p>
            <w:pPr>
              <w:spacing w:line="240" w:lineRule="auto"/>
              <w:jc w:val="center"/>
              <w:rPr>
                <w:rFonts w:ascii="宋体" w:hAnsi="宋体"/>
                <w:szCs w:val="21"/>
              </w:rPr>
            </w:pPr>
            <w:r>
              <w:rPr>
                <w:rFonts w:ascii="宋体" w:hAnsi="宋体"/>
                <w:szCs w:val="21"/>
                <w:u w:val="single"/>
              </w:rPr>
              <w:t xml:space="preserve"> 0 </w:t>
            </w:r>
            <w:r>
              <w:rPr>
                <w:rFonts w:hint="eastAsia" w:ascii="宋体" w:hAnsi="宋体"/>
                <w:szCs w:val="21"/>
              </w:rPr>
              <w:t>分</w:t>
            </w:r>
          </w:p>
        </w:tc>
        <w:tc>
          <w:tcPr>
            <w:tcW w:w="3577" w:type="dxa"/>
            <w:vAlign w:val="center"/>
          </w:tcPr>
          <w:p>
            <w:pPr>
              <w:spacing w:line="240" w:lineRule="auto"/>
              <w:rPr>
                <w:rFonts w:ascii="宋体" w:hAnsi="宋体"/>
                <w:szCs w:val="21"/>
              </w:rPr>
            </w:pP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1833" w:hRule="atLeast"/>
          <w:jc w:val="center"/>
        </w:trPr>
        <w:tc>
          <w:tcPr>
            <w:tcW w:w="876" w:type="dxa"/>
            <w:vMerge w:val="continue"/>
            <w:vAlign w:val="center"/>
          </w:tcPr>
          <w:p>
            <w:pPr>
              <w:spacing w:line="240" w:lineRule="auto"/>
              <w:jc w:val="center"/>
              <w:rPr>
                <w:rFonts w:ascii="宋体" w:hAnsi="宋体"/>
              </w:rPr>
            </w:pPr>
          </w:p>
        </w:tc>
        <w:tc>
          <w:tcPr>
            <w:tcW w:w="499" w:type="dxa"/>
            <w:vMerge w:val="continue"/>
            <w:vAlign w:val="center"/>
          </w:tcPr>
          <w:p>
            <w:pPr>
              <w:spacing w:line="240" w:lineRule="auto"/>
              <w:ind w:left="-174" w:leftChars="-83" w:right="-189" w:rightChars="-90"/>
              <w:jc w:val="center"/>
              <w:rPr>
                <w:rFonts w:ascii="宋体" w:hAnsi="宋体"/>
                <w:szCs w:val="21"/>
              </w:rPr>
            </w:pPr>
          </w:p>
        </w:tc>
        <w:tc>
          <w:tcPr>
            <w:tcW w:w="708" w:type="dxa"/>
            <w:vAlign w:val="center"/>
          </w:tcPr>
          <w:p>
            <w:pPr>
              <w:spacing w:line="240" w:lineRule="auto"/>
              <w:ind w:left="-336" w:leftChars="-160" w:right="-109" w:rightChars="-52" w:firstLine="161" w:firstLineChars="77"/>
              <w:jc w:val="center"/>
              <w:rPr>
                <w:rFonts w:ascii="宋体" w:hAnsi="宋体"/>
                <w:szCs w:val="21"/>
              </w:rPr>
            </w:pPr>
            <w:r>
              <w:rPr>
                <w:rFonts w:hint="eastAsia" w:ascii="宋体" w:hAnsi="宋体"/>
                <w:szCs w:val="21"/>
              </w:rPr>
              <w:t>业绩</w:t>
            </w:r>
          </w:p>
        </w:tc>
        <w:tc>
          <w:tcPr>
            <w:tcW w:w="1134" w:type="dxa"/>
            <w:vAlign w:val="center"/>
          </w:tcPr>
          <w:p>
            <w:pPr>
              <w:spacing w:line="240" w:lineRule="auto"/>
              <w:jc w:val="center"/>
              <w:rPr>
                <w:rFonts w:ascii="宋体" w:hAnsi="宋体"/>
                <w:szCs w:val="21"/>
                <w:u w:val="single"/>
              </w:rPr>
            </w:pPr>
            <w:r>
              <w:rPr>
                <w:rFonts w:ascii="宋体" w:hAnsi="宋体"/>
                <w:u w:val="single"/>
              </w:rPr>
              <w:t xml:space="preserve"> 20</w:t>
            </w:r>
            <w:r>
              <w:rPr>
                <w:rFonts w:hint="eastAsia" w:ascii="宋体" w:hAnsi="宋体"/>
                <w:u w:val="single"/>
              </w:rPr>
              <w:t xml:space="preserve"> </w:t>
            </w:r>
            <w:r>
              <w:rPr>
                <w:rFonts w:hint="eastAsia" w:ascii="宋体" w:hAnsi="宋体"/>
              </w:rPr>
              <w:t>分</w:t>
            </w:r>
          </w:p>
        </w:tc>
        <w:tc>
          <w:tcPr>
            <w:tcW w:w="1616" w:type="dxa"/>
            <w:vAlign w:val="center"/>
          </w:tcPr>
          <w:p>
            <w:pPr>
              <w:spacing w:line="240" w:lineRule="auto"/>
              <w:ind w:left="113" w:right="113"/>
              <w:rPr>
                <w:rFonts w:ascii="宋体" w:hAnsi="宋体"/>
                <w:szCs w:val="21"/>
              </w:rPr>
            </w:pPr>
            <w:r>
              <w:rPr>
                <w:rFonts w:hint="eastAsia" w:ascii="宋体" w:hAnsi="宋体"/>
                <w:szCs w:val="21"/>
              </w:rPr>
              <w:t>企业业绩</w:t>
            </w:r>
          </w:p>
        </w:tc>
        <w:tc>
          <w:tcPr>
            <w:tcW w:w="851" w:type="dxa"/>
            <w:vAlign w:val="center"/>
          </w:tcPr>
          <w:p>
            <w:pPr>
              <w:spacing w:line="240" w:lineRule="auto"/>
              <w:jc w:val="center"/>
              <w:rPr>
                <w:rFonts w:ascii="宋体" w:hAnsi="宋体"/>
                <w:szCs w:val="21"/>
                <w:u w:val="single"/>
              </w:rPr>
            </w:pPr>
            <w:r>
              <w:rPr>
                <w:rFonts w:ascii="宋体" w:hAnsi="宋体"/>
                <w:szCs w:val="21"/>
                <w:u w:val="single"/>
              </w:rPr>
              <w:t xml:space="preserve"> 20 </w:t>
            </w:r>
            <w:r>
              <w:rPr>
                <w:rFonts w:hint="eastAsia" w:ascii="宋体" w:hAnsi="宋体"/>
                <w:szCs w:val="21"/>
              </w:rPr>
              <w:t>分</w:t>
            </w:r>
          </w:p>
        </w:tc>
        <w:tc>
          <w:tcPr>
            <w:tcW w:w="3577" w:type="dxa"/>
            <w:vAlign w:val="center"/>
          </w:tcPr>
          <w:p>
            <w:pPr>
              <w:spacing w:line="240" w:lineRule="auto"/>
              <w:rPr>
                <w:rFonts w:ascii="楷体" w:hAnsi="楷体" w:eastAsia="楷体"/>
                <w:szCs w:val="21"/>
              </w:rPr>
            </w:pPr>
            <w:r>
              <w:rPr>
                <w:rFonts w:hint="eastAsia" w:ascii="楷体" w:hAnsi="楷体" w:eastAsia="楷体"/>
                <w:b/>
                <w:bCs/>
                <w:szCs w:val="21"/>
              </w:rPr>
              <w:t>业绩均以近5年(201</w:t>
            </w:r>
            <w:r>
              <w:rPr>
                <w:rFonts w:hint="eastAsia" w:ascii="楷体" w:hAnsi="楷体" w:eastAsia="楷体"/>
                <w:b/>
                <w:bCs/>
                <w:szCs w:val="21"/>
                <w:lang w:val="en-US" w:eastAsia="zh-CN"/>
              </w:rPr>
              <w:t>6</w:t>
            </w:r>
            <w:r>
              <w:rPr>
                <w:rFonts w:hint="eastAsia" w:ascii="楷体" w:hAnsi="楷体" w:eastAsia="楷体"/>
                <w:b/>
                <w:bCs/>
                <w:szCs w:val="21"/>
              </w:rPr>
              <w:t>年1月1日至投标文件递交截止时间）为限，以完成时间为准。</w:t>
            </w:r>
          </w:p>
          <w:p>
            <w:pPr>
              <w:snapToGrid w:val="0"/>
              <w:spacing w:line="240" w:lineRule="auto"/>
              <w:rPr>
                <w:rFonts w:hint="eastAsia" w:ascii="宋体" w:hAnsi="宋体"/>
                <w:szCs w:val="21"/>
              </w:rPr>
            </w:pPr>
            <w:r>
              <w:rPr>
                <w:rFonts w:hint="eastAsia" w:ascii="宋体" w:hAnsi="宋体"/>
                <w:szCs w:val="21"/>
              </w:rPr>
              <w:t>每</w:t>
            </w:r>
            <w:r>
              <w:rPr>
                <w:rFonts w:hint="eastAsia" w:ascii="宋体" w:hAnsi="宋体"/>
                <w:szCs w:val="21"/>
                <w:lang w:val="en-US" w:eastAsia="zh-CN"/>
              </w:rPr>
              <w:t>完成</w:t>
            </w:r>
            <w:r>
              <w:rPr>
                <w:rFonts w:hint="eastAsia" w:ascii="宋体" w:hAnsi="宋体"/>
                <w:szCs w:val="21"/>
              </w:rPr>
              <w:t>过1个高速公路</w:t>
            </w:r>
            <w:r>
              <w:rPr>
                <w:rFonts w:hint="eastAsia" w:ascii="宋体" w:hAnsi="宋体"/>
                <w:szCs w:val="21"/>
                <w:lang w:val="en-US" w:eastAsia="zh-CN"/>
              </w:rPr>
              <w:t>隧道</w:t>
            </w:r>
            <w:r>
              <w:rPr>
                <w:rFonts w:hint="eastAsia" w:ascii="宋体" w:hAnsi="宋体"/>
                <w:szCs w:val="21"/>
              </w:rPr>
              <w:t>超前地质预报</w:t>
            </w:r>
            <w:r>
              <w:rPr>
                <w:rFonts w:hint="eastAsia" w:ascii="宋体" w:hAnsi="宋体"/>
                <w:b w:val="0"/>
                <w:bCs w:val="0"/>
                <w:szCs w:val="21"/>
                <w:lang w:val="en-US" w:eastAsia="zh-CN"/>
              </w:rPr>
              <w:t>项目</w:t>
            </w:r>
            <w:r>
              <w:rPr>
                <w:rFonts w:hint="eastAsia" w:ascii="宋体" w:hAnsi="宋体"/>
                <w:b/>
                <w:bCs/>
                <w:szCs w:val="21"/>
              </w:rPr>
              <w:t>加</w:t>
            </w:r>
            <w:r>
              <w:rPr>
                <w:rFonts w:hint="eastAsia" w:ascii="宋体" w:hAnsi="宋体"/>
                <w:b/>
                <w:bCs/>
                <w:szCs w:val="21"/>
                <w:lang w:val="en-US" w:eastAsia="zh-CN"/>
              </w:rPr>
              <w:t>2</w:t>
            </w:r>
            <w:r>
              <w:rPr>
                <w:rFonts w:hint="eastAsia" w:ascii="宋体" w:hAnsi="宋体"/>
                <w:b/>
                <w:bCs/>
                <w:szCs w:val="21"/>
              </w:rPr>
              <w:t>分</w:t>
            </w:r>
            <w:r>
              <w:rPr>
                <w:rFonts w:hint="eastAsia" w:ascii="宋体" w:hAnsi="宋体"/>
                <w:szCs w:val="21"/>
              </w:rPr>
              <w:t>，最多</w:t>
            </w:r>
            <w:r>
              <w:rPr>
                <w:rFonts w:hint="eastAsia" w:ascii="宋体" w:hAnsi="宋体"/>
                <w:b/>
                <w:bCs/>
                <w:szCs w:val="21"/>
              </w:rPr>
              <w:t>加</w:t>
            </w:r>
            <w:r>
              <w:rPr>
                <w:rFonts w:hint="eastAsia" w:ascii="宋体" w:hAnsi="宋体"/>
                <w:b/>
                <w:bCs/>
                <w:szCs w:val="21"/>
                <w:lang w:val="en-US" w:eastAsia="zh-CN"/>
              </w:rPr>
              <w:t>6</w:t>
            </w:r>
            <w:r>
              <w:rPr>
                <w:rFonts w:hint="eastAsia" w:ascii="宋体" w:hAnsi="宋体"/>
                <w:b/>
                <w:bCs/>
                <w:szCs w:val="21"/>
              </w:rPr>
              <w:t>分</w:t>
            </w:r>
            <w:r>
              <w:rPr>
                <w:rFonts w:hint="eastAsia" w:ascii="宋体" w:hAnsi="宋体"/>
                <w:szCs w:val="21"/>
              </w:rPr>
              <w:t>。</w:t>
            </w:r>
          </w:p>
          <w:p>
            <w:pPr>
              <w:bidi w:val="0"/>
              <w:rPr>
                <w:rFonts w:hint="eastAsia" w:ascii="宋体" w:hAnsi="宋体"/>
                <w:szCs w:val="21"/>
              </w:rPr>
            </w:pPr>
            <w:r>
              <w:rPr>
                <w:rFonts w:hint="eastAsia"/>
              </w:rPr>
              <w:t>每完成过1个高速公路隧道监控量测项目</w:t>
            </w:r>
            <w:r>
              <w:rPr>
                <w:rFonts w:hint="eastAsia"/>
                <w:b/>
                <w:bCs/>
              </w:rPr>
              <w:t>加</w:t>
            </w:r>
            <w:r>
              <w:rPr>
                <w:rFonts w:hint="eastAsia"/>
                <w:b/>
                <w:bCs/>
                <w:lang w:val="en-US" w:eastAsia="zh-CN"/>
              </w:rPr>
              <w:t>2</w:t>
            </w:r>
            <w:r>
              <w:rPr>
                <w:rFonts w:hint="eastAsia"/>
                <w:b/>
                <w:bCs/>
              </w:rPr>
              <w:t>分</w:t>
            </w:r>
            <w:r>
              <w:rPr>
                <w:rFonts w:hint="eastAsia"/>
              </w:rPr>
              <w:t>，最</w:t>
            </w:r>
            <w:r>
              <w:rPr>
                <w:rFonts w:hint="eastAsia" w:ascii="宋体" w:hAnsi="宋体"/>
                <w:szCs w:val="21"/>
              </w:rPr>
              <w:t>多</w:t>
            </w:r>
            <w:r>
              <w:rPr>
                <w:rFonts w:hint="eastAsia" w:ascii="宋体" w:hAnsi="宋体"/>
                <w:b/>
                <w:bCs/>
                <w:szCs w:val="21"/>
              </w:rPr>
              <w:t>加</w:t>
            </w:r>
            <w:r>
              <w:rPr>
                <w:rFonts w:hint="eastAsia" w:ascii="宋体" w:hAnsi="宋体"/>
                <w:b/>
                <w:bCs/>
                <w:szCs w:val="21"/>
                <w:lang w:val="en-US" w:eastAsia="zh-CN"/>
              </w:rPr>
              <w:t>6</w:t>
            </w:r>
            <w:r>
              <w:rPr>
                <w:rFonts w:hint="eastAsia" w:ascii="宋体" w:hAnsi="宋体"/>
                <w:b/>
                <w:bCs/>
                <w:szCs w:val="21"/>
              </w:rPr>
              <w:t>分</w:t>
            </w:r>
            <w:r>
              <w:rPr>
                <w:rFonts w:hint="eastAsia" w:ascii="宋体" w:hAnsi="宋体"/>
                <w:szCs w:val="21"/>
              </w:rPr>
              <w:t>。</w:t>
            </w:r>
          </w:p>
          <w:p>
            <w:pPr>
              <w:bidi w:val="0"/>
              <w:rPr>
                <w:rFonts w:hint="eastAsia"/>
              </w:rPr>
            </w:pPr>
            <w:r>
              <w:rPr>
                <w:rFonts w:hint="eastAsia"/>
              </w:rPr>
              <w:t>每完成过1个高速公路隧道</w:t>
            </w:r>
            <w:r>
              <w:rPr>
                <w:rFonts w:hint="eastAsia"/>
                <w:lang w:val="en-US" w:eastAsia="zh-CN"/>
              </w:rPr>
              <w:t>检测</w:t>
            </w:r>
            <w:r>
              <w:rPr>
                <w:rFonts w:hint="eastAsia"/>
              </w:rPr>
              <w:t>项目</w:t>
            </w:r>
            <w:r>
              <w:rPr>
                <w:rFonts w:hint="eastAsia"/>
                <w:b/>
                <w:bCs/>
              </w:rPr>
              <w:t>加</w:t>
            </w:r>
            <w:r>
              <w:rPr>
                <w:rFonts w:hint="eastAsia"/>
                <w:b/>
                <w:bCs/>
                <w:lang w:val="en-US" w:eastAsia="zh-CN"/>
              </w:rPr>
              <w:t>2</w:t>
            </w:r>
            <w:r>
              <w:rPr>
                <w:rFonts w:hint="eastAsia"/>
                <w:b/>
                <w:bCs/>
              </w:rPr>
              <w:t>分</w:t>
            </w:r>
            <w:r>
              <w:rPr>
                <w:rFonts w:hint="eastAsia"/>
              </w:rPr>
              <w:t>，最多</w:t>
            </w:r>
            <w:r>
              <w:rPr>
                <w:rFonts w:hint="eastAsia"/>
                <w:b/>
                <w:bCs/>
              </w:rPr>
              <w:t>加</w:t>
            </w:r>
            <w:r>
              <w:rPr>
                <w:rFonts w:hint="eastAsia"/>
                <w:b/>
                <w:bCs/>
                <w:lang w:val="en-US" w:eastAsia="zh-CN"/>
              </w:rPr>
              <w:t>8</w:t>
            </w:r>
            <w:r>
              <w:rPr>
                <w:rFonts w:hint="eastAsia"/>
                <w:b/>
                <w:bCs/>
              </w:rPr>
              <w:t>分</w:t>
            </w:r>
            <w:r>
              <w:rPr>
                <w:rFonts w:hint="eastAsia"/>
              </w:rPr>
              <w:t>。</w:t>
            </w:r>
          </w:p>
          <w:p>
            <w:pPr>
              <w:spacing w:line="240" w:lineRule="auto"/>
              <w:rPr>
                <w:rFonts w:ascii="宋体" w:hAnsi="宋体"/>
                <w:szCs w:val="21"/>
              </w:rPr>
            </w:pPr>
            <w:r>
              <w:rPr>
                <w:rFonts w:hint="eastAsia" w:ascii="宋体" w:hAnsi="宋体"/>
                <w:b/>
                <w:bCs/>
                <w:szCs w:val="21"/>
              </w:rPr>
              <w:t>注：以上业绩须按招标文件要求提供相应证明材料，否则不予计分</w:t>
            </w:r>
            <w:r>
              <w:rPr>
                <w:rFonts w:hint="eastAsia" w:ascii="宋体" w:hAnsi="宋体"/>
                <w:b/>
                <w:bCs/>
                <w:szCs w:val="21"/>
                <w:lang w:eastAsia="zh-CN"/>
              </w:rPr>
              <w:t>，</w:t>
            </w:r>
            <w:r>
              <w:rPr>
                <w:rFonts w:hint="eastAsia" w:ascii="宋体" w:hAnsi="宋体"/>
                <w:b/>
                <w:bCs/>
                <w:szCs w:val="21"/>
                <w:lang w:val="en-US" w:eastAsia="zh-CN"/>
              </w:rPr>
              <w:t>同一项目同时满足以上多项指标的，可同时计分</w:t>
            </w:r>
            <w:r>
              <w:rPr>
                <w:rFonts w:hint="eastAsia" w:ascii="宋体" w:hAnsi="宋体"/>
                <w:b/>
                <w:bCs/>
                <w:szCs w:val="21"/>
              </w:rPr>
              <w:t>。</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1405" w:hRule="atLeast"/>
          <w:jc w:val="center"/>
        </w:trPr>
        <w:tc>
          <w:tcPr>
            <w:tcW w:w="876" w:type="dxa"/>
            <w:vMerge w:val="continue"/>
            <w:vAlign w:val="center"/>
          </w:tcPr>
          <w:p>
            <w:pPr>
              <w:widowControl/>
              <w:spacing w:line="240" w:lineRule="auto"/>
              <w:rPr>
                <w:rFonts w:ascii="宋体" w:hAnsi="宋体"/>
                <w:kern w:val="2"/>
                <w:szCs w:val="21"/>
              </w:rPr>
            </w:pPr>
          </w:p>
        </w:tc>
        <w:tc>
          <w:tcPr>
            <w:tcW w:w="499" w:type="dxa"/>
            <w:vMerge w:val="continue"/>
            <w:vAlign w:val="center"/>
          </w:tcPr>
          <w:p>
            <w:pPr>
              <w:widowControl/>
              <w:spacing w:line="240" w:lineRule="auto"/>
              <w:rPr>
                <w:rFonts w:ascii="宋体" w:hAnsi="宋体"/>
                <w:kern w:val="2"/>
                <w:szCs w:val="21"/>
              </w:rPr>
            </w:pPr>
          </w:p>
        </w:tc>
        <w:tc>
          <w:tcPr>
            <w:tcW w:w="708" w:type="dxa"/>
            <w:vAlign w:val="center"/>
          </w:tcPr>
          <w:p>
            <w:pPr>
              <w:spacing w:line="240" w:lineRule="auto"/>
              <w:ind w:left="-336" w:leftChars="-160" w:right="-109" w:rightChars="-52" w:firstLine="161" w:firstLineChars="77"/>
              <w:jc w:val="center"/>
              <w:rPr>
                <w:rFonts w:ascii="宋体" w:hAnsi="宋体"/>
                <w:szCs w:val="21"/>
              </w:rPr>
            </w:pPr>
            <w:r>
              <w:rPr>
                <w:rFonts w:hint="eastAsia" w:ascii="宋体" w:hAnsi="宋体"/>
                <w:szCs w:val="21"/>
              </w:rPr>
              <w:t>履约</w:t>
            </w:r>
          </w:p>
          <w:p>
            <w:pPr>
              <w:spacing w:line="240" w:lineRule="auto"/>
              <w:ind w:left="-336" w:leftChars="-160" w:right="-109" w:rightChars="-52" w:firstLine="161" w:firstLineChars="77"/>
              <w:jc w:val="center"/>
              <w:rPr>
                <w:rFonts w:ascii="宋体" w:hAnsi="宋体"/>
                <w:szCs w:val="21"/>
              </w:rPr>
            </w:pPr>
            <w:r>
              <w:rPr>
                <w:rFonts w:hint="eastAsia" w:ascii="宋体" w:hAnsi="宋体"/>
                <w:szCs w:val="21"/>
              </w:rPr>
              <w:t>信誉</w:t>
            </w:r>
          </w:p>
        </w:tc>
        <w:tc>
          <w:tcPr>
            <w:tcW w:w="1134" w:type="dxa"/>
            <w:vAlign w:val="center"/>
          </w:tcPr>
          <w:p>
            <w:pPr>
              <w:spacing w:line="240" w:lineRule="auto"/>
              <w:jc w:val="center"/>
              <w:rPr>
                <w:rFonts w:ascii="宋体" w:hAnsi="宋体"/>
                <w:szCs w:val="21"/>
                <w:u w:val="single"/>
              </w:rPr>
            </w:pPr>
            <w:r>
              <w:rPr>
                <w:rFonts w:ascii="宋体" w:hAnsi="宋体"/>
                <w:u w:val="single"/>
              </w:rPr>
              <w:t xml:space="preserve"> 5</w:t>
            </w:r>
            <w:r>
              <w:rPr>
                <w:rFonts w:hint="eastAsia" w:ascii="宋体" w:hAnsi="宋体"/>
                <w:u w:val="single"/>
              </w:rPr>
              <w:t xml:space="preserve"> </w:t>
            </w:r>
            <w:r>
              <w:rPr>
                <w:rFonts w:hint="eastAsia" w:ascii="宋体" w:hAnsi="宋体"/>
              </w:rPr>
              <w:t>分</w:t>
            </w:r>
          </w:p>
        </w:tc>
        <w:tc>
          <w:tcPr>
            <w:tcW w:w="1616" w:type="dxa"/>
            <w:vAlign w:val="center"/>
          </w:tcPr>
          <w:p>
            <w:pPr>
              <w:spacing w:line="240" w:lineRule="auto"/>
              <w:ind w:left="113" w:right="113"/>
              <w:rPr>
                <w:rFonts w:ascii="宋体" w:hAnsi="宋体"/>
                <w:szCs w:val="21"/>
              </w:rPr>
            </w:pPr>
            <w:r>
              <w:rPr>
                <w:rFonts w:hint="eastAsia" w:ascii="宋体" w:hAnsi="宋体"/>
                <w:szCs w:val="21"/>
              </w:rPr>
              <w:t>信用等级评价</w:t>
            </w:r>
          </w:p>
        </w:tc>
        <w:tc>
          <w:tcPr>
            <w:tcW w:w="851" w:type="dxa"/>
            <w:vAlign w:val="center"/>
          </w:tcPr>
          <w:p>
            <w:pPr>
              <w:spacing w:line="240" w:lineRule="auto"/>
              <w:jc w:val="center"/>
              <w:rPr>
                <w:rFonts w:ascii="宋体" w:hAnsi="宋体"/>
                <w:szCs w:val="21"/>
              </w:rPr>
            </w:pPr>
            <w:r>
              <w:rPr>
                <w:rFonts w:ascii="宋体" w:hAnsi="宋体"/>
                <w:szCs w:val="21"/>
                <w:u w:val="single"/>
              </w:rPr>
              <w:t xml:space="preserve"> 5 </w:t>
            </w:r>
            <w:r>
              <w:rPr>
                <w:rFonts w:hint="eastAsia" w:ascii="宋体" w:hAnsi="宋体"/>
                <w:szCs w:val="21"/>
              </w:rPr>
              <w:t>分</w:t>
            </w:r>
          </w:p>
        </w:tc>
        <w:tc>
          <w:tcPr>
            <w:tcW w:w="3577" w:type="dxa"/>
            <w:vAlign w:val="center"/>
          </w:tcPr>
          <w:p>
            <w:pPr>
              <w:spacing w:line="240" w:lineRule="auto"/>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满足信誉最低要求得2分。</w:t>
            </w:r>
          </w:p>
          <w:p>
            <w:pPr>
              <w:spacing w:line="24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按招标文件规定的最新信用等级评价确定原则，最新信用等级评价：AA得3分，A得1.5分，B得0分，C得-1.5分。</w:t>
            </w:r>
          </w:p>
        </w:tc>
      </w:tr>
      <w:tr>
        <w:tblPrEx>
          <w:tblBorders>
            <w:top w:val="single" w:color="0070C0" w:sz="12" w:space="0"/>
            <w:left w:val="single" w:color="0070C0" w:sz="12" w:space="0"/>
            <w:bottom w:val="single" w:color="0070C0" w:sz="12" w:space="0"/>
            <w:right w:val="single" w:color="0070C0" w:sz="12" w:space="0"/>
            <w:insideH w:val="single" w:color="auto" w:sz="2" w:space="0"/>
            <w:insideV w:val="single" w:color="auto" w:sz="2" w:space="0"/>
          </w:tblBorders>
          <w:tblCellMar>
            <w:top w:w="0" w:type="dxa"/>
            <w:left w:w="108" w:type="dxa"/>
            <w:bottom w:w="0" w:type="dxa"/>
            <w:right w:w="108" w:type="dxa"/>
          </w:tblCellMar>
        </w:tblPrEx>
        <w:trPr>
          <w:trHeight w:val="3797" w:hRule="atLeast"/>
          <w:jc w:val="center"/>
        </w:trPr>
        <w:tc>
          <w:tcPr>
            <w:tcW w:w="9261"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baseline"/>
              <w:rPr>
                <w:rFonts w:ascii="宋体" w:hAnsi="宋体"/>
                <w:b/>
                <w:bCs/>
                <w:szCs w:val="21"/>
              </w:rPr>
            </w:pPr>
            <w:r>
              <w:rPr>
                <w:rFonts w:hint="eastAsia" w:ascii="宋体" w:hAnsi="宋体"/>
                <w:b/>
                <w:bCs/>
              </w:rPr>
              <w:t>需要补充的其他内容：</w:t>
            </w:r>
          </w:p>
          <w:p>
            <w:pPr>
              <w:keepNext w:val="0"/>
              <w:keepLines w:val="0"/>
              <w:pageBreakBefore w:val="0"/>
              <w:widowControl w:val="0"/>
              <w:kinsoku/>
              <w:wordWrap/>
              <w:overflowPunct/>
              <w:topLinePunct w:val="0"/>
              <w:autoSpaceDE/>
              <w:autoSpaceDN/>
              <w:bidi w:val="0"/>
              <w:adjustRightInd w:val="0"/>
              <w:snapToGrid w:val="0"/>
              <w:spacing w:line="240" w:lineRule="exact"/>
              <w:ind w:firstLine="422" w:firstLineChars="200"/>
              <w:textAlignment w:val="baseline"/>
              <w:rPr>
                <w:rFonts w:hint="eastAsia" w:ascii="楷体" w:hAnsi="楷体" w:eastAsia="楷体"/>
                <w:b/>
                <w:bCs/>
              </w:rPr>
            </w:pPr>
            <w:r>
              <w:rPr>
                <w:rFonts w:hint="eastAsia" w:ascii="楷体" w:hAnsi="楷体" w:eastAsia="楷体"/>
                <w:b/>
                <w:bCs/>
              </w:rPr>
              <w:t>（1）通过第一信封或第二信封初步评审的有效投标人不足3个，评标委员会应当对有效投标是否仍具有竞争性进行评审。评标委员会认为有效投标仍具有竞争性的，应当继续推荐中标候选人，并在评标报告中予以说明。评标委员会认为有效投标不具有竞争性或对是否具有竞争性不能达成一致意见的，应当否决全部投标。</w:t>
            </w:r>
          </w:p>
          <w:p>
            <w:pPr>
              <w:keepNext w:val="0"/>
              <w:keepLines w:val="0"/>
              <w:pageBreakBefore w:val="0"/>
              <w:widowControl w:val="0"/>
              <w:kinsoku/>
              <w:wordWrap/>
              <w:overflowPunct/>
              <w:topLinePunct w:val="0"/>
              <w:autoSpaceDE/>
              <w:autoSpaceDN/>
              <w:bidi w:val="0"/>
              <w:adjustRightInd w:val="0"/>
              <w:snapToGrid w:val="0"/>
              <w:spacing w:line="240" w:lineRule="exact"/>
              <w:ind w:firstLine="422" w:firstLineChars="200"/>
              <w:textAlignment w:val="baseline"/>
              <w:rPr>
                <w:rFonts w:hint="eastAsia" w:ascii="楷体" w:hAnsi="楷体" w:eastAsia="楷体"/>
                <w:b/>
                <w:bCs/>
                <w:highlight w:val="none"/>
                <w:lang w:eastAsia="zh-CN"/>
              </w:rPr>
            </w:pPr>
            <w:r>
              <w:rPr>
                <w:rFonts w:hint="eastAsia" w:ascii="楷体" w:hAnsi="楷体" w:eastAsia="楷体"/>
                <w:b/>
                <w:bCs/>
                <w:lang w:eastAsia="zh-CN"/>
              </w:rPr>
              <w:t>（</w:t>
            </w:r>
            <w:r>
              <w:rPr>
                <w:rFonts w:hint="eastAsia" w:ascii="楷体" w:hAnsi="楷体" w:eastAsia="楷体"/>
                <w:b/>
                <w:bCs/>
                <w:lang w:val="en-US" w:eastAsia="zh-CN"/>
              </w:rPr>
              <w:t>2</w:t>
            </w:r>
            <w:r>
              <w:rPr>
                <w:rFonts w:hint="eastAsia" w:ascii="楷体" w:hAnsi="楷体" w:eastAsia="楷体"/>
                <w:b/>
                <w:bCs/>
                <w:lang w:eastAsia="zh-CN"/>
              </w:rPr>
              <w:t>）技术评分各专家应独立评分，评分一般不得低于评分标准满分值的 60%，若评分低于满分值</w:t>
            </w:r>
            <w:r>
              <w:rPr>
                <w:rFonts w:hint="eastAsia" w:ascii="楷体" w:hAnsi="楷体" w:eastAsia="楷体"/>
                <w:b/>
                <w:bCs/>
                <w:highlight w:val="none"/>
                <w:lang w:eastAsia="zh-CN"/>
              </w:rPr>
              <w:t>的 60%，该评标专家应进行说明，并计入评标报告。各评分项目的得分，取各评标专家打分的平均值确定。当评标委员成员为 7 人及以上时，各评审因素得分的平均值应去掉一个最高分和最低分后计算。</w:t>
            </w:r>
          </w:p>
          <w:p>
            <w:pPr>
              <w:keepNext w:val="0"/>
              <w:keepLines w:val="0"/>
              <w:pageBreakBefore w:val="0"/>
              <w:widowControl w:val="0"/>
              <w:kinsoku/>
              <w:wordWrap/>
              <w:overflowPunct/>
              <w:topLinePunct w:val="0"/>
              <w:autoSpaceDE/>
              <w:autoSpaceDN/>
              <w:bidi w:val="0"/>
              <w:adjustRightInd w:val="0"/>
              <w:snapToGrid w:val="0"/>
              <w:spacing w:line="240" w:lineRule="exact"/>
              <w:ind w:firstLine="422" w:firstLineChars="200"/>
              <w:textAlignment w:val="baseline"/>
              <w:rPr>
                <w:rFonts w:ascii="楷体" w:hAnsi="楷体" w:eastAsia="楷体"/>
                <w:b/>
                <w:bCs/>
              </w:rPr>
            </w:pPr>
            <w:r>
              <w:rPr>
                <w:rFonts w:hint="eastAsia" w:ascii="楷体" w:hAnsi="楷体" w:eastAsia="楷体"/>
                <w:b/>
                <w:bCs/>
                <w:highlight w:val="none"/>
              </w:rPr>
              <w:t>（</w:t>
            </w:r>
            <w:r>
              <w:rPr>
                <w:rFonts w:hint="eastAsia" w:ascii="楷体" w:hAnsi="楷体" w:eastAsia="楷体"/>
                <w:b/>
                <w:bCs/>
                <w:highlight w:val="none"/>
                <w:lang w:val="en-US" w:eastAsia="zh-CN"/>
              </w:rPr>
              <w:t>3）</w:t>
            </w:r>
            <w:r>
              <w:rPr>
                <w:rFonts w:hint="eastAsia" w:ascii="楷体" w:hAnsi="楷体" w:eastAsia="楷体"/>
                <w:b/>
                <w:bCs/>
                <w:highlight w:val="none"/>
              </w:rPr>
              <w:t>最新信用等级为“AA”或A的投标人，主要拟派人员可以发生重复但只能中 1个标段，若同时在</w:t>
            </w:r>
            <w:r>
              <w:rPr>
                <w:rFonts w:hint="eastAsia" w:ascii="楷体" w:hAnsi="楷体" w:eastAsia="楷体"/>
                <w:b/>
                <w:bCs/>
                <w:highlight w:val="none"/>
                <w:lang w:val="en-US" w:eastAsia="zh-CN"/>
              </w:rPr>
              <w:t>2</w:t>
            </w:r>
            <w:r>
              <w:rPr>
                <w:rFonts w:hint="eastAsia" w:ascii="楷体" w:hAnsi="楷体" w:eastAsia="楷体"/>
                <w:b/>
                <w:bCs/>
                <w:highlight w:val="none"/>
              </w:rPr>
              <w:t>个标段排名均为第一，评标委员会将通过确认函的形式由投标人在规定的时间内自行选择、填写中标的标段，若投标人不能在规定的时间内选择相应的标段，可由参与评标的招标人代表专家指定其中标标段，若投标人拒不接受招标人代表专家指定的中标标段，视为投标人放弃其中标资格。已被推荐为第一中标候选人的投标人，其他的标段则不作为中标候选人推荐，推荐排序第二的投标人为第一中标候选人，依次类推。</w:t>
            </w:r>
          </w:p>
        </w:tc>
      </w:tr>
    </w:tbl>
    <w:p>
      <w:pPr>
        <w:widowControl/>
        <w:autoSpaceDE w:val="0"/>
        <w:autoSpaceDN w:val="0"/>
        <w:spacing w:line="240" w:lineRule="exact"/>
        <w:jc w:val="center"/>
        <w:textAlignment w:val="bottom"/>
        <w:rPr>
          <w:b/>
          <w:spacing w:val="30"/>
          <w:sz w:val="28"/>
        </w:rPr>
      </w:pPr>
    </w:p>
    <w:p>
      <w:pPr>
        <w:spacing w:before="50" w:after="50" w:line="240" w:lineRule="auto"/>
        <w:rPr>
          <w:rFonts w:ascii="黑体" w:hAnsi="黑体" w:eastAsia="黑体"/>
          <w:b/>
          <w:bCs/>
          <w:sz w:val="28"/>
          <w:szCs w:val="28"/>
        </w:rPr>
      </w:pPr>
      <w:r>
        <w:br w:type="page"/>
      </w:r>
      <w:r>
        <w:rPr>
          <w:rFonts w:ascii="黑体" w:hAnsi="黑体" w:eastAsia="黑体"/>
          <w:b/>
          <w:bCs/>
          <w:sz w:val="28"/>
          <w:szCs w:val="28"/>
        </w:rPr>
        <w:t>1. 评标方法</w:t>
      </w:r>
    </w:p>
    <w:p>
      <w:pPr>
        <w:spacing w:line="240" w:lineRule="auto"/>
        <w:ind w:firstLine="480" w:firstLineChars="200"/>
        <w:rPr>
          <w:rFonts w:ascii="宋体" w:hAnsi="宋体"/>
          <w:sz w:val="24"/>
          <w:szCs w:val="24"/>
        </w:rPr>
      </w:pPr>
      <w:r>
        <w:rPr>
          <w:rFonts w:hint="eastAsia" w:ascii="宋体" w:hAnsi="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hint="eastAsia" w:ascii="楷体" w:hAnsi="楷体" w:eastAsia="楷体"/>
          <w:b/>
          <w:bCs/>
          <w:sz w:val="24"/>
          <w:szCs w:val="24"/>
        </w:rPr>
        <w:t>综合评分相等时，评标委员会应按照评标办法前附表规定的优先次序推荐中标候选人或确定中标人</w:t>
      </w:r>
      <w:r>
        <w:rPr>
          <w:rFonts w:hint="eastAsia" w:ascii="宋体" w:hAnsi="宋体"/>
          <w:sz w:val="24"/>
          <w:szCs w:val="24"/>
        </w:rPr>
        <w:t>。</w:t>
      </w:r>
    </w:p>
    <w:p>
      <w:pPr>
        <w:spacing w:before="120" w:beforeLines="50" w:after="120" w:afterLines="50" w:line="240" w:lineRule="auto"/>
        <w:rPr>
          <w:rFonts w:ascii="黑体" w:hAnsi="黑体" w:eastAsia="黑体"/>
          <w:b/>
          <w:bCs/>
          <w:sz w:val="28"/>
          <w:szCs w:val="28"/>
        </w:rPr>
      </w:pPr>
      <w:r>
        <w:rPr>
          <w:rFonts w:ascii="黑体" w:hAnsi="黑体" w:eastAsia="黑体"/>
          <w:b/>
          <w:bCs/>
          <w:sz w:val="28"/>
          <w:szCs w:val="28"/>
        </w:rPr>
        <w:t>2. 评审标准</w:t>
      </w:r>
    </w:p>
    <w:p>
      <w:pPr>
        <w:spacing w:before="120" w:beforeLines="50" w:after="120" w:afterLines="50" w:line="240" w:lineRule="auto"/>
        <w:rPr>
          <w:rFonts w:ascii="黑体" w:hAnsi="黑体" w:eastAsia="黑体"/>
          <w:b/>
          <w:bCs/>
          <w:sz w:val="28"/>
          <w:szCs w:val="28"/>
        </w:rPr>
      </w:pPr>
      <w:r>
        <w:rPr>
          <w:rFonts w:hint="eastAsia" w:ascii="黑体" w:hAnsi="黑体" w:eastAsia="黑体"/>
          <w:b/>
          <w:bCs/>
          <w:sz w:val="28"/>
          <w:szCs w:val="28"/>
        </w:rPr>
        <w:t>2.1 初步评审标准</w:t>
      </w:r>
    </w:p>
    <w:p>
      <w:pPr>
        <w:spacing w:line="240" w:lineRule="auto"/>
        <w:ind w:firstLine="480" w:firstLineChars="200"/>
        <w:rPr>
          <w:rFonts w:ascii="宋体" w:hAnsi="宋体"/>
          <w:sz w:val="24"/>
          <w:szCs w:val="24"/>
        </w:rPr>
      </w:pPr>
      <w:r>
        <w:rPr>
          <w:rFonts w:hint="eastAsia" w:ascii="宋体" w:hAnsi="宋体"/>
          <w:sz w:val="24"/>
          <w:szCs w:val="24"/>
        </w:rPr>
        <w:t>2.1.1 形式评审标准：见评标办法前附表。</w:t>
      </w:r>
    </w:p>
    <w:p>
      <w:pPr>
        <w:spacing w:line="240" w:lineRule="auto"/>
        <w:ind w:firstLine="480" w:firstLineChars="200"/>
        <w:rPr>
          <w:rFonts w:ascii="宋体" w:hAnsi="宋体"/>
          <w:sz w:val="24"/>
          <w:szCs w:val="24"/>
        </w:rPr>
      </w:pPr>
      <w:r>
        <w:rPr>
          <w:rFonts w:hint="eastAsia" w:ascii="宋体" w:hAnsi="宋体"/>
          <w:sz w:val="24"/>
          <w:szCs w:val="24"/>
        </w:rPr>
        <w:t>2.1.2 资格评审标准：见评标办法前附表。</w:t>
      </w:r>
    </w:p>
    <w:p>
      <w:pPr>
        <w:spacing w:line="240" w:lineRule="auto"/>
        <w:ind w:firstLine="480" w:firstLineChars="200"/>
        <w:rPr>
          <w:rFonts w:ascii="宋体" w:hAnsi="宋体"/>
          <w:sz w:val="24"/>
          <w:szCs w:val="24"/>
        </w:rPr>
      </w:pPr>
      <w:r>
        <w:rPr>
          <w:rFonts w:hint="eastAsia" w:ascii="宋体" w:hAnsi="宋体"/>
          <w:sz w:val="24"/>
          <w:szCs w:val="24"/>
        </w:rPr>
        <w:t>2.1.3 响应性评审标准：见评标办法前附表。</w:t>
      </w:r>
    </w:p>
    <w:p>
      <w:pPr>
        <w:spacing w:before="120" w:beforeLines="50" w:after="120" w:afterLines="50" w:line="240" w:lineRule="auto"/>
        <w:rPr>
          <w:rFonts w:ascii="黑体" w:hAnsi="黑体" w:eastAsia="黑体"/>
          <w:b/>
          <w:bCs/>
          <w:sz w:val="28"/>
          <w:szCs w:val="28"/>
        </w:rPr>
      </w:pPr>
      <w:r>
        <w:rPr>
          <w:rFonts w:hint="eastAsia" w:ascii="黑体" w:hAnsi="黑体" w:eastAsia="黑体"/>
          <w:b/>
          <w:bCs/>
          <w:sz w:val="28"/>
          <w:szCs w:val="28"/>
        </w:rPr>
        <w:t>2.2 分值构成与评分标准</w:t>
      </w:r>
    </w:p>
    <w:p>
      <w:pPr>
        <w:spacing w:line="240" w:lineRule="auto"/>
        <w:ind w:firstLine="480" w:firstLineChars="200"/>
        <w:rPr>
          <w:rFonts w:ascii="宋体" w:hAnsi="宋体"/>
          <w:sz w:val="24"/>
          <w:szCs w:val="24"/>
        </w:rPr>
      </w:pPr>
      <w:r>
        <w:rPr>
          <w:rFonts w:hint="eastAsia" w:ascii="宋体" w:hAnsi="宋体"/>
          <w:sz w:val="24"/>
          <w:szCs w:val="24"/>
        </w:rPr>
        <w:t>2.2.1 分值构成</w:t>
      </w:r>
    </w:p>
    <w:p>
      <w:pPr>
        <w:spacing w:line="240" w:lineRule="auto"/>
        <w:ind w:firstLine="480" w:firstLineChars="200"/>
        <w:rPr>
          <w:rFonts w:ascii="宋体" w:hAnsi="宋体"/>
          <w:sz w:val="24"/>
          <w:szCs w:val="24"/>
        </w:rPr>
      </w:pPr>
      <w:r>
        <w:rPr>
          <w:rFonts w:hint="eastAsia" w:ascii="宋体" w:hAnsi="宋体"/>
          <w:sz w:val="24"/>
          <w:szCs w:val="24"/>
        </w:rPr>
        <w:t>（1）技术建议书：见评标办法前附表；</w:t>
      </w:r>
    </w:p>
    <w:p>
      <w:pPr>
        <w:spacing w:line="240" w:lineRule="auto"/>
        <w:ind w:firstLine="480" w:firstLineChars="200"/>
        <w:rPr>
          <w:rFonts w:ascii="宋体" w:hAnsi="宋体"/>
          <w:sz w:val="24"/>
          <w:szCs w:val="24"/>
        </w:rPr>
      </w:pPr>
      <w:r>
        <w:rPr>
          <w:rFonts w:hint="eastAsia" w:ascii="宋体" w:hAnsi="宋体"/>
          <w:sz w:val="24"/>
          <w:szCs w:val="24"/>
        </w:rPr>
        <w:t>（2）主要人员：见评标办法前附表；</w:t>
      </w:r>
    </w:p>
    <w:p>
      <w:pPr>
        <w:spacing w:line="240" w:lineRule="auto"/>
        <w:ind w:firstLine="480" w:firstLineChars="200"/>
        <w:rPr>
          <w:rFonts w:ascii="宋体" w:hAnsi="宋体"/>
          <w:sz w:val="24"/>
          <w:szCs w:val="24"/>
        </w:rPr>
      </w:pPr>
      <w:r>
        <w:rPr>
          <w:rFonts w:hint="eastAsia" w:ascii="宋体" w:hAnsi="宋体"/>
          <w:sz w:val="24"/>
          <w:szCs w:val="24"/>
        </w:rPr>
        <w:t>（3）评标价：见评标办法前附表；</w:t>
      </w:r>
    </w:p>
    <w:p>
      <w:pPr>
        <w:spacing w:line="240" w:lineRule="auto"/>
        <w:ind w:firstLine="480" w:firstLineChars="200"/>
        <w:rPr>
          <w:rFonts w:ascii="宋体" w:hAnsi="宋体"/>
          <w:sz w:val="24"/>
          <w:szCs w:val="24"/>
        </w:rPr>
      </w:pPr>
      <w:r>
        <w:rPr>
          <w:rFonts w:hint="eastAsia" w:ascii="宋体" w:hAnsi="宋体"/>
          <w:sz w:val="24"/>
          <w:szCs w:val="24"/>
        </w:rPr>
        <w:t>（4）其他评分因素：见评标办法前附表。</w:t>
      </w:r>
    </w:p>
    <w:p>
      <w:pPr>
        <w:spacing w:line="240" w:lineRule="auto"/>
        <w:ind w:firstLine="480" w:firstLineChars="200"/>
        <w:rPr>
          <w:rFonts w:ascii="宋体" w:hAnsi="宋体"/>
          <w:sz w:val="24"/>
          <w:szCs w:val="24"/>
        </w:rPr>
      </w:pPr>
      <w:r>
        <w:rPr>
          <w:rFonts w:hint="eastAsia" w:ascii="宋体" w:hAnsi="宋体"/>
          <w:sz w:val="24"/>
          <w:szCs w:val="24"/>
        </w:rPr>
        <w:t>2.2.2 评标基准价计算</w:t>
      </w:r>
    </w:p>
    <w:p>
      <w:pPr>
        <w:spacing w:line="240" w:lineRule="auto"/>
        <w:ind w:firstLine="480" w:firstLineChars="200"/>
        <w:rPr>
          <w:rFonts w:ascii="宋体" w:hAnsi="宋体"/>
          <w:sz w:val="24"/>
          <w:szCs w:val="24"/>
        </w:rPr>
      </w:pPr>
      <w:r>
        <w:rPr>
          <w:rFonts w:hint="eastAsia" w:ascii="宋体" w:hAnsi="宋体"/>
          <w:sz w:val="24"/>
          <w:szCs w:val="24"/>
        </w:rPr>
        <w:t>评标基准价计算方法：见评标办法前附表。</w:t>
      </w:r>
    </w:p>
    <w:p>
      <w:pPr>
        <w:spacing w:line="240" w:lineRule="auto"/>
        <w:ind w:firstLine="480" w:firstLineChars="200"/>
        <w:rPr>
          <w:rFonts w:ascii="宋体" w:hAnsi="宋体"/>
          <w:sz w:val="24"/>
          <w:szCs w:val="24"/>
        </w:rPr>
      </w:pPr>
      <w:r>
        <w:rPr>
          <w:rFonts w:hint="eastAsia" w:ascii="宋体" w:hAnsi="宋体"/>
          <w:sz w:val="24"/>
          <w:szCs w:val="24"/>
        </w:rPr>
        <w:t xml:space="preserve">2.2.3 </w:t>
      </w:r>
      <w:bookmarkStart w:id="0" w:name="_Hlk30336811"/>
      <w:r>
        <w:rPr>
          <w:rFonts w:hint="eastAsia" w:ascii="宋体" w:hAnsi="宋体"/>
          <w:sz w:val="24"/>
          <w:szCs w:val="24"/>
        </w:rPr>
        <w:t>评标价的偏差率</w:t>
      </w:r>
      <w:bookmarkEnd w:id="0"/>
      <w:r>
        <w:rPr>
          <w:rFonts w:hint="eastAsia" w:ascii="宋体" w:hAnsi="宋体"/>
          <w:sz w:val="24"/>
          <w:szCs w:val="24"/>
        </w:rPr>
        <w:t>计算</w:t>
      </w:r>
    </w:p>
    <w:p>
      <w:pPr>
        <w:spacing w:line="240" w:lineRule="auto"/>
        <w:ind w:firstLine="480" w:firstLineChars="200"/>
        <w:rPr>
          <w:rFonts w:ascii="宋体" w:hAnsi="宋体"/>
          <w:sz w:val="24"/>
          <w:szCs w:val="24"/>
        </w:rPr>
      </w:pPr>
      <w:r>
        <w:rPr>
          <w:rFonts w:hint="eastAsia" w:ascii="宋体" w:hAnsi="宋体"/>
          <w:sz w:val="24"/>
          <w:szCs w:val="24"/>
        </w:rPr>
        <w:t>评标价的偏差率计算公式：见评标办法前附表。</w:t>
      </w:r>
    </w:p>
    <w:p>
      <w:pPr>
        <w:spacing w:line="24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.2.4 </w:t>
      </w:r>
      <w:r>
        <w:rPr>
          <w:rFonts w:hint="eastAsia" w:ascii="宋体" w:hAnsi="宋体"/>
          <w:sz w:val="24"/>
          <w:szCs w:val="24"/>
        </w:rPr>
        <w:t>评分标准</w:t>
      </w:r>
    </w:p>
    <w:p>
      <w:pPr>
        <w:spacing w:line="240" w:lineRule="auto"/>
        <w:ind w:firstLine="480" w:firstLineChars="200"/>
        <w:rPr>
          <w:rFonts w:ascii="宋体" w:hAnsi="宋体"/>
          <w:sz w:val="24"/>
          <w:szCs w:val="24"/>
        </w:rPr>
      </w:pPr>
      <w:r>
        <w:rPr>
          <w:rFonts w:hint="eastAsia" w:ascii="宋体" w:hAnsi="宋体"/>
          <w:sz w:val="24"/>
          <w:szCs w:val="24"/>
        </w:rPr>
        <w:t>（1）技术建议书评分标准：见评标办法前附表；</w:t>
      </w:r>
    </w:p>
    <w:p>
      <w:pPr>
        <w:spacing w:line="240" w:lineRule="auto"/>
        <w:ind w:firstLine="480" w:firstLineChars="200"/>
        <w:rPr>
          <w:rFonts w:ascii="宋体" w:hAnsi="宋体"/>
          <w:sz w:val="24"/>
          <w:szCs w:val="24"/>
        </w:rPr>
      </w:pPr>
      <w:r>
        <w:rPr>
          <w:rFonts w:hint="eastAsia" w:ascii="宋体" w:hAnsi="宋体"/>
          <w:sz w:val="24"/>
          <w:szCs w:val="24"/>
        </w:rPr>
        <w:t>（2）主要人员评分标准：见评标办法前附表；</w:t>
      </w:r>
    </w:p>
    <w:p>
      <w:pPr>
        <w:spacing w:line="240" w:lineRule="auto"/>
        <w:ind w:firstLine="480" w:firstLineChars="200"/>
        <w:rPr>
          <w:rFonts w:ascii="宋体" w:hAnsi="宋体"/>
          <w:sz w:val="24"/>
          <w:szCs w:val="24"/>
        </w:rPr>
      </w:pPr>
      <w:r>
        <w:rPr>
          <w:rFonts w:hint="eastAsia" w:ascii="宋体" w:hAnsi="宋体"/>
          <w:sz w:val="24"/>
          <w:szCs w:val="24"/>
        </w:rPr>
        <w:t>（3）评标价评分标准：见评标办法前附表；</w:t>
      </w:r>
    </w:p>
    <w:p>
      <w:pPr>
        <w:spacing w:line="240" w:lineRule="auto"/>
        <w:ind w:firstLine="480" w:firstLineChars="200"/>
        <w:rPr>
          <w:rFonts w:ascii="宋体" w:hAnsi="宋体"/>
          <w:sz w:val="24"/>
          <w:szCs w:val="24"/>
        </w:rPr>
      </w:pPr>
      <w:r>
        <w:rPr>
          <w:rFonts w:hint="eastAsia" w:ascii="宋体" w:hAnsi="宋体"/>
          <w:sz w:val="24"/>
          <w:szCs w:val="24"/>
        </w:rPr>
        <w:t>（4）其他因素评分标准：见评标办法前附表。</w:t>
      </w:r>
    </w:p>
    <w:p>
      <w:pPr>
        <w:spacing w:before="120" w:beforeLines="50" w:after="120" w:afterLines="50" w:line="240" w:lineRule="auto"/>
        <w:rPr>
          <w:rFonts w:ascii="黑体" w:hAnsi="黑体" w:eastAsia="黑体"/>
          <w:b/>
          <w:bCs/>
          <w:sz w:val="28"/>
          <w:szCs w:val="28"/>
        </w:rPr>
      </w:pPr>
      <w:r>
        <w:rPr>
          <w:rFonts w:ascii="黑体" w:hAnsi="黑体" w:eastAsia="黑体"/>
          <w:b/>
          <w:bCs/>
          <w:sz w:val="28"/>
          <w:szCs w:val="28"/>
        </w:rPr>
        <w:t>3. 评标程序</w:t>
      </w:r>
    </w:p>
    <w:p>
      <w:pPr>
        <w:spacing w:before="120" w:beforeLines="50" w:after="120" w:afterLines="50" w:line="240" w:lineRule="auto"/>
        <w:rPr>
          <w:rFonts w:ascii="黑体" w:hAnsi="黑体" w:eastAsia="黑体"/>
          <w:b/>
          <w:bCs/>
          <w:sz w:val="28"/>
          <w:szCs w:val="28"/>
        </w:rPr>
      </w:pPr>
      <w:r>
        <w:rPr>
          <w:rFonts w:hint="eastAsia" w:ascii="黑体" w:hAnsi="黑体" w:eastAsia="黑体"/>
          <w:b/>
          <w:bCs/>
          <w:sz w:val="28"/>
          <w:szCs w:val="28"/>
        </w:rPr>
        <w:t>3.1 第一个信封初步评审</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3.1.1 评标委员会可以要求投标人提交第二章“投标人须知”第3.5.1项至第3.5.</w:t>
      </w:r>
      <w:r>
        <w:rPr>
          <w:rFonts w:ascii="楷体" w:hAnsi="楷体" w:eastAsia="楷体"/>
          <w:b/>
          <w:bCs/>
          <w:sz w:val="24"/>
          <w:szCs w:val="24"/>
        </w:rPr>
        <w:t>5</w:t>
      </w:r>
      <w:r>
        <w:rPr>
          <w:rFonts w:hint="eastAsia" w:ascii="楷体" w:hAnsi="楷体" w:eastAsia="楷体"/>
          <w:b/>
          <w:bCs/>
          <w:sz w:val="24"/>
          <w:szCs w:val="24"/>
        </w:rPr>
        <w:t>项规定的有关证明和证件的原件，以便核验。评标委员会依据本章第2.1款规定的标准对投标文件第一个信封（商务及技术文件）进行初步评审。有一项不符合评审标准的，评标委员会应否决其投标。</w:t>
      </w:r>
    </w:p>
    <w:p>
      <w:pPr>
        <w:spacing w:before="120" w:beforeLines="50" w:after="120" w:afterLines="50" w:line="240" w:lineRule="auto"/>
        <w:rPr>
          <w:rFonts w:ascii="黑体" w:hAnsi="黑体" w:eastAsia="黑体"/>
          <w:b/>
          <w:bCs/>
          <w:sz w:val="28"/>
          <w:szCs w:val="28"/>
        </w:rPr>
      </w:pPr>
      <w:r>
        <w:rPr>
          <w:rFonts w:hint="eastAsia" w:ascii="黑体" w:hAnsi="黑体" w:eastAsia="黑体"/>
          <w:b/>
          <w:bCs/>
          <w:sz w:val="28"/>
          <w:szCs w:val="28"/>
        </w:rPr>
        <w:t>3.2 第一个信封详细评审</w:t>
      </w:r>
    </w:p>
    <w:p>
      <w:pPr>
        <w:spacing w:line="240" w:lineRule="auto"/>
        <w:ind w:firstLine="480" w:firstLineChars="200"/>
        <w:rPr>
          <w:rFonts w:ascii="宋体" w:hAnsi="宋体"/>
          <w:sz w:val="24"/>
          <w:szCs w:val="24"/>
        </w:rPr>
      </w:pPr>
      <w:r>
        <w:rPr>
          <w:rFonts w:hint="eastAsia" w:ascii="宋体" w:hAnsi="宋体"/>
          <w:sz w:val="24"/>
          <w:szCs w:val="24"/>
        </w:rPr>
        <w:t>3.2.1 评标委员会按本章第2.2款规定的量化因素和分值进行打分，并计算出各投标人的商务和技术得分。</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（1）按本章第 2.2.4 项（1）目规定的评审因素和分值对技术建议书部分计算出得分A；</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（2）按本章第 2.2.4 项（2）目规定的评审因素和分值对主要人员部分计算出得分B；</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（3）按本章第 2.2.4 项（4）目规定的评审因素和分值对其他部分计算出得分D。</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3.2.2 投标人的商务和技术得分分值计算保留小数点后两位，小数点后第三位“四舍五入”。</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3.2.3 投标人的商务和技术得分 =</w:t>
      </w:r>
      <w:r>
        <w:rPr>
          <w:rFonts w:ascii="楷体" w:hAnsi="楷体" w:eastAsia="楷体"/>
          <w:b/>
          <w:bCs/>
          <w:sz w:val="24"/>
          <w:szCs w:val="24"/>
        </w:rPr>
        <w:t xml:space="preserve"> </w:t>
      </w:r>
      <w:r>
        <w:rPr>
          <w:rFonts w:hint="eastAsia" w:ascii="楷体" w:hAnsi="楷体" w:eastAsia="楷体"/>
          <w:b/>
          <w:bCs/>
          <w:sz w:val="24"/>
          <w:szCs w:val="24"/>
        </w:rPr>
        <w:t>A</w:t>
      </w:r>
      <w:r>
        <w:rPr>
          <w:rFonts w:ascii="楷体" w:hAnsi="楷体" w:eastAsia="楷体"/>
          <w:b/>
          <w:bCs/>
          <w:sz w:val="24"/>
          <w:szCs w:val="24"/>
        </w:rPr>
        <w:t xml:space="preserve"> </w:t>
      </w:r>
      <w:r>
        <w:rPr>
          <w:rFonts w:hint="eastAsia" w:ascii="楷体" w:hAnsi="楷体" w:eastAsia="楷体"/>
          <w:b/>
          <w:bCs/>
          <w:sz w:val="24"/>
          <w:szCs w:val="24"/>
        </w:rPr>
        <w:t>+</w:t>
      </w:r>
      <w:r>
        <w:rPr>
          <w:rFonts w:ascii="楷体" w:hAnsi="楷体" w:eastAsia="楷体"/>
          <w:b/>
          <w:bCs/>
          <w:sz w:val="24"/>
          <w:szCs w:val="24"/>
        </w:rPr>
        <w:t xml:space="preserve"> </w:t>
      </w:r>
      <w:r>
        <w:rPr>
          <w:rFonts w:hint="eastAsia" w:ascii="楷体" w:hAnsi="楷体" w:eastAsia="楷体"/>
          <w:b/>
          <w:bCs/>
          <w:sz w:val="24"/>
          <w:szCs w:val="24"/>
        </w:rPr>
        <w:t>B</w:t>
      </w:r>
      <w:r>
        <w:rPr>
          <w:rFonts w:ascii="楷体" w:hAnsi="楷体" w:eastAsia="楷体"/>
          <w:b/>
          <w:bCs/>
          <w:sz w:val="24"/>
          <w:szCs w:val="24"/>
        </w:rPr>
        <w:t xml:space="preserve"> </w:t>
      </w:r>
      <w:r>
        <w:rPr>
          <w:rFonts w:hint="eastAsia" w:ascii="楷体" w:hAnsi="楷体" w:eastAsia="楷体"/>
          <w:b/>
          <w:bCs/>
          <w:sz w:val="24"/>
          <w:szCs w:val="24"/>
        </w:rPr>
        <w:t>+</w:t>
      </w:r>
      <w:r>
        <w:rPr>
          <w:rFonts w:ascii="楷体" w:hAnsi="楷体" w:eastAsia="楷体"/>
          <w:b/>
          <w:bCs/>
          <w:sz w:val="24"/>
          <w:szCs w:val="24"/>
        </w:rPr>
        <w:t xml:space="preserve"> </w:t>
      </w:r>
      <w:r>
        <w:rPr>
          <w:rFonts w:hint="eastAsia" w:ascii="楷体" w:hAnsi="楷体" w:eastAsia="楷体"/>
          <w:b/>
          <w:bCs/>
          <w:sz w:val="24"/>
          <w:szCs w:val="24"/>
        </w:rPr>
        <w:t>D。</w:t>
      </w:r>
    </w:p>
    <w:p>
      <w:pPr>
        <w:spacing w:before="120" w:beforeLines="50" w:after="120" w:afterLines="50" w:line="240" w:lineRule="auto"/>
        <w:rPr>
          <w:rFonts w:ascii="黑体" w:hAnsi="黑体" w:eastAsia="黑体"/>
          <w:b/>
          <w:bCs/>
          <w:sz w:val="28"/>
          <w:szCs w:val="28"/>
        </w:rPr>
      </w:pPr>
      <w:r>
        <w:rPr>
          <w:rFonts w:hint="eastAsia" w:ascii="黑体" w:hAnsi="黑体" w:eastAsia="黑体"/>
          <w:b/>
          <w:bCs/>
          <w:sz w:val="28"/>
          <w:szCs w:val="28"/>
        </w:rPr>
        <w:t>3.3 第二个信封开标</w:t>
      </w:r>
    </w:p>
    <w:p>
      <w:pPr>
        <w:spacing w:line="240" w:lineRule="auto"/>
        <w:ind w:firstLine="480" w:firstLineChars="200"/>
        <w:rPr>
          <w:rFonts w:ascii="宋体" w:hAnsi="宋体"/>
          <w:sz w:val="24"/>
          <w:szCs w:val="24"/>
        </w:rPr>
      </w:pPr>
      <w:r>
        <w:rPr>
          <w:rFonts w:hint="eastAsia" w:ascii="宋体" w:hAnsi="宋体"/>
          <w:sz w:val="24"/>
          <w:szCs w:val="24"/>
        </w:rPr>
        <w:t>第一信封（商务及技术文件）评审结束后，招标人将按照第二章“投标人须知”第5.1款规定的时间和地点对通过投标文件第一个信封（商务及技术文件）评审的投标文件第二个信封（报价文件）进行开标。</w:t>
      </w:r>
    </w:p>
    <w:p>
      <w:pPr>
        <w:spacing w:before="120" w:beforeLines="50" w:after="120" w:afterLines="50" w:line="240" w:lineRule="auto"/>
        <w:rPr>
          <w:rFonts w:ascii="黑体" w:hAnsi="黑体" w:eastAsia="黑体"/>
          <w:b/>
          <w:bCs/>
          <w:sz w:val="28"/>
          <w:szCs w:val="28"/>
        </w:rPr>
      </w:pPr>
      <w:r>
        <w:rPr>
          <w:rFonts w:hint="eastAsia" w:ascii="黑体" w:hAnsi="黑体" w:eastAsia="黑体"/>
          <w:b/>
          <w:bCs/>
          <w:sz w:val="28"/>
          <w:szCs w:val="28"/>
        </w:rPr>
        <w:t>3.4 第二个信封初步评审</w:t>
      </w:r>
    </w:p>
    <w:p>
      <w:pPr>
        <w:widowControl/>
        <w:wordWrap w:val="0"/>
        <w:adjustRightInd/>
        <w:spacing w:line="240" w:lineRule="auto"/>
        <w:ind w:firstLine="482" w:firstLineChars="200"/>
        <w:textAlignment w:val="auto"/>
        <w:rPr>
          <w:rFonts w:ascii="楷体" w:hAnsi="楷体" w:eastAsia="楷体"/>
          <w:b/>
          <w:bCs/>
          <w:sz w:val="24"/>
          <w:szCs w:val="24"/>
        </w:rPr>
      </w:pPr>
      <w:r>
        <w:rPr>
          <w:rFonts w:hint="eastAsia" w:ascii="楷体" w:hAnsi="楷体" w:eastAsia="楷体"/>
          <w:b/>
          <w:bCs/>
          <w:sz w:val="24"/>
          <w:szCs w:val="24"/>
        </w:rPr>
        <w:t>3.4.1 评标委员会依据本章第2.1.1项、第2.1.3项规定的评审标准对投标文件第二个信封（报价文件）进行初步评审。有一项不符合评审标准的，评标委员会应否决其投标。</w:t>
      </w:r>
    </w:p>
    <w:p>
      <w:pPr>
        <w:widowControl/>
        <w:adjustRightInd/>
        <w:spacing w:line="240" w:lineRule="auto"/>
        <w:ind w:firstLine="480" w:firstLineChars="200"/>
        <w:textAlignment w:val="auto"/>
        <w:rPr>
          <w:rFonts w:ascii="宋体" w:hAnsi="宋体"/>
          <w:sz w:val="24"/>
          <w:szCs w:val="24"/>
        </w:rPr>
      </w:pPr>
      <w:r>
        <w:rPr>
          <w:rFonts w:hint="eastAsia" w:ascii="宋体" w:hAnsi="宋体"/>
          <w:sz w:val="24"/>
          <w:szCs w:val="24"/>
        </w:rPr>
        <w:t>3.4.2 投标报价有算术错误的，评标委员会按以下原则对投标报价进行修正，修正的价格经投标人书面确认后具有约束力。</w:t>
      </w:r>
      <w:r>
        <w:rPr>
          <w:rFonts w:hint="eastAsia" w:ascii="楷体" w:hAnsi="楷体" w:eastAsia="楷体"/>
          <w:b/>
          <w:bCs/>
          <w:sz w:val="24"/>
          <w:szCs w:val="24"/>
        </w:rPr>
        <w:t>投标人不接受修正价格的，评标委员会应否决其投标</w:t>
      </w:r>
      <w:r>
        <w:rPr>
          <w:rFonts w:hint="eastAsia" w:ascii="宋体" w:hAnsi="宋体"/>
          <w:sz w:val="24"/>
          <w:szCs w:val="24"/>
        </w:rPr>
        <w:t xml:space="preserve">。 </w:t>
      </w:r>
    </w:p>
    <w:p>
      <w:pPr>
        <w:widowControl/>
        <w:adjustRightInd/>
        <w:spacing w:line="240" w:lineRule="auto"/>
        <w:ind w:firstLine="480" w:firstLineChars="200"/>
        <w:textAlignment w:val="auto"/>
        <w:rPr>
          <w:rFonts w:ascii="宋体" w:hAnsi="宋体"/>
          <w:sz w:val="24"/>
          <w:szCs w:val="24"/>
        </w:rPr>
      </w:pPr>
      <w:r>
        <w:rPr>
          <w:rFonts w:hint="eastAsia" w:ascii="宋体" w:hAnsi="宋体"/>
          <w:sz w:val="24"/>
          <w:szCs w:val="24"/>
        </w:rPr>
        <w:t xml:space="preserve">（1）投标文件中的大写金额与小写金额不一致的，以大写金额为准； </w:t>
      </w:r>
    </w:p>
    <w:p>
      <w:pPr>
        <w:widowControl/>
        <w:adjustRightInd/>
        <w:spacing w:line="240" w:lineRule="auto"/>
        <w:ind w:firstLine="480" w:firstLineChars="200"/>
        <w:textAlignment w:val="auto"/>
        <w:rPr>
          <w:rFonts w:ascii="宋体" w:hAnsi="宋体"/>
          <w:sz w:val="24"/>
          <w:szCs w:val="24"/>
        </w:rPr>
      </w:pPr>
      <w:r>
        <w:rPr>
          <w:rFonts w:hint="eastAsia" w:ascii="宋体" w:hAnsi="宋体"/>
          <w:sz w:val="24"/>
          <w:szCs w:val="24"/>
        </w:rPr>
        <w:t xml:space="preserve">（2）总价金额与依据单价计算出的结果不一致的，以单价金额为准修正总价，但单价金额小数点有明显错误的除外； </w:t>
      </w:r>
    </w:p>
    <w:p>
      <w:pPr>
        <w:widowControl/>
        <w:adjustRightInd/>
        <w:spacing w:line="240" w:lineRule="auto"/>
        <w:ind w:firstLine="480" w:firstLineChars="200"/>
        <w:textAlignment w:val="auto"/>
        <w:rPr>
          <w:rFonts w:ascii="宋体" w:hAnsi="宋体"/>
          <w:sz w:val="24"/>
          <w:szCs w:val="24"/>
        </w:rPr>
      </w:pPr>
      <w:r>
        <w:rPr>
          <w:rFonts w:hint="eastAsia" w:ascii="宋体" w:hAnsi="宋体"/>
          <w:sz w:val="24"/>
          <w:szCs w:val="24"/>
        </w:rPr>
        <w:t>（3）当单价与数量相乘不等于合价时，以单价计算为准，如果单价有明显的小数点位置差错，应以标出的合价为准，同时对单价予以修正；</w:t>
      </w:r>
    </w:p>
    <w:p>
      <w:pPr>
        <w:widowControl/>
        <w:adjustRightInd/>
        <w:spacing w:line="240" w:lineRule="auto"/>
        <w:ind w:firstLine="480" w:firstLineChars="200"/>
        <w:textAlignment w:val="auto"/>
        <w:rPr>
          <w:rFonts w:ascii="宋体" w:hAnsi="宋体"/>
          <w:sz w:val="24"/>
          <w:szCs w:val="24"/>
        </w:rPr>
      </w:pPr>
      <w:r>
        <w:rPr>
          <w:rFonts w:hint="eastAsia" w:ascii="宋体" w:hAnsi="宋体"/>
          <w:sz w:val="24"/>
          <w:szCs w:val="24"/>
        </w:rPr>
        <w:t>（4）当各子目的合价累计不等于总价时，应以各子目合价累计数为准，修正总价。</w:t>
      </w:r>
    </w:p>
    <w:p>
      <w:pPr>
        <w:widowControl/>
        <w:adjustRightInd/>
        <w:spacing w:line="240" w:lineRule="auto"/>
        <w:ind w:firstLine="482" w:firstLineChars="200"/>
        <w:textAlignment w:val="auto"/>
        <w:rPr>
          <w:rFonts w:ascii="楷体" w:hAnsi="楷体" w:eastAsia="楷体"/>
          <w:b/>
          <w:bCs/>
          <w:sz w:val="24"/>
          <w:szCs w:val="24"/>
        </w:rPr>
      </w:pPr>
      <w:r>
        <w:rPr>
          <w:rFonts w:hint="eastAsia" w:ascii="楷体" w:hAnsi="楷体" w:eastAsia="楷体"/>
          <w:b/>
          <w:bCs/>
          <w:sz w:val="24"/>
          <w:szCs w:val="24"/>
        </w:rPr>
        <w:t>3.4.3 修正后的最终投标报价若超过最高投标限价（如有），评标委员会应否决其投标。</w:t>
      </w:r>
    </w:p>
    <w:p>
      <w:pPr>
        <w:widowControl/>
        <w:adjustRightInd/>
        <w:spacing w:line="240" w:lineRule="auto"/>
        <w:ind w:firstLine="480" w:firstLineChars="200"/>
        <w:textAlignment w:val="auto"/>
        <w:rPr>
          <w:rFonts w:ascii="宋体" w:hAnsi="宋体"/>
          <w:sz w:val="24"/>
          <w:szCs w:val="24"/>
        </w:rPr>
      </w:pPr>
      <w:r>
        <w:rPr>
          <w:rFonts w:hint="eastAsia" w:ascii="宋体" w:hAnsi="宋体"/>
          <w:sz w:val="24"/>
          <w:szCs w:val="24"/>
        </w:rPr>
        <w:t>3</w:t>
      </w:r>
      <w:r>
        <w:rPr>
          <w:rFonts w:ascii="宋体" w:hAnsi="宋体"/>
          <w:sz w:val="24"/>
          <w:szCs w:val="24"/>
        </w:rPr>
        <w:t xml:space="preserve">.4.4 </w:t>
      </w:r>
      <w:r>
        <w:rPr>
          <w:rFonts w:hint="eastAsia" w:ascii="宋体" w:hAnsi="宋体"/>
          <w:sz w:val="24"/>
          <w:szCs w:val="24"/>
        </w:rPr>
        <w:t>修正后的最终投标报价仅作为签订合同的一个依据，不参与评标价得分的计算。</w:t>
      </w:r>
    </w:p>
    <w:p>
      <w:pPr>
        <w:spacing w:before="120" w:beforeLines="50" w:after="120" w:afterLines="50" w:line="240" w:lineRule="auto"/>
        <w:rPr>
          <w:rFonts w:ascii="黑体" w:hAnsi="黑体" w:eastAsia="黑体"/>
          <w:b/>
          <w:bCs/>
          <w:sz w:val="28"/>
          <w:szCs w:val="28"/>
        </w:rPr>
      </w:pPr>
      <w:r>
        <w:rPr>
          <w:rFonts w:hint="eastAsia" w:ascii="黑体" w:hAnsi="黑体" w:eastAsia="黑体"/>
          <w:b/>
          <w:bCs/>
          <w:sz w:val="28"/>
          <w:szCs w:val="28"/>
        </w:rPr>
        <w:t>3.5  第二个信封详细评审</w:t>
      </w:r>
    </w:p>
    <w:p>
      <w:pPr>
        <w:spacing w:line="240" w:lineRule="auto"/>
        <w:ind w:firstLine="480" w:firstLineChars="200"/>
        <w:rPr>
          <w:rFonts w:ascii="宋体" w:hAnsi="宋体"/>
          <w:sz w:val="24"/>
          <w:szCs w:val="24"/>
        </w:rPr>
      </w:pPr>
      <w:r>
        <w:rPr>
          <w:rFonts w:hint="eastAsia" w:ascii="宋体" w:hAnsi="宋体"/>
          <w:sz w:val="24"/>
          <w:szCs w:val="24"/>
        </w:rPr>
        <w:t>3.5.1 评标委员会按本章第2.2.4项（3）目规定的评审因素和分值对评标价计算出得分C。评标价得分分值计算保留小数点后两位，小数点后第三位“四舍五入”。</w:t>
      </w:r>
    </w:p>
    <w:p>
      <w:pPr>
        <w:spacing w:line="24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 xml:space="preserve">.5.2 </w:t>
      </w:r>
      <w:r>
        <w:rPr>
          <w:rFonts w:hint="eastAsia" w:ascii="宋体" w:hAnsi="宋体"/>
          <w:sz w:val="24"/>
          <w:szCs w:val="24"/>
        </w:rPr>
        <w:t>投标人综合得分 =</w:t>
      </w:r>
      <w:r>
        <w:rPr>
          <w:rFonts w:ascii="宋体" w:hAnsi="宋体"/>
          <w:sz w:val="24"/>
          <w:szCs w:val="24"/>
        </w:rPr>
        <w:t xml:space="preserve"> </w:t>
      </w:r>
      <w:r>
        <w:rPr>
          <w:rFonts w:hint="eastAsia" w:ascii="宋体" w:hAnsi="宋体"/>
          <w:sz w:val="24"/>
          <w:szCs w:val="24"/>
        </w:rPr>
        <w:t>投标人的商务和技术得分 +</w:t>
      </w:r>
      <w:r>
        <w:rPr>
          <w:rFonts w:ascii="宋体" w:hAnsi="宋体"/>
          <w:sz w:val="24"/>
          <w:szCs w:val="24"/>
        </w:rPr>
        <w:t xml:space="preserve"> </w:t>
      </w:r>
      <w:r>
        <w:rPr>
          <w:rFonts w:hint="eastAsia" w:ascii="宋体" w:hAnsi="宋体"/>
          <w:sz w:val="24"/>
          <w:szCs w:val="24"/>
        </w:rPr>
        <w:t>C。</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3</w:t>
      </w:r>
      <w:r>
        <w:rPr>
          <w:rFonts w:ascii="楷体" w:hAnsi="楷体" w:eastAsia="楷体"/>
          <w:b/>
          <w:bCs/>
          <w:sz w:val="24"/>
          <w:szCs w:val="24"/>
        </w:rPr>
        <w:t xml:space="preserve">.5.3 </w:t>
      </w:r>
      <w:r>
        <w:rPr>
          <w:rFonts w:hint="eastAsia" w:ascii="楷体" w:hAnsi="楷体" w:eastAsia="楷体"/>
          <w:b/>
          <w:bCs/>
          <w:sz w:val="24"/>
          <w:szCs w:val="24"/>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before="120" w:beforeLines="50" w:after="120" w:afterLines="50" w:line="240" w:lineRule="auto"/>
        <w:rPr>
          <w:rFonts w:ascii="黑体" w:hAnsi="黑体" w:eastAsia="黑体"/>
          <w:b/>
          <w:bCs/>
          <w:sz w:val="28"/>
          <w:szCs w:val="28"/>
        </w:rPr>
      </w:pPr>
      <w:r>
        <w:rPr>
          <w:rFonts w:hint="eastAsia" w:ascii="黑体" w:hAnsi="黑体" w:eastAsia="黑体"/>
          <w:b/>
          <w:bCs/>
          <w:sz w:val="28"/>
          <w:szCs w:val="28"/>
        </w:rPr>
        <w:t>3.6  投标文件相关信息的核查</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（1）有下列情形之一的，属于投标人相互串通投标：</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a.投标人之间协商投标报价等投标文件的实质性内容；</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b.投标人之间约定中标人；</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c.投标人之间约定部分投标人放弃投标或中标；</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d.属于同一集团、协会、商会等组织成员的投标人按照该组织要求协通投标；</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e.投标人之间为谋取中标或排斥特定投标人而采取的其他联合行动。</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（2）有下列情形之一的，视为投标人相互串通投标：</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a.不同投标人的投标文件由同一单位或个人编制；</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b.不同投标人委托同一单位或个人办理投标事宜；</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c.不同投标人的投标文件载明的项目管理成员为同一人；</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d.不同投标人的投标文件异常一致或投标报价呈规律性差异；</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e.不同投标人的投标文件相互混装；</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f.不同投标人的投标保证金从同一单位或个人的账户转出。</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（3）有下列情形之一的，属于招标人于投标人串通投标：</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a.招标人在开标前开启投标文件并将有关信息泄露给其他投标人；</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b.招标人直接或间接向投标人泄露标底、评标委员会成员等信息；</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c.招标人明示或暗示投标人压低或抬高投标报价；</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d.招标人授意投标人撤换、修改投标文件；</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e.招标人明示或暗示投标人为特定投标人中标提供方便；</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f.招标人与投标人为谋求特定投标人中标而采取的其他串通行为。</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（4）投标人有下列情形之一的，属于弄虚作假的行为：</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a.使用通过受让或租借等方式获取的资格、资质证书投标；</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b.使用伪造、变造的许可证件；</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c.提供虚假的财务状况或业绩；</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d.提供虚假的项目负责人或主要技术人员简历、劳动关系证明；</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e.提供虚假的信用状况；</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f.其他弄虚作假的行为。</w:t>
      </w:r>
    </w:p>
    <w:p>
      <w:pPr>
        <w:spacing w:before="120" w:beforeLines="50" w:after="120" w:afterLines="50" w:line="240" w:lineRule="auto"/>
        <w:rPr>
          <w:rFonts w:ascii="黑体" w:hAnsi="黑体" w:eastAsia="黑体"/>
          <w:b/>
          <w:bCs/>
          <w:sz w:val="28"/>
          <w:szCs w:val="28"/>
        </w:rPr>
      </w:pPr>
      <w:r>
        <w:rPr>
          <w:rFonts w:hint="eastAsia" w:ascii="黑体" w:hAnsi="黑体" w:eastAsia="黑体"/>
          <w:b/>
          <w:bCs/>
          <w:sz w:val="28"/>
          <w:szCs w:val="28"/>
        </w:rPr>
        <w:t>3.7  投标文件的澄清和说明</w:t>
      </w:r>
    </w:p>
    <w:p>
      <w:pPr>
        <w:spacing w:line="240" w:lineRule="auto"/>
        <w:ind w:firstLine="482" w:firstLineChars="200"/>
        <w:rPr>
          <w:rFonts w:ascii="楷体" w:hAnsi="楷体" w:eastAsia="楷体"/>
          <w:b/>
          <w:bCs/>
          <w:sz w:val="24"/>
          <w:szCs w:val="24"/>
        </w:rPr>
      </w:pPr>
      <w:r>
        <w:rPr>
          <w:rFonts w:hint="eastAsia" w:ascii="楷体" w:hAnsi="楷体" w:eastAsia="楷体"/>
          <w:b/>
          <w:bCs/>
          <w:sz w:val="24"/>
          <w:szCs w:val="24"/>
        </w:rPr>
        <w:t>3.7.1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240" w:lineRule="auto"/>
        <w:ind w:firstLine="480" w:firstLineChars="200"/>
        <w:rPr>
          <w:rFonts w:ascii="宋体" w:hAnsi="宋体"/>
          <w:sz w:val="24"/>
          <w:szCs w:val="24"/>
        </w:rPr>
      </w:pPr>
      <w:r>
        <w:rPr>
          <w:rFonts w:hint="eastAsia" w:ascii="宋体" w:hAnsi="宋体"/>
          <w:sz w:val="24"/>
          <w:szCs w:val="24"/>
        </w:rPr>
        <w:t>3.7.2 澄清和说明不得超出投标文件的范围或改变投标文件的实质性内容（算术性错误修正的除外）。投标人的书面澄清、说明属于投标文件的组成部分。</w:t>
      </w:r>
    </w:p>
    <w:p>
      <w:pPr>
        <w:spacing w:line="240" w:lineRule="auto"/>
        <w:ind w:firstLine="480" w:firstLineChars="200"/>
        <w:rPr>
          <w:rFonts w:ascii="宋体" w:hAnsi="宋体"/>
          <w:sz w:val="24"/>
          <w:szCs w:val="24"/>
        </w:rPr>
      </w:pPr>
      <w:r>
        <w:rPr>
          <w:rFonts w:hint="eastAsia" w:ascii="宋体" w:hAnsi="宋体"/>
          <w:sz w:val="24"/>
          <w:szCs w:val="24"/>
        </w:rPr>
        <w:t>3.7.3 评标委员会不得暗示或诱导投标人作出澄清、说明，对投标人提交的澄清、说明有疑问的，可以要求投标人进一步澄清或说明，直至满足评标委员会的要求。</w:t>
      </w:r>
    </w:p>
    <w:p>
      <w:pPr>
        <w:spacing w:line="240" w:lineRule="auto"/>
        <w:ind w:firstLine="480" w:firstLineChars="200"/>
        <w:rPr>
          <w:rFonts w:ascii="宋体" w:hAnsi="宋体"/>
          <w:sz w:val="24"/>
          <w:szCs w:val="24"/>
        </w:rPr>
      </w:pPr>
      <w:r>
        <w:rPr>
          <w:rFonts w:hint="eastAsia" w:ascii="宋体" w:hAnsi="宋体"/>
          <w:sz w:val="24"/>
          <w:szCs w:val="24"/>
        </w:rPr>
        <w:t>3.7.4 凡超出招标文件规定的或给发包人带来未曾要求的利益的变化、偏差或其他因素在评标时不予考虑。</w:t>
      </w:r>
    </w:p>
    <w:p>
      <w:pPr>
        <w:spacing w:before="120" w:beforeLines="50" w:after="120" w:afterLines="50" w:line="240" w:lineRule="auto"/>
        <w:rPr>
          <w:rFonts w:ascii="黑体" w:hAnsi="黑体" w:eastAsia="黑体"/>
          <w:b/>
          <w:bCs/>
          <w:sz w:val="28"/>
          <w:szCs w:val="28"/>
        </w:rPr>
      </w:pPr>
      <w:r>
        <w:rPr>
          <w:rFonts w:hint="eastAsia" w:ascii="黑体" w:hAnsi="黑体" w:eastAsia="黑体"/>
          <w:b/>
          <w:bCs/>
          <w:sz w:val="28"/>
          <w:szCs w:val="28"/>
        </w:rPr>
        <w:t>3.8  不得否决投标的情形</w:t>
      </w:r>
    </w:p>
    <w:p>
      <w:pPr>
        <w:spacing w:line="240" w:lineRule="auto"/>
        <w:ind w:firstLine="480" w:firstLineChars="200"/>
        <w:rPr>
          <w:rFonts w:ascii="宋体" w:hAnsi="宋体"/>
          <w:sz w:val="24"/>
          <w:szCs w:val="24"/>
        </w:rPr>
      </w:pPr>
      <w:r>
        <w:rPr>
          <w:rFonts w:hint="eastAsia" w:ascii="宋体" w:hAnsi="宋体"/>
          <w:sz w:val="24"/>
          <w:szCs w:val="24"/>
        </w:rPr>
        <w:t>投标文件存在第二章“投标人须知”第1.12.3项所列情形的，均视为细微偏差，评标委员会不得否决投标人的投标，应按照第二章“投标人须知”第1.12.4项规定的原则处理。</w:t>
      </w:r>
    </w:p>
    <w:p>
      <w:pPr>
        <w:spacing w:before="120" w:beforeLines="50" w:after="120" w:afterLines="50" w:line="240" w:lineRule="auto"/>
        <w:rPr>
          <w:rFonts w:ascii="黑体" w:hAnsi="黑体" w:eastAsia="黑体"/>
          <w:b/>
          <w:bCs/>
          <w:sz w:val="28"/>
          <w:szCs w:val="28"/>
        </w:rPr>
      </w:pPr>
      <w:r>
        <w:rPr>
          <w:rFonts w:hint="eastAsia" w:ascii="黑体" w:hAnsi="黑体" w:eastAsia="黑体"/>
          <w:b/>
          <w:bCs/>
          <w:sz w:val="28"/>
          <w:szCs w:val="28"/>
        </w:rPr>
        <w:t>3.9  评标结果</w:t>
      </w:r>
    </w:p>
    <w:p>
      <w:pPr>
        <w:spacing w:line="240" w:lineRule="auto"/>
        <w:ind w:firstLine="480" w:firstLineChars="200"/>
        <w:rPr>
          <w:rFonts w:ascii="宋体" w:hAnsi="宋体"/>
          <w:sz w:val="24"/>
          <w:szCs w:val="24"/>
        </w:rPr>
      </w:pPr>
      <w:r>
        <w:rPr>
          <w:rFonts w:hint="eastAsia" w:ascii="宋体" w:hAnsi="宋体"/>
          <w:sz w:val="24"/>
          <w:szCs w:val="24"/>
        </w:rPr>
        <w:t>3.9.1除第二章“投标人须知”前附表授权直接确定中标人外，评标委员会按照得分由高到低的顺序推荐中标候选人，并标明排序。。</w:t>
      </w:r>
    </w:p>
    <w:p>
      <w:pPr>
        <w:spacing w:line="240" w:lineRule="auto"/>
        <w:ind w:firstLine="480" w:firstLineChars="200"/>
        <w:rPr>
          <w:rFonts w:ascii="宋体" w:hAnsi="宋体"/>
          <w:sz w:val="24"/>
          <w:szCs w:val="24"/>
        </w:rPr>
      </w:pPr>
      <w:r>
        <w:rPr>
          <w:rFonts w:hint="eastAsia" w:ascii="宋体" w:hAnsi="宋体"/>
          <w:sz w:val="24"/>
          <w:szCs w:val="24"/>
        </w:rPr>
        <w:t>3.9.2 评标委员会完成评标后，应向招标人提交书面评标报告。</w:t>
      </w:r>
    </w:p>
    <w:p>
      <w:pPr>
        <w:spacing w:before="120" w:beforeLines="50" w:after="120" w:afterLines="50" w:line="240" w:lineRule="auto"/>
        <w:rPr>
          <w:rFonts w:hint="eastAsia" w:ascii="黑体" w:hAnsi="黑体" w:eastAsia="黑体"/>
          <w:b/>
          <w:bCs/>
          <w:sz w:val="28"/>
          <w:szCs w:val="28"/>
        </w:rPr>
      </w:pPr>
      <w:r>
        <w:rPr>
          <w:rFonts w:hint="eastAsia" w:ascii="黑体" w:hAnsi="黑体" w:eastAsia="黑体"/>
          <w:b/>
          <w:bCs/>
          <w:sz w:val="28"/>
          <w:szCs w:val="28"/>
        </w:rPr>
        <w:t>3.10  其他补充内容</w:t>
      </w:r>
    </w:p>
    <w:p>
      <w:pPr>
        <w:spacing w:line="240" w:lineRule="auto"/>
        <w:ind w:firstLine="480" w:firstLineChars="200"/>
        <w:rPr>
          <w:rFonts w:ascii="宋体" w:hAnsi="宋体"/>
          <w:sz w:val="24"/>
          <w:szCs w:val="24"/>
        </w:rPr>
      </w:pPr>
      <w:r>
        <w:rPr>
          <w:rFonts w:hint="eastAsia" w:ascii="宋体" w:hAnsi="宋体"/>
          <w:sz w:val="24"/>
          <w:szCs w:val="24"/>
        </w:rPr>
        <w:t>见评标办法前附表。</w:t>
      </w:r>
    </w:p>
    <w:p>
      <w:pPr>
        <w:spacing w:before="120" w:beforeLines="50" w:after="120" w:afterLines="50" w:line="240" w:lineRule="auto"/>
        <w:rPr>
          <w:rFonts w:hint="eastAsia" w:eastAsia="黑体"/>
          <w:lang w:val="en-US" w:eastAsia="zh-CN"/>
        </w:rPr>
      </w:pPr>
    </w:p>
    <w:sectPr>
      <w:headerReference r:id="rId5" w:type="first"/>
      <w:footerReference r:id="rId8" w:type="first"/>
      <w:headerReference r:id="rId4" w:type="default"/>
      <w:footerReference r:id="rId6" w:type="default"/>
      <w:footerReference r:id="rId7" w:type="even"/>
      <w:footnotePr>
        <w:numFmt w:val="decimalEnclosedCircleChinese"/>
        <w:numRestart w:val="eachPage"/>
      </w:footnotePr>
      <w:pgSz w:w="11906" w:h="16838"/>
      <w:pgMar w:top="1440" w:right="1701" w:bottom="1440" w:left="1701" w:header="624" w:footer="850"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昆仑仿宋">
    <w:altName w:val="@黑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420" w:lineRule="exact"/>
      <w:jc w:val="center"/>
    </w:pPr>
    <w:r>
      <mc:AlternateContent>
        <mc:Choice Requires="wps">
          <w:drawing>
            <wp:anchor distT="45720" distB="45720" distL="114300" distR="114300" simplePos="0" relativeHeight="251660288" behindDoc="0" locked="0" layoutInCell="1" allowOverlap="1">
              <wp:simplePos x="0" y="0"/>
              <wp:positionH relativeFrom="column">
                <wp:posOffset>3497580</wp:posOffset>
              </wp:positionH>
              <wp:positionV relativeFrom="paragraph">
                <wp:posOffset>109220</wp:posOffset>
              </wp:positionV>
              <wp:extent cx="1901825" cy="365125"/>
              <wp:effectExtent l="0" t="0" r="3175" b="15875"/>
              <wp:wrapSquare wrapText="bothSides"/>
              <wp:docPr id="2" name="文本框 2"/>
              <wp:cNvGraphicFramePr/>
              <a:graphic xmlns:a="http://schemas.openxmlformats.org/drawingml/2006/main">
                <a:graphicData uri="http://schemas.microsoft.com/office/word/2010/wordprocessingShape">
                  <wps:wsp>
                    <wps:cNvSpPr txBox="1"/>
                    <wps:spPr>
                      <a:xfrm>
                        <a:off x="0" y="0"/>
                        <a:ext cx="1901825" cy="365125"/>
                      </a:xfrm>
                      <a:prstGeom prst="rect">
                        <a:avLst/>
                      </a:prstGeom>
                      <a:solidFill>
                        <a:srgbClr val="FFFFFF"/>
                      </a:solidFill>
                      <a:ln w="9525">
                        <a:noFill/>
                      </a:ln>
                    </wps:spPr>
                    <wps:txbx>
                      <w:txbxContent>
                        <w:p>
                          <w:pPr>
                            <w:rPr>
                              <w:rFonts w:ascii="楷体" w:hAnsi="楷体" w:eastAsia="楷体"/>
                              <w:b/>
                              <w:bCs/>
                              <w:color w:val="4472C4"/>
                              <w:sz w:val="18"/>
                              <w:szCs w:val="18"/>
                            </w:rPr>
                          </w:pPr>
                          <w:r>
                            <w:rPr>
                              <w:rFonts w:hint="eastAsia" w:ascii="楷体" w:hAnsi="楷体" w:eastAsia="楷体"/>
                              <w:b/>
                              <w:bCs/>
                              <w:color w:val="4472C4"/>
                              <w:sz w:val="18"/>
                              <w:szCs w:val="18"/>
                            </w:rPr>
                            <w:t>贵州智聚招标造价咨询有限公司</w:t>
                          </w:r>
                        </w:p>
                      </w:txbxContent>
                    </wps:txbx>
                    <wps:bodyPr wrap="square" lIns="91440" tIns="0" rIns="91440" bIns="0" upright="1"/>
                  </wps:wsp>
                </a:graphicData>
              </a:graphic>
            </wp:anchor>
          </w:drawing>
        </mc:Choice>
        <mc:Fallback>
          <w:pict>
            <v:shape id="_x0000_s1026" o:spid="_x0000_s1026" o:spt="202" type="#_x0000_t202" style="position:absolute;left:0pt;margin-left:275.4pt;margin-top:8.6pt;height:28.75pt;width:149.75pt;mso-wrap-distance-bottom:3.6pt;mso-wrap-distance-left:9pt;mso-wrap-distance-right:9pt;mso-wrap-distance-top:3.6pt;z-index:251660288;mso-width-relative:page;mso-height-relative:page;" fillcolor="#FFFFFF" filled="t" stroked="f" coordsize="21600,21600" o:gfxdata="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QJYmdcAAAAJAQAADwAAAAAAAAABACAAAAAiAAAAZHJzL2Rv&#10;d25yZXYueG1sUEsBAhQAFAAAAAgAh07iQO1OCsbJAQAAbAMAAA4AAAAAAAAAAQAgAAAAJgEAAGRy&#10;cy9lMm9Eb2MueG1sUEsFBgAAAAAGAAYAWQEAAGEFAAAAAA==&#10;">
              <v:fill on="t" focussize="0,0"/>
              <v:stroke on="f"/>
              <v:imagedata o:title=""/>
              <o:lock v:ext="edit" aspectratio="f"/>
              <v:textbox inset="2.54mm,0mm,2.54mm,0mm">
                <w:txbxContent>
                  <w:p>
                    <w:pPr>
                      <w:rPr>
                        <w:rFonts w:ascii="楷体" w:hAnsi="楷体" w:eastAsia="楷体"/>
                        <w:b/>
                        <w:bCs/>
                        <w:color w:val="4472C4"/>
                        <w:sz w:val="18"/>
                        <w:szCs w:val="18"/>
                      </w:rPr>
                    </w:pPr>
                    <w:r>
                      <w:rPr>
                        <w:rFonts w:hint="eastAsia" w:ascii="楷体" w:hAnsi="楷体" w:eastAsia="楷体"/>
                        <w:b/>
                        <w:bCs/>
                        <w:color w:val="4472C4"/>
                        <w:sz w:val="18"/>
                        <w:szCs w:val="18"/>
                      </w:rPr>
                      <w:t>贵州智聚招标造价咨询有限公司</w:t>
                    </w: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-41910</wp:posOffset>
              </wp:positionH>
              <wp:positionV relativeFrom="paragraph">
                <wp:posOffset>109220</wp:posOffset>
              </wp:positionV>
              <wp:extent cx="2419350" cy="365125"/>
              <wp:effectExtent l="0" t="0" r="0" b="15875"/>
              <wp:wrapSquare wrapText="bothSides"/>
              <wp:docPr id="1" name="文本框 2"/>
              <wp:cNvGraphicFramePr/>
              <a:graphic xmlns:a="http://schemas.openxmlformats.org/drawingml/2006/main">
                <a:graphicData uri="http://schemas.microsoft.com/office/word/2010/wordprocessingShape">
                  <wps:wsp>
                    <wps:cNvSpPr txBox="1"/>
                    <wps:spPr>
                      <a:xfrm>
                        <a:off x="0" y="0"/>
                        <a:ext cx="2419350" cy="365125"/>
                      </a:xfrm>
                      <a:prstGeom prst="rect">
                        <a:avLst/>
                      </a:prstGeom>
                      <a:solidFill>
                        <a:srgbClr val="FFFFFF"/>
                      </a:solidFill>
                      <a:ln w="9525">
                        <a:noFill/>
                      </a:ln>
                    </wps:spPr>
                    <wps:txbx>
                      <w:txbxContent>
                        <w:p>
                          <w:pPr>
                            <w:rPr>
                              <w:rFonts w:ascii="楷体" w:hAnsi="楷体" w:eastAsia="楷体"/>
                              <w:b/>
                              <w:bCs/>
                              <w:color w:val="4472C4"/>
                              <w:sz w:val="18"/>
                              <w:szCs w:val="18"/>
                            </w:rPr>
                          </w:pPr>
                          <w:r>
                            <w:rPr>
                              <w:rFonts w:hint="eastAsia" w:ascii="楷体" w:hAnsi="楷体" w:eastAsia="楷体"/>
                              <w:b/>
                              <w:bCs/>
                              <w:color w:val="4472C4"/>
                              <w:sz w:val="18"/>
                              <w:szCs w:val="18"/>
                            </w:rPr>
                            <w:t>贵州中能建南方建投纳赫高速公路有限公司</w:t>
                          </w:r>
                        </w:p>
                      </w:txbxContent>
                    </wps:txbx>
                    <wps:bodyPr wrap="square" lIns="91440" tIns="0" rIns="91440" bIns="0" upright="1"/>
                  </wps:wsp>
                </a:graphicData>
              </a:graphic>
            </wp:anchor>
          </w:drawing>
        </mc:Choice>
        <mc:Fallback>
          <w:pict>
            <v:shape id="文本框 2" o:spid="_x0000_s1026" o:spt="202" type="#_x0000_t202" style="position:absolute;left:0pt;margin-left:-3.3pt;margin-top:8.6pt;height:28.75pt;width:190.5pt;mso-wrap-distance-bottom:3.6pt;mso-wrap-distance-left:9pt;mso-wrap-distance-right:9pt;mso-wrap-distance-top:3.6pt;z-index:251659264;mso-width-relative:page;mso-height-relative:page;" fillcolor="#FFFFFF" filled="t" stroked="f" coordsize="21600,21600" o:gfxdata="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p13fNcAAAAIAQAADwAAAAAAAAABACAAAAAiAAAAZHJzL2Rv&#10;d25yZXYueG1sUEsBAhQAFAAAAAgAh07iQO1tIRHJAQAAbAMAAA4AAAAAAAAAAQAgAAAAJgEAAGRy&#10;cy9lMm9Eb2MueG1sUEsFBgAAAAAGAAYAWQEAAGEFAAAAAA==&#10;">
              <v:fill on="t" focussize="0,0"/>
              <v:stroke on="f"/>
              <v:imagedata o:title=""/>
              <o:lock v:ext="edit" aspectratio="f"/>
              <v:textbox inset="2.54mm,0mm,2.54mm,0mm">
                <w:txbxContent>
                  <w:p>
                    <w:pPr>
                      <w:rPr>
                        <w:rFonts w:ascii="楷体" w:hAnsi="楷体" w:eastAsia="楷体"/>
                        <w:b/>
                        <w:bCs/>
                        <w:color w:val="4472C4"/>
                        <w:sz w:val="18"/>
                        <w:szCs w:val="18"/>
                      </w:rPr>
                    </w:pPr>
                    <w:r>
                      <w:rPr>
                        <w:rFonts w:hint="eastAsia" w:ascii="楷体" w:hAnsi="楷体" w:eastAsia="楷体"/>
                        <w:b/>
                        <w:bCs/>
                        <w:color w:val="4472C4"/>
                        <w:sz w:val="18"/>
                        <w:szCs w:val="18"/>
                      </w:rPr>
                      <w:t>贵州中能建南方建投纳赫高速公路有限公司</w:t>
                    </w:r>
                  </w:p>
                </w:txbxContent>
              </v:textbox>
              <w10:wrap type="square"/>
            </v:shape>
          </w:pict>
        </mc:Fallback>
      </mc:AlternateContent>
    </w: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fldChar w:fldCharType="begin"/>
    </w:r>
    <w:r>
      <w:rPr>
        <w:rStyle w:val="40"/>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8"/>
        <w:spacing w:line="240" w:lineRule="exact"/>
        <w:ind w:firstLine="0"/>
        <w:rPr>
          <w:rFonts w:ascii="宋体" w:hAnsi="宋体"/>
        </w:rPr>
      </w:pPr>
      <w:r>
        <w:rPr>
          <w:rStyle w:val="44"/>
          <w:rFonts w:ascii="宋体" w:hAnsi="宋体"/>
          <w:vertAlign w:val="baseline"/>
        </w:rPr>
        <w:footnoteRef/>
      </w:r>
      <w:r>
        <w:rPr>
          <w:rFonts w:ascii="宋体" w:hAnsi="宋体"/>
        </w:rPr>
        <w:t xml:space="preserve"> </w:t>
      </w:r>
      <w:r>
        <w:rPr>
          <w:rFonts w:hint="eastAsia" w:ascii="宋体" w:hAnsi="宋体"/>
        </w:rPr>
        <w:t>招标人应根据项目具体情况确定各评分因素及评分因素权重分值，并对各评分因素进行细分（如有）、确定各评分因素细分项的分值，各评分因素权重分值合计应为100分。各评分因素（评标价和履约信誉评分项除外）得分一般不得低于其权重分值的60%，且各评分因素（评分因素指技术建议书、主要人员、其他因素）得分应以评标委员会各成员的打分平均值确定，评标委员会成员总数为七人及以上时，该平均值以去掉一个最高和一个最低分后计算。评标委员会成员对某一项评分因素的评分低于权重分值60%的，应在评标报告中作出说明。</w:t>
      </w:r>
    </w:p>
  </w:footnote>
  <w:footnote w:id="1">
    <w:p>
      <w:pPr>
        <w:pStyle w:val="28"/>
        <w:spacing w:line="240" w:lineRule="exact"/>
        <w:ind w:firstLine="0"/>
        <w:rPr>
          <w:rFonts w:ascii="宋体" w:hAnsi="宋体"/>
        </w:rPr>
      </w:pPr>
      <w:r>
        <w:rPr>
          <w:rStyle w:val="44"/>
          <w:rFonts w:ascii="宋体" w:hAnsi="宋体"/>
          <w:vertAlign w:val="baseline"/>
        </w:rPr>
        <w:footnoteRef/>
      </w:r>
      <w:r>
        <w:rPr>
          <w:rFonts w:ascii="宋体" w:hAnsi="宋体"/>
        </w:rPr>
        <w:t xml:space="preserve"> </w:t>
      </w:r>
      <w:r>
        <w:rPr>
          <w:rFonts w:hint="eastAsia" w:ascii="宋体" w:hAnsi="宋体"/>
        </w:rPr>
        <w:t>招标人应列明各评分因素或评分因素细分项（如有）的评分标准并作为评标委员会进行评分的依据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rPr>
        <w:rFonts w:hint="eastAsia" w:ascii="楷体" w:hAnsi="楷体" w:eastAsia="楷体"/>
        <w:color w:val="0070C0"/>
        <w:sz w:val="18"/>
        <w:szCs w:val="18"/>
        <w:lang w:val="en-US" w:eastAsia="zh-CN"/>
      </w:rPr>
    </w:pPr>
    <w:r>
      <w:rPr>
        <w:rFonts w:hint="eastAsia" w:ascii="楷体" w:hAnsi="楷体" w:eastAsia="楷体"/>
        <w:color w:val="0070C0"/>
        <w:sz w:val="18"/>
        <w:szCs w:val="18"/>
      </w:rPr>
      <w:t>贵州省纳雍至赫章高速公路隧道超前地质预报、监控量测及隧道检测服务招标</w:t>
    </w:r>
    <w:r>
      <w:rPr>
        <w:rFonts w:hint="eastAsia" w:ascii="楷体" w:hAnsi="楷体" w:eastAsia="楷体"/>
        <w:color w:val="0070C0"/>
        <w:sz w:val="18"/>
        <w:szCs w:val="18"/>
        <w:lang w:val="en-US" w:eastAsia="zh-CN"/>
      </w:rPr>
      <w:t>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31A4"/>
    <w:multiLevelType w:val="multilevel"/>
    <w:tmpl w:val="0FCF31A4"/>
    <w:lvl w:ilvl="0" w:tentative="0">
      <w:start w:val="1"/>
      <w:numFmt w:val="decimal"/>
      <w:pStyle w:val="146"/>
      <w:lvlText w:val="(%1)"/>
      <w:lvlJc w:val="left"/>
      <w:pPr>
        <w:tabs>
          <w:tab w:val="left" w:pos="480"/>
        </w:tabs>
        <w:ind w:left="480" w:hanging="36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
    <w:nsid w:val="30A27F98"/>
    <w:multiLevelType w:val="singleLevel"/>
    <w:tmpl w:val="30A27F98"/>
    <w:lvl w:ilvl="0" w:tentative="0">
      <w:start w:val="1"/>
      <w:numFmt w:val="decimal"/>
      <w:pStyle w:val="35"/>
      <w:lvlText w:val="%1."/>
      <w:lvlJc w:val="left"/>
      <w:pPr>
        <w:tabs>
          <w:tab w:val="left" w:pos="425"/>
        </w:tabs>
        <w:ind w:left="425" w:hanging="425"/>
      </w:pPr>
    </w:lvl>
  </w:abstractNum>
  <w:abstractNum w:abstractNumId="2">
    <w:nsid w:val="3BA72BC6"/>
    <w:multiLevelType w:val="multilevel"/>
    <w:tmpl w:val="3BA72BC6"/>
    <w:lvl w:ilvl="0" w:tentative="0">
      <w:start w:val="1"/>
      <w:numFmt w:val="japaneseCounting"/>
      <w:pStyle w:val="71"/>
      <w:lvlText w:val="（%1）"/>
      <w:lvlJc w:val="left"/>
      <w:pPr>
        <w:tabs>
          <w:tab w:val="left" w:pos="1393"/>
        </w:tabs>
        <w:ind w:left="1393" w:hanging="855"/>
      </w:pPr>
      <w:rPr>
        <w:rFonts w:hint="eastAsia"/>
      </w:rPr>
    </w:lvl>
    <w:lvl w:ilvl="1" w:tentative="0">
      <w:start w:val="1"/>
      <w:numFmt w:val="lowerLetter"/>
      <w:lvlText w:val="%2)"/>
      <w:lvlJc w:val="left"/>
      <w:pPr>
        <w:tabs>
          <w:tab w:val="left" w:pos="1378"/>
        </w:tabs>
        <w:ind w:left="1378" w:hanging="420"/>
      </w:p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3">
    <w:nsid w:val="56E2776C"/>
    <w:multiLevelType w:val="singleLevel"/>
    <w:tmpl w:val="56E2776C"/>
    <w:lvl w:ilvl="0" w:tentative="0">
      <w:start w:val="1"/>
      <w:numFmt w:val="chineseCountingThousand"/>
      <w:pStyle w:val="134"/>
      <w:lvlText w:val="%1"/>
      <w:lvlJc w:val="left"/>
      <w:pPr>
        <w:tabs>
          <w:tab w:val="left" w:pos="480"/>
        </w:tabs>
        <w:ind w:left="480" w:hanging="48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attachedTemplate r:id="rId1"/>
  <w:documentProtection w:enforcement="0"/>
  <w:defaultTabStop w:val="1079"/>
  <w:doNotHyphenateCaps/>
  <w:drawingGridHorizontalSpacing w:val="105"/>
  <w:drawingGridVerticalSpacing w:val="156"/>
  <w:displayHorizontalDrawingGridEvery w:val="1"/>
  <w:displayVerticalDrawingGridEvery w:val="1"/>
  <w:doNotShadeFormData w:val="1"/>
  <w:noPunctuationKerning w:val="1"/>
  <w:characterSpacingControl w:val="doNotCompress"/>
  <w:footnotePr>
    <w:numFmt w:val="decimalEnclosedCircleChinese"/>
    <w:numRestart w:val="eachPage"/>
  </w:foot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CB"/>
    <w:rsid w:val="000009DF"/>
    <w:rsid w:val="000010A3"/>
    <w:rsid w:val="000012A2"/>
    <w:rsid w:val="0000172C"/>
    <w:rsid w:val="00002530"/>
    <w:rsid w:val="000028C9"/>
    <w:rsid w:val="00002913"/>
    <w:rsid w:val="0000320F"/>
    <w:rsid w:val="00003D01"/>
    <w:rsid w:val="00003E5B"/>
    <w:rsid w:val="00004EBD"/>
    <w:rsid w:val="00005E94"/>
    <w:rsid w:val="00006157"/>
    <w:rsid w:val="000061F7"/>
    <w:rsid w:val="00006387"/>
    <w:rsid w:val="00006E45"/>
    <w:rsid w:val="000078AB"/>
    <w:rsid w:val="00007BE6"/>
    <w:rsid w:val="00007D77"/>
    <w:rsid w:val="0001092B"/>
    <w:rsid w:val="00010AD1"/>
    <w:rsid w:val="00010E89"/>
    <w:rsid w:val="000114DA"/>
    <w:rsid w:val="00011789"/>
    <w:rsid w:val="000124B0"/>
    <w:rsid w:val="0001296E"/>
    <w:rsid w:val="00013338"/>
    <w:rsid w:val="0001365A"/>
    <w:rsid w:val="00014705"/>
    <w:rsid w:val="000154CC"/>
    <w:rsid w:val="000161E8"/>
    <w:rsid w:val="00016241"/>
    <w:rsid w:val="000162AE"/>
    <w:rsid w:val="0001653E"/>
    <w:rsid w:val="000165BE"/>
    <w:rsid w:val="00017FEC"/>
    <w:rsid w:val="000201D6"/>
    <w:rsid w:val="000221D4"/>
    <w:rsid w:val="00022632"/>
    <w:rsid w:val="000227BB"/>
    <w:rsid w:val="00022FB8"/>
    <w:rsid w:val="00023D09"/>
    <w:rsid w:val="000255C1"/>
    <w:rsid w:val="00026138"/>
    <w:rsid w:val="00026279"/>
    <w:rsid w:val="00026B50"/>
    <w:rsid w:val="00026B5F"/>
    <w:rsid w:val="00027065"/>
    <w:rsid w:val="0002737F"/>
    <w:rsid w:val="00027425"/>
    <w:rsid w:val="00027507"/>
    <w:rsid w:val="00030606"/>
    <w:rsid w:val="00030A62"/>
    <w:rsid w:val="00030B32"/>
    <w:rsid w:val="000317CC"/>
    <w:rsid w:val="000319A8"/>
    <w:rsid w:val="00031BE9"/>
    <w:rsid w:val="00031DF6"/>
    <w:rsid w:val="000325D9"/>
    <w:rsid w:val="000326D9"/>
    <w:rsid w:val="000326FD"/>
    <w:rsid w:val="000334F4"/>
    <w:rsid w:val="00033728"/>
    <w:rsid w:val="00033733"/>
    <w:rsid w:val="00033AF0"/>
    <w:rsid w:val="00033DEF"/>
    <w:rsid w:val="00034104"/>
    <w:rsid w:val="000349A3"/>
    <w:rsid w:val="00034A9E"/>
    <w:rsid w:val="0003526B"/>
    <w:rsid w:val="00035650"/>
    <w:rsid w:val="0003631B"/>
    <w:rsid w:val="00037E2B"/>
    <w:rsid w:val="0004070D"/>
    <w:rsid w:val="0004096D"/>
    <w:rsid w:val="000413D0"/>
    <w:rsid w:val="0004185C"/>
    <w:rsid w:val="00041C0C"/>
    <w:rsid w:val="0004201C"/>
    <w:rsid w:val="0004293F"/>
    <w:rsid w:val="000448A5"/>
    <w:rsid w:val="00044D9A"/>
    <w:rsid w:val="000450FE"/>
    <w:rsid w:val="0004520D"/>
    <w:rsid w:val="00045237"/>
    <w:rsid w:val="00045BE7"/>
    <w:rsid w:val="00050E47"/>
    <w:rsid w:val="000514AC"/>
    <w:rsid w:val="00052222"/>
    <w:rsid w:val="000527D3"/>
    <w:rsid w:val="00052A5F"/>
    <w:rsid w:val="00052F09"/>
    <w:rsid w:val="000530E0"/>
    <w:rsid w:val="000538FE"/>
    <w:rsid w:val="0005423F"/>
    <w:rsid w:val="000543EB"/>
    <w:rsid w:val="000551D8"/>
    <w:rsid w:val="00055A70"/>
    <w:rsid w:val="00055DF6"/>
    <w:rsid w:val="0005734C"/>
    <w:rsid w:val="000578F8"/>
    <w:rsid w:val="0006079E"/>
    <w:rsid w:val="00060F15"/>
    <w:rsid w:val="00060FCD"/>
    <w:rsid w:val="00062580"/>
    <w:rsid w:val="000625AE"/>
    <w:rsid w:val="00062649"/>
    <w:rsid w:val="00062CF4"/>
    <w:rsid w:val="00064118"/>
    <w:rsid w:val="00064830"/>
    <w:rsid w:val="00064AED"/>
    <w:rsid w:val="00065C36"/>
    <w:rsid w:val="00066250"/>
    <w:rsid w:val="0006627E"/>
    <w:rsid w:val="00066579"/>
    <w:rsid w:val="00066A1E"/>
    <w:rsid w:val="00066B7A"/>
    <w:rsid w:val="00066C06"/>
    <w:rsid w:val="00067B55"/>
    <w:rsid w:val="00067DB2"/>
    <w:rsid w:val="00067DB3"/>
    <w:rsid w:val="00067E5D"/>
    <w:rsid w:val="00067FA5"/>
    <w:rsid w:val="00071281"/>
    <w:rsid w:val="000716AF"/>
    <w:rsid w:val="00071745"/>
    <w:rsid w:val="00071875"/>
    <w:rsid w:val="00071BE8"/>
    <w:rsid w:val="000721A4"/>
    <w:rsid w:val="000728BE"/>
    <w:rsid w:val="00072B38"/>
    <w:rsid w:val="00072C35"/>
    <w:rsid w:val="00072D20"/>
    <w:rsid w:val="00073A8B"/>
    <w:rsid w:val="00074828"/>
    <w:rsid w:val="00074D99"/>
    <w:rsid w:val="000763ED"/>
    <w:rsid w:val="00076B0D"/>
    <w:rsid w:val="00077654"/>
    <w:rsid w:val="00080007"/>
    <w:rsid w:val="0008044E"/>
    <w:rsid w:val="000806A6"/>
    <w:rsid w:val="00080804"/>
    <w:rsid w:val="00080F1A"/>
    <w:rsid w:val="0008146A"/>
    <w:rsid w:val="00081631"/>
    <w:rsid w:val="0008168A"/>
    <w:rsid w:val="0008194C"/>
    <w:rsid w:val="0008270E"/>
    <w:rsid w:val="000833B3"/>
    <w:rsid w:val="00083A05"/>
    <w:rsid w:val="00083AAE"/>
    <w:rsid w:val="00084511"/>
    <w:rsid w:val="0008456A"/>
    <w:rsid w:val="000845B9"/>
    <w:rsid w:val="00084ABF"/>
    <w:rsid w:val="00085830"/>
    <w:rsid w:val="00085E85"/>
    <w:rsid w:val="00085FC8"/>
    <w:rsid w:val="000860A4"/>
    <w:rsid w:val="000869D9"/>
    <w:rsid w:val="0008716F"/>
    <w:rsid w:val="00090827"/>
    <w:rsid w:val="000913AC"/>
    <w:rsid w:val="0009152C"/>
    <w:rsid w:val="00091579"/>
    <w:rsid w:val="00091990"/>
    <w:rsid w:val="00091D19"/>
    <w:rsid w:val="00091D74"/>
    <w:rsid w:val="000925CC"/>
    <w:rsid w:val="00092DCB"/>
    <w:rsid w:val="00092FEC"/>
    <w:rsid w:val="00093906"/>
    <w:rsid w:val="00093DB1"/>
    <w:rsid w:val="000945AB"/>
    <w:rsid w:val="000947C1"/>
    <w:rsid w:val="00094E56"/>
    <w:rsid w:val="000953A8"/>
    <w:rsid w:val="000954A1"/>
    <w:rsid w:val="00095F60"/>
    <w:rsid w:val="00096956"/>
    <w:rsid w:val="00096B89"/>
    <w:rsid w:val="00096C68"/>
    <w:rsid w:val="00096DDD"/>
    <w:rsid w:val="00097209"/>
    <w:rsid w:val="0009729C"/>
    <w:rsid w:val="0009740A"/>
    <w:rsid w:val="00097B8B"/>
    <w:rsid w:val="000A1017"/>
    <w:rsid w:val="000A12AA"/>
    <w:rsid w:val="000A22A3"/>
    <w:rsid w:val="000A2308"/>
    <w:rsid w:val="000A281E"/>
    <w:rsid w:val="000A2BA4"/>
    <w:rsid w:val="000A3980"/>
    <w:rsid w:val="000A45CA"/>
    <w:rsid w:val="000A505C"/>
    <w:rsid w:val="000A577C"/>
    <w:rsid w:val="000A6A27"/>
    <w:rsid w:val="000A72DD"/>
    <w:rsid w:val="000A7594"/>
    <w:rsid w:val="000A7627"/>
    <w:rsid w:val="000A78F1"/>
    <w:rsid w:val="000B0A36"/>
    <w:rsid w:val="000B0D22"/>
    <w:rsid w:val="000B0D30"/>
    <w:rsid w:val="000B17CA"/>
    <w:rsid w:val="000B2AF0"/>
    <w:rsid w:val="000B30A8"/>
    <w:rsid w:val="000B3D38"/>
    <w:rsid w:val="000B3E41"/>
    <w:rsid w:val="000B453A"/>
    <w:rsid w:val="000B4573"/>
    <w:rsid w:val="000B4635"/>
    <w:rsid w:val="000B4D1D"/>
    <w:rsid w:val="000B595B"/>
    <w:rsid w:val="000B5ADC"/>
    <w:rsid w:val="000B5E3B"/>
    <w:rsid w:val="000B64CD"/>
    <w:rsid w:val="000B6BC9"/>
    <w:rsid w:val="000B7163"/>
    <w:rsid w:val="000B7363"/>
    <w:rsid w:val="000B751D"/>
    <w:rsid w:val="000C00C0"/>
    <w:rsid w:val="000C1708"/>
    <w:rsid w:val="000C1DF8"/>
    <w:rsid w:val="000C2828"/>
    <w:rsid w:val="000C2C92"/>
    <w:rsid w:val="000C3743"/>
    <w:rsid w:val="000C3776"/>
    <w:rsid w:val="000C418C"/>
    <w:rsid w:val="000C4266"/>
    <w:rsid w:val="000C4CDC"/>
    <w:rsid w:val="000C5323"/>
    <w:rsid w:val="000C5459"/>
    <w:rsid w:val="000C5F89"/>
    <w:rsid w:val="000C608A"/>
    <w:rsid w:val="000C61CA"/>
    <w:rsid w:val="000C6E11"/>
    <w:rsid w:val="000C7A54"/>
    <w:rsid w:val="000C7C3E"/>
    <w:rsid w:val="000D068D"/>
    <w:rsid w:val="000D0FE6"/>
    <w:rsid w:val="000D0FF9"/>
    <w:rsid w:val="000D15DF"/>
    <w:rsid w:val="000D1AAA"/>
    <w:rsid w:val="000D2DB9"/>
    <w:rsid w:val="000D2F9A"/>
    <w:rsid w:val="000D368E"/>
    <w:rsid w:val="000D3A7C"/>
    <w:rsid w:val="000D42C3"/>
    <w:rsid w:val="000D533D"/>
    <w:rsid w:val="000D5846"/>
    <w:rsid w:val="000D5B03"/>
    <w:rsid w:val="000D5CD8"/>
    <w:rsid w:val="000D63A0"/>
    <w:rsid w:val="000D6756"/>
    <w:rsid w:val="000D6F08"/>
    <w:rsid w:val="000D710D"/>
    <w:rsid w:val="000D73B1"/>
    <w:rsid w:val="000D7687"/>
    <w:rsid w:val="000E0229"/>
    <w:rsid w:val="000E0AF2"/>
    <w:rsid w:val="000E0B6F"/>
    <w:rsid w:val="000E12B7"/>
    <w:rsid w:val="000E12F2"/>
    <w:rsid w:val="000E13E5"/>
    <w:rsid w:val="000E1C68"/>
    <w:rsid w:val="000E2C06"/>
    <w:rsid w:val="000E31C0"/>
    <w:rsid w:val="000E3665"/>
    <w:rsid w:val="000E369E"/>
    <w:rsid w:val="000E3CC0"/>
    <w:rsid w:val="000E450F"/>
    <w:rsid w:val="000E45AC"/>
    <w:rsid w:val="000E4D6A"/>
    <w:rsid w:val="000E57CE"/>
    <w:rsid w:val="000E66B3"/>
    <w:rsid w:val="000E70CA"/>
    <w:rsid w:val="000E7966"/>
    <w:rsid w:val="000E7F76"/>
    <w:rsid w:val="000F01E7"/>
    <w:rsid w:val="000F09BD"/>
    <w:rsid w:val="000F17B9"/>
    <w:rsid w:val="000F1F07"/>
    <w:rsid w:val="000F299B"/>
    <w:rsid w:val="000F2B30"/>
    <w:rsid w:val="000F33B7"/>
    <w:rsid w:val="000F39E6"/>
    <w:rsid w:val="000F3DE6"/>
    <w:rsid w:val="000F44B8"/>
    <w:rsid w:val="000F49CB"/>
    <w:rsid w:val="000F4D81"/>
    <w:rsid w:val="000F4E5D"/>
    <w:rsid w:val="000F4F95"/>
    <w:rsid w:val="000F52AD"/>
    <w:rsid w:val="000F60D5"/>
    <w:rsid w:val="000F6D79"/>
    <w:rsid w:val="000F6ED5"/>
    <w:rsid w:val="000F6FB2"/>
    <w:rsid w:val="001002B0"/>
    <w:rsid w:val="00100810"/>
    <w:rsid w:val="00100BD6"/>
    <w:rsid w:val="00100D4D"/>
    <w:rsid w:val="00101440"/>
    <w:rsid w:val="001015DA"/>
    <w:rsid w:val="00101697"/>
    <w:rsid w:val="00101C15"/>
    <w:rsid w:val="00101DD9"/>
    <w:rsid w:val="00101DF8"/>
    <w:rsid w:val="00102202"/>
    <w:rsid w:val="0010248E"/>
    <w:rsid w:val="00102D7C"/>
    <w:rsid w:val="001035D0"/>
    <w:rsid w:val="0010398E"/>
    <w:rsid w:val="0010417A"/>
    <w:rsid w:val="0010427B"/>
    <w:rsid w:val="00105BBC"/>
    <w:rsid w:val="00105CD6"/>
    <w:rsid w:val="00106CC2"/>
    <w:rsid w:val="00106D91"/>
    <w:rsid w:val="001071D4"/>
    <w:rsid w:val="00107496"/>
    <w:rsid w:val="00107726"/>
    <w:rsid w:val="00107984"/>
    <w:rsid w:val="00107E32"/>
    <w:rsid w:val="001100C2"/>
    <w:rsid w:val="001101AA"/>
    <w:rsid w:val="00110BA5"/>
    <w:rsid w:val="00110D70"/>
    <w:rsid w:val="001110A6"/>
    <w:rsid w:val="001113C2"/>
    <w:rsid w:val="00111797"/>
    <w:rsid w:val="00112137"/>
    <w:rsid w:val="0011223B"/>
    <w:rsid w:val="001124CB"/>
    <w:rsid w:val="00112E4B"/>
    <w:rsid w:val="001130FE"/>
    <w:rsid w:val="0011313C"/>
    <w:rsid w:val="00113446"/>
    <w:rsid w:val="0011344B"/>
    <w:rsid w:val="00113742"/>
    <w:rsid w:val="00113753"/>
    <w:rsid w:val="00114B29"/>
    <w:rsid w:val="00116028"/>
    <w:rsid w:val="001176C1"/>
    <w:rsid w:val="001178F1"/>
    <w:rsid w:val="001200E0"/>
    <w:rsid w:val="001201CE"/>
    <w:rsid w:val="00120294"/>
    <w:rsid w:val="001202FF"/>
    <w:rsid w:val="00120CF9"/>
    <w:rsid w:val="00122489"/>
    <w:rsid w:val="00122661"/>
    <w:rsid w:val="001236EE"/>
    <w:rsid w:val="00124500"/>
    <w:rsid w:val="00124F8D"/>
    <w:rsid w:val="00124FE0"/>
    <w:rsid w:val="001254D7"/>
    <w:rsid w:val="00125557"/>
    <w:rsid w:val="00125F4B"/>
    <w:rsid w:val="00126408"/>
    <w:rsid w:val="00126BEB"/>
    <w:rsid w:val="00127349"/>
    <w:rsid w:val="00127375"/>
    <w:rsid w:val="00130353"/>
    <w:rsid w:val="001309A5"/>
    <w:rsid w:val="00130B3D"/>
    <w:rsid w:val="00131977"/>
    <w:rsid w:val="00131FFD"/>
    <w:rsid w:val="001333C2"/>
    <w:rsid w:val="0013382B"/>
    <w:rsid w:val="0013384F"/>
    <w:rsid w:val="001338AA"/>
    <w:rsid w:val="00133BBC"/>
    <w:rsid w:val="001340E6"/>
    <w:rsid w:val="0013474D"/>
    <w:rsid w:val="00134B1F"/>
    <w:rsid w:val="00135C2E"/>
    <w:rsid w:val="00135DE0"/>
    <w:rsid w:val="00136347"/>
    <w:rsid w:val="0013671C"/>
    <w:rsid w:val="00137373"/>
    <w:rsid w:val="00140621"/>
    <w:rsid w:val="0014137F"/>
    <w:rsid w:val="00141FC4"/>
    <w:rsid w:val="0014279C"/>
    <w:rsid w:val="00143510"/>
    <w:rsid w:val="001440E6"/>
    <w:rsid w:val="00144338"/>
    <w:rsid w:val="00144759"/>
    <w:rsid w:val="00145404"/>
    <w:rsid w:val="00145C82"/>
    <w:rsid w:val="00146795"/>
    <w:rsid w:val="00147323"/>
    <w:rsid w:val="00147507"/>
    <w:rsid w:val="001509F3"/>
    <w:rsid w:val="00150BE9"/>
    <w:rsid w:val="00150D02"/>
    <w:rsid w:val="00150DAD"/>
    <w:rsid w:val="00150F79"/>
    <w:rsid w:val="00150FEF"/>
    <w:rsid w:val="001515E0"/>
    <w:rsid w:val="00152638"/>
    <w:rsid w:val="00153506"/>
    <w:rsid w:val="00153577"/>
    <w:rsid w:val="001535D3"/>
    <w:rsid w:val="00153997"/>
    <w:rsid w:val="00153A77"/>
    <w:rsid w:val="00154495"/>
    <w:rsid w:val="00154CE7"/>
    <w:rsid w:val="00155396"/>
    <w:rsid w:val="001556BD"/>
    <w:rsid w:val="00157450"/>
    <w:rsid w:val="00160249"/>
    <w:rsid w:val="001606B3"/>
    <w:rsid w:val="00160772"/>
    <w:rsid w:val="00160D7C"/>
    <w:rsid w:val="001616CB"/>
    <w:rsid w:val="00161B09"/>
    <w:rsid w:val="00162F20"/>
    <w:rsid w:val="001634C5"/>
    <w:rsid w:val="00163851"/>
    <w:rsid w:val="00163F94"/>
    <w:rsid w:val="0016439A"/>
    <w:rsid w:val="001644C3"/>
    <w:rsid w:val="001645E0"/>
    <w:rsid w:val="001647AD"/>
    <w:rsid w:val="001648F3"/>
    <w:rsid w:val="00164D70"/>
    <w:rsid w:val="00166F5D"/>
    <w:rsid w:val="0016747F"/>
    <w:rsid w:val="0017070D"/>
    <w:rsid w:val="00170748"/>
    <w:rsid w:val="00170B47"/>
    <w:rsid w:val="00170D0E"/>
    <w:rsid w:val="0017251B"/>
    <w:rsid w:val="00172621"/>
    <w:rsid w:val="00172A96"/>
    <w:rsid w:val="00172C13"/>
    <w:rsid w:val="00172ECA"/>
    <w:rsid w:val="00172FE0"/>
    <w:rsid w:val="001730E2"/>
    <w:rsid w:val="0017319A"/>
    <w:rsid w:val="0017402A"/>
    <w:rsid w:val="00174136"/>
    <w:rsid w:val="0017446C"/>
    <w:rsid w:val="00174AFF"/>
    <w:rsid w:val="00175F66"/>
    <w:rsid w:val="0017658F"/>
    <w:rsid w:val="00176B9E"/>
    <w:rsid w:val="00176E0B"/>
    <w:rsid w:val="00177983"/>
    <w:rsid w:val="00180C69"/>
    <w:rsid w:val="00180D70"/>
    <w:rsid w:val="00181621"/>
    <w:rsid w:val="001818DE"/>
    <w:rsid w:val="00183270"/>
    <w:rsid w:val="00183A7E"/>
    <w:rsid w:val="00183AE3"/>
    <w:rsid w:val="0018436E"/>
    <w:rsid w:val="00184373"/>
    <w:rsid w:val="00184680"/>
    <w:rsid w:val="00184F56"/>
    <w:rsid w:val="00185018"/>
    <w:rsid w:val="001852EC"/>
    <w:rsid w:val="0018539F"/>
    <w:rsid w:val="00185F1B"/>
    <w:rsid w:val="001860BF"/>
    <w:rsid w:val="001864F9"/>
    <w:rsid w:val="00187007"/>
    <w:rsid w:val="001872C1"/>
    <w:rsid w:val="001877B2"/>
    <w:rsid w:val="00187A6E"/>
    <w:rsid w:val="00190141"/>
    <w:rsid w:val="0019087D"/>
    <w:rsid w:val="00190F67"/>
    <w:rsid w:val="001912DD"/>
    <w:rsid w:val="00191B5A"/>
    <w:rsid w:val="00191F88"/>
    <w:rsid w:val="00193103"/>
    <w:rsid w:val="00193CC3"/>
    <w:rsid w:val="001943BD"/>
    <w:rsid w:val="001948B8"/>
    <w:rsid w:val="001949F6"/>
    <w:rsid w:val="001951C5"/>
    <w:rsid w:val="00195CD7"/>
    <w:rsid w:val="00196152"/>
    <w:rsid w:val="0019622B"/>
    <w:rsid w:val="00196440"/>
    <w:rsid w:val="00196961"/>
    <w:rsid w:val="00196CD2"/>
    <w:rsid w:val="00196DCB"/>
    <w:rsid w:val="00196E80"/>
    <w:rsid w:val="001A010C"/>
    <w:rsid w:val="001A0709"/>
    <w:rsid w:val="001A0F9E"/>
    <w:rsid w:val="001A1B5F"/>
    <w:rsid w:val="001A1D28"/>
    <w:rsid w:val="001A28E6"/>
    <w:rsid w:val="001A2F97"/>
    <w:rsid w:val="001A34A3"/>
    <w:rsid w:val="001A3554"/>
    <w:rsid w:val="001A3ACC"/>
    <w:rsid w:val="001A3B2F"/>
    <w:rsid w:val="001A3C8D"/>
    <w:rsid w:val="001A3E56"/>
    <w:rsid w:val="001A3F8E"/>
    <w:rsid w:val="001A4445"/>
    <w:rsid w:val="001A4584"/>
    <w:rsid w:val="001A46EA"/>
    <w:rsid w:val="001A488F"/>
    <w:rsid w:val="001A541C"/>
    <w:rsid w:val="001A61E0"/>
    <w:rsid w:val="001A694F"/>
    <w:rsid w:val="001A7005"/>
    <w:rsid w:val="001A724C"/>
    <w:rsid w:val="001A729D"/>
    <w:rsid w:val="001B0E11"/>
    <w:rsid w:val="001B114D"/>
    <w:rsid w:val="001B1F0A"/>
    <w:rsid w:val="001B2063"/>
    <w:rsid w:val="001B3320"/>
    <w:rsid w:val="001B34AA"/>
    <w:rsid w:val="001B55C0"/>
    <w:rsid w:val="001B5615"/>
    <w:rsid w:val="001B5A34"/>
    <w:rsid w:val="001B6549"/>
    <w:rsid w:val="001B6F03"/>
    <w:rsid w:val="001B77DE"/>
    <w:rsid w:val="001B7F46"/>
    <w:rsid w:val="001C0B1C"/>
    <w:rsid w:val="001C0BAF"/>
    <w:rsid w:val="001C0D67"/>
    <w:rsid w:val="001C1B9B"/>
    <w:rsid w:val="001C1ED2"/>
    <w:rsid w:val="001C1F0D"/>
    <w:rsid w:val="001C2A7A"/>
    <w:rsid w:val="001C2CD0"/>
    <w:rsid w:val="001C3A45"/>
    <w:rsid w:val="001C3D3C"/>
    <w:rsid w:val="001C3D94"/>
    <w:rsid w:val="001C4669"/>
    <w:rsid w:val="001C4A46"/>
    <w:rsid w:val="001C528B"/>
    <w:rsid w:val="001C55B1"/>
    <w:rsid w:val="001C58F7"/>
    <w:rsid w:val="001C5952"/>
    <w:rsid w:val="001C6272"/>
    <w:rsid w:val="001C62FC"/>
    <w:rsid w:val="001C6619"/>
    <w:rsid w:val="001C6E0D"/>
    <w:rsid w:val="001C72BF"/>
    <w:rsid w:val="001D04F2"/>
    <w:rsid w:val="001D05FB"/>
    <w:rsid w:val="001D08EA"/>
    <w:rsid w:val="001D0AAC"/>
    <w:rsid w:val="001D0E31"/>
    <w:rsid w:val="001D1112"/>
    <w:rsid w:val="001D1D44"/>
    <w:rsid w:val="001D1EB9"/>
    <w:rsid w:val="001D1F9F"/>
    <w:rsid w:val="001D2C45"/>
    <w:rsid w:val="001D34F2"/>
    <w:rsid w:val="001D3CC5"/>
    <w:rsid w:val="001D461A"/>
    <w:rsid w:val="001D4AD1"/>
    <w:rsid w:val="001D4C29"/>
    <w:rsid w:val="001D4E6B"/>
    <w:rsid w:val="001D503B"/>
    <w:rsid w:val="001D5334"/>
    <w:rsid w:val="001D55D8"/>
    <w:rsid w:val="001D5696"/>
    <w:rsid w:val="001D5E89"/>
    <w:rsid w:val="001D5F3E"/>
    <w:rsid w:val="001D7135"/>
    <w:rsid w:val="001D7DFE"/>
    <w:rsid w:val="001D7F4A"/>
    <w:rsid w:val="001E10AB"/>
    <w:rsid w:val="001E1CA3"/>
    <w:rsid w:val="001E2336"/>
    <w:rsid w:val="001E2DEB"/>
    <w:rsid w:val="001E3324"/>
    <w:rsid w:val="001E3831"/>
    <w:rsid w:val="001E3E0B"/>
    <w:rsid w:val="001E3E67"/>
    <w:rsid w:val="001E5D08"/>
    <w:rsid w:val="001E6085"/>
    <w:rsid w:val="001E609C"/>
    <w:rsid w:val="001E627E"/>
    <w:rsid w:val="001E6397"/>
    <w:rsid w:val="001E6478"/>
    <w:rsid w:val="001E7412"/>
    <w:rsid w:val="001E75AD"/>
    <w:rsid w:val="001E776D"/>
    <w:rsid w:val="001E7946"/>
    <w:rsid w:val="001F03B5"/>
    <w:rsid w:val="001F0406"/>
    <w:rsid w:val="001F0556"/>
    <w:rsid w:val="001F06D9"/>
    <w:rsid w:val="001F0827"/>
    <w:rsid w:val="001F184D"/>
    <w:rsid w:val="001F1D23"/>
    <w:rsid w:val="001F2F47"/>
    <w:rsid w:val="001F312F"/>
    <w:rsid w:val="001F327D"/>
    <w:rsid w:val="001F35D2"/>
    <w:rsid w:val="001F35FD"/>
    <w:rsid w:val="001F3770"/>
    <w:rsid w:val="001F3773"/>
    <w:rsid w:val="001F4242"/>
    <w:rsid w:val="001F42FA"/>
    <w:rsid w:val="001F4651"/>
    <w:rsid w:val="001F52E3"/>
    <w:rsid w:val="001F59B7"/>
    <w:rsid w:val="001F5DC8"/>
    <w:rsid w:val="001F6054"/>
    <w:rsid w:val="001F6797"/>
    <w:rsid w:val="001F6FC3"/>
    <w:rsid w:val="001F70DB"/>
    <w:rsid w:val="001F7455"/>
    <w:rsid w:val="001F7A22"/>
    <w:rsid w:val="001F7A40"/>
    <w:rsid w:val="001F7D56"/>
    <w:rsid w:val="002001E1"/>
    <w:rsid w:val="0020033B"/>
    <w:rsid w:val="00200DC0"/>
    <w:rsid w:val="002011B4"/>
    <w:rsid w:val="002015F8"/>
    <w:rsid w:val="00201BBD"/>
    <w:rsid w:val="0020205C"/>
    <w:rsid w:val="00202892"/>
    <w:rsid w:val="002030A9"/>
    <w:rsid w:val="002036AA"/>
    <w:rsid w:val="00203783"/>
    <w:rsid w:val="00203A71"/>
    <w:rsid w:val="002041CE"/>
    <w:rsid w:val="002047E0"/>
    <w:rsid w:val="00204F27"/>
    <w:rsid w:val="0020522A"/>
    <w:rsid w:val="002055F4"/>
    <w:rsid w:val="002061C6"/>
    <w:rsid w:val="00206DA7"/>
    <w:rsid w:val="00207348"/>
    <w:rsid w:val="00207CB1"/>
    <w:rsid w:val="00207CF1"/>
    <w:rsid w:val="00210D33"/>
    <w:rsid w:val="00210E09"/>
    <w:rsid w:val="00210EBD"/>
    <w:rsid w:val="00210FCC"/>
    <w:rsid w:val="0021117E"/>
    <w:rsid w:val="002113DC"/>
    <w:rsid w:val="00211E6F"/>
    <w:rsid w:val="00212164"/>
    <w:rsid w:val="002123DB"/>
    <w:rsid w:val="0021252C"/>
    <w:rsid w:val="0021304F"/>
    <w:rsid w:val="00213387"/>
    <w:rsid w:val="00213596"/>
    <w:rsid w:val="002136BE"/>
    <w:rsid w:val="002141FE"/>
    <w:rsid w:val="002149B3"/>
    <w:rsid w:val="00214A35"/>
    <w:rsid w:val="00214CEF"/>
    <w:rsid w:val="002150F4"/>
    <w:rsid w:val="002151D1"/>
    <w:rsid w:val="002152B3"/>
    <w:rsid w:val="00215651"/>
    <w:rsid w:val="00215A3D"/>
    <w:rsid w:val="00215E29"/>
    <w:rsid w:val="00215FE0"/>
    <w:rsid w:val="00216417"/>
    <w:rsid w:val="00216977"/>
    <w:rsid w:val="002202F8"/>
    <w:rsid w:val="00220712"/>
    <w:rsid w:val="00220A93"/>
    <w:rsid w:val="0022205B"/>
    <w:rsid w:val="00222550"/>
    <w:rsid w:val="00222855"/>
    <w:rsid w:val="00223318"/>
    <w:rsid w:val="0022394C"/>
    <w:rsid w:val="00224013"/>
    <w:rsid w:val="0022404D"/>
    <w:rsid w:val="00224BC8"/>
    <w:rsid w:val="00224ECE"/>
    <w:rsid w:val="0022517A"/>
    <w:rsid w:val="00225A13"/>
    <w:rsid w:val="00225DCB"/>
    <w:rsid w:val="00226912"/>
    <w:rsid w:val="00226EFD"/>
    <w:rsid w:val="0022700F"/>
    <w:rsid w:val="00231545"/>
    <w:rsid w:val="0023217A"/>
    <w:rsid w:val="00234512"/>
    <w:rsid w:val="00234BA7"/>
    <w:rsid w:val="0023534C"/>
    <w:rsid w:val="002356AF"/>
    <w:rsid w:val="002358ED"/>
    <w:rsid w:val="00235CDC"/>
    <w:rsid w:val="00235CE1"/>
    <w:rsid w:val="00236ED0"/>
    <w:rsid w:val="002376B6"/>
    <w:rsid w:val="0024014A"/>
    <w:rsid w:val="002405A1"/>
    <w:rsid w:val="00242BC6"/>
    <w:rsid w:val="002439FA"/>
    <w:rsid w:val="00243EC0"/>
    <w:rsid w:val="00243F24"/>
    <w:rsid w:val="00244E9B"/>
    <w:rsid w:val="00245213"/>
    <w:rsid w:val="00245770"/>
    <w:rsid w:val="00245962"/>
    <w:rsid w:val="002463C0"/>
    <w:rsid w:val="0024654D"/>
    <w:rsid w:val="0024660D"/>
    <w:rsid w:val="002468A8"/>
    <w:rsid w:val="00246AC9"/>
    <w:rsid w:val="00246C92"/>
    <w:rsid w:val="00247789"/>
    <w:rsid w:val="0024791E"/>
    <w:rsid w:val="00247BAE"/>
    <w:rsid w:val="00247BF2"/>
    <w:rsid w:val="00250178"/>
    <w:rsid w:val="00250B3B"/>
    <w:rsid w:val="002515BB"/>
    <w:rsid w:val="00251C36"/>
    <w:rsid w:val="00252A1C"/>
    <w:rsid w:val="00253FF6"/>
    <w:rsid w:val="00254003"/>
    <w:rsid w:val="002548C0"/>
    <w:rsid w:val="00254DA2"/>
    <w:rsid w:val="00256DD9"/>
    <w:rsid w:val="00256DF7"/>
    <w:rsid w:val="00257161"/>
    <w:rsid w:val="0025786B"/>
    <w:rsid w:val="00257C3B"/>
    <w:rsid w:val="00260AE6"/>
    <w:rsid w:val="00260FD1"/>
    <w:rsid w:val="002617C3"/>
    <w:rsid w:val="00261C22"/>
    <w:rsid w:val="00261E32"/>
    <w:rsid w:val="0026229D"/>
    <w:rsid w:val="002624B6"/>
    <w:rsid w:val="00263714"/>
    <w:rsid w:val="002642F7"/>
    <w:rsid w:val="002648EB"/>
    <w:rsid w:val="002653DF"/>
    <w:rsid w:val="0026548D"/>
    <w:rsid w:val="0026584D"/>
    <w:rsid w:val="00265B45"/>
    <w:rsid w:val="00265D14"/>
    <w:rsid w:val="00266DF5"/>
    <w:rsid w:val="00266FC3"/>
    <w:rsid w:val="00266FE5"/>
    <w:rsid w:val="002700EB"/>
    <w:rsid w:val="00272676"/>
    <w:rsid w:val="00272ADA"/>
    <w:rsid w:val="00273B0E"/>
    <w:rsid w:val="002742AB"/>
    <w:rsid w:val="002758CD"/>
    <w:rsid w:val="00275923"/>
    <w:rsid w:val="002762B7"/>
    <w:rsid w:val="0027642E"/>
    <w:rsid w:val="0027655A"/>
    <w:rsid w:val="002775C1"/>
    <w:rsid w:val="00277789"/>
    <w:rsid w:val="00280CEA"/>
    <w:rsid w:val="00280FB2"/>
    <w:rsid w:val="00282207"/>
    <w:rsid w:val="00282DE4"/>
    <w:rsid w:val="002835FB"/>
    <w:rsid w:val="00284E65"/>
    <w:rsid w:val="00285162"/>
    <w:rsid w:val="002851E8"/>
    <w:rsid w:val="00285293"/>
    <w:rsid w:val="0028563A"/>
    <w:rsid w:val="00285983"/>
    <w:rsid w:val="0028624E"/>
    <w:rsid w:val="0028666C"/>
    <w:rsid w:val="00286B2A"/>
    <w:rsid w:val="002872CD"/>
    <w:rsid w:val="00287411"/>
    <w:rsid w:val="002902B1"/>
    <w:rsid w:val="00291D62"/>
    <w:rsid w:val="00291EDF"/>
    <w:rsid w:val="00292486"/>
    <w:rsid w:val="00292665"/>
    <w:rsid w:val="00293343"/>
    <w:rsid w:val="002941D9"/>
    <w:rsid w:val="002942B1"/>
    <w:rsid w:val="00295948"/>
    <w:rsid w:val="00295961"/>
    <w:rsid w:val="002959E7"/>
    <w:rsid w:val="0029645B"/>
    <w:rsid w:val="00296A80"/>
    <w:rsid w:val="00297D9B"/>
    <w:rsid w:val="002A006F"/>
    <w:rsid w:val="002A06B8"/>
    <w:rsid w:val="002A06FC"/>
    <w:rsid w:val="002A0817"/>
    <w:rsid w:val="002A0C17"/>
    <w:rsid w:val="002A124F"/>
    <w:rsid w:val="002A16CD"/>
    <w:rsid w:val="002A2554"/>
    <w:rsid w:val="002A29C4"/>
    <w:rsid w:val="002A3C02"/>
    <w:rsid w:val="002A41FA"/>
    <w:rsid w:val="002A4FCF"/>
    <w:rsid w:val="002A64A0"/>
    <w:rsid w:val="002A69F0"/>
    <w:rsid w:val="002A6D42"/>
    <w:rsid w:val="002B0A27"/>
    <w:rsid w:val="002B0AF1"/>
    <w:rsid w:val="002B1310"/>
    <w:rsid w:val="002B15EC"/>
    <w:rsid w:val="002B3256"/>
    <w:rsid w:val="002B33D7"/>
    <w:rsid w:val="002B3D55"/>
    <w:rsid w:val="002B5366"/>
    <w:rsid w:val="002B57FE"/>
    <w:rsid w:val="002B5A85"/>
    <w:rsid w:val="002B7292"/>
    <w:rsid w:val="002B7A40"/>
    <w:rsid w:val="002B7BC5"/>
    <w:rsid w:val="002B7D71"/>
    <w:rsid w:val="002C0782"/>
    <w:rsid w:val="002C0B5E"/>
    <w:rsid w:val="002C0E8D"/>
    <w:rsid w:val="002C1740"/>
    <w:rsid w:val="002C1763"/>
    <w:rsid w:val="002C25D8"/>
    <w:rsid w:val="002C2A87"/>
    <w:rsid w:val="002C30C3"/>
    <w:rsid w:val="002C38D2"/>
    <w:rsid w:val="002C4313"/>
    <w:rsid w:val="002C4769"/>
    <w:rsid w:val="002C4D29"/>
    <w:rsid w:val="002C4EB1"/>
    <w:rsid w:val="002C5584"/>
    <w:rsid w:val="002C5B54"/>
    <w:rsid w:val="002C5CE6"/>
    <w:rsid w:val="002C5FB8"/>
    <w:rsid w:val="002C6D7E"/>
    <w:rsid w:val="002C6FE3"/>
    <w:rsid w:val="002C70B1"/>
    <w:rsid w:val="002C7577"/>
    <w:rsid w:val="002C7DCF"/>
    <w:rsid w:val="002D075C"/>
    <w:rsid w:val="002D0911"/>
    <w:rsid w:val="002D0CFF"/>
    <w:rsid w:val="002D0D81"/>
    <w:rsid w:val="002D17FA"/>
    <w:rsid w:val="002D2EC1"/>
    <w:rsid w:val="002D30F5"/>
    <w:rsid w:val="002D3458"/>
    <w:rsid w:val="002D3777"/>
    <w:rsid w:val="002D429F"/>
    <w:rsid w:val="002D51B4"/>
    <w:rsid w:val="002D5625"/>
    <w:rsid w:val="002D5C56"/>
    <w:rsid w:val="002D5F47"/>
    <w:rsid w:val="002D61E2"/>
    <w:rsid w:val="002D666E"/>
    <w:rsid w:val="002D6777"/>
    <w:rsid w:val="002D6FB4"/>
    <w:rsid w:val="002E031C"/>
    <w:rsid w:val="002E0EE3"/>
    <w:rsid w:val="002E2143"/>
    <w:rsid w:val="002E257B"/>
    <w:rsid w:val="002E29A8"/>
    <w:rsid w:val="002E32EC"/>
    <w:rsid w:val="002E3DAA"/>
    <w:rsid w:val="002E4DE8"/>
    <w:rsid w:val="002E4E1F"/>
    <w:rsid w:val="002E4E9F"/>
    <w:rsid w:val="002E55A9"/>
    <w:rsid w:val="002E69CF"/>
    <w:rsid w:val="002E71A5"/>
    <w:rsid w:val="002F02F1"/>
    <w:rsid w:val="002F0BFF"/>
    <w:rsid w:val="002F1277"/>
    <w:rsid w:val="002F2C0A"/>
    <w:rsid w:val="002F2C61"/>
    <w:rsid w:val="002F3580"/>
    <w:rsid w:val="002F3E89"/>
    <w:rsid w:val="002F419B"/>
    <w:rsid w:val="002F502C"/>
    <w:rsid w:val="002F57E0"/>
    <w:rsid w:val="002F5D64"/>
    <w:rsid w:val="002F69E4"/>
    <w:rsid w:val="002F7352"/>
    <w:rsid w:val="002F7E2E"/>
    <w:rsid w:val="003002C8"/>
    <w:rsid w:val="00300D01"/>
    <w:rsid w:val="00300F12"/>
    <w:rsid w:val="00300FC2"/>
    <w:rsid w:val="00301618"/>
    <w:rsid w:val="0030187F"/>
    <w:rsid w:val="00302268"/>
    <w:rsid w:val="0030229A"/>
    <w:rsid w:val="00302891"/>
    <w:rsid w:val="00302D30"/>
    <w:rsid w:val="003030C7"/>
    <w:rsid w:val="003037C3"/>
    <w:rsid w:val="00303E08"/>
    <w:rsid w:val="00303ED6"/>
    <w:rsid w:val="003049E6"/>
    <w:rsid w:val="00305008"/>
    <w:rsid w:val="00305435"/>
    <w:rsid w:val="0030657C"/>
    <w:rsid w:val="00306668"/>
    <w:rsid w:val="00306CC5"/>
    <w:rsid w:val="00307232"/>
    <w:rsid w:val="00307A17"/>
    <w:rsid w:val="003101A6"/>
    <w:rsid w:val="0031053D"/>
    <w:rsid w:val="003108E2"/>
    <w:rsid w:val="00310BF9"/>
    <w:rsid w:val="00311AE1"/>
    <w:rsid w:val="003127B1"/>
    <w:rsid w:val="00312F3B"/>
    <w:rsid w:val="00313905"/>
    <w:rsid w:val="00313E4D"/>
    <w:rsid w:val="00314A90"/>
    <w:rsid w:val="0031539D"/>
    <w:rsid w:val="003159C9"/>
    <w:rsid w:val="00315E2C"/>
    <w:rsid w:val="003163F4"/>
    <w:rsid w:val="00316D12"/>
    <w:rsid w:val="00317A62"/>
    <w:rsid w:val="003218F4"/>
    <w:rsid w:val="00321B41"/>
    <w:rsid w:val="00321BE0"/>
    <w:rsid w:val="003220A0"/>
    <w:rsid w:val="00322481"/>
    <w:rsid w:val="00322599"/>
    <w:rsid w:val="00322DAC"/>
    <w:rsid w:val="00323283"/>
    <w:rsid w:val="003235AC"/>
    <w:rsid w:val="00323AA9"/>
    <w:rsid w:val="00323FB8"/>
    <w:rsid w:val="003242B7"/>
    <w:rsid w:val="00324D0A"/>
    <w:rsid w:val="00324E88"/>
    <w:rsid w:val="003254C8"/>
    <w:rsid w:val="00325A92"/>
    <w:rsid w:val="00325DDE"/>
    <w:rsid w:val="00325ECD"/>
    <w:rsid w:val="00326004"/>
    <w:rsid w:val="00326126"/>
    <w:rsid w:val="00326890"/>
    <w:rsid w:val="003269CE"/>
    <w:rsid w:val="00327039"/>
    <w:rsid w:val="00327201"/>
    <w:rsid w:val="00330D93"/>
    <w:rsid w:val="00330DC0"/>
    <w:rsid w:val="00330F7C"/>
    <w:rsid w:val="00331126"/>
    <w:rsid w:val="00331380"/>
    <w:rsid w:val="00331E05"/>
    <w:rsid w:val="0033220A"/>
    <w:rsid w:val="00332811"/>
    <w:rsid w:val="003330F3"/>
    <w:rsid w:val="0033311D"/>
    <w:rsid w:val="00333923"/>
    <w:rsid w:val="003339F2"/>
    <w:rsid w:val="00333AB4"/>
    <w:rsid w:val="00333C33"/>
    <w:rsid w:val="00333DCD"/>
    <w:rsid w:val="003342A5"/>
    <w:rsid w:val="0033444C"/>
    <w:rsid w:val="00334C24"/>
    <w:rsid w:val="00334EEE"/>
    <w:rsid w:val="003351CF"/>
    <w:rsid w:val="003356D8"/>
    <w:rsid w:val="003358C2"/>
    <w:rsid w:val="00335B04"/>
    <w:rsid w:val="00336762"/>
    <w:rsid w:val="00336902"/>
    <w:rsid w:val="0033693F"/>
    <w:rsid w:val="00336B10"/>
    <w:rsid w:val="00341AF1"/>
    <w:rsid w:val="00341B64"/>
    <w:rsid w:val="00341CB6"/>
    <w:rsid w:val="00341E73"/>
    <w:rsid w:val="003437CA"/>
    <w:rsid w:val="00343B83"/>
    <w:rsid w:val="003450EE"/>
    <w:rsid w:val="00345548"/>
    <w:rsid w:val="003455AB"/>
    <w:rsid w:val="00345ADF"/>
    <w:rsid w:val="00346843"/>
    <w:rsid w:val="00346A7D"/>
    <w:rsid w:val="003470A3"/>
    <w:rsid w:val="003471F4"/>
    <w:rsid w:val="0034724B"/>
    <w:rsid w:val="003478B7"/>
    <w:rsid w:val="00347948"/>
    <w:rsid w:val="00350845"/>
    <w:rsid w:val="00350B87"/>
    <w:rsid w:val="0035178A"/>
    <w:rsid w:val="00352820"/>
    <w:rsid w:val="003528C9"/>
    <w:rsid w:val="003533F8"/>
    <w:rsid w:val="003536B9"/>
    <w:rsid w:val="00353D8E"/>
    <w:rsid w:val="00353E32"/>
    <w:rsid w:val="003540B9"/>
    <w:rsid w:val="00354486"/>
    <w:rsid w:val="003546A0"/>
    <w:rsid w:val="00354F56"/>
    <w:rsid w:val="00354FBD"/>
    <w:rsid w:val="00355C78"/>
    <w:rsid w:val="00355D70"/>
    <w:rsid w:val="00357FED"/>
    <w:rsid w:val="003600E2"/>
    <w:rsid w:val="003601A5"/>
    <w:rsid w:val="0036038E"/>
    <w:rsid w:val="003611FA"/>
    <w:rsid w:val="00361835"/>
    <w:rsid w:val="00361C2F"/>
    <w:rsid w:val="00362199"/>
    <w:rsid w:val="0036262A"/>
    <w:rsid w:val="00362B97"/>
    <w:rsid w:val="00362EFD"/>
    <w:rsid w:val="00364042"/>
    <w:rsid w:val="003641A3"/>
    <w:rsid w:val="003646F2"/>
    <w:rsid w:val="00364F94"/>
    <w:rsid w:val="003659B6"/>
    <w:rsid w:val="00365F1C"/>
    <w:rsid w:val="00366439"/>
    <w:rsid w:val="00366723"/>
    <w:rsid w:val="003667BD"/>
    <w:rsid w:val="003668F1"/>
    <w:rsid w:val="0036714C"/>
    <w:rsid w:val="003671CB"/>
    <w:rsid w:val="00367738"/>
    <w:rsid w:val="003679B0"/>
    <w:rsid w:val="00367CC4"/>
    <w:rsid w:val="003706F6"/>
    <w:rsid w:val="0037131A"/>
    <w:rsid w:val="00371AF4"/>
    <w:rsid w:val="0037259F"/>
    <w:rsid w:val="00373215"/>
    <w:rsid w:val="00373232"/>
    <w:rsid w:val="00373405"/>
    <w:rsid w:val="00373718"/>
    <w:rsid w:val="00373B26"/>
    <w:rsid w:val="00373CF3"/>
    <w:rsid w:val="00375949"/>
    <w:rsid w:val="00375BB3"/>
    <w:rsid w:val="00375CBE"/>
    <w:rsid w:val="0037626A"/>
    <w:rsid w:val="00376E5A"/>
    <w:rsid w:val="003777EC"/>
    <w:rsid w:val="00377A12"/>
    <w:rsid w:val="00377B86"/>
    <w:rsid w:val="00377D9F"/>
    <w:rsid w:val="003803D1"/>
    <w:rsid w:val="00380403"/>
    <w:rsid w:val="00380CFE"/>
    <w:rsid w:val="00381235"/>
    <w:rsid w:val="0038143F"/>
    <w:rsid w:val="00381B9E"/>
    <w:rsid w:val="0038241C"/>
    <w:rsid w:val="00382480"/>
    <w:rsid w:val="003826A1"/>
    <w:rsid w:val="00382B90"/>
    <w:rsid w:val="003835E6"/>
    <w:rsid w:val="00384CC8"/>
    <w:rsid w:val="003851B7"/>
    <w:rsid w:val="00385899"/>
    <w:rsid w:val="00385943"/>
    <w:rsid w:val="00386AD9"/>
    <w:rsid w:val="00386B5A"/>
    <w:rsid w:val="00390F7B"/>
    <w:rsid w:val="003915BA"/>
    <w:rsid w:val="0039164D"/>
    <w:rsid w:val="003919C0"/>
    <w:rsid w:val="00392296"/>
    <w:rsid w:val="003925CA"/>
    <w:rsid w:val="00393267"/>
    <w:rsid w:val="00393A19"/>
    <w:rsid w:val="0039426C"/>
    <w:rsid w:val="00394443"/>
    <w:rsid w:val="00394455"/>
    <w:rsid w:val="0039461E"/>
    <w:rsid w:val="00395C33"/>
    <w:rsid w:val="0039626F"/>
    <w:rsid w:val="00397375"/>
    <w:rsid w:val="0039748E"/>
    <w:rsid w:val="00397AC8"/>
    <w:rsid w:val="003A0319"/>
    <w:rsid w:val="003A04DD"/>
    <w:rsid w:val="003A07C8"/>
    <w:rsid w:val="003A08A2"/>
    <w:rsid w:val="003A0BCF"/>
    <w:rsid w:val="003A11AC"/>
    <w:rsid w:val="003A132F"/>
    <w:rsid w:val="003A13FA"/>
    <w:rsid w:val="003A153F"/>
    <w:rsid w:val="003A21B4"/>
    <w:rsid w:val="003A28A9"/>
    <w:rsid w:val="003A2B83"/>
    <w:rsid w:val="003A3192"/>
    <w:rsid w:val="003A3445"/>
    <w:rsid w:val="003A3F0A"/>
    <w:rsid w:val="003A49D5"/>
    <w:rsid w:val="003A4D10"/>
    <w:rsid w:val="003A4D71"/>
    <w:rsid w:val="003A4EE9"/>
    <w:rsid w:val="003A5197"/>
    <w:rsid w:val="003A5496"/>
    <w:rsid w:val="003A55F5"/>
    <w:rsid w:val="003A5DDF"/>
    <w:rsid w:val="003A6C8A"/>
    <w:rsid w:val="003A79FB"/>
    <w:rsid w:val="003A7AE2"/>
    <w:rsid w:val="003A7CC8"/>
    <w:rsid w:val="003B0179"/>
    <w:rsid w:val="003B02C1"/>
    <w:rsid w:val="003B0661"/>
    <w:rsid w:val="003B1743"/>
    <w:rsid w:val="003B1EED"/>
    <w:rsid w:val="003B2EC0"/>
    <w:rsid w:val="003B2FC4"/>
    <w:rsid w:val="003B3628"/>
    <w:rsid w:val="003B3814"/>
    <w:rsid w:val="003B5585"/>
    <w:rsid w:val="003B5A5C"/>
    <w:rsid w:val="003B5C02"/>
    <w:rsid w:val="003B5DC3"/>
    <w:rsid w:val="003B6A08"/>
    <w:rsid w:val="003B6A2D"/>
    <w:rsid w:val="003B6EFE"/>
    <w:rsid w:val="003B7B17"/>
    <w:rsid w:val="003C01E9"/>
    <w:rsid w:val="003C0289"/>
    <w:rsid w:val="003C059D"/>
    <w:rsid w:val="003C0B3E"/>
    <w:rsid w:val="003C16A6"/>
    <w:rsid w:val="003C24DC"/>
    <w:rsid w:val="003C25CE"/>
    <w:rsid w:val="003C27BD"/>
    <w:rsid w:val="003C27D3"/>
    <w:rsid w:val="003C3354"/>
    <w:rsid w:val="003C3914"/>
    <w:rsid w:val="003C3AAF"/>
    <w:rsid w:val="003C4432"/>
    <w:rsid w:val="003C4805"/>
    <w:rsid w:val="003C4E60"/>
    <w:rsid w:val="003C607D"/>
    <w:rsid w:val="003C65E9"/>
    <w:rsid w:val="003C6DF8"/>
    <w:rsid w:val="003C7227"/>
    <w:rsid w:val="003C7E96"/>
    <w:rsid w:val="003D07AA"/>
    <w:rsid w:val="003D08D3"/>
    <w:rsid w:val="003D0CE0"/>
    <w:rsid w:val="003D1457"/>
    <w:rsid w:val="003D216A"/>
    <w:rsid w:val="003D26B6"/>
    <w:rsid w:val="003D2BE1"/>
    <w:rsid w:val="003D2C18"/>
    <w:rsid w:val="003D3845"/>
    <w:rsid w:val="003D3EE3"/>
    <w:rsid w:val="003D4CBF"/>
    <w:rsid w:val="003D524B"/>
    <w:rsid w:val="003D5F73"/>
    <w:rsid w:val="003D60AC"/>
    <w:rsid w:val="003D6E46"/>
    <w:rsid w:val="003D718A"/>
    <w:rsid w:val="003D75D8"/>
    <w:rsid w:val="003D761D"/>
    <w:rsid w:val="003D7A59"/>
    <w:rsid w:val="003E022E"/>
    <w:rsid w:val="003E08AC"/>
    <w:rsid w:val="003E15BD"/>
    <w:rsid w:val="003E1AD6"/>
    <w:rsid w:val="003E1E7B"/>
    <w:rsid w:val="003E2015"/>
    <w:rsid w:val="003E367B"/>
    <w:rsid w:val="003E39A1"/>
    <w:rsid w:val="003E39FA"/>
    <w:rsid w:val="003E3E34"/>
    <w:rsid w:val="003E44AC"/>
    <w:rsid w:val="003E4C4E"/>
    <w:rsid w:val="003E5D33"/>
    <w:rsid w:val="003E6260"/>
    <w:rsid w:val="003E6F91"/>
    <w:rsid w:val="003E7919"/>
    <w:rsid w:val="003E7F0C"/>
    <w:rsid w:val="003F0216"/>
    <w:rsid w:val="003F0F13"/>
    <w:rsid w:val="003F2B8E"/>
    <w:rsid w:val="003F2CEF"/>
    <w:rsid w:val="003F30D3"/>
    <w:rsid w:val="003F32C7"/>
    <w:rsid w:val="003F5718"/>
    <w:rsid w:val="003F5C54"/>
    <w:rsid w:val="003F67B2"/>
    <w:rsid w:val="003F7576"/>
    <w:rsid w:val="004012E5"/>
    <w:rsid w:val="00401363"/>
    <w:rsid w:val="0040146A"/>
    <w:rsid w:val="0040167B"/>
    <w:rsid w:val="004022B5"/>
    <w:rsid w:val="0040260E"/>
    <w:rsid w:val="00403174"/>
    <w:rsid w:val="00403540"/>
    <w:rsid w:val="0040394C"/>
    <w:rsid w:val="00403A89"/>
    <w:rsid w:val="00404720"/>
    <w:rsid w:val="00404AC2"/>
    <w:rsid w:val="00405AD7"/>
    <w:rsid w:val="00405EC9"/>
    <w:rsid w:val="0040640A"/>
    <w:rsid w:val="00406E1E"/>
    <w:rsid w:val="004072D2"/>
    <w:rsid w:val="00411007"/>
    <w:rsid w:val="00411E3A"/>
    <w:rsid w:val="004133B2"/>
    <w:rsid w:val="00413677"/>
    <w:rsid w:val="00413B0B"/>
    <w:rsid w:val="0041489B"/>
    <w:rsid w:val="00417A92"/>
    <w:rsid w:val="0042057C"/>
    <w:rsid w:val="00420D41"/>
    <w:rsid w:val="00420D65"/>
    <w:rsid w:val="00421300"/>
    <w:rsid w:val="004216F1"/>
    <w:rsid w:val="0042173D"/>
    <w:rsid w:val="00423038"/>
    <w:rsid w:val="00423678"/>
    <w:rsid w:val="00425B55"/>
    <w:rsid w:val="00425F07"/>
    <w:rsid w:val="00426679"/>
    <w:rsid w:val="0042696A"/>
    <w:rsid w:val="00426EA3"/>
    <w:rsid w:val="0042719C"/>
    <w:rsid w:val="00427377"/>
    <w:rsid w:val="00427C90"/>
    <w:rsid w:val="004302BB"/>
    <w:rsid w:val="00430531"/>
    <w:rsid w:val="00430FE3"/>
    <w:rsid w:val="004315AE"/>
    <w:rsid w:val="0043174B"/>
    <w:rsid w:val="00431B9B"/>
    <w:rsid w:val="0043213D"/>
    <w:rsid w:val="004325E8"/>
    <w:rsid w:val="00433C73"/>
    <w:rsid w:val="00434826"/>
    <w:rsid w:val="00435513"/>
    <w:rsid w:val="0043675D"/>
    <w:rsid w:val="004371F0"/>
    <w:rsid w:val="00437FB5"/>
    <w:rsid w:val="00440165"/>
    <w:rsid w:val="00440348"/>
    <w:rsid w:val="00440BDF"/>
    <w:rsid w:val="00441097"/>
    <w:rsid w:val="004417B6"/>
    <w:rsid w:val="00441978"/>
    <w:rsid w:val="00441B00"/>
    <w:rsid w:val="00441FA3"/>
    <w:rsid w:val="00442013"/>
    <w:rsid w:val="0044304F"/>
    <w:rsid w:val="004432D8"/>
    <w:rsid w:val="0044377F"/>
    <w:rsid w:val="00444E02"/>
    <w:rsid w:val="00445093"/>
    <w:rsid w:val="00445680"/>
    <w:rsid w:val="0044627F"/>
    <w:rsid w:val="00446388"/>
    <w:rsid w:val="004466A2"/>
    <w:rsid w:val="0044690A"/>
    <w:rsid w:val="00446E35"/>
    <w:rsid w:val="0044702E"/>
    <w:rsid w:val="004470FA"/>
    <w:rsid w:val="0045026C"/>
    <w:rsid w:val="0045097F"/>
    <w:rsid w:val="00450AD2"/>
    <w:rsid w:val="004511B6"/>
    <w:rsid w:val="00454723"/>
    <w:rsid w:val="00455365"/>
    <w:rsid w:val="00455CD7"/>
    <w:rsid w:val="00455E66"/>
    <w:rsid w:val="0045611D"/>
    <w:rsid w:val="0045614B"/>
    <w:rsid w:val="004564EA"/>
    <w:rsid w:val="00457207"/>
    <w:rsid w:val="00457F23"/>
    <w:rsid w:val="0046126E"/>
    <w:rsid w:val="00461409"/>
    <w:rsid w:val="0046142B"/>
    <w:rsid w:val="00462550"/>
    <w:rsid w:val="00462E86"/>
    <w:rsid w:val="0046318C"/>
    <w:rsid w:val="00463441"/>
    <w:rsid w:val="00463871"/>
    <w:rsid w:val="004638A9"/>
    <w:rsid w:val="004639B4"/>
    <w:rsid w:val="00463CA4"/>
    <w:rsid w:val="00464B96"/>
    <w:rsid w:val="004653C7"/>
    <w:rsid w:val="00465E68"/>
    <w:rsid w:val="00465E70"/>
    <w:rsid w:val="00466523"/>
    <w:rsid w:val="004670B8"/>
    <w:rsid w:val="00467B81"/>
    <w:rsid w:val="00467F5D"/>
    <w:rsid w:val="00470628"/>
    <w:rsid w:val="004708B4"/>
    <w:rsid w:val="00470F4D"/>
    <w:rsid w:val="00470FD1"/>
    <w:rsid w:val="00471500"/>
    <w:rsid w:val="00471788"/>
    <w:rsid w:val="00471DB6"/>
    <w:rsid w:val="004720C5"/>
    <w:rsid w:val="00472153"/>
    <w:rsid w:val="00472506"/>
    <w:rsid w:val="00472B82"/>
    <w:rsid w:val="004737B8"/>
    <w:rsid w:val="0047401F"/>
    <w:rsid w:val="00474FA0"/>
    <w:rsid w:val="0047538D"/>
    <w:rsid w:val="004753E1"/>
    <w:rsid w:val="0047550C"/>
    <w:rsid w:val="004763E6"/>
    <w:rsid w:val="00477886"/>
    <w:rsid w:val="004779AA"/>
    <w:rsid w:val="004803F5"/>
    <w:rsid w:val="00480492"/>
    <w:rsid w:val="00482361"/>
    <w:rsid w:val="0048264F"/>
    <w:rsid w:val="004828A3"/>
    <w:rsid w:val="00483F6F"/>
    <w:rsid w:val="004843BE"/>
    <w:rsid w:val="00484426"/>
    <w:rsid w:val="004846FA"/>
    <w:rsid w:val="00484BBE"/>
    <w:rsid w:val="00484F56"/>
    <w:rsid w:val="00485052"/>
    <w:rsid w:val="004853FA"/>
    <w:rsid w:val="004858F0"/>
    <w:rsid w:val="00485ADC"/>
    <w:rsid w:val="0048663B"/>
    <w:rsid w:val="00487311"/>
    <w:rsid w:val="00487954"/>
    <w:rsid w:val="00487BEC"/>
    <w:rsid w:val="00487F1C"/>
    <w:rsid w:val="00487FC5"/>
    <w:rsid w:val="00490317"/>
    <w:rsid w:val="004903F7"/>
    <w:rsid w:val="00492433"/>
    <w:rsid w:val="0049295F"/>
    <w:rsid w:val="004930A5"/>
    <w:rsid w:val="004933D3"/>
    <w:rsid w:val="00493658"/>
    <w:rsid w:val="00495089"/>
    <w:rsid w:val="00495685"/>
    <w:rsid w:val="004961B1"/>
    <w:rsid w:val="00496BD9"/>
    <w:rsid w:val="00496EA3"/>
    <w:rsid w:val="00497146"/>
    <w:rsid w:val="004975EA"/>
    <w:rsid w:val="004976BC"/>
    <w:rsid w:val="00497DDB"/>
    <w:rsid w:val="00497E7D"/>
    <w:rsid w:val="004A0E7E"/>
    <w:rsid w:val="004A1047"/>
    <w:rsid w:val="004A10FC"/>
    <w:rsid w:val="004A1EDB"/>
    <w:rsid w:val="004A2840"/>
    <w:rsid w:val="004A28CA"/>
    <w:rsid w:val="004A317C"/>
    <w:rsid w:val="004A4897"/>
    <w:rsid w:val="004A5A9B"/>
    <w:rsid w:val="004A63C2"/>
    <w:rsid w:val="004A640C"/>
    <w:rsid w:val="004A708C"/>
    <w:rsid w:val="004A7D69"/>
    <w:rsid w:val="004B0878"/>
    <w:rsid w:val="004B08E2"/>
    <w:rsid w:val="004B08EB"/>
    <w:rsid w:val="004B0EDE"/>
    <w:rsid w:val="004B101B"/>
    <w:rsid w:val="004B289B"/>
    <w:rsid w:val="004B29A9"/>
    <w:rsid w:val="004B3098"/>
    <w:rsid w:val="004B3230"/>
    <w:rsid w:val="004B44ED"/>
    <w:rsid w:val="004B4965"/>
    <w:rsid w:val="004B535E"/>
    <w:rsid w:val="004B5CE1"/>
    <w:rsid w:val="004B6C70"/>
    <w:rsid w:val="004C03CC"/>
    <w:rsid w:val="004C0E10"/>
    <w:rsid w:val="004C12F3"/>
    <w:rsid w:val="004C19B6"/>
    <w:rsid w:val="004C1FF2"/>
    <w:rsid w:val="004C256D"/>
    <w:rsid w:val="004C26DF"/>
    <w:rsid w:val="004C27B7"/>
    <w:rsid w:val="004C293B"/>
    <w:rsid w:val="004C382B"/>
    <w:rsid w:val="004C58D1"/>
    <w:rsid w:val="004C59B4"/>
    <w:rsid w:val="004C6070"/>
    <w:rsid w:val="004C6221"/>
    <w:rsid w:val="004C6981"/>
    <w:rsid w:val="004C6CDA"/>
    <w:rsid w:val="004C74BD"/>
    <w:rsid w:val="004C7585"/>
    <w:rsid w:val="004D0329"/>
    <w:rsid w:val="004D102B"/>
    <w:rsid w:val="004D1CD9"/>
    <w:rsid w:val="004D2B69"/>
    <w:rsid w:val="004D2E42"/>
    <w:rsid w:val="004D2F31"/>
    <w:rsid w:val="004D3295"/>
    <w:rsid w:val="004D3F99"/>
    <w:rsid w:val="004D458E"/>
    <w:rsid w:val="004D4918"/>
    <w:rsid w:val="004D5C12"/>
    <w:rsid w:val="004D6D43"/>
    <w:rsid w:val="004D6FD8"/>
    <w:rsid w:val="004D70C8"/>
    <w:rsid w:val="004D7A16"/>
    <w:rsid w:val="004E0043"/>
    <w:rsid w:val="004E0122"/>
    <w:rsid w:val="004E0DE1"/>
    <w:rsid w:val="004E0E0C"/>
    <w:rsid w:val="004E173B"/>
    <w:rsid w:val="004E1ED1"/>
    <w:rsid w:val="004E320D"/>
    <w:rsid w:val="004E3ADC"/>
    <w:rsid w:val="004E4295"/>
    <w:rsid w:val="004E434E"/>
    <w:rsid w:val="004E44A1"/>
    <w:rsid w:val="004E49EC"/>
    <w:rsid w:val="004E59FB"/>
    <w:rsid w:val="004E5B81"/>
    <w:rsid w:val="004E5EB7"/>
    <w:rsid w:val="004E6131"/>
    <w:rsid w:val="004E64D6"/>
    <w:rsid w:val="004E7051"/>
    <w:rsid w:val="004E70A3"/>
    <w:rsid w:val="004E724D"/>
    <w:rsid w:val="004E7694"/>
    <w:rsid w:val="004E7B3A"/>
    <w:rsid w:val="004F03E3"/>
    <w:rsid w:val="004F0AC3"/>
    <w:rsid w:val="004F0DC9"/>
    <w:rsid w:val="004F1178"/>
    <w:rsid w:val="004F1A0D"/>
    <w:rsid w:val="004F1E27"/>
    <w:rsid w:val="004F1E75"/>
    <w:rsid w:val="004F3A74"/>
    <w:rsid w:val="004F437D"/>
    <w:rsid w:val="004F4664"/>
    <w:rsid w:val="004F46BA"/>
    <w:rsid w:val="004F49F6"/>
    <w:rsid w:val="004F56DC"/>
    <w:rsid w:val="004F5A0B"/>
    <w:rsid w:val="004F5ADA"/>
    <w:rsid w:val="004F62D9"/>
    <w:rsid w:val="004F683B"/>
    <w:rsid w:val="004F7365"/>
    <w:rsid w:val="004F78C8"/>
    <w:rsid w:val="00500836"/>
    <w:rsid w:val="00500CD4"/>
    <w:rsid w:val="00501F1D"/>
    <w:rsid w:val="0050254D"/>
    <w:rsid w:val="00503148"/>
    <w:rsid w:val="00503865"/>
    <w:rsid w:val="005040D9"/>
    <w:rsid w:val="0050420F"/>
    <w:rsid w:val="00504EA4"/>
    <w:rsid w:val="005055F8"/>
    <w:rsid w:val="0050593C"/>
    <w:rsid w:val="00505A2C"/>
    <w:rsid w:val="00505F3C"/>
    <w:rsid w:val="00507B74"/>
    <w:rsid w:val="00510C3A"/>
    <w:rsid w:val="00510E48"/>
    <w:rsid w:val="00511483"/>
    <w:rsid w:val="00511A26"/>
    <w:rsid w:val="00511A27"/>
    <w:rsid w:val="00512222"/>
    <w:rsid w:val="00512562"/>
    <w:rsid w:val="005129A3"/>
    <w:rsid w:val="00513F15"/>
    <w:rsid w:val="005144CA"/>
    <w:rsid w:val="005145D6"/>
    <w:rsid w:val="00514D65"/>
    <w:rsid w:val="005156FA"/>
    <w:rsid w:val="005158F0"/>
    <w:rsid w:val="00515EE7"/>
    <w:rsid w:val="0051764B"/>
    <w:rsid w:val="00517783"/>
    <w:rsid w:val="00520498"/>
    <w:rsid w:val="005206EA"/>
    <w:rsid w:val="0052104D"/>
    <w:rsid w:val="005218A2"/>
    <w:rsid w:val="005229A8"/>
    <w:rsid w:val="00522AA5"/>
    <w:rsid w:val="00522FEC"/>
    <w:rsid w:val="00523038"/>
    <w:rsid w:val="00523120"/>
    <w:rsid w:val="00524630"/>
    <w:rsid w:val="0052499E"/>
    <w:rsid w:val="005252BD"/>
    <w:rsid w:val="00525573"/>
    <w:rsid w:val="00525884"/>
    <w:rsid w:val="005259F0"/>
    <w:rsid w:val="00526586"/>
    <w:rsid w:val="00526D70"/>
    <w:rsid w:val="00526EE4"/>
    <w:rsid w:val="005278DB"/>
    <w:rsid w:val="00527913"/>
    <w:rsid w:val="00527B1B"/>
    <w:rsid w:val="00527C5C"/>
    <w:rsid w:val="00527C62"/>
    <w:rsid w:val="00527DD8"/>
    <w:rsid w:val="00530990"/>
    <w:rsid w:val="005315B3"/>
    <w:rsid w:val="005317FF"/>
    <w:rsid w:val="00531C30"/>
    <w:rsid w:val="0053270A"/>
    <w:rsid w:val="00532807"/>
    <w:rsid w:val="00534B8A"/>
    <w:rsid w:val="00534B96"/>
    <w:rsid w:val="00534D14"/>
    <w:rsid w:val="00535642"/>
    <w:rsid w:val="00535D21"/>
    <w:rsid w:val="00535E5F"/>
    <w:rsid w:val="0053651B"/>
    <w:rsid w:val="005368C4"/>
    <w:rsid w:val="00536B6F"/>
    <w:rsid w:val="00536DC7"/>
    <w:rsid w:val="00537B9A"/>
    <w:rsid w:val="00537E46"/>
    <w:rsid w:val="00537F12"/>
    <w:rsid w:val="00540504"/>
    <w:rsid w:val="00540FD4"/>
    <w:rsid w:val="00541A82"/>
    <w:rsid w:val="00542EB4"/>
    <w:rsid w:val="00543270"/>
    <w:rsid w:val="00543337"/>
    <w:rsid w:val="005436E1"/>
    <w:rsid w:val="00543D23"/>
    <w:rsid w:val="00543EFD"/>
    <w:rsid w:val="005441CF"/>
    <w:rsid w:val="00544561"/>
    <w:rsid w:val="00545D37"/>
    <w:rsid w:val="00545EA5"/>
    <w:rsid w:val="0054604B"/>
    <w:rsid w:val="0054609A"/>
    <w:rsid w:val="00546517"/>
    <w:rsid w:val="00547245"/>
    <w:rsid w:val="005476F3"/>
    <w:rsid w:val="005477BB"/>
    <w:rsid w:val="00547F6F"/>
    <w:rsid w:val="0055047F"/>
    <w:rsid w:val="00551B33"/>
    <w:rsid w:val="00551C80"/>
    <w:rsid w:val="00551E57"/>
    <w:rsid w:val="0055291D"/>
    <w:rsid w:val="00552C54"/>
    <w:rsid w:val="0055372C"/>
    <w:rsid w:val="005540AC"/>
    <w:rsid w:val="005547D2"/>
    <w:rsid w:val="00554870"/>
    <w:rsid w:val="00554A90"/>
    <w:rsid w:val="00554CC4"/>
    <w:rsid w:val="00554DEC"/>
    <w:rsid w:val="00555104"/>
    <w:rsid w:val="0055646E"/>
    <w:rsid w:val="005568BE"/>
    <w:rsid w:val="0055694F"/>
    <w:rsid w:val="0055707A"/>
    <w:rsid w:val="00557319"/>
    <w:rsid w:val="00557399"/>
    <w:rsid w:val="00557413"/>
    <w:rsid w:val="00557716"/>
    <w:rsid w:val="00560836"/>
    <w:rsid w:val="00562C5A"/>
    <w:rsid w:val="00562F42"/>
    <w:rsid w:val="005631BA"/>
    <w:rsid w:val="00563ED4"/>
    <w:rsid w:val="00565771"/>
    <w:rsid w:val="005657A9"/>
    <w:rsid w:val="00565F6E"/>
    <w:rsid w:val="00566000"/>
    <w:rsid w:val="00566787"/>
    <w:rsid w:val="00566CB3"/>
    <w:rsid w:val="00566D11"/>
    <w:rsid w:val="00566E01"/>
    <w:rsid w:val="00566F04"/>
    <w:rsid w:val="0056748F"/>
    <w:rsid w:val="005676F3"/>
    <w:rsid w:val="00567B84"/>
    <w:rsid w:val="00567C0C"/>
    <w:rsid w:val="00567E4F"/>
    <w:rsid w:val="00567EDE"/>
    <w:rsid w:val="00570A30"/>
    <w:rsid w:val="00571A25"/>
    <w:rsid w:val="00572260"/>
    <w:rsid w:val="00572E59"/>
    <w:rsid w:val="005733EF"/>
    <w:rsid w:val="0057369D"/>
    <w:rsid w:val="00574A57"/>
    <w:rsid w:val="00574D2D"/>
    <w:rsid w:val="00575F96"/>
    <w:rsid w:val="00576350"/>
    <w:rsid w:val="00576B29"/>
    <w:rsid w:val="00576E91"/>
    <w:rsid w:val="0057761A"/>
    <w:rsid w:val="00577625"/>
    <w:rsid w:val="00581800"/>
    <w:rsid w:val="00581CF3"/>
    <w:rsid w:val="00581F4B"/>
    <w:rsid w:val="005820D1"/>
    <w:rsid w:val="00582713"/>
    <w:rsid w:val="00582C84"/>
    <w:rsid w:val="005835A0"/>
    <w:rsid w:val="005835BF"/>
    <w:rsid w:val="00584CFC"/>
    <w:rsid w:val="00585360"/>
    <w:rsid w:val="00585E47"/>
    <w:rsid w:val="005861BD"/>
    <w:rsid w:val="00586734"/>
    <w:rsid w:val="005901CC"/>
    <w:rsid w:val="00590579"/>
    <w:rsid w:val="0059059F"/>
    <w:rsid w:val="005905EF"/>
    <w:rsid w:val="00590606"/>
    <w:rsid w:val="0059076E"/>
    <w:rsid w:val="005909ED"/>
    <w:rsid w:val="00591715"/>
    <w:rsid w:val="00591A2F"/>
    <w:rsid w:val="00591CF3"/>
    <w:rsid w:val="00592385"/>
    <w:rsid w:val="0059242A"/>
    <w:rsid w:val="00592517"/>
    <w:rsid w:val="00592B60"/>
    <w:rsid w:val="00592DC7"/>
    <w:rsid w:val="00593D91"/>
    <w:rsid w:val="00594268"/>
    <w:rsid w:val="005945B9"/>
    <w:rsid w:val="00594947"/>
    <w:rsid w:val="005954F8"/>
    <w:rsid w:val="00595513"/>
    <w:rsid w:val="00595598"/>
    <w:rsid w:val="00595B09"/>
    <w:rsid w:val="00595E0E"/>
    <w:rsid w:val="00596994"/>
    <w:rsid w:val="005969B4"/>
    <w:rsid w:val="005A02AA"/>
    <w:rsid w:val="005A07E6"/>
    <w:rsid w:val="005A09C5"/>
    <w:rsid w:val="005A187E"/>
    <w:rsid w:val="005A1B07"/>
    <w:rsid w:val="005A1B51"/>
    <w:rsid w:val="005A24FD"/>
    <w:rsid w:val="005A27B4"/>
    <w:rsid w:val="005A3432"/>
    <w:rsid w:val="005A3717"/>
    <w:rsid w:val="005A4127"/>
    <w:rsid w:val="005A44B5"/>
    <w:rsid w:val="005A492D"/>
    <w:rsid w:val="005A49E8"/>
    <w:rsid w:val="005A5097"/>
    <w:rsid w:val="005A518C"/>
    <w:rsid w:val="005A54C8"/>
    <w:rsid w:val="005A59F1"/>
    <w:rsid w:val="005A5B44"/>
    <w:rsid w:val="005A5F89"/>
    <w:rsid w:val="005A6146"/>
    <w:rsid w:val="005A6388"/>
    <w:rsid w:val="005A67FB"/>
    <w:rsid w:val="005A6992"/>
    <w:rsid w:val="005A69EC"/>
    <w:rsid w:val="005A6A41"/>
    <w:rsid w:val="005A7512"/>
    <w:rsid w:val="005A7C84"/>
    <w:rsid w:val="005A7E58"/>
    <w:rsid w:val="005B029E"/>
    <w:rsid w:val="005B06BA"/>
    <w:rsid w:val="005B0C26"/>
    <w:rsid w:val="005B0F0A"/>
    <w:rsid w:val="005B1738"/>
    <w:rsid w:val="005B19C2"/>
    <w:rsid w:val="005B19F6"/>
    <w:rsid w:val="005B1DC0"/>
    <w:rsid w:val="005B21DF"/>
    <w:rsid w:val="005B2892"/>
    <w:rsid w:val="005B2B9D"/>
    <w:rsid w:val="005B2F48"/>
    <w:rsid w:val="005B3055"/>
    <w:rsid w:val="005B31DA"/>
    <w:rsid w:val="005B335F"/>
    <w:rsid w:val="005B3FFF"/>
    <w:rsid w:val="005B4054"/>
    <w:rsid w:val="005B4067"/>
    <w:rsid w:val="005B496E"/>
    <w:rsid w:val="005B659C"/>
    <w:rsid w:val="005B684B"/>
    <w:rsid w:val="005B711E"/>
    <w:rsid w:val="005B77BC"/>
    <w:rsid w:val="005B7A6D"/>
    <w:rsid w:val="005C0411"/>
    <w:rsid w:val="005C051C"/>
    <w:rsid w:val="005C0B4D"/>
    <w:rsid w:val="005C175C"/>
    <w:rsid w:val="005C1B3A"/>
    <w:rsid w:val="005C1B9D"/>
    <w:rsid w:val="005C404F"/>
    <w:rsid w:val="005C69C2"/>
    <w:rsid w:val="005C6CC1"/>
    <w:rsid w:val="005C700D"/>
    <w:rsid w:val="005C7F5E"/>
    <w:rsid w:val="005D0785"/>
    <w:rsid w:val="005D0972"/>
    <w:rsid w:val="005D1C8C"/>
    <w:rsid w:val="005D2468"/>
    <w:rsid w:val="005D3D7E"/>
    <w:rsid w:val="005D508B"/>
    <w:rsid w:val="005D5461"/>
    <w:rsid w:val="005D5EDF"/>
    <w:rsid w:val="005D6461"/>
    <w:rsid w:val="005D6EF5"/>
    <w:rsid w:val="005D76B6"/>
    <w:rsid w:val="005D7E04"/>
    <w:rsid w:val="005E02EB"/>
    <w:rsid w:val="005E05B4"/>
    <w:rsid w:val="005E0C39"/>
    <w:rsid w:val="005E2593"/>
    <w:rsid w:val="005E2603"/>
    <w:rsid w:val="005E33B2"/>
    <w:rsid w:val="005E35AB"/>
    <w:rsid w:val="005E362F"/>
    <w:rsid w:val="005E3BD1"/>
    <w:rsid w:val="005E3F25"/>
    <w:rsid w:val="005E426C"/>
    <w:rsid w:val="005E547F"/>
    <w:rsid w:val="005E5885"/>
    <w:rsid w:val="005E5D10"/>
    <w:rsid w:val="005E63C4"/>
    <w:rsid w:val="005E691D"/>
    <w:rsid w:val="005F006F"/>
    <w:rsid w:val="005F0A14"/>
    <w:rsid w:val="005F0EB8"/>
    <w:rsid w:val="005F10D2"/>
    <w:rsid w:val="005F2E1E"/>
    <w:rsid w:val="005F2E83"/>
    <w:rsid w:val="005F2F53"/>
    <w:rsid w:val="005F338C"/>
    <w:rsid w:val="005F35FE"/>
    <w:rsid w:val="005F3A7F"/>
    <w:rsid w:val="005F3C51"/>
    <w:rsid w:val="005F3F3A"/>
    <w:rsid w:val="005F4559"/>
    <w:rsid w:val="005F4692"/>
    <w:rsid w:val="005F4A48"/>
    <w:rsid w:val="005F5A39"/>
    <w:rsid w:val="005F5BD8"/>
    <w:rsid w:val="005F5CE2"/>
    <w:rsid w:val="005F5EB8"/>
    <w:rsid w:val="005F6B16"/>
    <w:rsid w:val="005F7513"/>
    <w:rsid w:val="005F75EC"/>
    <w:rsid w:val="005F7B5F"/>
    <w:rsid w:val="006001D3"/>
    <w:rsid w:val="006031C5"/>
    <w:rsid w:val="0060351F"/>
    <w:rsid w:val="00603CBB"/>
    <w:rsid w:val="00603FD3"/>
    <w:rsid w:val="006042D8"/>
    <w:rsid w:val="006043BD"/>
    <w:rsid w:val="00604F28"/>
    <w:rsid w:val="00605043"/>
    <w:rsid w:val="006058CC"/>
    <w:rsid w:val="006076A8"/>
    <w:rsid w:val="0060774E"/>
    <w:rsid w:val="00607C83"/>
    <w:rsid w:val="00607DD7"/>
    <w:rsid w:val="006107F1"/>
    <w:rsid w:val="00611269"/>
    <w:rsid w:val="00611658"/>
    <w:rsid w:val="00613260"/>
    <w:rsid w:val="00614262"/>
    <w:rsid w:val="006142EA"/>
    <w:rsid w:val="00614AFC"/>
    <w:rsid w:val="00614FD4"/>
    <w:rsid w:val="006156D8"/>
    <w:rsid w:val="00615C91"/>
    <w:rsid w:val="00615E7D"/>
    <w:rsid w:val="00616079"/>
    <w:rsid w:val="006165C6"/>
    <w:rsid w:val="006165DD"/>
    <w:rsid w:val="00616C31"/>
    <w:rsid w:val="006175BE"/>
    <w:rsid w:val="006203B4"/>
    <w:rsid w:val="0062088F"/>
    <w:rsid w:val="00620ADF"/>
    <w:rsid w:val="00620F32"/>
    <w:rsid w:val="00621C37"/>
    <w:rsid w:val="00621D9F"/>
    <w:rsid w:val="00623511"/>
    <w:rsid w:val="006237DB"/>
    <w:rsid w:val="00623D1A"/>
    <w:rsid w:val="00623F1C"/>
    <w:rsid w:val="0062414B"/>
    <w:rsid w:val="0062416A"/>
    <w:rsid w:val="00624A81"/>
    <w:rsid w:val="00624C3E"/>
    <w:rsid w:val="00625DA1"/>
    <w:rsid w:val="00626199"/>
    <w:rsid w:val="00626A6D"/>
    <w:rsid w:val="00626ACB"/>
    <w:rsid w:val="00626E2C"/>
    <w:rsid w:val="006278C8"/>
    <w:rsid w:val="00627E35"/>
    <w:rsid w:val="00630929"/>
    <w:rsid w:val="00632A88"/>
    <w:rsid w:val="00633460"/>
    <w:rsid w:val="0063549B"/>
    <w:rsid w:val="00636712"/>
    <w:rsid w:val="00636722"/>
    <w:rsid w:val="00636748"/>
    <w:rsid w:val="00636EEC"/>
    <w:rsid w:val="00637063"/>
    <w:rsid w:val="006370D3"/>
    <w:rsid w:val="00640BE3"/>
    <w:rsid w:val="00641865"/>
    <w:rsid w:val="00641CA9"/>
    <w:rsid w:val="0064225E"/>
    <w:rsid w:val="00642420"/>
    <w:rsid w:val="00644590"/>
    <w:rsid w:val="00644EE8"/>
    <w:rsid w:val="00647211"/>
    <w:rsid w:val="00647277"/>
    <w:rsid w:val="006473E0"/>
    <w:rsid w:val="00647C69"/>
    <w:rsid w:val="00647DE7"/>
    <w:rsid w:val="00650C99"/>
    <w:rsid w:val="00651015"/>
    <w:rsid w:val="00651512"/>
    <w:rsid w:val="0065161B"/>
    <w:rsid w:val="00651696"/>
    <w:rsid w:val="00651B55"/>
    <w:rsid w:val="00652EAF"/>
    <w:rsid w:val="00652F0B"/>
    <w:rsid w:val="00653223"/>
    <w:rsid w:val="00653276"/>
    <w:rsid w:val="006534B9"/>
    <w:rsid w:val="00653674"/>
    <w:rsid w:val="006539CB"/>
    <w:rsid w:val="0065451F"/>
    <w:rsid w:val="00654FAE"/>
    <w:rsid w:val="0065593E"/>
    <w:rsid w:val="00656C85"/>
    <w:rsid w:val="00657181"/>
    <w:rsid w:val="0065754A"/>
    <w:rsid w:val="006577CA"/>
    <w:rsid w:val="00657C1D"/>
    <w:rsid w:val="00657D62"/>
    <w:rsid w:val="00660DC3"/>
    <w:rsid w:val="006620E9"/>
    <w:rsid w:val="00662291"/>
    <w:rsid w:val="0066236C"/>
    <w:rsid w:val="00662CDF"/>
    <w:rsid w:val="00663EC1"/>
    <w:rsid w:val="006646B4"/>
    <w:rsid w:val="0066593E"/>
    <w:rsid w:val="00666E2A"/>
    <w:rsid w:val="0066727E"/>
    <w:rsid w:val="00667C23"/>
    <w:rsid w:val="00667DE5"/>
    <w:rsid w:val="006709CB"/>
    <w:rsid w:val="00670ACD"/>
    <w:rsid w:val="00672003"/>
    <w:rsid w:val="00672E64"/>
    <w:rsid w:val="006732FA"/>
    <w:rsid w:val="00673325"/>
    <w:rsid w:val="00673DE9"/>
    <w:rsid w:val="00673F32"/>
    <w:rsid w:val="00674154"/>
    <w:rsid w:val="00674C8D"/>
    <w:rsid w:val="00676B07"/>
    <w:rsid w:val="00677641"/>
    <w:rsid w:val="0068186F"/>
    <w:rsid w:val="00681ED4"/>
    <w:rsid w:val="00681F75"/>
    <w:rsid w:val="006827CC"/>
    <w:rsid w:val="00682D13"/>
    <w:rsid w:val="006834FA"/>
    <w:rsid w:val="00683B79"/>
    <w:rsid w:val="00684084"/>
    <w:rsid w:val="006841D9"/>
    <w:rsid w:val="006845E3"/>
    <w:rsid w:val="00684BA4"/>
    <w:rsid w:val="00684E99"/>
    <w:rsid w:val="00685A0A"/>
    <w:rsid w:val="006861DB"/>
    <w:rsid w:val="0068668D"/>
    <w:rsid w:val="0068676E"/>
    <w:rsid w:val="00686934"/>
    <w:rsid w:val="00686D23"/>
    <w:rsid w:val="00686F66"/>
    <w:rsid w:val="00687055"/>
    <w:rsid w:val="0068756F"/>
    <w:rsid w:val="00690777"/>
    <w:rsid w:val="0069086A"/>
    <w:rsid w:val="00690A2C"/>
    <w:rsid w:val="00690E00"/>
    <w:rsid w:val="00690FCC"/>
    <w:rsid w:val="006911D2"/>
    <w:rsid w:val="00691C72"/>
    <w:rsid w:val="0069212D"/>
    <w:rsid w:val="00692328"/>
    <w:rsid w:val="00692695"/>
    <w:rsid w:val="00692921"/>
    <w:rsid w:val="00692C83"/>
    <w:rsid w:val="006930B3"/>
    <w:rsid w:val="00694630"/>
    <w:rsid w:val="006946E2"/>
    <w:rsid w:val="006947B1"/>
    <w:rsid w:val="00694D14"/>
    <w:rsid w:val="0069505C"/>
    <w:rsid w:val="0069562F"/>
    <w:rsid w:val="00695D74"/>
    <w:rsid w:val="00696121"/>
    <w:rsid w:val="0069633A"/>
    <w:rsid w:val="0069635D"/>
    <w:rsid w:val="0069699A"/>
    <w:rsid w:val="00696FB8"/>
    <w:rsid w:val="006A08F2"/>
    <w:rsid w:val="006A147F"/>
    <w:rsid w:val="006A18CA"/>
    <w:rsid w:val="006A2129"/>
    <w:rsid w:val="006A24D3"/>
    <w:rsid w:val="006A2740"/>
    <w:rsid w:val="006A2CF2"/>
    <w:rsid w:val="006A2ED2"/>
    <w:rsid w:val="006A31D1"/>
    <w:rsid w:val="006A3F35"/>
    <w:rsid w:val="006A53EA"/>
    <w:rsid w:val="006A5B61"/>
    <w:rsid w:val="006A606D"/>
    <w:rsid w:val="006A61DB"/>
    <w:rsid w:val="006A62F7"/>
    <w:rsid w:val="006A6B24"/>
    <w:rsid w:val="006A6CF7"/>
    <w:rsid w:val="006A700F"/>
    <w:rsid w:val="006A7A3A"/>
    <w:rsid w:val="006A7A40"/>
    <w:rsid w:val="006B065F"/>
    <w:rsid w:val="006B0DFA"/>
    <w:rsid w:val="006B1CD2"/>
    <w:rsid w:val="006B34D0"/>
    <w:rsid w:val="006B3C75"/>
    <w:rsid w:val="006B47DC"/>
    <w:rsid w:val="006B5066"/>
    <w:rsid w:val="006B5157"/>
    <w:rsid w:val="006B6E7F"/>
    <w:rsid w:val="006B733E"/>
    <w:rsid w:val="006C0F20"/>
    <w:rsid w:val="006C1366"/>
    <w:rsid w:val="006C1834"/>
    <w:rsid w:val="006C1AF1"/>
    <w:rsid w:val="006C1B88"/>
    <w:rsid w:val="006C29EC"/>
    <w:rsid w:val="006C2C65"/>
    <w:rsid w:val="006C2C7F"/>
    <w:rsid w:val="006C2CE5"/>
    <w:rsid w:val="006C2D1A"/>
    <w:rsid w:val="006C2E49"/>
    <w:rsid w:val="006C306C"/>
    <w:rsid w:val="006C3BE7"/>
    <w:rsid w:val="006C3D8A"/>
    <w:rsid w:val="006C4354"/>
    <w:rsid w:val="006C48ED"/>
    <w:rsid w:val="006C49AF"/>
    <w:rsid w:val="006C4F18"/>
    <w:rsid w:val="006C51D6"/>
    <w:rsid w:val="006C53C0"/>
    <w:rsid w:val="006C57D9"/>
    <w:rsid w:val="006C582E"/>
    <w:rsid w:val="006C58E2"/>
    <w:rsid w:val="006C59A6"/>
    <w:rsid w:val="006C63E6"/>
    <w:rsid w:val="006C6559"/>
    <w:rsid w:val="006C65E8"/>
    <w:rsid w:val="006C6691"/>
    <w:rsid w:val="006C69BA"/>
    <w:rsid w:val="006C6BE3"/>
    <w:rsid w:val="006C7266"/>
    <w:rsid w:val="006D0AF1"/>
    <w:rsid w:val="006D0B7F"/>
    <w:rsid w:val="006D1C60"/>
    <w:rsid w:val="006D2E3D"/>
    <w:rsid w:val="006D48C5"/>
    <w:rsid w:val="006D4B76"/>
    <w:rsid w:val="006D520C"/>
    <w:rsid w:val="006D72F8"/>
    <w:rsid w:val="006D7348"/>
    <w:rsid w:val="006D77CF"/>
    <w:rsid w:val="006D789A"/>
    <w:rsid w:val="006E0438"/>
    <w:rsid w:val="006E0459"/>
    <w:rsid w:val="006E0E8A"/>
    <w:rsid w:val="006E0EC7"/>
    <w:rsid w:val="006E1412"/>
    <w:rsid w:val="006E2ED9"/>
    <w:rsid w:val="006E389B"/>
    <w:rsid w:val="006E3A1C"/>
    <w:rsid w:val="006E4433"/>
    <w:rsid w:val="006E48C7"/>
    <w:rsid w:val="006E498F"/>
    <w:rsid w:val="006E4C83"/>
    <w:rsid w:val="006E57D4"/>
    <w:rsid w:val="006E58CD"/>
    <w:rsid w:val="006E6212"/>
    <w:rsid w:val="006E638F"/>
    <w:rsid w:val="006E7347"/>
    <w:rsid w:val="006E79AF"/>
    <w:rsid w:val="006E7A44"/>
    <w:rsid w:val="006F044D"/>
    <w:rsid w:val="006F06DD"/>
    <w:rsid w:val="006F0E1D"/>
    <w:rsid w:val="006F2A6C"/>
    <w:rsid w:val="006F31C0"/>
    <w:rsid w:val="006F33EA"/>
    <w:rsid w:val="006F3582"/>
    <w:rsid w:val="006F358B"/>
    <w:rsid w:val="006F384A"/>
    <w:rsid w:val="006F3C7E"/>
    <w:rsid w:val="006F3DC9"/>
    <w:rsid w:val="006F3E48"/>
    <w:rsid w:val="006F407E"/>
    <w:rsid w:val="006F430C"/>
    <w:rsid w:val="006F44B9"/>
    <w:rsid w:val="006F46D6"/>
    <w:rsid w:val="006F47F6"/>
    <w:rsid w:val="006F4BE5"/>
    <w:rsid w:val="006F4E95"/>
    <w:rsid w:val="006F6327"/>
    <w:rsid w:val="006F6B27"/>
    <w:rsid w:val="006F6D58"/>
    <w:rsid w:val="006F7143"/>
    <w:rsid w:val="006F740B"/>
    <w:rsid w:val="006F752D"/>
    <w:rsid w:val="006F7C0E"/>
    <w:rsid w:val="006F7C66"/>
    <w:rsid w:val="007002F7"/>
    <w:rsid w:val="00700759"/>
    <w:rsid w:val="007008C3"/>
    <w:rsid w:val="00700AFF"/>
    <w:rsid w:val="0070104C"/>
    <w:rsid w:val="007013F1"/>
    <w:rsid w:val="00701D29"/>
    <w:rsid w:val="00701E30"/>
    <w:rsid w:val="007028C1"/>
    <w:rsid w:val="00703D75"/>
    <w:rsid w:val="0070574D"/>
    <w:rsid w:val="00705A93"/>
    <w:rsid w:val="00705DCF"/>
    <w:rsid w:val="00705E01"/>
    <w:rsid w:val="00705E1B"/>
    <w:rsid w:val="0070665E"/>
    <w:rsid w:val="0070753F"/>
    <w:rsid w:val="007103DA"/>
    <w:rsid w:val="00711BC5"/>
    <w:rsid w:val="0071270D"/>
    <w:rsid w:val="00712C31"/>
    <w:rsid w:val="00714C0C"/>
    <w:rsid w:val="0071549C"/>
    <w:rsid w:val="00715689"/>
    <w:rsid w:val="00715C7E"/>
    <w:rsid w:val="00715D1B"/>
    <w:rsid w:val="00716357"/>
    <w:rsid w:val="0071691E"/>
    <w:rsid w:val="007169F9"/>
    <w:rsid w:val="00716E6F"/>
    <w:rsid w:val="00717620"/>
    <w:rsid w:val="00717A41"/>
    <w:rsid w:val="0072011F"/>
    <w:rsid w:val="007201CB"/>
    <w:rsid w:val="007207DB"/>
    <w:rsid w:val="00720C52"/>
    <w:rsid w:val="00722125"/>
    <w:rsid w:val="0072237A"/>
    <w:rsid w:val="00722426"/>
    <w:rsid w:val="00723B82"/>
    <w:rsid w:val="00723BBA"/>
    <w:rsid w:val="00724174"/>
    <w:rsid w:val="0072418B"/>
    <w:rsid w:val="007242C7"/>
    <w:rsid w:val="007243DE"/>
    <w:rsid w:val="00724C48"/>
    <w:rsid w:val="007250AD"/>
    <w:rsid w:val="00726C75"/>
    <w:rsid w:val="00727397"/>
    <w:rsid w:val="0073099B"/>
    <w:rsid w:val="00731AFE"/>
    <w:rsid w:val="00732017"/>
    <w:rsid w:val="00732AA5"/>
    <w:rsid w:val="007330CE"/>
    <w:rsid w:val="007332EC"/>
    <w:rsid w:val="007336BA"/>
    <w:rsid w:val="007339F4"/>
    <w:rsid w:val="007343A5"/>
    <w:rsid w:val="007344FD"/>
    <w:rsid w:val="007348D1"/>
    <w:rsid w:val="00734EE5"/>
    <w:rsid w:val="00736160"/>
    <w:rsid w:val="00736325"/>
    <w:rsid w:val="007364C6"/>
    <w:rsid w:val="00740704"/>
    <w:rsid w:val="007407C2"/>
    <w:rsid w:val="00740C4E"/>
    <w:rsid w:val="00740C6D"/>
    <w:rsid w:val="0074193B"/>
    <w:rsid w:val="0074198A"/>
    <w:rsid w:val="007419A5"/>
    <w:rsid w:val="0074333B"/>
    <w:rsid w:val="0074358A"/>
    <w:rsid w:val="0074422C"/>
    <w:rsid w:val="007445E6"/>
    <w:rsid w:val="007451AD"/>
    <w:rsid w:val="007455A5"/>
    <w:rsid w:val="00745B9A"/>
    <w:rsid w:val="00747609"/>
    <w:rsid w:val="00750167"/>
    <w:rsid w:val="00750474"/>
    <w:rsid w:val="00750B19"/>
    <w:rsid w:val="00750BA1"/>
    <w:rsid w:val="00750ECC"/>
    <w:rsid w:val="00751267"/>
    <w:rsid w:val="00751AD4"/>
    <w:rsid w:val="00751EA8"/>
    <w:rsid w:val="007530F0"/>
    <w:rsid w:val="00753752"/>
    <w:rsid w:val="00753AF0"/>
    <w:rsid w:val="00753D09"/>
    <w:rsid w:val="0075404E"/>
    <w:rsid w:val="00754158"/>
    <w:rsid w:val="00754761"/>
    <w:rsid w:val="00754D6C"/>
    <w:rsid w:val="007553D6"/>
    <w:rsid w:val="007559E3"/>
    <w:rsid w:val="00755FE3"/>
    <w:rsid w:val="00756649"/>
    <w:rsid w:val="007568FD"/>
    <w:rsid w:val="00756BD2"/>
    <w:rsid w:val="00756E48"/>
    <w:rsid w:val="007571D7"/>
    <w:rsid w:val="007574C7"/>
    <w:rsid w:val="007577D4"/>
    <w:rsid w:val="0075798C"/>
    <w:rsid w:val="00757CAC"/>
    <w:rsid w:val="00760FBD"/>
    <w:rsid w:val="00762A37"/>
    <w:rsid w:val="00762FEF"/>
    <w:rsid w:val="00763547"/>
    <w:rsid w:val="00763554"/>
    <w:rsid w:val="00765A23"/>
    <w:rsid w:val="007678B1"/>
    <w:rsid w:val="007679C7"/>
    <w:rsid w:val="00767CE7"/>
    <w:rsid w:val="00770370"/>
    <w:rsid w:val="00770809"/>
    <w:rsid w:val="00770F16"/>
    <w:rsid w:val="00771598"/>
    <w:rsid w:val="007718AC"/>
    <w:rsid w:val="00771901"/>
    <w:rsid w:val="00771A55"/>
    <w:rsid w:val="007728EC"/>
    <w:rsid w:val="007729A9"/>
    <w:rsid w:val="00772E8A"/>
    <w:rsid w:val="007733FB"/>
    <w:rsid w:val="00773907"/>
    <w:rsid w:val="00773A63"/>
    <w:rsid w:val="007740FA"/>
    <w:rsid w:val="00774656"/>
    <w:rsid w:val="00774888"/>
    <w:rsid w:val="00774B29"/>
    <w:rsid w:val="00774FC9"/>
    <w:rsid w:val="00775E70"/>
    <w:rsid w:val="007764E3"/>
    <w:rsid w:val="00776C97"/>
    <w:rsid w:val="007811E9"/>
    <w:rsid w:val="007812F9"/>
    <w:rsid w:val="007816FD"/>
    <w:rsid w:val="00782677"/>
    <w:rsid w:val="00783088"/>
    <w:rsid w:val="00783CF4"/>
    <w:rsid w:val="00783F4A"/>
    <w:rsid w:val="00783F5F"/>
    <w:rsid w:val="00784739"/>
    <w:rsid w:val="00784C75"/>
    <w:rsid w:val="00784CB3"/>
    <w:rsid w:val="0078596A"/>
    <w:rsid w:val="00785FC7"/>
    <w:rsid w:val="007868FB"/>
    <w:rsid w:val="00786F5C"/>
    <w:rsid w:val="00787060"/>
    <w:rsid w:val="007878EE"/>
    <w:rsid w:val="00787DFF"/>
    <w:rsid w:val="00790AA2"/>
    <w:rsid w:val="00790C5C"/>
    <w:rsid w:val="00790D09"/>
    <w:rsid w:val="00791A88"/>
    <w:rsid w:val="00792038"/>
    <w:rsid w:val="00792A10"/>
    <w:rsid w:val="0079391A"/>
    <w:rsid w:val="00794752"/>
    <w:rsid w:val="00794C55"/>
    <w:rsid w:val="00794D75"/>
    <w:rsid w:val="00795BCA"/>
    <w:rsid w:val="00796F72"/>
    <w:rsid w:val="00797A59"/>
    <w:rsid w:val="007A05CA"/>
    <w:rsid w:val="007A098D"/>
    <w:rsid w:val="007A1171"/>
    <w:rsid w:val="007A152D"/>
    <w:rsid w:val="007A1CED"/>
    <w:rsid w:val="007A1F1F"/>
    <w:rsid w:val="007A2EF0"/>
    <w:rsid w:val="007A39BE"/>
    <w:rsid w:val="007A4022"/>
    <w:rsid w:val="007A45A1"/>
    <w:rsid w:val="007A46DF"/>
    <w:rsid w:val="007A48B7"/>
    <w:rsid w:val="007A4E60"/>
    <w:rsid w:val="007A4FDD"/>
    <w:rsid w:val="007A5E40"/>
    <w:rsid w:val="007A641C"/>
    <w:rsid w:val="007A725A"/>
    <w:rsid w:val="007A7292"/>
    <w:rsid w:val="007A78EB"/>
    <w:rsid w:val="007A7B0C"/>
    <w:rsid w:val="007A7E62"/>
    <w:rsid w:val="007B03D6"/>
    <w:rsid w:val="007B0845"/>
    <w:rsid w:val="007B08D7"/>
    <w:rsid w:val="007B19D3"/>
    <w:rsid w:val="007B1B12"/>
    <w:rsid w:val="007B1BB0"/>
    <w:rsid w:val="007B2426"/>
    <w:rsid w:val="007B2539"/>
    <w:rsid w:val="007B2D3E"/>
    <w:rsid w:val="007B30CE"/>
    <w:rsid w:val="007B34B5"/>
    <w:rsid w:val="007B4278"/>
    <w:rsid w:val="007B549D"/>
    <w:rsid w:val="007B589A"/>
    <w:rsid w:val="007B59B6"/>
    <w:rsid w:val="007B5DC7"/>
    <w:rsid w:val="007B6F18"/>
    <w:rsid w:val="007B6F99"/>
    <w:rsid w:val="007B716E"/>
    <w:rsid w:val="007B7381"/>
    <w:rsid w:val="007B764C"/>
    <w:rsid w:val="007B7941"/>
    <w:rsid w:val="007C039A"/>
    <w:rsid w:val="007C04E6"/>
    <w:rsid w:val="007C071D"/>
    <w:rsid w:val="007C2DC5"/>
    <w:rsid w:val="007C2FD7"/>
    <w:rsid w:val="007C338A"/>
    <w:rsid w:val="007C367A"/>
    <w:rsid w:val="007C4D55"/>
    <w:rsid w:val="007C4DC3"/>
    <w:rsid w:val="007C62BD"/>
    <w:rsid w:val="007C6EF8"/>
    <w:rsid w:val="007C6FF9"/>
    <w:rsid w:val="007C7248"/>
    <w:rsid w:val="007C7BB3"/>
    <w:rsid w:val="007D169E"/>
    <w:rsid w:val="007D1BDC"/>
    <w:rsid w:val="007D2036"/>
    <w:rsid w:val="007D2665"/>
    <w:rsid w:val="007D2A9F"/>
    <w:rsid w:val="007D2C56"/>
    <w:rsid w:val="007D343E"/>
    <w:rsid w:val="007D3B27"/>
    <w:rsid w:val="007D3D2A"/>
    <w:rsid w:val="007D4053"/>
    <w:rsid w:val="007D45C0"/>
    <w:rsid w:val="007D461B"/>
    <w:rsid w:val="007D6253"/>
    <w:rsid w:val="007D6348"/>
    <w:rsid w:val="007D6C61"/>
    <w:rsid w:val="007D7AA8"/>
    <w:rsid w:val="007E0615"/>
    <w:rsid w:val="007E0B3A"/>
    <w:rsid w:val="007E0C06"/>
    <w:rsid w:val="007E0EC0"/>
    <w:rsid w:val="007E171D"/>
    <w:rsid w:val="007E17B5"/>
    <w:rsid w:val="007E17C5"/>
    <w:rsid w:val="007E186A"/>
    <w:rsid w:val="007E193A"/>
    <w:rsid w:val="007E19A3"/>
    <w:rsid w:val="007E2376"/>
    <w:rsid w:val="007E503E"/>
    <w:rsid w:val="007E539D"/>
    <w:rsid w:val="007E5915"/>
    <w:rsid w:val="007E6030"/>
    <w:rsid w:val="007E61B9"/>
    <w:rsid w:val="007E6A4F"/>
    <w:rsid w:val="007E711A"/>
    <w:rsid w:val="007E71A5"/>
    <w:rsid w:val="007E79FF"/>
    <w:rsid w:val="007F0BEA"/>
    <w:rsid w:val="007F0CF9"/>
    <w:rsid w:val="007F1397"/>
    <w:rsid w:val="007F13C6"/>
    <w:rsid w:val="007F1648"/>
    <w:rsid w:val="007F1B68"/>
    <w:rsid w:val="007F2392"/>
    <w:rsid w:val="007F2BE6"/>
    <w:rsid w:val="007F3B44"/>
    <w:rsid w:val="007F4232"/>
    <w:rsid w:val="007F43FB"/>
    <w:rsid w:val="007F44EF"/>
    <w:rsid w:val="007F4842"/>
    <w:rsid w:val="007F484C"/>
    <w:rsid w:val="007F48A0"/>
    <w:rsid w:val="007F4C88"/>
    <w:rsid w:val="007F51DE"/>
    <w:rsid w:val="007F53BD"/>
    <w:rsid w:val="007F653F"/>
    <w:rsid w:val="007F668E"/>
    <w:rsid w:val="007F68AE"/>
    <w:rsid w:val="007F6B5B"/>
    <w:rsid w:val="007F711B"/>
    <w:rsid w:val="007F7843"/>
    <w:rsid w:val="007F7A2A"/>
    <w:rsid w:val="00800840"/>
    <w:rsid w:val="00800943"/>
    <w:rsid w:val="00800AD3"/>
    <w:rsid w:val="00800EA3"/>
    <w:rsid w:val="00801E24"/>
    <w:rsid w:val="0080246F"/>
    <w:rsid w:val="008035C6"/>
    <w:rsid w:val="0080394B"/>
    <w:rsid w:val="00803E5B"/>
    <w:rsid w:val="00804C18"/>
    <w:rsid w:val="0080648C"/>
    <w:rsid w:val="008068EB"/>
    <w:rsid w:val="00806B04"/>
    <w:rsid w:val="008072B6"/>
    <w:rsid w:val="008104E8"/>
    <w:rsid w:val="00810F14"/>
    <w:rsid w:val="00811175"/>
    <w:rsid w:val="0081154F"/>
    <w:rsid w:val="00811E9C"/>
    <w:rsid w:val="00812303"/>
    <w:rsid w:val="0081255D"/>
    <w:rsid w:val="00812E93"/>
    <w:rsid w:val="00813F44"/>
    <w:rsid w:val="00814A57"/>
    <w:rsid w:val="00815893"/>
    <w:rsid w:val="00815DB7"/>
    <w:rsid w:val="00815E2E"/>
    <w:rsid w:val="00816555"/>
    <w:rsid w:val="008167CB"/>
    <w:rsid w:val="00817568"/>
    <w:rsid w:val="00817B5B"/>
    <w:rsid w:val="00820C2F"/>
    <w:rsid w:val="00820F42"/>
    <w:rsid w:val="00821670"/>
    <w:rsid w:val="00821FC4"/>
    <w:rsid w:val="008227EC"/>
    <w:rsid w:val="00825843"/>
    <w:rsid w:val="0082635C"/>
    <w:rsid w:val="00827BD7"/>
    <w:rsid w:val="00830181"/>
    <w:rsid w:val="00830E18"/>
    <w:rsid w:val="00831272"/>
    <w:rsid w:val="00831405"/>
    <w:rsid w:val="00831643"/>
    <w:rsid w:val="00831AE0"/>
    <w:rsid w:val="00831D35"/>
    <w:rsid w:val="008321A7"/>
    <w:rsid w:val="0083330A"/>
    <w:rsid w:val="0083360B"/>
    <w:rsid w:val="00834E83"/>
    <w:rsid w:val="00835D11"/>
    <w:rsid w:val="00835DF5"/>
    <w:rsid w:val="0083654D"/>
    <w:rsid w:val="00836FFD"/>
    <w:rsid w:val="0083782D"/>
    <w:rsid w:val="00837BE9"/>
    <w:rsid w:val="008403CF"/>
    <w:rsid w:val="00840877"/>
    <w:rsid w:val="00841297"/>
    <w:rsid w:val="00841314"/>
    <w:rsid w:val="00841585"/>
    <w:rsid w:val="00841B0F"/>
    <w:rsid w:val="00841D93"/>
    <w:rsid w:val="00842C60"/>
    <w:rsid w:val="00842E67"/>
    <w:rsid w:val="0084315E"/>
    <w:rsid w:val="008433C8"/>
    <w:rsid w:val="00843ABA"/>
    <w:rsid w:val="00843EE7"/>
    <w:rsid w:val="00844256"/>
    <w:rsid w:val="00844E97"/>
    <w:rsid w:val="00845CF3"/>
    <w:rsid w:val="00845D03"/>
    <w:rsid w:val="00846E6A"/>
    <w:rsid w:val="008475FC"/>
    <w:rsid w:val="00847B87"/>
    <w:rsid w:val="00847CF7"/>
    <w:rsid w:val="00847E36"/>
    <w:rsid w:val="0085078F"/>
    <w:rsid w:val="008508CE"/>
    <w:rsid w:val="00850930"/>
    <w:rsid w:val="00850E40"/>
    <w:rsid w:val="0085159E"/>
    <w:rsid w:val="00851611"/>
    <w:rsid w:val="00851DFA"/>
    <w:rsid w:val="008522AC"/>
    <w:rsid w:val="00852E03"/>
    <w:rsid w:val="00853184"/>
    <w:rsid w:val="008544FB"/>
    <w:rsid w:val="0085493F"/>
    <w:rsid w:val="0085580F"/>
    <w:rsid w:val="008565B3"/>
    <w:rsid w:val="0085795D"/>
    <w:rsid w:val="00857C06"/>
    <w:rsid w:val="0086046F"/>
    <w:rsid w:val="00862339"/>
    <w:rsid w:val="00862449"/>
    <w:rsid w:val="0086248F"/>
    <w:rsid w:val="0086324F"/>
    <w:rsid w:val="008632FF"/>
    <w:rsid w:val="00863A4B"/>
    <w:rsid w:val="00864673"/>
    <w:rsid w:val="008652A1"/>
    <w:rsid w:val="00865779"/>
    <w:rsid w:val="0086618E"/>
    <w:rsid w:val="0086686F"/>
    <w:rsid w:val="00866E8B"/>
    <w:rsid w:val="00866FD1"/>
    <w:rsid w:val="008676F7"/>
    <w:rsid w:val="00870CAF"/>
    <w:rsid w:val="008710AF"/>
    <w:rsid w:val="00871237"/>
    <w:rsid w:val="00871A7D"/>
    <w:rsid w:val="0087207F"/>
    <w:rsid w:val="008728A2"/>
    <w:rsid w:val="00872B09"/>
    <w:rsid w:val="00872CFB"/>
    <w:rsid w:val="00873796"/>
    <w:rsid w:val="008742EB"/>
    <w:rsid w:val="00875290"/>
    <w:rsid w:val="00875337"/>
    <w:rsid w:val="008756D6"/>
    <w:rsid w:val="00875A08"/>
    <w:rsid w:val="0087660B"/>
    <w:rsid w:val="00876759"/>
    <w:rsid w:val="00876CD0"/>
    <w:rsid w:val="00876EF5"/>
    <w:rsid w:val="008770DF"/>
    <w:rsid w:val="00877175"/>
    <w:rsid w:val="008776BC"/>
    <w:rsid w:val="0088084E"/>
    <w:rsid w:val="00880DBC"/>
    <w:rsid w:val="0088152D"/>
    <w:rsid w:val="00881571"/>
    <w:rsid w:val="00881DB9"/>
    <w:rsid w:val="00881E08"/>
    <w:rsid w:val="00881F16"/>
    <w:rsid w:val="00882155"/>
    <w:rsid w:val="0088261D"/>
    <w:rsid w:val="00883F8B"/>
    <w:rsid w:val="008844DB"/>
    <w:rsid w:val="008852D8"/>
    <w:rsid w:val="008864F1"/>
    <w:rsid w:val="00886895"/>
    <w:rsid w:val="00886D57"/>
    <w:rsid w:val="00886E76"/>
    <w:rsid w:val="00886EE2"/>
    <w:rsid w:val="00891166"/>
    <w:rsid w:val="008917E2"/>
    <w:rsid w:val="008917FB"/>
    <w:rsid w:val="0089191B"/>
    <w:rsid w:val="008921AA"/>
    <w:rsid w:val="00892E87"/>
    <w:rsid w:val="00892F97"/>
    <w:rsid w:val="00893876"/>
    <w:rsid w:val="008938FB"/>
    <w:rsid w:val="0089442F"/>
    <w:rsid w:val="00894EAC"/>
    <w:rsid w:val="00895271"/>
    <w:rsid w:val="00895739"/>
    <w:rsid w:val="00895E45"/>
    <w:rsid w:val="008966DA"/>
    <w:rsid w:val="0089672A"/>
    <w:rsid w:val="00896DC4"/>
    <w:rsid w:val="0089745F"/>
    <w:rsid w:val="00897A71"/>
    <w:rsid w:val="00897E6F"/>
    <w:rsid w:val="008A0418"/>
    <w:rsid w:val="008A0C9E"/>
    <w:rsid w:val="008A13DB"/>
    <w:rsid w:val="008A15DD"/>
    <w:rsid w:val="008A185E"/>
    <w:rsid w:val="008A1B33"/>
    <w:rsid w:val="008A2711"/>
    <w:rsid w:val="008A2E73"/>
    <w:rsid w:val="008A3148"/>
    <w:rsid w:val="008A35ED"/>
    <w:rsid w:val="008A3AC0"/>
    <w:rsid w:val="008A3C07"/>
    <w:rsid w:val="008A43E3"/>
    <w:rsid w:val="008A5004"/>
    <w:rsid w:val="008A5366"/>
    <w:rsid w:val="008A5431"/>
    <w:rsid w:val="008A5814"/>
    <w:rsid w:val="008A58A1"/>
    <w:rsid w:val="008B04C7"/>
    <w:rsid w:val="008B0989"/>
    <w:rsid w:val="008B10C5"/>
    <w:rsid w:val="008B17C5"/>
    <w:rsid w:val="008B19D2"/>
    <w:rsid w:val="008B1D85"/>
    <w:rsid w:val="008B1F43"/>
    <w:rsid w:val="008B1F85"/>
    <w:rsid w:val="008B1FB5"/>
    <w:rsid w:val="008B2432"/>
    <w:rsid w:val="008B2E32"/>
    <w:rsid w:val="008B2F09"/>
    <w:rsid w:val="008B3C93"/>
    <w:rsid w:val="008B4D71"/>
    <w:rsid w:val="008B52EA"/>
    <w:rsid w:val="008B59AA"/>
    <w:rsid w:val="008B63B6"/>
    <w:rsid w:val="008B6669"/>
    <w:rsid w:val="008B681C"/>
    <w:rsid w:val="008B7DAC"/>
    <w:rsid w:val="008B7E05"/>
    <w:rsid w:val="008C01A1"/>
    <w:rsid w:val="008C0314"/>
    <w:rsid w:val="008C0973"/>
    <w:rsid w:val="008C0C47"/>
    <w:rsid w:val="008C15B8"/>
    <w:rsid w:val="008C1ADE"/>
    <w:rsid w:val="008C1DEB"/>
    <w:rsid w:val="008C1F47"/>
    <w:rsid w:val="008C289B"/>
    <w:rsid w:val="008C2DAC"/>
    <w:rsid w:val="008C3131"/>
    <w:rsid w:val="008C3487"/>
    <w:rsid w:val="008C4189"/>
    <w:rsid w:val="008C4373"/>
    <w:rsid w:val="008C4F64"/>
    <w:rsid w:val="008C62B8"/>
    <w:rsid w:val="008C6418"/>
    <w:rsid w:val="008C6596"/>
    <w:rsid w:val="008C68A0"/>
    <w:rsid w:val="008C6E3D"/>
    <w:rsid w:val="008C7115"/>
    <w:rsid w:val="008C72B7"/>
    <w:rsid w:val="008C7D07"/>
    <w:rsid w:val="008D03C5"/>
    <w:rsid w:val="008D1CD9"/>
    <w:rsid w:val="008D2267"/>
    <w:rsid w:val="008D2CE7"/>
    <w:rsid w:val="008D412E"/>
    <w:rsid w:val="008D462F"/>
    <w:rsid w:val="008D5309"/>
    <w:rsid w:val="008D55B3"/>
    <w:rsid w:val="008D561C"/>
    <w:rsid w:val="008D56AB"/>
    <w:rsid w:val="008D56C8"/>
    <w:rsid w:val="008D60AE"/>
    <w:rsid w:val="008D7DBF"/>
    <w:rsid w:val="008D7F12"/>
    <w:rsid w:val="008E01C2"/>
    <w:rsid w:val="008E068B"/>
    <w:rsid w:val="008E06F7"/>
    <w:rsid w:val="008E0850"/>
    <w:rsid w:val="008E0860"/>
    <w:rsid w:val="008E15A4"/>
    <w:rsid w:val="008E1B19"/>
    <w:rsid w:val="008E40B4"/>
    <w:rsid w:val="008E492C"/>
    <w:rsid w:val="008E4D4E"/>
    <w:rsid w:val="008E52E0"/>
    <w:rsid w:val="008E5BBC"/>
    <w:rsid w:val="008E6525"/>
    <w:rsid w:val="008E6991"/>
    <w:rsid w:val="008E6F30"/>
    <w:rsid w:val="008E7491"/>
    <w:rsid w:val="008F17AF"/>
    <w:rsid w:val="008F1CA3"/>
    <w:rsid w:val="008F2B59"/>
    <w:rsid w:val="008F2D85"/>
    <w:rsid w:val="008F327B"/>
    <w:rsid w:val="008F3E59"/>
    <w:rsid w:val="008F46A6"/>
    <w:rsid w:val="008F58A6"/>
    <w:rsid w:val="008F5F88"/>
    <w:rsid w:val="008F68F4"/>
    <w:rsid w:val="008F7361"/>
    <w:rsid w:val="008F792F"/>
    <w:rsid w:val="00900090"/>
    <w:rsid w:val="009003F6"/>
    <w:rsid w:val="0090047F"/>
    <w:rsid w:val="00900532"/>
    <w:rsid w:val="00900ECE"/>
    <w:rsid w:val="00901894"/>
    <w:rsid w:val="00901EC4"/>
    <w:rsid w:val="009030A8"/>
    <w:rsid w:val="0090328C"/>
    <w:rsid w:val="00903FC0"/>
    <w:rsid w:val="009041A9"/>
    <w:rsid w:val="00904C75"/>
    <w:rsid w:val="00905327"/>
    <w:rsid w:val="00906D47"/>
    <w:rsid w:val="009076A4"/>
    <w:rsid w:val="00907FE5"/>
    <w:rsid w:val="00910287"/>
    <w:rsid w:val="0091097C"/>
    <w:rsid w:val="00910A3F"/>
    <w:rsid w:val="00910E08"/>
    <w:rsid w:val="00911C76"/>
    <w:rsid w:val="00912594"/>
    <w:rsid w:val="0091444F"/>
    <w:rsid w:val="009144F8"/>
    <w:rsid w:val="009145EC"/>
    <w:rsid w:val="00914820"/>
    <w:rsid w:val="00914A20"/>
    <w:rsid w:val="00914BBF"/>
    <w:rsid w:val="0091510B"/>
    <w:rsid w:val="00916459"/>
    <w:rsid w:val="00916551"/>
    <w:rsid w:val="00916695"/>
    <w:rsid w:val="0091692E"/>
    <w:rsid w:val="009173D4"/>
    <w:rsid w:val="009175AF"/>
    <w:rsid w:val="009177B6"/>
    <w:rsid w:val="009177C7"/>
    <w:rsid w:val="00920510"/>
    <w:rsid w:val="009213DA"/>
    <w:rsid w:val="00921546"/>
    <w:rsid w:val="00921A3E"/>
    <w:rsid w:val="00922645"/>
    <w:rsid w:val="0092273E"/>
    <w:rsid w:val="009230FB"/>
    <w:rsid w:val="009242D5"/>
    <w:rsid w:val="0092486A"/>
    <w:rsid w:val="009250E9"/>
    <w:rsid w:val="00927081"/>
    <w:rsid w:val="0092737D"/>
    <w:rsid w:val="009303D4"/>
    <w:rsid w:val="009305F1"/>
    <w:rsid w:val="00931116"/>
    <w:rsid w:val="009313FC"/>
    <w:rsid w:val="009318A6"/>
    <w:rsid w:val="00931F19"/>
    <w:rsid w:val="00932686"/>
    <w:rsid w:val="00933026"/>
    <w:rsid w:val="009336F1"/>
    <w:rsid w:val="00933927"/>
    <w:rsid w:val="00933FF3"/>
    <w:rsid w:val="009349A0"/>
    <w:rsid w:val="0093509B"/>
    <w:rsid w:val="009359F5"/>
    <w:rsid w:val="00935DC7"/>
    <w:rsid w:val="00935E03"/>
    <w:rsid w:val="00936592"/>
    <w:rsid w:val="00936876"/>
    <w:rsid w:val="00937E9F"/>
    <w:rsid w:val="00940AB4"/>
    <w:rsid w:val="00940D0F"/>
    <w:rsid w:val="00940F87"/>
    <w:rsid w:val="0094124A"/>
    <w:rsid w:val="00941338"/>
    <w:rsid w:val="00941DC9"/>
    <w:rsid w:val="00941E28"/>
    <w:rsid w:val="00941ED6"/>
    <w:rsid w:val="00942072"/>
    <w:rsid w:val="009420EE"/>
    <w:rsid w:val="0094223D"/>
    <w:rsid w:val="00943BF6"/>
    <w:rsid w:val="009444C5"/>
    <w:rsid w:val="00944866"/>
    <w:rsid w:val="00944B4D"/>
    <w:rsid w:val="00944B6C"/>
    <w:rsid w:val="009452E7"/>
    <w:rsid w:val="00945917"/>
    <w:rsid w:val="009471DF"/>
    <w:rsid w:val="00947352"/>
    <w:rsid w:val="009473FD"/>
    <w:rsid w:val="0095009E"/>
    <w:rsid w:val="009507E2"/>
    <w:rsid w:val="00950BEE"/>
    <w:rsid w:val="00950F48"/>
    <w:rsid w:val="009515E7"/>
    <w:rsid w:val="00951F46"/>
    <w:rsid w:val="00952132"/>
    <w:rsid w:val="00952CFE"/>
    <w:rsid w:val="00953533"/>
    <w:rsid w:val="009535DA"/>
    <w:rsid w:val="00953645"/>
    <w:rsid w:val="0095364D"/>
    <w:rsid w:val="009538B5"/>
    <w:rsid w:val="00953A04"/>
    <w:rsid w:val="00953F4F"/>
    <w:rsid w:val="0095454C"/>
    <w:rsid w:val="00955B99"/>
    <w:rsid w:val="00956314"/>
    <w:rsid w:val="009564DE"/>
    <w:rsid w:val="0095727B"/>
    <w:rsid w:val="00957797"/>
    <w:rsid w:val="009579CF"/>
    <w:rsid w:val="00957DF0"/>
    <w:rsid w:val="0096095E"/>
    <w:rsid w:val="00960B4B"/>
    <w:rsid w:val="00960E73"/>
    <w:rsid w:val="00960FBC"/>
    <w:rsid w:val="0096284C"/>
    <w:rsid w:val="00963224"/>
    <w:rsid w:val="009633E7"/>
    <w:rsid w:val="0096353D"/>
    <w:rsid w:val="009640F2"/>
    <w:rsid w:val="00964135"/>
    <w:rsid w:val="0096452E"/>
    <w:rsid w:val="00965598"/>
    <w:rsid w:val="0096576A"/>
    <w:rsid w:val="00965DE1"/>
    <w:rsid w:val="00965EB1"/>
    <w:rsid w:val="00965F5D"/>
    <w:rsid w:val="009675E2"/>
    <w:rsid w:val="00967623"/>
    <w:rsid w:val="0097036F"/>
    <w:rsid w:val="00970821"/>
    <w:rsid w:val="00970B7F"/>
    <w:rsid w:val="00970C46"/>
    <w:rsid w:val="00970CF6"/>
    <w:rsid w:val="00970EF3"/>
    <w:rsid w:val="0097166C"/>
    <w:rsid w:val="00971681"/>
    <w:rsid w:val="00971CB1"/>
    <w:rsid w:val="00971CC5"/>
    <w:rsid w:val="00972AB5"/>
    <w:rsid w:val="00972ECE"/>
    <w:rsid w:val="00972F69"/>
    <w:rsid w:val="009738EC"/>
    <w:rsid w:val="009738F5"/>
    <w:rsid w:val="00973A78"/>
    <w:rsid w:val="0097408B"/>
    <w:rsid w:val="009742B3"/>
    <w:rsid w:val="00974C92"/>
    <w:rsid w:val="00974CD3"/>
    <w:rsid w:val="009750BF"/>
    <w:rsid w:val="009753FD"/>
    <w:rsid w:val="00975400"/>
    <w:rsid w:val="009758AC"/>
    <w:rsid w:val="00975F63"/>
    <w:rsid w:val="009773EE"/>
    <w:rsid w:val="009777D1"/>
    <w:rsid w:val="009779C8"/>
    <w:rsid w:val="009779FF"/>
    <w:rsid w:val="00977F5F"/>
    <w:rsid w:val="0098035C"/>
    <w:rsid w:val="00980E0D"/>
    <w:rsid w:val="00981366"/>
    <w:rsid w:val="00981372"/>
    <w:rsid w:val="009822A4"/>
    <w:rsid w:val="00982CA4"/>
    <w:rsid w:val="00982FCD"/>
    <w:rsid w:val="00983383"/>
    <w:rsid w:val="0098357F"/>
    <w:rsid w:val="00983EA9"/>
    <w:rsid w:val="009845A7"/>
    <w:rsid w:val="00984742"/>
    <w:rsid w:val="00984D85"/>
    <w:rsid w:val="00985B63"/>
    <w:rsid w:val="00986444"/>
    <w:rsid w:val="00986852"/>
    <w:rsid w:val="00986896"/>
    <w:rsid w:val="00986CB6"/>
    <w:rsid w:val="00990285"/>
    <w:rsid w:val="00990E86"/>
    <w:rsid w:val="00990F05"/>
    <w:rsid w:val="00991237"/>
    <w:rsid w:val="00991EC4"/>
    <w:rsid w:val="009925A5"/>
    <w:rsid w:val="00992888"/>
    <w:rsid w:val="009928DB"/>
    <w:rsid w:val="00992AEC"/>
    <w:rsid w:val="00993569"/>
    <w:rsid w:val="00995C32"/>
    <w:rsid w:val="009965D4"/>
    <w:rsid w:val="00996AC6"/>
    <w:rsid w:val="00996C08"/>
    <w:rsid w:val="00996EFD"/>
    <w:rsid w:val="00997AFB"/>
    <w:rsid w:val="009A005C"/>
    <w:rsid w:val="009A0A44"/>
    <w:rsid w:val="009A10A7"/>
    <w:rsid w:val="009A1144"/>
    <w:rsid w:val="009A2ED9"/>
    <w:rsid w:val="009A3088"/>
    <w:rsid w:val="009A426A"/>
    <w:rsid w:val="009A43A8"/>
    <w:rsid w:val="009A4CE8"/>
    <w:rsid w:val="009A53A8"/>
    <w:rsid w:val="009A545B"/>
    <w:rsid w:val="009A590E"/>
    <w:rsid w:val="009A5B7C"/>
    <w:rsid w:val="009A638F"/>
    <w:rsid w:val="009A6626"/>
    <w:rsid w:val="009A6864"/>
    <w:rsid w:val="009A7690"/>
    <w:rsid w:val="009B0591"/>
    <w:rsid w:val="009B0E41"/>
    <w:rsid w:val="009B1BA2"/>
    <w:rsid w:val="009B1E7C"/>
    <w:rsid w:val="009B271F"/>
    <w:rsid w:val="009B28F2"/>
    <w:rsid w:val="009B32B9"/>
    <w:rsid w:val="009B3DF1"/>
    <w:rsid w:val="009B46E9"/>
    <w:rsid w:val="009B4E4E"/>
    <w:rsid w:val="009B5215"/>
    <w:rsid w:val="009B5F4E"/>
    <w:rsid w:val="009B63C0"/>
    <w:rsid w:val="009B700C"/>
    <w:rsid w:val="009B7831"/>
    <w:rsid w:val="009B7F35"/>
    <w:rsid w:val="009C0950"/>
    <w:rsid w:val="009C09EE"/>
    <w:rsid w:val="009C0A42"/>
    <w:rsid w:val="009C0AA2"/>
    <w:rsid w:val="009C0EFD"/>
    <w:rsid w:val="009C17A6"/>
    <w:rsid w:val="009C1B18"/>
    <w:rsid w:val="009C1D14"/>
    <w:rsid w:val="009C1D59"/>
    <w:rsid w:val="009C26EE"/>
    <w:rsid w:val="009C2965"/>
    <w:rsid w:val="009C2FD4"/>
    <w:rsid w:val="009C32B0"/>
    <w:rsid w:val="009C4568"/>
    <w:rsid w:val="009C4F8A"/>
    <w:rsid w:val="009C54D4"/>
    <w:rsid w:val="009C5EC1"/>
    <w:rsid w:val="009C639B"/>
    <w:rsid w:val="009C65AA"/>
    <w:rsid w:val="009C6EE1"/>
    <w:rsid w:val="009C7220"/>
    <w:rsid w:val="009D05E2"/>
    <w:rsid w:val="009D0DF8"/>
    <w:rsid w:val="009D1265"/>
    <w:rsid w:val="009D17CE"/>
    <w:rsid w:val="009D1936"/>
    <w:rsid w:val="009D222C"/>
    <w:rsid w:val="009D2E54"/>
    <w:rsid w:val="009D3376"/>
    <w:rsid w:val="009D5CDD"/>
    <w:rsid w:val="009D5E2B"/>
    <w:rsid w:val="009D62F4"/>
    <w:rsid w:val="009D69C2"/>
    <w:rsid w:val="009D6D7A"/>
    <w:rsid w:val="009D6D8A"/>
    <w:rsid w:val="009D6DA1"/>
    <w:rsid w:val="009D70A3"/>
    <w:rsid w:val="009D7183"/>
    <w:rsid w:val="009D77D3"/>
    <w:rsid w:val="009E1F33"/>
    <w:rsid w:val="009E2402"/>
    <w:rsid w:val="009E288C"/>
    <w:rsid w:val="009E29E9"/>
    <w:rsid w:val="009E2BAA"/>
    <w:rsid w:val="009E31EF"/>
    <w:rsid w:val="009E36FF"/>
    <w:rsid w:val="009E3FB1"/>
    <w:rsid w:val="009E433E"/>
    <w:rsid w:val="009E4451"/>
    <w:rsid w:val="009E4ED5"/>
    <w:rsid w:val="009E5DF0"/>
    <w:rsid w:val="009E6134"/>
    <w:rsid w:val="009E6425"/>
    <w:rsid w:val="009F048A"/>
    <w:rsid w:val="009F09D0"/>
    <w:rsid w:val="009F0DF2"/>
    <w:rsid w:val="009F1351"/>
    <w:rsid w:val="009F21C2"/>
    <w:rsid w:val="009F2544"/>
    <w:rsid w:val="009F3C2E"/>
    <w:rsid w:val="009F3D2D"/>
    <w:rsid w:val="009F44B5"/>
    <w:rsid w:val="009F49E2"/>
    <w:rsid w:val="009F4F0E"/>
    <w:rsid w:val="009F512C"/>
    <w:rsid w:val="009F61F6"/>
    <w:rsid w:val="009F63E5"/>
    <w:rsid w:val="009F6759"/>
    <w:rsid w:val="009F6DFE"/>
    <w:rsid w:val="009F707A"/>
    <w:rsid w:val="00A00398"/>
    <w:rsid w:val="00A006D5"/>
    <w:rsid w:val="00A00953"/>
    <w:rsid w:val="00A00A24"/>
    <w:rsid w:val="00A00DA9"/>
    <w:rsid w:val="00A01373"/>
    <w:rsid w:val="00A01A3C"/>
    <w:rsid w:val="00A01D36"/>
    <w:rsid w:val="00A0303E"/>
    <w:rsid w:val="00A037EF"/>
    <w:rsid w:val="00A03950"/>
    <w:rsid w:val="00A03F77"/>
    <w:rsid w:val="00A0405E"/>
    <w:rsid w:val="00A05183"/>
    <w:rsid w:val="00A051DB"/>
    <w:rsid w:val="00A05FC2"/>
    <w:rsid w:val="00A0682B"/>
    <w:rsid w:val="00A06B7C"/>
    <w:rsid w:val="00A070DE"/>
    <w:rsid w:val="00A070FA"/>
    <w:rsid w:val="00A07109"/>
    <w:rsid w:val="00A07B24"/>
    <w:rsid w:val="00A07B85"/>
    <w:rsid w:val="00A10C08"/>
    <w:rsid w:val="00A10D63"/>
    <w:rsid w:val="00A10DD0"/>
    <w:rsid w:val="00A12931"/>
    <w:rsid w:val="00A12CF5"/>
    <w:rsid w:val="00A13296"/>
    <w:rsid w:val="00A13896"/>
    <w:rsid w:val="00A13A33"/>
    <w:rsid w:val="00A14391"/>
    <w:rsid w:val="00A1487D"/>
    <w:rsid w:val="00A14CBC"/>
    <w:rsid w:val="00A151B4"/>
    <w:rsid w:val="00A15F1C"/>
    <w:rsid w:val="00A1600D"/>
    <w:rsid w:val="00A16AB7"/>
    <w:rsid w:val="00A16AE7"/>
    <w:rsid w:val="00A176AF"/>
    <w:rsid w:val="00A206A8"/>
    <w:rsid w:val="00A209E8"/>
    <w:rsid w:val="00A20DE5"/>
    <w:rsid w:val="00A21395"/>
    <w:rsid w:val="00A2187F"/>
    <w:rsid w:val="00A23021"/>
    <w:rsid w:val="00A2341D"/>
    <w:rsid w:val="00A23610"/>
    <w:rsid w:val="00A23929"/>
    <w:rsid w:val="00A23EFA"/>
    <w:rsid w:val="00A244A9"/>
    <w:rsid w:val="00A2531B"/>
    <w:rsid w:val="00A25788"/>
    <w:rsid w:val="00A25D3A"/>
    <w:rsid w:val="00A26F57"/>
    <w:rsid w:val="00A2785A"/>
    <w:rsid w:val="00A278E3"/>
    <w:rsid w:val="00A27CC5"/>
    <w:rsid w:val="00A30A40"/>
    <w:rsid w:val="00A30CE7"/>
    <w:rsid w:val="00A3123D"/>
    <w:rsid w:val="00A317C7"/>
    <w:rsid w:val="00A31F2A"/>
    <w:rsid w:val="00A336C9"/>
    <w:rsid w:val="00A33E2C"/>
    <w:rsid w:val="00A34A8D"/>
    <w:rsid w:val="00A34F32"/>
    <w:rsid w:val="00A34F91"/>
    <w:rsid w:val="00A35260"/>
    <w:rsid w:val="00A355B0"/>
    <w:rsid w:val="00A360DC"/>
    <w:rsid w:val="00A36D07"/>
    <w:rsid w:val="00A36F97"/>
    <w:rsid w:val="00A37225"/>
    <w:rsid w:val="00A3748F"/>
    <w:rsid w:val="00A423C5"/>
    <w:rsid w:val="00A42F5C"/>
    <w:rsid w:val="00A43A6C"/>
    <w:rsid w:val="00A44490"/>
    <w:rsid w:val="00A453EE"/>
    <w:rsid w:val="00A45935"/>
    <w:rsid w:val="00A46122"/>
    <w:rsid w:val="00A46428"/>
    <w:rsid w:val="00A47298"/>
    <w:rsid w:val="00A50328"/>
    <w:rsid w:val="00A50391"/>
    <w:rsid w:val="00A51A6F"/>
    <w:rsid w:val="00A520B4"/>
    <w:rsid w:val="00A5230F"/>
    <w:rsid w:val="00A524BE"/>
    <w:rsid w:val="00A5258C"/>
    <w:rsid w:val="00A5266A"/>
    <w:rsid w:val="00A52964"/>
    <w:rsid w:val="00A52FC6"/>
    <w:rsid w:val="00A534F0"/>
    <w:rsid w:val="00A53551"/>
    <w:rsid w:val="00A539EE"/>
    <w:rsid w:val="00A53F40"/>
    <w:rsid w:val="00A54252"/>
    <w:rsid w:val="00A543D7"/>
    <w:rsid w:val="00A54CEB"/>
    <w:rsid w:val="00A551D1"/>
    <w:rsid w:val="00A5561D"/>
    <w:rsid w:val="00A55E35"/>
    <w:rsid w:val="00A55F38"/>
    <w:rsid w:val="00A56274"/>
    <w:rsid w:val="00A56508"/>
    <w:rsid w:val="00A56C0A"/>
    <w:rsid w:val="00A6020A"/>
    <w:rsid w:val="00A6053E"/>
    <w:rsid w:val="00A606AB"/>
    <w:rsid w:val="00A60F41"/>
    <w:rsid w:val="00A61363"/>
    <w:rsid w:val="00A6210D"/>
    <w:rsid w:val="00A63108"/>
    <w:rsid w:val="00A631F2"/>
    <w:rsid w:val="00A63321"/>
    <w:rsid w:val="00A63CA3"/>
    <w:rsid w:val="00A63E3C"/>
    <w:rsid w:val="00A6403C"/>
    <w:rsid w:val="00A64F1A"/>
    <w:rsid w:val="00A6572B"/>
    <w:rsid w:val="00A657C3"/>
    <w:rsid w:val="00A658B4"/>
    <w:rsid w:val="00A65BBC"/>
    <w:rsid w:val="00A65D72"/>
    <w:rsid w:val="00A65DDB"/>
    <w:rsid w:val="00A6630D"/>
    <w:rsid w:val="00A66B38"/>
    <w:rsid w:val="00A67295"/>
    <w:rsid w:val="00A6764B"/>
    <w:rsid w:val="00A702AE"/>
    <w:rsid w:val="00A70747"/>
    <w:rsid w:val="00A70B13"/>
    <w:rsid w:val="00A70D7F"/>
    <w:rsid w:val="00A719B9"/>
    <w:rsid w:val="00A725B9"/>
    <w:rsid w:val="00A726D3"/>
    <w:rsid w:val="00A72F62"/>
    <w:rsid w:val="00A72FA8"/>
    <w:rsid w:val="00A73B19"/>
    <w:rsid w:val="00A73D38"/>
    <w:rsid w:val="00A73F3E"/>
    <w:rsid w:val="00A741B9"/>
    <w:rsid w:val="00A74334"/>
    <w:rsid w:val="00A74AAE"/>
    <w:rsid w:val="00A75DDD"/>
    <w:rsid w:val="00A764E2"/>
    <w:rsid w:val="00A76782"/>
    <w:rsid w:val="00A76F89"/>
    <w:rsid w:val="00A770E4"/>
    <w:rsid w:val="00A77804"/>
    <w:rsid w:val="00A81B68"/>
    <w:rsid w:val="00A82368"/>
    <w:rsid w:val="00A82628"/>
    <w:rsid w:val="00A82A8A"/>
    <w:rsid w:val="00A83A41"/>
    <w:rsid w:val="00A83BF5"/>
    <w:rsid w:val="00A842E1"/>
    <w:rsid w:val="00A8473C"/>
    <w:rsid w:val="00A84795"/>
    <w:rsid w:val="00A84FA5"/>
    <w:rsid w:val="00A84FB5"/>
    <w:rsid w:val="00A85961"/>
    <w:rsid w:val="00A85EAE"/>
    <w:rsid w:val="00A861D7"/>
    <w:rsid w:val="00A86623"/>
    <w:rsid w:val="00A87A35"/>
    <w:rsid w:val="00A87F77"/>
    <w:rsid w:val="00A907D3"/>
    <w:rsid w:val="00A908F1"/>
    <w:rsid w:val="00A91A87"/>
    <w:rsid w:val="00A91F74"/>
    <w:rsid w:val="00A92015"/>
    <w:rsid w:val="00A920F9"/>
    <w:rsid w:val="00A9257B"/>
    <w:rsid w:val="00A92B64"/>
    <w:rsid w:val="00A93759"/>
    <w:rsid w:val="00A93ACB"/>
    <w:rsid w:val="00A941C7"/>
    <w:rsid w:val="00A95C7C"/>
    <w:rsid w:val="00A960FD"/>
    <w:rsid w:val="00A96E57"/>
    <w:rsid w:val="00A96F37"/>
    <w:rsid w:val="00A970E1"/>
    <w:rsid w:val="00A9751A"/>
    <w:rsid w:val="00A97721"/>
    <w:rsid w:val="00AA04F6"/>
    <w:rsid w:val="00AA0902"/>
    <w:rsid w:val="00AA0CD3"/>
    <w:rsid w:val="00AA2128"/>
    <w:rsid w:val="00AA24C1"/>
    <w:rsid w:val="00AA29E0"/>
    <w:rsid w:val="00AA30B7"/>
    <w:rsid w:val="00AA4047"/>
    <w:rsid w:val="00AA5064"/>
    <w:rsid w:val="00AA5CA3"/>
    <w:rsid w:val="00AA714D"/>
    <w:rsid w:val="00AA7CF0"/>
    <w:rsid w:val="00AB02B9"/>
    <w:rsid w:val="00AB0D4D"/>
    <w:rsid w:val="00AB16ED"/>
    <w:rsid w:val="00AB1C72"/>
    <w:rsid w:val="00AB205A"/>
    <w:rsid w:val="00AB2380"/>
    <w:rsid w:val="00AB276B"/>
    <w:rsid w:val="00AB2979"/>
    <w:rsid w:val="00AB439E"/>
    <w:rsid w:val="00AB4556"/>
    <w:rsid w:val="00AB462A"/>
    <w:rsid w:val="00AB48AD"/>
    <w:rsid w:val="00AB5D05"/>
    <w:rsid w:val="00AB5F91"/>
    <w:rsid w:val="00AB6099"/>
    <w:rsid w:val="00AB62A2"/>
    <w:rsid w:val="00AB69A4"/>
    <w:rsid w:val="00AB6B0A"/>
    <w:rsid w:val="00AB72EB"/>
    <w:rsid w:val="00AB7E4D"/>
    <w:rsid w:val="00AB7E5E"/>
    <w:rsid w:val="00AC0010"/>
    <w:rsid w:val="00AC0E5F"/>
    <w:rsid w:val="00AC10C6"/>
    <w:rsid w:val="00AC19F8"/>
    <w:rsid w:val="00AC22F5"/>
    <w:rsid w:val="00AC2790"/>
    <w:rsid w:val="00AC2847"/>
    <w:rsid w:val="00AC31A1"/>
    <w:rsid w:val="00AC324B"/>
    <w:rsid w:val="00AC35C5"/>
    <w:rsid w:val="00AC3DC3"/>
    <w:rsid w:val="00AC44BB"/>
    <w:rsid w:val="00AC51BB"/>
    <w:rsid w:val="00AC5388"/>
    <w:rsid w:val="00AC560D"/>
    <w:rsid w:val="00AC5616"/>
    <w:rsid w:val="00AC5AA7"/>
    <w:rsid w:val="00AC5AE7"/>
    <w:rsid w:val="00AC6344"/>
    <w:rsid w:val="00AC68BE"/>
    <w:rsid w:val="00AC693E"/>
    <w:rsid w:val="00AC70C0"/>
    <w:rsid w:val="00AC77E3"/>
    <w:rsid w:val="00AD0197"/>
    <w:rsid w:val="00AD0ABA"/>
    <w:rsid w:val="00AD0B69"/>
    <w:rsid w:val="00AD0BBF"/>
    <w:rsid w:val="00AD186C"/>
    <w:rsid w:val="00AD1A41"/>
    <w:rsid w:val="00AD2263"/>
    <w:rsid w:val="00AD27A6"/>
    <w:rsid w:val="00AD2D27"/>
    <w:rsid w:val="00AD3B1A"/>
    <w:rsid w:val="00AD498B"/>
    <w:rsid w:val="00AD56F2"/>
    <w:rsid w:val="00AD58AA"/>
    <w:rsid w:val="00AD5A6B"/>
    <w:rsid w:val="00AD60A8"/>
    <w:rsid w:val="00AD77C1"/>
    <w:rsid w:val="00AD7B14"/>
    <w:rsid w:val="00AE05DD"/>
    <w:rsid w:val="00AE0C12"/>
    <w:rsid w:val="00AE217F"/>
    <w:rsid w:val="00AE2C12"/>
    <w:rsid w:val="00AE2D9B"/>
    <w:rsid w:val="00AE4D3F"/>
    <w:rsid w:val="00AE51DF"/>
    <w:rsid w:val="00AE537B"/>
    <w:rsid w:val="00AE5596"/>
    <w:rsid w:val="00AE6114"/>
    <w:rsid w:val="00AE61A8"/>
    <w:rsid w:val="00AF03FD"/>
    <w:rsid w:val="00AF06BB"/>
    <w:rsid w:val="00AF076B"/>
    <w:rsid w:val="00AF0906"/>
    <w:rsid w:val="00AF097D"/>
    <w:rsid w:val="00AF0A7A"/>
    <w:rsid w:val="00AF1501"/>
    <w:rsid w:val="00AF1B81"/>
    <w:rsid w:val="00AF231E"/>
    <w:rsid w:val="00AF25F2"/>
    <w:rsid w:val="00AF300B"/>
    <w:rsid w:val="00AF3213"/>
    <w:rsid w:val="00AF32D4"/>
    <w:rsid w:val="00AF3640"/>
    <w:rsid w:val="00AF37A6"/>
    <w:rsid w:val="00AF58F8"/>
    <w:rsid w:val="00AF5B9D"/>
    <w:rsid w:val="00AF5BF2"/>
    <w:rsid w:val="00AF615D"/>
    <w:rsid w:val="00AF69D9"/>
    <w:rsid w:val="00AF6B5F"/>
    <w:rsid w:val="00B000A7"/>
    <w:rsid w:val="00B00BC3"/>
    <w:rsid w:val="00B011ED"/>
    <w:rsid w:val="00B01D51"/>
    <w:rsid w:val="00B01E19"/>
    <w:rsid w:val="00B01E33"/>
    <w:rsid w:val="00B0205B"/>
    <w:rsid w:val="00B02446"/>
    <w:rsid w:val="00B02850"/>
    <w:rsid w:val="00B028EC"/>
    <w:rsid w:val="00B0292B"/>
    <w:rsid w:val="00B02DD9"/>
    <w:rsid w:val="00B03399"/>
    <w:rsid w:val="00B03ECA"/>
    <w:rsid w:val="00B04CD0"/>
    <w:rsid w:val="00B054B7"/>
    <w:rsid w:val="00B059AC"/>
    <w:rsid w:val="00B05F1F"/>
    <w:rsid w:val="00B06040"/>
    <w:rsid w:val="00B06E6C"/>
    <w:rsid w:val="00B077DE"/>
    <w:rsid w:val="00B07999"/>
    <w:rsid w:val="00B07A4E"/>
    <w:rsid w:val="00B07BD1"/>
    <w:rsid w:val="00B07E0E"/>
    <w:rsid w:val="00B07F81"/>
    <w:rsid w:val="00B10456"/>
    <w:rsid w:val="00B1057B"/>
    <w:rsid w:val="00B107B3"/>
    <w:rsid w:val="00B107C7"/>
    <w:rsid w:val="00B1091F"/>
    <w:rsid w:val="00B1099C"/>
    <w:rsid w:val="00B10BEA"/>
    <w:rsid w:val="00B11783"/>
    <w:rsid w:val="00B11997"/>
    <w:rsid w:val="00B12568"/>
    <w:rsid w:val="00B12F1A"/>
    <w:rsid w:val="00B13000"/>
    <w:rsid w:val="00B138BE"/>
    <w:rsid w:val="00B154D0"/>
    <w:rsid w:val="00B15772"/>
    <w:rsid w:val="00B159EF"/>
    <w:rsid w:val="00B15ABD"/>
    <w:rsid w:val="00B16B77"/>
    <w:rsid w:val="00B1712B"/>
    <w:rsid w:val="00B17178"/>
    <w:rsid w:val="00B171D5"/>
    <w:rsid w:val="00B20538"/>
    <w:rsid w:val="00B2058E"/>
    <w:rsid w:val="00B20A15"/>
    <w:rsid w:val="00B20E01"/>
    <w:rsid w:val="00B20F5B"/>
    <w:rsid w:val="00B20F68"/>
    <w:rsid w:val="00B215A6"/>
    <w:rsid w:val="00B2163D"/>
    <w:rsid w:val="00B218B8"/>
    <w:rsid w:val="00B223A9"/>
    <w:rsid w:val="00B227B2"/>
    <w:rsid w:val="00B2291A"/>
    <w:rsid w:val="00B22F6A"/>
    <w:rsid w:val="00B24104"/>
    <w:rsid w:val="00B24192"/>
    <w:rsid w:val="00B26A4C"/>
    <w:rsid w:val="00B27D47"/>
    <w:rsid w:val="00B27DC9"/>
    <w:rsid w:val="00B27EB3"/>
    <w:rsid w:val="00B3005F"/>
    <w:rsid w:val="00B30C53"/>
    <w:rsid w:val="00B31366"/>
    <w:rsid w:val="00B3147B"/>
    <w:rsid w:val="00B31730"/>
    <w:rsid w:val="00B31844"/>
    <w:rsid w:val="00B32CB7"/>
    <w:rsid w:val="00B32E6C"/>
    <w:rsid w:val="00B33FC1"/>
    <w:rsid w:val="00B33FC6"/>
    <w:rsid w:val="00B34031"/>
    <w:rsid w:val="00B34697"/>
    <w:rsid w:val="00B34F58"/>
    <w:rsid w:val="00B3525E"/>
    <w:rsid w:val="00B3739A"/>
    <w:rsid w:val="00B37490"/>
    <w:rsid w:val="00B37691"/>
    <w:rsid w:val="00B40544"/>
    <w:rsid w:val="00B40875"/>
    <w:rsid w:val="00B41183"/>
    <w:rsid w:val="00B41914"/>
    <w:rsid w:val="00B41A1C"/>
    <w:rsid w:val="00B41BC5"/>
    <w:rsid w:val="00B42A30"/>
    <w:rsid w:val="00B4356C"/>
    <w:rsid w:val="00B43C38"/>
    <w:rsid w:val="00B43F44"/>
    <w:rsid w:val="00B450D5"/>
    <w:rsid w:val="00B46173"/>
    <w:rsid w:val="00B46A49"/>
    <w:rsid w:val="00B471D6"/>
    <w:rsid w:val="00B4726C"/>
    <w:rsid w:val="00B47C57"/>
    <w:rsid w:val="00B47D89"/>
    <w:rsid w:val="00B50015"/>
    <w:rsid w:val="00B50934"/>
    <w:rsid w:val="00B50992"/>
    <w:rsid w:val="00B50F56"/>
    <w:rsid w:val="00B51281"/>
    <w:rsid w:val="00B521BB"/>
    <w:rsid w:val="00B5227A"/>
    <w:rsid w:val="00B53FE0"/>
    <w:rsid w:val="00B5436B"/>
    <w:rsid w:val="00B5563E"/>
    <w:rsid w:val="00B55D32"/>
    <w:rsid w:val="00B566F6"/>
    <w:rsid w:val="00B56ED6"/>
    <w:rsid w:val="00B57B17"/>
    <w:rsid w:val="00B605E7"/>
    <w:rsid w:val="00B607B5"/>
    <w:rsid w:val="00B614C2"/>
    <w:rsid w:val="00B633FF"/>
    <w:rsid w:val="00B63AFD"/>
    <w:rsid w:val="00B64EEC"/>
    <w:rsid w:val="00B6594A"/>
    <w:rsid w:val="00B65E74"/>
    <w:rsid w:val="00B663B0"/>
    <w:rsid w:val="00B669CD"/>
    <w:rsid w:val="00B6777A"/>
    <w:rsid w:val="00B679EF"/>
    <w:rsid w:val="00B67A33"/>
    <w:rsid w:val="00B67B8C"/>
    <w:rsid w:val="00B715B0"/>
    <w:rsid w:val="00B7166B"/>
    <w:rsid w:val="00B718C0"/>
    <w:rsid w:val="00B7226E"/>
    <w:rsid w:val="00B72C46"/>
    <w:rsid w:val="00B737FA"/>
    <w:rsid w:val="00B73BF1"/>
    <w:rsid w:val="00B73D42"/>
    <w:rsid w:val="00B7446C"/>
    <w:rsid w:val="00B746A4"/>
    <w:rsid w:val="00B75CC8"/>
    <w:rsid w:val="00B768A8"/>
    <w:rsid w:val="00B76D67"/>
    <w:rsid w:val="00B76F0F"/>
    <w:rsid w:val="00B80249"/>
    <w:rsid w:val="00B804BA"/>
    <w:rsid w:val="00B80B01"/>
    <w:rsid w:val="00B81E8E"/>
    <w:rsid w:val="00B823D6"/>
    <w:rsid w:val="00B827B2"/>
    <w:rsid w:val="00B8286E"/>
    <w:rsid w:val="00B8297E"/>
    <w:rsid w:val="00B82BC5"/>
    <w:rsid w:val="00B83B6E"/>
    <w:rsid w:val="00B83CBE"/>
    <w:rsid w:val="00B83DB6"/>
    <w:rsid w:val="00B84865"/>
    <w:rsid w:val="00B849DE"/>
    <w:rsid w:val="00B85102"/>
    <w:rsid w:val="00B85CEA"/>
    <w:rsid w:val="00B85D77"/>
    <w:rsid w:val="00B85FB4"/>
    <w:rsid w:val="00B861E9"/>
    <w:rsid w:val="00B8626E"/>
    <w:rsid w:val="00B87079"/>
    <w:rsid w:val="00B871A4"/>
    <w:rsid w:val="00B87AD1"/>
    <w:rsid w:val="00B9006B"/>
    <w:rsid w:val="00B9008E"/>
    <w:rsid w:val="00B902ED"/>
    <w:rsid w:val="00B90542"/>
    <w:rsid w:val="00B90F1D"/>
    <w:rsid w:val="00B92528"/>
    <w:rsid w:val="00B92A29"/>
    <w:rsid w:val="00B92D7F"/>
    <w:rsid w:val="00B93260"/>
    <w:rsid w:val="00B93B48"/>
    <w:rsid w:val="00B942D6"/>
    <w:rsid w:val="00B95926"/>
    <w:rsid w:val="00B960DC"/>
    <w:rsid w:val="00B96F91"/>
    <w:rsid w:val="00B97772"/>
    <w:rsid w:val="00B979C3"/>
    <w:rsid w:val="00B97FDC"/>
    <w:rsid w:val="00BA02B5"/>
    <w:rsid w:val="00BA0F3F"/>
    <w:rsid w:val="00BA1C77"/>
    <w:rsid w:val="00BA29B7"/>
    <w:rsid w:val="00BA3187"/>
    <w:rsid w:val="00BA394A"/>
    <w:rsid w:val="00BA398E"/>
    <w:rsid w:val="00BA3B86"/>
    <w:rsid w:val="00BA434D"/>
    <w:rsid w:val="00BA46F6"/>
    <w:rsid w:val="00BA4B82"/>
    <w:rsid w:val="00BA4F8B"/>
    <w:rsid w:val="00BA58DF"/>
    <w:rsid w:val="00BA6A28"/>
    <w:rsid w:val="00BA7063"/>
    <w:rsid w:val="00BA797A"/>
    <w:rsid w:val="00BA7BF1"/>
    <w:rsid w:val="00BB0665"/>
    <w:rsid w:val="00BB12A4"/>
    <w:rsid w:val="00BB130D"/>
    <w:rsid w:val="00BB1970"/>
    <w:rsid w:val="00BB1D1D"/>
    <w:rsid w:val="00BB21A8"/>
    <w:rsid w:val="00BB2435"/>
    <w:rsid w:val="00BB257E"/>
    <w:rsid w:val="00BB2A08"/>
    <w:rsid w:val="00BB2B7B"/>
    <w:rsid w:val="00BB33BD"/>
    <w:rsid w:val="00BB35C6"/>
    <w:rsid w:val="00BB36EC"/>
    <w:rsid w:val="00BB3CEB"/>
    <w:rsid w:val="00BB55A2"/>
    <w:rsid w:val="00BB6DA7"/>
    <w:rsid w:val="00BB6E9F"/>
    <w:rsid w:val="00BB7D8E"/>
    <w:rsid w:val="00BC028F"/>
    <w:rsid w:val="00BC0409"/>
    <w:rsid w:val="00BC0425"/>
    <w:rsid w:val="00BC07EC"/>
    <w:rsid w:val="00BC13A4"/>
    <w:rsid w:val="00BC1482"/>
    <w:rsid w:val="00BC14AC"/>
    <w:rsid w:val="00BC1A93"/>
    <w:rsid w:val="00BC1D15"/>
    <w:rsid w:val="00BC1D4C"/>
    <w:rsid w:val="00BC2ED9"/>
    <w:rsid w:val="00BC2EE7"/>
    <w:rsid w:val="00BC31D2"/>
    <w:rsid w:val="00BC4C0C"/>
    <w:rsid w:val="00BC5824"/>
    <w:rsid w:val="00BC5C7C"/>
    <w:rsid w:val="00BC5D91"/>
    <w:rsid w:val="00BC5EA9"/>
    <w:rsid w:val="00BC6FA1"/>
    <w:rsid w:val="00BC755E"/>
    <w:rsid w:val="00BC7B13"/>
    <w:rsid w:val="00BD071D"/>
    <w:rsid w:val="00BD0BD5"/>
    <w:rsid w:val="00BD11FC"/>
    <w:rsid w:val="00BD1655"/>
    <w:rsid w:val="00BD168A"/>
    <w:rsid w:val="00BD18EF"/>
    <w:rsid w:val="00BD1C33"/>
    <w:rsid w:val="00BD1D71"/>
    <w:rsid w:val="00BD3709"/>
    <w:rsid w:val="00BD3785"/>
    <w:rsid w:val="00BD3797"/>
    <w:rsid w:val="00BD3C7F"/>
    <w:rsid w:val="00BD4D5C"/>
    <w:rsid w:val="00BD5A76"/>
    <w:rsid w:val="00BD5FB0"/>
    <w:rsid w:val="00BD602F"/>
    <w:rsid w:val="00BD6B25"/>
    <w:rsid w:val="00BD6CBC"/>
    <w:rsid w:val="00BD7716"/>
    <w:rsid w:val="00BD7A29"/>
    <w:rsid w:val="00BE0594"/>
    <w:rsid w:val="00BE1125"/>
    <w:rsid w:val="00BE22FA"/>
    <w:rsid w:val="00BE27A7"/>
    <w:rsid w:val="00BE2C71"/>
    <w:rsid w:val="00BE3489"/>
    <w:rsid w:val="00BE3918"/>
    <w:rsid w:val="00BE4121"/>
    <w:rsid w:val="00BE5030"/>
    <w:rsid w:val="00BE50B5"/>
    <w:rsid w:val="00BE607D"/>
    <w:rsid w:val="00BE690B"/>
    <w:rsid w:val="00BE6DAD"/>
    <w:rsid w:val="00BE6FF6"/>
    <w:rsid w:val="00BE73BC"/>
    <w:rsid w:val="00BE7C10"/>
    <w:rsid w:val="00BF04FF"/>
    <w:rsid w:val="00BF0698"/>
    <w:rsid w:val="00BF06D3"/>
    <w:rsid w:val="00BF0F48"/>
    <w:rsid w:val="00BF1072"/>
    <w:rsid w:val="00BF1783"/>
    <w:rsid w:val="00BF17F5"/>
    <w:rsid w:val="00BF18CA"/>
    <w:rsid w:val="00BF195B"/>
    <w:rsid w:val="00BF1B51"/>
    <w:rsid w:val="00BF1E4D"/>
    <w:rsid w:val="00BF2576"/>
    <w:rsid w:val="00BF286D"/>
    <w:rsid w:val="00BF320B"/>
    <w:rsid w:val="00BF3300"/>
    <w:rsid w:val="00BF4883"/>
    <w:rsid w:val="00BF4D3F"/>
    <w:rsid w:val="00BF5126"/>
    <w:rsid w:val="00BF58D8"/>
    <w:rsid w:val="00BF601A"/>
    <w:rsid w:val="00BF6054"/>
    <w:rsid w:val="00BF621B"/>
    <w:rsid w:val="00BF6CEC"/>
    <w:rsid w:val="00BF737D"/>
    <w:rsid w:val="00BF77C4"/>
    <w:rsid w:val="00BF7C0D"/>
    <w:rsid w:val="00BF7C7A"/>
    <w:rsid w:val="00C0061B"/>
    <w:rsid w:val="00C00BF2"/>
    <w:rsid w:val="00C00C56"/>
    <w:rsid w:val="00C00E2A"/>
    <w:rsid w:val="00C014B2"/>
    <w:rsid w:val="00C0172C"/>
    <w:rsid w:val="00C01C72"/>
    <w:rsid w:val="00C03822"/>
    <w:rsid w:val="00C03D2E"/>
    <w:rsid w:val="00C04320"/>
    <w:rsid w:val="00C049DB"/>
    <w:rsid w:val="00C04A66"/>
    <w:rsid w:val="00C04BBC"/>
    <w:rsid w:val="00C05394"/>
    <w:rsid w:val="00C0585D"/>
    <w:rsid w:val="00C05E8E"/>
    <w:rsid w:val="00C05F5A"/>
    <w:rsid w:val="00C06C0F"/>
    <w:rsid w:val="00C07297"/>
    <w:rsid w:val="00C1035E"/>
    <w:rsid w:val="00C10360"/>
    <w:rsid w:val="00C1050C"/>
    <w:rsid w:val="00C11A7E"/>
    <w:rsid w:val="00C12FE5"/>
    <w:rsid w:val="00C13350"/>
    <w:rsid w:val="00C13A68"/>
    <w:rsid w:val="00C13C6E"/>
    <w:rsid w:val="00C16154"/>
    <w:rsid w:val="00C1674A"/>
    <w:rsid w:val="00C17200"/>
    <w:rsid w:val="00C20017"/>
    <w:rsid w:val="00C20103"/>
    <w:rsid w:val="00C2132D"/>
    <w:rsid w:val="00C213AD"/>
    <w:rsid w:val="00C2160F"/>
    <w:rsid w:val="00C219C2"/>
    <w:rsid w:val="00C21B6D"/>
    <w:rsid w:val="00C223E4"/>
    <w:rsid w:val="00C22562"/>
    <w:rsid w:val="00C230CF"/>
    <w:rsid w:val="00C23A12"/>
    <w:rsid w:val="00C23B26"/>
    <w:rsid w:val="00C24072"/>
    <w:rsid w:val="00C2563B"/>
    <w:rsid w:val="00C2564F"/>
    <w:rsid w:val="00C25A23"/>
    <w:rsid w:val="00C25F7C"/>
    <w:rsid w:val="00C25FA2"/>
    <w:rsid w:val="00C2639F"/>
    <w:rsid w:val="00C27C0D"/>
    <w:rsid w:val="00C30680"/>
    <w:rsid w:val="00C31159"/>
    <w:rsid w:val="00C31E7E"/>
    <w:rsid w:val="00C32336"/>
    <w:rsid w:val="00C324BA"/>
    <w:rsid w:val="00C326A5"/>
    <w:rsid w:val="00C3305D"/>
    <w:rsid w:val="00C339E1"/>
    <w:rsid w:val="00C33E34"/>
    <w:rsid w:val="00C343A3"/>
    <w:rsid w:val="00C345CA"/>
    <w:rsid w:val="00C3460C"/>
    <w:rsid w:val="00C34C50"/>
    <w:rsid w:val="00C350BD"/>
    <w:rsid w:val="00C37060"/>
    <w:rsid w:val="00C374CB"/>
    <w:rsid w:val="00C37750"/>
    <w:rsid w:val="00C37FEE"/>
    <w:rsid w:val="00C40733"/>
    <w:rsid w:val="00C40E3F"/>
    <w:rsid w:val="00C413B0"/>
    <w:rsid w:val="00C4174E"/>
    <w:rsid w:val="00C42A29"/>
    <w:rsid w:val="00C42B2C"/>
    <w:rsid w:val="00C42F96"/>
    <w:rsid w:val="00C4360A"/>
    <w:rsid w:val="00C43799"/>
    <w:rsid w:val="00C43FFF"/>
    <w:rsid w:val="00C440D8"/>
    <w:rsid w:val="00C446C9"/>
    <w:rsid w:val="00C44E83"/>
    <w:rsid w:val="00C44FDC"/>
    <w:rsid w:val="00C459D3"/>
    <w:rsid w:val="00C469E4"/>
    <w:rsid w:val="00C46B25"/>
    <w:rsid w:val="00C46BCA"/>
    <w:rsid w:val="00C471A3"/>
    <w:rsid w:val="00C47528"/>
    <w:rsid w:val="00C47B2C"/>
    <w:rsid w:val="00C47EE7"/>
    <w:rsid w:val="00C50513"/>
    <w:rsid w:val="00C507D0"/>
    <w:rsid w:val="00C51032"/>
    <w:rsid w:val="00C512D9"/>
    <w:rsid w:val="00C5131C"/>
    <w:rsid w:val="00C514FC"/>
    <w:rsid w:val="00C51780"/>
    <w:rsid w:val="00C51E1A"/>
    <w:rsid w:val="00C528DE"/>
    <w:rsid w:val="00C52A1F"/>
    <w:rsid w:val="00C5456E"/>
    <w:rsid w:val="00C545EF"/>
    <w:rsid w:val="00C5468C"/>
    <w:rsid w:val="00C549CA"/>
    <w:rsid w:val="00C558A0"/>
    <w:rsid w:val="00C5594D"/>
    <w:rsid w:val="00C55B90"/>
    <w:rsid w:val="00C55ED4"/>
    <w:rsid w:val="00C56052"/>
    <w:rsid w:val="00C56B02"/>
    <w:rsid w:val="00C62888"/>
    <w:rsid w:val="00C62C3F"/>
    <w:rsid w:val="00C63AE3"/>
    <w:rsid w:val="00C64555"/>
    <w:rsid w:val="00C649A4"/>
    <w:rsid w:val="00C652BD"/>
    <w:rsid w:val="00C65A15"/>
    <w:rsid w:val="00C66748"/>
    <w:rsid w:val="00C67771"/>
    <w:rsid w:val="00C67CE3"/>
    <w:rsid w:val="00C67D2C"/>
    <w:rsid w:val="00C70385"/>
    <w:rsid w:val="00C715F8"/>
    <w:rsid w:val="00C71A2D"/>
    <w:rsid w:val="00C72DC5"/>
    <w:rsid w:val="00C7326E"/>
    <w:rsid w:val="00C755BB"/>
    <w:rsid w:val="00C75AF3"/>
    <w:rsid w:val="00C75C0C"/>
    <w:rsid w:val="00C75C32"/>
    <w:rsid w:val="00C75E97"/>
    <w:rsid w:val="00C76437"/>
    <w:rsid w:val="00C766A5"/>
    <w:rsid w:val="00C7746D"/>
    <w:rsid w:val="00C8097E"/>
    <w:rsid w:val="00C8170C"/>
    <w:rsid w:val="00C81AB7"/>
    <w:rsid w:val="00C821BC"/>
    <w:rsid w:val="00C82755"/>
    <w:rsid w:val="00C82E82"/>
    <w:rsid w:val="00C84285"/>
    <w:rsid w:val="00C8499A"/>
    <w:rsid w:val="00C84D57"/>
    <w:rsid w:val="00C85088"/>
    <w:rsid w:val="00C85508"/>
    <w:rsid w:val="00C85CCD"/>
    <w:rsid w:val="00C86098"/>
    <w:rsid w:val="00C866BD"/>
    <w:rsid w:val="00C86A38"/>
    <w:rsid w:val="00C86B27"/>
    <w:rsid w:val="00C87317"/>
    <w:rsid w:val="00C87A5E"/>
    <w:rsid w:val="00C87E8D"/>
    <w:rsid w:val="00C87EFB"/>
    <w:rsid w:val="00C87F40"/>
    <w:rsid w:val="00C90AC3"/>
    <w:rsid w:val="00C9146A"/>
    <w:rsid w:val="00C91F07"/>
    <w:rsid w:val="00C9290A"/>
    <w:rsid w:val="00C9309C"/>
    <w:rsid w:val="00C93C7D"/>
    <w:rsid w:val="00C93DB7"/>
    <w:rsid w:val="00C942C3"/>
    <w:rsid w:val="00C94C19"/>
    <w:rsid w:val="00C94E9C"/>
    <w:rsid w:val="00C95E82"/>
    <w:rsid w:val="00C96524"/>
    <w:rsid w:val="00C9724F"/>
    <w:rsid w:val="00CA0903"/>
    <w:rsid w:val="00CA0956"/>
    <w:rsid w:val="00CA0B9E"/>
    <w:rsid w:val="00CA0CDE"/>
    <w:rsid w:val="00CA1175"/>
    <w:rsid w:val="00CA1375"/>
    <w:rsid w:val="00CA160D"/>
    <w:rsid w:val="00CA191B"/>
    <w:rsid w:val="00CA1AE8"/>
    <w:rsid w:val="00CA22C0"/>
    <w:rsid w:val="00CA2845"/>
    <w:rsid w:val="00CA2CC4"/>
    <w:rsid w:val="00CA2E17"/>
    <w:rsid w:val="00CA2FEB"/>
    <w:rsid w:val="00CA35F6"/>
    <w:rsid w:val="00CA3CFA"/>
    <w:rsid w:val="00CA3FC7"/>
    <w:rsid w:val="00CA413E"/>
    <w:rsid w:val="00CA42CB"/>
    <w:rsid w:val="00CA4A14"/>
    <w:rsid w:val="00CA4F03"/>
    <w:rsid w:val="00CA55F5"/>
    <w:rsid w:val="00CA56E0"/>
    <w:rsid w:val="00CA5BA7"/>
    <w:rsid w:val="00CA6A6B"/>
    <w:rsid w:val="00CA6AE2"/>
    <w:rsid w:val="00CA6D9F"/>
    <w:rsid w:val="00CA7754"/>
    <w:rsid w:val="00CB0378"/>
    <w:rsid w:val="00CB05ED"/>
    <w:rsid w:val="00CB1255"/>
    <w:rsid w:val="00CB220F"/>
    <w:rsid w:val="00CB29ED"/>
    <w:rsid w:val="00CB2B57"/>
    <w:rsid w:val="00CB3AEA"/>
    <w:rsid w:val="00CB3B17"/>
    <w:rsid w:val="00CB4295"/>
    <w:rsid w:val="00CB48A4"/>
    <w:rsid w:val="00CB4934"/>
    <w:rsid w:val="00CB4A98"/>
    <w:rsid w:val="00CB4BDF"/>
    <w:rsid w:val="00CB5C96"/>
    <w:rsid w:val="00CB63A2"/>
    <w:rsid w:val="00CB76D5"/>
    <w:rsid w:val="00CC06EC"/>
    <w:rsid w:val="00CC0777"/>
    <w:rsid w:val="00CC0B88"/>
    <w:rsid w:val="00CC12AB"/>
    <w:rsid w:val="00CC17C5"/>
    <w:rsid w:val="00CC1BC7"/>
    <w:rsid w:val="00CC1D79"/>
    <w:rsid w:val="00CC1F1B"/>
    <w:rsid w:val="00CC209B"/>
    <w:rsid w:val="00CC24E1"/>
    <w:rsid w:val="00CC29E2"/>
    <w:rsid w:val="00CC3011"/>
    <w:rsid w:val="00CC3318"/>
    <w:rsid w:val="00CC3D45"/>
    <w:rsid w:val="00CC4200"/>
    <w:rsid w:val="00CC445C"/>
    <w:rsid w:val="00CC494B"/>
    <w:rsid w:val="00CC57B8"/>
    <w:rsid w:val="00CC5BD0"/>
    <w:rsid w:val="00CC60AC"/>
    <w:rsid w:val="00CC7970"/>
    <w:rsid w:val="00CC7DE5"/>
    <w:rsid w:val="00CC7E5B"/>
    <w:rsid w:val="00CD03D6"/>
    <w:rsid w:val="00CD056B"/>
    <w:rsid w:val="00CD09F3"/>
    <w:rsid w:val="00CD0B40"/>
    <w:rsid w:val="00CD1C04"/>
    <w:rsid w:val="00CD3047"/>
    <w:rsid w:val="00CD4058"/>
    <w:rsid w:val="00CD4831"/>
    <w:rsid w:val="00CD49A3"/>
    <w:rsid w:val="00CD4ACF"/>
    <w:rsid w:val="00CD54F6"/>
    <w:rsid w:val="00CD5A2B"/>
    <w:rsid w:val="00CD767D"/>
    <w:rsid w:val="00CD7740"/>
    <w:rsid w:val="00CD7A40"/>
    <w:rsid w:val="00CD7CD4"/>
    <w:rsid w:val="00CE01DF"/>
    <w:rsid w:val="00CE0668"/>
    <w:rsid w:val="00CE0CD8"/>
    <w:rsid w:val="00CE10A3"/>
    <w:rsid w:val="00CE10B3"/>
    <w:rsid w:val="00CE19FD"/>
    <w:rsid w:val="00CE1DB2"/>
    <w:rsid w:val="00CE285A"/>
    <w:rsid w:val="00CE2EBF"/>
    <w:rsid w:val="00CE3BCD"/>
    <w:rsid w:val="00CE5175"/>
    <w:rsid w:val="00CE58BC"/>
    <w:rsid w:val="00CE61BF"/>
    <w:rsid w:val="00CE641B"/>
    <w:rsid w:val="00CE65F8"/>
    <w:rsid w:val="00CE691A"/>
    <w:rsid w:val="00CE695F"/>
    <w:rsid w:val="00CE750A"/>
    <w:rsid w:val="00CE7EB4"/>
    <w:rsid w:val="00CF005C"/>
    <w:rsid w:val="00CF0B97"/>
    <w:rsid w:val="00CF2249"/>
    <w:rsid w:val="00CF31C8"/>
    <w:rsid w:val="00CF3C72"/>
    <w:rsid w:val="00CF3CB7"/>
    <w:rsid w:val="00CF4EC0"/>
    <w:rsid w:val="00CF5037"/>
    <w:rsid w:val="00CF7294"/>
    <w:rsid w:val="00CF7531"/>
    <w:rsid w:val="00CF7F34"/>
    <w:rsid w:val="00D0070B"/>
    <w:rsid w:val="00D012C4"/>
    <w:rsid w:val="00D01487"/>
    <w:rsid w:val="00D025AF"/>
    <w:rsid w:val="00D04B74"/>
    <w:rsid w:val="00D04CEF"/>
    <w:rsid w:val="00D05789"/>
    <w:rsid w:val="00D06441"/>
    <w:rsid w:val="00D078B6"/>
    <w:rsid w:val="00D078E2"/>
    <w:rsid w:val="00D07B0B"/>
    <w:rsid w:val="00D106CB"/>
    <w:rsid w:val="00D10CAD"/>
    <w:rsid w:val="00D10D99"/>
    <w:rsid w:val="00D11160"/>
    <w:rsid w:val="00D1303D"/>
    <w:rsid w:val="00D13073"/>
    <w:rsid w:val="00D132E5"/>
    <w:rsid w:val="00D13A77"/>
    <w:rsid w:val="00D1461C"/>
    <w:rsid w:val="00D146C1"/>
    <w:rsid w:val="00D147E7"/>
    <w:rsid w:val="00D150C2"/>
    <w:rsid w:val="00D15F2A"/>
    <w:rsid w:val="00D1665F"/>
    <w:rsid w:val="00D17D0A"/>
    <w:rsid w:val="00D20226"/>
    <w:rsid w:val="00D204EC"/>
    <w:rsid w:val="00D209C6"/>
    <w:rsid w:val="00D220DD"/>
    <w:rsid w:val="00D22330"/>
    <w:rsid w:val="00D22E46"/>
    <w:rsid w:val="00D22FE8"/>
    <w:rsid w:val="00D23CC8"/>
    <w:rsid w:val="00D2411B"/>
    <w:rsid w:val="00D247B7"/>
    <w:rsid w:val="00D25063"/>
    <w:rsid w:val="00D25145"/>
    <w:rsid w:val="00D261C5"/>
    <w:rsid w:val="00D2632E"/>
    <w:rsid w:val="00D26524"/>
    <w:rsid w:val="00D2657B"/>
    <w:rsid w:val="00D269A1"/>
    <w:rsid w:val="00D26B64"/>
    <w:rsid w:val="00D26EE2"/>
    <w:rsid w:val="00D26F86"/>
    <w:rsid w:val="00D277F3"/>
    <w:rsid w:val="00D27852"/>
    <w:rsid w:val="00D27AD9"/>
    <w:rsid w:val="00D300B6"/>
    <w:rsid w:val="00D30523"/>
    <w:rsid w:val="00D32674"/>
    <w:rsid w:val="00D32AB3"/>
    <w:rsid w:val="00D32E73"/>
    <w:rsid w:val="00D3364A"/>
    <w:rsid w:val="00D337F8"/>
    <w:rsid w:val="00D3396F"/>
    <w:rsid w:val="00D33B44"/>
    <w:rsid w:val="00D33C50"/>
    <w:rsid w:val="00D34DA9"/>
    <w:rsid w:val="00D35735"/>
    <w:rsid w:val="00D35D3A"/>
    <w:rsid w:val="00D35DC6"/>
    <w:rsid w:val="00D36FD3"/>
    <w:rsid w:val="00D37574"/>
    <w:rsid w:val="00D37FCA"/>
    <w:rsid w:val="00D41043"/>
    <w:rsid w:val="00D4185D"/>
    <w:rsid w:val="00D42E17"/>
    <w:rsid w:val="00D43CEC"/>
    <w:rsid w:val="00D43DB8"/>
    <w:rsid w:val="00D44D21"/>
    <w:rsid w:val="00D44DA2"/>
    <w:rsid w:val="00D4765E"/>
    <w:rsid w:val="00D50050"/>
    <w:rsid w:val="00D5036B"/>
    <w:rsid w:val="00D50470"/>
    <w:rsid w:val="00D504D7"/>
    <w:rsid w:val="00D509DD"/>
    <w:rsid w:val="00D50A1B"/>
    <w:rsid w:val="00D51405"/>
    <w:rsid w:val="00D51F83"/>
    <w:rsid w:val="00D52156"/>
    <w:rsid w:val="00D52757"/>
    <w:rsid w:val="00D52775"/>
    <w:rsid w:val="00D52A06"/>
    <w:rsid w:val="00D52CA2"/>
    <w:rsid w:val="00D52E8E"/>
    <w:rsid w:val="00D53696"/>
    <w:rsid w:val="00D538EF"/>
    <w:rsid w:val="00D53B75"/>
    <w:rsid w:val="00D53EFD"/>
    <w:rsid w:val="00D54095"/>
    <w:rsid w:val="00D542E6"/>
    <w:rsid w:val="00D54949"/>
    <w:rsid w:val="00D558DC"/>
    <w:rsid w:val="00D559B7"/>
    <w:rsid w:val="00D562B4"/>
    <w:rsid w:val="00D56402"/>
    <w:rsid w:val="00D6113E"/>
    <w:rsid w:val="00D61151"/>
    <w:rsid w:val="00D61496"/>
    <w:rsid w:val="00D61762"/>
    <w:rsid w:val="00D61D20"/>
    <w:rsid w:val="00D6254C"/>
    <w:rsid w:val="00D62B84"/>
    <w:rsid w:val="00D6317B"/>
    <w:rsid w:val="00D63613"/>
    <w:rsid w:val="00D63C39"/>
    <w:rsid w:val="00D63E4B"/>
    <w:rsid w:val="00D63EE1"/>
    <w:rsid w:val="00D65464"/>
    <w:rsid w:val="00D66DB7"/>
    <w:rsid w:val="00D67158"/>
    <w:rsid w:val="00D6766B"/>
    <w:rsid w:val="00D677BF"/>
    <w:rsid w:val="00D67F67"/>
    <w:rsid w:val="00D70286"/>
    <w:rsid w:val="00D7036B"/>
    <w:rsid w:val="00D70D75"/>
    <w:rsid w:val="00D7120D"/>
    <w:rsid w:val="00D71CD7"/>
    <w:rsid w:val="00D727CB"/>
    <w:rsid w:val="00D730B9"/>
    <w:rsid w:val="00D73A2D"/>
    <w:rsid w:val="00D741D5"/>
    <w:rsid w:val="00D75BAA"/>
    <w:rsid w:val="00D76258"/>
    <w:rsid w:val="00D772C7"/>
    <w:rsid w:val="00D77325"/>
    <w:rsid w:val="00D7765F"/>
    <w:rsid w:val="00D77DD0"/>
    <w:rsid w:val="00D8033E"/>
    <w:rsid w:val="00D806BC"/>
    <w:rsid w:val="00D80810"/>
    <w:rsid w:val="00D8102E"/>
    <w:rsid w:val="00D81038"/>
    <w:rsid w:val="00D8142E"/>
    <w:rsid w:val="00D81F8D"/>
    <w:rsid w:val="00D82453"/>
    <w:rsid w:val="00D8349E"/>
    <w:rsid w:val="00D83BD9"/>
    <w:rsid w:val="00D83F08"/>
    <w:rsid w:val="00D84ED1"/>
    <w:rsid w:val="00D858F5"/>
    <w:rsid w:val="00D8668A"/>
    <w:rsid w:val="00D8744C"/>
    <w:rsid w:val="00D87861"/>
    <w:rsid w:val="00D87B27"/>
    <w:rsid w:val="00D908FF"/>
    <w:rsid w:val="00D9095A"/>
    <w:rsid w:val="00D911E5"/>
    <w:rsid w:val="00D91712"/>
    <w:rsid w:val="00D91BE3"/>
    <w:rsid w:val="00D926A1"/>
    <w:rsid w:val="00D92E98"/>
    <w:rsid w:val="00D92FF6"/>
    <w:rsid w:val="00D93B1C"/>
    <w:rsid w:val="00D93BFE"/>
    <w:rsid w:val="00D94269"/>
    <w:rsid w:val="00D9563B"/>
    <w:rsid w:val="00D957A5"/>
    <w:rsid w:val="00D95B9C"/>
    <w:rsid w:val="00DA0641"/>
    <w:rsid w:val="00DA0B83"/>
    <w:rsid w:val="00DA0E84"/>
    <w:rsid w:val="00DA0E94"/>
    <w:rsid w:val="00DA125F"/>
    <w:rsid w:val="00DA20A3"/>
    <w:rsid w:val="00DA21AA"/>
    <w:rsid w:val="00DA2648"/>
    <w:rsid w:val="00DA318B"/>
    <w:rsid w:val="00DA34DC"/>
    <w:rsid w:val="00DA3DAC"/>
    <w:rsid w:val="00DA3F6B"/>
    <w:rsid w:val="00DA4528"/>
    <w:rsid w:val="00DA4C14"/>
    <w:rsid w:val="00DA6712"/>
    <w:rsid w:val="00DA7314"/>
    <w:rsid w:val="00DA7C1A"/>
    <w:rsid w:val="00DB07C0"/>
    <w:rsid w:val="00DB1044"/>
    <w:rsid w:val="00DB10EC"/>
    <w:rsid w:val="00DB1AC7"/>
    <w:rsid w:val="00DB20E1"/>
    <w:rsid w:val="00DB2CBC"/>
    <w:rsid w:val="00DB3347"/>
    <w:rsid w:val="00DB3BBE"/>
    <w:rsid w:val="00DB3D05"/>
    <w:rsid w:val="00DB49C3"/>
    <w:rsid w:val="00DB4F02"/>
    <w:rsid w:val="00DB525A"/>
    <w:rsid w:val="00DB52EB"/>
    <w:rsid w:val="00DB53BC"/>
    <w:rsid w:val="00DB6B75"/>
    <w:rsid w:val="00DB7C70"/>
    <w:rsid w:val="00DC020E"/>
    <w:rsid w:val="00DC0F97"/>
    <w:rsid w:val="00DC151D"/>
    <w:rsid w:val="00DC197F"/>
    <w:rsid w:val="00DC1B50"/>
    <w:rsid w:val="00DC1BA3"/>
    <w:rsid w:val="00DC1C0A"/>
    <w:rsid w:val="00DC224B"/>
    <w:rsid w:val="00DC2724"/>
    <w:rsid w:val="00DC27EB"/>
    <w:rsid w:val="00DC348B"/>
    <w:rsid w:val="00DC3A9D"/>
    <w:rsid w:val="00DC3CE1"/>
    <w:rsid w:val="00DC3E80"/>
    <w:rsid w:val="00DC4346"/>
    <w:rsid w:val="00DC504C"/>
    <w:rsid w:val="00DC51C8"/>
    <w:rsid w:val="00DC6855"/>
    <w:rsid w:val="00DC6E3C"/>
    <w:rsid w:val="00DC748F"/>
    <w:rsid w:val="00DC7A3B"/>
    <w:rsid w:val="00DD0F2F"/>
    <w:rsid w:val="00DD1525"/>
    <w:rsid w:val="00DD159B"/>
    <w:rsid w:val="00DD24A1"/>
    <w:rsid w:val="00DD264F"/>
    <w:rsid w:val="00DD2BB1"/>
    <w:rsid w:val="00DD38DA"/>
    <w:rsid w:val="00DD3B7E"/>
    <w:rsid w:val="00DD433B"/>
    <w:rsid w:val="00DD4720"/>
    <w:rsid w:val="00DD5BBA"/>
    <w:rsid w:val="00DD5CB5"/>
    <w:rsid w:val="00DD5DFB"/>
    <w:rsid w:val="00DD674B"/>
    <w:rsid w:val="00DD682E"/>
    <w:rsid w:val="00DD6E7F"/>
    <w:rsid w:val="00DD6F61"/>
    <w:rsid w:val="00DD72D6"/>
    <w:rsid w:val="00DD7968"/>
    <w:rsid w:val="00DE00C6"/>
    <w:rsid w:val="00DE0B61"/>
    <w:rsid w:val="00DE0B79"/>
    <w:rsid w:val="00DE1F7F"/>
    <w:rsid w:val="00DE27E7"/>
    <w:rsid w:val="00DE28DF"/>
    <w:rsid w:val="00DE2EC1"/>
    <w:rsid w:val="00DE3F93"/>
    <w:rsid w:val="00DE5C8E"/>
    <w:rsid w:val="00DE6070"/>
    <w:rsid w:val="00DE67DC"/>
    <w:rsid w:val="00DE6BC4"/>
    <w:rsid w:val="00DE7108"/>
    <w:rsid w:val="00DE7229"/>
    <w:rsid w:val="00DF0893"/>
    <w:rsid w:val="00DF0F3F"/>
    <w:rsid w:val="00DF1530"/>
    <w:rsid w:val="00DF1EDB"/>
    <w:rsid w:val="00DF24BF"/>
    <w:rsid w:val="00DF2A59"/>
    <w:rsid w:val="00DF2D06"/>
    <w:rsid w:val="00DF36E7"/>
    <w:rsid w:val="00DF3766"/>
    <w:rsid w:val="00DF3915"/>
    <w:rsid w:val="00DF452E"/>
    <w:rsid w:val="00DF6F49"/>
    <w:rsid w:val="00DF7FAB"/>
    <w:rsid w:val="00E006E7"/>
    <w:rsid w:val="00E0086C"/>
    <w:rsid w:val="00E00DF4"/>
    <w:rsid w:val="00E012E1"/>
    <w:rsid w:val="00E01803"/>
    <w:rsid w:val="00E01915"/>
    <w:rsid w:val="00E02D16"/>
    <w:rsid w:val="00E02F8E"/>
    <w:rsid w:val="00E0466F"/>
    <w:rsid w:val="00E05204"/>
    <w:rsid w:val="00E0551E"/>
    <w:rsid w:val="00E05D3B"/>
    <w:rsid w:val="00E072EB"/>
    <w:rsid w:val="00E07A88"/>
    <w:rsid w:val="00E07BF3"/>
    <w:rsid w:val="00E1010C"/>
    <w:rsid w:val="00E102FB"/>
    <w:rsid w:val="00E10A85"/>
    <w:rsid w:val="00E11FF9"/>
    <w:rsid w:val="00E12427"/>
    <w:rsid w:val="00E1342A"/>
    <w:rsid w:val="00E13F73"/>
    <w:rsid w:val="00E13FE6"/>
    <w:rsid w:val="00E14BCC"/>
    <w:rsid w:val="00E14D3E"/>
    <w:rsid w:val="00E14E9A"/>
    <w:rsid w:val="00E15100"/>
    <w:rsid w:val="00E15CEB"/>
    <w:rsid w:val="00E165C0"/>
    <w:rsid w:val="00E17169"/>
    <w:rsid w:val="00E17441"/>
    <w:rsid w:val="00E17E17"/>
    <w:rsid w:val="00E21837"/>
    <w:rsid w:val="00E21B86"/>
    <w:rsid w:val="00E21E9F"/>
    <w:rsid w:val="00E22EAD"/>
    <w:rsid w:val="00E234DC"/>
    <w:rsid w:val="00E23FA2"/>
    <w:rsid w:val="00E24520"/>
    <w:rsid w:val="00E25806"/>
    <w:rsid w:val="00E264FB"/>
    <w:rsid w:val="00E27365"/>
    <w:rsid w:val="00E27C40"/>
    <w:rsid w:val="00E304E8"/>
    <w:rsid w:val="00E30CA5"/>
    <w:rsid w:val="00E311FC"/>
    <w:rsid w:val="00E3185F"/>
    <w:rsid w:val="00E31ABE"/>
    <w:rsid w:val="00E322BE"/>
    <w:rsid w:val="00E32455"/>
    <w:rsid w:val="00E32A62"/>
    <w:rsid w:val="00E32E3B"/>
    <w:rsid w:val="00E33A0B"/>
    <w:rsid w:val="00E3427D"/>
    <w:rsid w:val="00E344CF"/>
    <w:rsid w:val="00E348FC"/>
    <w:rsid w:val="00E354D2"/>
    <w:rsid w:val="00E3599A"/>
    <w:rsid w:val="00E35A33"/>
    <w:rsid w:val="00E363E2"/>
    <w:rsid w:val="00E36CCA"/>
    <w:rsid w:val="00E37B42"/>
    <w:rsid w:val="00E4079A"/>
    <w:rsid w:val="00E40D50"/>
    <w:rsid w:val="00E42985"/>
    <w:rsid w:val="00E436E1"/>
    <w:rsid w:val="00E446AD"/>
    <w:rsid w:val="00E44BFB"/>
    <w:rsid w:val="00E4503C"/>
    <w:rsid w:val="00E450D4"/>
    <w:rsid w:val="00E45A86"/>
    <w:rsid w:val="00E45E02"/>
    <w:rsid w:val="00E465FD"/>
    <w:rsid w:val="00E46949"/>
    <w:rsid w:val="00E47B49"/>
    <w:rsid w:val="00E50B14"/>
    <w:rsid w:val="00E51A41"/>
    <w:rsid w:val="00E51DEC"/>
    <w:rsid w:val="00E52E06"/>
    <w:rsid w:val="00E52EEF"/>
    <w:rsid w:val="00E53898"/>
    <w:rsid w:val="00E54333"/>
    <w:rsid w:val="00E54D37"/>
    <w:rsid w:val="00E55248"/>
    <w:rsid w:val="00E5527A"/>
    <w:rsid w:val="00E554F1"/>
    <w:rsid w:val="00E56167"/>
    <w:rsid w:val="00E56E5F"/>
    <w:rsid w:val="00E608A8"/>
    <w:rsid w:val="00E6098A"/>
    <w:rsid w:val="00E61EBA"/>
    <w:rsid w:val="00E625D1"/>
    <w:rsid w:val="00E63536"/>
    <w:rsid w:val="00E636D4"/>
    <w:rsid w:val="00E6393F"/>
    <w:rsid w:val="00E63999"/>
    <w:rsid w:val="00E63D0B"/>
    <w:rsid w:val="00E64E2A"/>
    <w:rsid w:val="00E662D6"/>
    <w:rsid w:val="00E664B7"/>
    <w:rsid w:val="00E66E13"/>
    <w:rsid w:val="00E6711A"/>
    <w:rsid w:val="00E673E4"/>
    <w:rsid w:val="00E6769D"/>
    <w:rsid w:val="00E7074F"/>
    <w:rsid w:val="00E711EA"/>
    <w:rsid w:val="00E71521"/>
    <w:rsid w:val="00E71A97"/>
    <w:rsid w:val="00E72657"/>
    <w:rsid w:val="00E73697"/>
    <w:rsid w:val="00E73E71"/>
    <w:rsid w:val="00E73F4A"/>
    <w:rsid w:val="00E74325"/>
    <w:rsid w:val="00E748E6"/>
    <w:rsid w:val="00E750D9"/>
    <w:rsid w:val="00E75249"/>
    <w:rsid w:val="00E75992"/>
    <w:rsid w:val="00E7641A"/>
    <w:rsid w:val="00E77F06"/>
    <w:rsid w:val="00E801A2"/>
    <w:rsid w:val="00E80896"/>
    <w:rsid w:val="00E80FDC"/>
    <w:rsid w:val="00E81385"/>
    <w:rsid w:val="00E81F7C"/>
    <w:rsid w:val="00E823E7"/>
    <w:rsid w:val="00E82632"/>
    <w:rsid w:val="00E828D2"/>
    <w:rsid w:val="00E82DC5"/>
    <w:rsid w:val="00E82F3D"/>
    <w:rsid w:val="00E83203"/>
    <w:rsid w:val="00E8334D"/>
    <w:rsid w:val="00E8347C"/>
    <w:rsid w:val="00E840E7"/>
    <w:rsid w:val="00E84563"/>
    <w:rsid w:val="00E84DB8"/>
    <w:rsid w:val="00E8512F"/>
    <w:rsid w:val="00E85D8D"/>
    <w:rsid w:val="00E86095"/>
    <w:rsid w:val="00E86100"/>
    <w:rsid w:val="00E86D6B"/>
    <w:rsid w:val="00E87F74"/>
    <w:rsid w:val="00E901F7"/>
    <w:rsid w:val="00E90673"/>
    <w:rsid w:val="00E9131F"/>
    <w:rsid w:val="00E91CB7"/>
    <w:rsid w:val="00E9299E"/>
    <w:rsid w:val="00E92B78"/>
    <w:rsid w:val="00E9569D"/>
    <w:rsid w:val="00E9598B"/>
    <w:rsid w:val="00E95F25"/>
    <w:rsid w:val="00E96203"/>
    <w:rsid w:val="00E976E0"/>
    <w:rsid w:val="00EA046C"/>
    <w:rsid w:val="00EA0793"/>
    <w:rsid w:val="00EA0B7A"/>
    <w:rsid w:val="00EA0D22"/>
    <w:rsid w:val="00EA220E"/>
    <w:rsid w:val="00EA2C82"/>
    <w:rsid w:val="00EA3B3C"/>
    <w:rsid w:val="00EA3F67"/>
    <w:rsid w:val="00EA48F6"/>
    <w:rsid w:val="00EA4BA7"/>
    <w:rsid w:val="00EA53C8"/>
    <w:rsid w:val="00EA5A58"/>
    <w:rsid w:val="00EA5D82"/>
    <w:rsid w:val="00EA5F5F"/>
    <w:rsid w:val="00EA765C"/>
    <w:rsid w:val="00EA7988"/>
    <w:rsid w:val="00EA7B2D"/>
    <w:rsid w:val="00EA7D53"/>
    <w:rsid w:val="00EA7E4C"/>
    <w:rsid w:val="00EB0182"/>
    <w:rsid w:val="00EB04BB"/>
    <w:rsid w:val="00EB0AF5"/>
    <w:rsid w:val="00EB10F0"/>
    <w:rsid w:val="00EB17DB"/>
    <w:rsid w:val="00EB1ADA"/>
    <w:rsid w:val="00EB1EB9"/>
    <w:rsid w:val="00EB22E2"/>
    <w:rsid w:val="00EB2B28"/>
    <w:rsid w:val="00EB3572"/>
    <w:rsid w:val="00EB3885"/>
    <w:rsid w:val="00EB3A8C"/>
    <w:rsid w:val="00EB4C1E"/>
    <w:rsid w:val="00EB51D8"/>
    <w:rsid w:val="00EB56A0"/>
    <w:rsid w:val="00EB645F"/>
    <w:rsid w:val="00EB6F2A"/>
    <w:rsid w:val="00EB717F"/>
    <w:rsid w:val="00EB75A4"/>
    <w:rsid w:val="00EB7DB3"/>
    <w:rsid w:val="00EC009A"/>
    <w:rsid w:val="00EC0340"/>
    <w:rsid w:val="00EC061D"/>
    <w:rsid w:val="00EC0C0F"/>
    <w:rsid w:val="00EC1408"/>
    <w:rsid w:val="00EC199A"/>
    <w:rsid w:val="00EC1BCB"/>
    <w:rsid w:val="00EC2ACA"/>
    <w:rsid w:val="00EC305A"/>
    <w:rsid w:val="00EC37C0"/>
    <w:rsid w:val="00EC3A1A"/>
    <w:rsid w:val="00EC4693"/>
    <w:rsid w:val="00EC57D1"/>
    <w:rsid w:val="00EC5B05"/>
    <w:rsid w:val="00EC6543"/>
    <w:rsid w:val="00EC6560"/>
    <w:rsid w:val="00EC65FC"/>
    <w:rsid w:val="00EC6B8C"/>
    <w:rsid w:val="00EC7ACF"/>
    <w:rsid w:val="00ED05C4"/>
    <w:rsid w:val="00ED1F86"/>
    <w:rsid w:val="00ED2445"/>
    <w:rsid w:val="00ED2F51"/>
    <w:rsid w:val="00ED33F8"/>
    <w:rsid w:val="00ED35D0"/>
    <w:rsid w:val="00ED3F7E"/>
    <w:rsid w:val="00ED455B"/>
    <w:rsid w:val="00ED5447"/>
    <w:rsid w:val="00ED581F"/>
    <w:rsid w:val="00ED5935"/>
    <w:rsid w:val="00ED65C7"/>
    <w:rsid w:val="00ED69AC"/>
    <w:rsid w:val="00ED69CC"/>
    <w:rsid w:val="00ED6C5B"/>
    <w:rsid w:val="00EE0A93"/>
    <w:rsid w:val="00EE1A9C"/>
    <w:rsid w:val="00EE2061"/>
    <w:rsid w:val="00EE2F94"/>
    <w:rsid w:val="00EE2FE7"/>
    <w:rsid w:val="00EE3732"/>
    <w:rsid w:val="00EE39CC"/>
    <w:rsid w:val="00EE3BD8"/>
    <w:rsid w:val="00EE44C4"/>
    <w:rsid w:val="00EE4E7B"/>
    <w:rsid w:val="00EE5951"/>
    <w:rsid w:val="00EE5BB1"/>
    <w:rsid w:val="00EE6069"/>
    <w:rsid w:val="00EF13E3"/>
    <w:rsid w:val="00EF2404"/>
    <w:rsid w:val="00EF24F2"/>
    <w:rsid w:val="00EF2DC9"/>
    <w:rsid w:val="00EF31AD"/>
    <w:rsid w:val="00EF44AC"/>
    <w:rsid w:val="00EF4803"/>
    <w:rsid w:val="00EF4D02"/>
    <w:rsid w:val="00EF53E8"/>
    <w:rsid w:val="00EF59D3"/>
    <w:rsid w:val="00EF5B64"/>
    <w:rsid w:val="00EF5CAC"/>
    <w:rsid w:val="00EF5F26"/>
    <w:rsid w:val="00EF77DA"/>
    <w:rsid w:val="00EF794B"/>
    <w:rsid w:val="00EF7E7A"/>
    <w:rsid w:val="00F00573"/>
    <w:rsid w:val="00F00CF5"/>
    <w:rsid w:val="00F00D8B"/>
    <w:rsid w:val="00F010BC"/>
    <w:rsid w:val="00F01C0B"/>
    <w:rsid w:val="00F02216"/>
    <w:rsid w:val="00F0390C"/>
    <w:rsid w:val="00F03F6A"/>
    <w:rsid w:val="00F03F94"/>
    <w:rsid w:val="00F04AB6"/>
    <w:rsid w:val="00F04E53"/>
    <w:rsid w:val="00F055ED"/>
    <w:rsid w:val="00F067B7"/>
    <w:rsid w:val="00F0758A"/>
    <w:rsid w:val="00F079D8"/>
    <w:rsid w:val="00F07ABD"/>
    <w:rsid w:val="00F07B36"/>
    <w:rsid w:val="00F07BF3"/>
    <w:rsid w:val="00F07D9A"/>
    <w:rsid w:val="00F07E31"/>
    <w:rsid w:val="00F10180"/>
    <w:rsid w:val="00F10F74"/>
    <w:rsid w:val="00F113A1"/>
    <w:rsid w:val="00F11722"/>
    <w:rsid w:val="00F11F56"/>
    <w:rsid w:val="00F1388F"/>
    <w:rsid w:val="00F13AD1"/>
    <w:rsid w:val="00F13EB3"/>
    <w:rsid w:val="00F14512"/>
    <w:rsid w:val="00F14C6D"/>
    <w:rsid w:val="00F15564"/>
    <w:rsid w:val="00F15662"/>
    <w:rsid w:val="00F16705"/>
    <w:rsid w:val="00F169A2"/>
    <w:rsid w:val="00F16EE0"/>
    <w:rsid w:val="00F176C7"/>
    <w:rsid w:val="00F17D63"/>
    <w:rsid w:val="00F17FEF"/>
    <w:rsid w:val="00F2133A"/>
    <w:rsid w:val="00F21F41"/>
    <w:rsid w:val="00F22881"/>
    <w:rsid w:val="00F22CEC"/>
    <w:rsid w:val="00F23653"/>
    <w:rsid w:val="00F238A0"/>
    <w:rsid w:val="00F23CB1"/>
    <w:rsid w:val="00F24ABC"/>
    <w:rsid w:val="00F24D72"/>
    <w:rsid w:val="00F24E71"/>
    <w:rsid w:val="00F251EC"/>
    <w:rsid w:val="00F25F1C"/>
    <w:rsid w:val="00F27426"/>
    <w:rsid w:val="00F27745"/>
    <w:rsid w:val="00F30189"/>
    <w:rsid w:val="00F30587"/>
    <w:rsid w:val="00F30763"/>
    <w:rsid w:val="00F31513"/>
    <w:rsid w:val="00F31537"/>
    <w:rsid w:val="00F3158F"/>
    <w:rsid w:val="00F3230F"/>
    <w:rsid w:val="00F3343F"/>
    <w:rsid w:val="00F3471A"/>
    <w:rsid w:val="00F35F1D"/>
    <w:rsid w:val="00F371F4"/>
    <w:rsid w:val="00F40F54"/>
    <w:rsid w:val="00F412E2"/>
    <w:rsid w:val="00F419EA"/>
    <w:rsid w:val="00F420B6"/>
    <w:rsid w:val="00F42571"/>
    <w:rsid w:val="00F42AB5"/>
    <w:rsid w:val="00F4372E"/>
    <w:rsid w:val="00F43BBC"/>
    <w:rsid w:val="00F440CD"/>
    <w:rsid w:val="00F44136"/>
    <w:rsid w:val="00F4495F"/>
    <w:rsid w:val="00F44A73"/>
    <w:rsid w:val="00F45421"/>
    <w:rsid w:val="00F4558F"/>
    <w:rsid w:val="00F45E35"/>
    <w:rsid w:val="00F4629E"/>
    <w:rsid w:val="00F46416"/>
    <w:rsid w:val="00F464E1"/>
    <w:rsid w:val="00F468F3"/>
    <w:rsid w:val="00F47CB4"/>
    <w:rsid w:val="00F50435"/>
    <w:rsid w:val="00F50944"/>
    <w:rsid w:val="00F50A04"/>
    <w:rsid w:val="00F50BCE"/>
    <w:rsid w:val="00F50DF3"/>
    <w:rsid w:val="00F51152"/>
    <w:rsid w:val="00F5116B"/>
    <w:rsid w:val="00F514A9"/>
    <w:rsid w:val="00F51507"/>
    <w:rsid w:val="00F51F88"/>
    <w:rsid w:val="00F52196"/>
    <w:rsid w:val="00F5239B"/>
    <w:rsid w:val="00F5285A"/>
    <w:rsid w:val="00F52947"/>
    <w:rsid w:val="00F5337E"/>
    <w:rsid w:val="00F53937"/>
    <w:rsid w:val="00F53EDA"/>
    <w:rsid w:val="00F54DD1"/>
    <w:rsid w:val="00F55688"/>
    <w:rsid w:val="00F55A24"/>
    <w:rsid w:val="00F55F0B"/>
    <w:rsid w:val="00F56123"/>
    <w:rsid w:val="00F5698E"/>
    <w:rsid w:val="00F56E82"/>
    <w:rsid w:val="00F5725F"/>
    <w:rsid w:val="00F60569"/>
    <w:rsid w:val="00F60837"/>
    <w:rsid w:val="00F60B8A"/>
    <w:rsid w:val="00F610E0"/>
    <w:rsid w:val="00F61288"/>
    <w:rsid w:val="00F614A4"/>
    <w:rsid w:val="00F61B35"/>
    <w:rsid w:val="00F61E6D"/>
    <w:rsid w:val="00F61EE7"/>
    <w:rsid w:val="00F61FD1"/>
    <w:rsid w:val="00F62CFB"/>
    <w:rsid w:val="00F62F68"/>
    <w:rsid w:val="00F63F52"/>
    <w:rsid w:val="00F6431F"/>
    <w:rsid w:val="00F64520"/>
    <w:rsid w:val="00F646BA"/>
    <w:rsid w:val="00F653E3"/>
    <w:rsid w:val="00F65660"/>
    <w:rsid w:val="00F65C0C"/>
    <w:rsid w:val="00F66654"/>
    <w:rsid w:val="00F66C0F"/>
    <w:rsid w:val="00F679EC"/>
    <w:rsid w:val="00F67E8B"/>
    <w:rsid w:val="00F714D0"/>
    <w:rsid w:val="00F71757"/>
    <w:rsid w:val="00F72015"/>
    <w:rsid w:val="00F727C0"/>
    <w:rsid w:val="00F72E27"/>
    <w:rsid w:val="00F72E9D"/>
    <w:rsid w:val="00F73210"/>
    <w:rsid w:val="00F733B6"/>
    <w:rsid w:val="00F73DCC"/>
    <w:rsid w:val="00F73E5E"/>
    <w:rsid w:val="00F73E6D"/>
    <w:rsid w:val="00F74C9F"/>
    <w:rsid w:val="00F757E9"/>
    <w:rsid w:val="00F758FC"/>
    <w:rsid w:val="00F75991"/>
    <w:rsid w:val="00F762D0"/>
    <w:rsid w:val="00F7694E"/>
    <w:rsid w:val="00F77932"/>
    <w:rsid w:val="00F80011"/>
    <w:rsid w:val="00F806A8"/>
    <w:rsid w:val="00F81855"/>
    <w:rsid w:val="00F819FD"/>
    <w:rsid w:val="00F81FD8"/>
    <w:rsid w:val="00F8350A"/>
    <w:rsid w:val="00F835BC"/>
    <w:rsid w:val="00F836FF"/>
    <w:rsid w:val="00F83D71"/>
    <w:rsid w:val="00F840F3"/>
    <w:rsid w:val="00F8423F"/>
    <w:rsid w:val="00F8485F"/>
    <w:rsid w:val="00F85083"/>
    <w:rsid w:val="00F854DD"/>
    <w:rsid w:val="00F8582B"/>
    <w:rsid w:val="00F8629D"/>
    <w:rsid w:val="00F867D8"/>
    <w:rsid w:val="00F87851"/>
    <w:rsid w:val="00F87AC7"/>
    <w:rsid w:val="00F906B2"/>
    <w:rsid w:val="00F91687"/>
    <w:rsid w:val="00F920F2"/>
    <w:rsid w:val="00F927AB"/>
    <w:rsid w:val="00F928C8"/>
    <w:rsid w:val="00F9345E"/>
    <w:rsid w:val="00F9443C"/>
    <w:rsid w:val="00F94CD3"/>
    <w:rsid w:val="00F95A06"/>
    <w:rsid w:val="00F95A0E"/>
    <w:rsid w:val="00F95DD6"/>
    <w:rsid w:val="00F95E3E"/>
    <w:rsid w:val="00F96948"/>
    <w:rsid w:val="00F96C1F"/>
    <w:rsid w:val="00F96F05"/>
    <w:rsid w:val="00F97B5A"/>
    <w:rsid w:val="00FA067E"/>
    <w:rsid w:val="00FA09FD"/>
    <w:rsid w:val="00FA1148"/>
    <w:rsid w:val="00FA1478"/>
    <w:rsid w:val="00FA177A"/>
    <w:rsid w:val="00FA1969"/>
    <w:rsid w:val="00FA1DFC"/>
    <w:rsid w:val="00FA362B"/>
    <w:rsid w:val="00FA391D"/>
    <w:rsid w:val="00FA4A2E"/>
    <w:rsid w:val="00FA5691"/>
    <w:rsid w:val="00FA5F23"/>
    <w:rsid w:val="00FA61F1"/>
    <w:rsid w:val="00FA6430"/>
    <w:rsid w:val="00FA7082"/>
    <w:rsid w:val="00FA74DF"/>
    <w:rsid w:val="00FA7A82"/>
    <w:rsid w:val="00FB0E47"/>
    <w:rsid w:val="00FB1469"/>
    <w:rsid w:val="00FB1677"/>
    <w:rsid w:val="00FB18BB"/>
    <w:rsid w:val="00FB1B9F"/>
    <w:rsid w:val="00FB2CB5"/>
    <w:rsid w:val="00FB2D27"/>
    <w:rsid w:val="00FB2EF9"/>
    <w:rsid w:val="00FB3680"/>
    <w:rsid w:val="00FB3C1E"/>
    <w:rsid w:val="00FB3FC4"/>
    <w:rsid w:val="00FB41B5"/>
    <w:rsid w:val="00FB41C1"/>
    <w:rsid w:val="00FB44A0"/>
    <w:rsid w:val="00FB4721"/>
    <w:rsid w:val="00FB5293"/>
    <w:rsid w:val="00FB5C03"/>
    <w:rsid w:val="00FB5C94"/>
    <w:rsid w:val="00FB6104"/>
    <w:rsid w:val="00FB6817"/>
    <w:rsid w:val="00FB6AFA"/>
    <w:rsid w:val="00FB6F7B"/>
    <w:rsid w:val="00FB7AF6"/>
    <w:rsid w:val="00FC0156"/>
    <w:rsid w:val="00FC0244"/>
    <w:rsid w:val="00FC0974"/>
    <w:rsid w:val="00FC1A9F"/>
    <w:rsid w:val="00FC24ED"/>
    <w:rsid w:val="00FC2DC4"/>
    <w:rsid w:val="00FC3038"/>
    <w:rsid w:val="00FC3449"/>
    <w:rsid w:val="00FC39CC"/>
    <w:rsid w:val="00FC3DDC"/>
    <w:rsid w:val="00FC4457"/>
    <w:rsid w:val="00FC49A8"/>
    <w:rsid w:val="00FC4B3D"/>
    <w:rsid w:val="00FC4DF8"/>
    <w:rsid w:val="00FC58DC"/>
    <w:rsid w:val="00FC60E4"/>
    <w:rsid w:val="00FC6991"/>
    <w:rsid w:val="00FC75C4"/>
    <w:rsid w:val="00FD073D"/>
    <w:rsid w:val="00FD0AA4"/>
    <w:rsid w:val="00FD12FB"/>
    <w:rsid w:val="00FD14F0"/>
    <w:rsid w:val="00FD18D3"/>
    <w:rsid w:val="00FD1BDF"/>
    <w:rsid w:val="00FD20EF"/>
    <w:rsid w:val="00FD3CE9"/>
    <w:rsid w:val="00FD544D"/>
    <w:rsid w:val="00FD54C6"/>
    <w:rsid w:val="00FD5867"/>
    <w:rsid w:val="00FD69C3"/>
    <w:rsid w:val="00FD6C8D"/>
    <w:rsid w:val="00FD72C6"/>
    <w:rsid w:val="00FD7564"/>
    <w:rsid w:val="00FE0256"/>
    <w:rsid w:val="00FE07B9"/>
    <w:rsid w:val="00FE0A60"/>
    <w:rsid w:val="00FE1477"/>
    <w:rsid w:val="00FE155C"/>
    <w:rsid w:val="00FE1894"/>
    <w:rsid w:val="00FE19B2"/>
    <w:rsid w:val="00FE1E07"/>
    <w:rsid w:val="00FE24C5"/>
    <w:rsid w:val="00FE2658"/>
    <w:rsid w:val="00FE3158"/>
    <w:rsid w:val="00FE3251"/>
    <w:rsid w:val="00FE4AA0"/>
    <w:rsid w:val="00FE5436"/>
    <w:rsid w:val="00FE5920"/>
    <w:rsid w:val="00FE6892"/>
    <w:rsid w:val="00FE6A26"/>
    <w:rsid w:val="00FE7DD6"/>
    <w:rsid w:val="00FE7F62"/>
    <w:rsid w:val="00FF0212"/>
    <w:rsid w:val="00FF04B9"/>
    <w:rsid w:val="00FF1A71"/>
    <w:rsid w:val="00FF1F7C"/>
    <w:rsid w:val="00FF24B4"/>
    <w:rsid w:val="00FF2D07"/>
    <w:rsid w:val="00FF2D86"/>
    <w:rsid w:val="00FF3278"/>
    <w:rsid w:val="00FF3A3C"/>
    <w:rsid w:val="00FF4794"/>
    <w:rsid w:val="00FF4F7F"/>
    <w:rsid w:val="00FF5024"/>
    <w:rsid w:val="00FF581C"/>
    <w:rsid w:val="00FF5C14"/>
    <w:rsid w:val="00FF5F32"/>
    <w:rsid w:val="00FF63C5"/>
    <w:rsid w:val="00FF776A"/>
    <w:rsid w:val="012F611C"/>
    <w:rsid w:val="01564D63"/>
    <w:rsid w:val="01F53241"/>
    <w:rsid w:val="02152AEB"/>
    <w:rsid w:val="026001E6"/>
    <w:rsid w:val="027E641F"/>
    <w:rsid w:val="02AD605D"/>
    <w:rsid w:val="03211EA7"/>
    <w:rsid w:val="033545F5"/>
    <w:rsid w:val="036A0050"/>
    <w:rsid w:val="03705939"/>
    <w:rsid w:val="050D1D88"/>
    <w:rsid w:val="05326BBA"/>
    <w:rsid w:val="05796B84"/>
    <w:rsid w:val="059C3497"/>
    <w:rsid w:val="05FF394B"/>
    <w:rsid w:val="061B1A36"/>
    <w:rsid w:val="063031B1"/>
    <w:rsid w:val="063412B5"/>
    <w:rsid w:val="063C4660"/>
    <w:rsid w:val="06912D38"/>
    <w:rsid w:val="069B11CF"/>
    <w:rsid w:val="06A24F1F"/>
    <w:rsid w:val="06E47C4F"/>
    <w:rsid w:val="07001E82"/>
    <w:rsid w:val="077C3B1F"/>
    <w:rsid w:val="078C1675"/>
    <w:rsid w:val="07A11687"/>
    <w:rsid w:val="08147B67"/>
    <w:rsid w:val="08EB5A8E"/>
    <w:rsid w:val="08EF615A"/>
    <w:rsid w:val="091E373B"/>
    <w:rsid w:val="092E67D3"/>
    <w:rsid w:val="09377FB3"/>
    <w:rsid w:val="09AE19F3"/>
    <w:rsid w:val="09E27537"/>
    <w:rsid w:val="09ED7443"/>
    <w:rsid w:val="0A5C013B"/>
    <w:rsid w:val="0A6F7ABA"/>
    <w:rsid w:val="0A8271C0"/>
    <w:rsid w:val="0AA40D6D"/>
    <w:rsid w:val="0ACC0838"/>
    <w:rsid w:val="0AD6464E"/>
    <w:rsid w:val="0B393184"/>
    <w:rsid w:val="0B5246A6"/>
    <w:rsid w:val="0B7418B3"/>
    <w:rsid w:val="0BA46688"/>
    <w:rsid w:val="0BF9120C"/>
    <w:rsid w:val="0C1741EA"/>
    <w:rsid w:val="0C2C4797"/>
    <w:rsid w:val="0C74418F"/>
    <w:rsid w:val="0CC029B5"/>
    <w:rsid w:val="0CE4441D"/>
    <w:rsid w:val="0CE4527A"/>
    <w:rsid w:val="0D1C3A93"/>
    <w:rsid w:val="0D2F2DFF"/>
    <w:rsid w:val="0D48735A"/>
    <w:rsid w:val="0DEC0C00"/>
    <w:rsid w:val="0E511264"/>
    <w:rsid w:val="0E8903D4"/>
    <w:rsid w:val="0EA037F0"/>
    <w:rsid w:val="0F493D35"/>
    <w:rsid w:val="0F8B3C23"/>
    <w:rsid w:val="10377EDA"/>
    <w:rsid w:val="10860F97"/>
    <w:rsid w:val="114D7736"/>
    <w:rsid w:val="117053A9"/>
    <w:rsid w:val="11A2227C"/>
    <w:rsid w:val="11B83910"/>
    <w:rsid w:val="120F0495"/>
    <w:rsid w:val="1229468C"/>
    <w:rsid w:val="126B0751"/>
    <w:rsid w:val="12E042F7"/>
    <w:rsid w:val="130C5270"/>
    <w:rsid w:val="1310270D"/>
    <w:rsid w:val="13CD36AC"/>
    <w:rsid w:val="13EB3561"/>
    <w:rsid w:val="13F02883"/>
    <w:rsid w:val="14005484"/>
    <w:rsid w:val="14016D6F"/>
    <w:rsid w:val="150D1BD3"/>
    <w:rsid w:val="152B62DC"/>
    <w:rsid w:val="153B5C7B"/>
    <w:rsid w:val="15A80658"/>
    <w:rsid w:val="15CB3DC1"/>
    <w:rsid w:val="16C70580"/>
    <w:rsid w:val="17604E76"/>
    <w:rsid w:val="178D10F4"/>
    <w:rsid w:val="17D00E5C"/>
    <w:rsid w:val="184A7AC8"/>
    <w:rsid w:val="18642F09"/>
    <w:rsid w:val="1883746D"/>
    <w:rsid w:val="197017DA"/>
    <w:rsid w:val="199C02C5"/>
    <w:rsid w:val="19A716F2"/>
    <w:rsid w:val="19D4459A"/>
    <w:rsid w:val="1A1C6886"/>
    <w:rsid w:val="1A1F6496"/>
    <w:rsid w:val="1A3B4ACD"/>
    <w:rsid w:val="1A543AE8"/>
    <w:rsid w:val="1A7444DF"/>
    <w:rsid w:val="1A8E2BB8"/>
    <w:rsid w:val="1B03552B"/>
    <w:rsid w:val="1B244745"/>
    <w:rsid w:val="1B623E88"/>
    <w:rsid w:val="1B7130E2"/>
    <w:rsid w:val="1C452ABD"/>
    <w:rsid w:val="1C6E00A0"/>
    <w:rsid w:val="1C9866AB"/>
    <w:rsid w:val="1CCE635E"/>
    <w:rsid w:val="1D416D96"/>
    <w:rsid w:val="1D6524CA"/>
    <w:rsid w:val="1DEA1981"/>
    <w:rsid w:val="1E8A55EC"/>
    <w:rsid w:val="1EC209C0"/>
    <w:rsid w:val="1F6463C1"/>
    <w:rsid w:val="1FC96432"/>
    <w:rsid w:val="202C72D8"/>
    <w:rsid w:val="20497235"/>
    <w:rsid w:val="209F3759"/>
    <w:rsid w:val="2119581B"/>
    <w:rsid w:val="211D2FB6"/>
    <w:rsid w:val="218B077D"/>
    <w:rsid w:val="21A21461"/>
    <w:rsid w:val="21B71887"/>
    <w:rsid w:val="22CE3462"/>
    <w:rsid w:val="22D81EBA"/>
    <w:rsid w:val="23031089"/>
    <w:rsid w:val="23226798"/>
    <w:rsid w:val="2326676C"/>
    <w:rsid w:val="24253D99"/>
    <w:rsid w:val="24972212"/>
    <w:rsid w:val="24D751B1"/>
    <w:rsid w:val="2508583E"/>
    <w:rsid w:val="25731A1A"/>
    <w:rsid w:val="258C3677"/>
    <w:rsid w:val="263A1C73"/>
    <w:rsid w:val="26624FF5"/>
    <w:rsid w:val="27B55475"/>
    <w:rsid w:val="27BF183D"/>
    <w:rsid w:val="27DF387A"/>
    <w:rsid w:val="27FC7B58"/>
    <w:rsid w:val="287315B7"/>
    <w:rsid w:val="28857BEB"/>
    <w:rsid w:val="28CC7229"/>
    <w:rsid w:val="28DF458C"/>
    <w:rsid w:val="295559C2"/>
    <w:rsid w:val="297B4E05"/>
    <w:rsid w:val="2A5948FF"/>
    <w:rsid w:val="2A596561"/>
    <w:rsid w:val="2AD328BE"/>
    <w:rsid w:val="2B0E5C01"/>
    <w:rsid w:val="2B4942BC"/>
    <w:rsid w:val="2BD276BA"/>
    <w:rsid w:val="2C025F1B"/>
    <w:rsid w:val="2C2D2D90"/>
    <w:rsid w:val="2CF948EF"/>
    <w:rsid w:val="2D6B3CB6"/>
    <w:rsid w:val="2DEE223B"/>
    <w:rsid w:val="2E025A59"/>
    <w:rsid w:val="2E434529"/>
    <w:rsid w:val="2EB33219"/>
    <w:rsid w:val="2ED67780"/>
    <w:rsid w:val="2EF817AF"/>
    <w:rsid w:val="2FDA25AB"/>
    <w:rsid w:val="307700C7"/>
    <w:rsid w:val="30980C66"/>
    <w:rsid w:val="31201A4B"/>
    <w:rsid w:val="31361A25"/>
    <w:rsid w:val="320E1D6A"/>
    <w:rsid w:val="329411FA"/>
    <w:rsid w:val="33337A05"/>
    <w:rsid w:val="334501AF"/>
    <w:rsid w:val="34E42B12"/>
    <w:rsid w:val="35033DFE"/>
    <w:rsid w:val="359C1760"/>
    <w:rsid w:val="361D05B3"/>
    <w:rsid w:val="36290FFD"/>
    <w:rsid w:val="37930185"/>
    <w:rsid w:val="37AD4C1E"/>
    <w:rsid w:val="37D04F79"/>
    <w:rsid w:val="37E77B36"/>
    <w:rsid w:val="37EE119B"/>
    <w:rsid w:val="37F21AA1"/>
    <w:rsid w:val="3834257B"/>
    <w:rsid w:val="38F73E10"/>
    <w:rsid w:val="38FE5286"/>
    <w:rsid w:val="399E0DE7"/>
    <w:rsid w:val="3A472FF7"/>
    <w:rsid w:val="3AC7679C"/>
    <w:rsid w:val="3B180CB9"/>
    <w:rsid w:val="3B3400E0"/>
    <w:rsid w:val="3B790B79"/>
    <w:rsid w:val="3B9A2920"/>
    <w:rsid w:val="3BF36097"/>
    <w:rsid w:val="3C5E291C"/>
    <w:rsid w:val="3CAF169F"/>
    <w:rsid w:val="3CC1675E"/>
    <w:rsid w:val="3D931A99"/>
    <w:rsid w:val="3E0055B2"/>
    <w:rsid w:val="3EF91C3D"/>
    <w:rsid w:val="3F011FC6"/>
    <w:rsid w:val="3F2F65CB"/>
    <w:rsid w:val="3F3A00A3"/>
    <w:rsid w:val="40276AE1"/>
    <w:rsid w:val="407E408D"/>
    <w:rsid w:val="40EB44D5"/>
    <w:rsid w:val="417302B6"/>
    <w:rsid w:val="41AA3DD6"/>
    <w:rsid w:val="41B64AE7"/>
    <w:rsid w:val="431C6B54"/>
    <w:rsid w:val="436D04C2"/>
    <w:rsid w:val="43B32482"/>
    <w:rsid w:val="43EF3E20"/>
    <w:rsid w:val="43F52EFB"/>
    <w:rsid w:val="44011BA5"/>
    <w:rsid w:val="444C658F"/>
    <w:rsid w:val="44A329AD"/>
    <w:rsid w:val="44D342C8"/>
    <w:rsid w:val="44E571D4"/>
    <w:rsid w:val="44F25A26"/>
    <w:rsid w:val="45033A46"/>
    <w:rsid w:val="45307E90"/>
    <w:rsid w:val="454A0282"/>
    <w:rsid w:val="455B7EA4"/>
    <w:rsid w:val="46061A6F"/>
    <w:rsid w:val="461E0CE3"/>
    <w:rsid w:val="46CC0672"/>
    <w:rsid w:val="477B640A"/>
    <w:rsid w:val="47AC7776"/>
    <w:rsid w:val="48AB7B75"/>
    <w:rsid w:val="48C213CE"/>
    <w:rsid w:val="493D066D"/>
    <w:rsid w:val="499A6FB3"/>
    <w:rsid w:val="4A084830"/>
    <w:rsid w:val="4A967011"/>
    <w:rsid w:val="4ABD4551"/>
    <w:rsid w:val="4AC42052"/>
    <w:rsid w:val="4ACD0B80"/>
    <w:rsid w:val="4AF35B0E"/>
    <w:rsid w:val="4B0F3298"/>
    <w:rsid w:val="4B2D66B0"/>
    <w:rsid w:val="4B7F69D2"/>
    <w:rsid w:val="4BB11DD3"/>
    <w:rsid w:val="4C1A2C13"/>
    <w:rsid w:val="4D6A76CE"/>
    <w:rsid w:val="4D6C619A"/>
    <w:rsid w:val="4D8134BC"/>
    <w:rsid w:val="4DE66858"/>
    <w:rsid w:val="4EA77D69"/>
    <w:rsid w:val="4EAB5AD6"/>
    <w:rsid w:val="4EBE0F5F"/>
    <w:rsid w:val="4F29240E"/>
    <w:rsid w:val="50560659"/>
    <w:rsid w:val="506C490B"/>
    <w:rsid w:val="50AD0CBD"/>
    <w:rsid w:val="50BB47B0"/>
    <w:rsid w:val="50E35FB5"/>
    <w:rsid w:val="50F06236"/>
    <w:rsid w:val="51336A71"/>
    <w:rsid w:val="515025C4"/>
    <w:rsid w:val="520457CE"/>
    <w:rsid w:val="52B759D0"/>
    <w:rsid w:val="534B0B25"/>
    <w:rsid w:val="537F02FD"/>
    <w:rsid w:val="537F6FF7"/>
    <w:rsid w:val="539D434B"/>
    <w:rsid w:val="53C35B01"/>
    <w:rsid w:val="549C162B"/>
    <w:rsid w:val="54B96517"/>
    <w:rsid w:val="54E069C5"/>
    <w:rsid w:val="54E47899"/>
    <w:rsid w:val="569317C6"/>
    <w:rsid w:val="56BC0144"/>
    <w:rsid w:val="56FB37BC"/>
    <w:rsid w:val="57942423"/>
    <w:rsid w:val="579F3139"/>
    <w:rsid w:val="57B9674A"/>
    <w:rsid w:val="58110CE5"/>
    <w:rsid w:val="595C6B17"/>
    <w:rsid w:val="59AC4014"/>
    <w:rsid w:val="59E87435"/>
    <w:rsid w:val="5A077AB5"/>
    <w:rsid w:val="5A8419DF"/>
    <w:rsid w:val="5AA41B51"/>
    <w:rsid w:val="5B257001"/>
    <w:rsid w:val="5B3600D9"/>
    <w:rsid w:val="5BB730FA"/>
    <w:rsid w:val="5BE80057"/>
    <w:rsid w:val="5C0C4FDC"/>
    <w:rsid w:val="5C265BC5"/>
    <w:rsid w:val="5CDA172A"/>
    <w:rsid w:val="5D0447CA"/>
    <w:rsid w:val="5DAD3770"/>
    <w:rsid w:val="5DD73B68"/>
    <w:rsid w:val="5DEB336F"/>
    <w:rsid w:val="5DF65DDE"/>
    <w:rsid w:val="5DF67EB4"/>
    <w:rsid w:val="5E165324"/>
    <w:rsid w:val="5EDD651B"/>
    <w:rsid w:val="5F0D1956"/>
    <w:rsid w:val="5F4D3C3C"/>
    <w:rsid w:val="60114A39"/>
    <w:rsid w:val="60C40BDD"/>
    <w:rsid w:val="60E63B23"/>
    <w:rsid w:val="6117601C"/>
    <w:rsid w:val="611F6CF4"/>
    <w:rsid w:val="61A96271"/>
    <w:rsid w:val="62017BF8"/>
    <w:rsid w:val="62516B91"/>
    <w:rsid w:val="625B4A31"/>
    <w:rsid w:val="62A32C89"/>
    <w:rsid w:val="62B424C4"/>
    <w:rsid w:val="62E73907"/>
    <w:rsid w:val="62F42843"/>
    <w:rsid w:val="6385589F"/>
    <w:rsid w:val="643D35B2"/>
    <w:rsid w:val="64751887"/>
    <w:rsid w:val="64815D3F"/>
    <w:rsid w:val="653065CE"/>
    <w:rsid w:val="65451210"/>
    <w:rsid w:val="65E5301D"/>
    <w:rsid w:val="65EC4696"/>
    <w:rsid w:val="66135671"/>
    <w:rsid w:val="66731381"/>
    <w:rsid w:val="66D07EA0"/>
    <w:rsid w:val="67170318"/>
    <w:rsid w:val="6736172F"/>
    <w:rsid w:val="683423F5"/>
    <w:rsid w:val="684860F2"/>
    <w:rsid w:val="68595767"/>
    <w:rsid w:val="68A5039A"/>
    <w:rsid w:val="68D64BDA"/>
    <w:rsid w:val="696E3B20"/>
    <w:rsid w:val="699F41ED"/>
    <w:rsid w:val="6A497BFA"/>
    <w:rsid w:val="6ABE076F"/>
    <w:rsid w:val="6ADC4516"/>
    <w:rsid w:val="6B0E53B6"/>
    <w:rsid w:val="6B2B47CE"/>
    <w:rsid w:val="6BCA35C9"/>
    <w:rsid w:val="6C274C60"/>
    <w:rsid w:val="6C333D45"/>
    <w:rsid w:val="6D187ECF"/>
    <w:rsid w:val="6D6E79D7"/>
    <w:rsid w:val="6D8C0FCD"/>
    <w:rsid w:val="6DD92CB4"/>
    <w:rsid w:val="6DE95EDC"/>
    <w:rsid w:val="6E1516AF"/>
    <w:rsid w:val="6E2B0D05"/>
    <w:rsid w:val="6E8C6EFF"/>
    <w:rsid w:val="6EBF732E"/>
    <w:rsid w:val="6F6D0756"/>
    <w:rsid w:val="6FF438DC"/>
    <w:rsid w:val="6FF44989"/>
    <w:rsid w:val="70521CB6"/>
    <w:rsid w:val="70CB7081"/>
    <w:rsid w:val="70D61A84"/>
    <w:rsid w:val="712249F9"/>
    <w:rsid w:val="71264A0C"/>
    <w:rsid w:val="7145384D"/>
    <w:rsid w:val="715523C8"/>
    <w:rsid w:val="71DE0B29"/>
    <w:rsid w:val="72690CC6"/>
    <w:rsid w:val="73600BD4"/>
    <w:rsid w:val="73CD05CB"/>
    <w:rsid w:val="73EE5B6F"/>
    <w:rsid w:val="74186004"/>
    <w:rsid w:val="74380AEE"/>
    <w:rsid w:val="743F3FF5"/>
    <w:rsid w:val="746364D8"/>
    <w:rsid w:val="746768D1"/>
    <w:rsid w:val="748E6767"/>
    <w:rsid w:val="750A5EA6"/>
    <w:rsid w:val="75284A82"/>
    <w:rsid w:val="75291395"/>
    <w:rsid w:val="757175AD"/>
    <w:rsid w:val="75B74A16"/>
    <w:rsid w:val="75C52693"/>
    <w:rsid w:val="75C74912"/>
    <w:rsid w:val="75D17E71"/>
    <w:rsid w:val="764E7E9F"/>
    <w:rsid w:val="76757B24"/>
    <w:rsid w:val="77E0628D"/>
    <w:rsid w:val="77E57362"/>
    <w:rsid w:val="78ED3187"/>
    <w:rsid w:val="794A13D7"/>
    <w:rsid w:val="79A20D95"/>
    <w:rsid w:val="7A75761E"/>
    <w:rsid w:val="7A897826"/>
    <w:rsid w:val="7B436E08"/>
    <w:rsid w:val="7B4B03A5"/>
    <w:rsid w:val="7B816EF8"/>
    <w:rsid w:val="7BFD7599"/>
    <w:rsid w:val="7C011696"/>
    <w:rsid w:val="7C2C30ED"/>
    <w:rsid w:val="7C8B1AE2"/>
    <w:rsid w:val="7C92710E"/>
    <w:rsid w:val="7C9577F8"/>
    <w:rsid w:val="7D586ED2"/>
    <w:rsid w:val="7DD47A64"/>
    <w:rsid w:val="7E032776"/>
    <w:rsid w:val="7E0E02AA"/>
    <w:rsid w:val="7EC414BE"/>
    <w:rsid w:val="7F4D0FD1"/>
    <w:rsid w:val="7F6C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5" w:lineRule="atLeast"/>
      <w:textAlignment w:val="baseline"/>
    </w:pPr>
    <w:rPr>
      <w:rFonts w:ascii="Calibri" w:hAnsi="Calibri" w:eastAsia="宋体" w:cs="Times New Roman"/>
      <w:sz w:val="21"/>
      <w:lang w:val="en-US" w:eastAsia="zh-CN" w:bidi="ar-SA"/>
    </w:rPr>
  </w:style>
  <w:style w:type="paragraph" w:styleId="3">
    <w:name w:val="heading 1"/>
    <w:basedOn w:val="1"/>
    <w:next w:val="1"/>
    <w:link w:val="170"/>
    <w:qFormat/>
    <w:uiPriority w:val="0"/>
    <w:pPr>
      <w:spacing w:before="120" w:after="360" w:line="720" w:lineRule="atLeast"/>
      <w:jc w:val="center"/>
      <w:outlineLvl w:val="0"/>
    </w:pPr>
    <w:rPr>
      <w:b/>
      <w:sz w:val="28"/>
    </w:rPr>
  </w:style>
  <w:style w:type="paragraph" w:styleId="4">
    <w:name w:val="heading 2"/>
    <w:basedOn w:val="1"/>
    <w:next w:val="1"/>
    <w:link w:val="178"/>
    <w:qFormat/>
    <w:uiPriority w:val="0"/>
    <w:pPr>
      <w:spacing w:before="480" w:after="360" w:line="240" w:lineRule="atLeast"/>
      <w:outlineLvl w:val="1"/>
    </w:pPr>
    <w:rPr>
      <w:rFonts w:ascii="黑体" w:eastAsia="黑体"/>
      <w:b/>
    </w:rPr>
  </w:style>
  <w:style w:type="paragraph" w:styleId="5">
    <w:name w:val="heading 3"/>
    <w:basedOn w:val="1"/>
    <w:next w:val="6"/>
    <w:qFormat/>
    <w:uiPriority w:val="0"/>
    <w:pPr>
      <w:spacing w:before="240" w:after="240" w:line="240" w:lineRule="atLeast"/>
      <w:ind w:firstLine="454"/>
      <w:jc w:val="center"/>
      <w:outlineLvl w:val="2"/>
    </w:pPr>
  </w:style>
  <w:style w:type="paragraph" w:styleId="7">
    <w:name w:val="heading 4"/>
    <w:basedOn w:val="1"/>
    <w:next w:val="6"/>
    <w:qFormat/>
    <w:uiPriority w:val="0"/>
    <w:pPr>
      <w:keepNext/>
      <w:widowControl/>
      <w:autoSpaceDE w:val="0"/>
      <w:autoSpaceDN w:val="0"/>
      <w:spacing w:line="40" w:lineRule="atLeast"/>
      <w:ind w:right="-122"/>
      <w:jc w:val="center"/>
      <w:textAlignment w:val="bottom"/>
      <w:outlineLvl w:val="3"/>
    </w:pPr>
    <w:rPr>
      <w:sz w:val="28"/>
    </w:rPr>
  </w:style>
  <w:style w:type="paragraph" w:styleId="8">
    <w:name w:val="heading 5"/>
    <w:basedOn w:val="1"/>
    <w:next w:val="6"/>
    <w:qFormat/>
    <w:uiPriority w:val="0"/>
    <w:pPr>
      <w:keepNext/>
      <w:widowControl/>
      <w:autoSpaceDE w:val="0"/>
      <w:autoSpaceDN w:val="0"/>
      <w:spacing w:line="40" w:lineRule="atLeast"/>
      <w:ind w:right="-122"/>
      <w:jc w:val="center"/>
      <w:textAlignment w:val="bottom"/>
      <w:outlineLvl w:val="4"/>
    </w:pPr>
    <w:rPr>
      <w:b/>
      <w:sz w:val="28"/>
    </w:rPr>
  </w:style>
  <w:style w:type="paragraph" w:styleId="9">
    <w:name w:val="heading 6"/>
    <w:basedOn w:val="1"/>
    <w:next w:val="1"/>
    <w:link w:val="162"/>
    <w:qFormat/>
    <w:uiPriority w:val="0"/>
    <w:pPr>
      <w:keepNext/>
      <w:keepLines/>
      <w:spacing w:before="240" w:after="64" w:line="320" w:lineRule="auto"/>
      <w:jc w:val="both"/>
      <w:outlineLvl w:val="5"/>
    </w:pPr>
    <w:rPr>
      <w:rFonts w:ascii="Arial" w:hAnsi="Arial" w:eastAsia="黑体"/>
      <w:b/>
      <w:kern w:val="2"/>
    </w:rPr>
  </w:style>
  <w:style w:type="paragraph" w:styleId="10">
    <w:name w:val="heading 7"/>
    <w:basedOn w:val="1"/>
    <w:next w:val="1"/>
    <w:link w:val="184"/>
    <w:qFormat/>
    <w:uiPriority w:val="0"/>
    <w:pPr>
      <w:keepNext/>
      <w:keepLines/>
      <w:spacing w:before="240" w:after="64" w:line="320" w:lineRule="auto"/>
      <w:jc w:val="both"/>
      <w:outlineLvl w:val="6"/>
    </w:pPr>
    <w:rPr>
      <w:rFonts w:ascii="Times New Roman"/>
      <w:b/>
      <w:kern w:val="2"/>
    </w:rPr>
  </w:style>
  <w:style w:type="paragraph" w:styleId="11">
    <w:name w:val="heading 8"/>
    <w:basedOn w:val="1"/>
    <w:next w:val="1"/>
    <w:link w:val="175"/>
    <w:qFormat/>
    <w:uiPriority w:val="0"/>
    <w:pPr>
      <w:keepNext/>
      <w:keepLines/>
      <w:spacing w:before="240" w:after="64" w:line="320" w:lineRule="auto"/>
      <w:jc w:val="both"/>
      <w:outlineLvl w:val="7"/>
    </w:pPr>
    <w:rPr>
      <w:rFonts w:ascii="Arial" w:hAnsi="Arial" w:eastAsia="黑体"/>
      <w:kern w:val="2"/>
    </w:rPr>
  </w:style>
  <w:style w:type="paragraph" w:styleId="12">
    <w:name w:val="heading 9"/>
    <w:basedOn w:val="1"/>
    <w:next w:val="1"/>
    <w:link w:val="167"/>
    <w:qFormat/>
    <w:uiPriority w:val="0"/>
    <w:pPr>
      <w:keepNext/>
      <w:keepLines/>
      <w:spacing w:before="240" w:after="64" w:line="320" w:lineRule="auto"/>
      <w:jc w:val="both"/>
      <w:outlineLvl w:val="8"/>
    </w:pPr>
    <w:rPr>
      <w:rFonts w:ascii="Arial" w:hAnsi="Arial" w:eastAsia="黑体"/>
      <w:kern w:val="2"/>
    </w:rPr>
  </w:style>
  <w:style w:type="character" w:default="1" w:styleId="39">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hd w:val="pct10" w:color="auto" w:fill="FFFFFF"/>
      <w:spacing w:line="420" w:lineRule="atLeast"/>
      <w:ind w:firstLine="454"/>
      <w:jc w:val="both"/>
    </w:pPr>
  </w:style>
  <w:style w:type="paragraph" w:styleId="6">
    <w:name w:val="Normal Indent"/>
    <w:basedOn w:val="1"/>
    <w:qFormat/>
    <w:uiPriority w:val="0"/>
    <w:pPr>
      <w:spacing w:line="420" w:lineRule="atLeast"/>
      <w:ind w:firstLine="1021"/>
      <w:jc w:val="both"/>
    </w:pPr>
  </w:style>
  <w:style w:type="paragraph" w:styleId="13">
    <w:name w:val="E-mail Signature"/>
    <w:basedOn w:val="1"/>
    <w:semiHidden/>
    <w:qFormat/>
    <w:uiPriority w:val="0"/>
    <w:pPr>
      <w:spacing w:line="420" w:lineRule="atLeast"/>
      <w:ind w:firstLine="454"/>
      <w:jc w:val="both"/>
    </w:pPr>
  </w:style>
  <w:style w:type="paragraph" w:styleId="14">
    <w:name w:val="Document Map"/>
    <w:basedOn w:val="1"/>
    <w:link w:val="185"/>
    <w:qFormat/>
    <w:uiPriority w:val="0"/>
    <w:pPr>
      <w:shd w:val="clear" w:color="auto" w:fill="000080"/>
      <w:spacing w:line="420" w:lineRule="atLeast"/>
      <w:ind w:firstLine="454"/>
      <w:jc w:val="both"/>
    </w:pPr>
  </w:style>
  <w:style w:type="paragraph" w:styleId="15">
    <w:name w:val="annotation text"/>
    <w:basedOn w:val="1"/>
    <w:semiHidden/>
    <w:qFormat/>
    <w:uiPriority w:val="0"/>
  </w:style>
  <w:style w:type="paragraph" w:styleId="16">
    <w:name w:val="Body Text 3"/>
    <w:basedOn w:val="1"/>
    <w:qFormat/>
    <w:uiPriority w:val="0"/>
    <w:rPr>
      <w:rFonts w:ascii="宋体"/>
      <w:lang w:val="zh-CN"/>
    </w:rPr>
  </w:style>
  <w:style w:type="paragraph" w:styleId="17">
    <w:name w:val="Body Text"/>
    <w:basedOn w:val="1"/>
    <w:link w:val="177"/>
    <w:qFormat/>
    <w:uiPriority w:val="0"/>
    <w:pPr>
      <w:shd w:val="pct10" w:color="auto" w:fill="FFFFFF"/>
      <w:spacing w:line="420" w:lineRule="atLeast"/>
      <w:jc w:val="both"/>
    </w:pPr>
    <w:rPr>
      <w:rFonts w:ascii="Times New Roman"/>
      <w:position w:val="5"/>
    </w:rPr>
  </w:style>
  <w:style w:type="paragraph" w:styleId="18">
    <w:name w:val="Body Text Indent"/>
    <w:basedOn w:val="1"/>
    <w:link w:val="159"/>
    <w:qFormat/>
    <w:uiPriority w:val="0"/>
    <w:pPr>
      <w:spacing w:line="420" w:lineRule="atLeast"/>
      <w:ind w:firstLine="454"/>
      <w:jc w:val="both"/>
    </w:pPr>
  </w:style>
  <w:style w:type="paragraph" w:styleId="19">
    <w:name w:val="List 2"/>
    <w:basedOn w:val="1"/>
    <w:qFormat/>
    <w:uiPriority w:val="0"/>
    <w:pPr>
      <w:adjustRightInd/>
      <w:spacing w:line="240" w:lineRule="auto"/>
      <w:ind w:left="840" w:hanging="420"/>
      <w:jc w:val="both"/>
      <w:textAlignment w:val="auto"/>
    </w:pPr>
    <w:rPr>
      <w:kern w:val="2"/>
    </w:rPr>
  </w:style>
  <w:style w:type="paragraph" w:styleId="20">
    <w:name w:val="Block Text"/>
    <w:basedOn w:val="1"/>
    <w:qFormat/>
    <w:uiPriority w:val="0"/>
    <w:pPr>
      <w:adjustRightInd/>
      <w:spacing w:line="246" w:lineRule="exact"/>
      <w:ind w:left="-31" w:right="-90"/>
      <w:jc w:val="center"/>
      <w:textAlignment w:val="auto"/>
    </w:pPr>
    <w:rPr>
      <w:kern w:val="2"/>
    </w:rPr>
  </w:style>
  <w:style w:type="paragraph" w:styleId="21">
    <w:name w:val="Plain Text"/>
    <w:basedOn w:val="1"/>
    <w:link w:val="172"/>
    <w:qFormat/>
    <w:uiPriority w:val="0"/>
    <w:pPr>
      <w:adjustRightInd/>
      <w:spacing w:line="240" w:lineRule="auto"/>
      <w:jc w:val="both"/>
      <w:textAlignment w:val="auto"/>
    </w:pPr>
    <w:rPr>
      <w:rFonts w:ascii="宋体" w:hAnsi="Courier New"/>
      <w:kern w:val="2"/>
    </w:rPr>
  </w:style>
  <w:style w:type="paragraph" w:styleId="22">
    <w:name w:val="Date"/>
    <w:basedOn w:val="1"/>
    <w:next w:val="1"/>
    <w:link w:val="174"/>
    <w:qFormat/>
    <w:uiPriority w:val="0"/>
    <w:pPr>
      <w:jc w:val="right"/>
    </w:pPr>
  </w:style>
  <w:style w:type="paragraph" w:styleId="23">
    <w:name w:val="endnote text"/>
    <w:basedOn w:val="1"/>
    <w:link w:val="182"/>
    <w:semiHidden/>
    <w:qFormat/>
    <w:uiPriority w:val="0"/>
    <w:pPr>
      <w:snapToGrid w:val="0"/>
      <w:spacing w:line="360" w:lineRule="atLeast"/>
      <w:ind w:firstLine="425"/>
    </w:pPr>
    <w:rPr>
      <w:rFonts w:ascii="Times New Roman"/>
    </w:rPr>
  </w:style>
  <w:style w:type="paragraph" w:styleId="24">
    <w:name w:val="Balloon Text"/>
    <w:basedOn w:val="1"/>
    <w:semiHidden/>
    <w:qFormat/>
    <w:uiPriority w:val="0"/>
    <w:pPr>
      <w:adjustRightInd/>
      <w:spacing w:line="240" w:lineRule="auto"/>
      <w:jc w:val="both"/>
      <w:textAlignment w:val="auto"/>
    </w:pPr>
    <w:rPr>
      <w:kern w:val="2"/>
      <w:sz w:val="18"/>
      <w:szCs w:val="18"/>
    </w:rPr>
  </w:style>
  <w:style w:type="paragraph" w:styleId="25">
    <w:name w:val="footer"/>
    <w:basedOn w:val="1"/>
    <w:link w:val="181"/>
    <w:qFormat/>
    <w:uiPriority w:val="99"/>
    <w:pPr>
      <w:pBdr>
        <w:top w:val="single" w:color="0070C0" w:sz="12" w:space="1"/>
      </w:pBdr>
      <w:tabs>
        <w:tab w:val="center" w:pos="4147"/>
        <w:tab w:val="right" w:pos="8309"/>
      </w:tabs>
      <w:spacing w:before="60" w:after="60" w:line="420" w:lineRule="atLeast"/>
      <w:jc w:val="both"/>
    </w:pPr>
  </w:style>
  <w:style w:type="paragraph" w:styleId="26">
    <w:name w:val="header"/>
    <w:basedOn w:val="1"/>
    <w:link w:val="183"/>
    <w:qFormat/>
    <w:uiPriority w:val="0"/>
    <w:pPr>
      <w:pBdr>
        <w:bottom w:val="single" w:color="0070C0" w:sz="12" w:space="1"/>
      </w:pBdr>
      <w:tabs>
        <w:tab w:val="center" w:pos="4147"/>
        <w:tab w:val="right" w:pos="8309"/>
      </w:tabs>
      <w:spacing w:before="60" w:after="60" w:line="420" w:lineRule="atLeast"/>
      <w:ind w:firstLine="454"/>
    </w:pPr>
    <w:rPr>
      <w:rFonts w:eastAsia="黑体"/>
    </w:rPr>
  </w:style>
  <w:style w:type="paragraph" w:styleId="27">
    <w:name w:val="toc 1"/>
    <w:basedOn w:val="1"/>
    <w:next w:val="1"/>
    <w:qFormat/>
    <w:uiPriority w:val="39"/>
    <w:pPr>
      <w:adjustRightInd/>
      <w:spacing w:line="240" w:lineRule="auto"/>
      <w:jc w:val="both"/>
      <w:textAlignment w:val="auto"/>
    </w:pPr>
    <w:rPr>
      <w:rFonts w:eastAsia="黑体"/>
      <w:kern w:val="2"/>
      <w:szCs w:val="24"/>
    </w:rPr>
  </w:style>
  <w:style w:type="paragraph" w:styleId="28">
    <w:name w:val="footnote text"/>
    <w:basedOn w:val="1"/>
    <w:link w:val="180"/>
    <w:qFormat/>
    <w:uiPriority w:val="0"/>
    <w:pPr>
      <w:snapToGrid w:val="0"/>
      <w:spacing w:line="420" w:lineRule="atLeast"/>
      <w:ind w:firstLine="454"/>
    </w:pPr>
    <w:rPr>
      <w:sz w:val="18"/>
    </w:rPr>
  </w:style>
  <w:style w:type="paragraph" w:styleId="29">
    <w:name w:val="Body Text Indent 3"/>
    <w:basedOn w:val="1"/>
    <w:qFormat/>
    <w:uiPriority w:val="0"/>
    <w:pPr>
      <w:snapToGrid w:val="0"/>
      <w:spacing w:line="400" w:lineRule="atLeast"/>
      <w:ind w:left="1155" w:firstLine="420"/>
      <w:jc w:val="both"/>
    </w:pPr>
    <w:rPr>
      <w:sz w:val="24"/>
    </w:rPr>
  </w:style>
  <w:style w:type="paragraph" w:styleId="30">
    <w:name w:val="toc 2"/>
    <w:basedOn w:val="1"/>
    <w:next w:val="1"/>
    <w:qFormat/>
    <w:uiPriority w:val="39"/>
    <w:pPr>
      <w:tabs>
        <w:tab w:val="right" w:leader="dot" w:pos="8813"/>
      </w:tabs>
      <w:spacing w:line="240" w:lineRule="auto"/>
      <w:ind w:left="-94" w:right="-59" w:rightChars="-28"/>
      <w:jc w:val="both"/>
    </w:pPr>
    <w:rPr>
      <w:smallCaps/>
      <w:sz w:val="20"/>
    </w:rPr>
  </w:style>
  <w:style w:type="paragraph" w:styleId="31">
    <w:name w:val="Body Text 2"/>
    <w:basedOn w:val="1"/>
    <w:qFormat/>
    <w:uiPriority w:val="0"/>
    <w:pPr>
      <w:snapToGrid w:val="0"/>
      <w:spacing w:line="400" w:lineRule="atLeast"/>
      <w:jc w:val="both"/>
    </w:pPr>
    <w:rPr>
      <w:position w:val="5"/>
      <w:sz w:val="24"/>
    </w:rPr>
  </w:style>
  <w:style w:type="paragraph" w:styleId="32">
    <w:name w:val="Normal (Web)"/>
    <w:basedOn w:val="1"/>
    <w:qFormat/>
    <w:uiPriority w:val="0"/>
    <w:pPr>
      <w:widowControl/>
      <w:adjustRightInd/>
      <w:spacing w:before="100" w:beforeAutospacing="1" w:after="100" w:afterAutospacing="1" w:line="240" w:lineRule="auto"/>
      <w:textAlignment w:val="auto"/>
    </w:pPr>
    <w:rPr>
      <w:rFonts w:hAnsi="宋体" w:cs="Arial"/>
      <w:color w:val="0000FF"/>
      <w:sz w:val="24"/>
      <w:szCs w:val="24"/>
    </w:rPr>
  </w:style>
  <w:style w:type="paragraph" w:styleId="33">
    <w:name w:val="Title"/>
    <w:basedOn w:val="1"/>
    <w:link w:val="163"/>
    <w:qFormat/>
    <w:uiPriority w:val="0"/>
    <w:pPr>
      <w:spacing w:before="600" w:after="360" w:line="0" w:lineRule="atLeast"/>
      <w:jc w:val="center"/>
    </w:pPr>
    <w:rPr>
      <w:b/>
      <w:sz w:val="28"/>
    </w:rPr>
  </w:style>
  <w:style w:type="paragraph" w:styleId="34">
    <w:name w:val="annotation subject"/>
    <w:basedOn w:val="15"/>
    <w:next w:val="15"/>
    <w:semiHidden/>
    <w:qFormat/>
    <w:uiPriority w:val="0"/>
    <w:rPr>
      <w:b/>
      <w:bCs/>
    </w:rPr>
  </w:style>
  <w:style w:type="paragraph" w:styleId="35">
    <w:name w:val="Body Text First Indent"/>
    <w:basedOn w:val="17"/>
    <w:link w:val="165"/>
    <w:qFormat/>
    <w:uiPriority w:val="0"/>
    <w:pPr>
      <w:numPr>
        <w:ilvl w:val="0"/>
        <w:numId w:val="1"/>
      </w:numPr>
      <w:shd w:val="clear" w:color="auto" w:fill="auto"/>
      <w:autoSpaceDE w:val="0"/>
      <w:autoSpaceDN w:val="0"/>
      <w:spacing w:after="120" w:line="240" w:lineRule="auto"/>
      <w:ind w:left="0" w:firstLine="420"/>
      <w:jc w:val="left"/>
    </w:pPr>
  </w:style>
  <w:style w:type="table" w:styleId="37">
    <w:name w:val="Table Grid"/>
    <w:basedOn w:val="36"/>
    <w:qFormat/>
    <w:uiPriority w:val="99"/>
    <w:pPr>
      <w:widowControl w:val="0"/>
      <w:adjustRightInd w:val="0"/>
      <w:spacing w:line="315"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Elegant"/>
    <w:basedOn w:val="36"/>
    <w:qFormat/>
    <w:uiPriority w:val="0"/>
    <w:pPr>
      <w:widowControl w:val="0"/>
      <w:adjustRightInd w:val="0"/>
      <w:spacing w:line="360" w:lineRule="atLeast"/>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0">
    <w:name w:val="page number"/>
    <w:qFormat/>
    <w:uiPriority w:val="0"/>
    <w:rPr>
      <w:rFonts w:eastAsia="宋体"/>
      <w:sz w:val="21"/>
    </w:rPr>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semiHidden/>
    <w:qFormat/>
    <w:uiPriority w:val="0"/>
    <w:rPr>
      <w:sz w:val="21"/>
      <w:szCs w:val="21"/>
    </w:rPr>
  </w:style>
  <w:style w:type="character" w:styleId="44">
    <w:name w:val="footnote reference"/>
    <w:qFormat/>
    <w:uiPriority w:val="0"/>
    <w:rPr>
      <w:vertAlign w:val="superscript"/>
    </w:rPr>
  </w:style>
  <w:style w:type="paragraph" w:customStyle="1" w:styleId="45">
    <w:name w:val="中等深浅列表 2 - 着色 21"/>
    <w:unhideWhenUsed/>
    <w:qFormat/>
    <w:uiPriority w:val="99"/>
    <w:rPr>
      <w:rFonts w:ascii="Calibri" w:hAnsi="Calibri" w:eastAsia="宋体" w:cs="Times New Roman"/>
      <w:sz w:val="21"/>
      <w:lang w:val="en-US" w:eastAsia="zh-CN" w:bidi="ar-SA"/>
    </w:rPr>
  </w:style>
  <w:style w:type="paragraph" w:customStyle="1" w:styleId="46">
    <w:name w:val="样式 宋体 11.5 磅"/>
    <w:basedOn w:val="1"/>
    <w:qFormat/>
    <w:uiPriority w:val="0"/>
    <w:pPr>
      <w:adjustRightInd/>
      <w:snapToGrid w:val="0"/>
      <w:spacing w:line="480" w:lineRule="exact"/>
      <w:jc w:val="both"/>
      <w:textAlignment w:val="auto"/>
    </w:pPr>
    <w:rPr>
      <w:rFonts w:hAnsi="Courier New"/>
      <w:kern w:val="2"/>
      <w:sz w:val="23"/>
      <w:szCs w:val="23"/>
    </w:rPr>
  </w:style>
  <w:style w:type="paragraph" w:customStyle="1" w:styleId="47">
    <w:name w:val="xl29"/>
    <w:basedOn w:val="1"/>
    <w:qFormat/>
    <w:uiPriority w:val="0"/>
    <w:pPr>
      <w:widowControl/>
      <w:pBdr>
        <w:bottom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b/>
      <w:bCs/>
      <w:sz w:val="32"/>
      <w:szCs w:val="32"/>
    </w:rPr>
  </w:style>
  <w:style w:type="paragraph" w:customStyle="1" w:styleId="48">
    <w:name w:val="样式2"/>
    <w:basedOn w:val="26"/>
    <w:next w:val="26"/>
    <w:qFormat/>
    <w:uiPriority w:val="0"/>
  </w:style>
  <w:style w:type="paragraph" w:customStyle="1" w:styleId="49">
    <w:name w:val="XBT"/>
    <w:basedOn w:val="1"/>
    <w:qFormat/>
    <w:uiPriority w:val="0"/>
    <w:pPr>
      <w:spacing w:before="240" w:after="240" w:line="312" w:lineRule="atLeast"/>
      <w:jc w:val="both"/>
    </w:pPr>
    <w:rPr>
      <w:rFonts w:ascii="@宋体" w:eastAsia="黑体"/>
      <w:color w:val="0000FF"/>
      <w:sz w:val="28"/>
    </w:rPr>
  </w:style>
  <w:style w:type="paragraph" w:customStyle="1" w:styleId="50">
    <w:name w:val="font5"/>
    <w:basedOn w:val="1"/>
    <w:qFormat/>
    <w:uiPriority w:val="0"/>
    <w:pPr>
      <w:widowControl/>
      <w:adjustRightInd/>
      <w:spacing w:before="100" w:beforeAutospacing="1" w:after="100" w:afterAutospacing="1" w:line="240" w:lineRule="auto"/>
      <w:textAlignment w:val="auto"/>
    </w:pPr>
    <w:rPr>
      <w:rFonts w:hint="eastAsia" w:hAnsi="宋体" w:cs="Arial Unicode MS"/>
      <w:sz w:val="24"/>
      <w:szCs w:val="24"/>
    </w:rPr>
  </w:style>
  <w:style w:type="paragraph" w:customStyle="1" w:styleId="51">
    <w:name w:val="目录3"/>
    <w:basedOn w:val="1"/>
    <w:qFormat/>
    <w:uiPriority w:val="0"/>
    <w:pPr>
      <w:spacing w:line="420" w:lineRule="atLeast"/>
      <w:ind w:left="454" w:firstLine="425"/>
    </w:pPr>
  </w:style>
  <w:style w:type="paragraph" w:customStyle="1" w:styleId="52">
    <w:name w:val="表左2"/>
    <w:basedOn w:val="1"/>
    <w:qFormat/>
    <w:uiPriority w:val="0"/>
    <w:pPr>
      <w:spacing w:line="360" w:lineRule="atLeast"/>
      <w:ind w:left="227"/>
    </w:pPr>
  </w:style>
  <w:style w:type="paragraph" w:customStyle="1" w:styleId="53">
    <w:name w:val="表格方字"/>
    <w:basedOn w:val="1"/>
    <w:qFormat/>
    <w:uiPriority w:val="0"/>
    <w:pPr>
      <w:spacing w:before="60" w:after="60" w:line="420" w:lineRule="atLeast"/>
    </w:pPr>
  </w:style>
  <w:style w:type="paragraph" w:customStyle="1" w:styleId="54">
    <w:name w:val="默认段落字体 Para Char Char Char Char"/>
    <w:basedOn w:val="1"/>
    <w:qFormat/>
    <w:uiPriority w:val="0"/>
    <w:pPr>
      <w:adjustRightInd/>
      <w:spacing w:line="240" w:lineRule="auto"/>
      <w:jc w:val="both"/>
      <w:textAlignment w:val="auto"/>
    </w:pPr>
    <w:rPr>
      <w:kern w:val="2"/>
      <w:szCs w:val="24"/>
    </w:rPr>
  </w:style>
  <w:style w:type="paragraph" w:customStyle="1" w:styleId="55">
    <w:name w:val="msonormal"/>
    <w:basedOn w:val="1"/>
    <w:qFormat/>
    <w:uiPriority w:val="0"/>
    <w:pPr>
      <w:widowControl/>
      <w:adjustRightInd/>
      <w:spacing w:before="100" w:beforeAutospacing="1" w:after="100" w:afterAutospacing="1" w:line="240" w:lineRule="auto"/>
      <w:textAlignment w:val="auto"/>
    </w:pPr>
    <w:rPr>
      <w:rFonts w:ascii="宋体" w:hAnsi="宋体" w:cs="宋体"/>
      <w:sz w:val="24"/>
      <w:szCs w:val="24"/>
    </w:rPr>
  </w:style>
  <w:style w:type="paragraph" w:customStyle="1" w:styleId="56">
    <w:name w:val="BG7"/>
    <w:basedOn w:val="57"/>
    <w:qFormat/>
    <w:uiPriority w:val="0"/>
    <w:pPr>
      <w:spacing w:before="0" w:after="0" w:line="80" w:lineRule="exact"/>
    </w:pPr>
    <w:rPr>
      <w:sz w:val="11"/>
    </w:rPr>
  </w:style>
  <w:style w:type="paragraph" w:customStyle="1" w:styleId="57">
    <w:name w:val="BBT"/>
    <w:basedOn w:val="58"/>
    <w:qFormat/>
    <w:uiPriority w:val="0"/>
    <w:pPr>
      <w:spacing w:before="360" w:after="120" w:line="240" w:lineRule="auto"/>
    </w:pPr>
    <w:rPr>
      <w:sz w:val="28"/>
    </w:rPr>
  </w:style>
  <w:style w:type="paragraph" w:customStyle="1" w:styleId="58">
    <w:name w:val="BG5-"/>
    <w:basedOn w:val="59"/>
    <w:qFormat/>
    <w:uiPriority w:val="0"/>
    <w:pPr>
      <w:autoSpaceDE w:val="0"/>
      <w:autoSpaceDN w:val="0"/>
      <w:spacing w:line="180" w:lineRule="exact"/>
      <w:jc w:val="center"/>
    </w:pPr>
    <w:rPr>
      <w:sz w:val="18"/>
    </w:rPr>
  </w:style>
  <w:style w:type="paragraph" w:customStyle="1" w:styleId="59">
    <w:name w:val="BZW"/>
    <w:basedOn w:val="1"/>
    <w:next w:val="60"/>
    <w:qFormat/>
    <w:uiPriority w:val="0"/>
    <w:pPr>
      <w:spacing w:line="360" w:lineRule="exact"/>
      <w:jc w:val="both"/>
    </w:pPr>
    <w:rPr>
      <w:rFonts w:ascii="@宋体"/>
      <w:sz w:val="24"/>
    </w:rPr>
  </w:style>
  <w:style w:type="paragraph" w:customStyle="1" w:styleId="60">
    <w:name w:val="SZW"/>
    <w:basedOn w:val="1"/>
    <w:qFormat/>
    <w:uiPriority w:val="0"/>
    <w:pPr>
      <w:spacing w:line="360" w:lineRule="exact"/>
      <w:ind w:firstLine="425"/>
    </w:pPr>
    <w:rPr>
      <w:rFonts w:ascii="@宋体"/>
      <w:sz w:val="24"/>
    </w:rPr>
  </w:style>
  <w:style w:type="paragraph" w:customStyle="1" w:styleId="61">
    <w:name w:val="BT"/>
    <w:basedOn w:val="1"/>
    <w:qFormat/>
    <w:uiPriority w:val="0"/>
    <w:pPr>
      <w:keepNext/>
      <w:pageBreakBefore/>
      <w:spacing w:after="240" w:line="240" w:lineRule="auto"/>
      <w:jc w:val="center"/>
    </w:pPr>
    <w:rPr>
      <w:rFonts w:ascii="@黑体" w:eastAsia="黑体"/>
      <w:b/>
      <w:color w:val="FF0000"/>
      <w:sz w:val="36"/>
    </w:rPr>
  </w:style>
  <w:style w:type="paragraph" w:customStyle="1" w:styleId="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sz w:val="24"/>
      <w:szCs w:val="24"/>
    </w:rPr>
  </w:style>
  <w:style w:type="paragraph" w:customStyle="1" w:styleId="63">
    <w:name w:val="p0"/>
    <w:basedOn w:val="1"/>
    <w:qFormat/>
    <w:uiPriority w:val="0"/>
    <w:pPr>
      <w:widowControl/>
      <w:adjustRightInd/>
      <w:spacing w:line="240" w:lineRule="auto"/>
      <w:jc w:val="both"/>
      <w:textAlignment w:val="auto"/>
    </w:pPr>
    <w:rPr>
      <w:szCs w:val="21"/>
    </w:rPr>
  </w:style>
  <w:style w:type="paragraph" w:customStyle="1" w:styleId="64">
    <w:name w:val="BG8"/>
    <w:basedOn w:val="65"/>
    <w:qFormat/>
    <w:uiPriority w:val="0"/>
    <w:pPr>
      <w:spacing w:line="100" w:lineRule="exact"/>
    </w:pPr>
    <w:rPr>
      <w:sz w:val="10"/>
    </w:rPr>
  </w:style>
  <w:style w:type="paragraph" w:customStyle="1" w:styleId="65">
    <w:name w:val="BG6"/>
    <w:basedOn w:val="58"/>
    <w:qFormat/>
    <w:uiPriority w:val="0"/>
    <w:pPr>
      <w:spacing w:line="140" w:lineRule="exact"/>
    </w:pPr>
    <w:rPr>
      <w:sz w:val="15"/>
    </w:rPr>
  </w:style>
  <w:style w:type="paragraph" w:customStyle="1" w:styleId="66">
    <w:name w:val="_Style 67"/>
    <w:basedOn w:val="1"/>
    <w:next w:val="21"/>
    <w:qFormat/>
    <w:uiPriority w:val="0"/>
    <w:pPr>
      <w:adjustRightInd/>
      <w:spacing w:line="240" w:lineRule="auto"/>
      <w:jc w:val="both"/>
      <w:textAlignment w:val="auto"/>
    </w:pPr>
    <w:rPr>
      <w:rFonts w:ascii="宋体" w:hAnsi="Courier New" w:cs="Courier New"/>
      <w:kern w:val="2"/>
      <w:szCs w:val="21"/>
    </w:rPr>
  </w:style>
  <w:style w:type="paragraph" w:customStyle="1" w:styleId="67">
    <w:name w:val="表格2"/>
    <w:basedOn w:val="1"/>
    <w:qFormat/>
    <w:uiPriority w:val="0"/>
    <w:pPr>
      <w:spacing w:line="420" w:lineRule="atLeast"/>
      <w:ind w:left="284" w:firstLine="454"/>
      <w:jc w:val="both"/>
    </w:pPr>
  </w:style>
  <w:style w:type="paragraph" w:customStyle="1" w:styleId="68">
    <w:name w:val="Char Char Char Char Char Char1 Char Char Char Char"/>
    <w:basedOn w:val="1"/>
    <w:qFormat/>
    <w:uiPriority w:val="0"/>
    <w:pPr>
      <w:adjustRightInd/>
      <w:spacing w:line="240" w:lineRule="auto"/>
      <w:jc w:val="both"/>
      <w:textAlignment w:val="auto"/>
    </w:pPr>
    <w:rPr>
      <w:rFonts w:ascii="仿宋_GB2312" w:eastAsia="仿宋_GB2312"/>
      <w:b/>
      <w:kern w:val="2"/>
      <w:sz w:val="32"/>
      <w:szCs w:val="32"/>
    </w:rPr>
  </w:style>
  <w:style w:type="paragraph" w:customStyle="1" w:styleId="69">
    <w:name w:val="表中"/>
    <w:basedOn w:val="1"/>
    <w:qFormat/>
    <w:uiPriority w:val="0"/>
    <w:pPr>
      <w:autoSpaceDE w:val="0"/>
      <w:autoSpaceDN w:val="0"/>
      <w:spacing w:line="360" w:lineRule="atLeast"/>
      <w:jc w:val="center"/>
      <w:textAlignment w:val="auto"/>
    </w:pPr>
  </w:style>
  <w:style w:type="paragraph" w:customStyle="1" w:styleId="70">
    <w:name w:val="Char Char Char Char Char Char Char Char Char Char Char Char Char1"/>
    <w:basedOn w:val="1"/>
    <w:qFormat/>
    <w:uiPriority w:val="0"/>
    <w:pPr>
      <w:adjustRightInd/>
      <w:spacing w:line="240" w:lineRule="auto"/>
      <w:jc w:val="both"/>
      <w:textAlignment w:val="auto"/>
    </w:pPr>
    <w:rPr>
      <w:rFonts w:ascii="仿宋_GB2312" w:eastAsia="仿宋_GB2312"/>
      <w:b/>
      <w:kern w:val="2"/>
      <w:sz w:val="32"/>
      <w:szCs w:val="32"/>
    </w:rPr>
  </w:style>
  <w:style w:type="paragraph" w:customStyle="1" w:styleId="71">
    <w:name w:val="一、"/>
    <w:next w:val="35"/>
    <w:qFormat/>
    <w:uiPriority w:val="0"/>
    <w:pPr>
      <w:numPr>
        <w:ilvl w:val="0"/>
        <w:numId w:val="2"/>
      </w:numPr>
      <w:tabs>
        <w:tab w:val="left" w:pos="360"/>
      </w:tabs>
      <w:spacing w:before="240" w:after="240"/>
      <w:ind w:left="0" w:firstLine="0"/>
    </w:pPr>
    <w:rPr>
      <w:rFonts w:ascii="Calibri" w:hAnsi="Calibri" w:eastAsia="黑体" w:cs="Times New Roman"/>
      <w:sz w:val="28"/>
      <w:lang w:val="en-US" w:eastAsia="zh-CN" w:bidi="ar-SA"/>
    </w:rPr>
  </w:style>
  <w:style w:type="paragraph" w:customStyle="1" w:styleId="72">
    <w:name w:val="正文文本 22"/>
    <w:basedOn w:val="1"/>
    <w:qFormat/>
    <w:uiPriority w:val="0"/>
    <w:pPr>
      <w:spacing w:line="360" w:lineRule="atLeast"/>
      <w:ind w:left="480"/>
      <w:jc w:val="both"/>
    </w:pPr>
    <w:rPr>
      <w:sz w:val="24"/>
    </w:rPr>
  </w:style>
  <w:style w:type="paragraph" w:customStyle="1" w:styleId="73">
    <w:name w:val="正文2"/>
    <w:basedOn w:val="1"/>
    <w:qFormat/>
    <w:uiPriority w:val="0"/>
    <w:pPr>
      <w:spacing w:line="420" w:lineRule="atLeast"/>
      <w:jc w:val="both"/>
    </w:pPr>
  </w:style>
  <w:style w:type="paragraph" w:customStyle="1" w:styleId="74">
    <w:name w:val="Char Char Char Char Char Char Char Char Char Char Char Char Char"/>
    <w:basedOn w:val="1"/>
    <w:qFormat/>
    <w:uiPriority w:val="0"/>
    <w:pPr>
      <w:adjustRightInd/>
      <w:spacing w:line="240" w:lineRule="auto"/>
      <w:jc w:val="both"/>
      <w:textAlignment w:val="auto"/>
    </w:pPr>
    <w:rPr>
      <w:rFonts w:ascii="仿宋_GB2312" w:eastAsia="仿宋_GB2312"/>
      <w:b/>
      <w:kern w:val="2"/>
      <w:sz w:val="32"/>
      <w:szCs w:val="32"/>
    </w:rPr>
  </w:style>
  <w:style w:type="paragraph" w:customStyle="1" w:styleId="75">
    <w:name w:val="表格文字"/>
    <w:basedOn w:val="1"/>
    <w:link w:val="173"/>
    <w:qFormat/>
    <w:uiPriority w:val="0"/>
    <w:pPr>
      <w:spacing w:before="60" w:after="60" w:line="420" w:lineRule="atLeast"/>
    </w:pPr>
  </w:style>
  <w:style w:type="paragraph" w:customStyle="1" w:styleId="76">
    <w:name w:val="样式 标题 2 + Times New Roman 四号 非加粗 段前: 5 磅 段后: 0 磅 行距: 固定值 20..."/>
    <w:basedOn w:val="4"/>
    <w:qFormat/>
    <w:uiPriority w:val="0"/>
    <w:pPr>
      <w:keepNext/>
      <w:keepLines/>
      <w:adjustRightInd/>
      <w:spacing w:before="100" w:after="0" w:line="400" w:lineRule="exact"/>
      <w:jc w:val="both"/>
      <w:textAlignment w:val="auto"/>
    </w:pPr>
    <w:rPr>
      <w:rFonts w:ascii="Times New Roman" w:cs="宋体"/>
      <w:b w:val="0"/>
      <w:kern w:val="2"/>
      <w:sz w:val="28"/>
    </w:rPr>
  </w:style>
  <w:style w:type="paragraph" w:customStyle="1" w:styleId="77">
    <w:name w:val="标题4"/>
    <w:basedOn w:val="1"/>
    <w:qFormat/>
    <w:uiPriority w:val="0"/>
    <w:pPr>
      <w:snapToGrid w:val="0"/>
      <w:spacing w:before="25" w:beforeLines="25" w:after="25" w:afterLines="25" w:line="460" w:lineRule="exact"/>
      <w:jc w:val="both"/>
      <w:textAlignment w:val="auto"/>
      <w:outlineLvl w:val="3"/>
    </w:pPr>
    <w:rPr>
      <w:rFonts w:ascii="黑体" w:hAnsi="宋体" w:eastAsia="黑体"/>
      <w:spacing w:val="8"/>
      <w:kern w:val="2"/>
      <w:sz w:val="24"/>
    </w:rPr>
  </w:style>
  <w:style w:type="paragraph" w:customStyle="1" w:styleId="78">
    <w:name w:val="表左1"/>
    <w:basedOn w:val="1"/>
    <w:qFormat/>
    <w:uiPriority w:val="0"/>
    <w:pPr>
      <w:spacing w:line="360" w:lineRule="atLeast"/>
    </w:pPr>
  </w:style>
  <w:style w:type="paragraph" w:customStyle="1" w:styleId="7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0">
    <w:name w:val="普通文字 Char Char Char Char Char Char Char Char Char Char Char Char Char Char Char Char Char"/>
    <w:basedOn w:val="1"/>
    <w:next w:val="17"/>
    <w:qFormat/>
    <w:uiPriority w:val="0"/>
    <w:pPr>
      <w:widowControl/>
      <w:adjustRightInd/>
      <w:spacing w:line="240" w:lineRule="auto"/>
      <w:jc w:val="center"/>
      <w:textAlignment w:val="auto"/>
    </w:pPr>
    <w:rPr>
      <w:rFonts w:hAnsi="Courier New"/>
      <w:kern w:val="2"/>
      <w:sz w:val="18"/>
      <w:szCs w:val="18"/>
    </w:rPr>
  </w:style>
  <w:style w:type="paragraph" w:customStyle="1" w:styleId="81">
    <w:name w:val="样式 普通文字 + 首行缩进:  2 字符"/>
    <w:basedOn w:val="21"/>
    <w:qFormat/>
    <w:uiPriority w:val="0"/>
    <w:pPr>
      <w:spacing w:line="480" w:lineRule="exact"/>
      <w:ind w:firstLine="512" w:firstLineChars="200"/>
    </w:pPr>
    <w:rPr>
      <w:rFonts w:hAnsi="Times New Roman"/>
      <w:sz w:val="24"/>
    </w:rPr>
  </w:style>
  <w:style w:type="paragraph" w:customStyle="1" w:styleId="82">
    <w:name w:val="小标题"/>
    <w:basedOn w:val="1"/>
    <w:qFormat/>
    <w:uiPriority w:val="0"/>
    <w:pPr>
      <w:adjustRightInd/>
      <w:spacing w:before="240" w:after="240" w:line="240" w:lineRule="auto"/>
      <w:jc w:val="both"/>
      <w:textAlignment w:val="auto"/>
    </w:pPr>
    <w:rPr>
      <w:rFonts w:eastAsia="创艺简黑体"/>
      <w:b/>
      <w:w w:val="95"/>
      <w:kern w:val="2"/>
    </w:rPr>
  </w:style>
  <w:style w:type="paragraph" w:customStyle="1" w:styleId="83">
    <w:name w:val="正文3"/>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84">
    <w:name w:val="LBG6-"/>
    <w:basedOn w:val="1"/>
    <w:qFormat/>
    <w:uiPriority w:val="0"/>
    <w:pPr>
      <w:autoSpaceDE w:val="0"/>
      <w:autoSpaceDN w:val="0"/>
      <w:spacing w:line="120" w:lineRule="exact"/>
    </w:pPr>
    <w:rPr>
      <w:rFonts w:ascii="@昆仑仿宋"/>
      <w:sz w:val="13"/>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sz w:val="24"/>
      <w:szCs w:val="24"/>
    </w:rPr>
  </w:style>
  <w:style w:type="paragraph" w:customStyle="1" w:styleId="86">
    <w:name w:val="_Style 85"/>
    <w:basedOn w:val="3"/>
    <w:next w:val="1"/>
    <w:qFormat/>
    <w:uiPriority w:val="39"/>
    <w:pPr>
      <w:keepNext/>
      <w:keepLines/>
      <w:widowControl/>
      <w:adjustRightInd/>
      <w:spacing w:before="240" w:after="0" w:line="259" w:lineRule="auto"/>
      <w:jc w:val="left"/>
      <w:textAlignment w:val="auto"/>
      <w:outlineLvl w:val="9"/>
    </w:pPr>
    <w:rPr>
      <w:rFonts w:ascii="等线 Light" w:hAnsi="等线 Light" w:eastAsia="等线 Light"/>
      <w:b w:val="0"/>
      <w:color w:val="2F5496"/>
      <w:sz w:val="32"/>
      <w:szCs w:val="32"/>
    </w:rPr>
  </w:style>
  <w:style w:type="paragraph" w:customStyle="1" w:styleId="87">
    <w:name w:val="Char Char Char Char Char Char"/>
    <w:basedOn w:val="1"/>
    <w:qFormat/>
    <w:uiPriority w:val="0"/>
    <w:pPr>
      <w:adjustRightInd/>
      <w:spacing w:line="240" w:lineRule="auto"/>
      <w:jc w:val="both"/>
      <w:textAlignment w:val="auto"/>
    </w:pPr>
    <w:rPr>
      <w:kern w:val="2"/>
      <w:szCs w:val="24"/>
    </w:rPr>
  </w:style>
  <w:style w:type="paragraph" w:customStyle="1" w:styleId="88">
    <w:name w:val="1"/>
    <w:basedOn w:val="1"/>
    <w:qFormat/>
    <w:uiPriority w:val="0"/>
    <w:pPr>
      <w:spacing w:before="360" w:after="240" w:line="420" w:lineRule="atLeast"/>
      <w:ind w:firstLine="454"/>
      <w:jc w:val="both"/>
    </w:pPr>
    <w:rPr>
      <w:b/>
    </w:rPr>
  </w:style>
  <w:style w:type="paragraph" w:customStyle="1" w:styleId="89">
    <w:name w:val="6'"/>
    <w:basedOn w:val="1"/>
    <w:qFormat/>
    <w:uiPriority w:val="0"/>
    <w:pPr>
      <w:autoSpaceDE w:val="0"/>
      <w:autoSpaceDN w:val="0"/>
      <w:snapToGrid w:val="0"/>
      <w:spacing w:line="320" w:lineRule="exact"/>
      <w:jc w:val="center"/>
    </w:pPr>
    <w:rPr>
      <w:spacing w:val="20"/>
      <w:kern w:val="28"/>
    </w:rPr>
  </w:style>
  <w:style w:type="paragraph" w:customStyle="1" w:styleId="90">
    <w:name w:val="3"/>
    <w:basedOn w:val="1"/>
    <w:next w:val="2"/>
    <w:qFormat/>
    <w:uiPriority w:val="0"/>
    <w:pPr>
      <w:spacing w:line="400" w:lineRule="atLeast"/>
      <w:ind w:right="29" w:firstLine="540"/>
      <w:jc w:val="both"/>
    </w:pPr>
    <w:rPr>
      <w:sz w:val="24"/>
    </w:rPr>
  </w:style>
  <w:style w:type="paragraph" w:customStyle="1" w:styleId="91">
    <w:name w:val="Char Char Char Char1"/>
    <w:basedOn w:val="1"/>
    <w:qFormat/>
    <w:uiPriority w:val="0"/>
    <w:pPr>
      <w:adjustRightInd/>
      <w:spacing w:line="240" w:lineRule="auto"/>
      <w:jc w:val="both"/>
      <w:textAlignment w:val="auto"/>
    </w:pPr>
    <w:rPr>
      <w:kern w:val="2"/>
      <w:szCs w:val="24"/>
    </w:rPr>
  </w:style>
  <w:style w:type="paragraph" w:customStyle="1" w:styleId="92">
    <w:name w:val="正文11"/>
    <w:basedOn w:val="1"/>
    <w:qFormat/>
    <w:uiPriority w:val="0"/>
    <w:pPr>
      <w:adjustRightInd/>
      <w:spacing w:line="500" w:lineRule="atLeast"/>
      <w:ind w:firstLine="567"/>
      <w:jc w:val="both"/>
    </w:pPr>
    <w:rPr>
      <w:spacing w:val="14"/>
      <w:kern w:val="2"/>
    </w:rPr>
  </w:style>
  <w:style w:type="paragraph" w:customStyle="1" w:styleId="93">
    <w:name w:val="Char2"/>
    <w:basedOn w:val="1"/>
    <w:semiHidden/>
    <w:qFormat/>
    <w:uiPriority w:val="0"/>
    <w:pPr>
      <w:adjustRightInd/>
      <w:spacing w:line="240" w:lineRule="auto"/>
      <w:jc w:val="both"/>
      <w:textAlignment w:val="auto"/>
    </w:pPr>
    <w:rPr>
      <w:kern w:val="2"/>
      <w:szCs w:val="24"/>
    </w:rPr>
  </w:style>
  <w:style w:type="paragraph" w:customStyle="1" w:styleId="94">
    <w:name w:val="正文文本缩进 211"/>
    <w:basedOn w:val="1"/>
    <w:qFormat/>
    <w:uiPriority w:val="0"/>
    <w:pPr>
      <w:spacing w:line="400" w:lineRule="atLeast"/>
      <w:ind w:firstLine="540"/>
      <w:jc w:val="both"/>
    </w:pPr>
    <w:rPr>
      <w:rFonts w:ascii="宋体"/>
      <w:sz w:val="24"/>
    </w:rPr>
  </w:style>
  <w:style w:type="paragraph" w:customStyle="1" w:styleId="95">
    <w:name w:val="内容"/>
    <w:basedOn w:val="1"/>
    <w:semiHidden/>
    <w:qFormat/>
    <w:uiPriority w:val="0"/>
    <w:pPr>
      <w:tabs>
        <w:tab w:val="left" w:pos="720"/>
      </w:tabs>
      <w:adjustRightInd/>
      <w:spacing w:line="480" w:lineRule="exact"/>
      <w:ind w:left="360" w:firstLine="200" w:firstLineChars="200"/>
      <w:jc w:val="both"/>
      <w:textAlignment w:val="auto"/>
    </w:pPr>
    <w:rPr>
      <w:kern w:val="2"/>
      <w:sz w:val="24"/>
    </w:rPr>
  </w:style>
  <w:style w:type="paragraph" w:customStyle="1" w:styleId="96">
    <w:name w:val="Char Char Char Char Char Char Char"/>
    <w:basedOn w:val="1"/>
    <w:semiHidden/>
    <w:qFormat/>
    <w:uiPriority w:val="0"/>
    <w:pPr>
      <w:adjustRightInd/>
      <w:spacing w:line="240" w:lineRule="auto"/>
      <w:jc w:val="both"/>
      <w:textAlignment w:val="auto"/>
    </w:pPr>
    <w:rPr>
      <w:kern w:val="2"/>
      <w:szCs w:val="24"/>
    </w:rPr>
  </w:style>
  <w:style w:type="paragraph" w:customStyle="1" w:styleId="97">
    <w:name w:val="Char Char Char Char Char Char1 Char Char Char Char1"/>
    <w:basedOn w:val="1"/>
    <w:qFormat/>
    <w:uiPriority w:val="0"/>
    <w:pPr>
      <w:adjustRightInd/>
      <w:spacing w:line="240" w:lineRule="auto"/>
      <w:jc w:val="both"/>
      <w:textAlignment w:val="auto"/>
    </w:pPr>
    <w:rPr>
      <w:rFonts w:ascii="仿宋_GB2312" w:eastAsia="仿宋_GB2312"/>
      <w:b/>
      <w:kern w:val="2"/>
      <w:sz w:val="32"/>
      <w:szCs w:val="32"/>
    </w:rPr>
  </w:style>
  <w:style w:type="paragraph" w:customStyle="1" w:styleId="98">
    <w:name w:val="LBG6"/>
    <w:basedOn w:val="1"/>
    <w:qFormat/>
    <w:uiPriority w:val="0"/>
    <w:pPr>
      <w:autoSpaceDE w:val="0"/>
      <w:autoSpaceDN w:val="0"/>
      <w:spacing w:line="140" w:lineRule="exact"/>
    </w:pPr>
    <w:rPr>
      <w:rFonts w:ascii="@宋体"/>
      <w:sz w:val="15"/>
    </w:rPr>
  </w:style>
  <w:style w:type="paragraph" w:customStyle="1" w:styleId="99">
    <w:name w:val="标题5"/>
    <w:basedOn w:val="1"/>
    <w:qFormat/>
    <w:uiPriority w:val="0"/>
    <w:pPr>
      <w:spacing w:before="480" w:line="312" w:lineRule="atLeast"/>
      <w:jc w:val="center"/>
    </w:pPr>
    <w:rPr>
      <w:rFonts w:eastAsia="黑体"/>
      <w:sz w:val="44"/>
    </w:rPr>
  </w:style>
  <w:style w:type="paragraph" w:customStyle="1" w:styleId="100">
    <w:name w:val="目录1"/>
    <w:basedOn w:val="1"/>
    <w:qFormat/>
    <w:uiPriority w:val="0"/>
    <w:pPr>
      <w:spacing w:line="420" w:lineRule="atLeast"/>
      <w:jc w:val="both"/>
    </w:pPr>
    <w:rPr>
      <w:rFonts w:eastAsia="黑体"/>
      <w:b/>
    </w:rPr>
  </w:style>
  <w:style w:type="paragraph" w:customStyle="1" w:styleId="101">
    <w:name w:val="默认段落字体 Para Char"/>
    <w:basedOn w:val="1"/>
    <w:qFormat/>
    <w:uiPriority w:val="0"/>
    <w:pPr>
      <w:adjustRightInd/>
      <w:spacing w:line="360" w:lineRule="auto"/>
      <w:ind w:firstLine="200" w:firstLineChars="200"/>
      <w:jc w:val="both"/>
      <w:textAlignment w:val="auto"/>
    </w:pPr>
    <w:rPr>
      <w:rFonts w:hAnsi="宋体"/>
      <w:kern w:val="2"/>
      <w:sz w:val="24"/>
      <w:szCs w:val="24"/>
    </w:rPr>
  </w:style>
  <w:style w:type="paragraph" w:customStyle="1" w:styleId="102">
    <w:name w:val="表格4"/>
    <w:basedOn w:val="1"/>
    <w:qFormat/>
    <w:uiPriority w:val="0"/>
    <w:pPr>
      <w:spacing w:line="420" w:lineRule="atLeast"/>
      <w:ind w:left="1021"/>
      <w:jc w:val="both"/>
    </w:pPr>
  </w:style>
  <w:style w:type="paragraph" w:customStyle="1" w:styleId="103">
    <w:name w:val="LBG5-"/>
    <w:basedOn w:val="1"/>
    <w:qFormat/>
    <w:uiPriority w:val="0"/>
    <w:pPr>
      <w:autoSpaceDE w:val="0"/>
      <w:autoSpaceDN w:val="0"/>
      <w:spacing w:line="120" w:lineRule="exact"/>
    </w:pPr>
    <w:rPr>
      <w:rFonts w:ascii="@宋体"/>
      <w:kern w:val="18"/>
      <w:sz w:val="18"/>
    </w:rPr>
  </w:style>
  <w:style w:type="paragraph" w:customStyle="1" w:styleId="104">
    <w:name w:val="2"/>
    <w:basedOn w:val="1"/>
    <w:qFormat/>
    <w:uiPriority w:val="0"/>
    <w:pPr>
      <w:spacing w:line="420" w:lineRule="atLeast"/>
      <w:ind w:left="1134" w:hanging="227"/>
      <w:jc w:val="both"/>
    </w:pPr>
  </w:style>
  <w:style w:type="paragraph" w:customStyle="1" w:styleId="105">
    <w:name w:val="HTML 预设格式2"/>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黑体" w:hAnsi="Courier New" w:eastAsia="黑体"/>
      <w:sz w:val="20"/>
    </w:rPr>
  </w:style>
  <w:style w:type="paragraph" w:customStyle="1" w:styleId="106">
    <w:name w:val="xl35"/>
    <w:basedOn w:val="1"/>
    <w:qFormat/>
    <w:uiPriority w:val="0"/>
    <w:pPr>
      <w:widowControl/>
      <w:pBdr>
        <w:left w:val="single" w:color="auto" w:sz="8"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楷体_GB2312" w:hAnsi="宋体" w:eastAsia="楷体_GB2312"/>
      <w:sz w:val="24"/>
      <w:szCs w:val="24"/>
    </w:rPr>
  </w:style>
  <w:style w:type="paragraph" w:customStyle="1" w:styleId="1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Arial Unicode MS" w:hAnsi="Arial Unicode MS" w:eastAsia="Arial Unicode MS" w:cs="Arial Unicode MS"/>
      <w:sz w:val="24"/>
      <w:szCs w:val="24"/>
    </w:rPr>
  </w:style>
  <w:style w:type="paragraph" w:customStyle="1" w:styleId="108">
    <w:name w:val="目录2"/>
    <w:basedOn w:val="1"/>
    <w:qFormat/>
    <w:uiPriority w:val="0"/>
    <w:pPr>
      <w:spacing w:line="420" w:lineRule="atLeast"/>
      <w:ind w:left="227"/>
      <w:jc w:val="both"/>
    </w:pPr>
  </w:style>
  <w:style w:type="paragraph" w:customStyle="1" w:styleId="109">
    <w:name w:val="Char Char Char"/>
    <w:basedOn w:val="1"/>
    <w:next w:val="1"/>
    <w:qFormat/>
    <w:uiPriority w:val="0"/>
    <w:pPr>
      <w:adjustRightInd/>
      <w:spacing w:line="360" w:lineRule="auto"/>
      <w:ind w:firstLine="200" w:firstLineChars="200"/>
      <w:jc w:val="both"/>
      <w:textAlignment w:val="auto"/>
    </w:pPr>
    <w:rPr>
      <w:rFonts w:ascii="宋体" w:hAnsi="宋体" w:cs="宋体"/>
      <w:kern w:val="2"/>
      <w:sz w:val="24"/>
      <w:szCs w:val="24"/>
    </w:rPr>
  </w:style>
  <w:style w:type="paragraph" w:customStyle="1" w:styleId="11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黑体" w:hAnsi="Courier New" w:eastAsia="黑体"/>
      <w:sz w:val="20"/>
    </w:rPr>
  </w:style>
  <w:style w:type="paragraph" w:customStyle="1" w:styleId="111">
    <w:name w:val="正文段落"/>
    <w:basedOn w:val="1"/>
    <w:qFormat/>
    <w:uiPriority w:val="0"/>
    <w:pPr>
      <w:autoSpaceDE w:val="0"/>
      <w:autoSpaceDN w:val="0"/>
      <w:spacing w:line="480" w:lineRule="exact"/>
      <w:ind w:firstLine="200" w:firstLineChars="200"/>
      <w:jc w:val="both"/>
    </w:pPr>
    <w:rPr>
      <w:rFonts w:ascii="@宋体" w:eastAsia="仿宋_GB2312"/>
      <w:sz w:val="24"/>
    </w:rPr>
  </w:style>
  <w:style w:type="paragraph" w:customStyle="1" w:styleId="112">
    <w:name w:val="aa"/>
    <w:basedOn w:val="1"/>
    <w:qFormat/>
    <w:uiPriority w:val="0"/>
    <w:pPr>
      <w:widowControl/>
      <w:adjustRightInd/>
      <w:spacing w:before="100" w:beforeAutospacing="1" w:after="100" w:afterAutospacing="1" w:line="240" w:lineRule="auto"/>
      <w:textAlignment w:val="auto"/>
    </w:pPr>
    <w:rPr>
      <w:rFonts w:hAnsi="宋体" w:cs="宋体"/>
      <w:sz w:val="24"/>
      <w:szCs w:val="24"/>
    </w:rPr>
  </w:style>
  <w:style w:type="paragraph" w:customStyle="1" w:styleId="113">
    <w:name w:val="LBG4"/>
    <w:basedOn w:val="1"/>
    <w:qFormat/>
    <w:uiPriority w:val="0"/>
    <w:pPr>
      <w:autoSpaceDE w:val="0"/>
      <w:autoSpaceDN w:val="0"/>
      <w:spacing w:line="240" w:lineRule="exact"/>
    </w:pPr>
    <w:rPr>
      <w:rFonts w:ascii="@宋体"/>
      <w:sz w:val="28"/>
    </w:rPr>
  </w:style>
  <w:style w:type="paragraph" w:customStyle="1" w:styleId="114">
    <w:name w:val="ZW正文1"/>
    <w:basedOn w:val="1"/>
    <w:qFormat/>
    <w:uiPriority w:val="0"/>
    <w:pPr>
      <w:snapToGrid w:val="0"/>
      <w:spacing w:line="500" w:lineRule="exact"/>
      <w:ind w:firstLine="510"/>
      <w:jc w:val="both"/>
      <w:textAlignment w:val="auto"/>
    </w:pPr>
    <w:rPr>
      <w:rFonts w:ascii="华文中宋" w:hAnsi="华文中宋" w:cs="宋体"/>
      <w:spacing w:val="6"/>
      <w:sz w:val="24"/>
      <w:szCs w:val="24"/>
    </w:rPr>
  </w:style>
  <w:style w:type="paragraph" w:customStyle="1" w:styleId="115">
    <w:name w:val="表格3"/>
    <w:basedOn w:val="1"/>
    <w:qFormat/>
    <w:uiPriority w:val="0"/>
    <w:pPr>
      <w:spacing w:line="420" w:lineRule="atLeast"/>
      <w:jc w:val="both"/>
    </w:pPr>
    <w:rPr>
      <w:rFonts w:eastAsia="楷体"/>
    </w:rPr>
  </w:style>
  <w:style w:type="paragraph" w:customStyle="1" w:styleId="116">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djustRightInd/>
      <w:spacing w:before="100" w:beforeAutospacing="1" w:after="100" w:afterAutospacing="1" w:line="240" w:lineRule="auto"/>
      <w:jc w:val="center"/>
      <w:textAlignment w:val="center"/>
    </w:pPr>
    <w:rPr>
      <w:rFonts w:ascii="Arial Unicode MS" w:hAnsi="Arial Unicode MS" w:eastAsia="Arial Unicode MS" w:cs="Arial Unicode MS"/>
      <w:sz w:val="24"/>
      <w:szCs w:val="24"/>
    </w:rPr>
  </w:style>
  <w:style w:type="paragraph" w:customStyle="1" w:styleId="117">
    <w:name w:val="BG5"/>
    <w:basedOn w:val="1"/>
    <w:qFormat/>
    <w:uiPriority w:val="0"/>
    <w:pPr>
      <w:autoSpaceDE w:val="0"/>
      <w:autoSpaceDN w:val="0"/>
      <w:spacing w:line="200" w:lineRule="exact"/>
      <w:jc w:val="center"/>
    </w:pPr>
    <w:rPr>
      <w:rFonts w:ascii="@宋体"/>
    </w:rPr>
  </w:style>
  <w:style w:type="paragraph" w:customStyle="1" w:styleId="118">
    <w:name w:val="KEY"/>
    <w:basedOn w:val="1"/>
    <w:qFormat/>
    <w:uiPriority w:val="0"/>
    <w:pPr>
      <w:shd w:val="pct30" w:color="auto" w:fill="auto"/>
      <w:spacing w:before="120" w:after="120" w:line="312" w:lineRule="atLeast"/>
      <w:jc w:val="both"/>
    </w:pPr>
    <w:rPr>
      <w:rFonts w:ascii="@宋体"/>
      <w:color w:val="808080"/>
    </w:rPr>
  </w:style>
  <w:style w:type="paragraph" w:customStyle="1" w:styleId="119">
    <w:name w:val="ZW"/>
    <w:basedOn w:val="1"/>
    <w:qFormat/>
    <w:uiPriority w:val="0"/>
    <w:pPr>
      <w:autoSpaceDE w:val="0"/>
      <w:autoSpaceDN w:val="0"/>
      <w:spacing w:line="240" w:lineRule="auto"/>
      <w:ind w:firstLine="397"/>
      <w:jc w:val="both"/>
    </w:pPr>
    <w:rPr>
      <w:rFonts w:ascii="@宋体"/>
      <w:sz w:val="13"/>
    </w:rPr>
  </w:style>
  <w:style w:type="paragraph" w:customStyle="1" w:styleId="120">
    <w:name w:val="表格6"/>
    <w:basedOn w:val="121"/>
    <w:qFormat/>
    <w:uiPriority w:val="0"/>
    <w:pPr>
      <w:ind w:left="737" w:firstLine="0"/>
    </w:pPr>
  </w:style>
  <w:style w:type="paragraph" w:customStyle="1" w:styleId="121">
    <w:name w:val="表格5"/>
    <w:basedOn w:val="67"/>
    <w:qFormat/>
    <w:uiPriority w:val="0"/>
    <w:pPr>
      <w:ind w:left="1021" w:hanging="284"/>
    </w:pPr>
    <w:rPr>
      <w:rFonts w:ascii="宋体"/>
    </w:rPr>
  </w:style>
  <w:style w:type="paragraph" w:customStyle="1" w:styleId="122">
    <w:name w:val="表格表头"/>
    <w:basedOn w:val="1"/>
    <w:qFormat/>
    <w:uiPriority w:val="0"/>
    <w:pPr>
      <w:spacing w:line="240" w:lineRule="auto"/>
      <w:jc w:val="center"/>
    </w:pPr>
    <w:rPr>
      <w:b/>
      <w:sz w:val="18"/>
    </w:rPr>
  </w:style>
  <w:style w:type="paragraph" w:customStyle="1" w:styleId="123">
    <w:name w:val="节一级"/>
    <w:basedOn w:val="8"/>
    <w:next w:val="1"/>
    <w:qFormat/>
    <w:uiPriority w:val="0"/>
    <w:pPr>
      <w:keepLines/>
      <w:widowControl w:val="0"/>
      <w:topLinePunct/>
      <w:autoSpaceDE/>
      <w:autoSpaceDN/>
      <w:spacing w:before="120" w:line="400" w:lineRule="atLeast"/>
      <w:ind w:right="0"/>
      <w:jc w:val="left"/>
      <w:textAlignment w:val="baseline"/>
      <w:outlineLvl w:val="1"/>
    </w:pPr>
    <w:rPr>
      <w:rFonts w:eastAsia="黑体"/>
      <w:b w:val="0"/>
      <w:bCs/>
      <w:sz w:val="24"/>
    </w:rPr>
  </w:style>
  <w:style w:type="paragraph" w:customStyle="1" w:styleId="124">
    <w:name w:val="af15hichaf0dbchf15cgrid"/>
    <w:qFormat/>
    <w:uiPriority w:val="0"/>
    <w:pPr>
      <w:widowControl w:val="0"/>
      <w:tabs>
        <w:tab w:val="center" w:pos="4320"/>
        <w:tab w:val="right" w:pos="8640"/>
      </w:tabs>
      <w:adjustRightInd w:val="0"/>
      <w:spacing w:line="315" w:lineRule="atLeast"/>
      <w:jc w:val="both"/>
      <w:textAlignment w:val="baseline"/>
    </w:pPr>
    <w:rPr>
      <w:rFonts w:ascii="Calibri" w:hAnsi="Calibri" w:eastAsia="宋体" w:cs="Times New Roman"/>
      <w:sz w:val="21"/>
      <w:lang w:val="en-US" w:eastAsia="zh-CN" w:bidi="ar-SA"/>
    </w:rPr>
  </w:style>
  <w:style w:type="paragraph" w:customStyle="1" w:styleId="125">
    <w:name w:val="基本要求"/>
    <w:basedOn w:val="1"/>
    <w:qFormat/>
    <w:uiPriority w:val="0"/>
    <w:pPr>
      <w:autoSpaceDE w:val="0"/>
      <w:autoSpaceDN w:val="0"/>
      <w:spacing w:line="360" w:lineRule="auto"/>
      <w:ind w:firstLine="680"/>
      <w:jc w:val="both"/>
    </w:pPr>
    <w:rPr>
      <w:rFonts w:ascii="黑体" w:eastAsia="黑体"/>
      <w:kern w:val="2"/>
    </w:rPr>
  </w:style>
  <w:style w:type="paragraph" w:customStyle="1" w:styleId="126">
    <w:name w:val="正文文本 21"/>
    <w:basedOn w:val="1"/>
    <w:qFormat/>
    <w:uiPriority w:val="0"/>
    <w:pPr>
      <w:spacing w:line="360" w:lineRule="atLeast"/>
      <w:ind w:left="480"/>
      <w:jc w:val="both"/>
    </w:pPr>
    <w:rPr>
      <w:rFonts w:ascii="宋体"/>
      <w:sz w:val="24"/>
    </w:rPr>
  </w:style>
  <w:style w:type="paragraph" w:customStyle="1" w:styleId="127">
    <w:name w:val="ZBT"/>
    <w:basedOn w:val="1"/>
    <w:qFormat/>
    <w:uiPriority w:val="0"/>
    <w:pPr>
      <w:spacing w:before="240" w:after="240" w:line="240" w:lineRule="auto"/>
    </w:pPr>
    <w:rPr>
      <w:rFonts w:ascii="@宋体" w:eastAsia="黑体"/>
      <w:color w:val="FF00FF"/>
      <w:sz w:val="30"/>
    </w:rPr>
  </w:style>
  <w:style w:type="paragraph" w:customStyle="1" w:styleId="128">
    <w:name w:val="LBG5"/>
    <w:basedOn w:val="1"/>
    <w:qFormat/>
    <w:uiPriority w:val="0"/>
    <w:pPr>
      <w:autoSpaceDE w:val="0"/>
      <w:autoSpaceDN w:val="0"/>
      <w:spacing w:line="200" w:lineRule="exact"/>
    </w:pPr>
    <w:rPr>
      <w:rFonts w:ascii="@宋体"/>
    </w:rPr>
  </w:style>
  <w:style w:type="paragraph" w:customStyle="1" w:styleId="129">
    <w:name w:val="BG4-"/>
    <w:basedOn w:val="117"/>
    <w:qFormat/>
    <w:uiPriority w:val="0"/>
    <w:pPr>
      <w:spacing w:line="240" w:lineRule="exact"/>
    </w:pPr>
    <w:rPr>
      <w:sz w:val="24"/>
    </w:rPr>
  </w:style>
  <w:style w:type="paragraph" w:customStyle="1" w:styleId="130">
    <w:name w:val="正文4"/>
    <w:qFormat/>
    <w:uiPriority w:val="0"/>
    <w:pPr>
      <w:widowControl w:val="0"/>
      <w:adjustRightInd w:val="0"/>
      <w:spacing w:line="312" w:lineRule="atLeast"/>
      <w:jc w:val="both"/>
      <w:textAlignment w:val="baseline"/>
    </w:pPr>
    <w:rPr>
      <w:rFonts w:ascii="Calibri" w:hAnsi="Calibri" w:eastAsia="宋体" w:cs="Times New Roman"/>
      <w:sz w:val="34"/>
      <w:lang w:val="en-US" w:eastAsia="zh-CN" w:bidi="ar-SA"/>
    </w:rPr>
  </w:style>
  <w:style w:type="paragraph" w:customStyle="1" w:styleId="131">
    <w:name w:val="注"/>
    <w:basedOn w:val="92"/>
    <w:qFormat/>
    <w:uiPriority w:val="0"/>
    <w:pPr>
      <w:adjustRightInd w:val="0"/>
      <w:spacing w:line="300" w:lineRule="atLeast"/>
      <w:ind w:left="510" w:hanging="510"/>
    </w:pPr>
    <w:rPr>
      <w:sz w:val="18"/>
    </w:rPr>
  </w:style>
  <w:style w:type="paragraph" w:customStyle="1" w:styleId="132">
    <w:name w:val="font6"/>
    <w:basedOn w:val="1"/>
    <w:qFormat/>
    <w:uiPriority w:val="0"/>
    <w:pPr>
      <w:widowControl/>
      <w:adjustRightInd/>
      <w:spacing w:before="100" w:beforeAutospacing="1" w:after="100" w:afterAutospacing="1" w:line="240" w:lineRule="auto"/>
      <w:textAlignment w:val="auto"/>
    </w:pPr>
    <w:rPr>
      <w:rFonts w:hint="eastAsia" w:hAnsi="宋体" w:cs="Arial Unicode MS"/>
      <w:sz w:val="18"/>
      <w:szCs w:val="18"/>
    </w:rPr>
  </w:style>
  <w:style w:type="paragraph" w:customStyle="1" w:styleId="133">
    <w:name w:val="Char1 Char Char Char"/>
    <w:basedOn w:val="1"/>
    <w:qFormat/>
    <w:uiPriority w:val="0"/>
    <w:pPr>
      <w:adjustRightInd/>
      <w:spacing w:line="240" w:lineRule="auto"/>
      <w:jc w:val="both"/>
      <w:textAlignment w:val="auto"/>
    </w:pPr>
    <w:rPr>
      <w:rFonts w:ascii="Tahoma" w:hAnsi="Tahoma" w:eastAsia="仿宋_GB2312"/>
      <w:b/>
      <w:kern w:val="2"/>
      <w:sz w:val="24"/>
    </w:rPr>
  </w:style>
  <w:style w:type="paragraph" w:customStyle="1" w:styleId="134">
    <w:name w:val="Char"/>
    <w:basedOn w:val="1"/>
    <w:qFormat/>
    <w:uiPriority w:val="0"/>
    <w:pPr>
      <w:widowControl/>
      <w:numPr>
        <w:ilvl w:val="0"/>
        <w:numId w:val="3"/>
      </w:numPr>
      <w:adjustRightInd/>
      <w:spacing w:after="160" w:line="240" w:lineRule="exact"/>
      <w:ind w:left="0" w:firstLine="0"/>
      <w:textAlignment w:val="auto"/>
    </w:pPr>
    <w:rPr>
      <w:kern w:val="2"/>
    </w:rPr>
  </w:style>
  <w:style w:type="paragraph" w:customStyle="1" w:styleId="135">
    <w:name w:val="海盘说明"/>
    <w:basedOn w:val="1"/>
    <w:qFormat/>
    <w:uiPriority w:val="0"/>
    <w:pPr>
      <w:spacing w:line="360" w:lineRule="exact"/>
      <w:ind w:firstLine="199" w:firstLineChars="199"/>
      <w:jc w:val="both"/>
    </w:pPr>
    <w:rPr>
      <w:b/>
    </w:rPr>
  </w:style>
  <w:style w:type="paragraph" w:customStyle="1" w:styleId="136">
    <w:name w:val="Char1"/>
    <w:basedOn w:val="1"/>
    <w:qFormat/>
    <w:uiPriority w:val="0"/>
    <w:pPr>
      <w:widowControl/>
      <w:adjustRightInd/>
      <w:spacing w:after="160" w:line="240" w:lineRule="exact"/>
      <w:textAlignment w:val="auto"/>
    </w:pPr>
    <w:rPr>
      <w:kern w:val="2"/>
    </w:rPr>
  </w:style>
  <w:style w:type="paragraph" w:customStyle="1" w:styleId="137">
    <w:name w:val="表头"/>
    <w:basedOn w:val="53"/>
    <w:qFormat/>
    <w:uiPriority w:val="0"/>
    <w:rPr>
      <w:rFonts w:ascii="黑体" w:eastAsia="黑体"/>
      <w:b/>
    </w:rPr>
  </w:style>
  <w:style w:type="paragraph" w:customStyle="1" w:styleId="138">
    <w:name w:val="LBG7"/>
    <w:basedOn w:val="1"/>
    <w:qFormat/>
    <w:uiPriority w:val="0"/>
    <w:pPr>
      <w:autoSpaceDE w:val="0"/>
      <w:autoSpaceDN w:val="0"/>
      <w:spacing w:line="120" w:lineRule="exact"/>
    </w:pPr>
    <w:rPr>
      <w:rFonts w:ascii="@宋体"/>
      <w:sz w:val="11"/>
    </w:rPr>
  </w:style>
  <w:style w:type="paragraph" w:customStyle="1" w:styleId="139">
    <w:name w:val="Char Char Char Char"/>
    <w:basedOn w:val="1"/>
    <w:qFormat/>
    <w:uiPriority w:val="0"/>
    <w:pPr>
      <w:adjustRightInd/>
      <w:spacing w:line="240" w:lineRule="auto"/>
      <w:jc w:val="both"/>
      <w:textAlignment w:val="auto"/>
    </w:pPr>
    <w:rPr>
      <w:kern w:val="2"/>
      <w:szCs w:val="24"/>
    </w:rPr>
  </w:style>
  <w:style w:type="paragraph" w:customStyle="1" w:styleId="140">
    <w:name w:val="Char Char Char Char Char Char1"/>
    <w:basedOn w:val="1"/>
    <w:qFormat/>
    <w:uiPriority w:val="0"/>
    <w:pPr>
      <w:adjustRightInd/>
      <w:spacing w:line="240" w:lineRule="auto"/>
      <w:jc w:val="both"/>
      <w:textAlignment w:val="auto"/>
    </w:pPr>
    <w:rPr>
      <w:kern w:val="2"/>
      <w:szCs w:val="24"/>
    </w:rPr>
  </w:style>
  <w:style w:type="paragraph" w:customStyle="1" w:styleId="141">
    <w:name w:val="中等深浅网格 1 - 着色 21"/>
    <w:basedOn w:val="1"/>
    <w:qFormat/>
    <w:uiPriority w:val="34"/>
    <w:pPr>
      <w:ind w:firstLine="420" w:firstLineChars="200"/>
    </w:pPr>
    <w:rPr>
      <w:rFonts w:ascii="宋体"/>
    </w:rPr>
  </w:style>
  <w:style w:type="paragraph" w:customStyle="1" w:styleId="142">
    <w:name w:val="LBG4-"/>
    <w:basedOn w:val="1"/>
    <w:qFormat/>
    <w:uiPriority w:val="0"/>
    <w:pPr>
      <w:autoSpaceDE w:val="0"/>
      <w:autoSpaceDN w:val="0"/>
      <w:spacing w:line="240" w:lineRule="exact"/>
    </w:pPr>
    <w:rPr>
      <w:rFonts w:ascii="@宋体"/>
      <w:sz w:val="24"/>
    </w:rPr>
  </w:style>
  <w:style w:type="paragraph" w:customStyle="1" w:styleId="143">
    <w:name w:val="表格标题"/>
    <w:next w:val="1"/>
    <w:link w:val="168"/>
    <w:qFormat/>
    <w:uiPriority w:val="0"/>
    <w:pPr>
      <w:overflowPunct w:val="0"/>
      <w:spacing w:before="156" w:beforeLines="50" w:after="156" w:afterLines="50"/>
      <w:jc w:val="center"/>
    </w:pPr>
    <w:rPr>
      <w:rFonts w:ascii="Arial" w:hAnsi="Arial" w:eastAsia="Times New Roman" w:cs="Times New Roman"/>
      <w:b/>
      <w:kern w:val="28"/>
      <w:sz w:val="24"/>
      <w:lang w:val="en-US" w:eastAsia="zh-CN" w:bidi="ar-SA"/>
    </w:rPr>
  </w:style>
  <w:style w:type="paragraph" w:customStyle="1" w:styleId="144">
    <w:name w:val="表1"/>
    <w:basedOn w:val="1"/>
    <w:qFormat/>
    <w:uiPriority w:val="0"/>
    <w:pPr>
      <w:tabs>
        <w:tab w:val="left" w:pos="300"/>
      </w:tabs>
      <w:overflowPunct w:val="0"/>
      <w:autoSpaceDE w:val="0"/>
      <w:autoSpaceDN w:val="0"/>
      <w:spacing w:before="200" w:line="320" w:lineRule="atLeast"/>
      <w:jc w:val="both"/>
    </w:pPr>
    <w:rPr>
      <w:sz w:val="24"/>
    </w:rPr>
  </w:style>
  <w:style w:type="paragraph" w:customStyle="1" w:styleId="145">
    <w:name w:val="封面抬头10"/>
    <w:basedOn w:val="16"/>
    <w:next w:val="1"/>
    <w:qFormat/>
    <w:uiPriority w:val="0"/>
    <w:pPr>
      <w:spacing w:before="480" w:after="120" w:line="240" w:lineRule="auto"/>
      <w:jc w:val="center"/>
    </w:pPr>
    <w:rPr>
      <w:rFonts w:ascii="Times New Roman" w:eastAsia="黑体"/>
      <w:sz w:val="44"/>
      <w:szCs w:val="44"/>
    </w:rPr>
  </w:style>
  <w:style w:type="paragraph" w:customStyle="1" w:styleId="146">
    <w:name w:val="1."/>
    <w:basedOn w:val="1"/>
    <w:qFormat/>
    <w:uiPriority w:val="0"/>
    <w:pPr>
      <w:numPr>
        <w:ilvl w:val="0"/>
        <w:numId w:val="4"/>
      </w:numPr>
      <w:adjustRightInd/>
      <w:spacing w:line="360" w:lineRule="auto"/>
      <w:ind w:left="0" w:firstLine="482"/>
      <w:jc w:val="both"/>
      <w:textAlignment w:val="auto"/>
    </w:pPr>
    <w:rPr>
      <w:kern w:val="2"/>
      <w:sz w:val="28"/>
    </w:rPr>
  </w:style>
  <w:style w:type="paragraph" w:customStyle="1" w:styleId="147">
    <w:name w:val="BG4"/>
    <w:basedOn w:val="117"/>
    <w:qFormat/>
    <w:uiPriority w:val="0"/>
    <w:pPr>
      <w:spacing w:line="240" w:lineRule="exact"/>
    </w:pPr>
    <w:rPr>
      <w:sz w:val="28"/>
    </w:rPr>
  </w:style>
  <w:style w:type="paragraph" w:customStyle="1" w:styleId="148">
    <w:name w:val="标准"/>
    <w:basedOn w:val="1"/>
    <w:qFormat/>
    <w:uiPriority w:val="0"/>
    <w:pPr>
      <w:spacing w:line="360" w:lineRule="auto"/>
      <w:jc w:val="center"/>
    </w:pPr>
    <w:rPr>
      <w:sz w:val="24"/>
    </w:rPr>
  </w:style>
  <w:style w:type="paragraph" w:customStyle="1" w:styleId="149">
    <w:name w:val="正文台头"/>
    <w:basedOn w:val="1"/>
    <w:next w:val="1"/>
    <w:qFormat/>
    <w:uiPriority w:val="0"/>
    <w:pPr>
      <w:adjustRightInd/>
      <w:spacing w:before="60" w:after="60" w:line="240" w:lineRule="auto"/>
      <w:jc w:val="center"/>
      <w:textAlignment w:val="auto"/>
    </w:pPr>
    <w:rPr>
      <w:rFonts w:eastAsia="黑体"/>
      <w:kern w:val="2"/>
      <w:sz w:val="28"/>
      <w:szCs w:val="28"/>
      <w:u w:color="000000"/>
      <w:lang w:val="zh-TW" w:eastAsia="zh-TW"/>
    </w:rPr>
  </w:style>
  <w:style w:type="paragraph" w:customStyle="1" w:styleId="150">
    <w:name w:val="BG6-"/>
    <w:basedOn w:val="147"/>
    <w:qFormat/>
    <w:uiPriority w:val="0"/>
    <w:pPr>
      <w:spacing w:line="120" w:lineRule="exact"/>
    </w:pPr>
    <w:rPr>
      <w:rFonts w:ascii="@昆仑仿宋"/>
      <w:sz w:val="13"/>
    </w:rPr>
  </w:style>
  <w:style w:type="paragraph" w:customStyle="1" w:styleId="151">
    <w:name w:val="正文文本缩进 21"/>
    <w:basedOn w:val="1"/>
    <w:qFormat/>
    <w:uiPriority w:val="0"/>
    <w:pPr>
      <w:spacing w:line="400" w:lineRule="atLeast"/>
      <w:ind w:firstLine="540"/>
      <w:jc w:val="both"/>
    </w:pPr>
    <w:rPr>
      <w:sz w:val="24"/>
    </w:rPr>
  </w:style>
  <w:style w:type="paragraph" w:customStyle="1" w:styleId="152">
    <w:name w:val="Defaul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customStyle="1" w:styleId="153">
    <w:name w:val="标题-小节"/>
    <w:next w:val="1"/>
    <w:link w:val="164"/>
    <w:qFormat/>
    <w:uiPriority w:val="0"/>
    <w:pPr>
      <w:spacing w:line="360" w:lineRule="auto"/>
      <w:ind w:firstLine="482" w:firstLineChars="200"/>
    </w:pPr>
    <w:rPr>
      <w:rFonts w:ascii="Arial" w:hAnsi="Arial" w:eastAsia="黑体" w:cs="Times New Roman"/>
      <w:b/>
      <w:kern w:val="2"/>
      <w:sz w:val="24"/>
      <w:lang w:val="en-US" w:eastAsia="zh-CN" w:bidi="ar-SA"/>
    </w:rPr>
  </w:style>
  <w:style w:type="paragraph" w:customStyle="1" w:styleId="154">
    <w:name w:val="默认段落字体 Para Char Char Char Char Char Char Char"/>
    <w:basedOn w:val="1"/>
    <w:qFormat/>
    <w:uiPriority w:val="0"/>
    <w:pPr>
      <w:adjustRightInd/>
      <w:spacing w:line="240" w:lineRule="auto"/>
      <w:jc w:val="both"/>
      <w:textAlignment w:val="auto"/>
    </w:pPr>
    <w:rPr>
      <w:rFonts w:ascii="Tahoma" w:hAnsi="Tahoma"/>
      <w:kern w:val="2"/>
      <w:sz w:val="24"/>
    </w:rPr>
  </w:style>
  <w:style w:type="paragraph" w:customStyle="1" w:styleId="15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eastAsia="Arial Unicode MS"/>
      <w:sz w:val="24"/>
      <w:szCs w:val="24"/>
    </w:rPr>
  </w:style>
  <w:style w:type="paragraph" w:customStyle="1" w:styleId="156">
    <w:name w:val="表格1"/>
    <w:basedOn w:val="1"/>
    <w:qFormat/>
    <w:uiPriority w:val="0"/>
    <w:pPr>
      <w:spacing w:line="420" w:lineRule="atLeast"/>
      <w:ind w:left="284"/>
      <w:jc w:val="both"/>
    </w:pPr>
  </w:style>
  <w:style w:type="paragraph" w:customStyle="1" w:styleId="157">
    <w:name w:val="样式1"/>
    <w:basedOn w:val="1"/>
    <w:qFormat/>
    <w:uiPriority w:val="0"/>
    <w:pPr>
      <w:spacing w:line="440" w:lineRule="exact"/>
      <w:ind w:firstLine="200" w:firstLineChars="200"/>
      <w:jc w:val="both"/>
    </w:pPr>
    <w:rPr>
      <w:rFonts w:ascii="Century Gothic"/>
      <w:sz w:val="24"/>
    </w:rPr>
  </w:style>
  <w:style w:type="paragraph" w:customStyle="1" w:styleId="158">
    <w:name w:val="XBT_"/>
    <w:basedOn w:val="49"/>
    <w:qFormat/>
    <w:uiPriority w:val="0"/>
    <w:pPr>
      <w:shd w:val="pct30" w:color="auto" w:fill="auto"/>
    </w:pPr>
  </w:style>
  <w:style w:type="character" w:customStyle="1" w:styleId="159">
    <w:name w:val="正文文本缩进 字符"/>
    <w:link w:val="18"/>
    <w:qFormat/>
    <w:uiPriority w:val="0"/>
    <w:rPr>
      <w:sz w:val="21"/>
    </w:rPr>
  </w:style>
  <w:style w:type="character" w:customStyle="1" w:styleId="160">
    <w:name w:val="样式 宋体"/>
    <w:qFormat/>
    <w:uiPriority w:val="0"/>
    <w:rPr>
      <w:rFonts w:ascii="宋体" w:hAnsi="宋体" w:eastAsia="楷体_GB2312"/>
      <w:b/>
      <w:sz w:val="24"/>
    </w:rPr>
  </w:style>
  <w:style w:type="character" w:customStyle="1" w:styleId="161">
    <w:name w:val="普通文字 Char2"/>
    <w:qFormat/>
    <w:uiPriority w:val="0"/>
    <w:rPr>
      <w:rFonts w:ascii="宋体" w:hAnsi="Courier New" w:eastAsia="宋体"/>
      <w:kern w:val="2"/>
      <w:sz w:val="21"/>
      <w:lang w:val="en-US" w:eastAsia="zh-CN" w:bidi="ar-SA"/>
    </w:rPr>
  </w:style>
  <w:style w:type="character" w:customStyle="1" w:styleId="162">
    <w:name w:val="标题 6 字符"/>
    <w:link w:val="9"/>
    <w:qFormat/>
    <w:uiPriority w:val="0"/>
    <w:rPr>
      <w:rFonts w:ascii="Arial" w:hAnsi="Arial" w:eastAsia="黑体"/>
      <w:b/>
      <w:kern w:val="2"/>
      <w:sz w:val="21"/>
    </w:rPr>
  </w:style>
  <w:style w:type="character" w:customStyle="1" w:styleId="163">
    <w:name w:val="标题 字符"/>
    <w:link w:val="33"/>
    <w:qFormat/>
    <w:uiPriority w:val="0"/>
    <w:rPr>
      <w:b/>
      <w:sz w:val="28"/>
    </w:rPr>
  </w:style>
  <w:style w:type="character" w:customStyle="1" w:styleId="164">
    <w:name w:val="标题-小节 Char"/>
    <w:link w:val="153"/>
    <w:qFormat/>
    <w:uiPriority w:val="0"/>
    <w:rPr>
      <w:rFonts w:ascii="Arial" w:hAnsi="Arial" w:eastAsia="黑体"/>
      <w:b/>
      <w:kern w:val="2"/>
      <w:sz w:val="24"/>
      <w:lang w:val="en-US" w:eastAsia="zh-CN" w:bidi="ar-SA"/>
    </w:rPr>
  </w:style>
  <w:style w:type="character" w:customStyle="1" w:styleId="165">
    <w:name w:val="正文文本首行缩进 字符"/>
    <w:link w:val="35"/>
    <w:qFormat/>
    <w:uiPriority w:val="0"/>
    <w:rPr>
      <w:rFonts w:ascii="Times New Roman"/>
      <w:position w:val="5"/>
      <w:sz w:val="21"/>
      <w:shd w:val="pct10" w:color="auto" w:fill="FFFFFF"/>
    </w:rPr>
  </w:style>
  <w:style w:type="character" w:customStyle="1" w:styleId="166">
    <w:name w:val="纯文本1"/>
    <w:qFormat/>
    <w:uiPriority w:val="0"/>
    <w:rPr>
      <w:rFonts w:ascii="宋体" w:hAnsi="Courier New" w:eastAsia="宋体"/>
      <w:kern w:val="2"/>
      <w:sz w:val="21"/>
      <w:lang w:val="en-US" w:eastAsia="zh-CN" w:bidi="ar-SA"/>
    </w:rPr>
  </w:style>
  <w:style w:type="character" w:customStyle="1" w:styleId="167">
    <w:name w:val="标题 9 字符"/>
    <w:link w:val="12"/>
    <w:qFormat/>
    <w:uiPriority w:val="0"/>
    <w:rPr>
      <w:rFonts w:ascii="Arial" w:hAnsi="Arial" w:eastAsia="黑体"/>
      <w:kern w:val="2"/>
      <w:sz w:val="21"/>
    </w:rPr>
  </w:style>
  <w:style w:type="character" w:customStyle="1" w:styleId="168">
    <w:name w:val="表格标题 Char"/>
    <w:link w:val="143"/>
    <w:qFormat/>
    <w:uiPriority w:val="0"/>
    <w:rPr>
      <w:rFonts w:ascii="Arial" w:hAnsi="Arial" w:eastAsia="Times New Roman"/>
      <w:b/>
      <w:kern w:val="28"/>
      <w:sz w:val="24"/>
      <w:lang w:val="en-US" w:eastAsia="zh-CN" w:bidi="ar-SA"/>
    </w:rPr>
  </w:style>
  <w:style w:type="character" w:customStyle="1" w:styleId="169">
    <w:name w:val="数字"/>
    <w:qFormat/>
    <w:uiPriority w:val="0"/>
    <w:rPr>
      <w:rFonts w:eastAsia="黑体"/>
      <w:b/>
      <w:sz w:val="21"/>
    </w:rPr>
  </w:style>
  <w:style w:type="character" w:customStyle="1" w:styleId="170">
    <w:name w:val="标题 1 字符"/>
    <w:link w:val="3"/>
    <w:qFormat/>
    <w:uiPriority w:val="0"/>
    <w:rPr>
      <w:b/>
      <w:sz w:val="28"/>
    </w:rPr>
  </w:style>
  <w:style w:type="character" w:customStyle="1" w:styleId="171">
    <w:name w:val="普通文字 Char1"/>
    <w:qFormat/>
    <w:uiPriority w:val="0"/>
    <w:rPr>
      <w:rFonts w:ascii="宋体" w:hAnsi="Courier New" w:eastAsia="宋体"/>
      <w:kern w:val="2"/>
      <w:sz w:val="21"/>
      <w:lang w:val="en-US" w:eastAsia="zh-CN" w:bidi="ar-SA"/>
    </w:rPr>
  </w:style>
  <w:style w:type="character" w:customStyle="1" w:styleId="172">
    <w:name w:val="纯文本 字符"/>
    <w:link w:val="21"/>
    <w:qFormat/>
    <w:uiPriority w:val="0"/>
    <w:rPr>
      <w:rFonts w:ascii="宋体" w:hAnsi="Courier New" w:eastAsia="宋体"/>
      <w:kern w:val="2"/>
      <w:sz w:val="21"/>
      <w:lang w:val="en-US" w:eastAsia="zh-CN" w:bidi="ar-SA"/>
    </w:rPr>
  </w:style>
  <w:style w:type="character" w:customStyle="1" w:styleId="173">
    <w:name w:val="表格文字 Char"/>
    <w:link w:val="75"/>
    <w:qFormat/>
    <w:uiPriority w:val="0"/>
    <w:rPr>
      <w:rFonts w:eastAsia="宋体"/>
      <w:sz w:val="21"/>
      <w:lang w:val="en-US" w:eastAsia="zh-CN" w:bidi="ar-SA"/>
    </w:rPr>
  </w:style>
  <w:style w:type="character" w:customStyle="1" w:styleId="174">
    <w:name w:val="日期 字符"/>
    <w:link w:val="22"/>
    <w:qFormat/>
    <w:uiPriority w:val="0"/>
    <w:rPr>
      <w:sz w:val="21"/>
    </w:rPr>
  </w:style>
  <w:style w:type="character" w:customStyle="1" w:styleId="175">
    <w:name w:val="标题 8 字符"/>
    <w:link w:val="11"/>
    <w:qFormat/>
    <w:uiPriority w:val="0"/>
    <w:rPr>
      <w:rFonts w:ascii="Arial" w:hAnsi="Arial" w:eastAsia="黑体"/>
      <w:kern w:val="2"/>
      <w:sz w:val="21"/>
    </w:rPr>
  </w:style>
  <w:style w:type="character" w:customStyle="1" w:styleId="176">
    <w:name w:val="tpc_content1"/>
    <w:qFormat/>
    <w:uiPriority w:val="0"/>
    <w:rPr>
      <w:sz w:val="20"/>
      <w:szCs w:val="20"/>
    </w:rPr>
  </w:style>
  <w:style w:type="character" w:customStyle="1" w:styleId="177">
    <w:name w:val="正文文本 字符"/>
    <w:link w:val="17"/>
    <w:qFormat/>
    <w:uiPriority w:val="0"/>
    <w:rPr>
      <w:rFonts w:ascii="Times New Roman"/>
      <w:position w:val="5"/>
      <w:sz w:val="21"/>
      <w:shd w:val="pct10" w:color="auto" w:fill="FFFFFF"/>
    </w:rPr>
  </w:style>
  <w:style w:type="character" w:customStyle="1" w:styleId="178">
    <w:name w:val="标题 2 字符"/>
    <w:link w:val="4"/>
    <w:qFormat/>
    <w:uiPriority w:val="0"/>
    <w:rPr>
      <w:rFonts w:ascii="黑体" w:eastAsia="黑体"/>
      <w:b/>
      <w:sz w:val="21"/>
    </w:rPr>
  </w:style>
  <w:style w:type="character" w:customStyle="1" w:styleId="179">
    <w:name w:val="纯文本1 Char"/>
    <w:qFormat/>
    <w:uiPriority w:val="0"/>
    <w:rPr>
      <w:rFonts w:ascii="宋体" w:hAnsi="Courier New" w:eastAsia="宋体"/>
      <w:kern w:val="2"/>
      <w:sz w:val="21"/>
      <w:lang w:val="en-US" w:eastAsia="zh-CN" w:bidi="ar-SA"/>
    </w:rPr>
  </w:style>
  <w:style w:type="character" w:customStyle="1" w:styleId="180">
    <w:name w:val="脚注文本 字符"/>
    <w:link w:val="28"/>
    <w:qFormat/>
    <w:uiPriority w:val="0"/>
    <w:rPr>
      <w:sz w:val="18"/>
    </w:rPr>
  </w:style>
  <w:style w:type="character" w:customStyle="1" w:styleId="181">
    <w:name w:val="页脚 字符"/>
    <w:link w:val="25"/>
    <w:qFormat/>
    <w:uiPriority w:val="99"/>
    <w:rPr>
      <w:sz w:val="21"/>
    </w:rPr>
  </w:style>
  <w:style w:type="character" w:customStyle="1" w:styleId="182">
    <w:name w:val="尾注文本 字符"/>
    <w:link w:val="23"/>
    <w:semiHidden/>
    <w:qFormat/>
    <w:uiPriority w:val="0"/>
    <w:rPr>
      <w:rFonts w:ascii="Times New Roman"/>
      <w:sz w:val="21"/>
    </w:rPr>
  </w:style>
  <w:style w:type="character" w:customStyle="1" w:styleId="183">
    <w:name w:val="页眉 字符"/>
    <w:link w:val="26"/>
    <w:qFormat/>
    <w:uiPriority w:val="0"/>
    <w:rPr>
      <w:rFonts w:eastAsia="黑体"/>
      <w:sz w:val="21"/>
    </w:rPr>
  </w:style>
  <w:style w:type="character" w:customStyle="1" w:styleId="184">
    <w:name w:val="标题 7 字符"/>
    <w:link w:val="10"/>
    <w:qFormat/>
    <w:uiPriority w:val="0"/>
    <w:rPr>
      <w:rFonts w:ascii="Times New Roman"/>
      <w:b/>
      <w:kern w:val="2"/>
      <w:sz w:val="21"/>
    </w:rPr>
  </w:style>
  <w:style w:type="character" w:customStyle="1" w:styleId="185">
    <w:name w:val="文档结构图 字符"/>
    <w:link w:val="14"/>
    <w:qFormat/>
    <w:uiPriority w:val="0"/>
    <w:rPr>
      <w:sz w:val="21"/>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797;&#23425;\&#39640;&#24314;&#23616;\&#20025;&#28023;&#32447;&#30417;&#29702;\&#20025;&#28023;\&#20025;&#28023;\&#20025;&#28023;&#39640;&#36895;&#20844;&#36335;-&#30417;&#29702;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丹海高速公路-监理1.dot</Template>
  <Company>chelbi</Company>
  <Pages>171</Pages>
  <Words>92858</Words>
  <Characters>98334</Characters>
  <Lines>812</Lines>
  <Paragraphs>228</Paragraphs>
  <TotalTime>0</TotalTime>
  <ScaleCrop>false</ScaleCrop>
  <LinksUpToDate>false</LinksUpToDate>
  <CharactersWithSpaces>107679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2020-06-01T11:08:00Z</dcterms:created>
  <dc:creator>wutx</dc:creator>
  <cp:lastModifiedBy>Administrator</cp:lastModifiedBy>
  <cp:lastPrinted>2021-03-12T08:49:00Z</cp:lastPrinted>
  <dcterms:modified xsi:type="dcterms:W3CDTF">2021-04-08T03:17:54Z</dcterms:modified>
  <dc:title>中 华 人 民 共 和 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F01F7B70D0EA4F08A34854A0723FC0D9</vt:lpwstr>
  </property>
</Properties>
</file>