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0" w:after="60" w:line="240" w:lineRule="auto"/>
        <w:ind w:left="0" w:firstLine="0" w:firstLineChars="0"/>
        <w:jc w:val="both"/>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附件：投标人资格要求</w:t>
      </w:r>
      <w:r>
        <w:rPr>
          <w:rFonts w:hint="eastAsia" w:ascii="黑体" w:hAnsi="黑体" w:eastAsia="黑体" w:cs="Times New Roman"/>
          <w:color w:val="auto"/>
          <w:sz w:val="32"/>
          <w:szCs w:val="32"/>
          <w:highlight w:val="none"/>
          <w:lang w:eastAsia="zh-CN"/>
        </w:rPr>
        <w:t>和</w:t>
      </w:r>
      <w:r>
        <w:rPr>
          <w:rFonts w:hint="eastAsia" w:ascii="黑体" w:hAnsi="黑体" w:eastAsia="黑体" w:cs="Times New Roman"/>
          <w:color w:val="auto"/>
          <w:sz w:val="32"/>
          <w:szCs w:val="32"/>
          <w:highlight w:val="none"/>
        </w:rPr>
        <w:t>评标办法</w:t>
      </w: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rPr>
      </w:pP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1、投标人资格要求</w:t>
      </w:r>
    </w:p>
    <w:p>
      <w:pPr>
        <w:snapToGrid w:val="0"/>
        <w:spacing w:before="60" w:after="60" w:line="240" w:lineRule="auto"/>
        <w:ind w:left="0" w:firstLine="0" w:firstLineChars="0"/>
        <w:jc w:val="center"/>
        <w:rPr>
          <w:rFonts w:ascii="黑体" w:hAnsi="黑体" w:eastAsia="黑体" w:cs="Times New Roman"/>
          <w:color w:val="auto"/>
          <w:sz w:val="28"/>
          <w:szCs w:val="28"/>
          <w:highlight w:val="none"/>
        </w:rPr>
      </w:pPr>
    </w:p>
    <w:p>
      <w:pPr>
        <w:snapToGrid w:val="0"/>
        <w:spacing w:before="60" w:after="60"/>
        <w:jc w:val="center"/>
        <w:rPr>
          <w:rFonts w:ascii="黑体" w:hAnsi="黑体" w:eastAsia="黑体"/>
          <w:color w:val="000000"/>
          <w:sz w:val="28"/>
          <w:szCs w:val="28"/>
          <w:highlight w:val="none"/>
        </w:rPr>
      </w:pPr>
      <w:r>
        <w:rPr>
          <w:rFonts w:ascii="黑体" w:hAnsi="黑体" w:eastAsia="黑体"/>
          <w:color w:val="000000"/>
          <w:sz w:val="28"/>
          <w:szCs w:val="28"/>
          <w:highlight w:val="none"/>
        </w:rPr>
        <w:t>附录1 资格审查条件（资质最低条件）</w:t>
      </w:r>
    </w:p>
    <w:p>
      <w:pPr>
        <w:snapToGrid w:val="0"/>
        <w:spacing w:line="400" w:lineRule="exact"/>
        <w:rPr>
          <w:rFonts w:ascii="宋体" w:hAnsi="宋体" w:eastAsia="宋体"/>
          <w:color w:val="000000"/>
          <w:szCs w:val="21"/>
          <w:highlight w:val="none"/>
        </w:rPr>
      </w:pPr>
      <w:r>
        <w:rPr>
          <w:rFonts w:hint="eastAsia" w:ascii="宋体" w:hAnsi="宋体" w:eastAsia="宋体"/>
          <w:color w:val="000000"/>
          <w:szCs w:val="21"/>
          <w:highlight w:val="none"/>
        </w:rPr>
        <w:t>适用所有标段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0" w:hRule="atLeast"/>
        </w:trPr>
        <w:tc>
          <w:tcPr>
            <w:tcW w:w="838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ascii="宋体" w:hAnsi="宋体" w:eastAsia="宋体"/>
                <w:b/>
                <w:bCs/>
                <w:color w:val="000000"/>
                <w:szCs w:val="21"/>
                <w:highlight w:val="none"/>
              </w:rPr>
            </w:pPr>
            <w:r>
              <w:rPr>
                <w:rFonts w:ascii="宋体" w:hAnsi="宋体" w:eastAsia="宋体"/>
                <w:b/>
                <w:bCs/>
                <w:color w:val="000000"/>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65" w:hRule="atLeast"/>
        </w:trPr>
        <w:tc>
          <w:tcPr>
            <w:tcW w:w="8385"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rPr>
                <w:rFonts w:ascii="宋体" w:hAnsi="宋体" w:eastAsia="宋体"/>
                <w:szCs w:val="21"/>
                <w:highlight w:val="none"/>
              </w:rPr>
            </w:pPr>
            <w:r>
              <w:rPr>
                <w:rFonts w:ascii="宋体" w:hAnsi="宋体" w:eastAsia="宋体"/>
                <w:color w:val="000000"/>
                <w:szCs w:val="21"/>
                <w:highlight w:val="none"/>
              </w:rPr>
              <w:t>1、具有工商行政管理部门核发的有效</w:t>
            </w:r>
            <w:r>
              <w:rPr>
                <w:rFonts w:hint="eastAsia" w:ascii="宋体" w:hAnsi="宋体" w:eastAsia="宋体"/>
                <w:color w:val="000000"/>
                <w:szCs w:val="21"/>
                <w:highlight w:val="none"/>
              </w:rPr>
              <w:t>的</w:t>
            </w:r>
            <w:r>
              <w:rPr>
                <w:rFonts w:ascii="宋体" w:hAnsi="宋体" w:eastAsia="宋体"/>
                <w:color w:val="000000"/>
                <w:szCs w:val="21"/>
                <w:highlight w:val="none"/>
              </w:rPr>
              <w:t>企业法人营业执照或事业单位法人资格证书；</w:t>
            </w:r>
          </w:p>
          <w:p>
            <w:pPr>
              <w:snapToGrid w:val="0"/>
              <w:spacing w:line="400" w:lineRule="exact"/>
              <w:rPr>
                <w:rFonts w:ascii="宋体" w:hAnsi="宋体" w:eastAsia="宋体"/>
                <w:color w:val="000000"/>
                <w:szCs w:val="21"/>
                <w:highlight w:val="none"/>
              </w:rPr>
            </w:pPr>
            <w:r>
              <w:rPr>
                <w:rFonts w:ascii="宋体" w:hAnsi="宋体" w:eastAsia="宋体"/>
                <w:color w:val="000000"/>
                <w:szCs w:val="21"/>
                <w:highlight w:val="none"/>
              </w:rPr>
              <w:t>2、</w:t>
            </w:r>
            <w:r>
              <w:rPr>
                <w:rFonts w:hint="eastAsia" w:ascii="宋体" w:hAnsi="宋体" w:eastAsia="宋体"/>
                <w:color w:val="000000"/>
                <w:szCs w:val="21"/>
                <w:highlight w:val="none"/>
              </w:rPr>
              <w:t>具备交通运输部核发的公路水运工程试验检测机构综合甲级资质或同时具备交通运输部核发的公路工程试验检测机构综合乙级资质和桥梁隧道工程专项资质</w:t>
            </w:r>
            <w:r>
              <w:rPr>
                <w:rFonts w:ascii="宋体" w:hAnsi="宋体" w:eastAsia="宋体"/>
                <w:color w:val="000000"/>
                <w:szCs w:val="21"/>
                <w:highlight w:val="none"/>
              </w:rPr>
              <w:t>。</w:t>
            </w:r>
          </w:p>
          <w:p>
            <w:pPr>
              <w:snapToGrid w:val="0"/>
              <w:spacing w:line="400" w:lineRule="exact"/>
              <w:rPr>
                <w:rFonts w:ascii="宋体" w:hAnsi="宋体" w:eastAsia="宋体"/>
                <w:color w:val="000000"/>
                <w:szCs w:val="21"/>
                <w:highlight w:val="none"/>
              </w:rPr>
            </w:pPr>
            <w:r>
              <w:rPr>
                <w:rFonts w:hint="eastAsia" w:ascii="宋体" w:hAnsi="宋体" w:eastAsia="宋体"/>
                <w:color w:val="000000"/>
                <w:szCs w:val="21"/>
                <w:highlight w:val="none"/>
              </w:rPr>
              <w:t>3、具有质量技术监督部门颁发的有效计量认证证书（CMA），且计量认证证书附表覆盖本项目检测工作内容。</w:t>
            </w:r>
          </w:p>
        </w:tc>
      </w:tr>
    </w:tbl>
    <w:p>
      <w:pPr>
        <w:rPr>
          <w:rFonts w:ascii="宋体" w:hAnsi="宋体" w:eastAsia="宋体"/>
          <w:color w:val="000000"/>
          <w:sz w:val="28"/>
          <w:szCs w:val="28"/>
          <w:highlight w:val="none"/>
        </w:rPr>
      </w:pPr>
      <w:r>
        <w:rPr>
          <w:rFonts w:ascii="宋体" w:hAnsi="宋体" w:eastAsia="宋体"/>
          <w:color w:val="000000"/>
          <w:sz w:val="28"/>
          <w:szCs w:val="28"/>
          <w:highlight w:val="none"/>
        </w:rPr>
        <w:br w:type="page"/>
      </w:r>
    </w:p>
    <w:p>
      <w:pPr>
        <w:snapToGrid w:val="0"/>
        <w:spacing w:line="400" w:lineRule="exact"/>
        <w:rPr>
          <w:rFonts w:ascii="宋体" w:hAnsi="宋体" w:eastAsia="宋体"/>
          <w:color w:val="000000"/>
          <w:sz w:val="24"/>
          <w:szCs w:val="24"/>
          <w:highlight w:val="none"/>
        </w:rPr>
      </w:pPr>
    </w:p>
    <w:p>
      <w:pPr>
        <w:snapToGrid w:val="0"/>
        <w:spacing w:before="60" w:after="60"/>
        <w:jc w:val="center"/>
        <w:rPr>
          <w:rFonts w:ascii="黑体" w:hAnsi="黑体" w:eastAsia="黑体"/>
          <w:color w:val="000000"/>
          <w:sz w:val="28"/>
          <w:szCs w:val="28"/>
          <w:highlight w:val="none"/>
        </w:rPr>
      </w:pPr>
      <w:r>
        <w:rPr>
          <w:rFonts w:ascii="黑体" w:hAnsi="黑体" w:eastAsia="黑体"/>
          <w:color w:val="000000"/>
          <w:sz w:val="28"/>
          <w:szCs w:val="28"/>
          <w:highlight w:val="none"/>
        </w:rPr>
        <w:t>附录2  资格审查条件（项目负责人</w:t>
      </w:r>
      <w:r>
        <w:rPr>
          <w:rFonts w:hint="eastAsia" w:ascii="黑体" w:hAnsi="黑体" w:eastAsia="黑体"/>
          <w:color w:val="000000"/>
          <w:sz w:val="28"/>
          <w:szCs w:val="28"/>
          <w:highlight w:val="none"/>
        </w:rPr>
        <w:t>、技术负责人</w:t>
      </w:r>
      <w:r>
        <w:rPr>
          <w:rFonts w:ascii="黑体" w:hAnsi="黑体" w:eastAsia="黑体"/>
          <w:color w:val="000000"/>
          <w:sz w:val="28"/>
          <w:szCs w:val="28"/>
          <w:highlight w:val="none"/>
        </w:rPr>
        <w:t>最低要求）</w:t>
      </w:r>
    </w:p>
    <w:tbl>
      <w:tblPr>
        <w:tblStyle w:val="10"/>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119" w:type="dxa"/>
          <w:bottom w:w="119" w:type="dxa"/>
          <w:right w:w="119" w:type="dxa"/>
        </w:tblCellMar>
      </w:tblPr>
      <w:tblGrid>
        <w:gridCol w:w="1124"/>
        <w:gridCol w:w="6"/>
        <w:gridCol w:w="789"/>
        <w:gridCol w:w="1222"/>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531" w:hRule="atLeast"/>
        </w:trPr>
        <w:tc>
          <w:tcPr>
            <w:tcW w:w="113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ind w:left="0" w:leftChars="0" w:firstLine="0" w:firstLineChars="0"/>
              <w:jc w:val="both"/>
              <w:rPr>
                <w:rFonts w:ascii="宋体" w:hAnsi="宋体" w:eastAsia="宋体"/>
                <w:b/>
                <w:bCs/>
                <w:color w:val="000000"/>
                <w:szCs w:val="21"/>
                <w:highlight w:val="none"/>
              </w:rPr>
            </w:pPr>
            <w:r>
              <w:rPr>
                <w:rFonts w:ascii="宋体" w:hAnsi="宋体" w:eastAsia="宋体"/>
                <w:b/>
                <w:bCs/>
                <w:color w:val="000000"/>
                <w:szCs w:val="21"/>
                <w:highlight w:val="none"/>
              </w:rPr>
              <w:t>人员</w:t>
            </w:r>
          </w:p>
        </w:tc>
        <w:tc>
          <w:tcPr>
            <w:tcW w:w="78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ind w:left="0" w:leftChars="0" w:firstLine="0" w:firstLineChars="0"/>
              <w:jc w:val="both"/>
              <w:rPr>
                <w:rFonts w:ascii="宋体" w:hAnsi="宋体" w:eastAsia="宋体"/>
                <w:b/>
                <w:bCs/>
                <w:color w:val="000000"/>
                <w:szCs w:val="21"/>
                <w:highlight w:val="none"/>
              </w:rPr>
            </w:pPr>
            <w:r>
              <w:rPr>
                <w:rFonts w:ascii="宋体" w:hAnsi="宋体" w:eastAsia="宋体"/>
                <w:b/>
                <w:bCs/>
                <w:color w:val="000000"/>
                <w:szCs w:val="21"/>
                <w:highlight w:val="none"/>
              </w:rPr>
              <w:t>数量</w:t>
            </w:r>
          </w:p>
        </w:tc>
        <w:tc>
          <w:tcPr>
            <w:tcW w:w="1222"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ind w:left="0" w:leftChars="0" w:firstLine="0" w:firstLineChars="0"/>
              <w:jc w:val="both"/>
              <w:rPr>
                <w:rFonts w:ascii="宋体" w:hAnsi="宋体" w:eastAsia="宋体"/>
                <w:b/>
                <w:bCs/>
                <w:color w:val="000000"/>
                <w:szCs w:val="21"/>
                <w:highlight w:val="none"/>
              </w:rPr>
            </w:pPr>
            <w:r>
              <w:rPr>
                <w:rFonts w:hint="eastAsia" w:ascii="宋体" w:hAnsi="宋体" w:eastAsia="宋体"/>
                <w:b/>
                <w:bCs/>
                <w:color w:val="000000"/>
                <w:szCs w:val="21"/>
                <w:highlight w:val="none"/>
              </w:rPr>
              <w:t>标段名称</w:t>
            </w:r>
          </w:p>
        </w:tc>
        <w:tc>
          <w:tcPr>
            <w:tcW w:w="530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ascii="宋体" w:hAnsi="宋体" w:eastAsia="宋体"/>
                <w:b/>
                <w:bCs/>
                <w:color w:val="000000"/>
                <w:szCs w:val="21"/>
                <w:highlight w:val="none"/>
              </w:rPr>
            </w:pPr>
            <w:r>
              <w:rPr>
                <w:rFonts w:ascii="宋体" w:hAnsi="宋体" w:eastAsia="宋体"/>
                <w:b/>
                <w:bCs/>
                <w:color w:val="000000"/>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599" w:hRule="atLeast"/>
        </w:trPr>
        <w:tc>
          <w:tcPr>
            <w:tcW w:w="1124" w:type="dxa"/>
            <w:tcBorders>
              <w:left w:val="single" w:color="000000" w:sz="8" w:space="0"/>
              <w:right w:val="single" w:color="000000" w:sz="8" w:space="0"/>
            </w:tcBorders>
            <w:vAlign w:val="center"/>
          </w:tcPr>
          <w:p>
            <w:pPr>
              <w:snapToGrid w:val="0"/>
              <w:spacing w:line="360" w:lineRule="exact"/>
              <w:ind w:left="0" w:leftChars="0" w:firstLine="0" w:firstLineChars="0"/>
              <w:rPr>
                <w:rFonts w:ascii="宋体" w:hAnsi="宋体" w:eastAsia="宋体"/>
                <w:b/>
                <w:bCs/>
                <w:color w:val="000000"/>
                <w:szCs w:val="21"/>
                <w:highlight w:val="none"/>
              </w:rPr>
            </w:pPr>
            <w:r>
              <w:rPr>
                <w:rFonts w:ascii="宋体" w:hAnsi="宋体" w:eastAsia="宋体"/>
                <w:b/>
                <w:bCs/>
                <w:color w:val="000000"/>
                <w:szCs w:val="21"/>
                <w:highlight w:val="none"/>
              </w:rPr>
              <w:t>项目负责人</w:t>
            </w:r>
            <w:r>
              <w:rPr>
                <w:rFonts w:hint="eastAsia" w:ascii="宋体" w:hAnsi="宋体" w:eastAsia="宋体"/>
                <w:b/>
                <w:bCs/>
                <w:color w:val="000000"/>
                <w:szCs w:val="21"/>
                <w:highlight w:val="none"/>
              </w:rPr>
              <w:t>、技术负责人</w:t>
            </w:r>
          </w:p>
        </w:tc>
        <w:tc>
          <w:tcPr>
            <w:tcW w:w="795" w:type="dxa"/>
            <w:gridSpan w:val="2"/>
            <w:tcBorders>
              <w:left w:val="single" w:color="000000" w:sz="8" w:space="0"/>
              <w:right w:val="single" w:color="000000" w:sz="8" w:space="0"/>
            </w:tcBorders>
            <w:vAlign w:val="center"/>
          </w:tcPr>
          <w:p>
            <w:pPr>
              <w:snapToGrid w:val="0"/>
              <w:spacing w:line="360" w:lineRule="exact"/>
              <w:rPr>
                <w:rFonts w:ascii="宋体" w:hAnsi="宋体" w:eastAsia="宋体"/>
                <w:b/>
                <w:bCs/>
                <w:color w:val="000000"/>
                <w:szCs w:val="21"/>
                <w:highlight w:val="none"/>
              </w:rPr>
            </w:pPr>
            <w:r>
              <w:rPr>
                <w:rFonts w:ascii="宋体" w:hAnsi="宋体" w:eastAsia="宋体"/>
                <w:b/>
                <w:bCs/>
                <w:color w:val="000000"/>
                <w:szCs w:val="21"/>
                <w:highlight w:val="none"/>
              </w:rPr>
              <w:t>1</w:t>
            </w:r>
          </w:p>
        </w:tc>
        <w:tc>
          <w:tcPr>
            <w:tcW w:w="1222"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ind w:left="0" w:leftChars="0" w:firstLine="0" w:firstLineChars="0"/>
              <w:rPr>
                <w:rFonts w:ascii="宋体" w:hAnsi="宋体" w:eastAsia="宋体"/>
                <w:b/>
                <w:bCs/>
                <w:color w:val="000000"/>
                <w:szCs w:val="21"/>
                <w:highlight w:val="none"/>
              </w:rPr>
            </w:pPr>
            <w:r>
              <w:rPr>
                <w:rFonts w:hint="eastAsia" w:ascii="宋体" w:hAnsi="宋体" w:eastAsia="宋体"/>
                <w:b/>
                <w:bCs/>
                <w:color w:val="000000"/>
                <w:szCs w:val="21"/>
                <w:highlight w:val="none"/>
              </w:rPr>
              <w:t>GJGS-QLJK-</w:t>
            </w:r>
            <w:r>
              <w:rPr>
                <w:rFonts w:hint="eastAsia" w:ascii="宋体" w:hAnsi="宋体" w:eastAsia="宋体"/>
                <w:b/>
                <w:bCs/>
                <w:color w:val="000000"/>
                <w:szCs w:val="21"/>
                <w:highlight w:val="none"/>
                <w:lang w:val="en-US" w:eastAsia="zh-CN"/>
              </w:rPr>
              <w:t>04</w:t>
            </w:r>
          </w:p>
        </w:tc>
        <w:tc>
          <w:tcPr>
            <w:tcW w:w="530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宋体" w:hAnsi="宋体" w:eastAsia="宋体"/>
                <w:color w:val="000000"/>
                <w:szCs w:val="21"/>
                <w:highlight w:val="none"/>
              </w:rPr>
            </w:pPr>
            <w:r>
              <w:rPr>
                <w:rFonts w:hint="eastAsia" w:ascii="宋体" w:hAnsi="宋体" w:eastAsia="宋体"/>
                <w:color w:val="000000"/>
                <w:szCs w:val="21"/>
                <w:highlight w:val="none"/>
              </w:rPr>
              <w:t>具有公路工程相关专业高级工程师及以上职称，持有交通部颁发的试验检测工程师（桥梁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599" w:hRule="atLeast"/>
        </w:trPr>
        <w:tc>
          <w:tcPr>
            <w:tcW w:w="1124" w:type="dxa"/>
            <w:vMerge w:val="restart"/>
            <w:tcBorders>
              <w:left w:val="single" w:color="000000" w:sz="8" w:space="0"/>
              <w:right w:val="single" w:color="000000" w:sz="8" w:space="0"/>
            </w:tcBorders>
            <w:vAlign w:val="center"/>
          </w:tcPr>
          <w:p>
            <w:pPr>
              <w:snapToGrid w:val="0"/>
              <w:spacing w:line="360" w:lineRule="exact"/>
              <w:ind w:left="0" w:leftChars="0" w:firstLine="0" w:firstLineChars="0"/>
              <w:rPr>
                <w:rFonts w:ascii="宋体" w:hAnsi="宋体" w:eastAsia="宋体"/>
                <w:b/>
                <w:bCs/>
                <w:color w:val="000000"/>
                <w:szCs w:val="21"/>
                <w:highlight w:val="none"/>
              </w:rPr>
            </w:pPr>
            <w:r>
              <w:rPr>
                <w:rFonts w:ascii="宋体" w:hAnsi="宋体" w:eastAsia="宋体"/>
                <w:b/>
                <w:bCs/>
                <w:color w:val="000000"/>
                <w:szCs w:val="21"/>
                <w:highlight w:val="none"/>
              </w:rPr>
              <w:t>项目负责人</w:t>
            </w:r>
            <w:r>
              <w:rPr>
                <w:rFonts w:hint="eastAsia" w:ascii="宋体" w:hAnsi="宋体" w:eastAsia="宋体"/>
                <w:b/>
                <w:bCs/>
                <w:color w:val="000000"/>
                <w:szCs w:val="21"/>
                <w:highlight w:val="none"/>
              </w:rPr>
              <w:t>、技术负责人</w:t>
            </w:r>
          </w:p>
        </w:tc>
        <w:tc>
          <w:tcPr>
            <w:tcW w:w="795" w:type="dxa"/>
            <w:gridSpan w:val="2"/>
            <w:vMerge w:val="restart"/>
            <w:tcBorders>
              <w:left w:val="single" w:color="000000" w:sz="8" w:space="0"/>
              <w:right w:val="single" w:color="000000" w:sz="8" w:space="0"/>
            </w:tcBorders>
            <w:vAlign w:val="center"/>
          </w:tcPr>
          <w:p>
            <w:pPr>
              <w:snapToGrid w:val="0"/>
              <w:spacing w:line="360" w:lineRule="exact"/>
              <w:rPr>
                <w:rFonts w:hint="eastAsia" w:ascii="宋体" w:hAnsi="宋体" w:eastAsia="宋体"/>
                <w:b/>
                <w:bCs/>
                <w:color w:val="000000"/>
                <w:szCs w:val="21"/>
                <w:highlight w:val="none"/>
                <w:lang w:val="en-US" w:eastAsia="zh-CN"/>
              </w:rPr>
            </w:pPr>
            <w:r>
              <w:rPr>
                <w:rFonts w:hint="eastAsia" w:ascii="宋体" w:hAnsi="宋体" w:eastAsia="宋体"/>
                <w:b/>
                <w:bCs/>
                <w:color w:val="000000"/>
                <w:szCs w:val="21"/>
                <w:highlight w:val="none"/>
                <w:lang w:val="en-US" w:eastAsia="zh-CN"/>
              </w:rPr>
              <w:t>1</w:t>
            </w:r>
          </w:p>
        </w:tc>
        <w:tc>
          <w:tcPr>
            <w:tcW w:w="1222" w:type="dxa"/>
            <w:vMerge w:val="restart"/>
            <w:tcBorders>
              <w:top w:val="single" w:color="000000" w:sz="8" w:space="0"/>
              <w:left w:val="single" w:color="000000" w:sz="8" w:space="0"/>
              <w:right w:val="single" w:color="000000" w:sz="8" w:space="0"/>
            </w:tcBorders>
            <w:vAlign w:val="center"/>
          </w:tcPr>
          <w:p>
            <w:pPr>
              <w:snapToGrid w:val="0"/>
              <w:spacing w:line="360" w:lineRule="exact"/>
              <w:ind w:left="0" w:leftChars="0" w:firstLine="0" w:firstLineChars="0"/>
              <w:rPr>
                <w:rFonts w:hint="eastAsia" w:ascii="宋体" w:hAnsi="宋体" w:eastAsia="宋体"/>
                <w:b/>
                <w:bCs/>
                <w:color w:val="000000"/>
                <w:szCs w:val="21"/>
                <w:highlight w:val="none"/>
              </w:rPr>
            </w:pPr>
            <w:r>
              <w:rPr>
                <w:rFonts w:hint="eastAsia" w:ascii="宋体" w:hAnsi="宋体" w:eastAsia="宋体"/>
                <w:b/>
                <w:bCs/>
                <w:color w:val="000000"/>
                <w:szCs w:val="21"/>
                <w:highlight w:val="none"/>
              </w:rPr>
              <w:t>GJGS-SDJC-02</w:t>
            </w:r>
            <w:r>
              <w:rPr>
                <w:rFonts w:hint="eastAsia" w:ascii="宋体" w:hAnsi="宋体" w:eastAsia="宋体"/>
                <w:b/>
                <w:bCs/>
                <w:color w:val="000000"/>
                <w:szCs w:val="21"/>
                <w:highlight w:val="none"/>
                <w:lang w:eastAsia="zh-CN"/>
              </w:rPr>
              <w:t>（</w:t>
            </w:r>
            <w:r>
              <w:rPr>
                <w:rFonts w:hint="eastAsia" w:ascii="宋体" w:hAnsi="宋体" w:eastAsia="宋体"/>
                <w:b/>
                <w:bCs/>
                <w:color w:val="000000"/>
                <w:szCs w:val="21"/>
                <w:highlight w:val="none"/>
                <w:lang w:val="en-US" w:eastAsia="zh-CN"/>
              </w:rPr>
              <w:t>第二次</w:t>
            </w:r>
            <w:r>
              <w:rPr>
                <w:rFonts w:hint="eastAsia" w:ascii="宋体" w:hAnsi="宋体" w:eastAsia="宋体"/>
                <w:b/>
                <w:bCs/>
                <w:color w:val="000000"/>
                <w:szCs w:val="21"/>
                <w:highlight w:val="none"/>
                <w:lang w:eastAsia="zh-CN"/>
              </w:rPr>
              <w:t>）</w:t>
            </w:r>
          </w:p>
        </w:tc>
        <w:tc>
          <w:tcPr>
            <w:tcW w:w="530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宋体" w:hAnsi="宋体" w:eastAsia="宋体"/>
                <w:color w:val="000000"/>
                <w:szCs w:val="21"/>
                <w:highlight w:val="none"/>
              </w:rPr>
            </w:pPr>
            <w:r>
              <w:rPr>
                <w:rFonts w:hint="eastAsia" w:ascii="宋体" w:hAnsi="宋体" w:eastAsia="宋体"/>
                <w:b/>
                <w:bCs/>
                <w:color w:val="000000"/>
                <w:szCs w:val="21"/>
                <w:highlight w:val="none"/>
                <w:lang w:val="en-US" w:eastAsia="zh-CN"/>
              </w:rPr>
              <w:t>项目负责人：</w:t>
            </w:r>
            <w:r>
              <w:rPr>
                <w:rFonts w:hint="eastAsia" w:ascii="宋体" w:hAnsi="宋体" w:eastAsia="宋体"/>
                <w:color w:val="000000"/>
                <w:szCs w:val="21"/>
                <w:highlight w:val="none"/>
              </w:rPr>
              <w:t>具有公路工程相关专业工程师及以上职称，持有交通部颁发的试验检测工程师（隧道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599" w:hRule="atLeast"/>
        </w:trPr>
        <w:tc>
          <w:tcPr>
            <w:tcW w:w="1124" w:type="dxa"/>
            <w:vMerge w:val="continue"/>
            <w:tcBorders>
              <w:left w:val="single" w:color="000000" w:sz="8" w:space="0"/>
              <w:bottom w:val="single" w:color="000000" w:sz="8" w:space="0"/>
              <w:right w:val="single" w:color="000000" w:sz="8" w:space="0"/>
            </w:tcBorders>
            <w:vAlign w:val="center"/>
          </w:tcPr>
          <w:p>
            <w:pPr>
              <w:snapToGrid w:val="0"/>
              <w:spacing w:line="360" w:lineRule="exact"/>
              <w:rPr>
                <w:rFonts w:ascii="宋体" w:hAnsi="宋体" w:eastAsia="宋体"/>
                <w:b/>
                <w:bCs/>
                <w:color w:val="000000"/>
                <w:szCs w:val="21"/>
                <w:highlight w:val="none"/>
              </w:rPr>
            </w:pPr>
          </w:p>
        </w:tc>
        <w:tc>
          <w:tcPr>
            <w:tcW w:w="795" w:type="dxa"/>
            <w:gridSpan w:val="2"/>
            <w:vMerge w:val="continue"/>
            <w:tcBorders>
              <w:left w:val="single" w:color="000000" w:sz="8" w:space="0"/>
              <w:bottom w:val="single" w:color="000000" w:sz="8" w:space="0"/>
              <w:right w:val="single" w:color="000000" w:sz="8" w:space="0"/>
            </w:tcBorders>
            <w:vAlign w:val="center"/>
          </w:tcPr>
          <w:p>
            <w:pPr>
              <w:snapToGrid w:val="0"/>
              <w:spacing w:line="360" w:lineRule="exact"/>
              <w:rPr>
                <w:rFonts w:hint="eastAsia" w:ascii="宋体" w:hAnsi="宋体" w:eastAsia="宋体"/>
                <w:b/>
                <w:bCs/>
                <w:color w:val="000000"/>
                <w:szCs w:val="21"/>
                <w:highlight w:val="none"/>
                <w:lang w:val="en-US" w:eastAsia="zh-CN"/>
              </w:rPr>
            </w:pPr>
          </w:p>
        </w:tc>
        <w:tc>
          <w:tcPr>
            <w:tcW w:w="1222" w:type="dxa"/>
            <w:vMerge w:val="continue"/>
            <w:tcBorders>
              <w:left w:val="single" w:color="000000" w:sz="8" w:space="0"/>
              <w:bottom w:val="single" w:color="000000" w:sz="8" w:space="0"/>
              <w:right w:val="single" w:color="000000" w:sz="8" w:space="0"/>
            </w:tcBorders>
            <w:vAlign w:val="center"/>
          </w:tcPr>
          <w:p>
            <w:pPr>
              <w:snapToGrid w:val="0"/>
              <w:spacing w:line="360" w:lineRule="exact"/>
              <w:rPr>
                <w:rFonts w:hint="eastAsia" w:ascii="宋体" w:hAnsi="宋体" w:eastAsia="宋体"/>
                <w:b/>
                <w:bCs/>
                <w:color w:val="000000"/>
                <w:szCs w:val="21"/>
                <w:highlight w:val="none"/>
              </w:rPr>
            </w:pPr>
          </w:p>
        </w:tc>
        <w:tc>
          <w:tcPr>
            <w:tcW w:w="530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default" w:ascii="宋体" w:hAnsi="宋体" w:eastAsia="宋体"/>
                <w:b/>
                <w:bCs/>
                <w:color w:val="000000"/>
                <w:szCs w:val="21"/>
                <w:highlight w:val="none"/>
                <w:lang w:val="en-US" w:eastAsia="zh-CN"/>
              </w:rPr>
            </w:pPr>
            <w:r>
              <w:rPr>
                <w:rFonts w:hint="eastAsia" w:ascii="宋体" w:hAnsi="宋体" w:eastAsia="宋体"/>
                <w:b/>
                <w:bCs/>
                <w:color w:val="000000"/>
                <w:szCs w:val="21"/>
                <w:highlight w:val="none"/>
                <w:lang w:val="en-US" w:eastAsia="zh-CN"/>
              </w:rPr>
              <w:t>技术负责人：</w:t>
            </w:r>
            <w:r>
              <w:rPr>
                <w:rFonts w:hint="eastAsia" w:ascii="宋体" w:hAnsi="宋体" w:eastAsia="宋体"/>
                <w:color w:val="auto"/>
                <w:sz w:val="21"/>
                <w:szCs w:val="21"/>
                <w:highlight w:val="none"/>
              </w:rPr>
              <w:t>具有公路工程相关专业高级工程师及以上职称，持有交通部颁发的试验检测工程师（隧道专业）或公路水运工程试验检测师资格证书（桥梁隧道工程专业），至少8年公路工程试验检测经验（投标人须同时提供项目负责人的毕业证书和投标人出具的工作经验证明以证明其相关工作经验）。</w:t>
            </w:r>
          </w:p>
        </w:tc>
      </w:tr>
    </w:tbl>
    <w:p>
      <w:pPr>
        <w:snapToGrid w:val="0"/>
        <w:spacing w:line="360" w:lineRule="exact"/>
        <w:ind w:firstLine="420"/>
        <w:rPr>
          <w:rFonts w:ascii="微软雅黑" w:hAnsi="微软雅黑" w:eastAsia="微软雅黑"/>
          <w:color w:val="000000"/>
          <w:szCs w:val="21"/>
          <w:highlight w:val="none"/>
        </w:rPr>
      </w:pPr>
      <w:r>
        <w:rPr>
          <w:rFonts w:ascii="宋体" w:hAnsi="宋体" w:eastAsia="宋体"/>
          <w:color w:val="000000"/>
          <w:szCs w:val="21"/>
          <w:highlight w:val="none"/>
        </w:rPr>
        <w:t>注：</w:t>
      </w:r>
    </w:p>
    <w:p>
      <w:pPr>
        <w:snapToGrid w:val="0"/>
        <w:spacing w:line="360" w:lineRule="exact"/>
        <w:ind w:firstLine="420"/>
        <w:rPr>
          <w:rFonts w:ascii="宋体" w:hAnsi="宋体" w:eastAsia="宋体"/>
          <w:color w:val="000000"/>
          <w:szCs w:val="21"/>
          <w:highlight w:val="none"/>
        </w:rPr>
      </w:pPr>
      <w:r>
        <w:rPr>
          <w:rFonts w:ascii="Times New Roman" w:hAnsi="Times New Roman" w:eastAsia="Times New Roman"/>
          <w:color w:val="000000"/>
          <w:szCs w:val="21"/>
          <w:highlight w:val="none"/>
        </w:rPr>
        <w:t>1.</w:t>
      </w:r>
      <w:r>
        <w:rPr>
          <w:rFonts w:ascii="宋体" w:hAnsi="宋体" w:eastAsia="宋体"/>
          <w:color w:val="000000"/>
          <w:szCs w:val="21"/>
          <w:highlight w:val="none"/>
        </w:rPr>
        <w:t>投标人应按本表要求的项目负责人</w:t>
      </w:r>
      <w:r>
        <w:rPr>
          <w:rFonts w:hint="eastAsia" w:ascii="宋体" w:hAnsi="宋体" w:eastAsia="宋体"/>
          <w:color w:val="000000"/>
          <w:szCs w:val="21"/>
          <w:highlight w:val="none"/>
        </w:rPr>
        <w:t>/技术负责人</w:t>
      </w:r>
      <w:r>
        <w:rPr>
          <w:rFonts w:ascii="宋体" w:hAnsi="宋体" w:eastAsia="宋体"/>
          <w:color w:val="000000"/>
          <w:szCs w:val="21"/>
          <w:highlight w:val="none"/>
        </w:rPr>
        <w:t>在投标文件格式（三）项目负责人</w:t>
      </w:r>
      <w:r>
        <w:rPr>
          <w:rFonts w:hint="eastAsia" w:ascii="宋体" w:hAnsi="宋体" w:eastAsia="宋体"/>
          <w:color w:val="000000"/>
          <w:szCs w:val="21"/>
          <w:highlight w:val="none"/>
        </w:rPr>
        <w:t>/技术负责人</w:t>
      </w:r>
      <w:r>
        <w:rPr>
          <w:rFonts w:ascii="宋体" w:hAnsi="宋体" w:eastAsia="宋体"/>
          <w:color w:val="000000"/>
          <w:szCs w:val="21"/>
          <w:highlight w:val="none"/>
        </w:rPr>
        <w:t>资历表中填报，否则不予认定；</w:t>
      </w:r>
    </w:p>
    <w:p>
      <w:pPr>
        <w:snapToGrid w:val="0"/>
        <w:spacing w:line="360" w:lineRule="exact"/>
        <w:ind w:firstLine="420"/>
        <w:rPr>
          <w:rFonts w:ascii="宋体" w:hAnsi="宋体" w:eastAsia="宋体"/>
          <w:color w:val="000000"/>
          <w:szCs w:val="21"/>
          <w:highlight w:val="none"/>
        </w:rPr>
      </w:pPr>
      <w:r>
        <w:rPr>
          <w:rFonts w:ascii="Times New Roman" w:hAnsi="Times New Roman" w:eastAsia="Times New Roman"/>
          <w:color w:val="000000"/>
          <w:szCs w:val="21"/>
          <w:highlight w:val="none"/>
        </w:rPr>
        <w:t xml:space="preserve">2. </w:t>
      </w:r>
      <w:r>
        <w:rPr>
          <w:rFonts w:ascii="宋体" w:hAnsi="宋体" w:eastAsia="宋体"/>
          <w:color w:val="000000"/>
          <w:szCs w:val="21"/>
          <w:highlight w:val="none"/>
        </w:rPr>
        <w:t>投标人拟派驻的项目负责人</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技术</w:t>
      </w:r>
      <w:r>
        <w:rPr>
          <w:rFonts w:hint="eastAsia" w:ascii="宋体" w:hAnsi="宋体" w:eastAsia="宋体"/>
          <w:color w:val="000000"/>
          <w:szCs w:val="21"/>
          <w:highlight w:val="none"/>
        </w:rPr>
        <w:t>负责人</w:t>
      </w:r>
      <w:r>
        <w:rPr>
          <w:rFonts w:ascii="宋体" w:hAnsi="宋体" w:eastAsia="宋体"/>
          <w:color w:val="000000"/>
          <w:szCs w:val="21"/>
          <w:highlight w:val="none"/>
        </w:rPr>
        <w:t>除不可抗力外不允许更换。</w:t>
      </w:r>
    </w:p>
    <w:p>
      <w:pPr>
        <w:snapToGrid w:val="0"/>
        <w:spacing w:line="360" w:lineRule="exact"/>
        <w:ind w:firstLine="420"/>
        <w:rPr>
          <w:rFonts w:hint="eastAsia" w:ascii="宋体" w:hAnsi="宋体" w:eastAsia="宋体"/>
          <w:color w:val="000000"/>
          <w:szCs w:val="21"/>
          <w:highlight w:val="none"/>
        </w:rPr>
      </w:pPr>
      <w:r>
        <w:rPr>
          <w:rFonts w:hint="eastAsia" w:ascii="宋体" w:hAnsi="宋体" w:eastAsia="宋体"/>
          <w:color w:val="000000"/>
          <w:szCs w:val="21"/>
          <w:highlight w:val="none"/>
        </w:rPr>
        <w:t>3.检测机构在同一公路水运工程项目标段中不得同时接受业主、监理、施工等多方的试验检测委托。</w:t>
      </w:r>
    </w:p>
    <w:p>
      <w:pPr>
        <w:rPr>
          <w:rFonts w:ascii="宋体" w:hAnsi="宋体" w:eastAsia="宋体"/>
          <w:color w:val="000000"/>
          <w:szCs w:val="21"/>
          <w:highlight w:val="none"/>
        </w:rPr>
      </w:pPr>
      <w:r>
        <w:rPr>
          <w:rFonts w:ascii="宋体" w:hAnsi="宋体" w:eastAsia="宋体"/>
          <w:color w:val="000000"/>
          <w:szCs w:val="21"/>
          <w:highlight w:val="none"/>
        </w:rPr>
        <w:br w:type="page"/>
      </w:r>
    </w:p>
    <w:p>
      <w:pPr>
        <w:snapToGrid w:val="0"/>
        <w:spacing w:line="360" w:lineRule="exact"/>
        <w:ind w:firstLine="420"/>
        <w:rPr>
          <w:rFonts w:ascii="宋体" w:hAnsi="宋体" w:eastAsia="宋体"/>
          <w:color w:val="000000"/>
          <w:szCs w:val="21"/>
          <w:highlight w:val="none"/>
        </w:rPr>
      </w:pPr>
    </w:p>
    <w:p>
      <w:pPr>
        <w:snapToGrid w:val="0"/>
        <w:spacing w:before="60" w:after="60"/>
        <w:jc w:val="center"/>
        <w:rPr>
          <w:rFonts w:ascii="黑体" w:hAnsi="黑体" w:eastAsia="黑体"/>
          <w:color w:val="000000"/>
          <w:sz w:val="28"/>
          <w:szCs w:val="28"/>
          <w:highlight w:val="none"/>
        </w:rPr>
      </w:pPr>
      <w:r>
        <w:rPr>
          <w:rFonts w:ascii="黑体" w:hAnsi="黑体" w:eastAsia="黑体"/>
          <w:color w:val="000000"/>
          <w:sz w:val="28"/>
          <w:szCs w:val="28"/>
          <w:highlight w:val="none"/>
        </w:rPr>
        <w:t>附录3 资格审查条件（信誉最低要求）</w:t>
      </w:r>
    </w:p>
    <w:p>
      <w:pPr>
        <w:snapToGrid w:val="0"/>
        <w:spacing w:line="400" w:lineRule="exact"/>
        <w:ind w:firstLine="480"/>
        <w:rPr>
          <w:rFonts w:ascii="宋体" w:hAnsi="宋体" w:eastAsia="宋体"/>
          <w:color w:val="000000"/>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119" w:type="dxa"/>
          <w:bottom w:w="119" w:type="dxa"/>
          <w:right w:w="119" w:type="dxa"/>
        </w:tblCellMar>
      </w:tblPr>
      <w:tblGrid>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555" w:hRule="atLeast"/>
        </w:trPr>
        <w:tc>
          <w:tcPr>
            <w:tcW w:w="843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2055" w:hRule="atLeast"/>
        </w:trPr>
        <w:tc>
          <w:tcPr>
            <w:tcW w:w="843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1．没有正受到交通运输、贵州省或四川省交通运输厅取消投标资格的行政处罚，并且目前正处于处罚期内。</w:t>
            </w:r>
          </w:p>
          <w:p>
            <w:pPr>
              <w:snapToGrid w:val="0"/>
              <w:spacing w:line="360" w:lineRule="exact"/>
              <w:rPr>
                <w:rFonts w:ascii="宋体" w:hAnsi="宋体" w:eastAsia="宋体" w:cs="宋体"/>
                <w:color w:val="000000"/>
                <w:szCs w:val="21"/>
                <w:highlight w:val="none"/>
              </w:rPr>
            </w:pPr>
            <w:r>
              <w:rPr>
                <w:rFonts w:hint="eastAsia" w:ascii="宋体" w:hAnsi="宋体" w:eastAsia="宋体" w:cs="宋体"/>
                <w:color w:val="000000"/>
                <w:szCs w:val="21"/>
                <w:highlight w:val="none"/>
              </w:rPr>
              <w:t>2．在“公路水运工程试验检测管理信息系统”中2019年度的信用评价（公路工程专业）等级为C级及以上。</w:t>
            </w:r>
          </w:p>
        </w:tc>
      </w:tr>
    </w:tbl>
    <w:p>
      <w:pPr>
        <w:snapToGrid w:val="0"/>
        <w:spacing w:before="120" w:line="400" w:lineRule="atLeast"/>
        <w:rPr>
          <w:rFonts w:ascii="黑体" w:hAnsi="黑体" w:eastAsia="黑体"/>
          <w:color w:val="000000"/>
          <w:sz w:val="24"/>
          <w:szCs w:val="24"/>
          <w:highlight w:val="none"/>
        </w:rPr>
      </w:pPr>
    </w:p>
    <w:p>
      <w:pPr>
        <w:snapToGrid w:val="0"/>
        <w:spacing w:before="120" w:line="400" w:lineRule="atLeast"/>
        <w:rPr>
          <w:rFonts w:ascii="黑体" w:hAnsi="黑体" w:eastAsia="黑体"/>
          <w:color w:val="000000"/>
          <w:sz w:val="24"/>
          <w:szCs w:val="24"/>
          <w:highlight w:val="none"/>
        </w:rPr>
      </w:pPr>
    </w:p>
    <w:p>
      <w:pPr>
        <w:rPr>
          <w:rFonts w:ascii="黑体" w:hAnsi="黑体" w:eastAsia="黑体"/>
          <w:color w:val="000000"/>
          <w:sz w:val="24"/>
          <w:szCs w:val="24"/>
          <w:highlight w:val="none"/>
        </w:rPr>
      </w:pPr>
      <w:r>
        <w:rPr>
          <w:rFonts w:ascii="黑体" w:hAnsi="黑体" w:eastAsia="黑体"/>
          <w:color w:val="000000"/>
          <w:sz w:val="24"/>
          <w:szCs w:val="24"/>
          <w:highlight w:val="none"/>
        </w:rPr>
        <w:br w:type="page"/>
      </w:r>
    </w:p>
    <w:p>
      <w:pPr>
        <w:snapToGrid w:val="0"/>
        <w:spacing w:before="120" w:line="400" w:lineRule="atLeast"/>
        <w:rPr>
          <w:rFonts w:ascii="黑体" w:hAnsi="黑体" w:eastAsia="黑体"/>
          <w:color w:val="000000"/>
          <w:sz w:val="24"/>
          <w:szCs w:val="24"/>
          <w:highlight w:val="none"/>
        </w:rPr>
      </w:pPr>
    </w:p>
    <w:p>
      <w:pPr>
        <w:autoSpaceDE w:val="0"/>
        <w:autoSpaceDN w:val="0"/>
        <w:adjustRightInd w:val="0"/>
        <w:spacing w:before="60" w:after="60"/>
        <w:jc w:val="center"/>
        <w:textAlignment w:val="baseline"/>
        <w:rPr>
          <w:rFonts w:ascii="Times New Roman" w:hAnsi="Times New Roman" w:eastAsia="黑体" w:cs="Times New Roman"/>
          <w:snapToGrid w:val="0"/>
          <w:sz w:val="28"/>
          <w:szCs w:val="28"/>
          <w:highlight w:val="none"/>
          <w:lang w:val="zh-TW" w:eastAsia="zh-TW"/>
        </w:rPr>
      </w:pPr>
      <w:r>
        <w:rPr>
          <w:rFonts w:ascii="Times New Roman" w:hAnsi="Times New Roman" w:eastAsia="黑体" w:cs="Times New Roman"/>
          <w:snapToGrid w:val="0"/>
          <w:sz w:val="28"/>
          <w:szCs w:val="28"/>
          <w:highlight w:val="none"/>
          <w:lang w:val="zh-TW" w:eastAsia="zh-TW"/>
        </w:rPr>
        <w:t>附录</w:t>
      </w:r>
      <w:r>
        <w:rPr>
          <w:rFonts w:ascii="Times New Roman" w:hAnsi="Times New Roman" w:eastAsia="黑体" w:cs="Times New Roman"/>
          <w:snapToGrid w:val="0"/>
          <w:sz w:val="28"/>
          <w:szCs w:val="28"/>
          <w:highlight w:val="none"/>
          <w:lang w:val="zh-TW"/>
        </w:rPr>
        <w:t>4</w:t>
      </w:r>
      <w:r>
        <w:rPr>
          <w:rFonts w:ascii="Times New Roman" w:hAnsi="Times New Roman" w:eastAsia="黑体" w:cs="Times New Roman"/>
          <w:snapToGrid w:val="0"/>
          <w:sz w:val="28"/>
          <w:szCs w:val="28"/>
          <w:highlight w:val="none"/>
          <w:lang w:val="zh-TW" w:eastAsia="zh-TW"/>
        </w:rPr>
        <w:t xml:space="preserve"> 资格审查条件（</w:t>
      </w:r>
      <w:r>
        <w:rPr>
          <w:rFonts w:ascii="Times New Roman" w:hAnsi="Times New Roman" w:eastAsia="黑体" w:cs="Times New Roman"/>
          <w:snapToGrid w:val="0"/>
          <w:sz w:val="28"/>
          <w:szCs w:val="28"/>
          <w:highlight w:val="none"/>
          <w:lang w:val="zh-TW"/>
        </w:rPr>
        <w:t>设备、仪器最低要求</w:t>
      </w:r>
      <w:r>
        <w:rPr>
          <w:rFonts w:ascii="Times New Roman" w:hAnsi="Times New Roman" w:eastAsia="黑体" w:cs="Times New Roman"/>
          <w:snapToGrid w:val="0"/>
          <w:sz w:val="28"/>
          <w:szCs w:val="28"/>
          <w:highlight w:val="none"/>
          <w:lang w:val="zh-TW" w:eastAsia="zh-TW"/>
        </w:rPr>
        <w:t>）</w:t>
      </w:r>
    </w:p>
    <w:p>
      <w:pPr>
        <w:autoSpaceDE w:val="0"/>
        <w:autoSpaceDN w:val="0"/>
        <w:adjustRightInd w:val="0"/>
        <w:spacing w:line="400" w:lineRule="exact"/>
        <w:ind w:firstLine="480" w:firstLineChars="200"/>
        <w:jc w:val="left"/>
        <w:textAlignment w:val="baseline"/>
        <w:rPr>
          <w:rFonts w:ascii="Times New Roman" w:hAnsi="Times New Roman" w:eastAsia="宋体" w:cs="Times New Roman"/>
          <w:kern w:val="0"/>
          <w:sz w:val="24"/>
          <w:szCs w:val="20"/>
          <w:highlight w:val="none"/>
          <w:lang w:val="zh-TW" w:eastAsia="zh-TW"/>
        </w:rPr>
      </w:pPr>
    </w:p>
    <w:tbl>
      <w:tblPr>
        <w:tblStyle w:val="10"/>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947"/>
        <w:gridCol w:w="1537"/>
        <w:gridCol w:w="1537"/>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Align w:val="center"/>
          </w:tcPr>
          <w:p>
            <w:pPr>
              <w:autoSpaceDE w:val="0"/>
              <w:autoSpaceDN w:val="0"/>
              <w:adjustRightInd w:val="0"/>
              <w:jc w:val="both"/>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标段</w:t>
            </w:r>
          </w:p>
        </w:tc>
        <w:tc>
          <w:tcPr>
            <w:tcW w:w="1947"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仪器、设备名称</w:t>
            </w:r>
          </w:p>
        </w:tc>
        <w:tc>
          <w:tcPr>
            <w:tcW w:w="1537"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单位</w:t>
            </w:r>
          </w:p>
        </w:tc>
        <w:tc>
          <w:tcPr>
            <w:tcW w:w="1537"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最低数量要求</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692" w:type="dxa"/>
            <w:vMerge w:val="restart"/>
            <w:vAlign w:val="center"/>
          </w:tcPr>
          <w:p>
            <w:pPr>
              <w:tabs>
                <w:tab w:val="left" w:pos="384"/>
              </w:tabs>
              <w:autoSpaceDE w:val="0"/>
              <w:autoSpaceDN w:val="0"/>
              <w:adjustRightInd w:val="0"/>
              <w:ind w:left="0" w:leftChars="0" w:firstLine="0" w:firstLineChars="0"/>
              <w:jc w:val="left"/>
              <w:textAlignment w:val="baseline"/>
              <w:outlineLvl w:val="0"/>
              <w:rPr>
                <w:rFonts w:ascii="Times New Roman" w:hAnsi="Times New Roman" w:eastAsia="宋体" w:cs="Times New Roman"/>
                <w:szCs w:val="21"/>
                <w:highlight w:val="none"/>
                <w:u w:color="000000"/>
              </w:rPr>
            </w:pPr>
            <w:r>
              <w:rPr>
                <w:rFonts w:hint="eastAsia" w:ascii="Times New Roman" w:hAnsi="Times New Roman" w:eastAsia="宋体" w:cs="Times New Roman"/>
                <w:szCs w:val="21"/>
                <w:highlight w:val="none"/>
                <w:u w:color="000000"/>
              </w:rPr>
              <w:t>GJGS-QLJK-</w:t>
            </w:r>
            <w:r>
              <w:rPr>
                <w:rFonts w:hint="eastAsia" w:ascii="Times New Roman" w:hAnsi="Times New Roman" w:eastAsia="宋体" w:cs="Times New Roman"/>
                <w:szCs w:val="21"/>
                <w:highlight w:val="none"/>
                <w:u w:color="000000"/>
                <w:lang w:val="en-US" w:eastAsia="zh-CN"/>
              </w:rPr>
              <w:t>04</w:t>
            </w: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智能型全站仪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92" w:type="dxa"/>
            <w:vMerge w:val="continue"/>
            <w:vAlign w:val="center"/>
          </w:tcPr>
          <w:p>
            <w:pPr>
              <w:autoSpaceDE w:val="0"/>
              <w:autoSpaceDN w:val="0"/>
              <w:adjustRightInd w:val="0"/>
              <w:jc w:val="center"/>
              <w:textAlignment w:val="baseline"/>
              <w:outlineLvl w:val="0"/>
              <w:rPr>
                <w:highlight w:val="none"/>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hint="eastAsia" w:ascii="Times New Roman" w:hAnsi="Times New Roman" w:eastAsia="宋体" w:cs="Times New Roman"/>
                <w:szCs w:val="21"/>
                <w:highlight w:val="none"/>
                <w:u w:color="000000"/>
              </w:rPr>
              <w:t>垂准仪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hint="eastAsia" w:ascii="Times New Roman" w:hAnsi="Times New Roman" w:eastAsia="宋体" w:cs="Times New Roman"/>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0000FF"/>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精密水准仪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92" w:type="dxa"/>
            <w:vMerge w:val="continue"/>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索力仪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92" w:type="dxa"/>
            <w:vMerge w:val="continue"/>
            <w:vAlign w:val="center"/>
          </w:tcPr>
          <w:p>
            <w:pPr>
              <w:autoSpaceDE w:val="0"/>
              <w:autoSpaceDN w:val="0"/>
              <w:adjustRightInd w:val="0"/>
              <w:jc w:val="center"/>
              <w:textAlignment w:val="baseline"/>
              <w:outlineLvl w:val="0"/>
              <w:rPr>
                <w:highlight w:val="none"/>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hint="eastAsia" w:ascii="Times New Roman" w:hAnsi="Times New Roman" w:eastAsia="宋体" w:cs="Times New Roman"/>
                <w:szCs w:val="21"/>
                <w:highlight w:val="none"/>
                <w:u w:color="000000"/>
              </w:rPr>
              <w:t>温度传感器</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hint="eastAsia" w:ascii="Times New Roman" w:hAnsi="Times New Roman" w:eastAsia="宋体" w:cs="Times New Roman"/>
                <w:szCs w:val="21"/>
                <w:highlight w:val="none"/>
                <w:u w:color="000000"/>
              </w:rPr>
              <w:t>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hint="eastAsia" w:ascii="Times New Roman" w:hAnsi="Times New Roman" w:eastAsia="宋体" w:cs="Times New Roman"/>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应变仪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2</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应力测试仪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计算软件</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套</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越野车</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辆</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szCs w:val="21"/>
                <w:highlight w:val="none"/>
                <w:u w:color="000000"/>
              </w:rPr>
            </w:pPr>
            <w:r>
              <w:rPr>
                <w:rFonts w:ascii="Times New Roman" w:hAnsi="Times New Roman" w:eastAsia="宋体" w:cs="Times New Roman"/>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restart"/>
            <w:vAlign w:val="center"/>
          </w:tcPr>
          <w:p>
            <w:pPr>
              <w:autoSpaceDE w:val="0"/>
              <w:autoSpaceDN w:val="0"/>
              <w:adjustRightInd w:val="0"/>
              <w:ind w:left="0" w:leftChars="0" w:firstLine="0" w:firstLineChars="0"/>
              <w:jc w:val="both"/>
              <w:textAlignment w:val="baseline"/>
              <w:outlineLvl w:val="0"/>
              <w:rPr>
                <w:rFonts w:ascii="Times New Roman" w:hAnsi="Times New Roman" w:eastAsia="宋体" w:cs="Times New Roman"/>
                <w:szCs w:val="21"/>
                <w:highlight w:val="none"/>
                <w:u w:color="000000"/>
              </w:rPr>
            </w:pPr>
            <w:r>
              <w:rPr>
                <w:rFonts w:hint="eastAsia" w:ascii="Times New Roman" w:hAnsi="Times New Roman" w:eastAsia="宋体" w:cs="Times New Roman"/>
                <w:szCs w:val="21"/>
                <w:highlight w:val="none"/>
                <w:u w:color="000000"/>
              </w:rPr>
              <w:t>GJGS-SDJC-02</w:t>
            </w:r>
            <w:r>
              <w:rPr>
                <w:rFonts w:hint="eastAsia" w:ascii="Times New Roman" w:hAnsi="Times New Roman" w:eastAsia="宋体" w:cs="Times New Roman"/>
                <w:szCs w:val="21"/>
                <w:highlight w:val="none"/>
                <w:u w:color="000000"/>
                <w:lang w:eastAsia="zh-CN"/>
              </w:rPr>
              <w:t>（</w:t>
            </w:r>
            <w:r>
              <w:rPr>
                <w:rFonts w:hint="eastAsia" w:ascii="Times New Roman" w:hAnsi="Times New Roman" w:eastAsia="宋体" w:cs="Times New Roman"/>
                <w:szCs w:val="21"/>
                <w:highlight w:val="none"/>
                <w:u w:color="000000"/>
                <w:lang w:val="en-US" w:eastAsia="zh-CN"/>
              </w:rPr>
              <w:t>第二次</w:t>
            </w:r>
            <w:r>
              <w:rPr>
                <w:rFonts w:hint="eastAsia" w:ascii="Times New Roman" w:hAnsi="Times New Roman" w:eastAsia="宋体" w:cs="Times New Roman"/>
                <w:szCs w:val="21"/>
                <w:highlight w:val="none"/>
                <w:u w:color="000000"/>
                <w:lang w:eastAsia="zh-CN"/>
              </w:rPr>
              <w:t>）</w:t>
            </w: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全站仪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hint="eastAsia"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频率仪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hint="eastAsia"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应力（变）计</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szCs w:val="21"/>
                <w:highlight w:val="none"/>
                <w:u w:color="000000"/>
              </w:rPr>
              <w:t>50</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hint="eastAsia"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钢筋计</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szCs w:val="21"/>
                <w:highlight w:val="none"/>
                <w:u w:color="000000"/>
              </w:rPr>
              <w:t>50</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hint="eastAsia"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压力盒</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szCs w:val="21"/>
                <w:highlight w:val="none"/>
                <w:u w:color="000000"/>
              </w:rPr>
              <w:t>50</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hint="eastAsia"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位移计</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个</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szCs w:val="21"/>
                <w:highlight w:val="none"/>
                <w:u w:color="000000"/>
              </w:rPr>
              <w:t>50</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hint="eastAsia"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收敛计</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2</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jc w:val="center"/>
              <w:textAlignment w:val="baseline"/>
              <w:outlineLvl w:val="0"/>
              <w:rPr>
                <w:rFonts w:hint="eastAsia" w:ascii="Times New Roman" w:hAnsi="Times New Roman" w:eastAsia="宋体" w:cs="Times New Roman"/>
                <w:szCs w:val="21"/>
                <w:highlight w:val="none"/>
                <w:u w:color="000000"/>
              </w:rPr>
            </w:pPr>
          </w:p>
        </w:tc>
        <w:tc>
          <w:tcPr>
            <w:tcW w:w="194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数码相机</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台</w:t>
            </w:r>
          </w:p>
        </w:tc>
        <w:tc>
          <w:tcPr>
            <w:tcW w:w="1537" w:type="dxa"/>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tcPr>
          <w:p>
            <w:pPr>
              <w:autoSpaceDE w:val="0"/>
              <w:autoSpaceDN w:val="0"/>
              <w:adjustRightInd w:val="0"/>
              <w:jc w:val="center"/>
              <w:textAlignment w:val="baseline"/>
              <w:outlineLvl w:val="0"/>
              <w:rPr>
                <w:rFonts w:hint="eastAsia" w:ascii="Times New Roman" w:hAnsi="Times New Roman" w:eastAsia="宋体" w:cs="Times New Roman"/>
                <w:szCs w:val="21"/>
                <w:highlight w:val="none"/>
                <w:u w:color="000000"/>
              </w:rPr>
            </w:pPr>
          </w:p>
        </w:tc>
        <w:tc>
          <w:tcPr>
            <w:tcW w:w="0" w:type="auto"/>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越野车</w:t>
            </w:r>
          </w:p>
        </w:tc>
        <w:tc>
          <w:tcPr>
            <w:tcW w:w="0" w:type="auto"/>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ascii="Times New Roman" w:hAnsi="Times New Roman" w:eastAsia="宋体" w:cs="Times New Roman"/>
                <w:color w:val="auto"/>
                <w:szCs w:val="21"/>
                <w:highlight w:val="none"/>
                <w:u w:color="000000"/>
              </w:rPr>
              <w:t>辆</w:t>
            </w:r>
          </w:p>
        </w:tc>
        <w:tc>
          <w:tcPr>
            <w:tcW w:w="0" w:type="auto"/>
            <w:vAlign w:val="center"/>
          </w:tcPr>
          <w:p>
            <w:pPr>
              <w:autoSpaceDE w:val="0"/>
              <w:autoSpaceDN w:val="0"/>
              <w:adjustRightInd w:val="0"/>
              <w:ind w:left="0" w:leftChars="0" w:firstLine="0" w:firstLineChars="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szCs w:val="21"/>
                <w:highlight w:val="none"/>
                <w:u w:color="000000"/>
              </w:rPr>
              <w:t>1</w:t>
            </w:r>
          </w:p>
        </w:tc>
        <w:tc>
          <w:tcPr>
            <w:tcW w:w="1692" w:type="dxa"/>
            <w:vAlign w:val="center"/>
          </w:tcPr>
          <w:p>
            <w:pPr>
              <w:autoSpaceDE w:val="0"/>
              <w:autoSpaceDN w:val="0"/>
              <w:adjustRightInd w:val="0"/>
              <w:jc w:val="center"/>
              <w:textAlignment w:val="baseline"/>
              <w:outlineLvl w:val="0"/>
              <w:rPr>
                <w:rFonts w:ascii="Times New Roman" w:hAnsi="Times New Roman" w:eastAsia="宋体" w:cs="Times New Roman"/>
                <w:color w:val="auto"/>
                <w:kern w:val="2"/>
                <w:sz w:val="21"/>
                <w:szCs w:val="21"/>
                <w:highlight w:val="none"/>
                <w:u w:color="000000"/>
                <w:lang w:val="en-US" w:eastAsia="zh-CN" w:bidi="ar-SA"/>
              </w:rPr>
            </w:pPr>
          </w:p>
        </w:tc>
      </w:tr>
    </w:tbl>
    <w:p>
      <w:pPr>
        <w:autoSpaceDE w:val="0"/>
        <w:autoSpaceDN w:val="0"/>
        <w:adjustRightInd w:val="0"/>
        <w:spacing w:line="360" w:lineRule="exact"/>
        <w:jc w:val="left"/>
        <w:textAlignment w:val="baseline"/>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备注：1. 本表是对投标人派驻到工程现场设备、仪器、车辆的最低限度要求，投标人应在此基础上按照实际服务的需要投入满足要求的各类设备、仪器、车辆，并在投标文件格式（四）拟投入的主要设备、仪器表中填报，否则不予认定；</w:t>
      </w:r>
    </w:p>
    <w:p>
      <w:pPr>
        <w:spacing w:line="240" w:lineRule="auto"/>
        <w:ind w:left="0" w:firstLine="0" w:firstLineChars="0"/>
        <w:rPr>
          <w:rFonts w:ascii="宋体" w:hAnsi="宋体" w:eastAsia="宋体" w:cs="Times New Roman"/>
          <w:color w:val="auto"/>
          <w:sz w:val="21"/>
          <w:szCs w:val="21"/>
          <w:highlight w:val="none"/>
        </w:rPr>
      </w:pPr>
      <w:r>
        <w:rPr>
          <w:rFonts w:ascii="Times New Roman" w:hAnsi="Times New Roman" w:eastAsia="宋体" w:cs="Times New Roman"/>
          <w:kern w:val="0"/>
          <w:szCs w:val="21"/>
          <w:highlight w:val="none"/>
        </w:rPr>
        <w:t xml:space="preserve">     2. 投标人如不满足上述资格审查要求的任何一条，将被认为资格审查不合格。</w:t>
      </w:r>
    </w:p>
    <w:p>
      <w:pPr>
        <w:snapToGrid w:val="0"/>
        <w:spacing w:line="360" w:lineRule="exact"/>
        <w:ind w:left="0" w:firstLine="420" w:firstLineChars="0"/>
        <w:rPr>
          <w:rFonts w:ascii="宋体" w:hAnsi="宋体" w:eastAsia="宋体" w:cs="Times New Roman"/>
          <w:color w:val="auto"/>
          <w:sz w:val="21"/>
          <w:szCs w:val="21"/>
          <w:highlight w:val="none"/>
        </w:rPr>
      </w:pPr>
    </w:p>
    <w:p>
      <w:pPr>
        <w:snapToGrid w:val="0"/>
        <w:spacing w:before="120" w:line="400" w:lineRule="atLeast"/>
        <w:ind w:left="0" w:firstLine="0" w:firstLineChars="0"/>
        <w:rPr>
          <w:rFonts w:ascii="黑体" w:hAnsi="黑体" w:eastAsia="黑体" w:cs="Times New Roman"/>
          <w:color w:val="auto"/>
          <w:sz w:val="24"/>
          <w:szCs w:val="24"/>
          <w:highlight w:val="none"/>
        </w:rPr>
      </w:pPr>
    </w:p>
    <w:p>
      <w:pPr>
        <w:snapToGrid w:val="0"/>
        <w:spacing w:before="120" w:line="400" w:lineRule="atLeast"/>
        <w:ind w:left="0" w:firstLine="0" w:firstLineChars="0"/>
        <w:rPr>
          <w:rFonts w:ascii="黑体" w:hAnsi="黑体" w:eastAsia="黑体" w:cs="Times New Roman"/>
          <w:color w:val="auto"/>
          <w:sz w:val="24"/>
          <w:szCs w:val="24"/>
          <w:highlight w:val="none"/>
        </w:rPr>
      </w:pPr>
    </w:p>
    <w:p>
      <w:pPr>
        <w:spacing w:line="240" w:lineRule="auto"/>
        <w:ind w:left="0" w:firstLine="0" w:firstLineChars="0"/>
        <w:rPr>
          <w:rFonts w:ascii="黑体" w:hAnsi="黑体" w:eastAsia="黑体" w:cs="Times New Roman"/>
          <w:color w:val="auto"/>
          <w:sz w:val="24"/>
          <w:szCs w:val="24"/>
          <w:highlight w:val="none"/>
        </w:rPr>
      </w:pPr>
      <w:r>
        <w:rPr>
          <w:rFonts w:ascii="黑体" w:hAnsi="黑体" w:eastAsia="黑体" w:cs="Times New Roman"/>
          <w:color w:val="auto"/>
          <w:sz w:val="24"/>
          <w:szCs w:val="24"/>
          <w:highlight w:val="none"/>
        </w:rPr>
        <w:br w:type="page"/>
      </w: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2、评标办法</w:t>
      </w:r>
    </w:p>
    <w:p>
      <w:pPr>
        <w:pStyle w:val="2"/>
        <w:snapToGrid w:val="0"/>
        <w:spacing w:before="480" w:line="380" w:lineRule="atLeast"/>
        <w:jc w:val="center"/>
        <w:rPr>
          <w:rFonts w:ascii="Times New Roman" w:hAnsi="Times New Roman" w:eastAsia="宋体" w:cs="Times New Roman"/>
          <w:color w:val="auto"/>
          <w:highlight w:val="none"/>
        </w:rPr>
      </w:pPr>
      <w:r>
        <w:rPr>
          <w:rFonts w:ascii="Times New Roman" w:hAnsi="Times New Roman" w:eastAsia="宋体" w:cs="Times New Roman"/>
          <w:color w:val="auto"/>
          <w:sz w:val="44"/>
          <w:szCs w:val="28"/>
          <w:highlight w:val="none"/>
        </w:rPr>
        <w:t>评标办法（综合评估法）</w:t>
      </w:r>
    </w:p>
    <w:p>
      <w:pPr>
        <w:pStyle w:val="2"/>
        <w:snapToGrid w:val="0"/>
        <w:spacing w:before="120" w:after="0" w:line="380" w:lineRule="atLeast"/>
        <w:jc w:val="center"/>
        <w:rPr>
          <w:rFonts w:ascii="Times New Roman" w:hAnsi="Times New Roman" w:eastAsia="宋体" w:cs="Times New Roman"/>
          <w:color w:val="auto"/>
          <w:sz w:val="24"/>
          <w:szCs w:val="24"/>
          <w:highlight w:val="none"/>
        </w:rPr>
      </w:pPr>
      <w:bookmarkStart w:id="0" w:name="_Toc19884"/>
      <w:bookmarkStart w:id="1" w:name="_Toc3895"/>
      <w:r>
        <w:rPr>
          <w:rFonts w:ascii="Times New Roman" w:hAnsi="Times New Roman" w:eastAsia="宋体" w:cs="Times New Roman"/>
          <w:color w:val="auto"/>
          <w:sz w:val="24"/>
          <w:szCs w:val="24"/>
          <w:highlight w:val="none"/>
        </w:rPr>
        <w:t>评标办法前附表</w:t>
      </w:r>
      <w:bookmarkEnd w:id="0"/>
      <w:bookmarkEnd w:id="1"/>
    </w:p>
    <w:tbl>
      <w:tblPr>
        <w:tblStyle w:val="9"/>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23"/>
        <w:gridCol w:w="1586"/>
        <w:gridCol w:w="6132"/>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3" w:hRule="atLeast"/>
          <w:jc w:val="center"/>
        </w:trPr>
        <w:tc>
          <w:tcPr>
            <w:tcW w:w="372"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条款号</w:t>
            </w:r>
          </w:p>
        </w:tc>
        <w:tc>
          <w:tcPr>
            <w:tcW w:w="4627" w:type="pct"/>
            <w:gridSpan w:val="3"/>
            <w:tcBorders>
              <w:tl2br w:val="nil"/>
              <w:tr2bl w:val="nil"/>
            </w:tcBorders>
            <w:vAlign w:val="center"/>
          </w:tcPr>
          <w:p>
            <w:pPr>
              <w:snapToGrid w:val="0"/>
              <w:spacing w:line="360" w:lineRule="exact"/>
              <w:jc w:val="center"/>
              <w:rPr>
                <w:rFonts w:ascii="Times New Roman" w:hAnsi="Times New Roman" w:eastAsia="宋体" w:cs="Times New Roman"/>
                <w:b/>
                <w:bCs/>
                <w:spacing w:val="4"/>
                <w:szCs w:val="21"/>
                <w:highlight w:val="none"/>
              </w:rPr>
            </w:pPr>
            <w:r>
              <w:rPr>
                <w:rFonts w:ascii="Times New Roman" w:hAnsi="Times New Roman" w:eastAsia="宋体" w:cs="Times New Roman"/>
                <w:b/>
                <w:bCs/>
                <w:spacing w:val="4"/>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45" w:hRule="atLeast"/>
          <w:jc w:val="center"/>
        </w:trPr>
        <w:tc>
          <w:tcPr>
            <w:tcW w:w="372" w:type="pct"/>
            <w:tcBorders>
              <w:tl2br w:val="nil"/>
              <w:tr2bl w:val="nil"/>
            </w:tcBorders>
            <w:vAlign w:val="center"/>
          </w:tcPr>
          <w:p>
            <w:pPr>
              <w:snapToGrid w:val="0"/>
              <w:spacing w:line="360" w:lineRule="exact"/>
              <w:ind w:left="0" w:leftChars="0" w:firstLine="240" w:firstLineChars="10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1</w:t>
            </w:r>
          </w:p>
        </w:tc>
        <w:tc>
          <w:tcPr>
            <w:tcW w:w="948" w:type="pct"/>
            <w:tcBorders>
              <w:tl2br w:val="nil"/>
              <w:tr2bl w:val="nil"/>
            </w:tcBorders>
            <w:vAlign w:val="center"/>
          </w:tcPr>
          <w:p>
            <w:pPr>
              <w:snapToGrid w:val="0"/>
              <w:spacing w:line="360" w:lineRule="exact"/>
              <w:ind w:left="0" w:leftChars="0" w:firstLine="240" w:firstLineChars="10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评标方法</w:t>
            </w:r>
          </w:p>
        </w:tc>
        <w:tc>
          <w:tcPr>
            <w:tcW w:w="3678" w:type="pct"/>
            <w:gridSpan w:val="2"/>
            <w:tcBorders>
              <w:tl2br w:val="nil"/>
              <w:tr2bl w:val="nil"/>
            </w:tcBorders>
            <w:vAlign w:val="center"/>
          </w:tcPr>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综合评分相等时，评标委员会依次按照以下优先顺序推荐中标候选人或确定中标人：</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（1）评标价低的投标人优先；</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（2）最新信用评价等级较高的投标人优先；</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（3）技术</w:t>
            </w:r>
            <w:r>
              <w:rPr>
                <w:rFonts w:hint="eastAsia" w:ascii="Times New Roman" w:hAnsi="Times New Roman" w:eastAsia="宋体" w:cs="Times New Roman"/>
                <w:szCs w:val="21"/>
                <w:highlight w:val="none"/>
              </w:rPr>
              <w:t>建议书</w:t>
            </w:r>
            <w:r>
              <w:rPr>
                <w:rFonts w:ascii="Times New Roman" w:hAnsi="Times New Roman" w:eastAsia="宋体" w:cs="Times New Roman"/>
                <w:szCs w:val="21"/>
                <w:highlight w:val="none"/>
              </w:rPr>
              <w:t>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272" w:hRule="atLeast"/>
          <w:jc w:val="center"/>
        </w:trPr>
        <w:tc>
          <w:tcPr>
            <w:tcW w:w="372"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2.1.1</w:t>
            </w:r>
          </w:p>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2.1.3</w:t>
            </w:r>
          </w:p>
        </w:tc>
        <w:tc>
          <w:tcPr>
            <w:tcW w:w="948" w:type="pct"/>
            <w:tcBorders>
              <w:tl2br w:val="nil"/>
              <w:tr2bl w:val="nil"/>
            </w:tcBorders>
            <w:vAlign w:val="center"/>
          </w:tcPr>
          <w:p>
            <w:pPr>
              <w:snapToGrid w:val="0"/>
              <w:spacing w:line="360" w:lineRule="exact"/>
              <w:ind w:left="0" w:leftChars="0" w:firstLine="0" w:firstLineChars="0"/>
              <w:jc w:val="both"/>
              <w:rPr>
                <w:rFonts w:hAnsi="Times New Roman" w:eastAsia="宋体" w:cs="Times New Roman"/>
                <w:highlight w:val="none"/>
              </w:rPr>
            </w:pPr>
            <w:r>
              <w:rPr>
                <w:rFonts w:ascii="Times New Roman" w:hAnsi="Times New Roman" w:eastAsia="宋体" w:cs="Times New Roman"/>
                <w:highlight w:val="none"/>
              </w:rPr>
              <w:t>形式评审与响应性评审标准</w:t>
            </w:r>
          </w:p>
        </w:tc>
        <w:tc>
          <w:tcPr>
            <w:tcW w:w="3678" w:type="pct"/>
            <w:gridSpan w:val="2"/>
            <w:tcBorders>
              <w:tl2br w:val="nil"/>
              <w:tr2bl w:val="nil"/>
            </w:tcBorders>
            <w:vAlign w:val="center"/>
          </w:tcPr>
          <w:p>
            <w:pPr>
              <w:snapToGrid w:val="0"/>
              <w:spacing w:line="360" w:lineRule="exact"/>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形式评审与响应性</w:t>
            </w:r>
            <w:r>
              <w:rPr>
                <w:rFonts w:ascii="Times New Roman" w:hAnsi="Times New Roman" w:eastAsia="宋体" w:cs="Times New Roman"/>
                <w:b/>
                <w:bCs/>
                <w:szCs w:val="21"/>
                <w:highlight w:val="none"/>
              </w:rPr>
              <w:t>评审标准：</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（1）投标文件按照招标文件规定的格式、内容填写，字迹清晰可辨：</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a.投标函按招标文件规定填报了项目名称、标段号、补遗书编号（如有）、服务期限；</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b.投标文件组成齐全完整，内容均按规定填写</w:t>
            </w:r>
            <w:r>
              <w:rPr>
                <w:rFonts w:hint="eastAsia" w:ascii="Times New Roman" w:hAnsi="Times New Roman" w:eastAsia="宋体" w:cs="Times New Roman"/>
                <w:szCs w:val="21"/>
                <w:highlight w:val="none"/>
              </w:rPr>
              <w:t>；</w:t>
            </w:r>
          </w:p>
          <w:p>
            <w:pPr>
              <w:snapToGrid w:val="0"/>
              <w:spacing w:line="36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c.已标价报价清单说明文字与招标文件规定一致，未进行实质性修改和删减。</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（2）投标文件上法定代表人或其委托代理人的签字、投标人的单位章盖章齐全，符合招标文件规定。</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（3）投标人按照招标文件的规定提供了投标保证金：</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a.投标保证金金额符合招标文件规定的金额，且投标保证金有效期不少于投标有效期；</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b.若投标保证金采用现金或支票形式提交，投标人应在递交投标文件截止时间之前，将投标保证金由投标人的基本账户转入招标人指定账户；</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c.若投标保证金采用银行保函形式提交，银行保函的格式、开具保函的银行均满足招标文件要求，且在递交投标文件截止时间之前向招标人提交了银行保函原件。</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（4）投标人法定代表人授权委托代理人签署投标文件的，须提交授权委托书，且授权人和被授权人均在授权委托书上签名，未使用印章、签名章或其他电子制版签名代替。</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（5）投标人法定代表人亲自签署投标文件的，提供了法定代表人身份证明，且法定代表人在法定代表人身份证明上签名，未使用印章、签名章或其他电子制版签名代替。</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（6）同一投标人未提交两个以上不同的投标文件，但招标文件要求提交备选投标的除外。</w:t>
            </w:r>
          </w:p>
          <w:p>
            <w:pPr>
              <w:snapToGrid w:val="0"/>
              <w:spacing w:line="36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（7）投标报价未超过招标文件设定的最高投标限价。</w:t>
            </w:r>
          </w:p>
          <w:p>
            <w:pPr>
              <w:snapToGrid w:val="0"/>
              <w:spacing w:line="36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（8）投标报价的大写金额能够确定具体数值。</w:t>
            </w:r>
          </w:p>
          <w:p>
            <w:pPr>
              <w:snapToGrid w:val="0"/>
              <w:spacing w:line="36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（9）同一投标人未提交两个以上不同的投标报价，但招标文件要求提交备选投标的除外。</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10</w:t>
            </w:r>
            <w:r>
              <w:rPr>
                <w:rFonts w:ascii="Times New Roman" w:hAnsi="Times New Roman" w:eastAsia="宋体" w:cs="Times New Roman"/>
                <w:szCs w:val="21"/>
                <w:highlight w:val="none"/>
              </w:rPr>
              <w:t>）投标文件载明的招标项目完成期限符合招标文件规定。</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rPr>
              <w:t>11</w:t>
            </w:r>
            <w:r>
              <w:rPr>
                <w:rFonts w:ascii="Times New Roman" w:hAnsi="Times New Roman" w:eastAsia="宋体" w:cs="Times New Roman"/>
                <w:szCs w:val="21"/>
                <w:highlight w:val="none"/>
              </w:rPr>
              <w:t>）投标文件对招标文件的实质性要求和条件作出响应。</w:t>
            </w:r>
          </w:p>
          <w:p>
            <w:pPr>
              <w:snapToGrid w:val="0"/>
              <w:spacing w:line="360" w:lineRule="exact"/>
              <w:rPr>
                <w:highlight w:val="none"/>
              </w:rPr>
            </w:pP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2</w:t>
            </w:r>
            <w:r>
              <w:rPr>
                <w:rFonts w:ascii="Times New Roman" w:hAnsi="Times New Roman" w:eastAsia="宋体" w:cs="Times New Roman"/>
                <w:szCs w:val="21"/>
                <w:highlight w:val="none"/>
              </w:rPr>
              <w:t>）权利义务符合招标文件规定：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1"/>
          <w:wAfter w:w="13" w:type="pct"/>
          <w:trHeight w:val="108" w:hRule="atLeast"/>
          <w:jc w:val="center"/>
        </w:trPr>
        <w:tc>
          <w:tcPr>
            <w:tcW w:w="372" w:type="pct"/>
            <w:tcBorders>
              <w:top w:val="nil"/>
              <w:left w:val="nil"/>
              <w:right w:val="nil"/>
            </w:tcBorders>
            <w:vAlign w:val="center"/>
          </w:tcPr>
          <w:p>
            <w:pPr>
              <w:snapToGrid w:val="0"/>
              <w:spacing w:line="360" w:lineRule="exact"/>
              <w:jc w:val="center"/>
              <w:rPr>
                <w:rFonts w:ascii="Times New Roman" w:hAnsi="Times New Roman" w:eastAsia="宋体" w:cs="Times New Roman"/>
                <w:szCs w:val="21"/>
                <w:highlight w:val="none"/>
              </w:rPr>
            </w:pPr>
          </w:p>
        </w:tc>
        <w:tc>
          <w:tcPr>
            <w:tcW w:w="4613" w:type="pct"/>
            <w:gridSpan w:val="2"/>
            <w:tcBorders>
              <w:top w:val="nil"/>
              <w:left w:val="nil"/>
              <w:right w:val="nil"/>
            </w:tcBorders>
            <w:vAlign w:val="center"/>
          </w:tcPr>
          <w:p>
            <w:pPr>
              <w:snapToGrid w:val="0"/>
              <w:spacing w:line="360" w:lineRule="exact"/>
              <w:jc w:val="right"/>
              <w:rPr>
                <w:rFonts w:ascii="Times New Roman" w:hAnsi="Times New Roman" w:eastAsia="宋体" w:cs="Times New Roman"/>
                <w:spacing w:val="4"/>
                <w:szCs w:val="21"/>
                <w:highlight w:val="none"/>
              </w:rPr>
            </w:pPr>
            <w:r>
              <w:rPr>
                <w:rFonts w:ascii="Times New Roman" w:hAnsi="Times New Roman" w:eastAsia="宋体" w:cs="Times New Roman"/>
                <w:spacing w:val="4"/>
                <w:szCs w:val="21"/>
                <w:highlight w:val="none"/>
              </w:rPr>
              <w:t>续上表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1"/>
          <w:wAfter w:w="13" w:type="pct"/>
          <w:trHeight w:val="480" w:hRule="atLeast"/>
          <w:jc w:val="center"/>
        </w:trPr>
        <w:tc>
          <w:tcPr>
            <w:tcW w:w="372"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条款号</w:t>
            </w:r>
          </w:p>
        </w:tc>
        <w:tc>
          <w:tcPr>
            <w:tcW w:w="4613" w:type="pct"/>
            <w:gridSpan w:val="2"/>
            <w:tcBorders>
              <w:tl2br w:val="nil"/>
              <w:tr2bl w:val="nil"/>
            </w:tcBorders>
            <w:vAlign w:val="center"/>
          </w:tcPr>
          <w:p>
            <w:pPr>
              <w:snapToGrid w:val="0"/>
              <w:spacing w:line="360" w:lineRule="exact"/>
              <w:jc w:val="center"/>
              <w:rPr>
                <w:rFonts w:ascii="Times New Roman" w:hAnsi="Times New Roman" w:eastAsia="宋体" w:cs="Times New Roman"/>
                <w:b/>
                <w:bCs/>
                <w:spacing w:val="4"/>
                <w:szCs w:val="21"/>
                <w:highlight w:val="none"/>
              </w:rPr>
            </w:pPr>
            <w:r>
              <w:rPr>
                <w:rFonts w:ascii="Times New Roman" w:hAnsi="Times New Roman" w:eastAsia="宋体" w:cs="Times New Roman"/>
                <w:b/>
                <w:bCs/>
                <w:spacing w:val="4"/>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76" w:hRule="atLeast"/>
          <w:jc w:val="center"/>
        </w:trPr>
        <w:tc>
          <w:tcPr>
            <w:tcW w:w="372"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2.1.1</w:t>
            </w:r>
          </w:p>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2.1.3</w:t>
            </w:r>
          </w:p>
        </w:tc>
        <w:tc>
          <w:tcPr>
            <w:tcW w:w="948"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形式评审与响应性评审标准</w:t>
            </w:r>
          </w:p>
        </w:tc>
        <w:tc>
          <w:tcPr>
            <w:tcW w:w="3678" w:type="pct"/>
            <w:gridSpan w:val="2"/>
            <w:tcBorders>
              <w:tl2br w:val="nil"/>
              <w:tr2bl w:val="nil"/>
            </w:tcBorders>
            <w:vAlign w:val="center"/>
          </w:tcPr>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a.投标人应接受招标文件规定的风险划分原则，未提出新的风险划分办法；</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b.投标人未增加委托人的责任范围，或减少投标人义务；</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c.投标人未提出不同的支付办法；</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d.投标人对合同纠纷、事故处理办法未提出异议；</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e.投标人在投标活动中无欺诈行为；</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f.投标人未对合同条款有重要保留。</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2</w:t>
            </w:r>
            <w:r>
              <w:rPr>
                <w:rFonts w:ascii="Times New Roman" w:hAnsi="Times New Roman" w:eastAsia="宋体" w:cs="Times New Roman"/>
                <w:szCs w:val="21"/>
                <w:highlight w:val="none"/>
              </w:rPr>
              <w:t>）投标文件正、副本份数符合招标文件第二章“投标人须知”第3.7.4项规定。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4" w:hRule="atLeast"/>
          <w:jc w:val="center"/>
        </w:trPr>
        <w:tc>
          <w:tcPr>
            <w:tcW w:w="372"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2.1.2</w:t>
            </w:r>
          </w:p>
        </w:tc>
        <w:tc>
          <w:tcPr>
            <w:tcW w:w="948" w:type="pct"/>
            <w:tcBorders>
              <w:tl2br w:val="nil"/>
              <w:tr2bl w:val="nil"/>
            </w:tcBorders>
            <w:vAlign w:val="center"/>
          </w:tcPr>
          <w:p>
            <w:pPr>
              <w:snapToGrid w:val="0"/>
              <w:spacing w:line="360" w:lineRule="exact"/>
              <w:ind w:left="0" w:leftChars="0" w:firstLine="0" w:firstLineChars="0"/>
              <w:jc w:val="both"/>
              <w:rPr>
                <w:rFonts w:hAnsi="Times New Roman" w:cs="Times New Roman"/>
                <w:highlight w:val="none"/>
              </w:rPr>
            </w:pPr>
            <w:r>
              <w:rPr>
                <w:rFonts w:ascii="Times New Roman" w:hAnsi="Times New Roman" w:cs="Times New Roman"/>
                <w:highlight w:val="none"/>
              </w:rPr>
              <w:t>资格评审标准</w:t>
            </w:r>
          </w:p>
        </w:tc>
        <w:tc>
          <w:tcPr>
            <w:tcW w:w="3678" w:type="pct"/>
            <w:gridSpan w:val="2"/>
            <w:tcBorders>
              <w:tl2br w:val="nil"/>
              <w:tr2bl w:val="nil"/>
            </w:tcBorders>
            <w:vAlign w:val="center"/>
          </w:tcPr>
          <w:p>
            <w:pPr>
              <w:snapToGrid w:val="0"/>
              <w:spacing w:line="360" w:lineRule="exact"/>
              <w:rPr>
                <w:highlight w:val="none"/>
              </w:rPr>
            </w:pPr>
            <w:r>
              <w:rPr>
                <w:highlight w:val="none"/>
              </w:rPr>
              <w:t>（1）投标人具备有效的营业执照、资质证书。</w:t>
            </w:r>
          </w:p>
          <w:p>
            <w:pPr>
              <w:snapToGrid w:val="0"/>
              <w:spacing w:line="360" w:lineRule="exact"/>
              <w:rPr>
                <w:highlight w:val="none"/>
              </w:rPr>
            </w:pPr>
            <w:r>
              <w:rPr>
                <w:highlight w:val="none"/>
              </w:rPr>
              <w:t>（2）投标人的资质等级符合招标文件规定。</w:t>
            </w:r>
          </w:p>
          <w:p>
            <w:pPr>
              <w:snapToGrid w:val="0"/>
              <w:spacing w:line="360" w:lineRule="exact"/>
              <w:rPr>
                <w:highlight w:val="none"/>
              </w:rPr>
            </w:pPr>
            <w:r>
              <w:rPr>
                <w:highlight w:val="none"/>
              </w:rPr>
              <w:t>（3）投标人的信誉符合招标文件规定。</w:t>
            </w:r>
          </w:p>
          <w:p>
            <w:pPr>
              <w:snapToGrid w:val="0"/>
              <w:spacing w:line="360" w:lineRule="exact"/>
              <w:rPr>
                <w:highlight w:val="none"/>
              </w:rPr>
            </w:pPr>
            <w:r>
              <w:rPr>
                <w:highlight w:val="none"/>
              </w:rPr>
              <w:t>（4）投标人的</w:t>
            </w:r>
            <w:r>
              <w:rPr>
                <w:rFonts w:hint="eastAsia"/>
                <w:highlight w:val="none"/>
              </w:rPr>
              <w:t>主要人员</w:t>
            </w:r>
            <w:r>
              <w:rPr>
                <w:highlight w:val="none"/>
              </w:rPr>
              <w:t>资格、在岗情况符合招标文件规定。</w:t>
            </w:r>
          </w:p>
          <w:p>
            <w:pPr>
              <w:snapToGrid w:val="0"/>
              <w:spacing w:line="360" w:lineRule="exact"/>
              <w:rPr>
                <w:highlight w:val="none"/>
              </w:rPr>
            </w:pPr>
            <w:r>
              <w:rPr>
                <w:highlight w:val="none"/>
              </w:rPr>
              <w:t>（5）投标人不存在第二章“投标人须知”第1.4.3项或第1.4.4项规定的任何一种情形。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47" w:hRule="atLeast"/>
          <w:jc w:val="center"/>
        </w:trPr>
        <w:tc>
          <w:tcPr>
            <w:tcW w:w="372"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2.2.1</w:t>
            </w:r>
          </w:p>
        </w:tc>
        <w:tc>
          <w:tcPr>
            <w:tcW w:w="948"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分值构成（总分100分）</w:t>
            </w:r>
          </w:p>
        </w:tc>
        <w:tc>
          <w:tcPr>
            <w:tcW w:w="3678" w:type="pct"/>
            <w:gridSpan w:val="2"/>
            <w:tcBorders>
              <w:tl2br w:val="nil"/>
              <w:tr2bl w:val="nil"/>
            </w:tcBorders>
            <w:vAlign w:val="center"/>
          </w:tcPr>
          <w:p>
            <w:pPr>
              <w:snapToGrid w:val="0"/>
              <w:spacing w:line="360" w:lineRule="exact"/>
              <w:rPr>
                <w:highlight w:val="none"/>
              </w:rPr>
            </w:pPr>
            <w:r>
              <w:rPr>
                <w:highlight w:val="none"/>
              </w:rPr>
              <w:t>评分分值构成：</w:t>
            </w:r>
          </w:p>
          <w:p>
            <w:pPr>
              <w:snapToGrid w:val="0"/>
              <w:spacing w:line="360" w:lineRule="exact"/>
              <w:rPr>
                <w:highlight w:val="none"/>
              </w:rPr>
            </w:pPr>
            <w:r>
              <w:rPr>
                <w:rFonts w:hint="eastAsia"/>
                <w:highlight w:val="none"/>
              </w:rPr>
              <w:t>技术建议书：</w:t>
            </w:r>
            <w:r>
              <w:rPr>
                <w:rFonts w:hint="eastAsia"/>
                <w:highlight w:val="none"/>
                <w:lang w:val="en-US" w:eastAsia="zh-CN"/>
              </w:rPr>
              <w:t>5</w:t>
            </w:r>
            <w:r>
              <w:rPr>
                <w:highlight w:val="none"/>
              </w:rPr>
              <w:t>0</w:t>
            </w:r>
            <w:r>
              <w:rPr>
                <w:rFonts w:hint="eastAsia"/>
                <w:highlight w:val="none"/>
              </w:rPr>
              <w:t>分</w:t>
            </w:r>
          </w:p>
          <w:p>
            <w:pPr>
              <w:snapToGrid w:val="0"/>
              <w:spacing w:line="360" w:lineRule="exact"/>
              <w:rPr>
                <w:highlight w:val="none"/>
              </w:rPr>
            </w:pPr>
            <w:r>
              <w:rPr>
                <w:rFonts w:hint="eastAsia"/>
                <w:highlight w:val="none"/>
              </w:rPr>
              <w:t>主要人员：</w:t>
            </w:r>
            <w:r>
              <w:rPr>
                <w:rFonts w:hint="eastAsia"/>
                <w:highlight w:val="none"/>
                <w:lang w:val="en-US" w:eastAsia="zh-CN"/>
              </w:rPr>
              <w:t>15</w:t>
            </w:r>
            <w:r>
              <w:rPr>
                <w:rFonts w:hint="eastAsia"/>
                <w:highlight w:val="none"/>
              </w:rPr>
              <w:t>分</w:t>
            </w:r>
          </w:p>
          <w:p>
            <w:pPr>
              <w:snapToGrid w:val="0"/>
              <w:spacing w:line="360" w:lineRule="exact"/>
              <w:rPr>
                <w:highlight w:val="none"/>
              </w:rPr>
            </w:pPr>
            <w:r>
              <w:rPr>
                <w:rFonts w:hint="eastAsia"/>
                <w:highlight w:val="none"/>
              </w:rPr>
              <w:t>评标价：</w:t>
            </w:r>
            <w:r>
              <w:rPr>
                <w:rFonts w:hint="eastAsia"/>
                <w:highlight w:val="none"/>
                <w:lang w:val="en-US" w:eastAsia="zh-CN"/>
              </w:rPr>
              <w:t>20</w:t>
            </w:r>
            <w:r>
              <w:rPr>
                <w:rFonts w:hint="eastAsia"/>
                <w:highlight w:val="none"/>
              </w:rPr>
              <w:t>分</w:t>
            </w:r>
          </w:p>
          <w:p>
            <w:pPr>
              <w:snapToGrid w:val="0"/>
              <w:spacing w:line="360" w:lineRule="exact"/>
              <w:rPr>
                <w:highlight w:val="none"/>
              </w:rPr>
            </w:pPr>
            <w:r>
              <w:rPr>
                <w:rFonts w:hint="eastAsia"/>
                <w:highlight w:val="none"/>
              </w:rPr>
              <w:t>其他评分因素：</w:t>
            </w:r>
          </w:p>
          <w:p>
            <w:pPr>
              <w:snapToGrid w:val="0"/>
              <w:spacing w:line="360" w:lineRule="exact"/>
              <w:rPr>
                <w:highlight w:val="none"/>
              </w:rPr>
            </w:pPr>
            <w:r>
              <w:rPr>
                <w:rFonts w:hint="eastAsia"/>
                <w:highlight w:val="none"/>
              </w:rPr>
              <w:t>类似业绩：</w:t>
            </w:r>
            <w:r>
              <w:rPr>
                <w:rFonts w:hint="eastAsia"/>
                <w:highlight w:val="none"/>
                <w:lang w:val="en-US" w:eastAsia="zh-CN"/>
              </w:rPr>
              <w:t>12</w:t>
            </w:r>
            <w:r>
              <w:rPr>
                <w:rFonts w:hint="eastAsia"/>
                <w:highlight w:val="none"/>
              </w:rPr>
              <w:t>分</w:t>
            </w:r>
          </w:p>
          <w:p>
            <w:pPr>
              <w:snapToGrid w:val="0"/>
              <w:spacing w:line="360" w:lineRule="exact"/>
              <w:rPr>
                <w:rFonts w:ascii="Times New Roman" w:hAnsi="Times New Roman" w:eastAsia="宋体" w:cs="Times New Roman"/>
                <w:szCs w:val="21"/>
                <w:highlight w:val="none"/>
              </w:rPr>
            </w:pPr>
            <w:r>
              <w:rPr>
                <w:rFonts w:hint="eastAsia"/>
                <w:highlight w:val="none"/>
              </w:rPr>
              <w:t>信用评价3分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47" w:hRule="atLeast"/>
          <w:jc w:val="center"/>
        </w:trPr>
        <w:tc>
          <w:tcPr>
            <w:tcW w:w="372"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2.2.2</w:t>
            </w:r>
          </w:p>
        </w:tc>
        <w:tc>
          <w:tcPr>
            <w:tcW w:w="948" w:type="pct"/>
            <w:tcBorders>
              <w:tl2br w:val="nil"/>
              <w:tr2bl w:val="nil"/>
            </w:tcBorders>
            <w:vAlign w:val="center"/>
          </w:tcPr>
          <w:p>
            <w:pPr>
              <w:snapToGrid w:val="0"/>
              <w:spacing w:line="360" w:lineRule="exact"/>
              <w:ind w:left="0" w:leftChars="0" w:firstLine="0" w:firstLineChars="0"/>
              <w:jc w:val="both"/>
              <w:rPr>
                <w:rFonts w:ascii="Times New Roman" w:hAnsi="Times New Roman" w:cs="Times New Roman"/>
                <w:highlight w:val="none"/>
              </w:rPr>
            </w:pPr>
            <w:r>
              <w:rPr>
                <w:rFonts w:ascii="Times New Roman" w:hAnsi="Times New Roman" w:cs="Times New Roman"/>
                <w:highlight w:val="none"/>
              </w:rPr>
              <w:t>评标基准价计算方法</w:t>
            </w:r>
          </w:p>
        </w:tc>
        <w:tc>
          <w:tcPr>
            <w:tcW w:w="3678" w:type="pct"/>
            <w:gridSpan w:val="2"/>
            <w:tcBorders>
              <w:tl2br w:val="nil"/>
              <w:tr2bl w:val="nil"/>
            </w:tcBorders>
            <w:vAlign w:val="center"/>
          </w:tcPr>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评标基准价的计算：</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在开标现场，招标人将当场计算并宣布评标基准价。</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（1）评标价的确定：</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评标价＝投标函文字报价</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（2）评标价平均值的计算：</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（3）评标基准价的确定：</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将评标价平均值直接作为评标基准价。</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7" w:hRule="atLeast"/>
          <w:jc w:val="center"/>
        </w:trPr>
        <w:tc>
          <w:tcPr>
            <w:tcW w:w="372" w:type="pct"/>
            <w:tcBorders>
              <w:tl2br w:val="nil"/>
              <w:tr2bl w:val="nil"/>
            </w:tcBorders>
            <w:vAlign w:val="center"/>
          </w:tcPr>
          <w:p>
            <w:pPr>
              <w:snapToGrid w:val="0"/>
              <w:spacing w:line="360" w:lineRule="exact"/>
              <w:ind w:left="0" w:leftChars="0" w:firstLine="0" w:firstLineChars="0"/>
              <w:jc w:val="both"/>
              <w:rPr>
                <w:rFonts w:ascii="Times New Roman" w:hAnsi="Times New Roman" w:eastAsia="宋体" w:cs="Times New Roman"/>
                <w:szCs w:val="21"/>
                <w:highlight w:val="none"/>
              </w:rPr>
            </w:pPr>
            <w:r>
              <w:rPr>
                <w:rFonts w:ascii="Times New Roman" w:hAnsi="Times New Roman" w:eastAsia="宋体" w:cs="Times New Roman"/>
                <w:szCs w:val="21"/>
                <w:highlight w:val="none"/>
              </w:rPr>
              <w:t>2.2.3</w:t>
            </w:r>
          </w:p>
        </w:tc>
        <w:tc>
          <w:tcPr>
            <w:tcW w:w="948" w:type="pct"/>
            <w:tcBorders>
              <w:tl2br w:val="nil"/>
              <w:tr2bl w:val="nil"/>
            </w:tcBorders>
            <w:vAlign w:val="center"/>
          </w:tcPr>
          <w:p>
            <w:pPr>
              <w:snapToGrid w:val="0"/>
              <w:spacing w:line="360" w:lineRule="exact"/>
              <w:ind w:left="0" w:leftChars="0" w:firstLine="0" w:firstLineChars="0"/>
              <w:jc w:val="both"/>
              <w:rPr>
                <w:rFonts w:ascii="Times New Roman" w:hAnsi="Times New Roman" w:cs="Times New Roman"/>
                <w:highlight w:val="none"/>
              </w:rPr>
            </w:pPr>
            <w:r>
              <w:rPr>
                <w:rFonts w:ascii="Times New Roman" w:hAnsi="Times New Roman" w:cs="Times New Roman"/>
                <w:highlight w:val="none"/>
              </w:rPr>
              <w:t>评标价的偏差率计算公式</w:t>
            </w:r>
          </w:p>
        </w:tc>
        <w:tc>
          <w:tcPr>
            <w:tcW w:w="3678" w:type="pct"/>
            <w:gridSpan w:val="2"/>
            <w:tcBorders>
              <w:tl2br w:val="nil"/>
              <w:tr2bl w:val="nil"/>
            </w:tcBorders>
            <w:vAlign w:val="center"/>
          </w:tcPr>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偏差率=100%×（投标人评标价－评标基准价）/评标基准价</w:t>
            </w:r>
          </w:p>
          <w:p>
            <w:pPr>
              <w:snapToGrid w:val="0"/>
              <w:spacing w:line="360" w:lineRule="exact"/>
              <w:rPr>
                <w:rFonts w:ascii="Times New Roman" w:hAnsi="Times New Roman" w:eastAsia="宋体" w:cs="Times New Roman"/>
                <w:szCs w:val="21"/>
                <w:highlight w:val="none"/>
              </w:rPr>
            </w:pPr>
            <w:r>
              <w:rPr>
                <w:rFonts w:ascii="Times New Roman" w:hAnsi="Times New Roman" w:eastAsia="宋体" w:cs="Times New Roman"/>
                <w:szCs w:val="21"/>
                <w:highlight w:val="none"/>
              </w:rPr>
              <w:t>偏差率保留</w:t>
            </w:r>
            <w:r>
              <w:rPr>
                <w:rFonts w:hint="eastAsia" w:ascii="Times New Roman" w:hAnsi="Times New Roman" w:eastAsia="宋体" w:cs="Times New Roman"/>
                <w:szCs w:val="21"/>
                <w:highlight w:val="none"/>
                <w:u w:val="single"/>
              </w:rPr>
              <w:t>3</w:t>
            </w:r>
            <w:r>
              <w:rPr>
                <w:rFonts w:ascii="Times New Roman" w:hAnsi="Times New Roman" w:eastAsia="宋体" w:cs="Times New Roman"/>
                <w:szCs w:val="21"/>
                <w:highlight w:val="none"/>
              </w:rPr>
              <w:t>位小数</w:t>
            </w:r>
          </w:p>
        </w:tc>
      </w:tr>
    </w:tbl>
    <w:p>
      <w:pPr>
        <w:snapToGrid w:val="0"/>
        <w:spacing w:line="360" w:lineRule="exact"/>
        <w:jc w:val="left"/>
        <w:rPr>
          <w:rFonts w:ascii="Times New Roman" w:hAnsi="Times New Roman" w:eastAsia="宋体" w:cs="Times New Roman"/>
          <w:szCs w:val="21"/>
          <w:highlight w:val="none"/>
        </w:rPr>
      </w:pPr>
    </w:p>
    <w:p>
      <w:pPr>
        <w:snapToGrid w:val="0"/>
        <w:spacing w:line="360" w:lineRule="exact"/>
        <w:jc w:val="left"/>
        <w:rPr>
          <w:rFonts w:ascii="Times New Roman" w:hAnsi="Times New Roman" w:eastAsia="宋体" w:cs="Times New Roman"/>
          <w:spacing w:val="4"/>
          <w:szCs w:val="21"/>
          <w:highlight w:val="none"/>
        </w:rPr>
      </w:pPr>
      <w:r>
        <w:rPr>
          <w:rFonts w:ascii="Times New Roman" w:hAnsi="Times New Roman" w:eastAsia="宋体" w:cs="Times New Roman"/>
          <w:spacing w:val="4"/>
          <w:szCs w:val="21"/>
          <w:highlight w:val="none"/>
        </w:rPr>
        <w:t>续上表</w:t>
      </w:r>
    </w:p>
    <w:tbl>
      <w:tblPr>
        <w:tblStyle w:val="9"/>
        <w:tblW w:w="5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80"/>
        <w:gridCol w:w="744"/>
        <w:gridCol w:w="447"/>
        <w:gridCol w:w="511"/>
        <w:gridCol w:w="744"/>
        <w:gridCol w:w="731"/>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7" w:type="pct"/>
            <w:vMerge w:val="restart"/>
            <w:vAlign w:val="center"/>
          </w:tcPr>
          <w:p>
            <w:pPr>
              <w:adjustRightInd w:val="0"/>
              <w:snapToGrid w:val="0"/>
              <w:spacing w:line="360" w:lineRule="exact"/>
              <w:ind w:left="0" w:leftChars="0" w:firstLine="0" w:firstLineChars="0"/>
              <w:jc w:val="both"/>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条款号</w:t>
            </w:r>
          </w:p>
        </w:tc>
        <w:tc>
          <w:tcPr>
            <w:tcW w:w="1869" w:type="pct"/>
            <w:gridSpan w:val="5"/>
            <w:vAlign w:val="center"/>
          </w:tcPr>
          <w:p>
            <w:pPr>
              <w:adjustRightInd w:val="0"/>
              <w:snapToGrid w:val="0"/>
              <w:spacing w:line="360" w:lineRule="exact"/>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评分因素与权重分值</w:t>
            </w:r>
          </w:p>
        </w:tc>
        <w:tc>
          <w:tcPr>
            <w:tcW w:w="2612" w:type="pct"/>
            <w:vAlign w:val="center"/>
          </w:tcPr>
          <w:p>
            <w:pPr>
              <w:adjustRightInd w:val="0"/>
              <w:snapToGrid w:val="0"/>
              <w:spacing w:line="360" w:lineRule="exact"/>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7" w:type="pct"/>
            <w:vMerge w:val="continue"/>
            <w:vAlign w:val="center"/>
          </w:tcPr>
          <w:p>
            <w:pPr>
              <w:adjustRightInd w:val="0"/>
              <w:snapToGrid w:val="0"/>
              <w:spacing w:line="360" w:lineRule="exact"/>
              <w:jc w:val="center"/>
              <w:rPr>
                <w:rFonts w:ascii="Times New Roman" w:hAnsi="Times New Roman" w:eastAsia="宋体" w:cs="Times New Roman"/>
                <w:szCs w:val="21"/>
                <w:highlight w:val="none"/>
              </w:rPr>
            </w:pPr>
          </w:p>
        </w:tc>
        <w:tc>
          <w:tcPr>
            <w:tcW w:w="437" w:type="pct"/>
            <w:vAlign w:val="center"/>
          </w:tcPr>
          <w:p>
            <w:pPr>
              <w:adjustRightInd w:val="0"/>
              <w:snapToGrid w:val="0"/>
              <w:spacing w:line="360" w:lineRule="exact"/>
              <w:ind w:left="0" w:leftChars="0" w:firstLine="0" w:firstLineChars="0"/>
              <w:jc w:val="both"/>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评分因素</w:t>
            </w:r>
          </w:p>
        </w:tc>
        <w:tc>
          <w:tcPr>
            <w:tcW w:w="563" w:type="pct"/>
            <w:gridSpan w:val="2"/>
            <w:vAlign w:val="center"/>
          </w:tcPr>
          <w:p>
            <w:pPr>
              <w:adjustRightInd w:val="0"/>
              <w:snapToGrid w:val="0"/>
              <w:spacing w:line="360" w:lineRule="exact"/>
              <w:ind w:left="0" w:leftChars="0" w:firstLine="0" w:firstLineChars="0"/>
              <w:jc w:val="both"/>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评分因素权重分值</w:t>
            </w:r>
          </w:p>
        </w:tc>
        <w:tc>
          <w:tcPr>
            <w:tcW w:w="437" w:type="pct"/>
            <w:vAlign w:val="center"/>
          </w:tcPr>
          <w:p>
            <w:pPr>
              <w:adjustRightInd w:val="0"/>
              <w:snapToGrid w:val="0"/>
              <w:spacing w:line="360" w:lineRule="exact"/>
              <w:ind w:left="0" w:leftChars="0" w:firstLine="0" w:firstLineChars="0"/>
              <w:jc w:val="both"/>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各评分因素细分项</w:t>
            </w:r>
          </w:p>
        </w:tc>
        <w:tc>
          <w:tcPr>
            <w:tcW w:w="430" w:type="pct"/>
            <w:vAlign w:val="center"/>
          </w:tcPr>
          <w:p>
            <w:pPr>
              <w:adjustRightInd w:val="0"/>
              <w:snapToGrid w:val="0"/>
              <w:spacing w:line="360" w:lineRule="exact"/>
              <w:ind w:left="0" w:leftChars="0" w:firstLine="0" w:firstLineChars="0"/>
              <w:jc w:val="both"/>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分值</w:t>
            </w:r>
          </w:p>
        </w:tc>
        <w:tc>
          <w:tcPr>
            <w:tcW w:w="2612" w:type="pct"/>
            <w:vAlign w:val="center"/>
          </w:tcPr>
          <w:p>
            <w:pPr>
              <w:adjustRightInd w:val="0"/>
              <w:snapToGrid w:val="0"/>
              <w:spacing w:line="360" w:lineRule="exact"/>
              <w:jc w:val="center"/>
              <w:rPr>
                <w:rFonts w:ascii="Times New Roman" w:hAnsi="Times New Roman"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2.2.4(1)</w:t>
            </w:r>
          </w:p>
        </w:tc>
        <w:tc>
          <w:tcPr>
            <w:tcW w:w="43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技术建议书</w:t>
            </w:r>
          </w:p>
        </w:tc>
        <w:tc>
          <w:tcPr>
            <w:tcW w:w="563" w:type="pct"/>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lang w:val="en-US" w:eastAsia="zh-CN"/>
              </w:rPr>
              <w:t>5</w:t>
            </w:r>
            <w:r>
              <w:rPr>
                <w:rFonts w:ascii="Times New Roman" w:hAnsi="Times New Roman" w:eastAsia="宋体" w:cs="Times New Roman"/>
                <w:szCs w:val="21"/>
                <w:highlight w:val="none"/>
                <w:u w:val="single"/>
              </w:rPr>
              <w:t>0</w:t>
            </w:r>
            <w:r>
              <w:rPr>
                <w:rFonts w:ascii="Times New Roman" w:hAnsi="Times New Roman" w:eastAsia="宋体" w:cs="Times New Roman"/>
                <w:szCs w:val="21"/>
                <w:highlight w:val="none"/>
              </w:rPr>
              <w:t>分</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监控</w:t>
            </w:r>
            <w:r>
              <w:rPr>
                <w:rFonts w:hint="eastAsia" w:ascii="Times New Roman" w:hAnsi="Times New Roman" w:eastAsia="宋体" w:cs="Times New Roman"/>
                <w:szCs w:val="21"/>
                <w:highlight w:val="none"/>
                <w:lang w:val="en-US" w:eastAsia="zh-CN"/>
              </w:rPr>
              <w:t>/检测</w:t>
            </w:r>
            <w:r>
              <w:rPr>
                <w:rFonts w:ascii="Times New Roman" w:hAnsi="Times New Roman" w:eastAsia="宋体" w:cs="Times New Roman"/>
                <w:szCs w:val="21"/>
                <w:highlight w:val="none"/>
              </w:rPr>
              <w:t>方法</w:t>
            </w:r>
          </w:p>
        </w:tc>
        <w:tc>
          <w:tcPr>
            <w:tcW w:w="43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lang w:val="en-US" w:eastAsia="zh-CN"/>
              </w:rPr>
              <w:t>15</w:t>
            </w:r>
            <w:r>
              <w:rPr>
                <w:rFonts w:ascii="Times New Roman" w:hAnsi="Times New Roman" w:eastAsia="宋体" w:cs="Times New Roman"/>
                <w:szCs w:val="21"/>
                <w:highlight w:val="none"/>
              </w:rPr>
              <w:t>分</w:t>
            </w:r>
          </w:p>
        </w:tc>
        <w:tc>
          <w:tcPr>
            <w:tcW w:w="261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根据方法的适用性、准确性、可行性及内容的全面性、针对性等方面进行评分，得</w:t>
            </w:r>
            <w:r>
              <w:rPr>
                <w:rFonts w:hint="eastAsia" w:ascii="Times New Roman" w:hAnsi="Times New Roman" w:eastAsia="宋体" w:cs="Times New Roman"/>
                <w:szCs w:val="21"/>
                <w:highlight w:val="none"/>
                <w:lang w:val="en-US" w:eastAsia="zh-CN"/>
              </w:rPr>
              <w:t>9</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15</w:t>
            </w:r>
            <w:r>
              <w:rPr>
                <w:rFonts w:ascii="Times New Roman" w:hAnsi="Times New Roman" w:eastAsia="宋体" w:cs="Times New Roman"/>
                <w:szCs w:val="21"/>
                <w:highlight w:val="none"/>
              </w:rPr>
              <w:t>分</w:t>
            </w:r>
            <w:r>
              <w:rPr>
                <w:rFonts w:hint="eastAsia" w:ascii="Times New Roman" w:hAnsi="Times New Roman"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43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563" w:type="pct"/>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质量保障措施</w:t>
            </w:r>
          </w:p>
        </w:tc>
        <w:tc>
          <w:tcPr>
            <w:tcW w:w="43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lang w:val="en-US" w:eastAsia="zh-CN"/>
              </w:rPr>
              <w:t>15</w:t>
            </w:r>
            <w:r>
              <w:rPr>
                <w:rFonts w:ascii="Times New Roman" w:hAnsi="Times New Roman" w:eastAsia="宋体" w:cs="Times New Roman"/>
                <w:szCs w:val="21"/>
                <w:highlight w:val="none"/>
              </w:rPr>
              <w:t>分</w:t>
            </w:r>
          </w:p>
        </w:tc>
        <w:tc>
          <w:tcPr>
            <w:tcW w:w="261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对试验检测数据</w:t>
            </w:r>
            <w:r>
              <w:rPr>
                <w:rFonts w:hint="eastAsia" w:ascii="Times New Roman" w:hAnsi="Times New Roman" w:eastAsia="宋体" w:cs="Times New Roman"/>
                <w:szCs w:val="21"/>
                <w:highlight w:val="none"/>
              </w:rPr>
              <w:t>/监控</w:t>
            </w:r>
            <w:r>
              <w:rPr>
                <w:rFonts w:ascii="Times New Roman" w:hAnsi="Times New Roman" w:eastAsia="宋体" w:cs="Times New Roman"/>
                <w:szCs w:val="21"/>
                <w:highlight w:val="none"/>
              </w:rPr>
              <w:t>质量保障措施的合理性、可行性、可靠性及管理制度的全面性、可行性等方面进行评分，</w:t>
            </w:r>
            <w:r>
              <w:rPr>
                <w:rFonts w:hint="eastAsia" w:ascii="Times New Roman" w:hAnsi="Times New Roman" w:eastAsia="宋体" w:cs="Times New Roman"/>
                <w:szCs w:val="21"/>
                <w:highlight w:val="none"/>
              </w:rPr>
              <w:t>得</w:t>
            </w:r>
            <w:r>
              <w:rPr>
                <w:rFonts w:hint="eastAsia" w:ascii="Times New Roman" w:hAnsi="Times New Roman" w:eastAsia="宋体" w:cs="Times New Roman"/>
                <w:szCs w:val="21"/>
                <w:highlight w:val="none"/>
                <w:lang w:val="en-US" w:eastAsia="zh-CN"/>
              </w:rPr>
              <w:t>9~15</w:t>
            </w:r>
            <w:r>
              <w:rPr>
                <w:rFonts w:hint="eastAsia" w:ascii="Times New Roman" w:hAnsi="Times New Roman" w:eastAsia="宋体" w:cs="Times New Roman"/>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27" w:hRule="atLeast"/>
          <w:jc w:val="center"/>
        </w:trPr>
        <w:tc>
          <w:tcPr>
            <w:tcW w:w="5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43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563" w:type="pct"/>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 w:val="18"/>
                <w:szCs w:val="18"/>
                <w:highlight w:val="none"/>
              </w:rPr>
            </w:pPr>
            <w:r>
              <w:rPr>
                <w:rFonts w:ascii="Times New Roman" w:hAnsi="Times New Roman" w:eastAsia="宋体" w:cs="Times New Roman"/>
                <w:szCs w:val="21"/>
                <w:highlight w:val="none"/>
              </w:rPr>
              <w:t>对本工程的建议</w:t>
            </w:r>
          </w:p>
        </w:tc>
        <w:tc>
          <w:tcPr>
            <w:tcW w:w="43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10</w:t>
            </w:r>
            <w:r>
              <w:rPr>
                <w:rFonts w:ascii="Times New Roman" w:hAnsi="Times New Roman" w:eastAsia="宋体" w:cs="Times New Roman"/>
                <w:szCs w:val="21"/>
                <w:highlight w:val="none"/>
              </w:rPr>
              <w:t>分</w:t>
            </w:r>
          </w:p>
        </w:tc>
        <w:tc>
          <w:tcPr>
            <w:tcW w:w="261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对投标人提出的本项目建设管理风险及预防建议措施的针对性、合理性、可靠性进行评分，得</w:t>
            </w:r>
            <w:r>
              <w:rPr>
                <w:rFonts w:hint="eastAsia" w:ascii="Times New Roman" w:hAnsi="Times New Roman" w:eastAsia="宋体" w:cs="Times New Roman"/>
                <w:szCs w:val="21"/>
                <w:highlight w:val="none"/>
                <w:lang w:val="en-US" w:eastAsia="zh-CN"/>
              </w:rPr>
              <w:t>6</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10</w:t>
            </w:r>
            <w:r>
              <w:rPr>
                <w:rFonts w:ascii="Times New Roman" w:hAnsi="Times New Roman" w:eastAsia="宋体" w:cs="Times New Roman"/>
                <w:szCs w:val="21"/>
                <w:highlight w:val="none"/>
              </w:rPr>
              <w:t>分</w:t>
            </w:r>
            <w:r>
              <w:rPr>
                <w:rFonts w:hint="eastAsia" w:ascii="Times New Roman" w:hAnsi="Times New Roman"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0" w:hRule="atLeast"/>
          <w:jc w:val="center"/>
        </w:trPr>
        <w:tc>
          <w:tcPr>
            <w:tcW w:w="5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43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563" w:type="pct"/>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本项目</w:t>
            </w:r>
            <w:r>
              <w:rPr>
                <w:rFonts w:hint="eastAsia" w:ascii="Times New Roman" w:hAnsi="Times New Roman" w:eastAsia="宋体" w:cs="Times New Roman"/>
                <w:szCs w:val="21"/>
                <w:highlight w:val="none"/>
              </w:rPr>
              <w:t>监控</w:t>
            </w:r>
            <w:r>
              <w:rPr>
                <w:rFonts w:hint="eastAsia" w:ascii="Times New Roman" w:hAnsi="Times New Roman" w:eastAsia="宋体" w:cs="Times New Roman"/>
                <w:szCs w:val="21"/>
                <w:highlight w:val="none"/>
                <w:lang w:val="en-US" w:eastAsia="zh-CN"/>
              </w:rPr>
              <w:t>/检测</w:t>
            </w:r>
            <w:r>
              <w:rPr>
                <w:rFonts w:ascii="Times New Roman" w:hAnsi="Times New Roman" w:eastAsia="宋体" w:cs="Times New Roman"/>
                <w:szCs w:val="21"/>
                <w:highlight w:val="none"/>
              </w:rPr>
              <w:t>工作的建议</w:t>
            </w:r>
          </w:p>
        </w:tc>
        <w:tc>
          <w:tcPr>
            <w:tcW w:w="43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10</w:t>
            </w:r>
            <w:r>
              <w:rPr>
                <w:rFonts w:ascii="Times New Roman" w:hAnsi="Times New Roman" w:eastAsia="宋体" w:cs="Times New Roman"/>
                <w:szCs w:val="21"/>
                <w:highlight w:val="none"/>
              </w:rPr>
              <w:t>分</w:t>
            </w:r>
          </w:p>
        </w:tc>
        <w:tc>
          <w:tcPr>
            <w:tcW w:w="261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根据服务后期维护建议的可行性、合理性、保障性、有效性进行评分，得</w:t>
            </w:r>
            <w:r>
              <w:rPr>
                <w:rFonts w:hint="eastAsia" w:ascii="Times New Roman" w:hAnsi="Times New Roman" w:eastAsia="宋体" w:cs="Times New Roman"/>
                <w:szCs w:val="21"/>
                <w:highlight w:val="none"/>
                <w:lang w:val="en-US" w:eastAsia="zh-CN"/>
              </w:rPr>
              <w:t>6~10</w:t>
            </w:r>
            <w:r>
              <w:rPr>
                <w:rFonts w:ascii="Times New Roman" w:hAnsi="Times New Roman" w:eastAsia="宋体" w:cs="Times New Roman"/>
                <w:szCs w:val="21"/>
                <w:highlight w:val="none"/>
              </w:rPr>
              <w:t>分</w:t>
            </w:r>
            <w:r>
              <w:rPr>
                <w:rFonts w:hint="eastAsia" w:ascii="Times New Roman" w:hAnsi="Times New Roman"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7"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2.2.4(2)</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主要人员</w:t>
            </w:r>
          </w:p>
        </w:tc>
        <w:tc>
          <w:tcPr>
            <w:tcW w:w="5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15</w:t>
            </w:r>
            <w:r>
              <w:rPr>
                <w:rFonts w:ascii="Times New Roman" w:hAnsi="Times New Roman" w:eastAsia="宋体" w:cs="Times New Roman"/>
                <w:szCs w:val="21"/>
                <w:highlight w:val="none"/>
              </w:rPr>
              <w:t>分</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项目负责人</w:t>
            </w:r>
            <w:r>
              <w:rPr>
                <w:rFonts w:ascii="Times New Roman" w:hAnsi="Times New Roman" w:eastAsia="宋体" w:cs="Times New Roman"/>
                <w:szCs w:val="21"/>
                <w:highlight w:val="none"/>
              </w:rPr>
              <w:t>任职资格与业绩</w:t>
            </w:r>
          </w:p>
        </w:tc>
        <w:tc>
          <w:tcPr>
            <w:tcW w:w="43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15</w:t>
            </w:r>
            <w:r>
              <w:rPr>
                <w:rFonts w:ascii="Times New Roman" w:hAnsi="Times New Roman" w:eastAsia="宋体" w:cs="Times New Roman"/>
                <w:szCs w:val="21"/>
                <w:highlight w:val="none"/>
              </w:rPr>
              <w:t>分</w:t>
            </w:r>
          </w:p>
        </w:tc>
        <w:tc>
          <w:tcPr>
            <w:tcW w:w="2612" w:type="pct"/>
            <w:vAlign w:val="center"/>
          </w:tcPr>
          <w:p>
            <w:pPr>
              <w:keepNext w:val="0"/>
              <w:keepLines w:val="0"/>
              <w:pageBreakBefore w:val="0"/>
              <w:widowControl w:val="0"/>
              <w:kinsoku/>
              <w:wordWrap/>
              <w:overflowPunct/>
              <w:topLinePunct w:val="0"/>
              <w:autoSpaceDE/>
              <w:autoSpaceDN/>
              <w:bidi w:val="0"/>
              <w:adjustRightInd w:val="0"/>
              <w:snapToGrid w:val="0"/>
              <w:spacing w:after="93" w:afterLines="30" w:line="360" w:lineRule="exact"/>
              <w:ind w:firstLine="0" w:firstLineChars="0"/>
              <w:jc w:val="both"/>
              <w:textAlignment w:val="auto"/>
              <w:rPr>
                <w:rFonts w:hAnsi="Times New Roman" w:cs="Times New Roman"/>
                <w:b/>
                <w:bCs/>
                <w:highlight w:val="none"/>
              </w:rPr>
            </w:pPr>
            <w:r>
              <w:rPr>
                <w:rFonts w:hint="eastAsia" w:hAnsi="Times New Roman" w:cs="Times New Roman"/>
                <w:b/>
                <w:bCs/>
                <w:highlight w:val="none"/>
              </w:rPr>
              <w:t>GJGS-QLJK-</w:t>
            </w:r>
            <w:r>
              <w:rPr>
                <w:rFonts w:hint="eastAsia" w:hAnsi="Times New Roman" w:cs="Times New Roman"/>
                <w:b/>
                <w:bCs/>
                <w:highlight w:val="none"/>
                <w:lang w:val="en-US" w:eastAsia="zh-CN"/>
              </w:rPr>
              <w:t>04</w:t>
            </w:r>
            <w:r>
              <w:rPr>
                <w:rFonts w:hint="eastAsia" w:hAnsi="Times New Roman" w:cs="Times New Roman"/>
                <w:b/>
                <w:bCs/>
                <w:highlight w:val="none"/>
              </w:rPr>
              <w:t>标段：</w:t>
            </w:r>
          </w:p>
          <w:p>
            <w:pPr>
              <w:keepNext w:val="0"/>
              <w:keepLines w:val="0"/>
              <w:pageBreakBefore w:val="0"/>
              <w:widowControl w:val="0"/>
              <w:kinsoku/>
              <w:wordWrap/>
              <w:overflowPunct/>
              <w:topLinePunct w:val="0"/>
              <w:autoSpaceDE/>
              <w:autoSpaceDN/>
              <w:bidi w:val="0"/>
              <w:adjustRightInd w:val="0"/>
              <w:snapToGrid w:val="0"/>
              <w:spacing w:after="93" w:afterLines="30" w:line="360" w:lineRule="exact"/>
              <w:ind w:firstLine="0" w:firstLineChars="0"/>
              <w:jc w:val="both"/>
              <w:textAlignment w:val="auto"/>
              <w:rPr>
                <w:rFonts w:hint="eastAsia" w:hAnsi="Times New Roman" w:cs="Times New Roman"/>
                <w:color w:val="FF0000"/>
                <w:highlight w:val="none"/>
                <w:lang w:eastAsia="zh-CN"/>
              </w:rPr>
            </w:pPr>
            <w:r>
              <w:rPr>
                <w:rFonts w:hAnsi="Times New Roman" w:cs="Times New Roman"/>
                <w:color w:val="FF0000"/>
                <w:highlight w:val="none"/>
              </w:rPr>
              <w:t>在最低资格条件的基础上</w:t>
            </w:r>
            <w:r>
              <w:rPr>
                <w:rFonts w:hint="eastAsia" w:hAnsi="Times New Roman" w:cs="Times New Roman"/>
                <w:color w:val="FF0000"/>
                <w:highlight w:val="none"/>
              </w:rPr>
              <w:t>，</w:t>
            </w:r>
            <w:r>
              <w:rPr>
                <w:rFonts w:hAnsi="Times New Roman" w:cs="Times New Roman"/>
                <w:color w:val="FF0000"/>
                <w:highlight w:val="none"/>
              </w:rPr>
              <w:t>每担任过</w:t>
            </w:r>
            <w:r>
              <w:rPr>
                <w:rFonts w:hAnsi="Times New Roman" w:cs="Times New Roman"/>
                <w:b/>
                <w:bCs/>
                <w:color w:val="FF0000"/>
                <w:highlight w:val="none"/>
              </w:rPr>
              <w:t>1</w:t>
            </w:r>
            <w:r>
              <w:rPr>
                <w:rFonts w:hint="eastAsia" w:hAnsi="Times New Roman" w:cs="Times New Roman"/>
                <w:b/>
                <w:bCs/>
                <w:color w:val="FF0000"/>
                <w:highlight w:val="none"/>
                <w:lang w:val="en-US" w:eastAsia="zh-CN"/>
              </w:rPr>
              <w:t>个</w:t>
            </w:r>
            <w:r>
              <w:rPr>
                <w:rFonts w:hint="eastAsia" w:hAnsi="Times New Roman" w:cs="Times New Roman"/>
                <w:color w:val="FF0000"/>
                <w:highlight w:val="none"/>
              </w:rPr>
              <w:t>桥梁</w:t>
            </w:r>
            <w:r>
              <w:rPr>
                <w:rFonts w:hint="eastAsia" w:hAnsi="Times New Roman" w:cs="Times New Roman"/>
                <w:color w:val="FF0000"/>
                <w:highlight w:val="none"/>
                <w:lang w:val="en-US" w:eastAsia="zh-CN"/>
              </w:rPr>
              <w:t>施工</w:t>
            </w:r>
            <w:r>
              <w:rPr>
                <w:rFonts w:hint="eastAsia" w:hAnsi="Times New Roman" w:cs="Times New Roman"/>
                <w:color w:val="FF0000"/>
                <w:highlight w:val="none"/>
              </w:rPr>
              <w:t>监控</w:t>
            </w:r>
            <w:r>
              <w:rPr>
                <w:rFonts w:hAnsi="Times New Roman" w:cs="Times New Roman"/>
                <w:color w:val="FF0000"/>
                <w:highlight w:val="none"/>
              </w:rPr>
              <w:t>项目的项目负责人</w:t>
            </w:r>
            <w:r>
              <w:rPr>
                <w:rFonts w:hint="eastAsia" w:hAnsi="Times New Roman" w:cs="Times New Roman"/>
                <w:color w:val="FF0000"/>
                <w:highlight w:val="none"/>
                <w:lang w:val="en-US" w:eastAsia="zh-CN"/>
              </w:rPr>
              <w:t>或技术负责人</w:t>
            </w:r>
            <w:r>
              <w:rPr>
                <w:rFonts w:hAnsi="Times New Roman" w:cs="Times New Roman"/>
                <w:color w:val="FF0000"/>
                <w:highlight w:val="none"/>
              </w:rPr>
              <w:t>，加</w:t>
            </w:r>
            <w:r>
              <w:rPr>
                <w:rFonts w:hint="eastAsia" w:hAnsi="Times New Roman" w:cs="Times New Roman"/>
                <w:color w:val="FF0000"/>
                <w:highlight w:val="none"/>
                <w:lang w:val="en-US" w:eastAsia="zh-CN"/>
              </w:rPr>
              <w:t>7.5</w:t>
            </w:r>
            <w:r>
              <w:rPr>
                <w:rFonts w:hAnsi="Times New Roman" w:cs="Times New Roman"/>
                <w:color w:val="FF0000"/>
                <w:highlight w:val="none"/>
              </w:rPr>
              <w:t>分，最高得</w:t>
            </w:r>
            <w:r>
              <w:rPr>
                <w:rFonts w:hint="eastAsia" w:hAnsi="Times New Roman" w:cs="Times New Roman"/>
                <w:color w:val="FF0000"/>
                <w:highlight w:val="none"/>
                <w:lang w:val="en-US" w:eastAsia="zh-CN"/>
              </w:rPr>
              <w:t>15</w:t>
            </w:r>
            <w:r>
              <w:rPr>
                <w:rFonts w:hAnsi="Times New Roman" w:cs="Times New Roman"/>
                <w:color w:val="FF0000"/>
                <w:highlight w:val="none"/>
              </w:rPr>
              <w:t>分</w:t>
            </w:r>
            <w:r>
              <w:rPr>
                <w:rFonts w:hint="eastAsia" w:hAnsi="Times New Roman" w:cs="Times New Roman"/>
                <w:color w:val="FF000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93" w:afterLines="30" w:line="360" w:lineRule="exact"/>
              <w:ind w:firstLine="0" w:firstLineChars="0"/>
              <w:jc w:val="both"/>
              <w:textAlignment w:val="auto"/>
              <w:rPr>
                <w:rFonts w:hint="eastAsia" w:hAnsi="Times New Roman" w:cs="Times New Roman"/>
                <w:b/>
                <w:bCs/>
                <w:highlight w:val="none"/>
                <w:lang w:eastAsia="zh-CN"/>
              </w:rPr>
            </w:pPr>
            <w:r>
              <w:rPr>
                <w:rFonts w:hint="eastAsia" w:hAnsi="Times New Roman" w:cs="Times New Roman"/>
                <w:b/>
                <w:bCs/>
                <w:highlight w:val="none"/>
              </w:rPr>
              <w:t>GJGS-SDJC-02</w:t>
            </w:r>
            <w:r>
              <w:rPr>
                <w:rFonts w:hint="eastAsia" w:hAnsi="Times New Roman" w:cs="Times New Roman"/>
                <w:b/>
                <w:bCs/>
                <w:highlight w:val="none"/>
                <w:lang w:eastAsia="zh-CN"/>
              </w:rPr>
              <w:t>（</w:t>
            </w:r>
            <w:r>
              <w:rPr>
                <w:rFonts w:hint="eastAsia" w:hAnsi="Times New Roman" w:cs="Times New Roman"/>
                <w:b/>
                <w:bCs/>
                <w:highlight w:val="none"/>
                <w:lang w:val="en-US" w:eastAsia="zh-CN"/>
              </w:rPr>
              <w:t>第二次</w:t>
            </w:r>
            <w:r>
              <w:rPr>
                <w:rFonts w:hint="eastAsia" w:hAnsi="Times New Roman" w:cs="Times New Roman"/>
                <w:b/>
                <w:bCs/>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93" w:afterLines="30" w:line="360" w:lineRule="exact"/>
              <w:ind w:firstLine="0" w:firstLineChars="0"/>
              <w:jc w:val="both"/>
              <w:textAlignment w:val="auto"/>
              <w:rPr>
                <w:rFonts w:hint="eastAsia" w:hAnsi="Times New Roman" w:cs="Times New Roman"/>
                <w:b/>
                <w:bCs/>
                <w:highlight w:val="none"/>
                <w:lang w:eastAsia="zh-CN"/>
              </w:rPr>
            </w:pPr>
            <w:r>
              <w:rPr>
                <w:rFonts w:hint="eastAsia" w:hAnsi="Times New Roman" w:cs="Times New Roman"/>
                <w:highlight w:val="none"/>
                <w:lang w:eastAsia="zh-CN"/>
              </w:rPr>
              <w:t>在最低资格条件的基础上，每担任过1个高速公路隧道检测项目的项目负责人，加</w:t>
            </w:r>
            <w:r>
              <w:rPr>
                <w:rFonts w:hint="eastAsia" w:hAnsi="Times New Roman" w:cs="Times New Roman"/>
                <w:highlight w:val="none"/>
                <w:lang w:val="en-US" w:eastAsia="zh-CN"/>
              </w:rPr>
              <w:t>15</w:t>
            </w:r>
            <w:r>
              <w:rPr>
                <w:rFonts w:hint="eastAsia" w:hAnsi="Times New Roman" w:cs="Times New Roman"/>
                <w:highlight w:val="none"/>
                <w:lang w:eastAsia="zh-CN"/>
              </w:rPr>
              <w:t>分，最高得</w:t>
            </w:r>
            <w:r>
              <w:rPr>
                <w:rFonts w:hint="eastAsia" w:hAnsi="Times New Roman" w:cs="Times New Roman"/>
                <w:highlight w:val="none"/>
                <w:lang w:val="en-US" w:eastAsia="zh-CN"/>
              </w:rPr>
              <w:t>15</w:t>
            </w:r>
            <w:r>
              <w:rPr>
                <w:rFonts w:hint="eastAsia" w:hAnsi="Times New Roman" w:cs="Times New Roman"/>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2.2.4(3)</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Ansi="Times New Roman" w:cs="Times New Roman"/>
                <w:highlight w:val="none"/>
              </w:rPr>
            </w:pPr>
            <w:r>
              <w:rPr>
                <w:rFonts w:ascii="Times New Roman" w:hAnsi="Times New Roman" w:cs="Times New Roman"/>
                <w:highlight w:val="none"/>
              </w:rPr>
              <w:t>评标价</w:t>
            </w:r>
          </w:p>
        </w:tc>
        <w:tc>
          <w:tcPr>
            <w:tcW w:w="5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lang w:val="en-US" w:eastAsia="zh-CN"/>
              </w:rPr>
              <w:t>2</w:t>
            </w:r>
            <w:r>
              <w:rPr>
                <w:rFonts w:ascii="Times New Roman" w:hAnsi="Times New Roman" w:eastAsia="宋体" w:cs="Times New Roman"/>
                <w:szCs w:val="21"/>
                <w:highlight w:val="none"/>
                <w:u w:val="single"/>
              </w:rPr>
              <w:t>0</w:t>
            </w:r>
            <w:r>
              <w:rPr>
                <w:rFonts w:ascii="Times New Roman" w:hAnsi="Times New Roman" w:eastAsia="宋体" w:cs="Times New Roman"/>
                <w:szCs w:val="21"/>
                <w:highlight w:val="none"/>
              </w:rPr>
              <w:t>分</w:t>
            </w:r>
          </w:p>
        </w:tc>
        <w:tc>
          <w:tcPr>
            <w:tcW w:w="348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评标价得分计算公式示例：</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(1)如果投标人的评标价&gt;评标基准价，则评标价得分＝F－偏差率×100×E1；</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(2)如果投标人的评标价≤评标基准价，则评标价得分＝F＋偏差率×100×E2。</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其中：F是评标价所占的权重分值，F=</w:t>
            </w:r>
            <w:r>
              <w:rPr>
                <w:rFonts w:hint="eastAsia" w:ascii="Times New Roman" w:hAnsi="Times New Roman" w:eastAsia="宋体" w:cs="Times New Roman"/>
                <w:szCs w:val="21"/>
                <w:highlight w:val="none"/>
                <w:lang w:val="en-US" w:eastAsia="zh-CN"/>
              </w:rPr>
              <w:t>20</w:t>
            </w:r>
            <w:r>
              <w:rPr>
                <w:rFonts w:ascii="Times New Roman" w:hAnsi="Times New Roman" w:eastAsia="宋体" w:cs="Times New Roman"/>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E1是评标价每高于评标基准价一个百分点的扣分值，E1=</w:t>
            </w:r>
            <w:r>
              <w:rPr>
                <w:rFonts w:hint="eastAsia" w:ascii="Times New Roman" w:hAnsi="Times New Roman" w:eastAsia="宋体" w:cs="Times New Roman"/>
                <w:szCs w:val="21"/>
                <w:highlight w:val="none"/>
                <w:lang w:val="en-US" w:eastAsia="zh-CN"/>
              </w:rPr>
              <w:t>0.2</w:t>
            </w:r>
            <w:r>
              <w:rPr>
                <w:rFonts w:ascii="Times New Roman" w:hAnsi="Times New Roman" w:eastAsia="宋体" w:cs="Times New Roman"/>
                <w:szCs w:val="21"/>
                <w:highlight w:val="none"/>
              </w:rPr>
              <w:t>；E2是评标价每低于评标基准价一个百分点的扣分值，低于评标基准价但不低于最高投标限价90%时，E2=</w:t>
            </w:r>
            <w:r>
              <w:rPr>
                <w:rFonts w:hint="eastAsia" w:ascii="Times New Roman" w:hAnsi="Times New Roman" w:eastAsia="宋体" w:cs="Times New Roman"/>
                <w:szCs w:val="21"/>
                <w:highlight w:val="none"/>
              </w:rPr>
              <w:t>0.</w:t>
            </w:r>
            <w:r>
              <w:rPr>
                <w:rFonts w:hint="eastAsia" w:ascii="Times New Roman" w:hAnsi="Times New Roman" w:eastAsia="宋体" w:cs="Times New Roman"/>
                <w:szCs w:val="21"/>
                <w:highlight w:val="none"/>
                <w:lang w:val="en-US" w:eastAsia="zh-CN"/>
              </w:rPr>
              <w:t>1</w:t>
            </w:r>
            <w:r>
              <w:rPr>
                <w:rFonts w:ascii="Times New Roman" w:hAnsi="Times New Roman" w:eastAsia="宋体" w:cs="Times New Roman"/>
                <w:szCs w:val="21"/>
                <w:highlight w:val="none"/>
              </w:rPr>
              <w:t>，低于最高投标限价90%时，E2=</w:t>
            </w:r>
            <w:r>
              <w:rPr>
                <w:rFonts w:hint="eastAsia" w:ascii="Times New Roman" w:hAnsi="Times New Roman" w:eastAsia="宋体" w:cs="Times New Roman"/>
                <w:szCs w:val="21"/>
                <w:highlight w:val="none"/>
                <w:lang w:val="en-US" w:eastAsia="zh-CN"/>
              </w:rPr>
              <w:t>0.2</w:t>
            </w:r>
            <w:r>
              <w:rPr>
                <w:rFonts w:ascii="Times New Roman" w:hAnsi="Times New Roman" w:eastAsia="宋体" w:cs="Times New Roman"/>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评标价最低得0分。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2.2.4(4)</w:t>
            </w:r>
          </w:p>
        </w:tc>
        <w:tc>
          <w:tcPr>
            <w:tcW w:w="43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其他因素</w:t>
            </w:r>
          </w:p>
        </w:tc>
        <w:tc>
          <w:tcPr>
            <w:tcW w:w="2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业绩</w:t>
            </w:r>
          </w:p>
        </w:tc>
        <w:tc>
          <w:tcPr>
            <w:tcW w:w="30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12</w:t>
            </w:r>
            <w:r>
              <w:rPr>
                <w:rFonts w:ascii="Times New Roman" w:hAnsi="Times New Roman" w:eastAsia="宋体" w:cs="Times New Roman"/>
                <w:szCs w:val="21"/>
                <w:highlight w:val="none"/>
              </w:rPr>
              <w:t>分</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业绩</w:t>
            </w:r>
          </w:p>
        </w:tc>
        <w:tc>
          <w:tcPr>
            <w:tcW w:w="43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12</w:t>
            </w:r>
            <w:r>
              <w:rPr>
                <w:rFonts w:ascii="Times New Roman" w:hAnsi="Times New Roman" w:eastAsia="宋体" w:cs="Times New Roman"/>
                <w:szCs w:val="21"/>
                <w:highlight w:val="none"/>
              </w:rPr>
              <w:t>分</w:t>
            </w:r>
          </w:p>
        </w:tc>
        <w:tc>
          <w:tcPr>
            <w:tcW w:w="2612" w:type="pct"/>
            <w:vAlign w:val="center"/>
          </w:tcPr>
          <w:p>
            <w:pPr>
              <w:keepNext w:val="0"/>
              <w:keepLines w:val="0"/>
              <w:pageBreakBefore w:val="0"/>
              <w:widowControl w:val="0"/>
              <w:kinsoku/>
              <w:wordWrap/>
              <w:overflowPunct/>
              <w:topLinePunct w:val="0"/>
              <w:autoSpaceDE/>
              <w:autoSpaceDN/>
              <w:bidi w:val="0"/>
              <w:adjustRightInd w:val="0"/>
              <w:snapToGrid w:val="0"/>
              <w:spacing w:before="93" w:beforeLines="30" w:line="360" w:lineRule="exact"/>
              <w:ind w:firstLine="0" w:firstLineChars="0"/>
              <w:jc w:val="both"/>
              <w:textAlignment w:val="auto"/>
              <w:rPr>
                <w:rFonts w:hAnsi="Times New Roman" w:cs="Times New Roman"/>
                <w:b/>
                <w:bCs/>
                <w:highlight w:val="none"/>
              </w:rPr>
            </w:pPr>
            <w:r>
              <w:rPr>
                <w:rFonts w:hint="eastAsia" w:hAnsi="Times New Roman" w:cs="Times New Roman"/>
                <w:b/>
                <w:bCs/>
                <w:highlight w:val="none"/>
              </w:rPr>
              <w:t>GJGS-QLJK-</w:t>
            </w:r>
            <w:r>
              <w:rPr>
                <w:rFonts w:hint="eastAsia" w:hAnsi="Times New Roman" w:cs="Times New Roman"/>
                <w:b/>
                <w:bCs/>
                <w:highlight w:val="none"/>
                <w:lang w:val="en-US" w:eastAsia="zh-CN"/>
              </w:rPr>
              <w:t>04</w:t>
            </w:r>
            <w:r>
              <w:rPr>
                <w:rFonts w:hint="eastAsia" w:hAnsi="Times New Roman" w:cs="Times New Roman"/>
                <w:b/>
                <w:bCs/>
                <w:highlight w:val="none"/>
              </w:rPr>
              <w:t>标段：</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hAnsi="Times New Roman" w:cs="Times New Roman"/>
                <w:highlight w:val="none"/>
                <w:lang w:eastAsia="zh-CN"/>
              </w:rPr>
            </w:pPr>
            <w:r>
              <w:rPr>
                <w:rFonts w:hint="eastAsia" w:hAnsi="Times New Roman" w:cs="Times New Roman"/>
                <w:highlight w:val="none"/>
                <w:lang w:eastAsia="zh-CN"/>
              </w:rPr>
              <w:t>（</w:t>
            </w:r>
            <w:r>
              <w:rPr>
                <w:rFonts w:hint="eastAsia" w:hAnsi="Times New Roman" w:cs="Times New Roman"/>
                <w:highlight w:val="none"/>
                <w:lang w:val="en-US" w:eastAsia="zh-CN"/>
              </w:rPr>
              <w:t>1</w:t>
            </w:r>
            <w:r>
              <w:rPr>
                <w:rFonts w:hint="eastAsia" w:hAnsi="Times New Roman" w:cs="Times New Roman"/>
                <w:highlight w:val="none"/>
                <w:lang w:eastAsia="zh-CN"/>
              </w:rPr>
              <w:t>）近年内（2016年1月1日至投标文件递交截止之日）每承担过（含在建）</w:t>
            </w:r>
            <w:r>
              <w:rPr>
                <w:rFonts w:hint="eastAsia" w:hAnsi="Times New Roman" w:cs="Times New Roman"/>
                <w:b/>
                <w:bCs/>
                <w:highlight w:val="none"/>
                <w:lang w:eastAsia="zh-CN"/>
              </w:rPr>
              <w:t>1座斜拉桥</w:t>
            </w:r>
            <w:r>
              <w:rPr>
                <w:rFonts w:hint="eastAsia" w:hAnsi="Times New Roman" w:cs="Times New Roman"/>
                <w:highlight w:val="none"/>
                <w:lang w:eastAsia="zh-CN"/>
              </w:rPr>
              <w:t>桥梁</w:t>
            </w:r>
            <w:r>
              <w:rPr>
                <w:rFonts w:hint="eastAsia" w:hAnsi="Times New Roman" w:cs="Times New Roman"/>
                <w:highlight w:val="none"/>
                <w:lang w:val="en-US" w:eastAsia="zh-CN"/>
              </w:rPr>
              <w:t>施工</w:t>
            </w:r>
            <w:r>
              <w:rPr>
                <w:rFonts w:hint="eastAsia" w:hAnsi="Times New Roman" w:cs="Times New Roman"/>
                <w:highlight w:val="none"/>
                <w:lang w:eastAsia="zh-CN"/>
              </w:rPr>
              <w:t>监控项目，加</w:t>
            </w:r>
            <w:r>
              <w:rPr>
                <w:rFonts w:hint="eastAsia" w:hAnsi="Times New Roman" w:cs="Times New Roman"/>
                <w:highlight w:val="none"/>
                <w:lang w:val="en-US" w:eastAsia="zh-CN"/>
              </w:rPr>
              <w:t>2</w:t>
            </w:r>
            <w:r>
              <w:rPr>
                <w:rFonts w:hint="eastAsia" w:hAnsi="Times New Roman" w:cs="Times New Roman"/>
                <w:highlight w:val="none"/>
                <w:lang w:eastAsia="zh-CN"/>
              </w:rPr>
              <w:t>分，最高得</w:t>
            </w:r>
            <w:r>
              <w:rPr>
                <w:rFonts w:hint="eastAsia" w:hAnsi="Times New Roman" w:cs="Times New Roman"/>
                <w:highlight w:val="none"/>
                <w:lang w:val="en-US" w:eastAsia="zh-CN"/>
              </w:rPr>
              <w:t>6</w:t>
            </w:r>
            <w:r>
              <w:rPr>
                <w:rFonts w:hint="eastAsia" w:hAnsi="Times New Roman" w:cs="Times New Roman"/>
                <w:highlight w:val="none"/>
                <w:lang w:eastAsia="zh-CN"/>
              </w:rPr>
              <w:t>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hAnsi="Times New Roman" w:cs="Times New Roman"/>
                <w:b w:val="0"/>
                <w:bCs w:val="0"/>
                <w:highlight w:val="none"/>
              </w:rPr>
            </w:pPr>
            <w:r>
              <w:rPr>
                <w:rFonts w:hint="eastAsia" w:hAnsi="Times New Roman" w:cs="Times New Roman"/>
                <w:highlight w:val="none"/>
                <w:lang w:eastAsia="zh-CN"/>
              </w:rPr>
              <w:t>（</w:t>
            </w:r>
            <w:r>
              <w:rPr>
                <w:rFonts w:hint="eastAsia" w:hAnsi="Times New Roman" w:cs="Times New Roman"/>
                <w:highlight w:val="none"/>
                <w:lang w:val="en-US" w:eastAsia="zh-CN"/>
              </w:rPr>
              <w:t>2</w:t>
            </w:r>
            <w:r>
              <w:rPr>
                <w:rFonts w:hint="eastAsia" w:hAnsi="Times New Roman" w:cs="Times New Roman"/>
                <w:highlight w:val="none"/>
                <w:lang w:eastAsia="zh-CN"/>
              </w:rPr>
              <w:t>）</w:t>
            </w:r>
            <w:r>
              <w:rPr>
                <w:rFonts w:hAnsi="Times New Roman" w:cs="Times New Roman"/>
                <w:b w:val="0"/>
                <w:bCs w:val="0"/>
                <w:highlight w:val="none"/>
              </w:rPr>
              <w:t>近年内（2016年1月1日至投标文件递交截止之日）每承担过（含在建）</w:t>
            </w:r>
            <w:r>
              <w:rPr>
                <w:rFonts w:hint="eastAsia" w:hAnsi="Times New Roman" w:cs="Times New Roman"/>
                <w:b/>
                <w:bCs/>
                <w:highlight w:val="none"/>
              </w:rPr>
              <w:t>1座高速公路主跨</w:t>
            </w:r>
            <w:r>
              <w:rPr>
                <w:rFonts w:hAnsi="Times New Roman" w:cs="Times New Roman"/>
                <w:b/>
                <w:bCs/>
                <w:highlight w:val="none"/>
              </w:rPr>
              <w:t>575</w:t>
            </w:r>
            <w:r>
              <w:rPr>
                <w:rFonts w:hint="eastAsia" w:hAnsi="Times New Roman" w:cs="Times New Roman"/>
                <w:b/>
                <w:bCs/>
                <w:highlight w:val="none"/>
              </w:rPr>
              <w:t>米（含）以上的斜拉桥</w:t>
            </w:r>
            <w:r>
              <w:rPr>
                <w:rFonts w:hint="eastAsia" w:hAnsi="Times New Roman" w:cs="Times New Roman"/>
                <w:b w:val="0"/>
                <w:bCs w:val="0"/>
                <w:highlight w:val="none"/>
              </w:rPr>
              <w:t>桥梁</w:t>
            </w:r>
            <w:r>
              <w:rPr>
                <w:rFonts w:hint="eastAsia" w:hAnsi="Times New Roman" w:cs="Times New Roman"/>
                <w:b w:val="0"/>
                <w:bCs w:val="0"/>
                <w:highlight w:val="none"/>
                <w:lang w:val="en-US" w:eastAsia="zh-CN"/>
              </w:rPr>
              <w:t>施工</w:t>
            </w:r>
            <w:r>
              <w:rPr>
                <w:rFonts w:hint="eastAsia" w:hAnsi="Times New Roman" w:cs="Times New Roman"/>
                <w:b w:val="0"/>
                <w:bCs w:val="0"/>
                <w:highlight w:val="none"/>
              </w:rPr>
              <w:t>监控项目</w:t>
            </w:r>
            <w:r>
              <w:rPr>
                <w:rFonts w:hAnsi="Times New Roman" w:cs="Times New Roman"/>
                <w:b w:val="0"/>
                <w:bCs w:val="0"/>
                <w:highlight w:val="none"/>
              </w:rPr>
              <w:t>，加</w:t>
            </w:r>
            <w:r>
              <w:rPr>
                <w:rFonts w:hint="eastAsia" w:hAnsi="Times New Roman" w:cs="Times New Roman"/>
                <w:b w:val="0"/>
                <w:bCs w:val="0"/>
                <w:highlight w:val="none"/>
                <w:lang w:val="en-US" w:eastAsia="zh-CN"/>
              </w:rPr>
              <w:t>6</w:t>
            </w:r>
            <w:r>
              <w:rPr>
                <w:rFonts w:hAnsi="Times New Roman" w:cs="Times New Roman"/>
                <w:b w:val="0"/>
                <w:bCs w:val="0"/>
                <w:highlight w:val="none"/>
              </w:rPr>
              <w:t>分，最高得</w:t>
            </w:r>
            <w:r>
              <w:rPr>
                <w:rFonts w:hint="eastAsia" w:hAnsi="Times New Roman" w:cs="Times New Roman"/>
                <w:b w:val="0"/>
                <w:bCs w:val="0"/>
                <w:highlight w:val="none"/>
                <w:lang w:val="en-US" w:eastAsia="zh-CN"/>
              </w:rPr>
              <w:t>6</w:t>
            </w:r>
            <w:r>
              <w:rPr>
                <w:rFonts w:hAnsi="Times New Roman" w:cs="Times New Roman"/>
                <w:b w:val="0"/>
                <w:bCs w:val="0"/>
                <w:highlight w:val="none"/>
              </w:rPr>
              <w:t>分</w:t>
            </w:r>
            <w:r>
              <w:rPr>
                <w:rFonts w:hint="eastAsia" w:hAnsi="Times New Roman" w:cs="Times New Roman"/>
                <w:b w:val="0"/>
                <w:bCs w:val="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hAnsi="Times New Roman" w:cs="Times New Roman" w:eastAsiaTheme="minorEastAsia"/>
                <w:b w:val="0"/>
                <w:bCs w:val="0"/>
                <w:highlight w:val="none"/>
                <w:lang w:val="en-US" w:eastAsia="zh-CN"/>
              </w:rPr>
            </w:pPr>
            <w:r>
              <w:rPr>
                <w:rFonts w:hint="eastAsia" w:hAnsi="Times New Roman" w:cs="Times New Roman"/>
                <w:b w:val="0"/>
                <w:bCs w:val="0"/>
                <w:highlight w:val="none"/>
                <w:lang w:val="en-US" w:eastAsia="zh-CN"/>
              </w:rPr>
              <w:t>注：同一业绩不可重复加分，按加分项高分值加分。</w:t>
            </w:r>
          </w:p>
          <w:p>
            <w:pPr>
              <w:keepNext w:val="0"/>
              <w:keepLines w:val="0"/>
              <w:pageBreakBefore w:val="0"/>
              <w:widowControl w:val="0"/>
              <w:kinsoku/>
              <w:wordWrap/>
              <w:overflowPunct/>
              <w:topLinePunct w:val="0"/>
              <w:autoSpaceDE/>
              <w:autoSpaceDN/>
              <w:bidi w:val="0"/>
              <w:adjustRightInd w:val="0"/>
              <w:snapToGrid w:val="0"/>
              <w:spacing w:before="93" w:beforeLines="30" w:line="360" w:lineRule="exact"/>
              <w:ind w:firstLine="0" w:firstLineChars="0"/>
              <w:jc w:val="both"/>
              <w:textAlignment w:val="auto"/>
              <w:rPr>
                <w:rFonts w:hint="eastAsia" w:hAnsi="Times New Roman" w:cs="Times New Roman"/>
                <w:b/>
                <w:bCs/>
                <w:highlight w:val="none"/>
                <w:lang w:eastAsia="zh-CN"/>
              </w:rPr>
            </w:pPr>
            <w:r>
              <w:rPr>
                <w:rFonts w:hint="eastAsia" w:hAnsi="Times New Roman" w:cs="Times New Roman"/>
                <w:b/>
                <w:bCs/>
                <w:highlight w:val="none"/>
              </w:rPr>
              <w:t>GJGS-SDJC-02</w:t>
            </w:r>
            <w:r>
              <w:rPr>
                <w:rFonts w:hint="eastAsia" w:hAnsi="Times New Roman" w:cs="Times New Roman"/>
                <w:b/>
                <w:bCs/>
                <w:highlight w:val="none"/>
                <w:lang w:eastAsia="zh-CN"/>
              </w:rPr>
              <w:t>（</w:t>
            </w:r>
            <w:r>
              <w:rPr>
                <w:rFonts w:hint="eastAsia" w:hAnsi="Times New Roman" w:cs="Times New Roman"/>
                <w:b/>
                <w:bCs/>
                <w:highlight w:val="none"/>
                <w:lang w:val="en-US" w:eastAsia="zh-CN"/>
              </w:rPr>
              <w:t>第二次</w:t>
            </w:r>
            <w:r>
              <w:rPr>
                <w:rFonts w:hint="eastAsia" w:hAnsi="Times New Roman" w:cs="Times New Roman"/>
                <w:b/>
                <w:bCs/>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hAnsi="Times New Roman" w:cs="Times New Roman"/>
                <w:highlight w:val="none"/>
                <w:lang w:val="en-US" w:eastAsia="zh-CN"/>
              </w:rPr>
            </w:pPr>
            <w:r>
              <w:rPr>
                <w:rFonts w:hint="eastAsia" w:hAnsi="Times New Roman" w:cs="Times New Roman"/>
                <w:highlight w:val="none"/>
                <w:lang w:eastAsia="zh-CN"/>
              </w:rPr>
              <w:t>近年内（2016年1月1日至投标文件递交截止之日）每担独立承担过（含在建）1个高速公路隧道检测项目，加</w:t>
            </w:r>
            <w:r>
              <w:rPr>
                <w:rFonts w:hint="eastAsia" w:hAnsi="Times New Roman" w:cs="Times New Roman"/>
                <w:highlight w:val="none"/>
                <w:lang w:val="en-US" w:eastAsia="zh-CN"/>
              </w:rPr>
              <w:t>6</w:t>
            </w:r>
            <w:r>
              <w:rPr>
                <w:rFonts w:hint="eastAsia" w:hAnsi="Times New Roman" w:cs="Times New Roman"/>
                <w:highlight w:val="none"/>
                <w:lang w:eastAsia="zh-CN"/>
              </w:rPr>
              <w:t>分，最高得</w:t>
            </w:r>
            <w:r>
              <w:rPr>
                <w:rFonts w:hint="eastAsia" w:hAnsi="Times New Roman" w:cs="Times New Roman"/>
                <w:highlight w:val="none"/>
                <w:lang w:val="en-US" w:eastAsia="zh-CN"/>
              </w:rPr>
              <w:t>12</w:t>
            </w:r>
            <w:r>
              <w:rPr>
                <w:rFonts w:hint="eastAsia" w:hAnsi="Times New Roman" w:cs="Times New Roman"/>
                <w:highlight w:val="none"/>
                <w:lang w:eastAsia="zh-CN"/>
              </w:rPr>
              <w:t>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43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p>
        </w:tc>
        <w:tc>
          <w:tcPr>
            <w:tcW w:w="26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r>
              <w:rPr>
                <w:rFonts w:hint="eastAsia" w:ascii="Times New Roman" w:hAnsi="Times New Roman" w:cs="Times New Roman"/>
                <w:szCs w:val="21"/>
                <w:highlight w:val="none"/>
                <w:lang w:val="en-US" w:eastAsia="zh-CN"/>
              </w:rPr>
              <w:t>信</w:t>
            </w:r>
            <w:r>
              <w:rPr>
                <w:rFonts w:ascii="Times New Roman" w:hAnsi="Times New Roman" w:eastAsia="宋体" w:cs="Times New Roman"/>
                <w:szCs w:val="21"/>
                <w:highlight w:val="none"/>
              </w:rPr>
              <w:t>信用评价</w:t>
            </w:r>
          </w:p>
        </w:tc>
        <w:tc>
          <w:tcPr>
            <w:tcW w:w="30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w:t>
            </w:r>
            <w:r>
              <w:rPr>
                <w:rFonts w:hint="eastAsia" w:ascii="Times New Roman" w:hAnsi="Times New Roman" w:cs="Times New Roman"/>
                <w:szCs w:val="21"/>
                <w:highlight w:val="none"/>
                <w:lang w:val="en-US" w:eastAsia="zh-CN"/>
              </w:rPr>
              <w:t>3</w:t>
            </w:r>
            <w:r>
              <w:rPr>
                <w:rFonts w:hint="eastAsia" w:ascii="Times New Roman" w:hAnsi="Times New Roman" w:eastAsia="宋体" w:cs="Times New Roman"/>
                <w:szCs w:val="21"/>
                <w:highlight w:val="none"/>
              </w:rPr>
              <w:t>分</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信用评价等级</w:t>
            </w:r>
          </w:p>
        </w:tc>
        <w:tc>
          <w:tcPr>
            <w:tcW w:w="430"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3分</w:t>
            </w:r>
          </w:p>
        </w:tc>
        <w:tc>
          <w:tcPr>
            <w:tcW w:w="2612"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highlight w:val="none"/>
              </w:rPr>
            </w:pPr>
            <w:r>
              <w:rPr>
                <w:rFonts w:hint="eastAsia"/>
                <w:highlight w:val="none"/>
              </w:rPr>
              <w:t>适用所有</w:t>
            </w:r>
            <w:r>
              <w:rPr>
                <w:highlight w:val="none"/>
              </w:rPr>
              <w:t>标段：</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highlight w:val="none"/>
              </w:rPr>
            </w:pPr>
            <w:r>
              <w:rPr>
                <w:highlight w:val="none"/>
              </w:rPr>
              <w:t>投标人的最新信用等级被评为AA级的，得3分；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highlight w:val="none"/>
              </w:rPr>
            </w:pPr>
            <w:r>
              <w:rPr>
                <w:highlight w:val="none"/>
              </w:rPr>
              <w:t>投标人的最新信用等级被评为A级的，得1.5分；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highlight w:val="none"/>
              </w:rPr>
            </w:pPr>
            <w:r>
              <w:rPr>
                <w:highlight w:val="none"/>
              </w:rPr>
              <w:t>投标人的最新信用等级被评为B</w:t>
            </w:r>
            <w:r>
              <w:rPr>
                <w:rFonts w:hint="eastAsia"/>
                <w:highlight w:val="none"/>
              </w:rPr>
              <w:t>级</w:t>
            </w:r>
            <w:r>
              <w:rPr>
                <w:highlight w:val="none"/>
              </w:rPr>
              <w:t>的，得0分</w:t>
            </w:r>
            <w:r>
              <w:rPr>
                <w:rFonts w:hint="eastAsia"/>
                <w:highlight w:val="none"/>
              </w:rPr>
              <w:t>；</w:t>
            </w:r>
            <w:bookmarkStart w:id="35" w:name="_GoBack"/>
            <w:bookmarkEnd w:id="35"/>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highlight w:val="none"/>
              </w:rPr>
            </w:pPr>
            <w:r>
              <w:rPr>
                <w:highlight w:val="none"/>
              </w:rPr>
              <w:t>投标人的最新信用等级被评为</w:t>
            </w:r>
            <w:r>
              <w:rPr>
                <w:rFonts w:hint="eastAsia"/>
                <w:highlight w:val="none"/>
              </w:rPr>
              <w:t>C</w:t>
            </w:r>
            <w:r>
              <w:rPr>
                <w:highlight w:val="none"/>
              </w:rPr>
              <w:t>级的，得</w:t>
            </w:r>
            <w:r>
              <w:rPr>
                <w:rFonts w:hint="eastAsia"/>
                <w:highlight w:val="none"/>
              </w:rPr>
              <w:t xml:space="preserve"> -1.5</w:t>
            </w:r>
            <w:r>
              <w:rPr>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000" w:type="pct"/>
            <w:gridSpan w:val="7"/>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Times New Roman" w:asciiTheme="minorEastAsia" w:hAnsiTheme="minorEastAsia"/>
                <w:highlight w:val="none"/>
              </w:rPr>
            </w:pPr>
            <w:r>
              <w:rPr>
                <w:rFonts w:cs="Times New Roman" w:asciiTheme="minorEastAsia" w:hAnsiTheme="minorEastAsia"/>
                <w:highlight w:val="none"/>
              </w:rPr>
              <w:t>需要补充的其他内容：</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cs="Times New Roman" w:asciiTheme="minorEastAsia" w:hAnsiTheme="minorEastAsia"/>
                <w:highlight w:val="none"/>
              </w:rPr>
            </w:pPr>
            <w:r>
              <w:rPr>
                <w:rFonts w:hint="eastAsia" w:cs="Times New Roman" w:asciiTheme="minorEastAsia" w:hAnsiTheme="minorEastAsia"/>
                <w:highlight w:val="none"/>
              </w:rPr>
              <w:t>1、</w:t>
            </w:r>
            <w:r>
              <w:rPr>
                <w:rFonts w:cs="Times New Roman" w:asciiTheme="minorEastAsia" w:hAnsiTheme="minorEastAsia"/>
                <w:highlight w:val="none"/>
              </w:rPr>
              <w:t>各评分因素（评标价、主要人员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cs="Times New Roman"/>
                <w:highlight w:val="none"/>
              </w:rPr>
            </w:pPr>
            <w:r>
              <w:rPr>
                <w:rFonts w:hint="eastAsia" w:cs="Times New Roman" w:asciiTheme="minorEastAsia" w:hAnsiTheme="minorEastAsia"/>
                <w:highlight w:val="none"/>
              </w:rPr>
              <w:t>3</w:t>
            </w:r>
            <w:r>
              <w:rPr>
                <w:rFonts w:cs="Times New Roman" w:asciiTheme="minorEastAsia" w:hAnsiTheme="minorEastAsia"/>
                <w:highlight w:val="none"/>
              </w:rPr>
              <w:t>、</w:t>
            </w:r>
            <w:r>
              <w:rPr>
                <w:rFonts w:hint="eastAsia" w:cs="Times New Roman" w:asciiTheme="minorEastAsia" w:hAnsiTheme="minorEastAsia"/>
                <w:highlight w:val="none"/>
              </w:rPr>
              <w:t>投标人的</w:t>
            </w:r>
            <w:r>
              <w:rPr>
                <w:rFonts w:cs="Times New Roman" w:asciiTheme="minorEastAsia" w:hAnsiTheme="minorEastAsia"/>
                <w:highlight w:val="none"/>
              </w:rPr>
              <w:t>信用评价直接引用“公路水运工程试验检测管理信息系统”中</w:t>
            </w:r>
            <w:r>
              <w:rPr>
                <w:rFonts w:hint="eastAsia" w:cs="Times New Roman" w:asciiTheme="minorEastAsia" w:hAnsiTheme="minorEastAsia"/>
                <w:highlight w:val="none"/>
              </w:rPr>
              <w:t>2019</w:t>
            </w:r>
            <w:r>
              <w:rPr>
                <w:rFonts w:cs="Times New Roman" w:asciiTheme="minorEastAsia" w:hAnsiTheme="minorEastAsia"/>
                <w:highlight w:val="none"/>
              </w:rPr>
              <w:t>年度的信用评价。</w:t>
            </w:r>
          </w:p>
        </w:tc>
      </w:tr>
    </w:tbl>
    <w:p>
      <w:pPr>
        <w:spacing w:line="360" w:lineRule="exact"/>
        <w:rPr>
          <w:rFonts w:ascii="Times New Roman" w:hAnsi="Times New Roman" w:eastAsia="宋体" w:cs="Times New Roman"/>
          <w:sz w:val="28"/>
          <w:szCs w:val="28"/>
          <w:highlight w:val="none"/>
        </w:rPr>
      </w:pPr>
      <w:bookmarkStart w:id="2" w:name="_Toc27437"/>
    </w:p>
    <w:bookmarkEnd w:id="2"/>
    <w:p>
      <w:pPr>
        <w:widowControl/>
        <w:jc w:val="left"/>
        <w:rPr>
          <w:rFonts w:ascii="Times New Roman" w:hAnsi="Times New Roman" w:eastAsia="黑体" w:cs="Times New Roman"/>
          <w:bCs/>
          <w:kern w:val="44"/>
          <w:sz w:val="24"/>
          <w:szCs w:val="24"/>
          <w:highlight w:val="none"/>
          <w:lang w:val="zh-CN"/>
        </w:rPr>
      </w:pPr>
      <w:bookmarkStart w:id="3" w:name="_Toc1672"/>
      <w:r>
        <w:rPr>
          <w:rFonts w:ascii="Times New Roman" w:hAnsi="Times New Roman" w:eastAsia="黑体" w:cs="Times New Roman"/>
          <w:bCs/>
          <w:kern w:val="44"/>
          <w:sz w:val="24"/>
          <w:szCs w:val="24"/>
          <w:highlight w:val="none"/>
          <w:lang w:val="zh-CN"/>
        </w:rPr>
        <w:br w:type="page"/>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r>
        <w:rPr>
          <w:rFonts w:ascii="Times New Roman" w:hAnsi="Times New Roman" w:eastAsia="黑体" w:cs="Times New Roman"/>
          <w:bCs/>
          <w:kern w:val="44"/>
          <w:sz w:val="24"/>
          <w:szCs w:val="24"/>
          <w:highlight w:val="none"/>
          <w:lang w:val="zh-CN"/>
        </w:rPr>
        <w:t>1. 评标方法</w:t>
      </w:r>
      <w:bookmarkEnd w:id="3"/>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ascii="Times New Roman" w:hAnsi="Times New Roman" w:eastAsia="隶书" w:cs="Times New Roman"/>
          <w:sz w:val="24"/>
          <w:szCs w:val="24"/>
          <w:highlight w:val="none"/>
        </w:rPr>
        <w:t>综合评分相等时，评标委员会应按照评标办法前附表规定的优先次序推荐中标候选人或确定中标人。</w:t>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4" w:name="_Toc9161"/>
      <w:bookmarkStart w:id="5" w:name="_Toc510015740"/>
      <w:bookmarkStart w:id="6" w:name="_Toc503235808"/>
      <w:r>
        <w:rPr>
          <w:rFonts w:ascii="Times New Roman" w:hAnsi="Times New Roman" w:eastAsia="黑体" w:cs="Times New Roman"/>
          <w:bCs/>
          <w:kern w:val="44"/>
          <w:sz w:val="24"/>
          <w:szCs w:val="24"/>
          <w:highlight w:val="none"/>
          <w:lang w:val="zh-CN"/>
        </w:rPr>
        <w:t>2. 评审标准</w:t>
      </w:r>
      <w:bookmarkEnd w:id="4"/>
      <w:bookmarkEnd w:id="5"/>
      <w:bookmarkEnd w:id="6"/>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7" w:name="_Toc22804"/>
      <w:bookmarkStart w:id="8" w:name="_Toc503235809"/>
      <w:bookmarkStart w:id="9" w:name="_Toc510015741"/>
      <w:r>
        <w:rPr>
          <w:rFonts w:ascii="Times New Roman" w:hAnsi="Times New Roman" w:eastAsia="黑体" w:cs="Times New Roman"/>
          <w:bCs/>
          <w:kern w:val="44"/>
          <w:sz w:val="24"/>
          <w:szCs w:val="24"/>
          <w:highlight w:val="none"/>
          <w:lang w:val="zh-CN"/>
        </w:rPr>
        <w:t>2.1 初步评审标准</w:t>
      </w:r>
      <w:bookmarkEnd w:id="7"/>
      <w:bookmarkEnd w:id="8"/>
      <w:bookmarkEnd w:id="9"/>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2.1.1 形式评审标准：见评标办法前附表。</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2.1.2 资格评审标准：见评标办法前附表。（适用于未进行资格预审的）</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隶书" w:cs="Times New Roman"/>
          <w:sz w:val="24"/>
          <w:szCs w:val="24"/>
          <w:highlight w:val="none"/>
        </w:rPr>
        <w:t>2.1.2 资格评审标准：见资格预审文件第三章“资格审查办法”详细审查标准。（适用于已进行资格预审的）</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2.1.3 响应性评审标准：见评标办法前附表。</w:t>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10" w:name="_Toc3577"/>
      <w:bookmarkStart w:id="11" w:name="_Toc510015742"/>
      <w:bookmarkStart w:id="12" w:name="_Toc503235810"/>
      <w:r>
        <w:rPr>
          <w:rFonts w:ascii="Times New Roman" w:hAnsi="Times New Roman" w:eastAsia="黑体" w:cs="Times New Roman"/>
          <w:bCs/>
          <w:kern w:val="44"/>
          <w:sz w:val="24"/>
          <w:szCs w:val="24"/>
          <w:highlight w:val="none"/>
          <w:lang w:val="zh-CN"/>
        </w:rPr>
        <w:t>2.2 分值构成与评分标准</w:t>
      </w:r>
      <w:bookmarkEnd w:id="10"/>
      <w:bookmarkEnd w:id="11"/>
      <w:bookmarkEnd w:id="12"/>
    </w:p>
    <w:p>
      <w:pPr>
        <w:tabs>
          <w:tab w:val="left" w:pos="360"/>
        </w:tabs>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2.2.1 </w:t>
      </w:r>
      <w:r>
        <w:rPr>
          <w:rFonts w:ascii="Times New Roman" w:hAnsi="Times New Roman" w:eastAsia="黑体" w:cs="Times New Roman"/>
          <w:sz w:val="24"/>
          <w:szCs w:val="24"/>
          <w:highlight w:val="none"/>
        </w:rPr>
        <w:t>分值构成</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（1）技术建议书：见评标办法前附表；</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（2）主要人员：见评标办法前附表；</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r>
        <w:rPr>
          <w:rFonts w:ascii="Times New Roman" w:hAnsi="Times New Roman" w:eastAsia="隶书" w:cs="Times New Roman"/>
          <w:sz w:val="24"/>
          <w:szCs w:val="24"/>
          <w:highlight w:val="none"/>
        </w:rPr>
        <w:t>评标价：</w:t>
      </w:r>
      <w:r>
        <w:rPr>
          <w:rFonts w:ascii="Times New Roman" w:hAnsi="Times New Roman" w:eastAsia="宋体" w:cs="Times New Roman"/>
          <w:sz w:val="24"/>
          <w:szCs w:val="24"/>
          <w:highlight w:val="none"/>
        </w:rPr>
        <w:t>见评标办法前附表；</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（4）其他评分因素：见评标办法前附表。</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2.2.2 </w:t>
      </w:r>
      <w:r>
        <w:rPr>
          <w:rFonts w:ascii="Times New Roman" w:hAnsi="Times New Roman" w:eastAsia="黑体" w:cs="Times New Roman"/>
          <w:sz w:val="24"/>
          <w:szCs w:val="24"/>
          <w:highlight w:val="none"/>
        </w:rPr>
        <w:t>评标基准价计算</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评标基准价计算方法：见评标办法前附表。</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2.2.3 </w:t>
      </w:r>
      <w:r>
        <w:rPr>
          <w:rFonts w:ascii="Times New Roman" w:hAnsi="Times New Roman" w:eastAsia="黑体" w:cs="Times New Roman"/>
          <w:sz w:val="24"/>
          <w:szCs w:val="24"/>
          <w:highlight w:val="none"/>
        </w:rPr>
        <w:t>评标价的偏差率计算</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隶书" w:cs="Times New Roman"/>
          <w:sz w:val="24"/>
          <w:szCs w:val="24"/>
          <w:highlight w:val="none"/>
        </w:rPr>
        <w:t>评标价的偏差率计算公式</w:t>
      </w:r>
      <w:r>
        <w:rPr>
          <w:rFonts w:ascii="Times New Roman" w:hAnsi="Times New Roman" w:eastAsia="宋体" w:cs="Times New Roman"/>
          <w:sz w:val="24"/>
          <w:szCs w:val="24"/>
          <w:highlight w:val="none"/>
        </w:rPr>
        <w:t>：见评标办法前附表。</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2.2.4 </w:t>
      </w:r>
      <w:r>
        <w:rPr>
          <w:rFonts w:ascii="Times New Roman" w:hAnsi="Times New Roman" w:eastAsia="黑体" w:cs="Times New Roman"/>
          <w:sz w:val="24"/>
          <w:szCs w:val="24"/>
          <w:highlight w:val="none"/>
        </w:rPr>
        <w:t>评分标准</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（1）技术建议书评分标准：见评标办法前附表；</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（2）主要人员评分标准：见评标办法前附表；</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r>
        <w:rPr>
          <w:rFonts w:ascii="Times New Roman" w:hAnsi="Times New Roman" w:eastAsia="隶书" w:cs="Times New Roman"/>
          <w:sz w:val="24"/>
          <w:szCs w:val="24"/>
          <w:highlight w:val="none"/>
        </w:rPr>
        <w:t>评标价评分标准</w:t>
      </w:r>
      <w:r>
        <w:rPr>
          <w:rFonts w:ascii="Times New Roman" w:hAnsi="Times New Roman" w:eastAsia="宋体" w:cs="Times New Roman"/>
          <w:sz w:val="24"/>
          <w:szCs w:val="24"/>
          <w:highlight w:val="none"/>
        </w:rPr>
        <w:t>：见评标办法前附表；</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（4）其他因素评分标准：见评标办法前附表。</w:t>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13" w:name="_Toc15660"/>
      <w:bookmarkStart w:id="14" w:name="_Toc510015743"/>
      <w:bookmarkStart w:id="15" w:name="_Toc503235811"/>
      <w:r>
        <w:rPr>
          <w:rFonts w:ascii="Times New Roman" w:hAnsi="Times New Roman" w:eastAsia="黑体" w:cs="Times New Roman"/>
          <w:bCs/>
          <w:kern w:val="44"/>
          <w:sz w:val="24"/>
          <w:szCs w:val="24"/>
          <w:highlight w:val="none"/>
          <w:lang w:val="zh-CN"/>
        </w:rPr>
        <w:t>3. 评标程序</w:t>
      </w:r>
      <w:bookmarkEnd w:id="13"/>
      <w:bookmarkEnd w:id="14"/>
      <w:bookmarkEnd w:id="15"/>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16" w:name="_Toc510015744"/>
      <w:bookmarkStart w:id="17" w:name="_Toc8546"/>
      <w:bookmarkStart w:id="18" w:name="_Toc503235812"/>
      <w:r>
        <w:rPr>
          <w:rFonts w:ascii="Times New Roman" w:hAnsi="Times New Roman" w:eastAsia="黑体" w:cs="Times New Roman"/>
          <w:bCs/>
          <w:kern w:val="44"/>
          <w:sz w:val="24"/>
          <w:szCs w:val="24"/>
          <w:highlight w:val="none"/>
          <w:lang w:val="zh-CN"/>
        </w:rPr>
        <w:t>3.1 封初步评审</w:t>
      </w:r>
      <w:bookmarkEnd w:id="16"/>
      <w:bookmarkEnd w:id="17"/>
      <w:bookmarkEnd w:id="18"/>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3.1.1 评标委员会可以要求投标人提交第二章“投标人须知”第3.5规定的有关证明和证件的原件，以便核验。评标委员会依据本章第2.1款规定的标准对投标文件</w:t>
      </w:r>
      <w:r>
        <w:rPr>
          <w:rFonts w:hint="eastAsia" w:ascii="Times New Roman" w:hAnsi="Times New Roman" w:eastAsia="隶书" w:cs="Times New Roman"/>
          <w:sz w:val="24"/>
          <w:szCs w:val="24"/>
          <w:highlight w:val="none"/>
        </w:rPr>
        <w:t>进</w:t>
      </w:r>
      <w:r>
        <w:rPr>
          <w:rFonts w:ascii="Times New Roman" w:hAnsi="Times New Roman" w:eastAsia="隶书" w:cs="Times New Roman"/>
          <w:sz w:val="24"/>
          <w:szCs w:val="24"/>
          <w:highlight w:val="none"/>
        </w:rPr>
        <w:t>行初步评审。有一项不符合评审标准的，评标委员会应否决其投标。（适用于未进行资格预审的）</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3.1.2 投标报价有算术错误的，评标委员会按以下原则对投标报价进行修正，修正的价格经投标人书面确认后具有约束力。投标人不接受修正价格的，评标委员会应否决其投标。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（1）投标文件中的大写金额与小写金额不一致的，以大写金额为准；</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（2）总价金额与依据单价计算出的结果不一致的，以单价金额为准修正总价，但单价金额小数点有明显错误的除外；</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（3）当单价与数量相乘不等于合价时，以单价计算为准，如果单价有明显的小数点位置差错，应以标出的合价为准，同时对单价予以修正；</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（4）当各子目的合价累计不等于总价时，应以各子目合价累计数为准，修正总价。</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3.1.3 修正后的最终投标报价若超过最高投标限价（如有），评标委员会应否决其投标。</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3.1.4 修正后的最终投标报价仅作为签订合同的一个依据，不参与评标价得分的计算。</w:t>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19" w:name="_Toc19711"/>
      <w:bookmarkStart w:id="20" w:name="_Toc503235813"/>
      <w:bookmarkStart w:id="21" w:name="_Toc510015745"/>
      <w:r>
        <w:rPr>
          <w:rFonts w:ascii="Times New Roman" w:hAnsi="Times New Roman" w:eastAsia="黑体" w:cs="Times New Roman"/>
          <w:bCs/>
          <w:kern w:val="44"/>
          <w:sz w:val="24"/>
          <w:szCs w:val="24"/>
          <w:highlight w:val="none"/>
          <w:lang w:val="zh-CN"/>
        </w:rPr>
        <w:t>3.2 详细评审</w:t>
      </w:r>
      <w:bookmarkEnd w:id="19"/>
      <w:bookmarkEnd w:id="20"/>
      <w:bookmarkEnd w:id="21"/>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3.2.1 评标委员会按本章第2.2款规定的量化因素和分值进行打分，并计算出各投标人的得分。</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（1）按本章第2.2.4项（1）目规定的评审因素和分值对技术建议书部分计算出得分A；</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（2）按本章第2.2.4项（2）目规定的评审因素和分值对主要人员部分计算出得分B；</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（3）评标委员会按本章第2.2.4项（3）目规定的评审因素和分值对评标价计算出得分C。评标价得分分值计算保留小数点后两位，小数点后第三位“四舍五入”。</w:t>
      </w:r>
    </w:p>
    <w:p>
      <w:pPr>
        <w:spacing w:line="400" w:lineRule="exact"/>
        <w:ind w:firstLine="480" w:firstLineChars="200"/>
        <w:rPr>
          <w:rFonts w:ascii="Times New Roman" w:hAnsi="Times New Roman" w:eastAsia="隶书" w:cs="Times New Roman"/>
          <w:sz w:val="24"/>
          <w:szCs w:val="24"/>
          <w:highlight w:val="none"/>
        </w:rPr>
      </w:pPr>
      <w:r>
        <w:rPr>
          <w:rFonts w:hint="eastAsia" w:ascii="Times New Roman" w:hAnsi="Times New Roman" w:eastAsia="隶书" w:cs="Times New Roman"/>
          <w:sz w:val="24"/>
          <w:szCs w:val="24"/>
          <w:highlight w:val="none"/>
        </w:rPr>
        <w:t xml:space="preserve">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w:t>
      </w:r>
      <w:r>
        <w:rPr>
          <w:rFonts w:hint="eastAsia" w:ascii="Times New Roman" w:hAnsi="Times New Roman" w:eastAsia="隶书" w:cs="Times New Roman"/>
          <w:sz w:val="24"/>
          <w:szCs w:val="24"/>
          <w:highlight w:val="none"/>
        </w:rPr>
        <w:t>4</w:t>
      </w:r>
      <w:r>
        <w:rPr>
          <w:rFonts w:ascii="Times New Roman" w:hAnsi="Times New Roman" w:eastAsia="隶书" w:cs="Times New Roman"/>
          <w:sz w:val="24"/>
          <w:szCs w:val="24"/>
          <w:highlight w:val="none"/>
        </w:rPr>
        <w:t>）按本章第2.2.4项（4）目规定的评审因素和分值对其他部分计算出得分D。</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3.2.2 投标人的</w:t>
      </w:r>
      <w:r>
        <w:rPr>
          <w:rFonts w:hint="eastAsia" w:ascii="Times New Roman" w:hAnsi="Times New Roman" w:eastAsia="隶书" w:cs="Times New Roman"/>
          <w:sz w:val="24"/>
          <w:szCs w:val="24"/>
          <w:highlight w:val="none"/>
        </w:rPr>
        <w:t>综合</w:t>
      </w:r>
      <w:r>
        <w:rPr>
          <w:rFonts w:ascii="Times New Roman" w:hAnsi="Times New Roman" w:eastAsia="隶书" w:cs="Times New Roman"/>
          <w:sz w:val="24"/>
          <w:szCs w:val="24"/>
          <w:highlight w:val="none"/>
        </w:rPr>
        <w:t>得分分值计算保留小数点后两位，小数点后第三位“四舍五入”。</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3.2.3 投标人的</w:t>
      </w:r>
      <w:r>
        <w:rPr>
          <w:rFonts w:hint="eastAsia" w:ascii="Times New Roman" w:hAnsi="Times New Roman" w:eastAsia="隶书" w:cs="Times New Roman"/>
          <w:sz w:val="24"/>
          <w:szCs w:val="24"/>
          <w:highlight w:val="none"/>
        </w:rPr>
        <w:t>综合</w:t>
      </w:r>
      <w:r>
        <w:rPr>
          <w:rFonts w:ascii="Times New Roman" w:hAnsi="Times New Roman" w:eastAsia="隶书" w:cs="Times New Roman"/>
          <w:sz w:val="24"/>
          <w:szCs w:val="24"/>
          <w:highlight w:val="none"/>
        </w:rPr>
        <w:t>得分=A+B+</w:t>
      </w:r>
      <w:r>
        <w:rPr>
          <w:rFonts w:hint="eastAsia" w:ascii="Times New Roman" w:hAnsi="Times New Roman" w:eastAsia="隶书" w:cs="Times New Roman"/>
          <w:sz w:val="24"/>
          <w:szCs w:val="24"/>
          <w:highlight w:val="none"/>
        </w:rPr>
        <w:t>C+</w:t>
      </w:r>
      <w:r>
        <w:rPr>
          <w:rFonts w:ascii="Times New Roman" w:hAnsi="Times New Roman" w:eastAsia="隶书" w:cs="Times New Roman"/>
          <w:sz w:val="24"/>
          <w:szCs w:val="24"/>
          <w:highlight w:val="none"/>
        </w:rPr>
        <w:t xml:space="preserve">D。 </w:t>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22" w:name="_Toc503235817"/>
      <w:bookmarkStart w:id="23" w:name="_Toc30806"/>
      <w:bookmarkStart w:id="24" w:name="_Toc510015749"/>
      <w:r>
        <w:rPr>
          <w:rFonts w:ascii="Times New Roman" w:hAnsi="Times New Roman" w:eastAsia="黑体" w:cs="Times New Roman"/>
          <w:bCs/>
          <w:kern w:val="44"/>
          <w:sz w:val="24"/>
          <w:szCs w:val="24"/>
          <w:highlight w:val="none"/>
          <w:lang w:val="zh-CN"/>
        </w:rPr>
        <w:t>3.</w:t>
      </w:r>
      <w:r>
        <w:rPr>
          <w:rFonts w:hint="eastAsia" w:ascii="Times New Roman" w:hAnsi="Times New Roman" w:eastAsia="黑体" w:cs="Times New Roman"/>
          <w:bCs/>
          <w:kern w:val="44"/>
          <w:sz w:val="24"/>
          <w:szCs w:val="24"/>
          <w:highlight w:val="none"/>
        </w:rPr>
        <w:t>3</w:t>
      </w:r>
      <w:r>
        <w:rPr>
          <w:rFonts w:ascii="Times New Roman" w:hAnsi="Times New Roman" w:eastAsia="黑体" w:cs="Times New Roman"/>
          <w:bCs/>
          <w:kern w:val="44"/>
          <w:sz w:val="24"/>
          <w:szCs w:val="24"/>
          <w:highlight w:val="none"/>
          <w:lang w:val="zh-CN"/>
        </w:rPr>
        <w:t xml:space="preserve"> 投标文件相关信息的核查</w:t>
      </w:r>
      <w:bookmarkEnd w:id="22"/>
      <w:bookmarkEnd w:id="23"/>
      <w:bookmarkEnd w:id="24"/>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w:t>
      </w:r>
      <w:r>
        <w:rPr>
          <w:rFonts w:hint="eastAsia" w:ascii="Times New Roman" w:hAnsi="Times New Roman" w:eastAsia="隶书" w:cs="Times New Roman"/>
          <w:sz w:val="24"/>
          <w:szCs w:val="24"/>
          <w:highlight w:val="none"/>
        </w:rPr>
        <w:t>3</w:t>
      </w:r>
      <w:r>
        <w:rPr>
          <w:rFonts w:ascii="Times New Roman" w:hAnsi="Times New Roman" w:eastAsia="隶书" w:cs="Times New Roman"/>
          <w:sz w:val="24"/>
          <w:szCs w:val="24"/>
          <w:highlight w:val="none"/>
        </w:rPr>
        <w:t>.1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w:t>
      </w:r>
      <w:r>
        <w:rPr>
          <w:rFonts w:hint="eastAsia" w:ascii="Times New Roman" w:hAnsi="Times New Roman" w:eastAsia="隶书" w:cs="Times New Roman"/>
          <w:sz w:val="24"/>
          <w:szCs w:val="24"/>
          <w:highlight w:val="none"/>
        </w:rPr>
        <w:t>3</w:t>
      </w:r>
      <w:r>
        <w:rPr>
          <w:rFonts w:ascii="Times New Roman" w:hAnsi="Times New Roman" w:eastAsia="隶书" w:cs="Times New Roman"/>
          <w:sz w:val="24"/>
          <w:szCs w:val="24"/>
          <w:highlight w:val="none"/>
        </w:rPr>
        <w:t>.2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（1）有下列情形之一的，属于投标人相互串通投标：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a.投标人之间协商投标报价等投标文件的实质性内容；</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b.投标人之间约定中标人；</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c.投标人之间约定部分投标人放弃投标或中标；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d.属于同一集团、协会、商会等组织成员的投标人按照该组织要求协同投标；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e.投标人之间为谋取中标或排斥特定投标人而采取的其他联合行动。</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（2）有下列情形之一的，视为投标人相互串通投标：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a.不同投标人的投标文件由同一单位或个人编制；</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b.不同投标人委托同一单位或个人办理投标事宜；</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c.不同投标人的投标文件载明的项目管理成员为同一人；</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d.不同投标人的投标文件异常一致或投标报价呈规律性差异；</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e.不同投标人的投标文件相互混装；</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f.不同投标人的投标保证金从同一单位或个人的账户转出。</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（3）有下列情形之一的，属于招标人与投标人串通投标：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a.招标人在开标前开启投标文件并将有关信息泄露给其他投标人;</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b.招标人直接或间接向投标人泄露标底、评标委员会成员等信息；</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c.招标人明示或暗示投标人压低或抬高投标报价；</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d.招标人授意投标人撤换、修改投标文件；</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e.招标人明示或暗示投标人为特定投标人中标提供方便；</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f.招标人与投标人为谋求特定投标人中标而采取的其他串通行为。</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（4）投标人有下列情形之一的，属于弄虚作假的行为：</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a.使用通过受让或租借等方式获取的资格、资质证书投标；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b.使用伪造、变造的许可证件；</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c.提供虚假的业绩；</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d.提供虚假的项目负责人或主要技术人员简历、劳动关系证明；</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e.提供虚假的信用状况；</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f.其他弄虚作假的行为。</w:t>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25" w:name="_Toc503235818"/>
      <w:bookmarkStart w:id="26" w:name="_Toc1786"/>
      <w:bookmarkStart w:id="27" w:name="_Toc510015750"/>
      <w:r>
        <w:rPr>
          <w:rFonts w:ascii="Times New Roman" w:hAnsi="Times New Roman" w:eastAsia="黑体" w:cs="Times New Roman"/>
          <w:bCs/>
          <w:kern w:val="44"/>
          <w:sz w:val="24"/>
          <w:szCs w:val="24"/>
          <w:highlight w:val="none"/>
          <w:lang w:val="zh-CN"/>
        </w:rPr>
        <w:t>3.</w:t>
      </w:r>
      <w:r>
        <w:rPr>
          <w:rFonts w:hint="eastAsia" w:ascii="Times New Roman" w:hAnsi="Times New Roman" w:eastAsia="黑体" w:cs="Times New Roman"/>
          <w:bCs/>
          <w:kern w:val="44"/>
          <w:sz w:val="24"/>
          <w:szCs w:val="24"/>
          <w:highlight w:val="none"/>
        </w:rPr>
        <w:t>4</w:t>
      </w:r>
      <w:r>
        <w:rPr>
          <w:rFonts w:ascii="Times New Roman" w:hAnsi="Times New Roman" w:eastAsia="黑体" w:cs="Times New Roman"/>
          <w:bCs/>
          <w:kern w:val="44"/>
          <w:sz w:val="24"/>
          <w:szCs w:val="24"/>
          <w:highlight w:val="none"/>
          <w:lang w:val="zh-CN"/>
        </w:rPr>
        <w:t xml:space="preserve"> 投标文件的澄清和说明</w:t>
      </w:r>
      <w:bookmarkEnd w:id="25"/>
      <w:bookmarkEnd w:id="26"/>
      <w:bookmarkEnd w:id="27"/>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w:t>
      </w:r>
      <w:r>
        <w:rPr>
          <w:rFonts w:hint="eastAsia" w:ascii="Times New Roman" w:hAnsi="Times New Roman" w:eastAsia="隶书" w:cs="Times New Roman"/>
          <w:sz w:val="24"/>
          <w:szCs w:val="24"/>
          <w:highlight w:val="none"/>
        </w:rPr>
        <w:t>4</w:t>
      </w:r>
      <w:r>
        <w:rPr>
          <w:rFonts w:ascii="Times New Roman" w:hAnsi="Times New Roman" w:eastAsia="隶书" w:cs="Times New Roman"/>
          <w:sz w:val="24"/>
          <w:szCs w:val="24"/>
          <w:highlight w:val="none"/>
        </w:rPr>
        <w:t>.1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w:t>
      </w:r>
      <w:r>
        <w:rPr>
          <w:rFonts w:hint="eastAsia" w:ascii="Times New Roman" w:hAnsi="Times New Roman" w:eastAsia="隶书" w:cs="Times New Roman"/>
          <w:sz w:val="24"/>
          <w:szCs w:val="24"/>
          <w:highlight w:val="none"/>
        </w:rPr>
        <w:t>4</w:t>
      </w:r>
      <w:r>
        <w:rPr>
          <w:rFonts w:ascii="Times New Roman" w:hAnsi="Times New Roman" w:eastAsia="隶书" w:cs="Times New Roman"/>
          <w:sz w:val="24"/>
          <w:szCs w:val="24"/>
          <w:highlight w:val="none"/>
        </w:rPr>
        <w:t>.2 澄清和说明不得超出投标文件的范围或改变投标文件的实质性内容（算术性错误的修正除外）。投标人的书面澄清、说明属于投标文件的组成部分。</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w:t>
      </w:r>
      <w:r>
        <w:rPr>
          <w:rFonts w:hint="eastAsia" w:ascii="Times New Roman" w:hAnsi="Times New Roman" w:eastAsia="隶书" w:cs="Times New Roman"/>
          <w:sz w:val="24"/>
          <w:szCs w:val="24"/>
          <w:highlight w:val="none"/>
        </w:rPr>
        <w:t>4</w:t>
      </w:r>
      <w:r>
        <w:rPr>
          <w:rFonts w:ascii="Times New Roman" w:hAnsi="Times New Roman" w:eastAsia="隶书" w:cs="Times New Roman"/>
          <w:sz w:val="24"/>
          <w:szCs w:val="24"/>
          <w:highlight w:val="none"/>
        </w:rPr>
        <w:t>.3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w:t>
      </w:r>
      <w:r>
        <w:rPr>
          <w:rFonts w:hint="eastAsia" w:ascii="Times New Roman" w:hAnsi="Times New Roman" w:eastAsia="隶书" w:cs="Times New Roman"/>
          <w:sz w:val="24"/>
          <w:szCs w:val="24"/>
          <w:highlight w:val="none"/>
        </w:rPr>
        <w:t>4</w:t>
      </w:r>
      <w:r>
        <w:rPr>
          <w:rFonts w:ascii="Times New Roman" w:hAnsi="Times New Roman" w:eastAsia="隶书" w:cs="Times New Roman"/>
          <w:sz w:val="24"/>
          <w:szCs w:val="24"/>
          <w:highlight w:val="none"/>
        </w:rPr>
        <w:t>.4 凡超出招标文件规定的或给委托人带来未曾要求的利益的变化、偏差或其他因素在评标时不予考虑。</w:t>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28" w:name="_Toc6020"/>
      <w:bookmarkStart w:id="29" w:name="_Toc503235819"/>
      <w:bookmarkStart w:id="30" w:name="_Toc501257170"/>
      <w:bookmarkStart w:id="31" w:name="_Toc510015751"/>
      <w:r>
        <w:rPr>
          <w:rFonts w:ascii="Times New Roman" w:hAnsi="Times New Roman" w:eastAsia="黑体" w:cs="Times New Roman"/>
          <w:bCs/>
          <w:kern w:val="44"/>
          <w:sz w:val="24"/>
          <w:szCs w:val="24"/>
          <w:highlight w:val="none"/>
          <w:lang w:val="zh-CN"/>
        </w:rPr>
        <w:t>3.</w:t>
      </w:r>
      <w:r>
        <w:rPr>
          <w:rFonts w:hint="eastAsia" w:ascii="Times New Roman" w:hAnsi="Times New Roman" w:eastAsia="黑体" w:cs="Times New Roman"/>
          <w:bCs/>
          <w:kern w:val="44"/>
          <w:sz w:val="24"/>
          <w:szCs w:val="24"/>
          <w:highlight w:val="none"/>
        </w:rPr>
        <w:t>5</w:t>
      </w:r>
      <w:r>
        <w:rPr>
          <w:rFonts w:ascii="Times New Roman" w:hAnsi="Times New Roman" w:eastAsia="黑体" w:cs="Times New Roman"/>
          <w:bCs/>
          <w:kern w:val="44"/>
          <w:sz w:val="24"/>
          <w:szCs w:val="24"/>
          <w:highlight w:val="none"/>
          <w:lang w:val="zh-CN"/>
        </w:rPr>
        <w:t xml:space="preserve"> 不得否决投标的情形</w:t>
      </w:r>
      <w:bookmarkEnd w:id="28"/>
      <w:bookmarkEnd w:id="29"/>
      <w:bookmarkEnd w:id="30"/>
      <w:bookmarkEnd w:id="31"/>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投标文件存在第二章“投标人须知”第1.12.3项所列情形的，均视为细微偏差，评标委员会不得否决投标人的投标，应按照第二章“投标人须知”第1.12.4项规定的原则处理。</w:t>
      </w:r>
    </w:p>
    <w:p>
      <w:pPr>
        <w:keepNext/>
        <w:keepLines/>
        <w:spacing w:line="400" w:lineRule="exact"/>
        <w:jc w:val="left"/>
        <w:outlineLvl w:val="0"/>
        <w:rPr>
          <w:rFonts w:ascii="Times New Roman" w:hAnsi="Times New Roman" w:eastAsia="黑体" w:cs="Times New Roman"/>
          <w:bCs/>
          <w:kern w:val="44"/>
          <w:sz w:val="24"/>
          <w:szCs w:val="24"/>
          <w:highlight w:val="none"/>
          <w:lang w:val="zh-CN"/>
        </w:rPr>
      </w:pPr>
      <w:bookmarkStart w:id="32" w:name="_Toc503235820"/>
      <w:bookmarkStart w:id="33" w:name="_Toc9526"/>
      <w:bookmarkStart w:id="34" w:name="_Toc510015752"/>
      <w:r>
        <w:rPr>
          <w:rFonts w:ascii="Times New Roman" w:hAnsi="Times New Roman" w:eastAsia="黑体" w:cs="Times New Roman"/>
          <w:bCs/>
          <w:kern w:val="44"/>
          <w:sz w:val="24"/>
          <w:szCs w:val="24"/>
          <w:highlight w:val="none"/>
          <w:lang w:val="zh-CN"/>
        </w:rPr>
        <w:t>3.</w:t>
      </w:r>
      <w:r>
        <w:rPr>
          <w:rFonts w:hint="eastAsia" w:ascii="Times New Roman" w:hAnsi="Times New Roman" w:eastAsia="黑体" w:cs="Times New Roman"/>
          <w:bCs/>
          <w:kern w:val="44"/>
          <w:sz w:val="24"/>
          <w:szCs w:val="24"/>
          <w:highlight w:val="none"/>
        </w:rPr>
        <w:t>6</w:t>
      </w:r>
      <w:r>
        <w:rPr>
          <w:rFonts w:ascii="Times New Roman" w:hAnsi="Times New Roman" w:eastAsia="黑体" w:cs="Times New Roman"/>
          <w:bCs/>
          <w:kern w:val="44"/>
          <w:sz w:val="24"/>
          <w:szCs w:val="24"/>
          <w:highlight w:val="none"/>
          <w:lang w:val="zh-CN"/>
        </w:rPr>
        <w:t xml:space="preserve"> 评标结果</w:t>
      </w:r>
      <w:bookmarkEnd w:id="32"/>
      <w:bookmarkEnd w:id="33"/>
      <w:bookmarkEnd w:id="34"/>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w:t>
      </w:r>
      <w:r>
        <w:rPr>
          <w:rFonts w:hint="eastAsia" w:ascii="Times New Roman" w:hAnsi="Times New Roman" w:eastAsia="隶书" w:cs="Times New Roman"/>
          <w:sz w:val="24"/>
          <w:szCs w:val="24"/>
          <w:highlight w:val="none"/>
        </w:rPr>
        <w:t>6</w:t>
      </w:r>
      <w:r>
        <w:rPr>
          <w:rFonts w:ascii="Times New Roman" w:hAnsi="Times New Roman" w:eastAsia="隶书" w:cs="Times New Roman"/>
          <w:sz w:val="24"/>
          <w:szCs w:val="24"/>
          <w:highlight w:val="none"/>
        </w:rPr>
        <w:t>.1 除第二章“投标人须知”前附表授权直接确定中标人外，评标委员会按照得分由高到低的顺序推荐中标候选人，并标明排序。</w:t>
      </w:r>
    </w:p>
    <w:p>
      <w:pPr>
        <w:spacing w:line="400" w:lineRule="exact"/>
        <w:ind w:firstLine="480" w:firstLineChars="200"/>
        <w:rPr>
          <w:rFonts w:ascii="Times New Roman" w:hAnsi="Times New Roman" w:eastAsia="隶书" w:cs="Times New Roman"/>
          <w:sz w:val="24"/>
          <w:szCs w:val="24"/>
          <w:highlight w:val="none"/>
        </w:rPr>
      </w:pPr>
      <w:r>
        <w:rPr>
          <w:rFonts w:ascii="Times New Roman" w:hAnsi="Times New Roman" w:eastAsia="隶书" w:cs="Times New Roman"/>
          <w:sz w:val="24"/>
          <w:szCs w:val="24"/>
          <w:highlight w:val="none"/>
        </w:rPr>
        <w:t>3.</w:t>
      </w:r>
      <w:r>
        <w:rPr>
          <w:rFonts w:hint="eastAsia" w:ascii="Times New Roman" w:hAnsi="Times New Roman" w:eastAsia="隶书" w:cs="Times New Roman"/>
          <w:sz w:val="24"/>
          <w:szCs w:val="24"/>
          <w:highlight w:val="none"/>
        </w:rPr>
        <w:t>6</w:t>
      </w:r>
      <w:r>
        <w:rPr>
          <w:rFonts w:ascii="Times New Roman" w:hAnsi="Times New Roman" w:eastAsia="隶书" w:cs="Times New Roman"/>
          <w:sz w:val="24"/>
          <w:szCs w:val="24"/>
          <w:highlight w:val="none"/>
        </w:rPr>
        <w:t>.2 评标委员会完成评标后，应向招标人提交书面评标报告。</w:t>
      </w:r>
    </w:p>
    <w:p>
      <w:pPr>
        <w:numPr>
          <w:ilvl w:val="0"/>
          <w:numId w:val="0"/>
        </w:numPr>
        <w:snapToGrid w:val="0"/>
        <w:spacing w:before="120" w:line="400" w:lineRule="atLeast"/>
        <w:ind w:leftChars="0"/>
        <w:rPr>
          <w:rFonts w:hint="default" w:ascii="Times New Roman" w:hAnsi="Times New Roman" w:cs="Times New Roman"/>
          <w:color w:val="auto"/>
          <w:kern w:val="0"/>
          <w:sz w:val="21"/>
          <w:szCs w:val="21"/>
          <w:highlight w:val="none"/>
          <w:lang w:val="en-US" w:eastAsia="zh-CN"/>
        </w:rPr>
      </w:pPr>
    </w:p>
    <w:p>
      <w:pPr>
        <w:snapToGrid w:val="0"/>
        <w:spacing w:before="120" w:line="400" w:lineRule="atLeast"/>
        <w:ind w:left="0" w:firstLine="0" w:firstLineChars="0"/>
        <w:rPr>
          <w:rFonts w:ascii="黑体" w:hAnsi="黑体" w:eastAsia="黑体" w:cs="Times New Roman"/>
          <w:color w:val="auto"/>
          <w:sz w:val="24"/>
          <w:szCs w:val="24"/>
          <w:highlight w:val="none"/>
        </w:rPr>
      </w:pPr>
    </w:p>
    <w:p/>
    <w:sectPr>
      <w:pgSz w:w="11906" w:h="16838"/>
      <w:pgMar w:top="1440" w:right="1803" w:bottom="1440"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2719E"/>
    <w:rsid w:val="0C8852DC"/>
    <w:rsid w:val="0DB80361"/>
    <w:rsid w:val="157918B8"/>
    <w:rsid w:val="18E95070"/>
    <w:rsid w:val="1F9B72A7"/>
    <w:rsid w:val="238D1D8E"/>
    <w:rsid w:val="24DD548B"/>
    <w:rsid w:val="289265E6"/>
    <w:rsid w:val="28BB203E"/>
    <w:rsid w:val="29A24E85"/>
    <w:rsid w:val="2B75282D"/>
    <w:rsid w:val="2C713ECA"/>
    <w:rsid w:val="33C11B9C"/>
    <w:rsid w:val="345A763B"/>
    <w:rsid w:val="348D19F8"/>
    <w:rsid w:val="35CC5E1C"/>
    <w:rsid w:val="3662484F"/>
    <w:rsid w:val="3A596216"/>
    <w:rsid w:val="3B9E56C3"/>
    <w:rsid w:val="3F7F76B0"/>
    <w:rsid w:val="40DE7B4B"/>
    <w:rsid w:val="428E3585"/>
    <w:rsid w:val="460A4541"/>
    <w:rsid w:val="465C0BFA"/>
    <w:rsid w:val="49947051"/>
    <w:rsid w:val="4A5A43A4"/>
    <w:rsid w:val="4D2B240A"/>
    <w:rsid w:val="4D8C448F"/>
    <w:rsid w:val="5027597E"/>
    <w:rsid w:val="51737B2B"/>
    <w:rsid w:val="5B0019D0"/>
    <w:rsid w:val="644424D0"/>
    <w:rsid w:val="66A33E6D"/>
    <w:rsid w:val="68DA749E"/>
    <w:rsid w:val="6B3F4549"/>
    <w:rsid w:val="6FCF3D12"/>
    <w:rsid w:val="74A824E5"/>
    <w:rsid w:val="75BA34A7"/>
    <w:rsid w:val="763C0296"/>
    <w:rsid w:val="7816743C"/>
    <w:rsid w:val="7A396DA8"/>
    <w:rsid w:val="7AF344B3"/>
    <w:rsid w:val="7DED414C"/>
    <w:rsid w:val="7F80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left="0" w:firstLine="480" w:firstLineChars="200"/>
      <w:jc w:val="both"/>
    </w:pPr>
    <w:rPr>
      <w:rFonts w:eastAsia="宋体" w:asciiTheme="minorAscii" w:hAnsiTheme="minorAscii" w:cstheme="minorBidi"/>
      <w:kern w:val="2"/>
      <w:sz w:val="24"/>
      <w:szCs w:val="22"/>
      <w:lang w:val="en-US" w:eastAsia="zh-CN" w:bidi="ar-SA"/>
    </w:rPr>
  </w:style>
  <w:style w:type="paragraph" w:styleId="2">
    <w:name w:val="heading 1"/>
    <w:basedOn w:val="1"/>
    <w:next w:val="1"/>
    <w:link w:val="14"/>
    <w:qFormat/>
    <w:uiPriority w:val="0"/>
    <w:pPr>
      <w:keepNext/>
      <w:keepLines/>
      <w:spacing w:line="940" w:lineRule="atLeast"/>
      <w:ind w:firstLine="0" w:firstLineChars="0"/>
      <w:jc w:val="center"/>
      <w:outlineLvl w:val="0"/>
    </w:pPr>
    <w:rPr>
      <w:rFonts w:eastAsia="宋体" w:asciiTheme="minorAscii" w:hAnsiTheme="minorAscii"/>
      <w:b/>
      <w:bCs/>
      <w:kern w:val="44"/>
      <w:sz w:val="72"/>
      <w:szCs w:val="44"/>
      <w:lang w:val="zh-CN"/>
    </w:rPr>
  </w:style>
  <w:style w:type="paragraph" w:styleId="3">
    <w:name w:val="heading 2"/>
    <w:basedOn w:val="1"/>
    <w:next w:val="1"/>
    <w:link w:val="15"/>
    <w:semiHidden/>
    <w:unhideWhenUsed/>
    <w:qFormat/>
    <w:uiPriority w:val="0"/>
    <w:pPr>
      <w:keepNext/>
      <w:keepLines/>
      <w:spacing w:before="50" w:beforeLines="50" w:line="240" w:lineRule="auto"/>
      <w:jc w:val="left"/>
      <w:outlineLvl w:val="1"/>
    </w:pPr>
    <w:rPr>
      <w:rFonts w:ascii="宋体" w:hAnsi="宋体" w:cs="Times New Roman"/>
      <w:b/>
      <w:bCs/>
      <w:iCs/>
      <w:sz w:val="32"/>
      <w:szCs w:val="20"/>
    </w:rPr>
  </w:style>
  <w:style w:type="paragraph" w:styleId="4">
    <w:name w:val="heading 3"/>
    <w:basedOn w:val="1"/>
    <w:next w:val="1"/>
    <w:link w:val="16"/>
    <w:semiHidden/>
    <w:unhideWhenUsed/>
    <w:qFormat/>
    <w:uiPriority w:val="0"/>
    <w:pPr>
      <w:keepNext/>
      <w:keepLines/>
      <w:widowControl/>
      <w:spacing w:before="2400" w:beforeLines="2400" w:line="240" w:lineRule="auto"/>
      <w:jc w:val="left"/>
      <w:outlineLvl w:val="2"/>
    </w:pPr>
    <w:rPr>
      <w:rFonts w:ascii="宋体" w:hAnsi="宋体" w:eastAsia="黑体" w:cs="Times New Roman"/>
      <w:b/>
      <w:kern w:val="0"/>
      <w:sz w:val="32"/>
      <w:szCs w:val="20"/>
      <w:lang w:val="zh-CN"/>
    </w:rPr>
  </w:style>
  <w:style w:type="paragraph" w:styleId="5">
    <w:name w:val="heading 7"/>
    <w:basedOn w:val="1"/>
    <w:next w:val="1"/>
    <w:link w:val="17"/>
    <w:semiHidden/>
    <w:unhideWhenUsed/>
    <w:qFormat/>
    <w:uiPriority w:val="0"/>
    <w:pPr>
      <w:keepNext/>
      <w:keepLines/>
      <w:widowControl/>
      <w:tabs>
        <w:tab w:val="left" w:pos="2520"/>
      </w:tabs>
      <w:spacing w:line="440" w:lineRule="exact"/>
      <w:ind w:left="0" w:firstLine="640" w:firstLineChars="200"/>
      <w:jc w:val="left"/>
      <w:outlineLvl w:val="6"/>
    </w:pPr>
    <w:rPr>
      <w:rFonts w:ascii="Times New Roman" w:hAnsi="Times New Roman" w:eastAsia="宋体"/>
      <w:bCs/>
      <w:kern w:val="0"/>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widowControl/>
      <w:spacing w:before="100" w:beforeLines="100" w:after="20" w:line="440" w:lineRule="exact"/>
      <w:ind w:left="0"/>
      <w:jc w:val="left"/>
    </w:pPr>
    <w:rPr>
      <w:kern w:val="0"/>
      <w:sz w:val="28"/>
      <w:szCs w:val="22"/>
    </w:rPr>
  </w:style>
  <w:style w:type="paragraph" w:styleId="7">
    <w:name w:val="toc 1"/>
    <w:basedOn w:val="1"/>
    <w:next w:val="1"/>
    <w:qFormat/>
    <w:uiPriority w:val="0"/>
    <w:pPr>
      <w:tabs>
        <w:tab w:val="left" w:pos="425"/>
        <w:tab w:val="right" w:leader="dot" w:pos="8805"/>
      </w:tabs>
      <w:spacing w:before="50" w:beforeLines="50" w:after="50" w:afterLines="50" w:line="440" w:lineRule="exact"/>
      <w:ind w:firstLine="0" w:firstLineChars="0"/>
      <w:jc w:val="both"/>
    </w:pPr>
    <w:rPr>
      <w:rFonts w:eastAsia="黑体"/>
      <w:b/>
      <w:color w:val="000000"/>
      <w:sz w:val="28"/>
      <w:szCs w:val="20"/>
    </w:rPr>
  </w:style>
  <w:style w:type="paragraph" w:styleId="8">
    <w:name w:val="toc 2"/>
    <w:basedOn w:val="1"/>
    <w:next w:val="1"/>
    <w:qFormat/>
    <w:uiPriority w:val="0"/>
    <w:pPr>
      <w:spacing w:before="100" w:beforeLines="100" w:after="100" w:afterLines="100" w:line="440" w:lineRule="atLeast"/>
      <w:ind w:left="0" w:leftChars="0"/>
      <w:jc w:val="center"/>
    </w:pPr>
    <w:rPr>
      <w:rFonts w:eastAsia="黑体"/>
      <w:b/>
      <w:sz w:val="30"/>
    </w:rPr>
  </w:style>
  <w:style w:type="table" w:styleId="10">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封面落款"/>
    <w:basedOn w:val="1"/>
    <w:next w:val="1"/>
    <w:qFormat/>
    <w:uiPriority w:val="0"/>
    <w:pPr>
      <w:widowControl/>
      <w:autoSpaceDE w:val="0"/>
      <w:autoSpaceDN w:val="0"/>
      <w:adjustRightInd w:val="0"/>
      <w:spacing w:line="440" w:lineRule="atLeast"/>
      <w:ind w:firstLine="0" w:firstLineChars="0"/>
      <w:jc w:val="center"/>
      <w:textAlignment w:val="bottom"/>
    </w:pPr>
    <w:rPr>
      <w:rFonts w:ascii="黑体" w:hAnsi="黑体" w:eastAsia="黑体"/>
      <w:kern w:val="0"/>
      <w:sz w:val="32"/>
      <w:szCs w:val="30"/>
    </w:rPr>
  </w:style>
  <w:style w:type="paragraph" w:customStyle="1" w:styleId="13">
    <w:name w:val="封面标题"/>
    <w:basedOn w:val="1"/>
    <w:next w:val="1"/>
    <w:qFormat/>
    <w:uiPriority w:val="0"/>
    <w:pPr>
      <w:widowControl/>
      <w:autoSpaceDE w:val="0"/>
      <w:autoSpaceDN w:val="0"/>
      <w:adjustRightInd w:val="0"/>
      <w:spacing w:before="300" w:beforeLines="300"/>
      <w:jc w:val="center"/>
      <w:textAlignment w:val="bottom"/>
    </w:pPr>
    <w:rPr>
      <w:rFonts w:eastAsia="黑体"/>
      <w:bCs/>
      <w:kern w:val="0"/>
      <w:sz w:val="44"/>
      <w:szCs w:val="32"/>
    </w:rPr>
  </w:style>
  <w:style w:type="character" w:customStyle="1" w:styleId="14">
    <w:name w:val="标题 1 字符1"/>
    <w:link w:val="2"/>
    <w:qFormat/>
    <w:uiPriority w:val="0"/>
    <w:rPr>
      <w:rFonts w:eastAsia="宋体" w:asciiTheme="minorAscii" w:hAnsiTheme="minorAscii"/>
      <w:b/>
      <w:bCs/>
      <w:kern w:val="44"/>
      <w:sz w:val="72"/>
      <w:szCs w:val="44"/>
    </w:rPr>
  </w:style>
  <w:style w:type="character" w:customStyle="1" w:styleId="15">
    <w:name w:val="标题 2 字符1"/>
    <w:link w:val="3"/>
    <w:qFormat/>
    <w:uiPriority w:val="0"/>
    <w:rPr>
      <w:rFonts w:ascii="宋体" w:hAnsi="宋体" w:eastAsia="宋体" w:cs="Times New Roman"/>
      <w:b/>
      <w:bCs/>
      <w:iCs/>
      <w:kern w:val="2"/>
      <w:sz w:val="32"/>
      <w:lang w:val="en-US" w:eastAsia="zh-CN"/>
    </w:rPr>
  </w:style>
  <w:style w:type="character" w:customStyle="1" w:styleId="16">
    <w:name w:val="标题 3 字符"/>
    <w:link w:val="4"/>
    <w:qFormat/>
    <w:uiPriority w:val="0"/>
    <w:rPr>
      <w:rFonts w:ascii="宋体" w:hAnsi="宋体" w:eastAsia="黑体" w:cs="Times New Roman"/>
      <w:b/>
      <w:sz w:val="32"/>
    </w:rPr>
  </w:style>
  <w:style w:type="character" w:customStyle="1" w:styleId="17">
    <w:name w:val="标题 7 字符"/>
    <w:link w:val="5"/>
    <w:qFormat/>
    <w:uiPriority w:val="9"/>
    <w:rPr>
      <w:rFonts w:ascii="Times New Roman" w:hAnsi="Times New Roman" w:eastAsia="宋体"/>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北京环亚恒信</dc:creator>
  <cp:lastModifiedBy>Administrator</cp:lastModifiedBy>
  <dcterms:modified xsi:type="dcterms:W3CDTF">2021-04-12T06:38:36Z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