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Arial"/>
          <w:sz w:val="18"/>
          <w:szCs w:val="18"/>
        </w:rPr>
      </w:pPr>
      <w:bookmarkStart w:id="15" w:name="_GoBack"/>
      <w:bookmarkEnd w:id="15"/>
      <w:r>
        <w:rPr>
          <w:rFonts w:ascii="宋体" w:hAnsi="宋体" w:cs="Arial"/>
          <w:sz w:val="30"/>
          <w:szCs w:val="30"/>
        </w:rPr>
        <w:t>附录1 资格审查条件（资质最低要求）</w:t>
      </w:r>
    </w:p>
    <w:tbl>
      <w:tblPr>
        <w:tblStyle w:val="9"/>
        <w:tblW w:w="8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193" w:type="dxa"/>
            <w:vAlign w:val="center"/>
          </w:tcPr>
          <w:p>
            <w:pPr>
              <w:jc w:val="center"/>
              <w:rPr>
                <w:rFonts w:ascii="宋体" w:hAnsi="宋体" w:cs="Arial"/>
                <w:b/>
                <w:szCs w:val="21"/>
              </w:rPr>
            </w:pPr>
            <w:bookmarkStart w:id="0" w:name="_Toc296369542"/>
            <w:bookmarkStart w:id="1" w:name="_Toc330366397"/>
            <w:bookmarkStart w:id="2" w:name="_Toc268213351"/>
            <w:bookmarkStart w:id="3" w:name="_Toc329932159"/>
            <w:bookmarkStart w:id="4" w:name="_Toc236538950"/>
            <w:r>
              <w:rPr>
                <w:rFonts w:hint="eastAsia" w:ascii="宋体" w:hAnsi="宋体" w:cs="Arial"/>
                <w:b/>
                <w:szCs w:val="21"/>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jc w:val="center"/>
        </w:trPr>
        <w:tc>
          <w:tcPr>
            <w:tcW w:w="8193" w:type="dxa"/>
            <w:vAlign w:val="center"/>
          </w:tcPr>
          <w:p>
            <w:pPr>
              <w:jc w:val="left"/>
              <w:rPr>
                <w:rFonts w:ascii="宋体" w:hAnsi="宋体" w:cs="Arial"/>
                <w:bCs/>
                <w:szCs w:val="21"/>
              </w:rPr>
            </w:pPr>
            <w:r>
              <w:rPr>
                <w:rFonts w:hint="eastAsia" w:ascii="Arial" w:hAnsi="Arial" w:cs="Arial"/>
                <w:bCs/>
                <w:szCs w:val="21"/>
              </w:rPr>
              <w:t>公路交通工程（公路机电工程分项）专业承包壹级</w:t>
            </w:r>
          </w:p>
        </w:tc>
      </w:tr>
    </w:tbl>
    <w:p>
      <w:pPr>
        <w:spacing w:beforeLines="50"/>
        <w:ind w:firstLine="542" w:firstLineChars="300"/>
        <w:rPr>
          <w:rFonts w:ascii="宋体" w:hAnsi="宋体" w:cs="宋体"/>
          <w:sz w:val="18"/>
          <w:szCs w:val="18"/>
        </w:rPr>
      </w:pPr>
      <w:r>
        <w:rPr>
          <w:rFonts w:hint="eastAsia" w:ascii="宋体" w:hAnsi="宋体" w:cs="宋体"/>
          <w:b/>
          <w:bCs/>
          <w:kern w:val="44"/>
          <w:sz w:val="18"/>
          <w:szCs w:val="18"/>
        </w:rPr>
        <w:t>注：1.</w:t>
      </w:r>
      <w:r>
        <w:rPr>
          <w:sz w:val="18"/>
          <w:szCs w:val="18"/>
        </w:rPr>
        <w:t>根据《住房和城乡建设部办公厅关于建设工程企业资质延续有关事项的通知》（建办市函〔2020〕334号）文件规定，住房和城乡建设部核发的资质证书有效期于2020年7月1日至2021年12月30日届满的，统一延期至2021年12月31日。</w:t>
      </w:r>
    </w:p>
    <w:p>
      <w:pPr>
        <w:spacing w:beforeLines="50"/>
        <w:jc w:val="left"/>
        <w:rPr>
          <w:rFonts w:ascii="宋体" w:hAnsi="宋体" w:cs="Arial"/>
          <w:sz w:val="18"/>
          <w:szCs w:val="18"/>
        </w:rPr>
      </w:pPr>
    </w:p>
    <w:p>
      <w:pPr>
        <w:spacing w:beforeLines="50"/>
        <w:jc w:val="left"/>
        <w:rPr>
          <w:rFonts w:ascii="宋体" w:hAnsi="宋体" w:cs="Arial"/>
          <w:sz w:val="18"/>
          <w:szCs w:val="18"/>
        </w:rPr>
      </w:pPr>
    </w:p>
    <w:p>
      <w:pPr>
        <w:spacing w:beforeLines="50"/>
        <w:jc w:val="left"/>
        <w:rPr>
          <w:rFonts w:ascii="宋体" w:hAnsi="宋体" w:cs="Arial"/>
          <w:sz w:val="18"/>
          <w:szCs w:val="18"/>
        </w:rPr>
      </w:pPr>
    </w:p>
    <w:p>
      <w:pPr>
        <w:spacing w:beforeLines="50"/>
        <w:jc w:val="left"/>
        <w:rPr>
          <w:rFonts w:ascii="宋体" w:hAnsi="宋体" w:cs="Arial"/>
          <w:sz w:val="18"/>
          <w:szCs w:val="18"/>
        </w:rPr>
      </w:pPr>
    </w:p>
    <w:p>
      <w:pPr>
        <w:spacing w:before="100" w:beforeAutospacing="1" w:after="100" w:afterAutospacing="1" w:line="360" w:lineRule="auto"/>
        <w:jc w:val="center"/>
        <w:outlineLvl w:val="1"/>
        <w:rPr>
          <w:rFonts w:ascii="宋体" w:hAnsi="宋体" w:cs="Arial"/>
          <w:sz w:val="30"/>
          <w:szCs w:val="30"/>
        </w:rPr>
      </w:pPr>
      <w:bookmarkStart w:id="5" w:name="_Toc504690809"/>
      <w:bookmarkStart w:id="6" w:name="_Toc442431575"/>
      <w:r>
        <w:rPr>
          <w:rFonts w:ascii="宋体" w:hAnsi="宋体" w:cs="Arial"/>
          <w:sz w:val="30"/>
          <w:szCs w:val="30"/>
        </w:rPr>
        <w:t>附录2 资格审查条件（财务最低要求）</w:t>
      </w:r>
      <w:bookmarkEnd w:id="0"/>
      <w:bookmarkEnd w:id="1"/>
      <w:bookmarkEnd w:id="2"/>
      <w:bookmarkEnd w:id="3"/>
      <w:bookmarkEnd w:id="5"/>
      <w:bookmarkEnd w:id="6"/>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98" w:type="dxa"/>
            <w:vAlign w:val="center"/>
          </w:tcPr>
          <w:p>
            <w:pPr>
              <w:jc w:val="center"/>
              <w:rPr>
                <w:rFonts w:ascii="宋体" w:hAnsi="宋体" w:cs="Arial"/>
                <w:b/>
                <w:szCs w:val="21"/>
              </w:rPr>
            </w:pPr>
            <w:r>
              <w:rPr>
                <w:rFonts w:hint="eastAsia" w:ascii="宋体" w:hAnsi="宋体" w:cs="Arial"/>
                <w:b/>
                <w:szCs w:val="21"/>
              </w:rPr>
              <w:t>财</w:t>
            </w:r>
            <w:r>
              <w:rPr>
                <w:rFonts w:ascii="宋体" w:hAnsi="宋体" w:cs="Arial"/>
                <w:b/>
                <w:szCs w:val="21"/>
              </w:rPr>
              <w:t xml:space="preserve">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jc w:val="center"/>
        </w:trPr>
        <w:tc>
          <w:tcPr>
            <w:tcW w:w="8098" w:type="dxa"/>
            <w:vAlign w:val="center"/>
          </w:tcPr>
          <w:p>
            <w:pPr>
              <w:jc w:val="center"/>
              <w:rPr>
                <w:rFonts w:ascii="宋体" w:hAnsi="宋体" w:cs="Arial"/>
                <w:szCs w:val="21"/>
              </w:rPr>
            </w:pPr>
            <w:r>
              <w:rPr>
                <w:rFonts w:hint="eastAsia" w:ascii="宋体" w:hAnsi="宋体"/>
                <w:b/>
                <w:szCs w:val="21"/>
              </w:rPr>
              <w:t>2018年度及2019年度流动比率均大于1</w:t>
            </w:r>
          </w:p>
        </w:tc>
      </w:tr>
      <w:bookmarkEnd w:id="4"/>
    </w:tbl>
    <w:p>
      <w:pPr>
        <w:spacing w:beforeLines="50"/>
        <w:ind w:firstLine="630" w:firstLineChars="300"/>
        <w:rPr>
          <w:rFonts w:ascii="宋体" w:hAnsi="宋体" w:cs="Arial"/>
          <w:szCs w:val="21"/>
        </w:rPr>
      </w:pPr>
      <w:bookmarkStart w:id="7" w:name="_Toc442431577"/>
      <w:bookmarkStart w:id="8" w:name="_Toc504690810"/>
      <w:bookmarkStart w:id="9" w:name="_Toc236538952"/>
      <w:bookmarkStart w:id="10" w:name="_Toc329932161"/>
      <w:bookmarkStart w:id="11" w:name="_Toc330366399"/>
    </w:p>
    <w:p>
      <w:pPr>
        <w:spacing w:before="100" w:beforeAutospacing="1" w:after="100" w:afterAutospacing="1" w:line="360" w:lineRule="auto"/>
        <w:jc w:val="center"/>
        <w:outlineLvl w:val="1"/>
        <w:rPr>
          <w:rFonts w:ascii="宋体" w:hAnsi="宋体" w:cs="Arial"/>
          <w:sz w:val="30"/>
          <w:szCs w:val="30"/>
        </w:rPr>
      </w:pPr>
    </w:p>
    <w:p>
      <w:pPr>
        <w:spacing w:before="100" w:beforeAutospacing="1" w:after="100" w:afterAutospacing="1" w:line="360" w:lineRule="auto"/>
        <w:jc w:val="center"/>
        <w:outlineLvl w:val="1"/>
        <w:rPr>
          <w:rFonts w:ascii="宋体" w:hAnsi="宋体" w:cs="Arial"/>
          <w:sz w:val="30"/>
          <w:szCs w:val="30"/>
        </w:rPr>
      </w:pPr>
    </w:p>
    <w:p>
      <w:pPr>
        <w:spacing w:before="100" w:beforeAutospacing="1" w:after="100" w:afterAutospacing="1" w:line="360" w:lineRule="auto"/>
        <w:jc w:val="center"/>
        <w:outlineLvl w:val="1"/>
        <w:rPr>
          <w:rFonts w:ascii="宋体" w:hAnsi="宋体" w:cs="Arial"/>
          <w:sz w:val="30"/>
          <w:szCs w:val="30"/>
        </w:rPr>
      </w:pPr>
      <w:r>
        <w:rPr>
          <w:rFonts w:ascii="宋体" w:hAnsi="宋体" w:cs="Arial"/>
          <w:sz w:val="30"/>
          <w:szCs w:val="30"/>
        </w:rPr>
        <w:br w:type="page"/>
      </w:r>
      <w:r>
        <w:rPr>
          <w:rFonts w:ascii="宋体" w:hAnsi="宋体" w:cs="Arial"/>
          <w:sz w:val="30"/>
          <w:szCs w:val="30"/>
        </w:rPr>
        <w:t>附录</w:t>
      </w:r>
      <w:r>
        <w:rPr>
          <w:rFonts w:hint="eastAsia" w:ascii="宋体" w:hAnsi="宋体" w:cs="Arial"/>
          <w:sz w:val="30"/>
          <w:szCs w:val="30"/>
        </w:rPr>
        <w:t>3</w:t>
      </w:r>
      <w:r>
        <w:rPr>
          <w:rFonts w:ascii="宋体" w:hAnsi="宋体" w:cs="Arial"/>
          <w:sz w:val="30"/>
          <w:szCs w:val="30"/>
        </w:rPr>
        <w:t xml:space="preserve"> 资格审查条件（</w:t>
      </w:r>
      <w:r>
        <w:rPr>
          <w:rFonts w:hint="eastAsia" w:ascii="宋体" w:hAnsi="宋体" w:cs="Arial"/>
          <w:sz w:val="30"/>
          <w:szCs w:val="30"/>
        </w:rPr>
        <w:t>业绩</w:t>
      </w:r>
      <w:r>
        <w:rPr>
          <w:rFonts w:ascii="宋体" w:hAnsi="宋体" w:cs="Arial"/>
          <w:sz w:val="30"/>
          <w:szCs w:val="30"/>
        </w:rPr>
        <w:t>最低要求）</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19" w:type="dxa"/>
            <w:vAlign w:val="center"/>
          </w:tcPr>
          <w:p>
            <w:pPr>
              <w:jc w:val="center"/>
              <w:rPr>
                <w:rFonts w:ascii="宋体" w:hAnsi="宋体" w:cs="Arial"/>
                <w:b/>
                <w:szCs w:val="21"/>
              </w:rPr>
            </w:pPr>
            <w:r>
              <w:rPr>
                <w:rFonts w:hint="eastAsia" w:ascii="宋体" w:hAnsi="宋体" w:cs="Arial"/>
                <w:b/>
                <w:szCs w:val="21"/>
              </w:rPr>
              <w:t>业</w:t>
            </w:r>
            <w:r>
              <w:rPr>
                <w:rFonts w:ascii="宋体" w:hAnsi="宋体" w:cs="Arial"/>
                <w:b/>
                <w:szCs w:val="21"/>
              </w:rPr>
              <w:t xml:space="preserve">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9119" w:type="dxa"/>
            <w:vAlign w:val="center"/>
          </w:tcPr>
          <w:p>
            <w:pPr>
              <w:spacing w:before="90" w:line="274" w:lineRule="auto"/>
              <w:ind w:left="292" w:leftChars="139" w:firstLine="3979" w:firstLineChars="1895"/>
            </w:pPr>
            <w:r>
              <w:rPr>
                <w:rFonts w:hint="eastAsia"/>
              </w:rPr>
              <w:t>无</w:t>
            </w:r>
          </w:p>
        </w:tc>
      </w:tr>
    </w:tbl>
    <w:p>
      <w:pPr>
        <w:spacing w:line="360" w:lineRule="auto"/>
        <w:jc w:val="center"/>
        <w:outlineLvl w:val="1"/>
        <w:rPr>
          <w:rFonts w:ascii="宋体" w:hAnsi="宋体" w:cs="Arial"/>
          <w:sz w:val="30"/>
          <w:szCs w:val="30"/>
        </w:rPr>
      </w:pPr>
    </w:p>
    <w:p>
      <w:pPr>
        <w:spacing w:line="360" w:lineRule="auto"/>
        <w:jc w:val="center"/>
        <w:outlineLvl w:val="1"/>
        <w:rPr>
          <w:rFonts w:ascii="宋体" w:hAnsi="宋体" w:cs="Arial"/>
          <w:sz w:val="30"/>
          <w:szCs w:val="30"/>
        </w:rPr>
      </w:pPr>
    </w:p>
    <w:p>
      <w:pPr>
        <w:spacing w:before="100" w:beforeAutospacing="1" w:after="100" w:afterAutospacing="1" w:line="360" w:lineRule="auto"/>
        <w:jc w:val="center"/>
        <w:outlineLvl w:val="1"/>
        <w:rPr>
          <w:rFonts w:ascii="宋体" w:hAnsi="宋体" w:cs="Arial"/>
          <w:sz w:val="30"/>
          <w:szCs w:val="30"/>
        </w:rPr>
      </w:pPr>
      <w:r>
        <w:rPr>
          <w:rFonts w:ascii="宋体" w:hAnsi="宋体" w:cs="Arial"/>
          <w:sz w:val="30"/>
          <w:szCs w:val="30"/>
        </w:rPr>
        <w:t>附录</w:t>
      </w:r>
      <w:r>
        <w:rPr>
          <w:rFonts w:hint="eastAsia" w:ascii="宋体" w:hAnsi="宋体" w:cs="Arial"/>
          <w:sz w:val="30"/>
          <w:szCs w:val="30"/>
        </w:rPr>
        <w:t>4</w:t>
      </w:r>
      <w:r>
        <w:rPr>
          <w:rFonts w:ascii="宋体" w:hAnsi="宋体" w:cs="Arial"/>
          <w:sz w:val="30"/>
          <w:szCs w:val="30"/>
        </w:rPr>
        <w:t>资格审查条件（信誉最低要求）</w:t>
      </w:r>
      <w:bookmarkEnd w:id="7"/>
      <w:bookmarkEnd w:id="8"/>
      <w:bookmarkEnd w:id="9"/>
      <w:bookmarkEnd w:id="10"/>
      <w:bookmarkEnd w:id="11"/>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119" w:type="dxa"/>
            <w:vAlign w:val="center"/>
          </w:tcPr>
          <w:p>
            <w:pPr>
              <w:jc w:val="center"/>
              <w:rPr>
                <w:rFonts w:ascii="宋体" w:hAnsi="宋体" w:cs="Arial"/>
                <w:b/>
                <w:szCs w:val="21"/>
              </w:rPr>
            </w:pPr>
            <w:r>
              <w:rPr>
                <w:rFonts w:hint="eastAsia" w:ascii="宋体" w:hAnsi="宋体" w:cs="Arial"/>
                <w:b/>
                <w:szCs w:val="21"/>
              </w:rPr>
              <w:t>信 誉</w:t>
            </w:r>
            <w:r>
              <w:rPr>
                <w:rFonts w:ascii="宋体" w:hAnsi="宋体" w:cs="Arial"/>
                <w:b/>
                <w:szCs w:val="21"/>
              </w:rPr>
              <w:t xml:space="preserve">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9119" w:type="dxa"/>
            <w:vAlign w:val="center"/>
          </w:tcPr>
          <w:p>
            <w:pPr>
              <w:spacing w:line="360" w:lineRule="exact"/>
              <w:jc w:val="left"/>
              <w:rPr>
                <w:rFonts w:ascii="宋体" w:hAnsi="宋体" w:cs="Arial"/>
                <w:bCs/>
                <w:szCs w:val="21"/>
              </w:rPr>
            </w:pPr>
            <w:r>
              <w:rPr>
                <w:rFonts w:ascii="宋体" w:hAnsi="宋体" w:cs="Arial"/>
                <w:kern w:val="0"/>
                <w:szCs w:val="21"/>
              </w:rPr>
              <w:t>投标人在最新贵州省交通建设市场从业单位信用评价的综合考核定级中，未被评价为D级；未进行评价的企业按</w:t>
            </w:r>
            <w:r>
              <w:rPr>
                <w:rFonts w:hint="eastAsia" w:ascii="宋体" w:hAnsi="宋体" w:cs="Arial"/>
                <w:kern w:val="0"/>
                <w:szCs w:val="21"/>
              </w:rPr>
              <w:t>“</w:t>
            </w:r>
            <w:r>
              <w:rPr>
                <w:rFonts w:ascii="宋体" w:hAnsi="宋体" w:cs="Arial"/>
                <w:szCs w:val="21"/>
              </w:rPr>
              <w:t>贵州省交通运输厅关于印发《贵州省高速公路设计施工企业信用评价实施细则（试行）》的通知黔交建设[2016] 279号及《贵州省高速公路设计施工企业信用评价结果引用的补充通知》黔交建设[2016]291号</w:t>
            </w:r>
            <w:r>
              <w:rPr>
                <w:rFonts w:ascii="宋体" w:hAnsi="宋体" w:cs="Arial"/>
                <w:kern w:val="0"/>
                <w:szCs w:val="21"/>
              </w:rPr>
              <w:t>（可在贵州省交通运输厅网站www.qjt.gov.cn上查询）”文件规定确定的最新信用</w:t>
            </w:r>
            <w:r>
              <w:rPr>
                <w:rFonts w:hint="eastAsia" w:ascii="宋体" w:hAnsi="宋体" w:cs="Arial"/>
                <w:kern w:val="0"/>
                <w:szCs w:val="21"/>
              </w:rPr>
              <w:t>（本项目投标专业指机电工程专业）</w:t>
            </w:r>
            <w:r>
              <w:rPr>
                <w:rFonts w:ascii="宋体" w:hAnsi="宋体" w:cs="Arial"/>
                <w:kern w:val="0"/>
                <w:szCs w:val="21"/>
              </w:rPr>
              <w:t>等级不为D级</w:t>
            </w:r>
            <w:r>
              <w:rPr>
                <w:rFonts w:ascii="宋体" w:hAnsi="宋体" w:cs="Arial"/>
                <w:b/>
                <w:kern w:val="0"/>
                <w:szCs w:val="21"/>
              </w:rPr>
              <w:t>。</w:t>
            </w:r>
          </w:p>
        </w:tc>
      </w:tr>
    </w:tbl>
    <w:p>
      <w:pPr>
        <w:spacing w:line="360" w:lineRule="auto"/>
        <w:jc w:val="center"/>
        <w:outlineLvl w:val="1"/>
        <w:rPr>
          <w:rFonts w:ascii="宋体" w:hAnsi="宋体" w:cs="Arial"/>
          <w:sz w:val="30"/>
          <w:szCs w:val="30"/>
        </w:rPr>
      </w:pPr>
    </w:p>
    <w:p>
      <w:pPr>
        <w:spacing w:line="360" w:lineRule="auto"/>
        <w:outlineLvl w:val="1"/>
        <w:rPr>
          <w:rFonts w:ascii="宋体" w:hAnsi="宋体" w:cs="Arial"/>
          <w:sz w:val="30"/>
          <w:szCs w:val="30"/>
        </w:rPr>
      </w:pPr>
    </w:p>
    <w:p>
      <w:pPr>
        <w:spacing w:before="100" w:beforeAutospacing="1" w:after="100" w:afterAutospacing="1" w:line="360" w:lineRule="auto"/>
        <w:outlineLvl w:val="1"/>
        <w:rPr>
          <w:rFonts w:ascii="宋体" w:hAnsi="宋体" w:cs="Arial"/>
          <w:i/>
          <w:sz w:val="30"/>
          <w:szCs w:val="30"/>
        </w:rPr>
      </w:pPr>
      <w:r>
        <w:rPr>
          <w:rFonts w:ascii="宋体" w:hAnsi="宋体" w:cs="Arial"/>
        </w:rPr>
        <w:br w:type="page"/>
      </w:r>
      <w:bookmarkStart w:id="12" w:name="_Toc442431578"/>
      <w:bookmarkStart w:id="13" w:name="_Toc504690811"/>
      <w:r>
        <w:rPr>
          <w:rFonts w:ascii="宋体" w:hAnsi="宋体" w:cs="Arial"/>
          <w:sz w:val="30"/>
          <w:szCs w:val="30"/>
        </w:rPr>
        <w:t>附录</w:t>
      </w:r>
      <w:r>
        <w:rPr>
          <w:rFonts w:hint="eastAsia" w:ascii="宋体" w:hAnsi="宋体" w:cs="Arial"/>
          <w:sz w:val="30"/>
          <w:szCs w:val="30"/>
        </w:rPr>
        <w:t>5</w:t>
      </w:r>
      <w:r>
        <w:rPr>
          <w:rFonts w:ascii="宋体" w:hAnsi="宋体" w:cs="Arial"/>
          <w:sz w:val="30"/>
          <w:szCs w:val="30"/>
        </w:rPr>
        <w:t xml:space="preserve"> 资格审查条件（</w:t>
      </w:r>
      <w:r>
        <w:rPr>
          <w:rFonts w:ascii="宋体" w:hAnsi="宋体" w:cs="Arial"/>
          <w:sz w:val="32"/>
          <w:szCs w:val="32"/>
        </w:rPr>
        <w:t>项目经理和项目总工</w:t>
      </w:r>
      <w:r>
        <w:rPr>
          <w:rFonts w:hint="eastAsia" w:ascii="宋体" w:hAnsi="宋体" w:cs="Arial"/>
          <w:sz w:val="32"/>
          <w:szCs w:val="32"/>
        </w:rPr>
        <w:t>最低</w:t>
      </w:r>
      <w:r>
        <w:rPr>
          <w:rFonts w:ascii="宋体" w:hAnsi="宋体" w:cs="Arial"/>
          <w:sz w:val="32"/>
          <w:szCs w:val="32"/>
        </w:rPr>
        <w:t>要求</w:t>
      </w:r>
      <w:r>
        <w:rPr>
          <w:rFonts w:ascii="宋体" w:hAnsi="宋体" w:cs="Arial"/>
          <w:sz w:val="30"/>
          <w:szCs w:val="30"/>
        </w:rPr>
        <w:t>）</w:t>
      </w:r>
      <w:bookmarkEnd w:id="12"/>
      <w:bookmarkEnd w:id="13"/>
    </w:p>
    <w:tbl>
      <w:tblPr>
        <w:tblStyle w:val="9"/>
        <w:tblW w:w="9026"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2036"/>
        <w:gridCol w:w="1094"/>
        <w:gridCol w:w="4116"/>
        <w:gridCol w:w="178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627" w:hRule="atLeast"/>
          <w:jc w:val="center"/>
        </w:trPr>
        <w:tc>
          <w:tcPr>
            <w:tcW w:w="2036" w:type="dxa"/>
            <w:tcBorders>
              <w:top w:val="single" w:color="auto" w:sz="6" w:space="0"/>
              <w:left w:val="single" w:color="auto" w:sz="2"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人员</w:t>
            </w:r>
          </w:p>
        </w:tc>
        <w:tc>
          <w:tcPr>
            <w:tcW w:w="10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数量</w:t>
            </w:r>
          </w:p>
        </w:tc>
        <w:tc>
          <w:tcPr>
            <w:tcW w:w="4116"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s="Arial"/>
                <w:szCs w:val="21"/>
              </w:rPr>
            </w:pPr>
            <w:r>
              <w:rPr>
                <w:rFonts w:ascii="宋体" w:hAnsi="宋体" w:cs="Arial"/>
                <w:szCs w:val="21"/>
              </w:rPr>
              <w:t>资格要求</w:t>
            </w:r>
          </w:p>
        </w:tc>
        <w:tc>
          <w:tcPr>
            <w:tcW w:w="1780" w:type="dxa"/>
            <w:tcBorders>
              <w:top w:val="single" w:color="auto" w:sz="6" w:space="0"/>
              <w:left w:val="single" w:color="auto" w:sz="4" w:space="0"/>
              <w:bottom w:val="single" w:color="auto" w:sz="6" w:space="0"/>
              <w:right w:val="single" w:color="auto" w:sz="2" w:space="0"/>
            </w:tcBorders>
            <w:vAlign w:val="center"/>
          </w:tcPr>
          <w:p>
            <w:pPr>
              <w:jc w:val="center"/>
              <w:rPr>
                <w:rFonts w:ascii="宋体" w:hAnsi="宋体" w:cs="Arial"/>
                <w:szCs w:val="21"/>
              </w:rPr>
            </w:pPr>
            <w:r>
              <w:rPr>
                <w:rFonts w:ascii="宋体" w:hAnsi="宋体" w:cs="Arial"/>
                <w:szCs w:val="21"/>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663" w:hRule="atLeast"/>
          <w:jc w:val="center"/>
        </w:trPr>
        <w:tc>
          <w:tcPr>
            <w:tcW w:w="2036" w:type="dxa"/>
            <w:tcBorders>
              <w:top w:val="single" w:color="auto" w:sz="6" w:space="0"/>
              <w:left w:val="single" w:color="auto" w:sz="2"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项目经理</w:t>
            </w:r>
          </w:p>
        </w:tc>
        <w:tc>
          <w:tcPr>
            <w:tcW w:w="10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Arial"/>
                <w:szCs w:val="21"/>
              </w:rPr>
            </w:pPr>
            <w:r>
              <w:rPr>
                <w:rFonts w:ascii="宋体" w:hAnsi="宋体" w:cs="Arial"/>
                <w:szCs w:val="21"/>
              </w:rPr>
              <w:t>1</w:t>
            </w:r>
          </w:p>
        </w:tc>
        <w:tc>
          <w:tcPr>
            <w:tcW w:w="4116" w:type="dxa"/>
            <w:tcBorders>
              <w:top w:val="single" w:color="auto" w:sz="6" w:space="0"/>
              <w:left w:val="single" w:color="auto" w:sz="6" w:space="0"/>
              <w:bottom w:val="single" w:color="auto" w:sz="6" w:space="0"/>
              <w:right w:val="single" w:color="auto" w:sz="4" w:space="0"/>
            </w:tcBorders>
            <w:vAlign w:val="center"/>
          </w:tcPr>
          <w:p>
            <w:pPr>
              <w:jc w:val="left"/>
              <w:rPr>
                <w:rFonts w:ascii="宋体" w:hAnsi="宋体" w:cs="Arial"/>
                <w:szCs w:val="21"/>
              </w:rPr>
            </w:pPr>
            <w:r>
              <w:rPr>
                <w:rFonts w:hint="eastAsia" w:ascii="宋体" w:hAnsi="宋体" w:cs="Arial"/>
                <w:szCs w:val="21"/>
              </w:rPr>
              <w:t>工程师及以上职称，持有建设行政主管部门颁发的二级建造师注册证书（机电工程专业），持有有效的交通主管部门颁发的安全生产考核合格证书（B类证书）。</w:t>
            </w:r>
          </w:p>
        </w:tc>
        <w:tc>
          <w:tcPr>
            <w:tcW w:w="1780" w:type="dxa"/>
            <w:vMerge w:val="restart"/>
            <w:tcBorders>
              <w:top w:val="single" w:color="auto" w:sz="6" w:space="0"/>
              <w:left w:val="single" w:color="auto" w:sz="4" w:space="0"/>
              <w:right w:val="single" w:color="auto" w:sz="2" w:space="0"/>
            </w:tcBorders>
            <w:vAlign w:val="center"/>
          </w:tcPr>
          <w:p>
            <w:pPr>
              <w:jc w:val="left"/>
              <w:rPr>
                <w:rFonts w:ascii="宋体" w:hAnsi="宋体" w:cs="Arial"/>
                <w:szCs w:val="21"/>
              </w:rPr>
            </w:pPr>
            <w:r>
              <w:rPr>
                <w:rFonts w:hint="eastAsia"/>
                <w:szCs w:val="21"/>
              </w:rPr>
              <w:t>无在岗项目（指目前未在其他项目上任职，或虽在其他项目上任职但本项目中标后能够从该项目撤离，或处于其他招标项目中标公示期或中标公示期已满但尚未签署合同但本项目中标后能够从该项目撤离）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28" w:type="dxa"/>
            <w:bottom w:w="0" w:type="dxa"/>
            <w:right w:w="28" w:type="dxa"/>
          </w:tblCellMar>
        </w:tblPrEx>
        <w:trPr>
          <w:trHeight w:val="1663" w:hRule="atLeast"/>
          <w:jc w:val="center"/>
        </w:trPr>
        <w:tc>
          <w:tcPr>
            <w:tcW w:w="2036" w:type="dxa"/>
            <w:tcBorders>
              <w:top w:val="single" w:color="auto" w:sz="6" w:space="0"/>
              <w:left w:val="single" w:color="auto" w:sz="2" w:space="0"/>
              <w:right w:val="single" w:color="auto" w:sz="6" w:space="0"/>
            </w:tcBorders>
            <w:vAlign w:val="center"/>
          </w:tcPr>
          <w:p>
            <w:pPr>
              <w:jc w:val="center"/>
              <w:rPr>
                <w:rFonts w:ascii="宋体" w:hAnsi="宋体" w:cs="Arial"/>
                <w:szCs w:val="21"/>
              </w:rPr>
            </w:pPr>
            <w:r>
              <w:rPr>
                <w:rFonts w:ascii="宋体" w:hAnsi="宋体" w:cs="Arial"/>
                <w:szCs w:val="21"/>
              </w:rPr>
              <w:t>项目总工</w:t>
            </w:r>
          </w:p>
        </w:tc>
        <w:tc>
          <w:tcPr>
            <w:tcW w:w="1094" w:type="dxa"/>
            <w:tcBorders>
              <w:top w:val="single" w:color="auto" w:sz="6" w:space="0"/>
              <w:left w:val="single" w:color="auto" w:sz="6" w:space="0"/>
              <w:right w:val="single" w:color="auto" w:sz="6" w:space="0"/>
            </w:tcBorders>
            <w:vAlign w:val="center"/>
          </w:tcPr>
          <w:p>
            <w:pPr>
              <w:jc w:val="center"/>
              <w:rPr>
                <w:rFonts w:ascii="宋体" w:hAnsi="宋体" w:cs="Arial"/>
                <w:szCs w:val="21"/>
              </w:rPr>
            </w:pPr>
            <w:r>
              <w:rPr>
                <w:rFonts w:hint="eastAsia" w:ascii="宋体" w:hAnsi="宋体" w:cs="Arial"/>
                <w:szCs w:val="21"/>
              </w:rPr>
              <w:t>1</w:t>
            </w:r>
          </w:p>
        </w:tc>
        <w:tc>
          <w:tcPr>
            <w:tcW w:w="4116" w:type="dxa"/>
            <w:tcBorders>
              <w:top w:val="single" w:color="auto" w:sz="6" w:space="0"/>
              <w:left w:val="single" w:color="auto" w:sz="6" w:space="0"/>
              <w:right w:val="single" w:color="auto" w:sz="4" w:space="0"/>
            </w:tcBorders>
            <w:vAlign w:val="center"/>
          </w:tcPr>
          <w:p>
            <w:pPr>
              <w:jc w:val="left"/>
              <w:rPr>
                <w:rFonts w:ascii="宋体" w:hAnsi="宋体" w:cs="Arial"/>
                <w:szCs w:val="21"/>
              </w:rPr>
            </w:pPr>
            <w:r>
              <w:rPr>
                <w:rFonts w:hint="eastAsia" w:ascii="宋体" w:hAnsi="宋体" w:cs="Arial"/>
                <w:szCs w:val="21"/>
              </w:rPr>
              <w:t>高级工程师或以上职称（公路工程专业或公路工程相关专业、机电工程专业或机电工程相关专业）、工程施工或工程管理相关专业持有有效的交通主管部门颁发的安全生产考核合格证书（B类证书）</w:t>
            </w:r>
          </w:p>
        </w:tc>
        <w:tc>
          <w:tcPr>
            <w:tcW w:w="1780" w:type="dxa"/>
            <w:vMerge w:val="continue"/>
            <w:tcBorders>
              <w:left w:val="single" w:color="auto" w:sz="4" w:space="0"/>
              <w:right w:val="single" w:color="auto" w:sz="2" w:space="0"/>
            </w:tcBorders>
            <w:vAlign w:val="center"/>
          </w:tcPr>
          <w:p>
            <w:pPr>
              <w:jc w:val="left"/>
              <w:rPr>
                <w:szCs w:val="21"/>
              </w:rPr>
            </w:pPr>
          </w:p>
        </w:tc>
      </w:tr>
    </w:tbl>
    <w:p>
      <w:pPr>
        <w:spacing w:line="300" w:lineRule="exact"/>
        <w:rPr>
          <w:rFonts w:ascii="宋体" w:hAnsi="宋体" w:cs="Arial"/>
          <w:sz w:val="18"/>
          <w:szCs w:val="18"/>
        </w:rPr>
      </w:pPr>
      <w:r>
        <w:rPr>
          <w:rFonts w:ascii="宋体" w:hAnsi="宋体" w:cs="Arial"/>
          <w:sz w:val="18"/>
          <w:szCs w:val="18"/>
        </w:rPr>
        <w:t>注：1、</w:t>
      </w:r>
      <w:r>
        <w:rPr>
          <w:rFonts w:hint="eastAsia" w:ascii="宋体" w:hAnsi="宋体" w:cs="Arial"/>
          <w:sz w:val="18"/>
          <w:szCs w:val="18"/>
        </w:rPr>
        <w:t>建造师注册证书的注册单位、安全生产考核合格证书的持证单位必须与投标单位名称一致，正在办理变更的必须提供发证机关出具的证明文件（其它证明无效）。</w:t>
      </w:r>
    </w:p>
    <w:p>
      <w:pPr>
        <w:spacing w:line="300" w:lineRule="exact"/>
        <w:ind w:firstLine="270" w:firstLineChars="150"/>
        <w:rPr>
          <w:rFonts w:ascii="宋体" w:hAnsi="宋体" w:cs="Arial"/>
          <w:sz w:val="18"/>
          <w:szCs w:val="18"/>
        </w:rPr>
      </w:pPr>
      <w:r>
        <w:rPr>
          <w:rFonts w:hint="eastAsia" w:ascii="宋体" w:hAnsi="宋体" w:cs="Arial"/>
          <w:sz w:val="18"/>
          <w:szCs w:val="18"/>
        </w:rPr>
        <w:t>2、</w:t>
      </w:r>
      <w:r>
        <w:rPr>
          <w:rFonts w:ascii="宋体" w:hAnsi="宋体" w:cs="Arial"/>
          <w:sz w:val="18"/>
          <w:szCs w:val="18"/>
        </w:rPr>
        <w:t>项目经理</w:t>
      </w:r>
      <w:r>
        <w:rPr>
          <w:rFonts w:hint="eastAsia" w:ascii="宋体" w:hAnsi="宋体" w:cs="Arial"/>
          <w:sz w:val="18"/>
          <w:szCs w:val="18"/>
        </w:rPr>
        <w:t>的安全生产考核合格证应可从交通运输部http://www.mot.gov.cn/相关链接http://219.143.235.78:8080/khglui/（交通运输部公路水运工程企业负责人和安全生产管理人员信息公共平台）进行查询；项目经理的注册建造师证书，应可从http://www.coc.gov.cn/“注册建造师查询”栏链接中查询到；如从上述网站查询不到或与查询到的信息不符，则不予认定。</w:t>
      </w:r>
    </w:p>
    <w:p>
      <w:pPr>
        <w:spacing w:line="300" w:lineRule="exact"/>
        <w:ind w:firstLine="180" w:firstLineChars="100"/>
        <w:rPr>
          <w:rFonts w:ascii="宋体" w:hAnsi="宋体" w:cs="Arial"/>
          <w:sz w:val="18"/>
          <w:szCs w:val="18"/>
        </w:rPr>
      </w:pPr>
      <w:r>
        <w:rPr>
          <w:rFonts w:hint="eastAsia" w:ascii="宋体" w:hAnsi="宋体" w:cs="Arial"/>
          <w:sz w:val="18"/>
          <w:szCs w:val="18"/>
        </w:rPr>
        <w:t>3、根据《交通运输部办公厅关于做好公路水运工程施工企业主要负责人和安全生产管理人员考核管理相关工作的通知》（交办安监函〔2016〕816号）的规定，</w:t>
      </w:r>
      <w:r>
        <w:rPr>
          <w:rFonts w:ascii="宋体" w:hAnsi="宋体" w:cs="Arial"/>
          <w:sz w:val="18"/>
          <w:szCs w:val="18"/>
        </w:rPr>
        <w:t>项目经理</w:t>
      </w:r>
      <w:r>
        <w:rPr>
          <w:rFonts w:hint="eastAsia" w:ascii="宋体" w:hAnsi="宋体" w:cs="Arial"/>
          <w:sz w:val="18"/>
          <w:szCs w:val="18"/>
        </w:rPr>
        <w:t>、项目总工提供的</w:t>
      </w:r>
      <w:r>
        <w:rPr>
          <w:rFonts w:ascii="宋体" w:hAnsi="宋体" w:cs="Arial"/>
          <w:sz w:val="18"/>
          <w:szCs w:val="18"/>
        </w:rPr>
        <w:t>安全生产考核合格证书（B类证书）必须为新证</w:t>
      </w:r>
      <w:r>
        <w:rPr>
          <w:rFonts w:hint="eastAsia" w:ascii="宋体" w:hAnsi="宋体" w:cs="Arial"/>
          <w:sz w:val="18"/>
          <w:szCs w:val="18"/>
        </w:rPr>
        <w:t>。</w:t>
      </w:r>
    </w:p>
    <w:p>
      <w:pPr>
        <w:pStyle w:val="2"/>
        <w:spacing w:line="300" w:lineRule="auto"/>
        <w:ind w:firstLine="200" w:firstLineChars="100"/>
        <w:rPr>
          <w:rFonts w:ascii="宋体" w:hAnsi="宋体" w:cs="Arial"/>
        </w:rPr>
      </w:pPr>
      <w:r>
        <w:rPr>
          <w:rFonts w:hint="eastAsia"/>
          <w:sz w:val="20"/>
          <w:szCs w:val="20"/>
        </w:rPr>
        <w:t>4、根据交通运输部《关于疫情防控期间公路水运工程施工企业主要负责人和安全生产管理人员考核管理有关工作的说明》规定，疫情防控期间安全生产管理人员考核合格证书有效期到期的，有效期自动顺延至疫情防控结束。</w:t>
      </w:r>
    </w:p>
    <w:p>
      <w:pPr>
        <w:spacing w:line="360" w:lineRule="auto"/>
        <w:jc w:val="center"/>
        <w:rPr>
          <w:rFonts w:ascii="宋体" w:hAnsi="宋体"/>
          <w:b/>
          <w:sz w:val="30"/>
          <w:szCs w:val="30"/>
        </w:rPr>
      </w:pPr>
      <w:r>
        <w:rPr>
          <w:rFonts w:ascii="Arial" w:hAnsi="Arial" w:eastAsia="黑体" w:cs="Arial"/>
          <w:b/>
          <w:sz w:val="24"/>
        </w:rPr>
        <w:br w:type="page"/>
      </w:r>
      <w:r>
        <w:rPr>
          <w:rFonts w:ascii="宋体" w:hAnsi="宋体"/>
          <w:b/>
          <w:sz w:val="30"/>
          <w:szCs w:val="30"/>
        </w:rPr>
        <w:t>附录</w:t>
      </w:r>
      <w:r>
        <w:rPr>
          <w:rFonts w:hint="eastAsia" w:ascii="宋体" w:hAnsi="宋体"/>
          <w:b/>
          <w:sz w:val="30"/>
          <w:szCs w:val="30"/>
        </w:rPr>
        <w:t>6</w:t>
      </w:r>
      <w:r>
        <w:rPr>
          <w:rFonts w:ascii="宋体" w:hAnsi="宋体"/>
          <w:b/>
          <w:sz w:val="30"/>
          <w:szCs w:val="30"/>
        </w:rPr>
        <w:t xml:space="preserve"> 资格审查条件（其他管理人员和技术人员最低要求）</w:t>
      </w:r>
    </w:p>
    <w:tbl>
      <w:tblPr>
        <w:tblStyle w:val="9"/>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783"/>
        <w:gridCol w:w="5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blHeader/>
        </w:trPr>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Ansi="宋体"/>
                <w:sz w:val="24"/>
              </w:rPr>
              <w:t>人员</w:t>
            </w:r>
          </w:p>
        </w:tc>
        <w:tc>
          <w:tcPr>
            <w:tcW w:w="7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Ansi="宋体"/>
                <w:sz w:val="24"/>
              </w:rPr>
              <w:t>数量</w:t>
            </w:r>
          </w:p>
        </w:tc>
        <w:tc>
          <w:tcPr>
            <w:tcW w:w="5879"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Ansi="宋体"/>
                <w:sz w:val="24"/>
              </w:rPr>
              <w:t>资</w:t>
            </w:r>
            <w:r>
              <w:rPr>
                <w:sz w:val="24"/>
              </w:rPr>
              <w:t xml:space="preserve"> </w:t>
            </w:r>
            <w:r>
              <w:rPr>
                <w:rFonts w:hAnsi="宋体"/>
                <w:sz w:val="24"/>
              </w:rPr>
              <w:t>质</w:t>
            </w:r>
            <w:r>
              <w:rPr>
                <w:sz w:val="24"/>
              </w:rPr>
              <w:t xml:space="preserve"> </w:t>
            </w:r>
            <w:r>
              <w:rPr>
                <w:rFonts w:hAnsi="宋体"/>
                <w:sz w:val="24"/>
              </w:rPr>
              <w:t>要</w:t>
            </w:r>
            <w:r>
              <w:rPr>
                <w:sz w:val="24"/>
              </w:rPr>
              <w:t xml:space="preserve"> </w:t>
            </w:r>
            <w:r>
              <w:rPr>
                <w:rFonts w:hAnsi="宋体"/>
                <w:sz w:val="24"/>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机电维护专业人员</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7</w:t>
            </w:r>
          </w:p>
        </w:tc>
        <w:tc>
          <w:tcPr>
            <w:tcW w:w="5879" w:type="dxa"/>
            <w:tcBorders>
              <w:top w:val="single" w:color="auto" w:sz="4" w:space="0"/>
              <w:left w:val="single" w:color="auto" w:sz="4" w:space="0"/>
              <w:bottom w:val="single" w:color="auto" w:sz="4" w:space="0"/>
              <w:right w:val="single" w:color="auto" w:sz="4" w:space="0"/>
            </w:tcBorders>
            <w:vAlign w:val="center"/>
          </w:tcPr>
          <w:p>
            <w:pPr>
              <w:rPr>
                <w:rFonts w:hAnsi="宋体"/>
                <w:sz w:val="24"/>
              </w:rPr>
            </w:pPr>
            <w:r>
              <w:rPr>
                <w:rFonts w:hint="eastAsia" w:hAnsi="宋体"/>
                <w:sz w:val="24"/>
              </w:rPr>
              <w:t>计算机相关专业、机电相关专业大专以上学历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10"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工程辅助人员</w:t>
            </w:r>
          </w:p>
        </w:tc>
        <w:tc>
          <w:tcPr>
            <w:tcW w:w="783" w:type="dxa"/>
            <w:tcBorders>
              <w:top w:val="single" w:color="auto" w:sz="4" w:space="0"/>
              <w:left w:val="single" w:color="auto" w:sz="4" w:space="0"/>
              <w:bottom w:val="single" w:color="auto" w:sz="4" w:space="0"/>
              <w:right w:val="single" w:color="auto" w:sz="4" w:space="0"/>
            </w:tcBorders>
            <w:vAlign w:val="center"/>
          </w:tcPr>
          <w:p>
            <w:pPr>
              <w:jc w:val="center"/>
              <w:rPr>
                <w:rFonts w:hAnsi="宋体"/>
                <w:sz w:val="24"/>
              </w:rPr>
            </w:pPr>
            <w:r>
              <w:rPr>
                <w:rFonts w:hint="eastAsia" w:hAnsi="宋体"/>
                <w:sz w:val="24"/>
              </w:rPr>
              <w:t>4</w:t>
            </w:r>
          </w:p>
        </w:tc>
        <w:tc>
          <w:tcPr>
            <w:tcW w:w="5879" w:type="dxa"/>
            <w:tcBorders>
              <w:top w:val="single" w:color="auto" w:sz="4" w:space="0"/>
              <w:left w:val="single" w:color="auto" w:sz="4" w:space="0"/>
              <w:bottom w:val="single" w:color="auto" w:sz="4" w:space="0"/>
              <w:right w:val="single" w:color="auto" w:sz="4" w:space="0"/>
            </w:tcBorders>
            <w:vAlign w:val="center"/>
          </w:tcPr>
          <w:p>
            <w:pPr>
              <w:rPr>
                <w:rFonts w:hAnsi="宋体"/>
                <w:sz w:val="24"/>
              </w:rPr>
            </w:pPr>
            <w:r>
              <w:rPr>
                <w:rFonts w:hint="eastAsia" w:hAnsi="宋体"/>
                <w:sz w:val="24"/>
              </w:rPr>
              <w:t>大专以上学历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sz w:val="24"/>
              </w:rPr>
            </w:pPr>
            <w:r>
              <w:rPr>
                <w:rFonts w:hAnsi="宋体"/>
                <w:sz w:val="24"/>
              </w:rPr>
              <w:t>安全负责人</w:t>
            </w:r>
          </w:p>
        </w:tc>
        <w:tc>
          <w:tcPr>
            <w:tcW w:w="78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Ansi="宋体"/>
                <w:sz w:val="24"/>
              </w:rPr>
            </w:pPr>
            <w:r>
              <w:rPr>
                <w:rFonts w:hint="eastAsia" w:hAnsi="宋体"/>
                <w:sz w:val="24"/>
              </w:rPr>
              <w:t>2</w:t>
            </w:r>
          </w:p>
        </w:tc>
        <w:tc>
          <w:tcPr>
            <w:tcW w:w="5879" w:type="dxa"/>
            <w:tcBorders>
              <w:top w:val="single" w:color="auto" w:sz="4" w:space="0"/>
              <w:left w:val="single" w:color="auto" w:sz="4" w:space="0"/>
              <w:bottom w:val="single" w:color="auto" w:sz="4" w:space="0"/>
              <w:right w:val="single" w:color="auto" w:sz="4" w:space="0"/>
            </w:tcBorders>
            <w:vAlign w:val="center"/>
          </w:tcPr>
          <w:p>
            <w:pPr>
              <w:spacing w:line="300" w:lineRule="auto"/>
              <w:rPr>
                <w:rFonts w:hAnsi="宋体"/>
                <w:sz w:val="24"/>
              </w:rPr>
            </w:pPr>
            <w:r>
              <w:rPr>
                <w:rFonts w:hAnsi="宋体"/>
                <w:sz w:val="24"/>
              </w:rPr>
              <w:t>持有交通运输主管部门颁发的C类的安全生产考核合格证</w:t>
            </w:r>
            <w:r>
              <w:rPr>
                <w:rFonts w:hint="eastAsia" w:hAnsi="宋体"/>
                <w:sz w:val="24"/>
              </w:rPr>
              <w:t>，注册单位与投标人一致。</w:t>
            </w:r>
          </w:p>
        </w:tc>
      </w:tr>
    </w:tbl>
    <w:p>
      <w:pPr>
        <w:pStyle w:val="2"/>
        <w:rPr>
          <w:rFonts w:ascii="宋体" w:hAnsi="宋体" w:cs="Arial"/>
        </w:rPr>
      </w:pPr>
      <w:r>
        <w:rPr>
          <w:rFonts w:ascii="宋体" w:hAnsi="宋体" w:cs="Arial"/>
        </w:rPr>
        <w:t>注：其他主要管理人员和技术人员不需要</w:t>
      </w:r>
      <w:r>
        <w:rPr>
          <w:rFonts w:hint="eastAsia" w:ascii="宋体" w:hAnsi="宋体" w:cs="Arial"/>
        </w:rPr>
        <w:t>在投标文件中</w:t>
      </w:r>
      <w:r>
        <w:rPr>
          <w:rFonts w:ascii="宋体" w:hAnsi="宋体" w:cs="Arial"/>
        </w:rPr>
        <w:t>提供资料。投标人一旦中标，在合同谈判时应提交上述人员相关资料，人员资历应满足上表要求。上述人员一旦确定，在项目实施过程中，其更换比例不得高于30%。</w:t>
      </w:r>
    </w:p>
    <w:p>
      <w:pPr>
        <w:widowControl/>
        <w:jc w:val="left"/>
        <w:rPr>
          <w:rFonts w:ascii="宋体" w:hAnsi="宋体" w:cs="Arial" w:eastAsiaTheme="minorEastAsia"/>
          <w:sz w:val="18"/>
          <w:szCs w:val="18"/>
        </w:rPr>
      </w:pPr>
      <w:r>
        <w:rPr>
          <w:rFonts w:ascii="宋体" w:hAnsi="宋体" w:cs="Arial"/>
        </w:rPr>
        <w:br w:type="page"/>
      </w:r>
    </w:p>
    <w:p>
      <w:pPr>
        <w:pStyle w:val="3"/>
        <w:spacing w:line="240" w:lineRule="auto"/>
        <w:jc w:val="center"/>
        <w:rPr>
          <w:rFonts w:ascii="宋体" w:hAnsi="宋体" w:cs="Arial"/>
          <w:sz w:val="30"/>
          <w:szCs w:val="30"/>
        </w:rPr>
      </w:pPr>
      <w:r>
        <w:rPr>
          <w:rFonts w:ascii="宋体" w:hAnsi="宋体" w:cs="Arial"/>
          <w:sz w:val="30"/>
          <w:szCs w:val="30"/>
        </w:rPr>
        <w:t>评标办法（</w:t>
      </w:r>
      <w:r>
        <w:rPr>
          <w:rFonts w:hint="eastAsia" w:ascii="宋体" w:hAnsi="宋体" w:cs="Arial"/>
          <w:sz w:val="30"/>
          <w:szCs w:val="30"/>
        </w:rPr>
        <w:t>综合评分法</w:t>
      </w:r>
      <w:r>
        <w:rPr>
          <w:rFonts w:ascii="宋体" w:hAnsi="宋体" w:cs="Arial"/>
          <w:sz w:val="30"/>
          <w:szCs w:val="30"/>
        </w:rPr>
        <w:t>）</w:t>
      </w:r>
    </w:p>
    <w:p>
      <w:pPr>
        <w:pStyle w:val="5"/>
        <w:spacing w:line="320" w:lineRule="exact"/>
        <w:rPr>
          <w:rFonts w:ascii="宋体" w:hAnsi="宋体"/>
        </w:rPr>
      </w:pPr>
      <w:r>
        <w:rPr>
          <w:rFonts w:hint="eastAsia" w:ascii="宋体" w:hAnsi="宋体"/>
        </w:rPr>
        <w:t>说明：“评标办法前附表”是对“ 评标办法正文”的补充、细化，“评标办法前附表”与“ 评标办法正文”不一致的以“ 评标办法前附表”为准。</w:t>
      </w:r>
    </w:p>
    <w:p>
      <w:pPr>
        <w:pStyle w:val="5"/>
        <w:spacing w:line="320" w:lineRule="exact"/>
        <w:rPr>
          <w:rFonts w:ascii="宋体" w:hAnsi="宋体"/>
        </w:rPr>
      </w:pPr>
    </w:p>
    <w:p>
      <w:pPr>
        <w:rPr>
          <w:rFonts w:ascii="宋体" w:hAnsi="宋体"/>
          <w:sz w:val="24"/>
          <w:szCs w:val="28"/>
        </w:rPr>
      </w:pPr>
      <w:r>
        <w:rPr>
          <w:rFonts w:ascii="宋体" w:hAnsi="宋体" w:cs="Arial"/>
          <w:b/>
          <w:sz w:val="24"/>
          <w:szCs w:val="28"/>
        </w:rPr>
        <w:t>评标办法前附表</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1"/>
        <w:gridCol w:w="1336"/>
        <w:gridCol w:w="65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2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b/>
                <w:szCs w:val="21"/>
              </w:rPr>
            </w:pPr>
            <w:r>
              <w:rPr>
                <w:rFonts w:ascii="宋体" w:hAnsi="宋体" w:cs="Arial"/>
                <w:b/>
                <w:szCs w:val="21"/>
              </w:rPr>
              <w:t>条款号</w:t>
            </w:r>
          </w:p>
        </w:tc>
        <w:tc>
          <w:tcPr>
            <w:tcW w:w="6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b/>
                <w:szCs w:val="21"/>
              </w:rPr>
            </w:pPr>
            <w:r>
              <w:rPr>
                <w:rFonts w:ascii="宋体" w:hAnsi="宋体" w:cs="Arial"/>
                <w:b/>
                <w:szCs w:val="21"/>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szCs w:val="21"/>
              </w:rPr>
            </w:pPr>
            <w:r>
              <w:rPr>
                <w:rFonts w:ascii="宋体" w:hAnsi="宋体" w:cs="Arial"/>
                <w:szCs w:val="21"/>
              </w:rPr>
              <w:t>1</w:t>
            </w:r>
          </w:p>
        </w:tc>
        <w:tc>
          <w:tcPr>
            <w:tcW w:w="13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szCs w:val="21"/>
              </w:rPr>
            </w:pPr>
            <w:r>
              <w:rPr>
                <w:rFonts w:ascii="宋体" w:hAnsi="宋体" w:cs="Arial"/>
                <w:szCs w:val="21"/>
              </w:rPr>
              <w:t>评标办法</w:t>
            </w:r>
          </w:p>
        </w:tc>
        <w:tc>
          <w:tcPr>
            <w:tcW w:w="6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left"/>
              <w:rPr>
                <w:rFonts w:ascii="宋体" w:hAnsi="宋体" w:cs="Arial"/>
                <w:szCs w:val="21"/>
              </w:rPr>
            </w:pPr>
            <w:r>
              <w:rPr>
                <w:rFonts w:ascii="宋体" w:hAnsi="宋体" w:cs="Arial"/>
                <w:szCs w:val="21"/>
              </w:rPr>
              <w:t>综合评分相等时，评标委员会依次按照以下优先顺序推荐中标候选人或确定中标人：</w:t>
            </w:r>
          </w:p>
          <w:p>
            <w:pPr>
              <w:snapToGrid w:val="0"/>
              <w:spacing w:line="300" w:lineRule="auto"/>
              <w:jc w:val="left"/>
              <w:rPr>
                <w:rFonts w:ascii="宋体" w:hAnsi="宋体" w:cs="Arial"/>
                <w:szCs w:val="21"/>
              </w:rPr>
            </w:pPr>
            <w:r>
              <w:rPr>
                <w:rFonts w:ascii="宋体" w:hAnsi="宋体" w:cs="Arial"/>
                <w:szCs w:val="21"/>
              </w:rPr>
              <w:t>（1）评标价低的</w:t>
            </w:r>
            <w:r>
              <w:rPr>
                <w:rFonts w:hint="eastAsia" w:ascii="宋体" w:hAnsi="宋体" w:cs="Arial"/>
                <w:szCs w:val="21"/>
              </w:rPr>
              <w:t>投标人</w:t>
            </w:r>
            <w:r>
              <w:rPr>
                <w:rFonts w:ascii="宋体" w:hAnsi="宋体" w:cs="Arial"/>
                <w:szCs w:val="21"/>
              </w:rPr>
              <w:t>优先</w:t>
            </w:r>
            <w:r>
              <w:rPr>
                <w:rFonts w:hint="eastAsia" w:ascii="宋体" w:hAnsi="宋体" w:cs="Arial"/>
                <w:szCs w:val="21"/>
              </w:rPr>
              <w:t>；</w:t>
            </w:r>
          </w:p>
          <w:p>
            <w:pPr>
              <w:snapToGrid w:val="0"/>
              <w:spacing w:line="300" w:lineRule="auto"/>
              <w:jc w:val="left"/>
              <w:rPr>
                <w:rFonts w:ascii="宋体" w:hAnsi="宋体" w:cs="Arial"/>
                <w:szCs w:val="21"/>
              </w:rPr>
            </w:pPr>
            <w:r>
              <w:rPr>
                <w:rFonts w:ascii="宋体" w:hAnsi="宋体" w:cs="Arial"/>
                <w:szCs w:val="21"/>
              </w:rPr>
              <w:t>（2）以评标时采用的信用等级较高的的投标人优先；</w:t>
            </w:r>
          </w:p>
          <w:p>
            <w:pPr>
              <w:spacing w:line="276" w:lineRule="auto"/>
              <w:ind w:right="113"/>
              <w:rPr>
                <w:rFonts w:ascii="宋体" w:hAnsi="宋体" w:cs="Arial"/>
                <w:szCs w:val="21"/>
              </w:rPr>
            </w:pPr>
            <w:r>
              <w:rPr>
                <w:rFonts w:ascii="宋体" w:hAnsi="宋体" w:cs="Arial"/>
                <w:szCs w:val="21"/>
              </w:rPr>
              <w:t>（3）</w:t>
            </w:r>
            <w:r>
              <w:rPr>
                <w:rFonts w:hint="eastAsia" w:ascii="宋体" w:hAnsi="宋体" w:cs="Arial"/>
                <w:szCs w:val="21"/>
              </w:rPr>
              <w:t>标书款交纳时间较早的优先；</w:t>
            </w:r>
            <w:r>
              <w:rPr>
                <w:rFonts w:ascii="宋体" w:hAnsi="宋体" w:cs="Arial"/>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hAnsi="宋体" w:cs="Arial"/>
                <w:szCs w:val="21"/>
              </w:rPr>
            </w:pPr>
            <w:r>
              <w:rPr>
                <w:rFonts w:ascii="宋体" w:hAnsi="宋体" w:cs="Arial"/>
                <w:szCs w:val="21"/>
              </w:rPr>
              <w:t>2.1.1</w:t>
            </w:r>
          </w:p>
          <w:p>
            <w:pPr>
              <w:keepNext/>
              <w:keepLines/>
              <w:spacing w:before="260" w:after="260" w:line="400" w:lineRule="atLeast"/>
              <w:jc w:val="center"/>
              <w:outlineLvl w:val="1"/>
              <w:rPr>
                <w:rFonts w:ascii="宋体" w:hAnsi="宋体" w:cs="Arial"/>
                <w:szCs w:val="21"/>
              </w:rPr>
            </w:pPr>
            <w:bookmarkStart w:id="14" w:name="_Toc504690813"/>
            <w:r>
              <w:rPr>
                <w:rFonts w:ascii="宋体" w:hAnsi="宋体" w:cs="Arial"/>
                <w:szCs w:val="21"/>
              </w:rPr>
              <w:t>2.1.3</w:t>
            </w:r>
            <w:bookmarkEnd w:id="14"/>
          </w:p>
        </w:tc>
        <w:tc>
          <w:tcPr>
            <w:tcW w:w="1336" w:type="dxa"/>
            <w:tcBorders>
              <w:top w:val="single" w:color="auto" w:sz="4" w:space="0"/>
              <w:left w:val="nil"/>
              <w:bottom w:val="single" w:color="auto" w:sz="4" w:space="0"/>
              <w:right w:val="single" w:color="auto" w:sz="4" w:space="0"/>
            </w:tcBorders>
            <w:vAlign w:val="center"/>
          </w:tcPr>
          <w:p>
            <w:pPr>
              <w:spacing w:line="400" w:lineRule="atLeast"/>
              <w:jc w:val="center"/>
              <w:rPr>
                <w:rFonts w:ascii="宋体" w:hAnsi="宋体" w:cs="Arial"/>
                <w:szCs w:val="21"/>
              </w:rPr>
            </w:pPr>
            <w:r>
              <w:rPr>
                <w:rFonts w:ascii="宋体" w:hAnsi="宋体" w:cs="Arial"/>
                <w:szCs w:val="21"/>
              </w:rPr>
              <w:t>形式评审与响应性评审标准</w:t>
            </w:r>
          </w:p>
        </w:tc>
        <w:tc>
          <w:tcPr>
            <w:tcW w:w="6530" w:type="dxa"/>
            <w:tcBorders>
              <w:top w:val="single" w:color="auto" w:sz="4" w:space="0"/>
              <w:left w:val="single" w:color="auto" w:sz="4" w:space="0"/>
              <w:bottom w:val="single" w:color="auto" w:sz="4" w:space="0"/>
              <w:right w:val="single" w:color="auto" w:sz="4" w:space="0"/>
            </w:tcBorders>
            <w:vAlign w:val="center"/>
          </w:tcPr>
          <w:p>
            <w:pPr>
              <w:tabs>
                <w:tab w:val="left" w:pos="315"/>
                <w:tab w:val="left" w:pos="690"/>
              </w:tabs>
              <w:spacing w:line="300" w:lineRule="auto"/>
              <w:rPr>
                <w:rFonts w:ascii="宋体" w:hAnsi="宋体" w:cs="Arial"/>
                <w:b/>
              </w:rPr>
            </w:pPr>
            <w:r>
              <w:rPr>
                <w:rFonts w:ascii="宋体" w:hAnsi="宋体" w:cs="Arial"/>
                <w:b/>
              </w:rPr>
              <w:t>第一个信封（商务及技术文件）评审标准：</w:t>
            </w:r>
          </w:p>
          <w:p>
            <w:pPr>
              <w:tabs>
                <w:tab w:val="left" w:pos="315"/>
                <w:tab w:val="left" w:pos="690"/>
              </w:tabs>
              <w:spacing w:line="300" w:lineRule="auto"/>
              <w:rPr>
                <w:rFonts w:ascii="宋体" w:hAnsi="宋体" w:cs="Arial"/>
              </w:rPr>
            </w:pPr>
            <w:r>
              <w:rPr>
                <w:rFonts w:hint="eastAsia" w:ascii="宋体" w:hAnsi="宋体" w:cs="Arial"/>
              </w:rPr>
              <w:t>（1）投标文件按照招标文件规定的格式、内容填写，字迹清晰可辨：</w:t>
            </w:r>
          </w:p>
          <w:p>
            <w:pPr>
              <w:tabs>
                <w:tab w:val="left" w:pos="315"/>
                <w:tab w:val="left" w:pos="690"/>
              </w:tabs>
              <w:spacing w:line="300" w:lineRule="auto"/>
              <w:ind w:firstLine="189" w:firstLineChars="90"/>
              <w:rPr>
                <w:rFonts w:ascii="宋体" w:hAnsi="宋体" w:cs="Arial"/>
              </w:rPr>
            </w:pPr>
            <w:r>
              <w:rPr>
                <w:rFonts w:ascii="宋体" w:hAnsi="宋体" w:cs="Arial"/>
              </w:rPr>
              <w:t>a．投标函按招标文件规定填报了项目名称、标段号、补遗书编号（如有）、工期、工程质量要求及安全目标；</w:t>
            </w:r>
          </w:p>
          <w:p>
            <w:pPr>
              <w:tabs>
                <w:tab w:val="left" w:pos="315"/>
                <w:tab w:val="left" w:pos="690"/>
              </w:tabs>
              <w:spacing w:line="300" w:lineRule="auto"/>
              <w:ind w:firstLine="189" w:firstLineChars="90"/>
              <w:rPr>
                <w:rFonts w:ascii="宋体" w:hAnsi="宋体" w:cs="Arial"/>
              </w:rPr>
            </w:pPr>
            <w:r>
              <w:rPr>
                <w:rFonts w:ascii="宋体" w:hAnsi="宋体" w:cs="Arial"/>
              </w:rPr>
              <w:t xml:space="preserve">b．投标函附录的所有数据均符合招标文件规定； </w:t>
            </w:r>
          </w:p>
          <w:p>
            <w:pPr>
              <w:tabs>
                <w:tab w:val="left" w:pos="315"/>
                <w:tab w:val="left" w:pos="690"/>
              </w:tabs>
              <w:spacing w:line="300" w:lineRule="auto"/>
              <w:ind w:firstLine="189" w:firstLineChars="90"/>
              <w:rPr>
                <w:rFonts w:ascii="宋体" w:hAnsi="宋体" w:cs="Arial"/>
              </w:rPr>
            </w:pPr>
            <w:r>
              <w:rPr>
                <w:rFonts w:ascii="宋体" w:hAnsi="宋体" w:cs="Arial"/>
              </w:rPr>
              <w:t>c．投标文件组成齐全完整，内容均按规定填写。</w:t>
            </w:r>
          </w:p>
          <w:p>
            <w:pPr>
              <w:tabs>
                <w:tab w:val="left" w:pos="315"/>
              </w:tabs>
              <w:spacing w:line="300" w:lineRule="auto"/>
              <w:rPr>
                <w:rFonts w:ascii="宋体" w:hAnsi="宋体" w:cs="Arial"/>
              </w:rPr>
            </w:pPr>
            <w:r>
              <w:rPr>
                <w:rFonts w:ascii="宋体" w:hAnsi="宋体" w:cs="Arial"/>
              </w:rPr>
              <w:t>（2）投标文件上法定代表人或其委托代理人的签字、投标人的单位章盖章齐全，符合招标文件规定。</w:t>
            </w:r>
          </w:p>
          <w:p>
            <w:pPr>
              <w:tabs>
                <w:tab w:val="left" w:pos="315"/>
              </w:tabs>
              <w:spacing w:line="300" w:lineRule="auto"/>
              <w:rPr>
                <w:rFonts w:ascii="宋体" w:hAnsi="宋体" w:cs="Arial"/>
              </w:rPr>
            </w:pPr>
            <w:r>
              <w:rPr>
                <w:rFonts w:hint="eastAsia" w:ascii="宋体" w:hAnsi="宋体" w:cs="Arial"/>
              </w:rPr>
              <w:t>（3）与申请资格预审时比较，投标人发生合并、分立、破产等重大变化的，仍具备资格预审文件规定的相应资格条件且其投标未影响招标公正性</w:t>
            </w:r>
            <w:r>
              <w:rPr>
                <w:rFonts w:hint="eastAsia" w:ascii="宋体" w:hAnsi="宋体" w:cs="Arial"/>
                <w:b/>
              </w:rPr>
              <w:t>（不适用）</w:t>
            </w:r>
            <w:r>
              <w:rPr>
                <w:rFonts w:hint="eastAsia" w:ascii="宋体" w:hAnsi="宋体" w:cs="Arial"/>
              </w:rPr>
              <w:t>：</w:t>
            </w:r>
          </w:p>
          <w:p>
            <w:pPr>
              <w:tabs>
                <w:tab w:val="left" w:pos="315"/>
              </w:tabs>
              <w:spacing w:line="300" w:lineRule="auto"/>
              <w:rPr>
                <w:rFonts w:ascii="宋体" w:hAnsi="宋体" w:cs="Arial"/>
              </w:rPr>
            </w:pPr>
            <w:r>
              <w:rPr>
                <w:rFonts w:hint="eastAsia" w:ascii="宋体" w:hAnsi="宋体" w:cs="Arial"/>
              </w:rPr>
              <w:t>a.投标人应提供相关部门的合法批件及企业法人营业执照和资质证书等证件的副本变更记录复印件；</w:t>
            </w:r>
          </w:p>
          <w:p>
            <w:pPr>
              <w:tabs>
                <w:tab w:val="left" w:pos="315"/>
              </w:tabs>
              <w:spacing w:line="300" w:lineRule="auto"/>
              <w:rPr>
                <w:rFonts w:ascii="宋体" w:hAnsi="宋体" w:cs="Arial"/>
              </w:rPr>
            </w:pPr>
            <w:r>
              <w:rPr>
                <w:rFonts w:hint="eastAsia" w:ascii="宋体" w:hAnsi="宋体" w:cs="Arial"/>
              </w:rPr>
              <w:t>b.投标人仍然满足资格预审文件中规定的资格预审条件最低要求（资质、业绩、人员、信誉、财务等）；</w:t>
            </w:r>
          </w:p>
          <w:p>
            <w:pPr>
              <w:tabs>
                <w:tab w:val="left" w:pos="315"/>
              </w:tabs>
              <w:spacing w:line="300" w:lineRule="auto"/>
              <w:rPr>
                <w:rFonts w:ascii="宋体" w:hAnsi="宋体" w:cs="Arial"/>
              </w:rPr>
            </w:pPr>
            <w:r>
              <w:rPr>
                <w:rFonts w:hint="eastAsia" w:ascii="宋体" w:hAnsi="宋体" w:cs="Arial"/>
              </w:rPr>
              <w:t>c.与所投标段的其他投标人不存在控股、管理关系或单位负责人为同一人的情况；与招标人也不存在利害关系并可能影响招标公正性。</w:t>
            </w:r>
          </w:p>
          <w:p>
            <w:pPr>
              <w:tabs>
                <w:tab w:val="left" w:pos="315"/>
              </w:tabs>
              <w:spacing w:line="300" w:lineRule="auto"/>
              <w:rPr>
                <w:rFonts w:ascii="宋体" w:hAnsi="宋体" w:cs="Arial"/>
              </w:rPr>
            </w:pPr>
            <w:r>
              <w:rPr>
                <w:rFonts w:ascii="宋体" w:hAnsi="宋体" w:cs="Arial"/>
              </w:rPr>
              <w:t>（</w:t>
            </w:r>
            <w:r>
              <w:rPr>
                <w:rFonts w:hint="eastAsia" w:ascii="宋体" w:hAnsi="宋体" w:cs="Arial"/>
              </w:rPr>
              <w:t>4</w:t>
            </w:r>
            <w:r>
              <w:rPr>
                <w:rFonts w:ascii="宋体" w:hAnsi="宋体" w:cs="Arial"/>
              </w:rPr>
              <w:t>）投标人按照招标文件的规定提供了投标保证金：</w:t>
            </w:r>
          </w:p>
          <w:p>
            <w:pPr>
              <w:tabs>
                <w:tab w:val="left" w:pos="315"/>
                <w:tab w:val="left" w:pos="690"/>
              </w:tabs>
              <w:spacing w:line="300" w:lineRule="auto"/>
              <w:ind w:firstLine="189" w:firstLineChars="90"/>
              <w:rPr>
                <w:rFonts w:ascii="宋体" w:hAnsi="宋体" w:cs="Arial"/>
              </w:rPr>
            </w:pPr>
            <w:r>
              <w:rPr>
                <w:rFonts w:ascii="宋体" w:hAnsi="宋体" w:cs="Arial"/>
              </w:rPr>
              <w:t>a．投标保证金金额符合招标文件规定的金额，且投标保证金有效期不少于投标有效期；</w:t>
            </w:r>
          </w:p>
          <w:p>
            <w:pPr>
              <w:tabs>
                <w:tab w:val="left" w:pos="690"/>
                <w:tab w:val="left" w:pos="1980"/>
              </w:tabs>
              <w:spacing w:line="300" w:lineRule="auto"/>
              <w:ind w:firstLine="210" w:firstLineChars="100"/>
              <w:rPr>
                <w:rFonts w:ascii="宋体" w:hAnsi="宋体" w:cs="Arial"/>
              </w:rPr>
            </w:pPr>
            <w:r>
              <w:rPr>
                <w:rFonts w:ascii="宋体" w:hAnsi="宋体" w:cs="Arial"/>
              </w:rPr>
              <w:t xml:space="preserve">b．若投标保证金采用现金或支票形式提交，投标人应在递交投标文件截止时间之前，将投标保证金由投标人的基本账户转入招标人指定账户； </w:t>
            </w:r>
          </w:p>
          <w:p>
            <w:pPr>
              <w:tabs>
                <w:tab w:val="left" w:pos="315"/>
                <w:tab w:val="left" w:pos="690"/>
              </w:tabs>
              <w:spacing w:line="300" w:lineRule="auto"/>
              <w:ind w:firstLine="189" w:firstLineChars="90"/>
              <w:rPr>
                <w:rFonts w:ascii="宋体" w:hAnsi="宋体" w:cs="Arial"/>
              </w:rPr>
            </w:pPr>
            <w:r>
              <w:rPr>
                <w:rFonts w:ascii="宋体" w:hAnsi="宋体" w:cs="Arial"/>
              </w:rPr>
              <w:t>c．若投标保证金采用银行保函形式提交，银行保函的格式、开具保函的银行均满足招标文件要求，且在递交投标文件截止时间之前向招标人提交了银行保函原件。</w:t>
            </w:r>
          </w:p>
          <w:p>
            <w:pPr>
              <w:tabs>
                <w:tab w:val="left" w:pos="315"/>
                <w:tab w:val="left" w:pos="690"/>
              </w:tabs>
              <w:spacing w:line="300" w:lineRule="auto"/>
              <w:ind w:firstLine="189" w:firstLineChars="90"/>
              <w:rPr>
                <w:rFonts w:ascii="宋体" w:hAnsi="宋体" w:cs="Arial"/>
              </w:rPr>
            </w:pPr>
            <w:r>
              <w:rPr>
                <w:rFonts w:hint="eastAsia" w:ascii="宋体" w:hAnsi="宋体" w:cs="Arial"/>
              </w:rPr>
              <w:t>d</w:t>
            </w:r>
            <w:r>
              <w:rPr>
                <w:rFonts w:ascii="宋体" w:hAnsi="宋体" w:cs="Arial"/>
              </w:rPr>
              <w:t>．若投标保证金采用</w:t>
            </w:r>
            <w:r>
              <w:rPr>
                <w:rFonts w:hint="eastAsia" w:ascii="宋体" w:hAnsi="宋体" w:cs="Arial"/>
              </w:rPr>
              <w:t>保证</w:t>
            </w:r>
            <w:r>
              <w:rPr>
                <w:rFonts w:ascii="宋体" w:hAnsi="宋体" w:cs="Arial"/>
              </w:rPr>
              <w:t>保险形式提交，</w:t>
            </w:r>
            <w:r>
              <w:rPr>
                <w:rFonts w:hint="eastAsia" w:ascii="宋体" w:hAnsi="宋体" w:cs="Arial"/>
              </w:rPr>
              <w:t>保证</w:t>
            </w:r>
            <w:r>
              <w:rPr>
                <w:rFonts w:ascii="宋体" w:hAnsi="宋体" w:cs="Arial"/>
              </w:rPr>
              <w:t>保险的格式、开具保</w:t>
            </w:r>
            <w:r>
              <w:rPr>
                <w:rFonts w:hint="eastAsia" w:ascii="宋体" w:hAnsi="宋体" w:cs="Arial"/>
              </w:rPr>
              <w:t>险</w:t>
            </w:r>
            <w:r>
              <w:rPr>
                <w:rFonts w:ascii="宋体" w:hAnsi="宋体" w:cs="Arial"/>
              </w:rPr>
              <w:t>的保险机构均满足招标文件要求。</w:t>
            </w:r>
          </w:p>
          <w:p>
            <w:pPr>
              <w:tabs>
                <w:tab w:val="left" w:pos="315"/>
              </w:tabs>
              <w:spacing w:line="300" w:lineRule="auto"/>
              <w:rPr>
                <w:rFonts w:ascii="宋体" w:hAnsi="宋体" w:cs="Arial"/>
              </w:rPr>
            </w:pPr>
            <w:r>
              <w:rPr>
                <w:rFonts w:ascii="宋体" w:hAnsi="宋体" w:cs="Arial"/>
              </w:rPr>
              <w:t>（</w:t>
            </w:r>
            <w:r>
              <w:rPr>
                <w:rFonts w:hint="eastAsia" w:ascii="宋体" w:hAnsi="宋体" w:cs="Arial"/>
              </w:rPr>
              <w:t>5</w:t>
            </w:r>
            <w:r>
              <w:rPr>
                <w:rFonts w:ascii="宋体" w:hAnsi="宋体" w:cs="Arial"/>
              </w:rPr>
              <w:t>）投标人法定代表人授权委托代理人签署投标文件的，需提交授权委托书，且授权人和被授权人均在授权委托书上签名，未使用印章、签名章或其他电子制版签名代替。</w:t>
            </w:r>
          </w:p>
          <w:p>
            <w:pPr>
              <w:tabs>
                <w:tab w:val="left" w:pos="315"/>
              </w:tabs>
              <w:spacing w:line="300" w:lineRule="auto"/>
              <w:rPr>
                <w:rFonts w:ascii="宋体" w:hAnsi="宋体" w:cs="Arial"/>
              </w:rPr>
            </w:pPr>
            <w:r>
              <w:rPr>
                <w:rFonts w:ascii="宋体" w:hAnsi="宋体" w:cs="Arial"/>
              </w:rPr>
              <w:t>（</w:t>
            </w:r>
            <w:r>
              <w:rPr>
                <w:rFonts w:hint="eastAsia" w:ascii="宋体" w:hAnsi="宋体" w:cs="Arial"/>
              </w:rPr>
              <w:t>6</w:t>
            </w:r>
            <w:r>
              <w:rPr>
                <w:rFonts w:ascii="宋体" w:hAnsi="宋体" w:cs="Arial"/>
              </w:rPr>
              <w:t>）投标人法定代表人亲自签署投标文件的，提供了法定代表人身份证明，且法定代表人在法定代表人身份证明上签名，未使用印章、签名章或其他电子制版签名代替。</w:t>
            </w:r>
          </w:p>
          <w:p>
            <w:pPr>
              <w:tabs>
                <w:tab w:val="left" w:pos="315"/>
              </w:tabs>
              <w:spacing w:line="300" w:lineRule="auto"/>
              <w:rPr>
                <w:rFonts w:ascii="宋体" w:hAnsi="宋体" w:cs="Arial"/>
              </w:rPr>
            </w:pPr>
            <w:r>
              <w:rPr>
                <w:rFonts w:hint="eastAsia" w:ascii="宋体" w:hAnsi="宋体" w:cs="Arial"/>
              </w:rPr>
              <w:t xml:space="preserve">（7）投标人以联合体形式投标时，联合体满足招标文件的要求： </w:t>
            </w:r>
          </w:p>
          <w:p>
            <w:pPr>
              <w:tabs>
                <w:tab w:val="left" w:pos="315"/>
              </w:tabs>
              <w:spacing w:line="300" w:lineRule="auto"/>
              <w:rPr>
                <w:rFonts w:ascii="宋体" w:hAnsi="宋体" w:cs="Arial"/>
                <w:bCs/>
              </w:rPr>
            </w:pPr>
            <w:r>
              <w:rPr>
                <w:rFonts w:hint="eastAsia" w:ascii="宋体" w:hAnsi="宋体" w:cs="Arial"/>
                <w:bCs/>
              </w:rPr>
              <w:t>投标人按照招标文件提供的格式签订了联合体协议书，明确各方承担连带责任，并明确了联合体牵头人；</w:t>
            </w:r>
          </w:p>
          <w:p>
            <w:pPr>
              <w:tabs>
                <w:tab w:val="left" w:pos="315"/>
              </w:tabs>
              <w:spacing w:line="300" w:lineRule="auto"/>
              <w:rPr>
                <w:rFonts w:ascii="宋体" w:hAnsi="宋体" w:cs="Arial"/>
              </w:rPr>
            </w:pPr>
            <w:r>
              <w:rPr>
                <w:rFonts w:ascii="宋体" w:hAnsi="宋体" w:cs="Arial"/>
              </w:rPr>
              <w:t>（8）投标人如有分包计划，符合招标文件第二章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第1.11款规定，且按招标文件第</w:t>
            </w:r>
            <w:r>
              <w:rPr>
                <w:rFonts w:hint="eastAsia" w:ascii="宋体" w:hAnsi="宋体" w:cs="Arial"/>
              </w:rPr>
              <w:t>九</w:t>
            </w:r>
            <w:r>
              <w:rPr>
                <w:rFonts w:ascii="宋体" w:hAnsi="宋体" w:cs="Arial"/>
              </w:rPr>
              <w:t>章</w:t>
            </w:r>
            <w:r>
              <w:rPr>
                <w:rFonts w:hint="eastAsia" w:ascii="宋体" w:hAnsi="宋体" w:cs="Arial"/>
              </w:rPr>
              <w:t>“</w:t>
            </w:r>
            <w:r>
              <w:rPr>
                <w:rFonts w:ascii="宋体" w:hAnsi="宋体" w:cs="Arial"/>
              </w:rPr>
              <w:t>投标文件格式</w:t>
            </w:r>
            <w:r>
              <w:rPr>
                <w:rFonts w:hint="eastAsia" w:ascii="宋体" w:hAnsi="宋体" w:cs="Arial"/>
              </w:rPr>
              <w:t>”</w:t>
            </w:r>
            <w:r>
              <w:rPr>
                <w:rFonts w:ascii="宋体" w:hAnsi="宋体" w:cs="Arial"/>
              </w:rPr>
              <w:t xml:space="preserve">的要求填写了 </w:t>
            </w:r>
            <w:r>
              <w:rPr>
                <w:rFonts w:hint="eastAsia" w:ascii="宋体" w:hAnsi="宋体" w:cs="Arial"/>
              </w:rPr>
              <w:t>“</w:t>
            </w:r>
            <w:r>
              <w:rPr>
                <w:rFonts w:ascii="宋体" w:hAnsi="宋体" w:cs="Arial"/>
              </w:rPr>
              <w:t>拟分包项目情况表</w:t>
            </w:r>
            <w:r>
              <w:rPr>
                <w:rFonts w:hint="eastAsia" w:ascii="宋体" w:hAnsi="宋体" w:cs="Arial"/>
              </w:rPr>
              <w:t>”</w:t>
            </w:r>
            <w:r>
              <w:rPr>
                <w:rFonts w:ascii="宋体" w:hAnsi="宋体" w:cs="Arial"/>
              </w:rPr>
              <w:t>。</w:t>
            </w:r>
          </w:p>
          <w:p>
            <w:pPr>
              <w:tabs>
                <w:tab w:val="left" w:pos="315"/>
              </w:tabs>
              <w:spacing w:line="300" w:lineRule="auto"/>
              <w:rPr>
                <w:rFonts w:ascii="宋体" w:hAnsi="宋体" w:cs="Arial"/>
              </w:rPr>
            </w:pPr>
            <w:r>
              <w:rPr>
                <w:rFonts w:ascii="宋体" w:hAnsi="宋体" w:cs="Arial"/>
              </w:rPr>
              <w:t>（</w:t>
            </w:r>
            <w:r>
              <w:rPr>
                <w:rFonts w:hint="eastAsia" w:ascii="宋体" w:hAnsi="宋体" w:cs="Arial"/>
              </w:rPr>
              <w:t>9</w:t>
            </w:r>
            <w:r>
              <w:rPr>
                <w:rFonts w:ascii="宋体" w:hAnsi="宋体" w:cs="Arial"/>
              </w:rPr>
              <w:t>）同一投标人未提交两个以上不同的投标文件，但招标文件要求提交备选投标的除外。</w:t>
            </w:r>
          </w:p>
          <w:p>
            <w:pPr>
              <w:tabs>
                <w:tab w:val="left" w:pos="315"/>
              </w:tabs>
              <w:spacing w:line="300" w:lineRule="auto"/>
              <w:rPr>
                <w:rFonts w:ascii="宋体" w:hAnsi="宋体" w:cs="Arial"/>
              </w:rPr>
            </w:pPr>
            <w:r>
              <w:rPr>
                <w:rFonts w:ascii="宋体" w:hAnsi="宋体" w:cs="Arial"/>
              </w:rPr>
              <w:t>（</w:t>
            </w:r>
            <w:r>
              <w:rPr>
                <w:rFonts w:hint="eastAsia" w:ascii="宋体" w:hAnsi="宋体" w:cs="Arial"/>
              </w:rPr>
              <w:t>10</w:t>
            </w:r>
            <w:r>
              <w:rPr>
                <w:rFonts w:ascii="宋体" w:hAnsi="宋体" w:cs="Arial"/>
              </w:rPr>
              <w:t>）投标文件中未出现有关投标报价的内容。</w:t>
            </w:r>
          </w:p>
          <w:p>
            <w:pPr>
              <w:tabs>
                <w:tab w:val="left" w:pos="315"/>
                <w:tab w:val="left" w:pos="690"/>
              </w:tabs>
              <w:spacing w:line="300" w:lineRule="auto"/>
              <w:rPr>
                <w:rFonts w:ascii="宋体" w:hAnsi="宋体" w:cs="Arial"/>
              </w:rPr>
            </w:pPr>
            <w:r>
              <w:rPr>
                <w:rFonts w:ascii="宋体" w:hAnsi="宋体" w:cs="Arial"/>
              </w:rPr>
              <w:t>（1</w:t>
            </w:r>
            <w:r>
              <w:rPr>
                <w:rFonts w:hint="eastAsia" w:ascii="宋体" w:hAnsi="宋体" w:cs="Arial"/>
              </w:rPr>
              <w:t>1</w:t>
            </w:r>
            <w:r>
              <w:rPr>
                <w:rFonts w:ascii="宋体" w:hAnsi="宋体" w:cs="Arial"/>
              </w:rPr>
              <w:t>）投标文件载明的招标项目完成期限未超过招标文件规定的时限。</w:t>
            </w:r>
          </w:p>
          <w:p>
            <w:pPr>
              <w:tabs>
                <w:tab w:val="left" w:pos="315"/>
                <w:tab w:val="left" w:pos="690"/>
              </w:tabs>
              <w:spacing w:line="300" w:lineRule="auto"/>
              <w:rPr>
                <w:rFonts w:ascii="宋体" w:hAnsi="宋体" w:cs="Arial"/>
              </w:rPr>
            </w:pPr>
            <w:r>
              <w:rPr>
                <w:rFonts w:ascii="宋体" w:hAnsi="宋体" w:cs="Arial"/>
              </w:rPr>
              <w:t>（1</w:t>
            </w:r>
            <w:r>
              <w:rPr>
                <w:rFonts w:hint="eastAsia" w:ascii="宋体" w:hAnsi="宋体" w:cs="Arial"/>
              </w:rPr>
              <w:t>2</w:t>
            </w:r>
            <w:r>
              <w:rPr>
                <w:rFonts w:ascii="宋体" w:hAnsi="宋体" w:cs="Arial"/>
              </w:rPr>
              <w:t>）投标文件对招标文件的实质性要求和条件作出响应。</w:t>
            </w:r>
          </w:p>
          <w:p>
            <w:pPr>
              <w:tabs>
                <w:tab w:val="left" w:pos="315"/>
              </w:tabs>
              <w:spacing w:line="300" w:lineRule="auto"/>
              <w:rPr>
                <w:rFonts w:ascii="宋体" w:hAnsi="宋体" w:cs="Arial"/>
              </w:rPr>
            </w:pPr>
            <w:r>
              <w:rPr>
                <w:rFonts w:ascii="宋体" w:hAnsi="宋体" w:cs="Arial"/>
              </w:rPr>
              <w:t>（1</w:t>
            </w:r>
            <w:r>
              <w:rPr>
                <w:rFonts w:hint="eastAsia" w:ascii="宋体" w:hAnsi="宋体" w:cs="Arial"/>
              </w:rPr>
              <w:t>3</w:t>
            </w:r>
            <w:r>
              <w:rPr>
                <w:rFonts w:ascii="宋体" w:hAnsi="宋体" w:cs="Arial"/>
              </w:rPr>
              <w:t>）权利义务符合招标文件规定：</w:t>
            </w:r>
          </w:p>
          <w:p>
            <w:pPr>
              <w:tabs>
                <w:tab w:val="left" w:pos="315"/>
                <w:tab w:val="left" w:pos="690"/>
              </w:tabs>
              <w:spacing w:line="300" w:lineRule="auto"/>
              <w:ind w:firstLine="189" w:firstLineChars="90"/>
              <w:rPr>
                <w:rFonts w:ascii="宋体" w:hAnsi="宋体" w:cs="Arial"/>
              </w:rPr>
            </w:pPr>
            <w:r>
              <w:rPr>
                <w:rFonts w:ascii="宋体" w:hAnsi="宋体" w:cs="Arial"/>
              </w:rPr>
              <w:t>a．投标人应接受招标文件规定的风险划分原则，未提出新的风险划分办法；</w:t>
            </w:r>
          </w:p>
          <w:p>
            <w:pPr>
              <w:tabs>
                <w:tab w:val="left" w:pos="315"/>
                <w:tab w:val="left" w:pos="690"/>
              </w:tabs>
              <w:spacing w:line="300" w:lineRule="auto"/>
              <w:ind w:firstLine="189" w:firstLineChars="90"/>
              <w:rPr>
                <w:rFonts w:ascii="宋体" w:hAnsi="宋体" w:cs="Arial"/>
              </w:rPr>
            </w:pPr>
            <w:r>
              <w:rPr>
                <w:rFonts w:ascii="宋体" w:hAnsi="宋体" w:cs="Arial"/>
              </w:rPr>
              <w:t xml:space="preserve">b．投标人未增加发包人的责任范围，或减少投标人义务； </w:t>
            </w:r>
          </w:p>
          <w:p>
            <w:pPr>
              <w:tabs>
                <w:tab w:val="left" w:pos="315"/>
                <w:tab w:val="left" w:pos="690"/>
              </w:tabs>
              <w:spacing w:line="300" w:lineRule="auto"/>
              <w:ind w:firstLine="189" w:firstLineChars="90"/>
              <w:rPr>
                <w:rFonts w:ascii="宋体" w:hAnsi="宋体" w:cs="Arial"/>
              </w:rPr>
            </w:pPr>
            <w:r>
              <w:rPr>
                <w:rFonts w:ascii="宋体" w:hAnsi="宋体" w:cs="Arial"/>
              </w:rPr>
              <w:t xml:space="preserve">c．投标人未提出不同的工程验收、计量、支付办法； </w:t>
            </w:r>
          </w:p>
          <w:p>
            <w:pPr>
              <w:tabs>
                <w:tab w:val="left" w:pos="315"/>
                <w:tab w:val="left" w:pos="690"/>
              </w:tabs>
              <w:spacing w:line="300" w:lineRule="auto"/>
              <w:ind w:firstLine="189" w:firstLineChars="90"/>
              <w:rPr>
                <w:rFonts w:ascii="宋体" w:hAnsi="宋体" w:cs="Arial"/>
              </w:rPr>
            </w:pPr>
            <w:r>
              <w:rPr>
                <w:rFonts w:ascii="宋体" w:hAnsi="宋体" w:cs="Arial"/>
              </w:rPr>
              <w:t xml:space="preserve">d．投标人对合同纠纷、事故处理办法未提出异议； </w:t>
            </w:r>
          </w:p>
          <w:p>
            <w:pPr>
              <w:tabs>
                <w:tab w:val="left" w:pos="315"/>
                <w:tab w:val="left" w:pos="690"/>
              </w:tabs>
              <w:spacing w:line="300" w:lineRule="auto"/>
              <w:ind w:firstLine="189" w:firstLineChars="90"/>
              <w:rPr>
                <w:rFonts w:ascii="宋体" w:hAnsi="宋体" w:cs="Arial"/>
              </w:rPr>
            </w:pPr>
            <w:r>
              <w:rPr>
                <w:rFonts w:ascii="宋体" w:hAnsi="宋体" w:cs="Arial"/>
              </w:rPr>
              <w:t>e．投标人在投标活动中无欺诈行为；</w:t>
            </w:r>
          </w:p>
          <w:p>
            <w:pPr>
              <w:tabs>
                <w:tab w:val="left" w:pos="315"/>
                <w:tab w:val="left" w:pos="690"/>
              </w:tabs>
              <w:spacing w:line="300" w:lineRule="auto"/>
              <w:ind w:firstLine="189" w:firstLineChars="90"/>
              <w:rPr>
                <w:rFonts w:ascii="宋体" w:hAnsi="宋体" w:cs="Arial"/>
              </w:rPr>
            </w:pPr>
            <w:r>
              <w:rPr>
                <w:rFonts w:ascii="宋体" w:hAnsi="宋体" w:cs="Arial"/>
              </w:rPr>
              <w:t>f．投标人未对合同条款有重要保留。</w:t>
            </w:r>
          </w:p>
          <w:p>
            <w:pPr>
              <w:tabs>
                <w:tab w:val="left" w:pos="315"/>
                <w:tab w:val="left" w:pos="690"/>
              </w:tabs>
              <w:spacing w:line="300" w:lineRule="auto"/>
              <w:rPr>
                <w:rFonts w:ascii="宋体" w:hAnsi="宋体" w:cs="Arial"/>
              </w:rPr>
            </w:pPr>
            <w:r>
              <w:rPr>
                <w:rFonts w:ascii="宋体" w:hAnsi="宋体" w:cs="Arial"/>
              </w:rPr>
              <w:t>（1</w:t>
            </w:r>
            <w:r>
              <w:rPr>
                <w:rFonts w:hint="eastAsia" w:ascii="宋体" w:hAnsi="宋体" w:cs="Arial"/>
              </w:rPr>
              <w:t>4</w:t>
            </w:r>
            <w:r>
              <w:rPr>
                <w:rFonts w:ascii="宋体" w:hAnsi="宋体" w:cs="Arial"/>
              </w:rPr>
              <w:t>）</w:t>
            </w:r>
            <w:r>
              <w:rPr>
                <w:rFonts w:ascii="宋体" w:hAnsi="宋体" w:cs="Arial"/>
              </w:rPr>
              <w:tab/>
            </w:r>
            <w:r>
              <w:rPr>
                <w:rFonts w:ascii="宋体" w:hAnsi="宋体" w:cs="Arial"/>
              </w:rPr>
              <w:t>投标文件正、副本份数符合招标文件第二章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第3.7.4项规定。</w:t>
            </w:r>
          </w:p>
          <w:p>
            <w:pPr>
              <w:tabs>
                <w:tab w:val="left" w:pos="315"/>
                <w:tab w:val="left" w:pos="690"/>
              </w:tabs>
              <w:spacing w:line="300" w:lineRule="auto"/>
              <w:rPr>
                <w:rFonts w:ascii="宋体" w:hAnsi="宋体" w:cs="Arial"/>
              </w:rPr>
            </w:pPr>
            <w:r>
              <w:rPr>
                <w:rFonts w:ascii="宋体" w:hAnsi="宋体" w:cs="Arial"/>
                <w:b/>
              </w:rPr>
              <w:t>第二个信封（</w:t>
            </w:r>
            <w:r>
              <w:rPr>
                <w:rFonts w:hint="eastAsia" w:ascii="宋体" w:hAnsi="宋体" w:cs="Arial"/>
                <w:b/>
              </w:rPr>
              <w:t>报价</w:t>
            </w:r>
            <w:r>
              <w:rPr>
                <w:rFonts w:ascii="宋体" w:hAnsi="宋体" w:cs="Arial"/>
                <w:b/>
              </w:rPr>
              <w:t>文件）评审标准：</w:t>
            </w:r>
          </w:p>
          <w:p>
            <w:pPr>
              <w:tabs>
                <w:tab w:val="left" w:pos="315"/>
                <w:tab w:val="left" w:pos="690"/>
              </w:tabs>
              <w:spacing w:line="300" w:lineRule="auto"/>
              <w:rPr>
                <w:rFonts w:ascii="宋体" w:hAnsi="宋体" w:cs="Arial"/>
              </w:rPr>
            </w:pPr>
            <w:r>
              <w:rPr>
                <w:rFonts w:ascii="宋体" w:hAnsi="宋体" w:cs="Arial"/>
              </w:rPr>
              <w:t>（1）投标文件按照招标文件规定的格式、内容填写，字迹清晰可</w:t>
            </w:r>
            <w:r>
              <w:rPr>
                <w:rFonts w:hint="eastAsia" w:ascii="宋体" w:hAnsi="宋体" w:cs="Arial"/>
              </w:rPr>
              <w:t>辨</w:t>
            </w:r>
            <w:r>
              <w:rPr>
                <w:rFonts w:ascii="宋体" w:hAnsi="宋体" w:cs="Arial"/>
              </w:rPr>
              <w:t>：</w:t>
            </w:r>
          </w:p>
          <w:p>
            <w:pPr>
              <w:tabs>
                <w:tab w:val="left" w:pos="315"/>
                <w:tab w:val="left" w:pos="690"/>
              </w:tabs>
              <w:spacing w:line="300" w:lineRule="auto"/>
              <w:ind w:firstLine="189" w:firstLineChars="90"/>
              <w:rPr>
                <w:rFonts w:ascii="宋体" w:hAnsi="宋体" w:cs="Arial"/>
              </w:rPr>
            </w:pPr>
            <w:r>
              <w:rPr>
                <w:rFonts w:ascii="宋体" w:hAnsi="宋体" w:cs="Arial"/>
              </w:rPr>
              <w:t>a．投标函按招标文件规定填报了项目名称、标段号、补遗书编号（如有）、投标价（包括大写金额和小写金额）；</w:t>
            </w:r>
          </w:p>
          <w:p>
            <w:pPr>
              <w:tabs>
                <w:tab w:val="left" w:pos="315"/>
                <w:tab w:val="left" w:pos="690"/>
              </w:tabs>
              <w:spacing w:line="300" w:lineRule="auto"/>
              <w:ind w:firstLine="189" w:firstLineChars="90"/>
              <w:rPr>
                <w:rFonts w:ascii="宋体" w:hAnsi="宋体" w:cs="Arial"/>
              </w:rPr>
            </w:pPr>
            <w:r>
              <w:rPr>
                <w:rFonts w:ascii="宋体" w:hAnsi="宋体" w:cs="Arial"/>
              </w:rPr>
              <w:t>b．</w:t>
            </w:r>
            <w:r>
              <w:rPr>
                <w:rFonts w:hint="eastAsia" w:ascii="宋体" w:hAnsi="宋体" w:cs="Arial"/>
              </w:rPr>
              <w:t>已</w:t>
            </w:r>
            <w:r>
              <w:rPr>
                <w:rFonts w:ascii="宋体" w:hAnsi="宋体" w:cs="Arial"/>
              </w:rPr>
              <w:t>标价工程量清单说明文字与招标文件规定一致，未进行实质性修改和删减；</w:t>
            </w:r>
          </w:p>
          <w:p>
            <w:pPr>
              <w:tabs>
                <w:tab w:val="left" w:pos="315"/>
                <w:tab w:val="left" w:pos="690"/>
              </w:tabs>
              <w:spacing w:line="300" w:lineRule="auto"/>
              <w:ind w:firstLine="189" w:firstLineChars="90"/>
              <w:rPr>
                <w:rFonts w:ascii="宋体" w:hAnsi="宋体" w:cs="Arial"/>
              </w:rPr>
            </w:pPr>
            <w:r>
              <w:rPr>
                <w:rFonts w:ascii="宋体" w:hAnsi="宋体" w:cs="Arial"/>
              </w:rPr>
              <w:t>c．投标文件组成齐全完整，内容均按规定填写。</w:t>
            </w:r>
          </w:p>
          <w:p>
            <w:pPr>
              <w:tabs>
                <w:tab w:val="left" w:pos="315"/>
              </w:tabs>
              <w:spacing w:line="300" w:lineRule="auto"/>
              <w:rPr>
                <w:rFonts w:ascii="宋体" w:hAnsi="宋体" w:cs="Arial"/>
              </w:rPr>
            </w:pPr>
            <w:r>
              <w:rPr>
                <w:rFonts w:ascii="宋体" w:hAnsi="宋体" w:cs="Arial"/>
              </w:rPr>
              <w:t>（2）投标文件上法定代表人或其委托代理人的签字、投标人的单位章盖章齐全，符合招标文件规定。</w:t>
            </w:r>
          </w:p>
          <w:p>
            <w:pPr>
              <w:tabs>
                <w:tab w:val="left" w:pos="315"/>
              </w:tabs>
              <w:spacing w:line="300" w:lineRule="auto"/>
              <w:rPr>
                <w:rFonts w:ascii="宋体" w:hAnsi="宋体" w:cs="Arial"/>
              </w:rPr>
            </w:pPr>
            <w:r>
              <w:rPr>
                <w:rFonts w:ascii="宋体" w:hAnsi="宋体" w:cs="Arial"/>
              </w:rPr>
              <w:t>（3）投标报价或调价函中的报价未超过招标文件设定的最高投标限价</w:t>
            </w:r>
            <w:r>
              <w:rPr>
                <w:rFonts w:hint="eastAsia" w:ascii="宋体" w:hAnsi="宋体" w:cs="Arial"/>
              </w:rPr>
              <w:t>且</w:t>
            </w:r>
            <w:r>
              <w:rPr>
                <w:rFonts w:ascii="宋体" w:hAnsi="宋体" w:cs="Arial"/>
              </w:rPr>
              <w:t>主要工程量清单</w:t>
            </w:r>
            <w:r>
              <w:rPr>
                <w:rFonts w:hint="eastAsia" w:ascii="宋体" w:hAnsi="宋体" w:cs="Arial"/>
              </w:rPr>
              <w:t>子</w:t>
            </w:r>
            <w:r>
              <w:rPr>
                <w:rFonts w:ascii="宋体" w:hAnsi="宋体" w:cs="Arial"/>
              </w:rPr>
              <w:t>目单价未超过招标文件设定的最高</w:t>
            </w:r>
            <w:r>
              <w:rPr>
                <w:rFonts w:hint="eastAsia" w:ascii="宋体" w:hAnsi="宋体" w:cs="Arial"/>
              </w:rPr>
              <w:t>子</w:t>
            </w:r>
            <w:r>
              <w:rPr>
                <w:rFonts w:ascii="宋体" w:hAnsi="宋体" w:cs="Arial"/>
              </w:rPr>
              <w:t>目限价</w:t>
            </w:r>
            <w:r>
              <w:rPr>
                <w:rFonts w:hint="eastAsia" w:ascii="宋体" w:hAnsi="宋体" w:cs="Arial"/>
              </w:rPr>
              <w:t>（如有）</w:t>
            </w:r>
            <w:r>
              <w:rPr>
                <w:rFonts w:ascii="宋体" w:hAnsi="宋体" w:cs="Arial"/>
              </w:rPr>
              <w:t>。</w:t>
            </w:r>
          </w:p>
          <w:p>
            <w:pPr>
              <w:tabs>
                <w:tab w:val="left" w:pos="315"/>
              </w:tabs>
              <w:spacing w:line="300" w:lineRule="auto"/>
              <w:rPr>
                <w:rFonts w:ascii="宋体" w:hAnsi="宋体" w:cs="Arial"/>
              </w:rPr>
            </w:pPr>
            <w:r>
              <w:rPr>
                <w:rFonts w:ascii="宋体" w:hAnsi="宋体" w:cs="Arial"/>
              </w:rPr>
              <w:t>（4）投标报价或调价函中报价的大写金额能够确定具体数值。</w:t>
            </w:r>
          </w:p>
          <w:p>
            <w:pPr>
              <w:tabs>
                <w:tab w:val="left" w:pos="315"/>
              </w:tabs>
              <w:spacing w:line="300" w:lineRule="auto"/>
              <w:rPr>
                <w:rFonts w:ascii="宋体" w:hAnsi="宋体" w:cs="Arial"/>
              </w:rPr>
            </w:pPr>
            <w:r>
              <w:rPr>
                <w:rFonts w:ascii="宋体" w:hAnsi="宋体" w:cs="Arial"/>
              </w:rPr>
              <w:t>（5）同一投标人未提交两个以上不同的投标报价，但招标文件要求提交备选投标的除外。</w:t>
            </w:r>
          </w:p>
          <w:p>
            <w:pPr>
              <w:tabs>
                <w:tab w:val="left" w:pos="315"/>
              </w:tabs>
              <w:spacing w:line="300" w:lineRule="auto"/>
              <w:rPr>
                <w:rFonts w:ascii="宋体" w:hAnsi="宋体" w:cs="Arial"/>
              </w:rPr>
            </w:pPr>
            <w:r>
              <w:rPr>
                <w:rFonts w:ascii="宋体" w:hAnsi="宋体" w:cs="Arial"/>
              </w:rPr>
              <w:t>（6）投标人若提交调价函，调价函符合招标文件第二章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第3.2.6项要求</w:t>
            </w:r>
            <w:r>
              <w:rPr>
                <w:rFonts w:hint="eastAsia" w:ascii="宋体" w:hAnsi="宋体" w:cs="Arial"/>
                <w:b/>
              </w:rPr>
              <w:t>（不适用）</w:t>
            </w:r>
            <w:r>
              <w:rPr>
                <w:rFonts w:ascii="宋体" w:hAnsi="宋体" w:cs="Arial"/>
              </w:rPr>
              <w:t>。</w:t>
            </w:r>
            <w:r>
              <w:rPr>
                <w:rFonts w:hint="eastAsia" w:ascii="宋体" w:hAnsi="宋体" w:cs="Arial"/>
              </w:rPr>
              <w:t xml:space="preserve">       </w:t>
            </w:r>
          </w:p>
          <w:p>
            <w:pPr>
              <w:tabs>
                <w:tab w:val="left" w:pos="315"/>
              </w:tabs>
              <w:spacing w:line="300" w:lineRule="auto"/>
              <w:rPr>
                <w:rFonts w:ascii="宋体" w:hAnsi="宋体" w:cs="Arial"/>
              </w:rPr>
            </w:pPr>
            <w:r>
              <w:rPr>
                <w:rFonts w:ascii="宋体" w:hAnsi="宋体" w:cs="Arial"/>
              </w:rPr>
              <w:t>（7）投标人若填写工程量固化清单，填写完毕的工程量固化清单未对工程量固化清单电子文件中的数据、格式和运算定义进行修改；工程量固化清单中的投标报价和投标函大写金额报价一致。</w:t>
            </w:r>
          </w:p>
          <w:p>
            <w:pPr>
              <w:tabs>
                <w:tab w:val="left" w:pos="315"/>
              </w:tabs>
              <w:spacing w:line="300" w:lineRule="auto"/>
              <w:rPr>
                <w:rFonts w:ascii="宋体" w:hAnsi="宋体" w:cs="Arial"/>
              </w:rPr>
            </w:pPr>
            <w:r>
              <w:rPr>
                <w:rFonts w:ascii="宋体" w:hAnsi="宋体" w:cs="Arial"/>
              </w:rPr>
              <w:t>（8）投标文件正、副本份数符合招标文件第二章</w:t>
            </w:r>
            <w:r>
              <w:rPr>
                <w:rFonts w:hint="eastAsia" w:ascii="宋体" w:hAnsi="宋体" w:cs="Arial"/>
              </w:rPr>
              <w:t>“</w:t>
            </w:r>
            <w:r>
              <w:rPr>
                <w:rFonts w:ascii="宋体" w:hAnsi="宋体" w:cs="Arial"/>
              </w:rPr>
              <w:t>投标人须知</w:t>
            </w:r>
            <w:r>
              <w:rPr>
                <w:rFonts w:hint="eastAsia" w:ascii="宋体" w:hAnsi="宋体" w:cs="Arial"/>
              </w:rPr>
              <w:t>”</w:t>
            </w:r>
            <w:r>
              <w:rPr>
                <w:rFonts w:ascii="宋体" w:hAnsi="宋体" w:cs="Arial"/>
              </w:rPr>
              <w:t>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3" w:hRule="atLeast"/>
        </w:trPr>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ascii="宋体" w:hAnsi="宋体" w:cs="Arial"/>
                <w:szCs w:val="21"/>
              </w:rPr>
            </w:pPr>
            <w:r>
              <w:rPr>
                <w:rFonts w:ascii="宋体" w:hAnsi="宋体" w:cs="Arial"/>
                <w:szCs w:val="21"/>
              </w:rPr>
              <w:t>2.1.2</w:t>
            </w:r>
          </w:p>
        </w:tc>
        <w:tc>
          <w:tcPr>
            <w:tcW w:w="1336" w:type="dxa"/>
            <w:tcBorders>
              <w:top w:val="single" w:color="auto" w:sz="4" w:space="0"/>
              <w:left w:val="nil"/>
              <w:bottom w:val="single" w:color="auto" w:sz="4" w:space="0"/>
              <w:right w:val="single" w:color="auto" w:sz="4" w:space="0"/>
            </w:tcBorders>
            <w:vAlign w:val="center"/>
          </w:tcPr>
          <w:p>
            <w:pPr>
              <w:snapToGrid w:val="0"/>
              <w:spacing w:line="300" w:lineRule="auto"/>
              <w:rPr>
                <w:rFonts w:ascii="宋体" w:hAnsi="宋体" w:cs="Arial"/>
                <w:szCs w:val="21"/>
              </w:rPr>
            </w:pPr>
            <w:r>
              <w:rPr>
                <w:rFonts w:ascii="宋体" w:hAnsi="宋体" w:cs="Arial"/>
                <w:szCs w:val="21"/>
              </w:rPr>
              <w:t>资格评审标准</w:t>
            </w:r>
          </w:p>
        </w:tc>
        <w:tc>
          <w:tcPr>
            <w:tcW w:w="6530"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ascii="宋体" w:hAnsi="宋体" w:cs="Arial"/>
                <w:szCs w:val="21"/>
              </w:rPr>
            </w:pPr>
            <w:r>
              <w:rPr>
                <w:rFonts w:ascii="宋体" w:hAnsi="宋体" w:cs="Arial"/>
                <w:szCs w:val="21"/>
              </w:rPr>
              <w:t>（1）投标人具备有效的营业执照、</w:t>
            </w:r>
            <w:r>
              <w:rPr>
                <w:rFonts w:hint="eastAsia" w:ascii="宋体" w:hAnsi="宋体" w:cs="Arial"/>
                <w:szCs w:val="21"/>
              </w:rPr>
              <w:t>组织机构代码证、</w:t>
            </w:r>
            <w:r>
              <w:rPr>
                <w:rFonts w:ascii="宋体" w:hAnsi="宋体" w:cs="Arial"/>
                <w:szCs w:val="21"/>
              </w:rPr>
              <w:t>资质证书</w:t>
            </w:r>
            <w:r>
              <w:rPr>
                <w:rFonts w:hint="eastAsia" w:ascii="宋体" w:hAnsi="宋体" w:cs="Arial"/>
                <w:szCs w:val="21"/>
              </w:rPr>
              <w:t>和</w:t>
            </w:r>
            <w:r>
              <w:rPr>
                <w:rFonts w:ascii="宋体" w:hAnsi="宋体" w:cs="Arial"/>
                <w:szCs w:val="21"/>
              </w:rPr>
              <w:t>安全生产许可证</w:t>
            </w:r>
            <w:r>
              <w:rPr>
                <w:rFonts w:hint="eastAsia" w:ascii="宋体" w:hAnsi="宋体" w:cs="Arial"/>
                <w:szCs w:val="21"/>
              </w:rPr>
              <w:t>和基本帐户开户许可证</w:t>
            </w:r>
            <w:r>
              <w:rPr>
                <w:rFonts w:hint="eastAsia" w:ascii="宋体" w:hAnsi="宋体" w:cs="Arial"/>
                <w:b/>
                <w:szCs w:val="21"/>
              </w:rPr>
              <w:t>（符合《关于试点取消企业银行账户开户许可证核发的通知》（银发〔2018〕125 号）文件规定的试点地区的投标人，无须附基本账户《开户许可证》，但应附载有投标人名称、基本账户开户银行和银行账号信息的相关证明材料）</w:t>
            </w:r>
            <w:r>
              <w:rPr>
                <w:rFonts w:hint="eastAsia" w:ascii="宋体" w:hAnsi="宋体" w:cs="Arial"/>
                <w:szCs w:val="21"/>
              </w:rPr>
              <w:t>。</w:t>
            </w:r>
          </w:p>
          <w:p>
            <w:pPr>
              <w:tabs>
                <w:tab w:val="left" w:pos="5950"/>
              </w:tabs>
              <w:snapToGrid w:val="0"/>
              <w:spacing w:line="300" w:lineRule="auto"/>
              <w:rPr>
                <w:rFonts w:ascii="宋体" w:hAnsi="宋体" w:cs="Arial"/>
                <w:szCs w:val="21"/>
              </w:rPr>
            </w:pPr>
            <w:r>
              <w:rPr>
                <w:rFonts w:ascii="宋体" w:hAnsi="宋体" w:cs="Arial"/>
                <w:szCs w:val="21"/>
              </w:rPr>
              <w:t>（2）投标人</w:t>
            </w:r>
            <w:r>
              <w:rPr>
                <w:rFonts w:hint="eastAsia" w:ascii="宋体" w:hAnsi="宋体" w:cs="Arial"/>
                <w:szCs w:val="21"/>
              </w:rPr>
              <w:t>的</w:t>
            </w:r>
            <w:r>
              <w:rPr>
                <w:rFonts w:ascii="宋体" w:hAnsi="宋体" w:cs="Arial"/>
                <w:szCs w:val="21"/>
              </w:rPr>
              <w:t>资质等级符合招标文件规定</w:t>
            </w:r>
            <w:r>
              <w:rPr>
                <w:rFonts w:hint="eastAsia" w:ascii="宋体" w:hAnsi="宋体" w:cs="Arial"/>
                <w:szCs w:val="21"/>
              </w:rPr>
              <w:t>。</w:t>
            </w:r>
          </w:p>
          <w:p>
            <w:pPr>
              <w:tabs>
                <w:tab w:val="left" w:pos="5950"/>
              </w:tabs>
              <w:snapToGrid w:val="0"/>
              <w:spacing w:line="300" w:lineRule="auto"/>
              <w:rPr>
                <w:rFonts w:ascii="宋体" w:hAnsi="宋体" w:cs="Arial"/>
                <w:szCs w:val="21"/>
              </w:rPr>
            </w:pPr>
            <w:r>
              <w:rPr>
                <w:rFonts w:ascii="宋体" w:hAnsi="宋体" w:cs="Arial"/>
                <w:szCs w:val="21"/>
              </w:rPr>
              <w:t>（3）投标人的财务状况符合招标文件规定</w:t>
            </w:r>
            <w:r>
              <w:rPr>
                <w:rFonts w:hint="eastAsia" w:ascii="宋体" w:hAnsi="宋体" w:cs="Arial"/>
                <w:szCs w:val="21"/>
              </w:rPr>
              <w:t>。</w:t>
            </w:r>
          </w:p>
          <w:p>
            <w:pPr>
              <w:tabs>
                <w:tab w:val="left" w:pos="5950"/>
              </w:tabs>
              <w:snapToGrid w:val="0"/>
              <w:spacing w:line="300" w:lineRule="auto"/>
              <w:rPr>
                <w:rFonts w:ascii="宋体" w:hAnsi="宋体" w:cs="Arial"/>
                <w:szCs w:val="21"/>
              </w:rPr>
            </w:pPr>
            <w:r>
              <w:rPr>
                <w:rFonts w:ascii="宋体" w:hAnsi="宋体" w:cs="Arial"/>
                <w:szCs w:val="21"/>
              </w:rPr>
              <w:t>（4）投标人的</w:t>
            </w:r>
            <w:r>
              <w:rPr>
                <w:rFonts w:hint="eastAsia" w:ascii="宋体" w:hAnsi="宋体" w:cs="Arial"/>
                <w:szCs w:val="21"/>
              </w:rPr>
              <w:t>类似项目业绩</w:t>
            </w:r>
            <w:r>
              <w:rPr>
                <w:rFonts w:ascii="宋体" w:hAnsi="宋体" w:cs="Arial"/>
                <w:szCs w:val="21"/>
              </w:rPr>
              <w:t>符合招标文件规定</w:t>
            </w:r>
            <w:r>
              <w:rPr>
                <w:rFonts w:hint="eastAsia" w:ascii="宋体" w:hAnsi="宋体" w:cs="Arial"/>
                <w:b/>
              </w:rPr>
              <w:t>（不适用）</w:t>
            </w:r>
            <w:r>
              <w:rPr>
                <w:rFonts w:hint="eastAsia" w:ascii="宋体" w:hAnsi="宋体" w:cs="Arial"/>
                <w:szCs w:val="21"/>
              </w:rPr>
              <w:t>。</w:t>
            </w:r>
          </w:p>
          <w:p>
            <w:pPr>
              <w:snapToGrid w:val="0"/>
              <w:spacing w:line="300" w:lineRule="auto"/>
              <w:rPr>
                <w:rFonts w:ascii="宋体" w:hAnsi="宋体" w:cs="Arial"/>
                <w:szCs w:val="21"/>
              </w:rPr>
            </w:pPr>
            <w:r>
              <w:rPr>
                <w:rFonts w:ascii="宋体" w:hAnsi="宋体" w:cs="Arial"/>
                <w:szCs w:val="21"/>
              </w:rPr>
              <w:t>（</w:t>
            </w:r>
            <w:r>
              <w:rPr>
                <w:rFonts w:hint="eastAsia" w:ascii="宋体" w:hAnsi="宋体" w:cs="Arial"/>
                <w:szCs w:val="21"/>
              </w:rPr>
              <w:t>5</w:t>
            </w:r>
            <w:r>
              <w:rPr>
                <w:rFonts w:ascii="宋体" w:hAnsi="宋体" w:cs="Arial"/>
                <w:szCs w:val="21"/>
              </w:rPr>
              <w:t>）投标人的信誉符合招标文件规定</w:t>
            </w:r>
            <w:r>
              <w:rPr>
                <w:rFonts w:hint="eastAsia" w:ascii="宋体" w:hAnsi="宋体" w:cs="Arial"/>
                <w:szCs w:val="21"/>
              </w:rPr>
              <w:t>。</w:t>
            </w:r>
          </w:p>
          <w:p>
            <w:pPr>
              <w:snapToGrid w:val="0"/>
              <w:spacing w:line="300" w:lineRule="auto"/>
              <w:rPr>
                <w:rFonts w:ascii="宋体" w:hAnsi="宋体" w:cs="Arial"/>
                <w:szCs w:val="21"/>
              </w:rPr>
            </w:pPr>
            <w:r>
              <w:rPr>
                <w:rFonts w:ascii="宋体" w:hAnsi="宋体" w:cs="Arial"/>
                <w:szCs w:val="21"/>
              </w:rPr>
              <w:t>（</w:t>
            </w:r>
            <w:r>
              <w:rPr>
                <w:rFonts w:hint="eastAsia" w:ascii="宋体" w:hAnsi="宋体" w:cs="Arial"/>
                <w:szCs w:val="21"/>
              </w:rPr>
              <w:t>6</w:t>
            </w:r>
            <w:r>
              <w:rPr>
                <w:rFonts w:ascii="宋体" w:hAnsi="宋体" w:cs="Arial"/>
                <w:szCs w:val="21"/>
              </w:rPr>
              <w:t>）投标人的项目经理资格、在岗情况符合招标文件规定</w:t>
            </w:r>
            <w:r>
              <w:rPr>
                <w:rFonts w:hint="eastAsia" w:ascii="宋体" w:hAnsi="宋体" w:cs="Arial"/>
                <w:szCs w:val="21"/>
              </w:rPr>
              <w:t>。</w:t>
            </w:r>
          </w:p>
          <w:p>
            <w:pPr>
              <w:snapToGrid w:val="0"/>
              <w:spacing w:line="300" w:lineRule="auto"/>
              <w:rPr>
                <w:rFonts w:ascii="宋体" w:hAnsi="宋体" w:cs="Arial"/>
                <w:szCs w:val="21"/>
              </w:rPr>
            </w:pPr>
            <w:r>
              <w:rPr>
                <w:rFonts w:hint="eastAsia" w:ascii="宋体" w:hAnsi="宋体" w:cs="Arial"/>
                <w:szCs w:val="21"/>
              </w:rPr>
              <w:t>（7）投标人的其他要求符合招标文件规定（指对于特别复杂的特大桥梁和特长隧道项目主体工程以及其他有特殊要求的工程，还可对其他管理和技术人员（例如项目副经理、专业工程师等）以及主要机械设备和试验检测设备进行资格评审）</w:t>
            </w:r>
            <w:r>
              <w:rPr>
                <w:rFonts w:hint="eastAsia" w:ascii="宋体" w:hAnsi="宋体" w:cs="Arial"/>
                <w:b/>
              </w:rPr>
              <w:t>（不适用）</w:t>
            </w:r>
            <w:r>
              <w:rPr>
                <w:rFonts w:hint="eastAsia" w:ascii="宋体" w:hAnsi="宋体" w:cs="Arial"/>
                <w:szCs w:val="21"/>
              </w:rPr>
              <w:t>。</w:t>
            </w:r>
            <w:r>
              <w:rPr>
                <w:rFonts w:hint="eastAsia" w:ascii="宋体" w:hAnsi="宋体" w:cs="Arial"/>
              </w:rPr>
              <w:t xml:space="preserve"> </w:t>
            </w:r>
          </w:p>
          <w:p>
            <w:pPr>
              <w:snapToGrid w:val="0"/>
              <w:spacing w:line="300" w:lineRule="auto"/>
              <w:rPr>
                <w:rFonts w:ascii="宋体" w:hAnsi="宋体" w:cs="Arial"/>
                <w:szCs w:val="21"/>
              </w:rPr>
            </w:pPr>
            <w:r>
              <w:rPr>
                <w:rFonts w:ascii="宋体" w:hAnsi="宋体" w:cs="Arial"/>
                <w:szCs w:val="21"/>
              </w:rPr>
              <w:t>（</w:t>
            </w:r>
            <w:r>
              <w:rPr>
                <w:rFonts w:hint="eastAsia" w:ascii="宋体" w:hAnsi="宋体" w:cs="Arial"/>
                <w:szCs w:val="21"/>
              </w:rPr>
              <w:t>8</w:t>
            </w:r>
            <w:r>
              <w:rPr>
                <w:rFonts w:ascii="宋体" w:hAnsi="宋体" w:cs="Arial"/>
                <w:szCs w:val="21"/>
              </w:rPr>
              <w:t>）投标人不存在第二章</w:t>
            </w:r>
            <w:r>
              <w:rPr>
                <w:rFonts w:hint="eastAsia" w:ascii="宋体" w:hAnsi="宋体" w:cs="Arial"/>
                <w:szCs w:val="21"/>
              </w:rPr>
              <w:t>“</w:t>
            </w:r>
            <w:r>
              <w:rPr>
                <w:rFonts w:ascii="宋体" w:hAnsi="宋体" w:cs="Arial"/>
                <w:szCs w:val="21"/>
              </w:rPr>
              <w:t>投标人须知</w:t>
            </w:r>
            <w:r>
              <w:rPr>
                <w:rFonts w:hint="eastAsia" w:ascii="宋体" w:hAnsi="宋体" w:cs="Arial"/>
                <w:szCs w:val="21"/>
              </w:rPr>
              <w:t>”</w:t>
            </w:r>
            <w:r>
              <w:rPr>
                <w:rFonts w:ascii="宋体" w:hAnsi="宋体" w:cs="Arial"/>
                <w:szCs w:val="21"/>
              </w:rPr>
              <w:t>第1.4.3项或第1.4.4项规定的任何一种情形</w:t>
            </w:r>
            <w:r>
              <w:rPr>
                <w:rFonts w:hint="eastAsia" w:ascii="宋体" w:hAnsi="宋体" w:cs="Arial"/>
                <w:szCs w:val="21"/>
              </w:rPr>
              <w:t>。</w:t>
            </w:r>
          </w:p>
          <w:p>
            <w:pPr>
              <w:snapToGrid w:val="0"/>
              <w:spacing w:line="300" w:lineRule="auto"/>
              <w:rPr>
                <w:rFonts w:ascii="宋体" w:hAnsi="宋体"/>
                <w:szCs w:val="21"/>
              </w:rPr>
            </w:pPr>
            <w:r>
              <w:rPr>
                <w:rFonts w:ascii="宋体" w:hAnsi="宋体" w:cs="Arial"/>
                <w:szCs w:val="21"/>
              </w:rPr>
              <w:t>（</w:t>
            </w:r>
            <w:r>
              <w:rPr>
                <w:rFonts w:hint="eastAsia" w:ascii="宋体" w:hAnsi="宋体" w:cs="Arial"/>
                <w:szCs w:val="21"/>
              </w:rPr>
              <w:t>9</w:t>
            </w:r>
            <w:r>
              <w:rPr>
                <w:rFonts w:ascii="宋体" w:hAnsi="宋体" w:cs="Arial"/>
                <w:szCs w:val="21"/>
              </w:rPr>
              <w:t>）</w:t>
            </w:r>
            <w:r>
              <w:rPr>
                <w:rFonts w:hint="eastAsia" w:ascii="宋体" w:hAnsi="宋体"/>
                <w:szCs w:val="21"/>
              </w:rPr>
              <w:t>投标人符合第二章“投标人须知”第</w:t>
            </w:r>
            <w:r>
              <w:rPr>
                <w:rFonts w:ascii="宋体" w:hAnsi="宋体" w:cs="Arial"/>
                <w:szCs w:val="21"/>
              </w:rPr>
              <w:t>1.4.5</w:t>
            </w:r>
            <w:r>
              <w:rPr>
                <w:rFonts w:hint="eastAsia" w:ascii="宋体" w:hAnsi="宋体"/>
                <w:szCs w:val="21"/>
              </w:rPr>
              <w:t>项规定。</w:t>
            </w:r>
          </w:p>
          <w:p>
            <w:pPr>
              <w:snapToGrid w:val="0"/>
              <w:spacing w:line="360" w:lineRule="exact"/>
              <w:rPr>
                <w:rFonts w:ascii="宋体" w:hAnsi="宋体" w:cs="Arial"/>
                <w:szCs w:val="21"/>
              </w:rPr>
            </w:pPr>
            <w:r>
              <w:rPr>
                <w:rFonts w:hint="eastAsia" w:ascii="宋体" w:hAnsi="宋体" w:cs="Arial"/>
                <w:szCs w:val="21"/>
              </w:rPr>
              <w:t>（10）以联合体形式参与投标的，联合体各方均未再以自己名义单独或参加其他联合体在同一标段中投标，</w:t>
            </w:r>
            <w:r>
              <w:rPr>
                <w:rFonts w:hint="eastAsia" w:ascii="Arial" w:hAnsi="Arial" w:cs="Arial"/>
                <w:szCs w:val="21"/>
              </w:rPr>
              <w:t>也未</w:t>
            </w:r>
            <w:r>
              <w:rPr>
                <w:rFonts w:hint="eastAsia" w:ascii="Arial" w:hAnsi="Arial" w:cs="Arial"/>
                <w:szCs w:val="21"/>
                <w:u w:val="single"/>
              </w:rPr>
              <w:t>再</w:t>
            </w:r>
            <w:r>
              <w:rPr>
                <w:rFonts w:ascii="Arial" w:hAnsi="Arial" w:cs="Arial"/>
                <w:szCs w:val="21"/>
              </w:rPr>
              <w:t>以自己名义单独或</w:t>
            </w:r>
            <w:r>
              <w:rPr>
                <w:rFonts w:hint="eastAsia" w:ascii="Arial" w:hAnsi="Arial" w:cs="Arial"/>
                <w:szCs w:val="21"/>
                <w:u w:val="single"/>
              </w:rPr>
              <w:t>与联合体外的其他投标人组成新的联合体在本次招标项目的其他标段中投标</w:t>
            </w:r>
            <w:r>
              <w:rPr>
                <w:rFonts w:hint="eastAsia" w:ascii="宋体" w:hAnsi="宋体" w:cs="Arial"/>
                <w:szCs w:val="21"/>
              </w:rPr>
              <w:t>；独立参与投标的，投标人未同时参加联合体在本次招标项目任一标段中投标。</w:t>
            </w:r>
            <w:r>
              <w:rPr>
                <w:rFonts w:hint="eastAsia" w:ascii="宋体" w:hAnsi="宋体" w:cs="Arial"/>
              </w:rPr>
              <w:t xml:space="preserve"> （不适用）</w:t>
            </w:r>
          </w:p>
        </w:tc>
      </w:tr>
    </w:tbl>
    <w:p>
      <w:pPr>
        <w:rPr>
          <w:rFonts w:ascii="宋体" w:hAnsi="宋体" w:cs="Arial"/>
        </w:rPr>
      </w:pPr>
    </w:p>
    <w:tbl>
      <w:tblPr>
        <w:tblStyle w:val="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9" w:type="dxa"/>
          <w:left w:w="74" w:type="dxa"/>
          <w:bottom w:w="29" w:type="dxa"/>
          <w:right w:w="74" w:type="dxa"/>
        </w:tblCellMar>
      </w:tblPr>
      <w:tblGrid>
        <w:gridCol w:w="998"/>
        <w:gridCol w:w="1486"/>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
                <w:bCs/>
                <w:szCs w:val="21"/>
              </w:rPr>
            </w:pPr>
            <w:r>
              <w:rPr>
                <w:rFonts w:ascii="宋体" w:hAnsi="宋体"/>
                <w:b/>
                <w:bCs/>
                <w:szCs w:val="21"/>
              </w:rPr>
              <w:t>条款号</w:t>
            </w:r>
          </w:p>
        </w:tc>
        <w:tc>
          <w:tcPr>
            <w:tcW w:w="1486" w:type="dxa"/>
            <w:vAlign w:val="center"/>
          </w:tcPr>
          <w:p>
            <w:pPr>
              <w:snapToGrid w:val="0"/>
              <w:jc w:val="center"/>
              <w:rPr>
                <w:rFonts w:ascii="宋体" w:hAnsi="宋体"/>
                <w:b/>
                <w:bCs/>
                <w:szCs w:val="21"/>
              </w:rPr>
            </w:pPr>
            <w:r>
              <w:rPr>
                <w:rFonts w:ascii="宋体" w:hAnsi="宋体"/>
                <w:b/>
                <w:bCs/>
                <w:szCs w:val="21"/>
              </w:rPr>
              <w:t>评分因素</w:t>
            </w:r>
          </w:p>
        </w:tc>
        <w:tc>
          <w:tcPr>
            <w:tcW w:w="6796" w:type="dxa"/>
            <w:vAlign w:val="center"/>
          </w:tcPr>
          <w:p>
            <w:pPr>
              <w:snapToGrid w:val="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1096" w:hRule="atLeast"/>
        </w:trPr>
        <w:tc>
          <w:tcPr>
            <w:tcW w:w="998" w:type="dxa"/>
            <w:vAlign w:val="center"/>
          </w:tcPr>
          <w:p>
            <w:pPr>
              <w:spacing w:line="400" w:lineRule="exact"/>
              <w:jc w:val="center"/>
              <w:rPr>
                <w:rFonts w:ascii="宋体" w:hAnsi="宋体" w:cs="Arial"/>
                <w:szCs w:val="21"/>
              </w:rPr>
            </w:pPr>
            <w:r>
              <w:rPr>
                <w:rFonts w:ascii="宋体" w:hAnsi="宋体" w:cs="Arial"/>
              </w:rPr>
              <w:t>2.2.1</w:t>
            </w:r>
          </w:p>
        </w:tc>
        <w:tc>
          <w:tcPr>
            <w:tcW w:w="1486" w:type="dxa"/>
            <w:vAlign w:val="center"/>
          </w:tcPr>
          <w:p>
            <w:pPr>
              <w:spacing w:line="400" w:lineRule="exact"/>
              <w:jc w:val="center"/>
              <w:rPr>
                <w:rFonts w:ascii="宋体" w:hAnsi="宋体" w:cs="Arial"/>
              </w:rPr>
            </w:pPr>
            <w:r>
              <w:rPr>
                <w:rFonts w:ascii="宋体" w:hAnsi="宋体" w:cs="Arial"/>
              </w:rPr>
              <w:t>分值构成</w:t>
            </w:r>
          </w:p>
          <w:p>
            <w:pPr>
              <w:spacing w:line="400" w:lineRule="exact"/>
              <w:jc w:val="center"/>
              <w:rPr>
                <w:rFonts w:ascii="宋体" w:hAnsi="宋体" w:cs="Arial"/>
                <w:szCs w:val="21"/>
              </w:rPr>
            </w:pPr>
            <w:r>
              <w:rPr>
                <w:rFonts w:ascii="宋体" w:hAnsi="宋体" w:cs="Arial"/>
              </w:rPr>
              <w:t>（总分100分）</w:t>
            </w:r>
          </w:p>
        </w:tc>
        <w:tc>
          <w:tcPr>
            <w:tcW w:w="6796" w:type="dxa"/>
            <w:vAlign w:val="center"/>
          </w:tcPr>
          <w:p>
            <w:pPr>
              <w:spacing w:line="360" w:lineRule="auto"/>
              <w:jc w:val="left"/>
              <w:rPr>
                <w:b/>
              </w:rPr>
            </w:pPr>
            <w:r>
              <w:rPr>
                <w:rFonts w:hint="eastAsia"/>
                <w:b/>
              </w:rPr>
              <w:t>第一个信封（商务及技术文件）评分分值构成：</w:t>
            </w:r>
          </w:p>
          <w:p>
            <w:pPr>
              <w:spacing w:line="360" w:lineRule="auto"/>
              <w:ind w:firstLine="315" w:firstLineChars="150"/>
              <w:jc w:val="left"/>
            </w:pPr>
            <w:r>
              <w:rPr>
                <w:rFonts w:hint="eastAsia"/>
              </w:rPr>
              <w:t>施工组织设计：</w:t>
            </w:r>
            <w:r>
              <w:rPr>
                <w:rFonts w:hint="eastAsia"/>
                <w:u w:val="single"/>
              </w:rPr>
              <w:t>20</w:t>
            </w:r>
            <w:r>
              <w:rPr>
                <w:rFonts w:hint="eastAsia"/>
              </w:rPr>
              <w:t>分</w:t>
            </w:r>
          </w:p>
          <w:p>
            <w:pPr>
              <w:spacing w:line="360" w:lineRule="auto"/>
              <w:ind w:firstLine="315" w:firstLineChars="150"/>
            </w:pPr>
            <w:r>
              <w:rPr>
                <w:rFonts w:hint="eastAsia"/>
              </w:rPr>
              <w:t>主要人员：15分</w:t>
            </w:r>
          </w:p>
          <w:p>
            <w:pPr>
              <w:spacing w:line="360" w:lineRule="auto"/>
              <w:ind w:firstLine="315" w:firstLineChars="150"/>
              <w:jc w:val="left"/>
            </w:pPr>
            <w:r>
              <w:rPr>
                <w:rFonts w:hint="eastAsia"/>
              </w:rPr>
              <w:t>企业业绩：</w:t>
            </w:r>
            <w:r>
              <w:rPr>
                <w:rFonts w:hint="eastAsia"/>
                <w:u w:val="single"/>
              </w:rPr>
              <w:t>12</w:t>
            </w:r>
            <w:r>
              <w:rPr>
                <w:rFonts w:hint="eastAsia"/>
              </w:rPr>
              <w:t>分</w:t>
            </w:r>
          </w:p>
          <w:p>
            <w:pPr>
              <w:spacing w:line="360" w:lineRule="auto"/>
              <w:ind w:firstLine="315" w:firstLineChars="150"/>
              <w:jc w:val="left"/>
            </w:pPr>
            <w:r>
              <w:rPr>
                <w:rFonts w:hint="eastAsia"/>
              </w:rPr>
              <w:t>信用等级：</w:t>
            </w:r>
            <w:r>
              <w:rPr>
                <w:u w:val="single"/>
              </w:rPr>
              <w:t>3</w:t>
            </w:r>
            <w:r>
              <w:rPr>
                <w:rFonts w:hint="eastAsia"/>
              </w:rPr>
              <w:t>分</w:t>
            </w:r>
          </w:p>
          <w:p>
            <w:pPr>
              <w:spacing w:line="360" w:lineRule="auto"/>
              <w:jc w:val="left"/>
              <w:rPr>
                <w:b/>
              </w:rPr>
            </w:pPr>
            <w:r>
              <w:rPr>
                <w:rFonts w:hint="eastAsia"/>
                <w:b/>
              </w:rPr>
              <w:t>第二个信封（报价文件）评分分值构成：</w:t>
            </w:r>
          </w:p>
          <w:p>
            <w:pPr>
              <w:spacing w:line="400" w:lineRule="exact"/>
              <w:ind w:firstLine="420" w:firstLineChars="200"/>
              <w:rPr>
                <w:rFonts w:ascii="宋体" w:hAnsi="宋体" w:cs="Arial"/>
                <w:szCs w:val="21"/>
              </w:rPr>
            </w:pPr>
            <w:r>
              <w:rPr>
                <w:rFonts w:hint="eastAsia"/>
              </w:rPr>
              <w:t>评标价：</w:t>
            </w:r>
            <w:r>
              <w:rPr>
                <w:rFonts w:hint="eastAsia"/>
                <w:u w:val="single"/>
              </w:rPr>
              <w:t xml:space="preserve"> 50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7480" w:hRule="atLeast"/>
        </w:trPr>
        <w:tc>
          <w:tcPr>
            <w:tcW w:w="998" w:type="dxa"/>
            <w:vAlign w:val="center"/>
          </w:tcPr>
          <w:p>
            <w:pPr>
              <w:spacing w:line="400" w:lineRule="exact"/>
              <w:jc w:val="center"/>
              <w:rPr>
                <w:rFonts w:ascii="宋体" w:hAnsi="宋体" w:cs="Arial"/>
                <w:szCs w:val="21"/>
              </w:rPr>
            </w:pPr>
            <w:r>
              <w:rPr>
                <w:rFonts w:ascii="宋体" w:hAnsi="宋体" w:cs="Arial"/>
              </w:rPr>
              <w:t>2.2.2</w:t>
            </w:r>
          </w:p>
        </w:tc>
        <w:tc>
          <w:tcPr>
            <w:tcW w:w="1486" w:type="dxa"/>
            <w:vAlign w:val="center"/>
          </w:tcPr>
          <w:p>
            <w:pPr>
              <w:spacing w:line="400" w:lineRule="exact"/>
              <w:rPr>
                <w:rFonts w:ascii="宋体" w:hAnsi="宋体" w:cs="Arial"/>
                <w:szCs w:val="21"/>
              </w:rPr>
            </w:pPr>
            <w:r>
              <w:rPr>
                <w:rFonts w:ascii="宋体" w:hAnsi="宋体" w:cs="Arial"/>
              </w:rPr>
              <w:t>评标基准价计算方法</w:t>
            </w:r>
          </w:p>
        </w:tc>
        <w:tc>
          <w:tcPr>
            <w:tcW w:w="6796" w:type="dxa"/>
            <w:vAlign w:val="center"/>
          </w:tcPr>
          <w:p>
            <w:pPr>
              <w:tabs>
                <w:tab w:val="left" w:pos="510"/>
              </w:tabs>
              <w:spacing w:line="300" w:lineRule="auto"/>
              <w:rPr>
                <w:rFonts w:ascii="宋体" w:hAnsi="宋体" w:cs="Arial"/>
                <w:szCs w:val="21"/>
              </w:rPr>
            </w:pPr>
            <w:r>
              <w:rPr>
                <w:rFonts w:ascii="宋体" w:hAnsi="宋体" w:cs="Arial"/>
                <w:szCs w:val="21"/>
              </w:rPr>
              <w:t>评标基准价的计算：</w:t>
            </w:r>
          </w:p>
          <w:p>
            <w:pPr>
              <w:tabs>
                <w:tab w:val="left" w:pos="510"/>
              </w:tabs>
              <w:spacing w:line="300" w:lineRule="auto"/>
              <w:ind w:firstLine="420" w:firstLineChars="200"/>
              <w:rPr>
                <w:rFonts w:ascii="宋体" w:hAnsi="宋体" w:cs="Arial"/>
                <w:szCs w:val="21"/>
              </w:rPr>
            </w:pPr>
            <w:r>
              <w:rPr>
                <w:rFonts w:ascii="宋体" w:hAnsi="宋体" w:cs="Arial"/>
                <w:szCs w:val="21"/>
              </w:rPr>
              <w:t>在开标现场，招标人将当场计算并宣布评标基准价。</w:t>
            </w:r>
          </w:p>
          <w:p>
            <w:pPr>
              <w:tabs>
                <w:tab w:val="left" w:pos="510"/>
              </w:tabs>
              <w:spacing w:line="300" w:lineRule="auto"/>
              <w:rPr>
                <w:rFonts w:ascii="宋体" w:hAnsi="宋体" w:cs="Arial"/>
                <w:szCs w:val="21"/>
              </w:rPr>
            </w:pPr>
            <w:r>
              <w:rPr>
                <w:rFonts w:ascii="宋体" w:hAnsi="宋体" w:cs="Arial"/>
                <w:szCs w:val="21"/>
              </w:rPr>
              <w:t>（1）评标价的确定：</w:t>
            </w:r>
          </w:p>
          <w:p>
            <w:pPr>
              <w:tabs>
                <w:tab w:val="left" w:pos="510"/>
              </w:tabs>
              <w:spacing w:line="300" w:lineRule="auto"/>
              <w:ind w:firstLine="422" w:firstLineChars="200"/>
              <w:rPr>
                <w:rFonts w:ascii="宋体" w:hAnsi="宋体" w:cs="Arial"/>
                <w:b/>
                <w:szCs w:val="21"/>
              </w:rPr>
            </w:pPr>
            <w:r>
              <w:rPr>
                <w:rFonts w:ascii="宋体" w:hAnsi="宋体" w:cs="Arial"/>
                <w:b/>
                <w:szCs w:val="21"/>
              </w:rPr>
              <w:t>评标价＝投标函文字报价</w:t>
            </w:r>
          </w:p>
          <w:p>
            <w:pPr>
              <w:tabs>
                <w:tab w:val="left" w:pos="510"/>
              </w:tabs>
              <w:spacing w:line="300" w:lineRule="auto"/>
              <w:rPr>
                <w:rFonts w:ascii="宋体" w:hAnsi="宋体" w:cs="Arial"/>
                <w:szCs w:val="21"/>
              </w:rPr>
            </w:pPr>
            <w:r>
              <w:rPr>
                <w:rFonts w:ascii="宋体" w:hAnsi="宋体" w:cs="Arial"/>
                <w:szCs w:val="21"/>
              </w:rPr>
              <w:t>（2）评标基准价的计算：</w:t>
            </w:r>
          </w:p>
          <w:p>
            <w:pPr>
              <w:widowControl/>
              <w:ind w:firstLine="400" w:firstLineChars="200"/>
              <w:jc w:val="left"/>
            </w:pPr>
            <w:r>
              <w:rPr>
                <w:rFonts w:hint="eastAsia" w:ascii="宋体" w:hAnsi="宋体" w:cs="宋体"/>
                <w:color w:val="FF0000"/>
                <w:kern w:val="0"/>
                <w:sz w:val="20"/>
                <w:szCs w:val="20"/>
              </w:rPr>
              <w:t>评标基准价</w:t>
            </w:r>
            <w:r>
              <w:rPr>
                <w:rFonts w:ascii="宋体" w:hAnsi="宋体" w:cs="宋体"/>
                <w:color w:val="FF0000"/>
                <w:kern w:val="0"/>
                <w:sz w:val="20"/>
                <w:szCs w:val="20"/>
              </w:rPr>
              <w:t>=</w:t>
            </w:r>
            <w:r>
              <w:rPr>
                <w:rFonts w:ascii="Arial" w:hAnsi="Arial" w:cs="Arial"/>
                <w:color w:val="FF0000"/>
                <w:kern w:val="0"/>
                <w:sz w:val="20"/>
                <w:szCs w:val="20"/>
              </w:rPr>
              <w:t xml:space="preserve">β </w:t>
            </w:r>
          </w:p>
          <w:p>
            <w:pPr>
              <w:widowControl/>
              <w:ind w:firstLine="200" w:firstLineChars="100"/>
              <w:jc w:val="left"/>
            </w:pPr>
            <w:r>
              <w:rPr>
                <w:rFonts w:ascii="Arial" w:hAnsi="Arial" w:cs="Arial"/>
                <w:color w:val="000000"/>
                <w:kern w:val="0"/>
                <w:sz w:val="20"/>
                <w:szCs w:val="20"/>
              </w:rPr>
              <w:t xml:space="preserve">β </w:t>
            </w:r>
            <w:r>
              <w:rPr>
                <w:rFonts w:hint="eastAsia" w:ascii="宋体" w:hAnsi="宋体" w:cs="宋体"/>
                <w:color w:val="000000"/>
                <w:kern w:val="0"/>
                <w:sz w:val="20"/>
                <w:szCs w:val="20"/>
              </w:rPr>
              <w:t>为按以下方式计算得出的值：</w:t>
            </w:r>
            <w:r>
              <w:rPr>
                <w:rFonts w:ascii="宋体" w:hAnsi="宋体" w:cs="宋体"/>
                <w:color w:val="000000"/>
                <w:kern w:val="0"/>
                <w:sz w:val="20"/>
                <w:szCs w:val="20"/>
              </w:rPr>
              <w:t xml:space="preserve"> </w:t>
            </w:r>
          </w:p>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rPr>
              <w:t>有效投标价：除按招标文件第二章“投标人须知前附表”</w:t>
            </w:r>
            <w:r>
              <w:rPr>
                <w:rFonts w:ascii="宋体" w:hAnsi="宋体" w:cs="宋体"/>
                <w:color w:val="000000"/>
                <w:kern w:val="0"/>
                <w:sz w:val="20"/>
                <w:szCs w:val="20"/>
              </w:rPr>
              <w:t xml:space="preserve"> </w:t>
            </w:r>
            <w:r>
              <w:rPr>
                <w:rFonts w:hint="eastAsia" w:ascii="宋体" w:hAnsi="宋体" w:cs="宋体"/>
                <w:color w:val="000000"/>
                <w:kern w:val="0"/>
                <w:sz w:val="20"/>
                <w:szCs w:val="20"/>
              </w:rPr>
              <w:t>中第</w:t>
            </w:r>
            <w:r>
              <w:rPr>
                <w:rFonts w:ascii="宋体" w:hAnsi="宋体" w:cs="宋体"/>
                <w:color w:val="000000"/>
                <w:kern w:val="0"/>
                <w:sz w:val="20"/>
                <w:szCs w:val="20"/>
              </w:rPr>
              <w:t xml:space="preserve"> 5.2.2 条规定的开标现场不参与评标基准价计算</w:t>
            </w:r>
            <w:r>
              <w:rPr>
                <w:rFonts w:hint="eastAsia" w:ascii="宋体" w:hAnsi="宋体" w:cs="宋体"/>
                <w:color w:val="000000"/>
                <w:kern w:val="0"/>
                <w:sz w:val="20"/>
                <w:szCs w:val="20"/>
              </w:rPr>
              <w:t>的投标报价</w:t>
            </w:r>
            <w:r>
              <w:rPr>
                <w:rFonts w:ascii="宋体" w:hAnsi="宋体" w:cs="宋体"/>
                <w:color w:val="000000"/>
                <w:kern w:val="0"/>
                <w:sz w:val="20"/>
                <w:szCs w:val="20"/>
              </w:rPr>
              <w:t xml:space="preserve">之外的投标报价（投标函文字报价）。 </w:t>
            </w:r>
          </w:p>
          <w:p>
            <w:pPr>
              <w:widowControl/>
              <w:ind w:firstLine="400" w:firstLineChars="200"/>
              <w:jc w:val="left"/>
            </w:pPr>
            <w:r>
              <w:rPr>
                <w:rFonts w:hint="eastAsia" w:ascii="宋体" w:hAnsi="宋体" w:cs="宋体"/>
                <w:color w:val="000000"/>
                <w:kern w:val="0"/>
                <w:sz w:val="20"/>
                <w:szCs w:val="20"/>
              </w:rPr>
              <w:t>将上述有效投标报价从高到低划分为（有效投标报价个数的</w:t>
            </w:r>
            <w:r>
              <w:rPr>
                <w:rFonts w:ascii="宋体" w:hAnsi="宋体" w:cs="宋体"/>
                <w:color w:val="000000"/>
                <w:kern w:val="0"/>
                <w:sz w:val="20"/>
                <w:szCs w:val="20"/>
              </w:rPr>
              <w:t xml:space="preserve"> 1/3向上取整，如 2.3333 取整为 3）个等 </w:t>
            </w:r>
            <w:r>
              <w:rPr>
                <w:rFonts w:hint="eastAsia" w:ascii="宋体" w:hAnsi="宋体" w:cs="宋体"/>
                <w:color w:val="000000"/>
                <w:kern w:val="0"/>
                <w:sz w:val="20"/>
                <w:szCs w:val="20"/>
              </w:rPr>
              <w:t>差报价区间，对各个区间内的投标报价进行第一次算术</w:t>
            </w:r>
            <w:r>
              <w:rPr>
                <w:rFonts w:ascii="宋体" w:hAnsi="宋体" w:cs="宋体"/>
                <w:color w:val="000000"/>
                <w:kern w:val="0"/>
                <w:sz w:val="20"/>
                <w:szCs w:val="20"/>
              </w:rPr>
              <w:t xml:space="preserve"> </w:t>
            </w:r>
            <w:r>
              <w:rPr>
                <w:rFonts w:hint="eastAsia" w:ascii="宋体" w:hAnsi="宋体" w:cs="宋体"/>
                <w:color w:val="000000"/>
                <w:kern w:val="0"/>
                <w:sz w:val="20"/>
                <w:szCs w:val="20"/>
              </w:rPr>
              <w:t>平均（保留小数点后两位，小数点后第三位“四舍五</w:t>
            </w:r>
            <w:r>
              <w:rPr>
                <w:rFonts w:ascii="宋体" w:hAnsi="宋体" w:cs="宋体"/>
                <w:color w:val="000000"/>
                <w:kern w:val="0"/>
                <w:sz w:val="20"/>
                <w:szCs w:val="20"/>
              </w:rPr>
              <w:t xml:space="preserve"> </w:t>
            </w:r>
            <w:r>
              <w:rPr>
                <w:rFonts w:hint="eastAsia" w:ascii="宋体" w:hAnsi="宋体" w:cs="宋体"/>
                <w:color w:val="000000"/>
                <w:kern w:val="0"/>
                <w:sz w:val="20"/>
                <w:szCs w:val="20"/>
              </w:rPr>
              <w:t>入”，当投标人的投标报价等于区间临界值时，列入较</w:t>
            </w:r>
            <w:r>
              <w:rPr>
                <w:rFonts w:ascii="宋体" w:hAnsi="宋体" w:cs="宋体"/>
                <w:color w:val="000000"/>
                <w:kern w:val="0"/>
                <w:sz w:val="20"/>
                <w:szCs w:val="20"/>
              </w:rPr>
              <w:t xml:space="preserve"> </w:t>
            </w:r>
            <w:r>
              <w:rPr>
                <w:rFonts w:hint="eastAsia" w:ascii="宋体" w:hAnsi="宋体" w:cs="宋体"/>
                <w:color w:val="000000"/>
                <w:kern w:val="0"/>
                <w:sz w:val="20"/>
                <w:szCs w:val="20"/>
              </w:rPr>
              <w:t>低</w:t>
            </w:r>
            <w:r>
              <w:rPr>
                <w:rFonts w:ascii="宋体" w:hAnsi="宋体" w:cs="宋体"/>
                <w:color w:val="000000"/>
                <w:kern w:val="0"/>
                <w:sz w:val="20"/>
                <w:szCs w:val="20"/>
              </w:rPr>
              <w:t xml:space="preserve"> 一个区间计算平均值，最低投标报价列入较高一个区 </w:t>
            </w:r>
            <w:r>
              <w:rPr>
                <w:rFonts w:hint="eastAsia" w:ascii="宋体" w:hAnsi="宋体" w:cs="宋体"/>
                <w:color w:val="000000"/>
                <w:kern w:val="0"/>
                <w:sz w:val="20"/>
                <w:szCs w:val="20"/>
              </w:rPr>
              <w:t>间计算平均值），</w:t>
            </w:r>
            <w:r>
              <w:rPr>
                <w:rFonts w:ascii="宋体" w:hAnsi="宋体" w:cs="宋体"/>
                <w:color w:val="000000"/>
                <w:kern w:val="0"/>
                <w:sz w:val="20"/>
                <w:szCs w:val="20"/>
              </w:rPr>
              <w:t xml:space="preserve"> 然后再对各区间的第一次算术平均值 </w:t>
            </w:r>
            <w:r>
              <w:rPr>
                <w:rFonts w:hint="eastAsia" w:ascii="宋体" w:hAnsi="宋体" w:cs="宋体"/>
                <w:color w:val="000000"/>
                <w:kern w:val="0"/>
                <w:sz w:val="20"/>
                <w:szCs w:val="20"/>
              </w:rPr>
              <w:t>进行第二次平均，所得出的平均值即为</w:t>
            </w:r>
            <w:r>
              <w:rPr>
                <w:rFonts w:ascii="宋体" w:hAnsi="宋体" w:cs="宋体"/>
                <w:color w:val="000000"/>
                <w:kern w:val="0"/>
                <w:sz w:val="20"/>
                <w:szCs w:val="20"/>
              </w:rPr>
              <w:t xml:space="preserve"> </w:t>
            </w:r>
            <w:r>
              <w:rPr>
                <w:rFonts w:ascii="Arial" w:hAnsi="Arial" w:cs="Arial"/>
                <w:color w:val="000000"/>
                <w:kern w:val="0"/>
                <w:sz w:val="20"/>
                <w:szCs w:val="20"/>
              </w:rPr>
              <w:t xml:space="preserve">β </w:t>
            </w:r>
            <w:r>
              <w:rPr>
                <w:rFonts w:hint="eastAsia" w:ascii="宋体" w:hAnsi="宋体" w:cs="宋体"/>
                <w:color w:val="000000"/>
                <w:kern w:val="0"/>
                <w:sz w:val="20"/>
                <w:szCs w:val="20"/>
              </w:rPr>
              <w:t>值（若某区</w:t>
            </w:r>
            <w:r>
              <w:rPr>
                <w:rFonts w:ascii="宋体" w:hAnsi="宋体" w:cs="宋体"/>
                <w:color w:val="000000"/>
                <w:kern w:val="0"/>
                <w:sz w:val="20"/>
                <w:szCs w:val="20"/>
              </w:rPr>
              <w:t xml:space="preserve"> </w:t>
            </w:r>
            <w:r>
              <w:rPr>
                <w:rFonts w:hint="eastAsia" w:ascii="宋体" w:hAnsi="宋体" w:cs="宋体"/>
                <w:color w:val="000000"/>
                <w:kern w:val="0"/>
                <w:sz w:val="20"/>
                <w:szCs w:val="20"/>
              </w:rPr>
              <w:t>间没有对应投标人的报价，则进行第二次算术平均时扣除相应区间的个数）。</w:t>
            </w:r>
            <w:r>
              <w:rPr>
                <w:rFonts w:ascii="宋体" w:hAnsi="宋体" w:cs="宋体"/>
                <w:color w:val="000000"/>
                <w:kern w:val="0"/>
                <w:sz w:val="20"/>
                <w:szCs w:val="20"/>
              </w:rPr>
              <w:t xml:space="preserve"> </w:t>
            </w:r>
          </w:p>
          <w:p>
            <w:pPr>
              <w:widowControl/>
              <w:ind w:firstLine="400" w:firstLineChars="200"/>
              <w:jc w:val="left"/>
              <w:rPr>
                <w:rFonts w:ascii="宋体" w:hAnsi="宋体" w:cs="Arial"/>
                <w:strike/>
                <w:kern w:val="0"/>
                <w:szCs w:val="21"/>
              </w:rPr>
            </w:pPr>
            <w:r>
              <w:rPr>
                <w:rFonts w:hint="eastAsia" w:ascii="宋体" w:hAnsi="宋体" w:cs="宋体"/>
                <w:color w:val="000000"/>
                <w:kern w:val="0"/>
                <w:sz w:val="20"/>
                <w:szCs w:val="20"/>
              </w:rPr>
              <w:t>在评标过程中，评标委员会应对招标人计算的评标基</w:t>
            </w:r>
            <w:r>
              <w:rPr>
                <w:rFonts w:ascii="宋体" w:hAnsi="宋体" w:cs="宋体"/>
                <w:color w:val="000000"/>
                <w:kern w:val="0"/>
                <w:sz w:val="20"/>
                <w:szCs w:val="20"/>
              </w:rPr>
              <w:t xml:space="preserve"> </w:t>
            </w:r>
            <w:r>
              <w:rPr>
                <w:rFonts w:hint="eastAsia" w:ascii="宋体" w:hAnsi="宋体" w:cs="宋体"/>
                <w:color w:val="000000"/>
                <w:kern w:val="0"/>
                <w:sz w:val="20"/>
                <w:szCs w:val="20"/>
              </w:rPr>
              <w:t>准价进行复核，存在计算错误的应予以修正并在评标报</w:t>
            </w:r>
            <w:r>
              <w:rPr>
                <w:rFonts w:ascii="宋体" w:hAnsi="宋体" w:cs="宋体"/>
                <w:color w:val="000000"/>
                <w:kern w:val="0"/>
                <w:sz w:val="20"/>
                <w:szCs w:val="20"/>
              </w:rPr>
              <w:t xml:space="preserve"> </w:t>
            </w:r>
            <w:r>
              <w:rPr>
                <w:rFonts w:hint="eastAsia" w:ascii="宋体" w:hAnsi="宋体" w:cs="宋体"/>
                <w:color w:val="000000"/>
                <w:kern w:val="0"/>
                <w:sz w:val="20"/>
                <w:szCs w:val="20"/>
              </w:rPr>
              <w:t>告中作出说明。除此之外，评标基准价在整个评标期间</w:t>
            </w:r>
            <w:r>
              <w:rPr>
                <w:rFonts w:ascii="宋体" w:hAnsi="宋体" w:cs="宋体"/>
                <w:color w:val="000000"/>
                <w:kern w:val="0"/>
                <w:sz w:val="20"/>
                <w:szCs w:val="20"/>
              </w:rPr>
              <w:t xml:space="preserve"> </w:t>
            </w:r>
            <w:r>
              <w:rPr>
                <w:rFonts w:hint="eastAsia" w:ascii="宋体" w:hAnsi="宋体" w:cs="宋体"/>
                <w:color w:val="000000"/>
                <w:kern w:val="0"/>
                <w:sz w:val="20"/>
                <w:szCs w:val="20"/>
              </w:rPr>
              <w:t>保持不变，不随任何因素发生变化</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1291" w:hRule="atLeast"/>
        </w:trPr>
        <w:tc>
          <w:tcPr>
            <w:tcW w:w="998" w:type="dxa"/>
            <w:vAlign w:val="center"/>
          </w:tcPr>
          <w:p>
            <w:pPr>
              <w:spacing w:line="400" w:lineRule="exact"/>
              <w:jc w:val="center"/>
              <w:rPr>
                <w:rFonts w:ascii="宋体" w:hAnsi="宋体" w:cs="Arial"/>
              </w:rPr>
            </w:pPr>
            <w:r>
              <w:rPr>
                <w:rFonts w:ascii="宋体" w:hAnsi="宋体" w:cs="Arial"/>
              </w:rPr>
              <w:t>2.2.3</w:t>
            </w:r>
          </w:p>
        </w:tc>
        <w:tc>
          <w:tcPr>
            <w:tcW w:w="1486" w:type="dxa"/>
            <w:vAlign w:val="center"/>
          </w:tcPr>
          <w:p>
            <w:pPr>
              <w:rPr>
                <w:rFonts w:ascii="宋体" w:hAnsi="宋体" w:cs="Arial"/>
              </w:rPr>
            </w:pPr>
            <w:r>
              <w:rPr>
                <w:rFonts w:ascii="宋体" w:hAnsi="宋体" w:cs="Arial"/>
              </w:rPr>
              <w:t>评标价的偏差率计算公式</w:t>
            </w:r>
          </w:p>
        </w:tc>
        <w:tc>
          <w:tcPr>
            <w:tcW w:w="6796" w:type="dxa"/>
            <w:vAlign w:val="center"/>
          </w:tcPr>
          <w:p>
            <w:pPr>
              <w:spacing w:line="400" w:lineRule="exact"/>
              <w:rPr>
                <w:rFonts w:ascii="宋体" w:hAnsi="宋体" w:cs="Arial"/>
              </w:rPr>
            </w:pPr>
            <w:r>
              <w:rPr>
                <w:rFonts w:ascii="宋体" w:hAnsi="宋体" w:cs="Arial"/>
              </w:rPr>
              <w:t>偏差率=100%×（投标人评标价-评标基准价）/评标基准价</w:t>
            </w:r>
          </w:p>
          <w:p>
            <w:pPr>
              <w:spacing w:line="400" w:lineRule="exact"/>
              <w:rPr>
                <w:rFonts w:ascii="宋体" w:hAnsi="宋体"/>
                <w:szCs w:val="21"/>
              </w:rPr>
            </w:pPr>
            <w:r>
              <w:rPr>
                <w:rFonts w:ascii="宋体" w:hAnsi="宋体" w:cs="Arial"/>
              </w:rPr>
              <w:t>偏差率保留</w:t>
            </w:r>
            <w:r>
              <w:rPr>
                <w:rFonts w:ascii="宋体" w:hAnsi="宋体" w:cs="Arial"/>
                <w:u w:val="single"/>
              </w:rPr>
              <w:t xml:space="preserve"> 2 </w:t>
            </w:r>
            <w:r>
              <w:rPr>
                <w:rFonts w:ascii="宋体" w:hAnsi="宋体" w:cs="Arial"/>
              </w:rPr>
              <w:t xml:space="preserve">位小数  </w:t>
            </w:r>
          </w:p>
        </w:tc>
      </w:tr>
    </w:tbl>
    <w:p>
      <w:pPr>
        <w:rPr>
          <w:rFonts w:ascii="宋体" w:hAnsi="宋体" w:cs="Arial"/>
        </w:rPr>
      </w:pPr>
    </w:p>
    <w:tbl>
      <w:tblPr>
        <w:tblStyle w:val="9"/>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39" w:type="dxa"/>
          <w:left w:w="74" w:type="dxa"/>
          <w:bottom w:w="29" w:type="dxa"/>
          <w:right w:w="74" w:type="dxa"/>
        </w:tblCellMar>
      </w:tblPr>
      <w:tblGrid>
        <w:gridCol w:w="998"/>
        <w:gridCol w:w="1486"/>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
                <w:bCs/>
                <w:szCs w:val="21"/>
              </w:rPr>
            </w:pPr>
            <w:r>
              <w:rPr>
                <w:rFonts w:ascii="宋体" w:hAnsi="宋体"/>
                <w:b/>
                <w:bCs/>
                <w:szCs w:val="21"/>
              </w:rPr>
              <w:t>条款号</w:t>
            </w:r>
          </w:p>
        </w:tc>
        <w:tc>
          <w:tcPr>
            <w:tcW w:w="1486" w:type="dxa"/>
            <w:vAlign w:val="center"/>
          </w:tcPr>
          <w:p>
            <w:pPr>
              <w:snapToGrid w:val="0"/>
              <w:jc w:val="center"/>
              <w:rPr>
                <w:rFonts w:ascii="宋体" w:hAnsi="宋体"/>
                <w:b/>
                <w:bCs/>
                <w:szCs w:val="21"/>
              </w:rPr>
            </w:pPr>
            <w:r>
              <w:rPr>
                <w:rFonts w:ascii="宋体" w:hAnsi="宋体"/>
                <w:b/>
                <w:bCs/>
                <w:szCs w:val="21"/>
              </w:rPr>
              <w:t>评分因素</w:t>
            </w:r>
          </w:p>
        </w:tc>
        <w:tc>
          <w:tcPr>
            <w:tcW w:w="6796" w:type="dxa"/>
            <w:vAlign w:val="center"/>
          </w:tcPr>
          <w:p>
            <w:pPr>
              <w:snapToGrid w:val="0"/>
              <w:jc w:val="center"/>
              <w:rPr>
                <w:rFonts w:ascii="宋体" w:hAnsi="宋体"/>
                <w:b/>
                <w:bCs/>
                <w:szCs w:val="21"/>
              </w:rPr>
            </w:pPr>
            <w:r>
              <w:rPr>
                <w:rFonts w:ascii="宋体" w:hAnsi="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restart"/>
            <w:vAlign w:val="center"/>
          </w:tcPr>
          <w:p>
            <w:pPr>
              <w:snapToGrid w:val="0"/>
              <w:jc w:val="center"/>
              <w:rPr>
                <w:rFonts w:ascii="宋体" w:hAnsi="宋体"/>
                <w:bCs/>
                <w:szCs w:val="21"/>
              </w:rPr>
            </w:pPr>
            <w:r>
              <w:rPr>
                <w:rFonts w:hint="eastAsia" w:ascii="宋体" w:hAnsi="宋体"/>
                <w:bCs/>
                <w:szCs w:val="21"/>
              </w:rPr>
              <w:t>2.2.4（1）</w:t>
            </w:r>
          </w:p>
          <w:p>
            <w:pPr>
              <w:snapToGrid w:val="0"/>
              <w:jc w:val="center"/>
              <w:rPr>
                <w:rFonts w:ascii="宋体" w:hAnsi="宋体"/>
                <w:bCs/>
                <w:szCs w:val="21"/>
              </w:rPr>
            </w:pPr>
            <w:r>
              <w:rPr>
                <w:rFonts w:hint="eastAsia"/>
              </w:rPr>
              <w:t>施工组织设计（20分）</w:t>
            </w:r>
          </w:p>
        </w:tc>
        <w:tc>
          <w:tcPr>
            <w:tcW w:w="6796" w:type="dxa"/>
            <w:vAlign w:val="center"/>
          </w:tcPr>
          <w:p>
            <w:pPr>
              <w:spacing w:line="230" w:lineRule="exact"/>
              <w:ind w:left="120"/>
              <w:rPr>
                <w:rFonts w:ascii="宋体" w:hAnsi="宋体"/>
                <w:szCs w:val="21"/>
              </w:rPr>
            </w:pPr>
            <w:r>
              <w:rPr>
                <w:rFonts w:ascii="宋体" w:hAnsi="宋体"/>
                <w:szCs w:val="21"/>
              </w:rPr>
              <w:t xml:space="preserve">a. </w:t>
            </w:r>
            <w:r>
              <w:rPr>
                <w:rFonts w:hAnsi="宋体"/>
                <w:szCs w:val="21"/>
              </w:rPr>
              <w:t>对招标项目的理解和总体</w:t>
            </w:r>
            <w:r>
              <w:rPr>
                <w:rFonts w:hint="eastAsia" w:hAnsi="宋体"/>
                <w:szCs w:val="21"/>
              </w:rPr>
              <w:t>服务</w:t>
            </w:r>
            <w:r>
              <w:rPr>
                <w:rFonts w:hAnsi="宋体"/>
                <w:szCs w:val="21"/>
              </w:rPr>
              <w:t>思路</w:t>
            </w:r>
            <w:r>
              <w:rPr>
                <w:rFonts w:hint="eastAsia" w:hAnsi="宋体"/>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rPr>
                <w:rFonts w:ascii="宋体" w:hAnsi="宋体"/>
                <w:bCs/>
                <w:szCs w:val="21"/>
              </w:rPr>
            </w:pPr>
          </w:p>
        </w:tc>
        <w:tc>
          <w:tcPr>
            <w:tcW w:w="6796" w:type="dxa"/>
            <w:vAlign w:val="center"/>
          </w:tcPr>
          <w:p>
            <w:pPr>
              <w:spacing w:line="230" w:lineRule="exact"/>
              <w:ind w:left="120"/>
              <w:rPr>
                <w:rFonts w:ascii="宋体" w:hAnsi="宋体"/>
                <w:szCs w:val="21"/>
              </w:rPr>
            </w:pPr>
            <w:r>
              <w:rPr>
                <w:rFonts w:ascii="宋体" w:hAnsi="宋体"/>
                <w:szCs w:val="21"/>
              </w:rPr>
              <w:t xml:space="preserve">b. </w:t>
            </w:r>
            <w:r>
              <w:rPr>
                <w:rFonts w:hAnsi="宋体"/>
                <w:szCs w:val="21"/>
              </w:rPr>
              <w:t>招标项目的特点</w:t>
            </w:r>
            <w:r>
              <w:rPr>
                <w:rFonts w:hint="eastAsia" w:hAnsi="宋体"/>
                <w:szCs w:val="21"/>
              </w:rPr>
              <w:t>、关键技术问题</w:t>
            </w:r>
            <w:r>
              <w:rPr>
                <w:rFonts w:hAnsi="宋体"/>
                <w:szCs w:val="21"/>
              </w:rPr>
              <w:t>的认识及其对策措施</w:t>
            </w:r>
            <w:r>
              <w:rPr>
                <w:rFonts w:hint="eastAsia" w:hAnsi="宋体"/>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rPr>
                <w:rFonts w:ascii="宋体" w:hAnsi="宋体"/>
                <w:bCs/>
                <w:szCs w:val="21"/>
              </w:rPr>
            </w:pPr>
          </w:p>
        </w:tc>
        <w:tc>
          <w:tcPr>
            <w:tcW w:w="6796" w:type="dxa"/>
            <w:vAlign w:val="center"/>
          </w:tcPr>
          <w:p>
            <w:pPr>
              <w:spacing w:line="230" w:lineRule="exact"/>
              <w:ind w:left="120"/>
              <w:rPr>
                <w:rFonts w:ascii="宋体" w:hAnsi="宋体"/>
                <w:szCs w:val="21"/>
              </w:rPr>
            </w:pPr>
            <w:r>
              <w:rPr>
                <w:rFonts w:ascii="宋体" w:hAnsi="宋体"/>
                <w:szCs w:val="21"/>
              </w:rPr>
              <w:t xml:space="preserve">c. </w:t>
            </w:r>
            <w:r>
              <w:rPr>
                <w:rFonts w:hint="eastAsia" w:hAnsi="宋体"/>
                <w:szCs w:val="21"/>
              </w:rPr>
              <w:t>维护服务工作量及计划安排（6分）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rPr>
                <w:rFonts w:ascii="宋体" w:hAnsi="宋体"/>
                <w:bCs/>
                <w:szCs w:val="21"/>
              </w:rPr>
            </w:pPr>
          </w:p>
        </w:tc>
        <w:tc>
          <w:tcPr>
            <w:tcW w:w="6796" w:type="dxa"/>
            <w:vAlign w:val="center"/>
          </w:tcPr>
          <w:p>
            <w:pPr>
              <w:spacing w:line="230" w:lineRule="exact"/>
              <w:ind w:left="120"/>
              <w:rPr>
                <w:rFonts w:ascii="宋体" w:hAnsi="宋体"/>
                <w:szCs w:val="21"/>
              </w:rPr>
            </w:pPr>
            <w:r>
              <w:rPr>
                <w:rFonts w:ascii="宋体" w:hAnsi="宋体"/>
                <w:szCs w:val="21"/>
              </w:rPr>
              <w:t xml:space="preserve">d. </w:t>
            </w:r>
            <w:r>
              <w:rPr>
                <w:rFonts w:hint="eastAsia" w:hAnsi="宋体"/>
                <w:szCs w:val="21"/>
              </w:rPr>
              <w:t>维护服务的质量保证措施、交通</w:t>
            </w:r>
            <w:r>
              <w:rPr>
                <w:rFonts w:hAnsi="宋体"/>
                <w:szCs w:val="21"/>
              </w:rPr>
              <w:t>组织及</w:t>
            </w:r>
            <w:r>
              <w:rPr>
                <w:rFonts w:hint="eastAsia" w:hAnsi="宋体"/>
                <w:szCs w:val="21"/>
              </w:rPr>
              <w:t>安全保证措</w:t>
            </w:r>
            <w:r>
              <w:rPr>
                <w:rFonts w:hAnsi="宋体"/>
                <w:szCs w:val="21"/>
              </w:rPr>
              <w:t>施</w:t>
            </w:r>
            <w:r>
              <w:rPr>
                <w:rFonts w:hint="eastAsia" w:hAnsi="宋体"/>
                <w:szCs w:val="21"/>
              </w:rPr>
              <w:t>，进度保证措施（8分）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Merge w:val="continue"/>
            <w:vAlign w:val="center"/>
          </w:tcPr>
          <w:p>
            <w:pPr>
              <w:snapToGrid w:val="0"/>
              <w:jc w:val="center"/>
            </w:pPr>
          </w:p>
        </w:tc>
        <w:tc>
          <w:tcPr>
            <w:tcW w:w="6796" w:type="dxa"/>
            <w:vAlign w:val="center"/>
          </w:tcPr>
          <w:p>
            <w:pPr>
              <w:widowControl/>
              <w:jc w:val="left"/>
            </w:pPr>
            <w:r>
              <w:rPr>
                <w:rFonts w:hint="eastAsia" w:ascii="宋体" w:hAnsi="宋体" w:cs="宋体"/>
                <w:color w:val="000000"/>
                <w:kern w:val="0"/>
                <w:sz w:val="20"/>
                <w:szCs w:val="20"/>
              </w:rPr>
              <w:t>均按</w:t>
            </w:r>
            <w:r>
              <w:rPr>
                <w:rFonts w:ascii="宋体" w:hAnsi="宋体" w:cs="宋体"/>
                <w:color w:val="000000"/>
                <w:kern w:val="0"/>
                <w:sz w:val="20"/>
                <w:szCs w:val="20"/>
              </w:rPr>
              <w:t xml:space="preserve"> 4 个等级评定：“很好”计 90%～100%，“较好”计 80～90%，“一 </w:t>
            </w:r>
          </w:p>
          <w:p>
            <w:pPr>
              <w:widowControl/>
              <w:jc w:val="left"/>
            </w:pPr>
            <w:r>
              <w:rPr>
                <w:rFonts w:hint="eastAsia" w:ascii="宋体" w:hAnsi="宋体" w:cs="宋体"/>
                <w:color w:val="000000"/>
                <w:kern w:val="0"/>
                <w:sz w:val="20"/>
                <w:szCs w:val="20"/>
              </w:rPr>
              <w:t>般”计</w:t>
            </w:r>
            <w:r>
              <w:rPr>
                <w:rFonts w:ascii="宋体" w:hAnsi="宋体" w:cs="宋体"/>
                <w:color w:val="000000"/>
                <w:kern w:val="0"/>
                <w:sz w:val="20"/>
                <w:szCs w:val="20"/>
              </w:rPr>
              <w:t xml:space="preserve"> 70%～80%，“较差但可行”计 60%～70%，评标委员会成员对各项因素 </w:t>
            </w:r>
            <w:r>
              <w:rPr>
                <w:rFonts w:hint="eastAsia" w:ascii="宋体" w:hAnsi="宋体" w:cs="宋体"/>
                <w:color w:val="000000"/>
                <w:kern w:val="0"/>
                <w:sz w:val="20"/>
                <w:szCs w:val="20"/>
              </w:rPr>
              <w:t>的评分一般不得低于招标文件规定该</w:t>
            </w:r>
            <w:r>
              <w:rPr>
                <w:rFonts w:ascii="宋体" w:hAnsi="宋体" w:cs="宋体"/>
                <w:color w:val="000000"/>
                <w:kern w:val="0"/>
                <w:sz w:val="20"/>
                <w:szCs w:val="20"/>
              </w:rPr>
              <w:t xml:space="preserve"> </w:t>
            </w:r>
            <w:r>
              <w:rPr>
                <w:rFonts w:hint="eastAsia" w:ascii="宋体" w:hAnsi="宋体" w:cs="宋体"/>
                <w:color w:val="000000"/>
                <w:kern w:val="0"/>
                <w:sz w:val="20"/>
                <w:szCs w:val="20"/>
              </w:rPr>
              <w:t>因素满分值的</w:t>
            </w:r>
            <w:r>
              <w:rPr>
                <w:rFonts w:ascii="宋体" w:hAnsi="宋体" w:cs="宋体"/>
                <w:color w:val="000000"/>
                <w:kern w:val="0"/>
                <w:sz w:val="20"/>
                <w:szCs w:val="20"/>
              </w:rPr>
              <w:t xml:space="preserve"> 60%，低于满分值 60%的， </w:t>
            </w:r>
            <w:r>
              <w:rPr>
                <w:rFonts w:hint="eastAsia" w:ascii="宋体" w:hAnsi="宋体" w:cs="宋体"/>
                <w:color w:val="000000"/>
                <w:kern w:val="0"/>
                <w:sz w:val="20"/>
                <w:szCs w:val="20"/>
              </w:rPr>
              <w:t>评标委员会成员应当在评标报告中作</w:t>
            </w:r>
            <w:r>
              <w:rPr>
                <w:rFonts w:ascii="宋体" w:hAnsi="宋体" w:cs="宋体"/>
                <w:color w:val="000000"/>
                <w:kern w:val="0"/>
                <w:sz w:val="20"/>
                <w:szCs w:val="20"/>
              </w:rPr>
              <w:t xml:space="preserve"> </w:t>
            </w:r>
            <w:r>
              <w:rPr>
                <w:rFonts w:hint="eastAsia" w:ascii="宋体" w:hAnsi="宋体" w:cs="宋体"/>
                <w:color w:val="000000"/>
                <w:kern w:val="0"/>
                <w:sz w:val="20"/>
                <w:szCs w:val="20"/>
              </w:rPr>
              <w:t>出说明。评标委员会对此将作为细微偏</w:t>
            </w:r>
            <w:r>
              <w:rPr>
                <w:rFonts w:ascii="宋体" w:hAnsi="宋体" w:cs="宋体"/>
                <w:color w:val="000000"/>
                <w:kern w:val="0"/>
                <w:sz w:val="20"/>
                <w:szCs w:val="20"/>
              </w:rPr>
              <w:t xml:space="preserve"> </w:t>
            </w:r>
            <w:r>
              <w:rPr>
                <w:rFonts w:hint="eastAsia" w:ascii="宋体" w:hAnsi="宋体" w:cs="宋体"/>
                <w:color w:val="000000"/>
                <w:kern w:val="0"/>
                <w:sz w:val="20"/>
                <w:szCs w:val="20"/>
              </w:rPr>
              <w:t>差对投标人技术建议书予以适当扣分。</w:t>
            </w:r>
            <w:r>
              <w:rPr>
                <w:rFonts w:ascii="宋体" w:hAnsi="宋体" w:cs="宋体"/>
                <w:color w:val="000000"/>
                <w:kern w:val="0"/>
                <w:sz w:val="20"/>
                <w:szCs w:val="20"/>
              </w:rPr>
              <w:t xml:space="preserve"> </w:t>
            </w:r>
            <w:r>
              <w:rPr>
                <w:rFonts w:hint="eastAsia" w:ascii="宋体" w:hAnsi="宋体" w:cs="宋体"/>
                <w:color w:val="000000"/>
                <w:kern w:val="0"/>
                <w:sz w:val="20"/>
                <w:szCs w:val="20"/>
              </w:rPr>
              <w:t>本项目由评标委员会按照上述规定，独立</w:t>
            </w:r>
            <w:r>
              <w:rPr>
                <w:rFonts w:ascii="宋体" w:hAnsi="宋体" w:cs="宋体"/>
                <w:color w:val="000000"/>
                <w:kern w:val="0"/>
                <w:sz w:val="20"/>
                <w:szCs w:val="20"/>
              </w:rPr>
              <w:t xml:space="preserve"> </w:t>
            </w:r>
            <w:r>
              <w:rPr>
                <w:rFonts w:hint="eastAsia" w:ascii="宋体" w:hAnsi="宋体" w:cs="宋体"/>
                <w:color w:val="000000"/>
                <w:kern w:val="0"/>
                <w:sz w:val="20"/>
                <w:szCs w:val="20"/>
              </w:rPr>
              <w:t>评分并签名，各项目以专家打分的平均值</w:t>
            </w:r>
            <w:r>
              <w:rPr>
                <w:rFonts w:ascii="宋体" w:hAnsi="宋体" w:cs="宋体"/>
                <w:color w:val="000000"/>
                <w:kern w:val="0"/>
                <w:sz w:val="20"/>
                <w:szCs w:val="20"/>
              </w:rPr>
              <w:t xml:space="preserve"> </w:t>
            </w:r>
            <w:r>
              <w:rPr>
                <w:rFonts w:hint="eastAsia" w:ascii="宋体" w:hAnsi="宋体" w:cs="宋体"/>
                <w:color w:val="000000"/>
                <w:kern w:val="0"/>
                <w:sz w:val="20"/>
                <w:szCs w:val="20"/>
              </w:rPr>
              <w:t>确定（当评标委员会成员为</w:t>
            </w:r>
            <w:r>
              <w:rPr>
                <w:rFonts w:ascii="宋体" w:hAnsi="宋体" w:cs="宋体"/>
                <w:color w:val="000000"/>
                <w:kern w:val="0"/>
                <w:sz w:val="20"/>
                <w:szCs w:val="20"/>
              </w:rPr>
              <w:t xml:space="preserve"> </w:t>
            </w:r>
            <w:r>
              <w:rPr>
                <w:color w:val="000000"/>
                <w:kern w:val="0"/>
                <w:sz w:val="20"/>
                <w:szCs w:val="20"/>
              </w:rPr>
              <w:t xml:space="preserve">5 </w:t>
            </w:r>
            <w:r>
              <w:rPr>
                <w:rFonts w:hint="eastAsia" w:ascii="宋体" w:hAnsi="宋体" w:cs="宋体"/>
                <w:color w:val="000000"/>
                <w:kern w:val="0"/>
                <w:sz w:val="20"/>
                <w:szCs w:val="20"/>
              </w:rPr>
              <w:t>人时该平</w:t>
            </w:r>
            <w:r>
              <w:rPr>
                <w:rFonts w:ascii="宋体" w:hAnsi="宋体" w:cs="宋体"/>
                <w:color w:val="000000"/>
                <w:kern w:val="0"/>
                <w:sz w:val="20"/>
                <w:szCs w:val="20"/>
              </w:rPr>
              <w:t xml:space="preserve"> </w:t>
            </w:r>
            <w:r>
              <w:rPr>
                <w:rFonts w:hint="eastAsia" w:ascii="宋体" w:hAnsi="宋体" w:cs="宋体"/>
                <w:color w:val="000000"/>
                <w:kern w:val="0"/>
                <w:sz w:val="20"/>
                <w:szCs w:val="20"/>
              </w:rPr>
              <w:t>均值以各成员打分的算术平均值确定；</w:t>
            </w:r>
            <w:r>
              <w:rPr>
                <w:rFonts w:ascii="宋体" w:hAnsi="宋体" w:cs="宋体"/>
                <w:color w:val="000000"/>
                <w:kern w:val="0"/>
                <w:sz w:val="20"/>
                <w:szCs w:val="20"/>
              </w:rPr>
              <w:t xml:space="preserve"> </w:t>
            </w:r>
            <w:r>
              <w:rPr>
                <w:rFonts w:hint="eastAsia" w:ascii="宋体" w:hAnsi="宋体" w:cs="宋体"/>
                <w:color w:val="000000"/>
                <w:kern w:val="0"/>
                <w:sz w:val="20"/>
                <w:szCs w:val="20"/>
              </w:rPr>
              <w:t>当评标委员会成员为</w:t>
            </w:r>
            <w:r>
              <w:rPr>
                <w:rFonts w:ascii="宋体" w:hAnsi="宋体" w:cs="宋体"/>
                <w:color w:val="000000"/>
                <w:kern w:val="0"/>
                <w:sz w:val="20"/>
                <w:szCs w:val="20"/>
              </w:rPr>
              <w:t xml:space="preserve"> </w:t>
            </w:r>
            <w:r>
              <w:rPr>
                <w:color w:val="000000"/>
                <w:kern w:val="0"/>
                <w:sz w:val="20"/>
                <w:szCs w:val="20"/>
              </w:rPr>
              <w:t xml:space="preserve">7 </w:t>
            </w:r>
            <w:r>
              <w:rPr>
                <w:rFonts w:hint="eastAsia" w:ascii="宋体" w:hAnsi="宋体" w:cs="宋体"/>
                <w:color w:val="000000"/>
                <w:kern w:val="0"/>
                <w:sz w:val="20"/>
                <w:szCs w:val="20"/>
              </w:rPr>
              <w:t>人及以上时，该</w:t>
            </w:r>
            <w:r>
              <w:rPr>
                <w:rFonts w:ascii="宋体" w:hAnsi="宋体" w:cs="宋体"/>
                <w:color w:val="000000"/>
                <w:kern w:val="0"/>
                <w:sz w:val="20"/>
                <w:szCs w:val="20"/>
              </w:rPr>
              <w:t xml:space="preserve"> </w:t>
            </w:r>
            <w:r>
              <w:rPr>
                <w:rFonts w:hint="eastAsia" w:ascii="宋体" w:hAnsi="宋体" w:cs="宋体"/>
                <w:color w:val="000000"/>
                <w:kern w:val="0"/>
                <w:sz w:val="20"/>
                <w:szCs w:val="20"/>
              </w:rPr>
              <w:t>平均值以去掉一个最高分和一个最低</w:t>
            </w:r>
            <w:r>
              <w:rPr>
                <w:rFonts w:ascii="宋体" w:hAnsi="宋体" w:cs="宋体"/>
                <w:color w:val="000000"/>
                <w:kern w:val="0"/>
                <w:sz w:val="20"/>
                <w:szCs w:val="20"/>
              </w:rPr>
              <w:t xml:space="preserve"> </w:t>
            </w:r>
            <w:r>
              <w:rPr>
                <w:rFonts w:hint="eastAsia" w:ascii="宋体" w:hAnsi="宋体" w:cs="宋体"/>
                <w:color w:val="000000"/>
                <w:kern w:val="0"/>
                <w:sz w:val="20"/>
                <w:szCs w:val="20"/>
              </w:rPr>
              <w:t>分后的平均值计算）。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Cs/>
                <w:szCs w:val="21"/>
              </w:rPr>
            </w:pPr>
            <w:r>
              <w:rPr>
                <w:rFonts w:hint="eastAsia" w:ascii="宋体" w:hAnsi="宋体"/>
                <w:bCs/>
                <w:szCs w:val="21"/>
              </w:rPr>
              <w:t>2.2.4（2）</w:t>
            </w:r>
          </w:p>
        </w:tc>
        <w:tc>
          <w:tcPr>
            <w:tcW w:w="1486" w:type="dxa"/>
            <w:vAlign w:val="center"/>
          </w:tcPr>
          <w:p>
            <w:pPr>
              <w:snapToGrid w:val="0"/>
              <w:jc w:val="center"/>
              <w:rPr>
                <w:rFonts w:ascii="宋体" w:hAnsi="宋体"/>
                <w:bCs/>
                <w:szCs w:val="21"/>
              </w:rPr>
            </w:pPr>
            <w:r>
              <w:rPr>
                <w:rFonts w:hint="eastAsia"/>
              </w:rPr>
              <w:t>主要人员（15分）</w:t>
            </w:r>
          </w:p>
        </w:tc>
        <w:tc>
          <w:tcPr>
            <w:tcW w:w="6796" w:type="dxa"/>
            <w:vAlign w:val="center"/>
          </w:tcPr>
          <w:p>
            <w:pPr>
              <w:widowControl/>
              <w:ind w:firstLine="420" w:firstLineChars="200"/>
              <w:jc w:val="left"/>
              <w:rPr>
                <w:rFonts w:ascii="宋体" w:hAnsi="宋体" w:cs="宋体"/>
                <w:color w:val="000000"/>
                <w:kern w:val="0"/>
                <w:szCs w:val="21"/>
              </w:rPr>
            </w:pPr>
            <w:r>
              <w:rPr>
                <w:rFonts w:hint="eastAsia" w:ascii="宋体" w:hAnsi="宋体" w:cs="宋体"/>
                <w:color w:val="000000"/>
                <w:kern w:val="0"/>
                <w:szCs w:val="21"/>
              </w:rPr>
              <w:t>为保证高速公路机电设备的稳定性以及高效的使用率，确保高速公路安全、高效、快捷通行；为打造高速公路维护品牌化，提升全省高速公路营运管养水平。投标人若承诺在本项目终止前，能在本项目所属</w:t>
            </w:r>
            <w:r>
              <w:rPr>
                <w:color w:val="000000"/>
                <w:kern w:val="0"/>
                <w:szCs w:val="21"/>
              </w:rPr>
              <w:t>2</w:t>
            </w:r>
            <w:r>
              <w:rPr>
                <w:rFonts w:hint="eastAsia" w:ascii="宋体" w:hAnsi="宋体" w:cs="宋体"/>
                <w:color w:val="000000"/>
                <w:kern w:val="0"/>
                <w:szCs w:val="21"/>
              </w:rPr>
              <w:t>个条高速公路路段4个驻点【余安高速（罗望段，兴义境）、厦蓉高速格都段各设2个驻点】投入维护人员。</w:t>
            </w:r>
          </w:p>
          <w:p>
            <w:pPr>
              <w:pStyle w:val="2"/>
              <w:ind w:firstLine="420" w:firstLineChars="200"/>
              <w:rPr>
                <w:sz w:val="21"/>
                <w:szCs w:val="21"/>
              </w:rPr>
            </w:pPr>
            <w:r>
              <w:rPr>
                <w:rFonts w:hint="eastAsia"/>
                <w:sz w:val="21"/>
                <w:szCs w:val="21"/>
              </w:rPr>
              <w:t>每个驻点都满足投入人员4人（含4人）得2分，不足4人的不计分；</w:t>
            </w:r>
          </w:p>
          <w:p>
            <w:pPr>
              <w:pStyle w:val="2"/>
              <w:ind w:firstLine="420" w:firstLineChars="200"/>
              <w:rPr>
                <w:sz w:val="21"/>
                <w:szCs w:val="21"/>
              </w:rPr>
            </w:pPr>
            <w:r>
              <w:rPr>
                <w:rFonts w:hint="eastAsia"/>
                <w:sz w:val="21"/>
                <w:szCs w:val="21"/>
              </w:rPr>
              <w:t>每个驻点都满足投入人员5人（含5人）得4分。</w:t>
            </w:r>
          </w:p>
          <w:p>
            <w:pPr>
              <w:pStyle w:val="2"/>
              <w:ind w:firstLine="420" w:firstLineChars="200"/>
              <w:rPr>
                <w:sz w:val="21"/>
                <w:szCs w:val="21"/>
              </w:rPr>
            </w:pPr>
            <w:r>
              <w:rPr>
                <w:rFonts w:hint="eastAsia"/>
                <w:sz w:val="21"/>
                <w:szCs w:val="21"/>
              </w:rPr>
              <w:t>每个驻点都满足投入人员6人（含6人）得8分。</w:t>
            </w:r>
          </w:p>
          <w:p>
            <w:pPr>
              <w:pStyle w:val="2"/>
              <w:ind w:firstLine="420" w:firstLineChars="200"/>
              <w:rPr>
                <w:sz w:val="21"/>
                <w:szCs w:val="21"/>
              </w:rPr>
            </w:pPr>
            <w:r>
              <w:rPr>
                <w:rFonts w:hint="eastAsia"/>
                <w:sz w:val="21"/>
                <w:szCs w:val="21"/>
              </w:rPr>
              <w:t>每个驻点都满足投入人员7人（含7人）得12分。</w:t>
            </w:r>
          </w:p>
          <w:p>
            <w:pPr>
              <w:pStyle w:val="2"/>
              <w:ind w:firstLine="420" w:firstLineChars="200"/>
              <w:rPr>
                <w:sz w:val="21"/>
                <w:szCs w:val="21"/>
              </w:rPr>
            </w:pPr>
            <w:r>
              <w:rPr>
                <w:rFonts w:hint="eastAsia"/>
                <w:sz w:val="21"/>
                <w:szCs w:val="21"/>
              </w:rPr>
              <w:t>每个驻点都满足投入人员8人及以上（含8人）得15分。</w:t>
            </w:r>
          </w:p>
          <w:p>
            <w:pPr>
              <w:pStyle w:val="2"/>
              <w:ind w:firstLine="420" w:firstLineChars="200"/>
              <w:rPr>
                <w:sz w:val="21"/>
                <w:szCs w:val="21"/>
              </w:rPr>
            </w:pPr>
          </w:p>
          <w:p>
            <w:pPr>
              <w:snapToGrid w:val="0"/>
              <w:jc w:val="left"/>
              <w:rPr>
                <w:rFonts w:ascii="宋体" w:hAnsi="宋体"/>
                <w:b/>
                <w:bCs/>
                <w:szCs w:val="21"/>
              </w:rPr>
            </w:pPr>
            <w:r>
              <w:rPr>
                <w:rFonts w:ascii="宋体" w:hAnsi="宋体" w:cs="宋体"/>
                <w:color w:val="000000"/>
                <w:kern w:val="0"/>
                <w:szCs w:val="21"/>
              </w:rPr>
              <w:t>以上承诺需提交投标人拟派团队承诺函（格式见投标文件格式）；中标后投标人需向招标人提供维修团队人员名单，并提供由投标人所属社保机构为其缴纳社保的缴费证明。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062" w:hRule="atLeast"/>
        </w:trPr>
        <w:tc>
          <w:tcPr>
            <w:tcW w:w="998" w:type="dxa"/>
            <w:vAlign w:val="center"/>
          </w:tcPr>
          <w:p>
            <w:pPr>
              <w:snapToGrid w:val="0"/>
              <w:jc w:val="center"/>
              <w:rPr>
                <w:rFonts w:ascii="宋体" w:hAnsi="宋体"/>
                <w:bCs/>
                <w:szCs w:val="21"/>
              </w:rPr>
            </w:pPr>
            <w:r>
              <w:rPr>
                <w:rFonts w:hint="eastAsia" w:ascii="宋体" w:hAnsi="宋体"/>
                <w:bCs/>
                <w:szCs w:val="21"/>
              </w:rPr>
              <w:t>2.2.4（3）</w:t>
            </w:r>
          </w:p>
        </w:tc>
        <w:tc>
          <w:tcPr>
            <w:tcW w:w="1486" w:type="dxa"/>
            <w:vAlign w:val="center"/>
          </w:tcPr>
          <w:p>
            <w:pPr>
              <w:snapToGrid w:val="0"/>
              <w:jc w:val="center"/>
              <w:rPr>
                <w:rFonts w:ascii="宋体" w:hAnsi="宋体"/>
                <w:szCs w:val="21"/>
              </w:rPr>
            </w:pPr>
            <w:r>
              <w:rPr>
                <w:rFonts w:hint="eastAsia" w:ascii="宋体" w:hAnsi="宋体"/>
                <w:szCs w:val="21"/>
              </w:rPr>
              <w:t>企业业绩（12分）</w:t>
            </w:r>
          </w:p>
        </w:tc>
        <w:tc>
          <w:tcPr>
            <w:tcW w:w="6796" w:type="dxa"/>
            <w:vAlign w:val="center"/>
          </w:tcPr>
          <w:p>
            <w:pPr>
              <w:tabs>
                <w:tab w:val="left" w:pos="2088"/>
              </w:tabs>
              <w:snapToGrid w:val="0"/>
              <w:jc w:val="left"/>
              <w:rPr>
                <w:rFonts w:ascii="宋体" w:hAnsi="宋体" w:cs="宋体"/>
                <w:sz w:val="22"/>
              </w:rPr>
            </w:pPr>
            <w:r>
              <w:rPr>
                <w:rFonts w:ascii="宋体" w:hAnsi="宋体" w:cs="宋体"/>
                <w:sz w:val="22"/>
              </w:rPr>
              <w:t>投标人近2年来（自2019年5月1日起，以交工时间为准）独立完成业绩（非联合体业绩）满足下列条件将进行加分</w:t>
            </w:r>
            <w:r>
              <w:rPr>
                <w:rFonts w:hint="eastAsia" w:ascii="宋体" w:hAnsi="宋体" w:cs="宋体"/>
                <w:sz w:val="22"/>
              </w:rPr>
              <w:t>（不包含建设项目缺陷责任期的养护）</w:t>
            </w:r>
            <w:r>
              <w:rPr>
                <w:rFonts w:ascii="宋体" w:hAnsi="宋体" w:cs="宋体"/>
                <w:sz w:val="22"/>
              </w:rPr>
              <w:t>。</w:t>
            </w:r>
            <w:r>
              <w:rPr>
                <w:rFonts w:ascii="宋体" w:hAnsi="宋体" w:cs="宋体"/>
                <w:sz w:val="22"/>
              </w:rPr>
              <w:br w:type="textWrapping"/>
            </w:r>
            <w:r>
              <w:rPr>
                <w:rFonts w:ascii="宋体" w:hAnsi="宋体" w:cs="宋体"/>
                <w:sz w:val="22"/>
              </w:rPr>
              <w:br w:type="textWrapping"/>
            </w:r>
            <w:r>
              <w:rPr>
                <w:rFonts w:ascii="宋体" w:hAnsi="宋体" w:cs="宋体"/>
                <w:sz w:val="22"/>
              </w:rPr>
              <w:t>1、高速公路隧道机电系统维护或预防性养护工程类业绩：</w:t>
            </w:r>
            <w:r>
              <w:rPr>
                <w:rFonts w:ascii="宋体" w:hAnsi="宋体" w:cs="宋体"/>
                <w:sz w:val="22"/>
              </w:rPr>
              <w:br w:type="textWrapping"/>
            </w:r>
            <w:r>
              <w:rPr>
                <w:rFonts w:ascii="宋体" w:hAnsi="宋体" w:cs="宋体"/>
                <w:sz w:val="22"/>
              </w:rPr>
              <w:br w:type="textWrapping"/>
            </w:r>
            <w:r>
              <w:rPr>
                <w:rFonts w:ascii="宋体" w:hAnsi="宋体" w:cs="宋体"/>
                <w:sz w:val="22"/>
              </w:rPr>
              <w:t>每增加1个合同金额不低于200万元，隧道左幅、右幅累计总长不低于40KM已运营高速公路隧道机电系统维护或预防性养护工程业绩，加</w:t>
            </w:r>
            <w:r>
              <w:rPr>
                <w:rFonts w:hint="eastAsia" w:ascii="宋体" w:hAnsi="宋体" w:cs="宋体"/>
                <w:sz w:val="22"/>
              </w:rPr>
              <w:t>2</w:t>
            </w:r>
            <w:r>
              <w:rPr>
                <w:rFonts w:ascii="宋体" w:hAnsi="宋体" w:cs="宋体"/>
                <w:sz w:val="22"/>
              </w:rPr>
              <w:t>分，最多加</w:t>
            </w:r>
            <w:r>
              <w:rPr>
                <w:rFonts w:hint="eastAsia" w:ascii="宋体" w:hAnsi="宋体" w:cs="宋体"/>
                <w:sz w:val="22"/>
              </w:rPr>
              <w:t>8</w:t>
            </w:r>
            <w:r>
              <w:rPr>
                <w:rFonts w:ascii="宋体" w:hAnsi="宋体" w:cs="宋体"/>
                <w:sz w:val="22"/>
              </w:rPr>
              <w:t>分。</w:t>
            </w:r>
          </w:p>
          <w:p>
            <w:pPr>
              <w:tabs>
                <w:tab w:val="left" w:pos="2088"/>
              </w:tabs>
              <w:snapToGrid w:val="0"/>
              <w:jc w:val="left"/>
              <w:rPr>
                <w:rFonts w:ascii="宋体" w:hAnsi="宋体" w:cs="宋体"/>
                <w:sz w:val="22"/>
              </w:rPr>
            </w:pPr>
          </w:p>
          <w:p>
            <w:pPr>
              <w:numPr>
                <w:ilvl w:val="0"/>
                <w:numId w:val="1"/>
              </w:numPr>
              <w:tabs>
                <w:tab w:val="left" w:pos="2088"/>
              </w:tabs>
              <w:snapToGrid w:val="0"/>
              <w:jc w:val="left"/>
              <w:rPr>
                <w:rFonts w:ascii="宋体" w:hAnsi="宋体" w:cs="宋体"/>
                <w:sz w:val="22"/>
              </w:rPr>
            </w:pPr>
            <w:r>
              <w:rPr>
                <w:rFonts w:ascii="宋体" w:hAnsi="宋体" w:cs="宋体"/>
                <w:sz w:val="22"/>
              </w:rPr>
              <w:t>高速公路</w:t>
            </w:r>
            <w:r>
              <w:rPr>
                <w:rFonts w:hint="eastAsia" w:ascii="宋体" w:hAnsi="宋体" w:cs="宋体"/>
                <w:sz w:val="22"/>
              </w:rPr>
              <w:t>三大系统</w:t>
            </w:r>
            <w:r>
              <w:rPr>
                <w:rFonts w:ascii="宋体" w:hAnsi="宋体" w:cs="宋体"/>
                <w:sz w:val="22"/>
              </w:rPr>
              <w:t>机电系统维护工程类业绩：</w:t>
            </w:r>
          </w:p>
          <w:p>
            <w:pPr>
              <w:tabs>
                <w:tab w:val="left" w:pos="2088"/>
              </w:tabs>
              <w:snapToGrid w:val="0"/>
              <w:jc w:val="left"/>
              <w:rPr>
                <w:rFonts w:ascii="宋体" w:hAnsi="宋体" w:cs="宋体"/>
                <w:sz w:val="22"/>
              </w:rPr>
            </w:pPr>
          </w:p>
          <w:p>
            <w:pPr>
              <w:tabs>
                <w:tab w:val="left" w:pos="2088"/>
              </w:tabs>
              <w:snapToGrid w:val="0"/>
              <w:jc w:val="left"/>
              <w:rPr>
                <w:rFonts w:ascii="宋体" w:hAnsi="宋体" w:cs="宋体"/>
                <w:sz w:val="22"/>
              </w:rPr>
            </w:pPr>
            <w:r>
              <w:rPr>
                <w:rFonts w:ascii="宋体" w:hAnsi="宋体" w:cs="宋体"/>
                <w:sz w:val="22"/>
              </w:rPr>
              <w:t>每增加1个合同金额不低于200万元，路段长度不低于60KM</w:t>
            </w:r>
            <w:r>
              <w:rPr>
                <w:rFonts w:hint="eastAsia" w:ascii="宋体" w:hAnsi="宋体" w:cs="宋体"/>
                <w:sz w:val="22"/>
              </w:rPr>
              <w:t>且维护内容</w:t>
            </w:r>
            <w:r>
              <w:rPr>
                <w:rFonts w:ascii="宋体" w:hAnsi="宋体" w:cs="宋体"/>
                <w:sz w:val="22"/>
              </w:rPr>
              <w:t>不少于10座收费站</w:t>
            </w:r>
            <w:r>
              <w:rPr>
                <w:rFonts w:hint="eastAsia" w:ascii="宋体" w:hAnsi="宋体" w:cs="宋体"/>
                <w:sz w:val="22"/>
              </w:rPr>
              <w:t>的</w:t>
            </w:r>
            <w:r>
              <w:rPr>
                <w:rFonts w:ascii="宋体" w:hAnsi="宋体" w:cs="宋体"/>
                <w:sz w:val="22"/>
              </w:rPr>
              <w:t>已运营高速公路机电</w:t>
            </w:r>
            <w:r>
              <w:rPr>
                <w:rFonts w:hint="eastAsia" w:ascii="宋体" w:hAnsi="宋体" w:cs="宋体"/>
                <w:sz w:val="22"/>
              </w:rPr>
              <w:t>三大系统</w:t>
            </w:r>
            <w:r>
              <w:rPr>
                <w:rFonts w:ascii="宋体" w:hAnsi="宋体" w:cs="宋体"/>
                <w:sz w:val="22"/>
              </w:rPr>
              <w:t>维护工程业绩，加</w:t>
            </w:r>
            <w:r>
              <w:rPr>
                <w:rFonts w:hint="eastAsia" w:ascii="宋体" w:hAnsi="宋体" w:cs="宋体"/>
                <w:sz w:val="22"/>
              </w:rPr>
              <w:t>2</w:t>
            </w:r>
            <w:r>
              <w:rPr>
                <w:rFonts w:ascii="宋体" w:hAnsi="宋体" w:cs="宋体"/>
                <w:sz w:val="22"/>
              </w:rPr>
              <w:t>分，最多加</w:t>
            </w:r>
            <w:r>
              <w:rPr>
                <w:rFonts w:hint="eastAsia" w:ascii="宋体" w:hAnsi="宋体" w:cs="宋体"/>
                <w:sz w:val="22"/>
              </w:rPr>
              <w:t>4</w:t>
            </w:r>
            <w:r>
              <w:rPr>
                <w:rFonts w:ascii="宋体" w:hAnsi="宋体" w:cs="宋体"/>
                <w:sz w:val="22"/>
              </w:rPr>
              <w:t>分。</w:t>
            </w:r>
          </w:p>
          <w:p>
            <w:pPr>
              <w:tabs>
                <w:tab w:val="left" w:pos="2088"/>
              </w:tabs>
              <w:snapToGrid w:val="0"/>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98" w:type="dxa"/>
            <w:vAlign w:val="center"/>
          </w:tcPr>
          <w:p>
            <w:pPr>
              <w:snapToGrid w:val="0"/>
              <w:jc w:val="center"/>
              <w:rPr>
                <w:rFonts w:ascii="宋体" w:hAnsi="宋体"/>
                <w:bCs/>
                <w:szCs w:val="21"/>
              </w:rPr>
            </w:pPr>
            <w:r>
              <w:rPr>
                <w:rFonts w:hint="eastAsia" w:ascii="宋体" w:hAnsi="宋体"/>
                <w:bCs/>
                <w:szCs w:val="21"/>
              </w:rPr>
              <w:t>2.2.4（4）</w:t>
            </w:r>
          </w:p>
        </w:tc>
        <w:tc>
          <w:tcPr>
            <w:tcW w:w="1486" w:type="dxa"/>
            <w:vAlign w:val="center"/>
          </w:tcPr>
          <w:p>
            <w:pPr>
              <w:snapToGrid w:val="0"/>
            </w:pPr>
            <w:r>
              <w:rPr>
                <w:rFonts w:ascii="宋体" w:hAnsi="宋体" w:cs="Arial"/>
                <w:szCs w:val="21"/>
              </w:rPr>
              <w:t>评标价</w:t>
            </w:r>
            <w:r>
              <w:rPr>
                <w:rFonts w:hint="eastAsia" w:ascii="宋体" w:hAnsi="宋体" w:cs="Arial"/>
                <w:szCs w:val="21"/>
              </w:rPr>
              <w:t>（P0）信用等级（3分）</w:t>
            </w:r>
          </w:p>
        </w:tc>
        <w:tc>
          <w:tcPr>
            <w:tcW w:w="6796" w:type="dxa"/>
            <w:vAlign w:val="center"/>
          </w:tcPr>
          <w:p>
            <w:pPr>
              <w:snapToGrid w:val="0"/>
              <w:spacing w:line="280" w:lineRule="exact"/>
              <w:rPr>
                <w:rFonts w:ascii="宋体" w:hAnsi="宋体"/>
                <w:szCs w:val="21"/>
              </w:rPr>
            </w:pPr>
            <w:r>
              <w:rPr>
                <w:rFonts w:hint="eastAsia" w:ascii="宋体" w:hAnsi="宋体"/>
                <w:szCs w:val="21"/>
              </w:rPr>
              <w:t>（</w:t>
            </w:r>
            <w:r>
              <w:rPr>
                <w:rFonts w:ascii="宋体" w:hAnsi="宋体"/>
                <w:szCs w:val="21"/>
              </w:rPr>
              <w:t>1）对投标人的信用等级的认定详见本项目招标公告。</w:t>
            </w:r>
          </w:p>
          <w:p>
            <w:pPr>
              <w:snapToGrid w:val="0"/>
              <w:spacing w:line="300" w:lineRule="auto"/>
              <w:rPr>
                <w:rFonts w:ascii="宋体" w:hAnsi="宋体" w:cs="Arial"/>
                <w:szCs w:val="21"/>
              </w:rPr>
            </w:pPr>
            <w:r>
              <w:rPr>
                <w:rFonts w:hint="eastAsia" w:ascii="宋体" w:hAnsi="宋体" w:cs="Arial"/>
                <w:szCs w:val="21"/>
              </w:rPr>
              <w:t>（</w:t>
            </w:r>
            <w:r>
              <w:rPr>
                <w:rFonts w:ascii="宋体" w:hAnsi="宋体" w:cs="Arial"/>
                <w:szCs w:val="21"/>
              </w:rPr>
              <w:t>2）</w:t>
            </w:r>
            <w:r>
              <w:rPr>
                <w:rFonts w:hint="eastAsia" w:ascii="宋体" w:hAnsi="宋体"/>
                <w:szCs w:val="21"/>
              </w:rPr>
              <w:t>评标加分或减分标准：</w:t>
            </w:r>
            <w:r>
              <w:rPr>
                <w:rFonts w:ascii="宋体" w:hAnsi="宋体" w:cs="Arial"/>
                <w:szCs w:val="21"/>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729"/>
              <w:gridCol w:w="746"/>
              <w:gridCol w:w="753"/>
              <w:gridCol w:w="758"/>
              <w:gridCol w:w="760"/>
              <w:gridCol w:w="761"/>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54" w:type="dxa"/>
                  <w:vMerge w:val="restart"/>
                  <w:vAlign w:val="center"/>
                </w:tcPr>
                <w:p>
                  <w:pPr>
                    <w:spacing w:before="100" w:beforeAutospacing="1" w:after="100" w:afterAutospacing="1"/>
                    <w:jc w:val="center"/>
                    <w:rPr>
                      <w:rFonts w:ascii="宋体" w:hAnsi="宋体" w:cs="Arial"/>
                      <w:szCs w:val="21"/>
                    </w:rPr>
                  </w:pPr>
                  <w:r>
                    <w:rPr>
                      <w:rFonts w:ascii="宋体" w:hAnsi="宋体" w:cs="Arial"/>
                      <w:szCs w:val="21"/>
                    </w:rPr>
                    <w:t>最新信用等级</w:t>
                  </w:r>
                </w:p>
              </w:tc>
              <w:tc>
                <w:tcPr>
                  <w:tcW w:w="1475"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AA</w:t>
                  </w:r>
                </w:p>
              </w:tc>
              <w:tc>
                <w:tcPr>
                  <w:tcW w:w="1511"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A</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B</w:t>
                  </w:r>
                </w:p>
              </w:tc>
              <w:tc>
                <w:tcPr>
                  <w:tcW w:w="1522" w:type="dxa"/>
                  <w:gridSpan w:val="2"/>
                  <w:vAlign w:val="center"/>
                </w:tcPr>
                <w:p>
                  <w:pPr>
                    <w:spacing w:before="100" w:beforeAutospacing="1" w:after="100" w:afterAutospacing="1"/>
                    <w:jc w:val="center"/>
                    <w:rPr>
                      <w:rFonts w:ascii="宋体" w:hAnsi="宋体" w:cs="Arial"/>
                      <w:szCs w:val="21"/>
                    </w:rPr>
                  </w:pPr>
                  <w:r>
                    <w:rPr>
                      <w:rFonts w:ascii="宋体" w:hAnsi="宋体" w:cs="Arial"/>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54" w:type="dxa"/>
                  <w:vMerge w:val="continue"/>
                  <w:vAlign w:val="center"/>
                </w:tcPr>
                <w:p>
                  <w:pPr>
                    <w:spacing w:before="100" w:beforeAutospacing="1" w:after="100" w:afterAutospacing="1"/>
                    <w:jc w:val="center"/>
                    <w:rPr>
                      <w:rFonts w:ascii="宋体" w:hAnsi="宋体" w:cs="Arial"/>
                      <w:szCs w:val="21"/>
                    </w:rPr>
                  </w:pPr>
                </w:p>
              </w:tc>
              <w:tc>
                <w:tcPr>
                  <w:tcW w:w="729"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46"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c>
                <w:tcPr>
                  <w:tcW w:w="753"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58"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c>
                <w:tcPr>
                  <w:tcW w:w="760" w:type="dxa"/>
                  <w:vAlign w:val="center"/>
                </w:tcPr>
                <w:p>
                  <w:pPr>
                    <w:spacing w:before="100" w:beforeAutospacing="1" w:after="100" w:afterAutospacing="1"/>
                    <w:jc w:val="center"/>
                    <w:rPr>
                      <w:rFonts w:ascii="宋体" w:hAnsi="宋体" w:cs="Arial"/>
                      <w:szCs w:val="21"/>
                    </w:rPr>
                  </w:pPr>
                  <w:r>
                    <w:rPr>
                      <w:rFonts w:ascii="宋体" w:hAnsi="宋体" w:cs="Arial"/>
                      <w:szCs w:val="21"/>
                    </w:rPr>
                    <w:t>－</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专业评价</w:t>
                  </w:r>
                </w:p>
              </w:tc>
              <w:tc>
                <w:tcPr>
                  <w:tcW w:w="761" w:type="dxa"/>
                  <w:vAlign w:val="center"/>
                </w:tcPr>
                <w:p>
                  <w:pPr>
                    <w:spacing w:before="100" w:beforeAutospacing="1" w:after="100" w:afterAutospacing="1"/>
                    <w:jc w:val="center"/>
                    <w:rPr>
                      <w:rFonts w:ascii="宋体" w:hAnsi="宋体" w:cs="Arial"/>
                      <w:szCs w:val="21"/>
                    </w:rPr>
                  </w:pPr>
                  <w:r>
                    <w:rPr>
                      <w:rFonts w:ascii="宋体" w:hAnsi="宋体" w:cs="Arial"/>
                      <w:szCs w:val="21"/>
                    </w:rPr>
                    <w:t>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4" w:type="dxa"/>
                  <w:vAlign w:val="center"/>
                </w:tcPr>
                <w:p>
                  <w:pPr>
                    <w:spacing w:before="100" w:beforeAutospacing="1" w:after="100" w:afterAutospacing="1"/>
                    <w:jc w:val="center"/>
                    <w:rPr>
                      <w:rFonts w:ascii="宋体" w:hAnsi="宋体" w:cs="Arial"/>
                      <w:szCs w:val="21"/>
                    </w:rPr>
                  </w:pPr>
                  <w:r>
                    <w:rPr>
                      <w:rFonts w:ascii="宋体" w:hAnsi="宋体" w:cs="Arial"/>
                      <w:szCs w:val="21"/>
                    </w:rPr>
                    <w:t>取值</w:t>
                  </w:r>
                </w:p>
              </w:tc>
              <w:tc>
                <w:tcPr>
                  <w:tcW w:w="729" w:type="dxa"/>
                  <w:vAlign w:val="center"/>
                </w:tcPr>
                <w:p>
                  <w:pPr>
                    <w:jc w:val="center"/>
                    <w:rPr>
                      <w:rFonts w:ascii="宋体" w:hAnsi="宋体"/>
                      <w:b/>
                      <w:bCs/>
                      <w:kern w:val="0"/>
                      <w:sz w:val="18"/>
                      <w:szCs w:val="18"/>
                    </w:rPr>
                  </w:pPr>
                  <w:r>
                    <w:rPr>
                      <w:rFonts w:ascii="宋体" w:hAnsi="宋体"/>
                      <w:kern w:val="0"/>
                      <w:sz w:val="18"/>
                      <w:szCs w:val="18"/>
                    </w:rPr>
                    <w:t>+3.0</w:t>
                  </w:r>
                </w:p>
              </w:tc>
              <w:tc>
                <w:tcPr>
                  <w:tcW w:w="746" w:type="dxa"/>
                  <w:vAlign w:val="center"/>
                </w:tcPr>
                <w:p>
                  <w:pPr>
                    <w:jc w:val="center"/>
                    <w:rPr>
                      <w:rFonts w:ascii="宋体" w:hAnsi="宋体"/>
                      <w:b/>
                      <w:bCs/>
                      <w:kern w:val="0"/>
                      <w:sz w:val="18"/>
                      <w:szCs w:val="18"/>
                    </w:rPr>
                  </w:pPr>
                  <w:r>
                    <w:rPr>
                      <w:rFonts w:ascii="宋体" w:hAnsi="宋体"/>
                      <w:kern w:val="0"/>
                      <w:sz w:val="18"/>
                      <w:szCs w:val="18"/>
                    </w:rPr>
                    <w:t>+1.5</w:t>
                  </w:r>
                </w:p>
              </w:tc>
              <w:tc>
                <w:tcPr>
                  <w:tcW w:w="753" w:type="dxa"/>
                  <w:vAlign w:val="center"/>
                </w:tcPr>
                <w:p>
                  <w:pPr>
                    <w:jc w:val="center"/>
                    <w:rPr>
                      <w:rFonts w:ascii="宋体" w:hAnsi="宋体"/>
                      <w:b/>
                      <w:bCs/>
                      <w:kern w:val="0"/>
                      <w:sz w:val="18"/>
                      <w:szCs w:val="18"/>
                    </w:rPr>
                  </w:pPr>
                  <w:r>
                    <w:rPr>
                      <w:rFonts w:ascii="宋体" w:hAnsi="宋体"/>
                      <w:kern w:val="0"/>
                      <w:sz w:val="18"/>
                      <w:szCs w:val="18"/>
                    </w:rPr>
                    <w:t>+1.5</w:t>
                  </w:r>
                </w:p>
              </w:tc>
              <w:tc>
                <w:tcPr>
                  <w:tcW w:w="758" w:type="dxa"/>
                  <w:vAlign w:val="center"/>
                </w:tcPr>
                <w:p>
                  <w:pPr>
                    <w:jc w:val="center"/>
                    <w:rPr>
                      <w:rFonts w:ascii="宋体" w:hAnsi="宋体"/>
                      <w:b/>
                      <w:bCs/>
                      <w:kern w:val="0"/>
                      <w:sz w:val="18"/>
                      <w:szCs w:val="18"/>
                    </w:rPr>
                  </w:pPr>
                  <w:r>
                    <w:rPr>
                      <w:rFonts w:ascii="宋体" w:hAnsi="宋体"/>
                      <w:kern w:val="0"/>
                      <w:sz w:val="18"/>
                      <w:szCs w:val="18"/>
                    </w:rPr>
                    <w:t>+0.5</w:t>
                  </w:r>
                </w:p>
              </w:tc>
              <w:tc>
                <w:tcPr>
                  <w:tcW w:w="760" w:type="dxa"/>
                  <w:vAlign w:val="center"/>
                </w:tcPr>
                <w:p>
                  <w:pPr>
                    <w:jc w:val="center"/>
                    <w:rPr>
                      <w:rFonts w:ascii="宋体" w:hAnsi="宋体"/>
                      <w:b/>
                      <w:bCs/>
                      <w:kern w:val="0"/>
                      <w:sz w:val="18"/>
                      <w:szCs w:val="18"/>
                    </w:rPr>
                  </w:pPr>
                  <w:r>
                    <w:rPr>
                      <w:rFonts w:ascii="宋体" w:hAnsi="宋体"/>
                      <w:kern w:val="0"/>
                      <w:sz w:val="18"/>
                      <w:szCs w:val="18"/>
                    </w:rPr>
                    <w:t>0.0</w:t>
                  </w:r>
                </w:p>
              </w:tc>
              <w:tc>
                <w:tcPr>
                  <w:tcW w:w="761" w:type="dxa"/>
                  <w:vAlign w:val="center"/>
                </w:tcPr>
                <w:p>
                  <w:pPr>
                    <w:jc w:val="center"/>
                    <w:rPr>
                      <w:rFonts w:ascii="宋体" w:hAnsi="宋体"/>
                      <w:b/>
                      <w:bCs/>
                      <w:kern w:val="0"/>
                      <w:sz w:val="18"/>
                      <w:szCs w:val="18"/>
                    </w:rPr>
                  </w:pPr>
                  <w:r>
                    <w:rPr>
                      <w:rFonts w:ascii="宋体" w:hAnsi="宋体"/>
                      <w:kern w:val="0"/>
                      <w:sz w:val="18"/>
                      <w:szCs w:val="18"/>
                    </w:rPr>
                    <w:t>-3.0</w:t>
                  </w:r>
                </w:p>
              </w:tc>
              <w:tc>
                <w:tcPr>
                  <w:tcW w:w="761" w:type="dxa"/>
                  <w:vAlign w:val="center"/>
                </w:tcPr>
                <w:p>
                  <w:pPr>
                    <w:jc w:val="center"/>
                    <w:rPr>
                      <w:rFonts w:ascii="宋体" w:hAnsi="宋体"/>
                      <w:b/>
                      <w:bCs/>
                      <w:kern w:val="0"/>
                      <w:sz w:val="18"/>
                      <w:szCs w:val="18"/>
                    </w:rPr>
                  </w:pPr>
                  <w:r>
                    <w:rPr>
                      <w:rFonts w:ascii="宋体" w:hAnsi="宋体"/>
                      <w:kern w:val="0"/>
                      <w:sz w:val="18"/>
                      <w:szCs w:val="18"/>
                    </w:rPr>
                    <w:t>-1.5</w:t>
                  </w:r>
                </w:p>
              </w:tc>
            </w:tr>
          </w:tbl>
          <w:p>
            <w:pPr>
              <w:snapToGrid w:val="0"/>
              <w:spacing w:line="300" w:lineRule="auto"/>
              <w:ind w:firstLine="452" w:firstLineChars="250"/>
              <w:jc w:val="left"/>
              <w:rPr>
                <w:rFonts w:hAnsi="宋体"/>
                <w:szCs w:val="21"/>
              </w:rPr>
            </w:pPr>
            <w:r>
              <w:rPr>
                <w:rFonts w:hint="eastAsia" w:ascii="宋体" w:hAnsi="宋体"/>
                <w:b/>
                <w:bCs/>
                <w:sz w:val="18"/>
                <w:szCs w:val="18"/>
              </w:rPr>
              <w:t>注：在引用上表时，非投标专业对应的专业评价视为综合评价。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2484" w:type="dxa"/>
            <w:gridSpan w:val="2"/>
            <w:vAlign w:val="center"/>
          </w:tcPr>
          <w:p>
            <w:pPr>
              <w:snapToGrid w:val="0"/>
              <w:jc w:val="center"/>
              <w:rPr>
                <w:rFonts w:ascii="宋体" w:hAnsi="宋体"/>
                <w:szCs w:val="21"/>
              </w:rPr>
            </w:pPr>
            <w:r>
              <w:rPr>
                <w:rFonts w:ascii="宋体" w:hAnsi="宋体"/>
                <w:bCs/>
                <w:szCs w:val="21"/>
              </w:rPr>
              <w:t>评标价得分</w:t>
            </w:r>
          </w:p>
        </w:tc>
        <w:tc>
          <w:tcPr>
            <w:tcW w:w="6796" w:type="dxa"/>
            <w:vAlign w:val="center"/>
          </w:tcPr>
          <w:p>
            <w:pPr>
              <w:spacing w:line="300" w:lineRule="exact"/>
              <w:ind w:left="79" w:firstLine="315" w:firstLineChars="150"/>
              <w:rPr>
                <w:rFonts w:ascii="宋体" w:hAnsi="宋体"/>
                <w:szCs w:val="21"/>
              </w:rPr>
            </w:pPr>
            <w:r>
              <w:rPr>
                <w:rFonts w:ascii="宋体" w:hAnsi="宋体"/>
                <w:szCs w:val="21"/>
              </w:rPr>
              <w:t>当投标人报价等于评标基准价时得满分，每高于评标基准价一个百分点扣0.2分，每低于评标基准价一个百分点扣0.1分，中间值按比例内插，四舍五入，保留两位小数。</w:t>
            </w:r>
          </w:p>
          <w:p>
            <w:pPr>
              <w:spacing w:line="300" w:lineRule="exact"/>
              <w:ind w:left="79"/>
              <w:rPr>
                <w:rFonts w:ascii="宋体" w:hAnsi="宋体"/>
                <w:szCs w:val="21"/>
              </w:rPr>
            </w:pPr>
            <w:r>
              <w:rPr>
                <w:rFonts w:ascii="宋体" w:hAnsi="宋体"/>
                <w:szCs w:val="21"/>
              </w:rPr>
              <w:t>用公式表示如下：</w:t>
            </w:r>
          </w:p>
          <w:p>
            <w:pPr>
              <w:spacing w:line="239" w:lineRule="auto"/>
              <w:rPr>
                <w:rFonts w:ascii="宋体" w:hAnsi="宋体"/>
                <w:szCs w:val="21"/>
              </w:rPr>
            </w:pPr>
            <w:r>
              <w:rPr>
                <w:rFonts w:hAnsi="宋体"/>
                <w:spacing w:val="-6"/>
                <w:szCs w:val="21"/>
              </w:rPr>
              <w:drawing>
                <wp:inline distT="0" distB="0" distL="0" distR="0">
                  <wp:extent cx="1761490" cy="403860"/>
                  <wp:effectExtent l="0" t="0" r="0" b="1587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761490" cy="403860"/>
                          </a:xfrm>
                          <a:prstGeom prst="rect">
                            <a:avLst/>
                          </a:prstGeom>
                          <a:noFill/>
                          <a:ln>
                            <a:noFill/>
                          </a:ln>
                        </pic:spPr>
                      </pic:pic>
                    </a:graphicData>
                  </a:graphic>
                </wp:inline>
              </w:drawing>
            </w:r>
          </w:p>
          <w:p>
            <w:pPr>
              <w:spacing w:line="340" w:lineRule="exact"/>
              <w:rPr>
                <w:rFonts w:ascii="宋体" w:hAnsi="宋体"/>
                <w:szCs w:val="21"/>
              </w:rPr>
            </w:pPr>
            <w:r>
              <w:rPr>
                <w:rFonts w:ascii="宋体" w:hAnsi="宋体"/>
                <w:szCs w:val="21"/>
              </w:rPr>
              <w:t>式中：F1=投标人投标价得分；</w:t>
            </w:r>
          </w:p>
          <w:p>
            <w:pPr>
              <w:spacing w:line="340" w:lineRule="exact"/>
              <w:rPr>
                <w:rFonts w:ascii="宋体" w:hAnsi="宋体"/>
                <w:szCs w:val="21"/>
              </w:rPr>
            </w:pPr>
            <w:r>
              <w:rPr>
                <w:rFonts w:ascii="宋体" w:hAnsi="宋体"/>
                <w:szCs w:val="21"/>
              </w:rPr>
              <w:t>F=投标价得分所占的百分比权重，F＝50；</w:t>
            </w:r>
          </w:p>
          <w:p>
            <w:pPr>
              <w:spacing w:line="340" w:lineRule="exact"/>
              <w:rPr>
                <w:rFonts w:ascii="宋体" w:hAnsi="宋体"/>
                <w:szCs w:val="21"/>
              </w:rPr>
            </w:pPr>
            <w:r>
              <w:rPr>
                <w:rFonts w:ascii="宋体" w:hAnsi="宋体"/>
                <w:szCs w:val="21"/>
              </w:rPr>
              <w:t>D1=投标人的投标报价；</w:t>
            </w:r>
          </w:p>
          <w:p>
            <w:pPr>
              <w:spacing w:line="340" w:lineRule="exact"/>
              <w:rPr>
                <w:rFonts w:ascii="宋体" w:hAnsi="宋体"/>
                <w:szCs w:val="21"/>
              </w:rPr>
            </w:pPr>
            <w:r>
              <w:rPr>
                <w:rFonts w:ascii="宋体" w:hAnsi="宋体"/>
                <w:szCs w:val="21"/>
              </w:rPr>
              <w:t>D=评标基准价。</w:t>
            </w:r>
          </w:p>
          <w:p>
            <w:pPr>
              <w:spacing w:line="300" w:lineRule="exact"/>
              <w:ind w:left="79" w:firstLine="315" w:firstLineChars="150"/>
              <w:rPr>
                <w:rFonts w:ascii="宋体" w:hAnsi="宋体"/>
                <w:szCs w:val="21"/>
              </w:rPr>
            </w:pPr>
            <w:r>
              <w:rPr>
                <w:rFonts w:ascii="宋体" w:hAnsi="宋体"/>
                <w:szCs w:val="21"/>
              </w:rPr>
              <w:t>若D1≥D，则E=0.</w:t>
            </w:r>
            <w:r>
              <w:rPr>
                <w:rFonts w:hint="eastAsia" w:ascii="宋体" w:hAnsi="宋体"/>
                <w:szCs w:val="21"/>
              </w:rPr>
              <w:t>2</w:t>
            </w:r>
            <w:r>
              <w:rPr>
                <w:rFonts w:ascii="宋体" w:hAnsi="宋体"/>
                <w:szCs w:val="21"/>
              </w:rPr>
              <w:t>；若D1&lt;D，则E=0.</w:t>
            </w:r>
            <w:r>
              <w:rPr>
                <w:rFonts w:hint="eastAsia" w:ascii="宋体" w:hAnsi="宋体"/>
                <w:szCs w:val="21"/>
              </w:rPr>
              <w:t>1</w:t>
            </w:r>
            <w:r>
              <w:rPr>
                <w:rFonts w:ascii="宋体" w:hAnsi="宋体"/>
                <w:szCs w:val="21"/>
              </w:rPr>
              <w:t>。投标价得分最低为0分。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39" w:type="dxa"/>
            <w:left w:w="74" w:type="dxa"/>
            <w:bottom w:w="29" w:type="dxa"/>
            <w:right w:w="74" w:type="dxa"/>
          </w:tblCellMar>
        </w:tblPrEx>
        <w:trPr>
          <w:trHeight w:val="454" w:hRule="atLeast"/>
        </w:trPr>
        <w:tc>
          <w:tcPr>
            <w:tcW w:w="9280" w:type="dxa"/>
            <w:gridSpan w:val="3"/>
            <w:vAlign w:val="center"/>
          </w:tcPr>
          <w:p>
            <w:pPr>
              <w:snapToGrid w:val="0"/>
              <w:spacing w:line="300" w:lineRule="auto"/>
              <w:rPr>
                <w:rFonts w:ascii="宋体" w:hAnsi="宋体" w:cs="Arial"/>
                <w:szCs w:val="21"/>
              </w:rPr>
            </w:pPr>
            <w:r>
              <w:rPr>
                <w:rFonts w:ascii="宋体" w:hAnsi="宋体" w:cs="Arial"/>
                <w:szCs w:val="21"/>
              </w:rPr>
              <w:t>需要补充的其他内容：</w:t>
            </w:r>
            <w:r>
              <w:rPr>
                <w:rFonts w:hint="eastAsia" w:ascii="宋体" w:hAnsi="宋体" w:cs="Arial"/>
                <w:szCs w:val="21"/>
              </w:rPr>
              <w:t xml:space="preserve"> </w:t>
            </w:r>
          </w:p>
          <w:p>
            <w:pPr>
              <w:spacing w:line="360" w:lineRule="exact"/>
              <w:ind w:firstLine="525" w:firstLineChars="250"/>
              <w:rPr>
                <w:rFonts w:ascii="宋体" w:hAnsi="宋体" w:cs="Arial"/>
                <w:szCs w:val="21"/>
              </w:rPr>
            </w:pPr>
            <w:r>
              <w:rPr>
                <w:rFonts w:hint="eastAsia" w:ascii="宋体" w:hAnsi="宋体" w:cs="Arial"/>
                <w:szCs w:val="21"/>
              </w:rPr>
              <w:t>1.评标委员会对满足招标文件实质性要求的投标文件，按照本章第2.2款规定的评分标准进行打分，并按综合得分由高到低顺序推荐中标候选人（评标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1306D"/>
    <w:multiLevelType w:val="singleLevel"/>
    <w:tmpl w:val="1451306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4469"/>
    <w:rsid w:val="000058FC"/>
    <w:rsid w:val="0000592A"/>
    <w:rsid w:val="00005C84"/>
    <w:rsid w:val="00007F89"/>
    <w:rsid w:val="000107F1"/>
    <w:rsid w:val="00012E5B"/>
    <w:rsid w:val="00013FF1"/>
    <w:rsid w:val="00014211"/>
    <w:rsid w:val="00016865"/>
    <w:rsid w:val="00016EB7"/>
    <w:rsid w:val="000239A5"/>
    <w:rsid w:val="00023ADF"/>
    <w:rsid w:val="00025647"/>
    <w:rsid w:val="00026728"/>
    <w:rsid w:val="00026EBB"/>
    <w:rsid w:val="00027565"/>
    <w:rsid w:val="00027C91"/>
    <w:rsid w:val="0003633D"/>
    <w:rsid w:val="00037BEF"/>
    <w:rsid w:val="000429A5"/>
    <w:rsid w:val="00042ACF"/>
    <w:rsid w:val="000441CF"/>
    <w:rsid w:val="00046189"/>
    <w:rsid w:val="0004740A"/>
    <w:rsid w:val="00047721"/>
    <w:rsid w:val="00053F81"/>
    <w:rsid w:val="00054560"/>
    <w:rsid w:val="00054627"/>
    <w:rsid w:val="00060A39"/>
    <w:rsid w:val="00060FAA"/>
    <w:rsid w:val="00061E08"/>
    <w:rsid w:val="00061FF7"/>
    <w:rsid w:val="00064E5C"/>
    <w:rsid w:val="00064E73"/>
    <w:rsid w:val="000667EE"/>
    <w:rsid w:val="000679F7"/>
    <w:rsid w:val="000719F5"/>
    <w:rsid w:val="0007322C"/>
    <w:rsid w:val="00074776"/>
    <w:rsid w:val="00075A3B"/>
    <w:rsid w:val="00081A71"/>
    <w:rsid w:val="00082F6E"/>
    <w:rsid w:val="00086CFF"/>
    <w:rsid w:val="000923B2"/>
    <w:rsid w:val="000933A3"/>
    <w:rsid w:val="0009370F"/>
    <w:rsid w:val="000937A5"/>
    <w:rsid w:val="00096B44"/>
    <w:rsid w:val="00097761"/>
    <w:rsid w:val="00097CDC"/>
    <w:rsid w:val="00097F23"/>
    <w:rsid w:val="00097F7A"/>
    <w:rsid w:val="000A708D"/>
    <w:rsid w:val="000A7B9B"/>
    <w:rsid w:val="000B0BE9"/>
    <w:rsid w:val="000B0D92"/>
    <w:rsid w:val="000B1756"/>
    <w:rsid w:val="000B34A5"/>
    <w:rsid w:val="000B391F"/>
    <w:rsid w:val="000B4ECA"/>
    <w:rsid w:val="000B4FC4"/>
    <w:rsid w:val="000B7F94"/>
    <w:rsid w:val="000C08FE"/>
    <w:rsid w:val="000C2BCA"/>
    <w:rsid w:val="000C369A"/>
    <w:rsid w:val="000C533F"/>
    <w:rsid w:val="000C574D"/>
    <w:rsid w:val="000D1092"/>
    <w:rsid w:val="000D147E"/>
    <w:rsid w:val="000D1886"/>
    <w:rsid w:val="000D1A07"/>
    <w:rsid w:val="000D1EDC"/>
    <w:rsid w:val="000D211C"/>
    <w:rsid w:val="000D3CFF"/>
    <w:rsid w:val="000D3E2A"/>
    <w:rsid w:val="000D67D1"/>
    <w:rsid w:val="000D6CB6"/>
    <w:rsid w:val="000E05A3"/>
    <w:rsid w:val="000E1195"/>
    <w:rsid w:val="000E16FA"/>
    <w:rsid w:val="000E3254"/>
    <w:rsid w:val="000E50CD"/>
    <w:rsid w:val="000E5611"/>
    <w:rsid w:val="000E5825"/>
    <w:rsid w:val="000E58EA"/>
    <w:rsid w:val="000E5BB3"/>
    <w:rsid w:val="000E65CC"/>
    <w:rsid w:val="000E6ED9"/>
    <w:rsid w:val="000E77A1"/>
    <w:rsid w:val="000F104E"/>
    <w:rsid w:val="000F1BAC"/>
    <w:rsid w:val="000F2D2B"/>
    <w:rsid w:val="00100F3C"/>
    <w:rsid w:val="0010131A"/>
    <w:rsid w:val="00101FEF"/>
    <w:rsid w:val="00102E6B"/>
    <w:rsid w:val="00103FCB"/>
    <w:rsid w:val="00104B47"/>
    <w:rsid w:val="00105377"/>
    <w:rsid w:val="001064C4"/>
    <w:rsid w:val="00106A16"/>
    <w:rsid w:val="0011052C"/>
    <w:rsid w:val="0011287F"/>
    <w:rsid w:val="001131FD"/>
    <w:rsid w:val="00113E00"/>
    <w:rsid w:val="00120637"/>
    <w:rsid w:val="00121894"/>
    <w:rsid w:val="00122444"/>
    <w:rsid w:val="00123293"/>
    <w:rsid w:val="00123D27"/>
    <w:rsid w:val="00124054"/>
    <w:rsid w:val="001247B4"/>
    <w:rsid w:val="001257D3"/>
    <w:rsid w:val="001262C2"/>
    <w:rsid w:val="00126572"/>
    <w:rsid w:val="001266BC"/>
    <w:rsid w:val="001271EA"/>
    <w:rsid w:val="001277F0"/>
    <w:rsid w:val="00131F8A"/>
    <w:rsid w:val="00134132"/>
    <w:rsid w:val="001350E0"/>
    <w:rsid w:val="00136505"/>
    <w:rsid w:val="00136F16"/>
    <w:rsid w:val="00140189"/>
    <w:rsid w:val="001404E4"/>
    <w:rsid w:val="00140B1C"/>
    <w:rsid w:val="00142895"/>
    <w:rsid w:val="00142D2C"/>
    <w:rsid w:val="00145AA9"/>
    <w:rsid w:val="00146DE9"/>
    <w:rsid w:val="00150D78"/>
    <w:rsid w:val="00150F10"/>
    <w:rsid w:val="00151254"/>
    <w:rsid w:val="00152CD9"/>
    <w:rsid w:val="00153EFA"/>
    <w:rsid w:val="00155B19"/>
    <w:rsid w:val="00155B62"/>
    <w:rsid w:val="001560EC"/>
    <w:rsid w:val="00160F55"/>
    <w:rsid w:val="00161458"/>
    <w:rsid w:val="00164C8B"/>
    <w:rsid w:val="0016505E"/>
    <w:rsid w:val="00165277"/>
    <w:rsid w:val="001753F2"/>
    <w:rsid w:val="00175963"/>
    <w:rsid w:val="00175B88"/>
    <w:rsid w:val="00176332"/>
    <w:rsid w:val="00176393"/>
    <w:rsid w:val="0017714F"/>
    <w:rsid w:val="001775D7"/>
    <w:rsid w:val="0018009D"/>
    <w:rsid w:val="001800EF"/>
    <w:rsid w:val="00181EE7"/>
    <w:rsid w:val="00182007"/>
    <w:rsid w:val="00182338"/>
    <w:rsid w:val="001823CC"/>
    <w:rsid w:val="00183D30"/>
    <w:rsid w:val="001840CD"/>
    <w:rsid w:val="00185BDB"/>
    <w:rsid w:val="00185E63"/>
    <w:rsid w:val="00187A41"/>
    <w:rsid w:val="00190119"/>
    <w:rsid w:val="0019263E"/>
    <w:rsid w:val="00194451"/>
    <w:rsid w:val="00194C73"/>
    <w:rsid w:val="00197ACF"/>
    <w:rsid w:val="001A1D97"/>
    <w:rsid w:val="001A249D"/>
    <w:rsid w:val="001A36A4"/>
    <w:rsid w:val="001A398E"/>
    <w:rsid w:val="001A4218"/>
    <w:rsid w:val="001A5BE4"/>
    <w:rsid w:val="001A6E19"/>
    <w:rsid w:val="001B0CA5"/>
    <w:rsid w:val="001B1843"/>
    <w:rsid w:val="001B20D6"/>
    <w:rsid w:val="001B3CC0"/>
    <w:rsid w:val="001B42C3"/>
    <w:rsid w:val="001B70D9"/>
    <w:rsid w:val="001C014B"/>
    <w:rsid w:val="001C0CD3"/>
    <w:rsid w:val="001C2D61"/>
    <w:rsid w:val="001C522D"/>
    <w:rsid w:val="001C6FEB"/>
    <w:rsid w:val="001C78AB"/>
    <w:rsid w:val="001D1571"/>
    <w:rsid w:val="001D1A9B"/>
    <w:rsid w:val="001D2714"/>
    <w:rsid w:val="001D27D6"/>
    <w:rsid w:val="001D4316"/>
    <w:rsid w:val="001D5FB5"/>
    <w:rsid w:val="001E1720"/>
    <w:rsid w:val="001E3761"/>
    <w:rsid w:val="001E3DD7"/>
    <w:rsid w:val="001E4385"/>
    <w:rsid w:val="001F1264"/>
    <w:rsid w:val="001F34CE"/>
    <w:rsid w:val="001F4A34"/>
    <w:rsid w:val="001F685A"/>
    <w:rsid w:val="001F7976"/>
    <w:rsid w:val="001F7B98"/>
    <w:rsid w:val="001F7C4F"/>
    <w:rsid w:val="002016C2"/>
    <w:rsid w:val="00203DE6"/>
    <w:rsid w:val="00204620"/>
    <w:rsid w:val="002052E4"/>
    <w:rsid w:val="00206F2D"/>
    <w:rsid w:val="002106AA"/>
    <w:rsid w:val="00210AFF"/>
    <w:rsid w:val="0021120C"/>
    <w:rsid w:val="0021150F"/>
    <w:rsid w:val="0021476C"/>
    <w:rsid w:val="00214B91"/>
    <w:rsid w:val="00215E4F"/>
    <w:rsid w:val="00217FBF"/>
    <w:rsid w:val="00221C7F"/>
    <w:rsid w:val="00222562"/>
    <w:rsid w:val="0022592F"/>
    <w:rsid w:val="00225968"/>
    <w:rsid w:val="00226A68"/>
    <w:rsid w:val="002301C6"/>
    <w:rsid w:val="00230345"/>
    <w:rsid w:val="00230BC0"/>
    <w:rsid w:val="002314C7"/>
    <w:rsid w:val="0023295C"/>
    <w:rsid w:val="00233018"/>
    <w:rsid w:val="00241375"/>
    <w:rsid w:val="00241640"/>
    <w:rsid w:val="00241E2A"/>
    <w:rsid w:val="00245018"/>
    <w:rsid w:val="00246AF4"/>
    <w:rsid w:val="00246C9C"/>
    <w:rsid w:val="0025113A"/>
    <w:rsid w:val="0025137E"/>
    <w:rsid w:val="00251B37"/>
    <w:rsid w:val="00253DDD"/>
    <w:rsid w:val="00254969"/>
    <w:rsid w:val="00254B2E"/>
    <w:rsid w:val="00255A75"/>
    <w:rsid w:val="002611D9"/>
    <w:rsid w:val="00261302"/>
    <w:rsid w:val="00261E5B"/>
    <w:rsid w:val="0026230F"/>
    <w:rsid w:val="00262622"/>
    <w:rsid w:val="00263438"/>
    <w:rsid w:val="00263727"/>
    <w:rsid w:val="00263C95"/>
    <w:rsid w:val="00266DF4"/>
    <w:rsid w:val="002676BF"/>
    <w:rsid w:val="00267EDB"/>
    <w:rsid w:val="00270046"/>
    <w:rsid w:val="002711CC"/>
    <w:rsid w:val="00273D01"/>
    <w:rsid w:val="002753A9"/>
    <w:rsid w:val="00275E8A"/>
    <w:rsid w:val="00277B9C"/>
    <w:rsid w:val="00281885"/>
    <w:rsid w:val="002841D3"/>
    <w:rsid w:val="00286A5D"/>
    <w:rsid w:val="00291DE7"/>
    <w:rsid w:val="002932D6"/>
    <w:rsid w:val="002935A7"/>
    <w:rsid w:val="002A00BE"/>
    <w:rsid w:val="002A026D"/>
    <w:rsid w:val="002A314D"/>
    <w:rsid w:val="002A45C7"/>
    <w:rsid w:val="002A4D17"/>
    <w:rsid w:val="002A6132"/>
    <w:rsid w:val="002A78DA"/>
    <w:rsid w:val="002B0035"/>
    <w:rsid w:val="002B0D76"/>
    <w:rsid w:val="002B19E8"/>
    <w:rsid w:val="002B2C92"/>
    <w:rsid w:val="002B33E7"/>
    <w:rsid w:val="002B4E16"/>
    <w:rsid w:val="002B5248"/>
    <w:rsid w:val="002B6634"/>
    <w:rsid w:val="002B6DFB"/>
    <w:rsid w:val="002C016E"/>
    <w:rsid w:val="002C04E3"/>
    <w:rsid w:val="002C2015"/>
    <w:rsid w:val="002C30AC"/>
    <w:rsid w:val="002C3AA1"/>
    <w:rsid w:val="002C5DC9"/>
    <w:rsid w:val="002C64F7"/>
    <w:rsid w:val="002C6647"/>
    <w:rsid w:val="002D0813"/>
    <w:rsid w:val="002D39C1"/>
    <w:rsid w:val="002D466E"/>
    <w:rsid w:val="002D4E97"/>
    <w:rsid w:val="002D5347"/>
    <w:rsid w:val="002D5E17"/>
    <w:rsid w:val="002D6089"/>
    <w:rsid w:val="002D6ECE"/>
    <w:rsid w:val="002D71DD"/>
    <w:rsid w:val="002E033F"/>
    <w:rsid w:val="002E26B7"/>
    <w:rsid w:val="002E42EA"/>
    <w:rsid w:val="002E4784"/>
    <w:rsid w:val="002E6510"/>
    <w:rsid w:val="002E67FA"/>
    <w:rsid w:val="002E712C"/>
    <w:rsid w:val="002E75CE"/>
    <w:rsid w:val="002E7DC0"/>
    <w:rsid w:val="002F1C2B"/>
    <w:rsid w:val="002F2459"/>
    <w:rsid w:val="002F4E4F"/>
    <w:rsid w:val="003000FF"/>
    <w:rsid w:val="003016DF"/>
    <w:rsid w:val="00302097"/>
    <w:rsid w:val="0030406B"/>
    <w:rsid w:val="00304FDE"/>
    <w:rsid w:val="00306E13"/>
    <w:rsid w:val="00307ECC"/>
    <w:rsid w:val="00310D12"/>
    <w:rsid w:val="00310DE9"/>
    <w:rsid w:val="00310E01"/>
    <w:rsid w:val="0031239E"/>
    <w:rsid w:val="00313291"/>
    <w:rsid w:val="00322196"/>
    <w:rsid w:val="003221C1"/>
    <w:rsid w:val="003234FE"/>
    <w:rsid w:val="003237D0"/>
    <w:rsid w:val="003243C7"/>
    <w:rsid w:val="00324A82"/>
    <w:rsid w:val="00325902"/>
    <w:rsid w:val="003263FE"/>
    <w:rsid w:val="00326E2A"/>
    <w:rsid w:val="00327D13"/>
    <w:rsid w:val="003316CC"/>
    <w:rsid w:val="003320D3"/>
    <w:rsid w:val="00333AEB"/>
    <w:rsid w:val="00334146"/>
    <w:rsid w:val="003360D0"/>
    <w:rsid w:val="00336562"/>
    <w:rsid w:val="003369D9"/>
    <w:rsid w:val="00336ABD"/>
    <w:rsid w:val="003375A9"/>
    <w:rsid w:val="00337C40"/>
    <w:rsid w:val="00340134"/>
    <w:rsid w:val="00340E28"/>
    <w:rsid w:val="00341026"/>
    <w:rsid w:val="00342E6C"/>
    <w:rsid w:val="00350D7C"/>
    <w:rsid w:val="0035125B"/>
    <w:rsid w:val="0035313C"/>
    <w:rsid w:val="00355EDB"/>
    <w:rsid w:val="00356437"/>
    <w:rsid w:val="00356975"/>
    <w:rsid w:val="00356CC7"/>
    <w:rsid w:val="00356D5C"/>
    <w:rsid w:val="00357B61"/>
    <w:rsid w:val="00360CD1"/>
    <w:rsid w:val="00361DF7"/>
    <w:rsid w:val="003628A3"/>
    <w:rsid w:val="00364439"/>
    <w:rsid w:val="00365D44"/>
    <w:rsid w:val="00365F9F"/>
    <w:rsid w:val="003668CE"/>
    <w:rsid w:val="003678A3"/>
    <w:rsid w:val="0037017E"/>
    <w:rsid w:val="0037420A"/>
    <w:rsid w:val="00374216"/>
    <w:rsid w:val="003745C0"/>
    <w:rsid w:val="00374A21"/>
    <w:rsid w:val="0037551E"/>
    <w:rsid w:val="003756E5"/>
    <w:rsid w:val="00376AC0"/>
    <w:rsid w:val="00376BA2"/>
    <w:rsid w:val="00377549"/>
    <w:rsid w:val="00377A4E"/>
    <w:rsid w:val="00380D9E"/>
    <w:rsid w:val="0038451F"/>
    <w:rsid w:val="00385AF3"/>
    <w:rsid w:val="00385D48"/>
    <w:rsid w:val="0038678B"/>
    <w:rsid w:val="00386F59"/>
    <w:rsid w:val="003900EB"/>
    <w:rsid w:val="00391531"/>
    <w:rsid w:val="0039303F"/>
    <w:rsid w:val="00393056"/>
    <w:rsid w:val="00393647"/>
    <w:rsid w:val="00394A2F"/>
    <w:rsid w:val="003952F1"/>
    <w:rsid w:val="00395CB5"/>
    <w:rsid w:val="00396AB6"/>
    <w:rsid w:val="00396FD2"/>
    <w:rsid w:val="00397A34"/>
    <w:rsid w:val="003A2566"/>
    <w:rsid w:val="003A4A57"/>
    <w:rsid w:val="003A53AD"/>
    <w:rsid w:val="003A64FD"/>
    <w:rsid w:val="003A7E13"/>
    <w:rsid w:val="003B07BA"/>
    <w:rsid w:val="003B1590"/>
    <w:rsid w:val="003B2B37"/>
    <w:rsid w:val="003B33E5"/>
    <w:rsid w:val="003B3937"/>
    <w:rsid w:val="003C2082"/>
    <w:rsid w:val="003C2B87"/>
    <w:rsid w:val="003C2CBE"/>
    <w:rsid w:val="003C362B"/>
    <w:rsid w:val="003C485B"/>
    <w:rsid w:val="003C4AAE"/>
    <w:rsid w:val="003C4FB5"/>
    <w:rsid w:val="003C7199"/>
    <w:rsid w:val="003D0013"/>
    <w:rsid w:val="003D246A"/>
    <w:rsid w:val="003D3C3D"/>
    <w:rsid w:val="003D4988"/>
    <w:rsid w:val="003D5F5B"/>
    <w:rsid w:val="003D7A7F"/>
    <w:rsid w:val="003E17F5"/>
    <w:rsid w:val="003E3240"/>
    <w:rsid w:val="003E3A8B"/>
    <w:rsid w:val="003E3C16"/>
    <w:rsid w:val="003E6F0F"/>
    <w:rsid w:val="003F167D"/>
    <w:rsid w:val="003F1934"/>
    <w:rsid w:val="003F230D"/>
    <w:rsid w:val="003F4263"/>
    <w:rsid w:val="003F4FB8"/>
    <w:rsid w:val="003F65CC"/>
    <w:rsid w:val="003F6F4B"/>
    <w:rsid w:val="00400BE0"/>
    <w:rsid w:val="004017E6"/>
    <w:rsid w:val="00401FC5"/>
    <w:rsid w:val="00405C7D"/>
    <w:rsid w:val="0041090A"/>
    <w:rsid w:val="00410C5B"/>
    <w:rsid w:val="00410DAF"/>
    <w:rsid w:val="0041102A"/>
    <w:rsid w:val="004120A3"/>
    <w:rsid w:val="00412340"/>
    <w:rsid w:val="00412DF5"/>
    <w:rsid w:val="004137F6"/>
    <w:rsid w:val="00416916"/>
    <w:rsid w:val="00417228"/>
    <w:rsid w:val="0042169C"/>
    <w:rsid w:val="00421C08"/>
    <w:rsid w:val="00423657"/>
    <w:rsid w:val="004237D1"/>
    <w:rsid w:val="00423FDA"/>
    <w:rsid w:val="004240E2"/>
    <w:rsid w:val="004242CB"/>
    <w:rsid w:val="004249FF"/>
    <w:rsid w:val="00425ADE"/>
    <w:rsid w:val="0042792B"/>
    <w:rsid w:val="00430059"/>
    <w:rsid w:val="004304EC"/>
    <w:rsid w:val="00431D65"/>
    <w:rsid w:val="004320D1"/>
    <w:rsid w:val="00432263"/>
    <w:rsid w:val="00432EC1"/>
    <w:rsid w:val="00435221"/>
    <w:rsid w:val="004352F4"/>
    <w:rsid w:val="00436CD4"/>
    <w:rsid w:val="0043728A"/>
    <w:rsid w:val="00437C95"/>
    <w:rsid w:val="004403E4"/>
    <w:rsid w:val="00442985"/>
    <w:rsid w:val="0044315E"/>
    <w:rsid w:val="0044527D"/>
    <w:rsid w:val="004467B1"/>
    <w:rsid w:val="00446BE5"/>
    <w:rsid w:val="00450004"/>
    <w:rsid w:val="00451B68"/>
    <w:rsid w:val="0045237B"/>
    <w:rsid w:val="004524C3"/>
    <w:rsid w:val="004610D1"/>
    <w:rsid w:val="00462082"/>
    <w:rsid w:val="004632E8"/>
    <w:rsid w:val="00463AFF"/>
    <w:rsid w:val="00465297"/>
    <w:rsid w:val="0046684A"/>
    <w:rsid w:val="0047108B"/>
    <w:rsid w:val="004767A2"/>
    <w:rsid w:val="00476EAE"/>
    <w:rsid w:val="004810EB"/>
    <w:rsid w:val="00482436"/>
    <w:rsid w:val="004829D5"/>
    <w:rsid w:val="00482BD6"/>
    <w:rsid w:val="0048312B"/>
    <w:rsid w:val="004834A8"/>
    <w:rsid w:val="00483C49"/>
    <w:rsid w:val="004858A6"/>
    <w:rsid w:val="004859DA"/>
    <w:rsid w:val="00485EBE"/>
    <w:rsid w:val="00485ED6"/>
    <w:rsid w:val="0049045A"/>
    <w:rsid w:val="00492CE9"/>
    <w:rsid w:val="004948EE"/>
    <w:rsid w:val="00495E9A"/>
    <w:rsid w:val="004962C1"/>
    <w:rsid w:val="0049646B"/>
    <w:rsid w:val="00496D04"/>
    <w:rsid w:val="004A2A9E"/>
    <w:rsid w:val="004A3ACE"/>
    <w:rsid w:val="004A3E0F"/>
    <w:rsid w:val="004A44B2"/>
    <w:rsid w:val="004A44C9"/>
    <w:rsid w:val="004A5E61"/>
    <w:rsid w:val="004A6B2F"/>
    <w:rsid w:val="004A7D58"/>
    <w:rsid w:val="004B02EF"/>
    <w:rsid w:val="004B0572"/>
    <w:rsid w:val="004B07F0"/>
    <w:rsid w:val="004B16A6"/>
    <w:rsid w:val="004B25D2"/>
    <w:rsid w:val="004B34DE"/>
    <w:rsid w:val="004B392B"/>
    <w:rsid w:val="004B49C8"/>
    <w:rsid w:val="004B5AC4"/>
    <w:rsid w:val="004B695D"/>
    <w:rsid w:val="004C02AA"/>
    <w:rsid w:val="004C1D19"/>
    <w:rsid w:val="004C3ED0"/>
    <w:rsid w:val="004C42C8"/>
    <w:rsid w:val="004C61F8"/>
    <w:rsid w:val="004C7E4E"/>
    <w:rsid w:val="004D25AE"/>
    <w:rsid w:val="004D3522"/>
    <w:rsid w:val="004D3F4C"/>
    <w:rsid w:val="004D560C"/>
    <w:rsid w:val="004D5843"/>
    <w:rsid w:val="004D720E"/>
    <w:rsid w:val="004D76AF"/>
    <w:rsid w:val="004E0377"/>
    <w:rsid w:val="004E4304"/>
    <w:rsid w:val="004E699C"/>
    <w:rsid w:val="004F2030"/>
    <w:rsid w:val="004F3DD0"/>
    <w:rsid w:val="004F437F"/>
    <w:rsid w:val="004F5A46"/>
    <w:rsid w:val="004F60B8"/>
    <w:rsid w:val="004F680A"/>
    <w:rsid w:val="00501142"/>
    <w:rsid w:val="005025BA"/>
    <w:rsid w:val="005041CF"/>
    <w:rsid w:val="00504827"/>
    <w:rsid w:val="0051302F"/>
    <w:rsid w:val="0051357F"/>
    <w:rsid w:val="00513968"/>
    <w:rsid w:val="00514F33"/>
    <w:rsid w:val="00521BF9"/>
    <w:rsid w:val="00522D6A"/>
    <w:rsid w:val="00522E12"/>
    <w:rsid w:val="0052402F"/>
    <w:rsid w:val="005240CA"/>
    <w:rsid w:val="005241CE"/>
    <w:rsid w:val="005244F8"/>
    <w:rsid w:val="00526F77"/>
    <w:rsid w:val="005270B5"/>
    <w:rsid w:val="005314B6"/>
    <w:rsid w:val="00532114"/>
    <w:rsid w:val="005328C5"/>
    <w:rsid w:val="00532EC2"/>
    <w:rsid w:val="005332AC"/>
    <w:rsid w:val="00533975"/>
    <w:rsid w:val="00533F4D"/>
    <w:rsid w:val="005404C0"/>
    <w:rsid w:val="005422C0"/>
    <w:rsid w:val="00543A05"/>
    <w:rsid w:val="00545525"/>
    <w:rsid w:val="00547A53"/>
    <w:rsid w:val="00547A6D"/>
    <w:rsid w:val="005500E6"/>
    <w:rsid w:val="00553B1A"/>
    <w:rsid w:val="0055423C"/>
    <w:rsid w:val="00556BA8"/>
    <w:rsid w:val="00557CB0"/>
    <w:rsid w:val="0056187A"/>
    <w:rsid w:val="005641F2"/>
    <w:rsid w:val="005670C3"/>
    <w:rsid w:val="005706BD"/>
    <w:rsid w:val="0057213C"/>
    <w:rsid w:val="00574AFB"/>
    <w:rsid w:val="00582B0B"/>
    <w:rsid w:val="00583621"/>
    <w:rsid w:val="00583B37"/>
    <w:rsid w:val="0058508E"/>
    <w:rsid w:val="005851E3"/>
    <w:rsid w:val="00585500"/>
    <w:rsid w:val="00585545"/>
    <w:rsid w:val="00585F2B"/>
    <w:rsid w:val="005867BD"/>
    <w:rsid w:val="0059166D"/>
    <w:rsid w:val="0059200C"/>
    <w:rsid w:val="00593B5B"/>
    <w:rsid w:val="00596D16"/>
    <w:rsid w:val="00597B63"/>
    <w:rsid w:val="005A2FA0"/>
    <w:rsid w:val="005A56C9"/>
    <w:rsid w:val="005A75CA"/>
    <w:rsid w:val="005A796B"/>
    <w:rsid w:val="005B0E53"/>
    <w:rsid w:val="005B138F"/>
    <w:rsid w:val="005B32DD"/>
    <w:rsid w:val="005B3A58"/>
    <w:rsid w:val="005B47B5"/>
    <w:rsid w:val="005B782F"/>
    <w:rsid w:val="005C0C81"/>
    <w:rsid w:val="005C193A"/>
    <w:rsid w:val="005C19ED"/>
    <w:rsid w:val="005C1CBA"/>
    <w:rsid w:val="005C2364"/>
    <w:rsid w:val="005C3D09"/>
    <w:rsid w:val="005C58FB"/>
    <w:rsid w:val="005C6290"/>
    <w:rsid w:val="005C6E40"/>
    <w:rsid w:val="005C7A15"/>
    <w:rsid w:val="005D0FCF"/>
    <w:rsid w:val="005D1336"/>
    <w:rsid w:val="005D42A0"/>
    <w:rsid w:val="005D533B"/>
    <w:rsid w:val="005D5BE8"/>
    <w:rsid w:val="005D6166"/>
    <w:rsid w:val="005D688F"/>
    <w:rsid w:val="005D7A43"/>
    <w:rsid w:val="005D7CAD"/>
    <w:rsid w:val="005E1271"/>
    <w:rsid w:val="005E1886"/>
    <w:rsid w:val="005E299E"/>
    <w:rsid w:val="005E2E8C"/>
    <w:rsid w:val="005E7451"/>
    <w:rsid w:val="005E7D00"/>
    <w:rsid w:val="005F042C"/>
    <w:rsid w:val="005F1B9C"/>
    <w:rsid w:val="005F4319"/>
    <w:rsid w:val="005F642D"/>
    <w:rsid w:val="006023A1"/>
    <w:rsid w:val="00602E59"/>
    <w:rsid w:val="00603DCA"/>
    <w:rsid w:val="00606AE9"/>
    <w:rsid w:val="00607303"/>
    <w:rsid w:val="006131C9"/>
    <w:rsid w:val="00614D2D"/>
    <w:rsid w:val="00615E7F"/>
    <w:rsid w:val="006164DD"/>
    <w:rsid w:val="00616611"/>
    <w:rsid w:val="00616FF5"/>
    <w:rsid w:val="006221AA"/>
    <w:rsid w:val="00622379"/>
    <w:rsid w:val="006245E0"/>
    <w:rsid w:val="006246F2"/>
    <w:rsid w:val="006256F6"/>
    <w:rsid w:val="00625A31"/>
    <w:rsid w:val="0062688D"/>
    <w:rsid w:val="00627978"/>
    <w:rsid w:val="006309C2"/>
    <w:rsid w:val="00631551"/>
    <w:rsid w:val="00632674"/>
    <w:rsid w:val="00632F13"/>
    <w:rsid w:val="00634E49"/>
    <w:rsid w:val="00635220"/>
    <w:rsid w:val="006364B0"/>
    <w:rsid w:val="00637F1B"/>
    <w:rsid w:val="006424F0"/>
    <w:rsid w:val="006433EF"/>
    <w:rsid w:val="0064389E"/>
    <w:rsid w:val="006439FE"/>
    <w:rsid w:val="006453D0"/>
    <w:rsid w:val="00646EC7"/>
    <w:rsid w:val="006522A8"/>
    <w:rsid w:val="00652F07"/>
    <w:rsid w:val="00654E31"/>
    <w:rsid w:val="006638AB"/>
    <w:rsid w:val="00664E8D"/>
    <w:rsid w:val="00666906"/>
    <w:rsid w:val="00666ED9"/>
    <w:rsid w:val="00666F44"/>
    <w:rsid w:val="0066751B"/>
    <w:rsid w:val="006676F2"/>
    <w:rsid w:val="00674192"/>
    <w:rsid w:val="006811AF"/>
    <w:rsid w:val="00681E81"/>
    <w:rsid w:val="006832DD"/>
    <w:rsid w:val="00683450"/>
    <w:rsid w:val="00685363"/>
    <w:rsid w:val="00685F9D"/>
    <w:rsid w:val="00690CD4"/>
    <w:rsid w:val="00691705"/>
    <w:rsid w:val="00691BA4"/>
    <w:rsid w:val="0069285F"/>
    <w:rsid w:val="006958F5"/>
    <w:rsid w:val="00696025"/>
    <w:rsid w:val="006978D9"/>
    <w:rsid w:val="006A21A2"/>
    <w:rsid w:val="006A25B6"/>
    <w:rsid w:val="006A2651"/>
    <w:rsid w:val="006A3F44"/>
    <w:rsid w:val="006A47A8"/>
    <w:rsid w:val="006A5029"/>
    <w:rsid w:val="006A6C3D"/>
    <w:rsid w:val="006A6EF1"/>
    <w:rsid w:val="006A75C9"/>
    <w:rsid w:val="006A76FC"/>
    <w:rsid w:val="006B3249"/>
    <w:rsid w:val="006B3851"/>
    <w:rsid w:val="006B407C"/>
    <w:rsid w:val="006B41CF"/>
    <w:rsid w:val="006B4BC7"/>
    <w:rsid w:val="006B4CBF"/>
    <w:rsid w:val="006B4FB3"/>
    <w:rsid w:val="006B56C6"/>
    <w:rsid w:val="006B5EA8"/>
    <w:rsid w:val="006B63E2"/>
    <w:rsid w:val="006B7730"/>
    <w:rsid w:val="006C17DB"/>
    <w:rsid w:val="006C21C7"/>
    <w:rsid w:val="006C27AF"/>
    <w:rsid w:val="006C334F"/>
    <w:rsid w:val="006C42B2"/>
    <w:rsid w:val="006C6459"/>
    <w:rsid w:val="006C6628"/>
    <w:rsid w:val="006C6D98"/>
    <w:rsid w:val="006D0C91"/>
    <w:rsid w:val="006D171B"/>
    <w:rsid w:val="006D1B08"/>
    <w:rsid w:val="006D2ECB"/>
    <w:rsid w:val="006D4C52"/>
    <w:rsid w:val="006E1B94"/>
    <w:rsid w:val="006E1D04"/>
    <w:rsid w:val="006E545F"/>
    <w:rsid w:val="006E572E"/>
    <w:rsid w:val="006F0ECE"/>
    <w:rsid w:val="006F1D45"/>
    <w:rsid w:val="006F2850"/>
    <w:rsid w:val="006F3EC2"/>
    <w:rsid w:val="006F49E2"/>
    <w:rsid w:val="006F4A2C"/>
    <w:rsid w:val="006F568C"/>
    <w:rsid w:val="006F6ED9"/>
    <w:rsid w:val="006F70C7"/>
    <w:rsid w:val="006F7583"/>
    <w:rsid w:val="006F7BD9"/>
    <w:rsid w:val="006F7CC5"/>
    <w:rsid w:val="0070030A"/>
    <w:rsid w:val="0070290B"/>
    <w:rsid w:val="00703C74"/>
    <w:rsid w:val="0070456A"/>
    <w:rsid w:val="00706BD9"/>
    <w:rsid w:val="00707B6A"/>
    <w:rsid w:val="00707E4F"/>
    <w:rsid w:val="00712C3D"/>
    <w:rsid w:val="00712F28"/>
    <w:rsid w:val="007137A8"/>
    <w:rsid w:val="00715A07"/>
    <w:rsid w:val="00721998"/>
    <w:rsid w:val="00723B40"/>
    <w:rsid w:val="007251A8"/>
    <w:rsid w:val="007256F3"/>
    <w:rsid w:val="00725840"/>
    <w:rsid w:val="00727F1E"/>
    <w:rsid w:val="00730390"/>
    <w:rsid w:val="00731280"/>
    <w:rsid w:val="00731820"/>
    <w:rsid w:val="00731FC3"/>
    <w:rsid w:val="007363B2"/>
    <w:rsid w:val="007376C6"/>
    <w:rsid w:val="007406E3"/>
    <w:rsid w:val="007407EA"/>
    <w:rsid w:val="00740C5E"/>
    <w:rsid w:val="007410B3"/>
    <w:rsid w:val="007417E7"/>
    <w:rsid w:val="00741A95"/>
    <w:rsid w:val="0074432D"/>
    <w:rsid w:val="00745DA7"/>
    <w:rsid w:val="007464D8"/>
    <w:rsid w:val="00747334"/>
    <w:rsid w:val="00747537"/>
    <w:rsid w:val="00750B20"/>
    <w:rsid w:val="00751FC7"/>
    <w:rsid w:val="007554FF"/>
    <w:rsid w:val="00760574"/>
    <w:rsid w:val="007606F8"/>
    <w:rsid w:val="00760853"/>
    <w:rsid w:val="00762662"/>
    <w:rsid w:val="00762F59"/>
    <w:rsid w:val="00763DF5"/>
    <w:rsid w:val="00766189"/>
    <w:rsid w:val="00766224"/>
    <w:rsid w:val="00767392"/>
    <w:rsid w:val="00767FB0"/>
    <w:rsid w:val="00773711"/>
    <w:rsid w:val="0077467D"/>
    <w:rsid w:val="00777529"/>
    <w:rsid w:val="00780611"/>
    <w:rsid w:val="007808E7"/>
    <w:rsid w:val="00780C9A"/>
    <w:rsid w:val="00782CB6"/>
    <w:rsid w:val="00784D9F"/>
    <w:rsid w:val="00786191"/>
    <w:rsid w:val="0078738E"/>
    <w:rsid w:val="00790A31"/>
    <w:rsid w:val="00792707"/>
    <w:rsid w:val="00795759"/>
    <w:rsid w:val="007978E7"/>
    <w:rsid w:val="007A0F0E"/>
    <w:rsid w:val="007A4FC1"/>
    <w:rsid w:val="007A5C57"/>
    <w:rsid w:val="007A743B"/>
    <w:rsid w:val="007A7776"/>
    <w:rsid w:val="007B0087"/>
    <w:rsid w:val="007B0901"/>
    <w:rsid w:val="007B166A"/>
    <w:rsid w:val="007B2D20"/>
    <w:rsid w:val="007B3A6C"/>
    <w:rsid w:val="007B5270"/>
    <w:rsid w:val="007B551E"/>
    <w:rsid w:val="007C0B00"/>
    <w:rsid w:val="007C3706"/>
    <w:rsid w:val="007C3DB8"/>
    <w:rsid w:val="007C4AEA"/>
    <w:rsid w:val="007C6940"/>
    <w:rsid w:val="007C6C75"/>
    <w:rsid w:val="007C750C"/>
    <w:rsid w:val="007D37DB"/>
    <w:rsid w:val="007D4617"/>
    <w:rsid w:val="007D48AC"/>
    <w:rsid w:val="007D49C7"/>
    <w:rsid w:val="007D4CAC"/>
    <w:rsid w:val="007D6A6E"/>
    <w:rsid w:val="007D7149"/>
    <w:rsid w:val="007E000F"/>
    <w:rsid w:val="007E06E7"/>
    <w:rsid w:val="007E1BC8"/>
    <w:rsid w:val="007E29B9"/>
    <w:rsid w:val="007E2BF7"/>
    <w:rsid w:val="007E6FDE"/>
    <w:rsid w:val="007E7AA9"/>
    <w:rsid w:val="007F04EA"/>
    <w:rsid w:val="007F25B0"/>
    <w:rsid w:val="007F26F8"/>
    <w:rsid w:val="007F502A"/>
    <w:rsid w:val="007F6240"/>
    <w:rsid w:val="00801D2C"/>
    <w:rsid w:val="00807569"/>
    <w:rsid w:val="00807657"/>
    <w:rsid w:val="0081366A"/>
    <w:rsid w:val="008136C2"/>
    <w:rsid w:val="00813A84"/>
    <w:rsid w:val="00813D31"/>
    <w:rsid w:val="00816152"/>
    <w:rsid w:val="008164B4"/>
    <w:rsid w:val="00816534"/>
    <w:rsid w:val="008221E6"/>
    <w:rsid w:val="0082317C"/>
    <w:rsid w:val="00823868"/>
    <w:rsid w:val="00824F46"/>
    <w:rsid w:val="0082696B"/>
    <w:rsid w:val="00831E64"/>
    <w:rsid w:val="00832031"/>
    <w:rsid w:val="00833D4F"/>
    <w:rsid w:val="00833F5F"/>
    <w:rsid w:val="008358E4"/>
    <w:rsid w:val="008366ED"/>
    <w:rsid w:val="00837980"/>
    <w:rsid w:val="0084076C"/>
    <w:rsid w:val="00843924"/>
    <w:rsid w:val="00845C57"/>
    <w:rsid w:val="00846EA5"/>
    <w:rsid w:val="0084715C"/>
    <w:rsid w:val="008477C5"/>
    <w:rsid w:val="00850B17"/>
    <w:rsid w:val="008513CE"/>
    <w:rsid w:val="0085267A"/>
    <w:rsid w:val="00852846"/>
    <w:rsid w:val="00853992"/>
    <w:rsid w:val="0085417D"/>
    <w:rsid w:val="00856303"/>
    <w:rsid w:val="008569F0"/>
    <w:rsid w:val="00862B02"/>
    <w:rsid w:val="0086339D"/>
    <w:rsid w:val="00866EE8"/>
    <w:rsid w:val="00871438"/>
    <w:rsid w:val="00872090"/>
    <w:rsid w:val="00874B12"/>
    <w:rsid w:val="00877303"/>
    <w:rsid w:val="00880AEE"/>
    <w:rsid w:val="0088112E"/>
    <w:rsid w:val="00890345"/>
    <w:rsid w:val="00890577"/>
    <w:rsid w:val="008907DF"/>
    <w:rsid w:val="00891355"/>
    <w:rsid w:val="008A0BDB"/>
    <w:rsid w:val="008A1082"/>
    <w:rsid w:val="008A1F57"/>
    <w:rsid w:val="008A449E"/>
    <w:rsid w:val="008A495C"/>
    <w:rsid w:val="008A4E82"/>
    <w:rsid w:val="008A5D91"/>
    <w:rsid w:val="008A78F1"/>
    <w:rsid w:val="008A7A21"/>
    <w:rsid w:val="008B12B5"/>
    <w:rsid w:val="008B2E92"/>
    <w:rsid w:val="008B419C"/>
    <w:rsid w:val="008B4C53"/>
    <w:rsid w:val="008B669B"/>
    <w:rsid w:val="008B6907"/>
    <w:rsid w:val="008B6E72"/>
    <w:rsid w:val="008B703B"/>
    <w:rsid w:val="008C4170"/>
    <w:rsid w:val="008C6346"/>
    <w:rsid w:val="008C697F"/>
    <w:rsid w:val="008C6E70"/>
    <w:rsid w:val="008C74EF"/>
    <w:rsid w:val="008D250D"/>
    <w:rsid w:val="008D4884"/>
    <w:rsid w:val="008D5819"/>
    <w:rsid w:val="008D5AFC"/>
    <w:rsid w:val="008D5D04"/>
    <w:rsid w:val="008D75CD"/>
    <w:rsid w:val="008E0C4E"/>
    <w:rsid w:val="008E1609"/>
    <w:rsid w:val="008F1499"/>
    <w:rsid w:val="008F36B0"/>
    <w:rsid w:val="008F3FC3"/>
    <w:rsid w:val="008F3FD7"/>
    <w:rsid w:val="008F5789"/>
    <w:rsid w:val="008F6052"/>
    <w:rsid w:val="008F60FA"/>
    <w:rsid w:val="009005D3"/>
    <w:rsid w:val="009017B5"/>
    <w:rsid w:val="009032D3"/>
    <w:rsid w:val="00903648"/>
    <w:rsid w:val="00903BB1"/>
    <w:rsid w:val="00904CAB"/>
    <w:rsid w:val="00905823"/>
    <w:rsid w:val="00906C05"/>
    <w:rsid w:val="00906DEE"/>
    <w:rsid w:val="00907BA4"/>
    <w:rsid w:val="00907F34"/>
    <w:rsid w:val="00911D38"/>
    <w:rsid w:val="00913083"/>
    <w:rsid w:val="009131FD"/>
    <w:rsid w:val="0091628B"/>
    <w:rsid w:val="00916DA0"/>
    <w:rsid w:val="00917737"/>
    <w:rsid w:val="00921FF7"/>
    <w:rsid w:val="00925A07"/>
    <w:rsid w:val="009273A5"/>
    <w:rsid w:val="00927CB3"/>
    <w:rsid w:val="00932737"/>
    <w:rsid w:val="00933821"/>
    <w:rsid w:val="00934C48"/>
    <w:rsid w:val="00935374"/>
    <w:rsid w:val="00936B05"/>
    <w:rsid w:val="00937B22"/>
    <w:rsid w:val="00937EDB"/>
    <w:rsid w:val="0094133E"/>
    <w:rsid w:val="00942BBF"/>
    <w:rsid w:val="00946B10"/>
    <w:rsid w:val="00950110"/>
    <w:rsid w:val="00951728"/>
    <w:rsid w:val="00951FDA"/>
    <w:rsid w:val="009520A5"/>
    <w:rsid w:val="00952387"/>
    <w:rsid w:val="00952399"/>
    <w:rsid w:val="00953465"/>
    <w:rsid w:val="009549FC"/>
    <w:rsid w:val="00955E0A"/>
    <w:rsid w:val="00955F7E"/>
    <w:rsid w:val="0095762A"/>
    <w:rsid w:val="00957DE3"/>
    <w:rsid w:val="00962259"/>
    <w:rsid w:val="009623B5"/>
    <w:rsid w:val="00962D4C"/>
    <w:rsid w:val="00963929"/>
    <w:rsid w:val="00964FFB"/>
    <w:rsid w:val="00966581"/>
    <w:rsid w:val="00970223"/>
    <w:rsid w:val="00970F6B"/>
    <w:rsid w:val="00972B4A"/>
    <w:rsid w:val="00972D09"/>
    <w:rsid w:val="00975198"/>
    <w:rsid w:val="0097553C"/>
    <w:rsid w:val="00976891"/>
    <w:rsid w:val="00977464"/>
    <w:rsid w:val="00977CF2"/>
    <w:rsid w:val="00977DE6"/>
    <w:rsid w:val="009807EE"/>
    <w:rsid w:val="00983F50"/>
    <w:rsid w:val="009865A3"/>
    <w:rsid w:val="00987549"/>
    <w:rsid w:val="00990539"/>
    <w:rsid w:val="00991D6C"/>
    <w:rsid w:val="00991D76"/>
    <w:rsid w:val="00995D3C"/>
    <w:rsid w:val="0099794F"/>
    <w:rsid w:val="009A0A8B"/>
    <w:rsid w:val="009A0C5A"/>
    <w:rsid w:val="009A12B1"/>
    <w:rsid w:val="009A1447"/>
    <w:rsid w:val="009A18C6"/>
    <w:rsid w:val="009A1D43"/>
    <w:rsid w:val="009A28F6"/>
    <w:rsid w:val="009A471F"/>
    <w:rsid w:val="009A6B67"/>
    <w:rsid w:val="009B02FA"/>
    <w:rsid w:val="009B5690"/>
    <w:rsid w:val="009B5BC2"/>
    <w:rsid w:val="009B6498"/>
    <w:rsid w:val="009B77FF"/>
    <w:rsid w:val="009C1CBF"/>
    <w:rsid w:val="009C3872"/>
    <w:rsid w:val="009C47BC"/>
    <w:rsid w:val="009C5578"/>
    <w:rsid w:val="009D0053"/>
    <w:rsid w:val="009D1B5B"/>
    <w:rsid w:val="009D21C3"/>
    <w:rsid w:val="009D3ECC"/>
    <w:rsid w:val="009D7F95"/>
    <w:rsid w:val="009E3E18"/>
    <w:rsid w:val="009E5D25"/>
    <w:rsid w:val="009E707E"/>
    <w:rsid w:val="009F03EB"/>
    <w:rsid w:val="009F095C"/>
    <w:rsid w:val="00A02B73"/>
    <w:rsid w:val="00A02E51"/>
    <w:rsid w:val="00A03026"/>
    <w:rsid w:val="00A0377F"/>
    <w:rsid w:val="00A04479"/>
    <w:rsid w:val="00A05A58"/>
    <w:rsid w:val="00A06368"/>
    <w:rsid w:val="00A10EB2"/>
    <w:rsid w:val="00A115C2"/>
    <w:rsid w:val="00A12441"/>
    <w:rsid w:val="00A13D33"/>
    <w:rsid w:val="00A1552B"/>
    <w:rsid w:val="00A16015"/>
    <w:rsid w:val="00A16019"/>
    <w:rsid w:val="00A166E2"/>
    <w:rsid w:val="00A174B3"/>
    <w:rsid w:val="00A174B7"/>
    <w:rsid w:val="00A17C55"/>
    <w:rsid w:val="00A228E6"/>
    <w:rsid w:val="00A24CE6"/>
    <w:rsid w:val="00A24D2D"/>
    <w:rsid w:val="00A251FD"/>
    <w:rsid w:val="00A256A6"/>
    <w:rsid w:val="00A303C6"/>
    <w:rsid w:val="00A30F71"/>
    <w:rsid w:val="00A31F10"/>
    <w:rsid w:val="00A32042"/>
    <w:rsid w:val="00A32D11"/>
    <w:rsid w:val="00A3351B"/>
    <w:rsid w:val="00A34BD2"/>
    <w:rsid w:val="00A354CC"/>
    <w:rsid w:val="00A36859"/>
    <w:rsid w:val="00A4088D"/>
    <w:rsid w:val="00A4139D"/>
    <w:rsid w:val="00A43300"/>
    <w:rsid w:val="00A444DC"/>
    <w:rsid w:val="00A477DB"/>
    <w:rsid w:val="00A50FA0"/>
    <w:rsid w:val="00A529AB"/>
    <w:rsid w:val="00A52AA4"/>
    <w:rsid w:val="00A53A65"/>
    <w:rsid w:val="00A53B00"/>
    <w:rsid w:val="00A54604"/>
    <w:rsid w:val="00A56E7D"/>
    <w:rsid w:val="00A5705E"/>
    <w:rsid w:val="00A5788B"/>
    <w:rsid w:val="00A612D8"/>
    <w:rsid w:val="00A64F59"/>
    <w:rsid w:val="00A70EDF"/>
    <w:rsid w:val="00A7190F"/>
    <w:rsid w:val="00A72BB1"/>
    <w:rsid w:val="00A7472C"/>
    <w:rsid w:val="00A75EEE"/>
    <w:rsid w:val="00A76302"/>
    <w:rsid w:val="00A77BB2"/>
    <w:rsid w:val="00A8044F"/>
    <w:rsid w:val="00A807BA"/>
    <w:rsid w:val="00A8081C"/>
    <w:rsid w:val="00A80D50"/>
    <w:rsid w:val="00A810C6"/>
    <w:rsid w:val="00A8127C"/>
    <w:rsid w:val="00A83B44"/>
    <w:rsid w:val="00A86086"/>
    <w:rsid w:val="00A86158"/>
    <w:rsid w:val="00A864B3"/>
    <w:rsid w:val="00A86562"/>
    <w:rsid w:val="00A868AA"/>
    <w:rsid w:val="00A87F38"/>
    <w:rsid w:val="00A9209B"/>
    <w:rsid w:val="00A93B00"/>
    <w:rsid w:val="00A9472E"/>
    <w:rsid w:val="00A960DF"/>
    <w:rsid w:val="00A961F1"/>
    <w:rsid w:val="00A97227"/>
    <w:rsid w:val="00AA1369"/>
    <w:rsid w:val="00AA15F4"/>
    <w:rsid w:val="00AA660F"/>
    <w:rsid w:val="00AB1650"/>
    <w:rsid w:val="00AB2D6A"/>
    <w:rsid w:val="00AB41E3"/>
    <w:rsid w:val="00AB490E"/>
    <w:rsid w:val="00AB4D0E"/>
    <w:rsid w:val="00AC062C"/>
    <w:rsid w:val="00AC20DD"/>
    <w:rsid w:val="00AC281D"/>
    <w:rsid w:val="00AC2BC9"/>
    <w:rsid w:val="00AC415F"/>
    <w:rsid w:val="00AC4B99"/>
    <w:rsid w:val="00AC7141"/>
    <w:rsid w:val="00AD069B"/>
    <w:rsid w:val="00AD1145"/>
    <w:rsid w:val="00AD2A43"/>
    <w:rsid w:val="00AD3CD7"/>
    <w:rsid w:val="00AD431F"/>
    <w:rsid w:val="00AD434D"/>
    <w:rsid w:val="00AD49EF"/>
    <w:rsid w:val="00AD5DF5"/>
    <w:rsid w:val="00AD78F5"/>
    <w:rsid w:val="00AE0BC8"/>
    <w:rsid w:val="00AE0C13"/>
    <w:rsid w:val="00AE0D49"/>
    <w:rsid w:val="00AE2AD8"/>
    <w:rsid w:val="00AE3084"/>
    <w:rsid w:val="00AE42B2"/>
    <w:rsid w:val="00AE499E"/>
    <w:rsid w:val="00AE5A5C"/>
    <w:rsid w:val="00AE7AC3"/>
    <w:rsid w:val="00AF3A17"/>
    <w:rsid w:val="00AF67BF"/>
    <w:rsid w:val="00AF7B49"/>
    <w:rsid w:val="00AF7FA0"/>
    <w:rsid w:val="00B00760"/>
    <w:rsid w:val="00B02796"/>
    <w:rsid w:val="00B0548B"/>
    <w:rsid w:val="00B1118A"/>
    <w:rsid w:val="00B1122B"/>
    <w:rsid w:val="00B13B4F"/>
    <w:rsid w:val="00B15D3A"/>
    <w:rsid w:val="00B15F20"/>
    <w:rsid w:val="00B17288"/>
    <w:rsid w:val="00B179EB"/>
    <w:rsid w:val="00B207EF"/>
    <w:rsid w:val="00B23D64"/>
    <w:rsid w:val="00B30829"/>
    <w:rsid w:val="00B31E93"/>
    <w:rsid w:val="00B35078"/>
    <w:rsid w:val="00B37F84"/>
    <w:rsid w:val="00B40917"/>
    <w:rsid w:val="00B42A12"/>
    <w:rsid w:val="00B43111"/>
    <w:rsid w:val="00B43DA8"/>
    <w:rsid w:val="00B442B9"/>
    <w:rsid w:val="00B512F9"/>
    <w:rsid w:val="00B53178"/>
    <w:rsid w:val="00B53E97"/>
    <w:rsid w:val="00B55D34"/>
    <w:rsid w:val="00B57428"/>
    <w:rsid w:val="00B57430"/>
    <w:rsid w:val="00B607C4"/>
    <w:rsid w:val="00B6149A"/>
    <w:rsid w:val="00B62C70"/>
    <w:rsid w:val="00B635F9"/>
    <w:rsid w:val="00B63917"/>
    <w:rsid w:val="00B63F14"/>
    <w:rsid w:val="00B6482F"/>
    <w:rsid w:val="00B64A0A"/>
    <w:rsid w:val="00B67B14"/>
    <w:rsid w:val="00B7116C"/>
    <w:rsid w:val="00B72A5C"/>
    <w:rsid w:val="00B74412"/>
    <w:rsid w:val="00B74F58"/>
    <w:rsid w:val="00B7508B"/>
    <w:rsid w:val="00B76A89"/>
    <w:rsid w:val="00B8127F"/>
    <w:rsid w:val="00B824E6"/>
    <w:rsid w:val="00B85191"/>
    <w:rsid w:val="00B87340"/>
    <w:rsid w:val="00B906BA"/>
    <w:rsid w:val="00B91741"/>
    <w:rsid w:val="00B92EC1"/>
    <w:rsid w:val="00B932DB"/>
    <w:rsid w:val="00B9414C"/>
    <w:rsid w:val="00B95C6B"/>
    <w:rsid w:val="00BA2D39"/>
    <w:rsid w:val="00BA3CC5"/>
    <w:rsid w:val="00BA7BAA"/>
    <w:rsid w:val="00BB07A5"/>
    <w:rsid w:val="00BB56D9"/>
    <w:rsid w:val="00BB5D03"/>
    <w:rsid w:val="00BC03E6"/>
    <w:rsid w:val="00BC0AED"/>
    <w:rsid w:val="00BC137C"/>
    <w:rsid w:val="00BC242B"/>
    <w:rsid w:val="00BC2A71"/>
    <w:rsid w:val="00BC3384"/>
    <w:rsid w:val="00BD0C9C"/>
    <w:rsid w:val="00BD2E07"/>
    <w:rsid w:val="00BD67D8"/>
    <w:rsid w:val="00BD71E0"/>
    <w:rsid w:val="00BD7D64"/>
    <w:rsid w:val="00BE2E53"/>
    <w:rsid w:val="00BE37D1"/>
    <w:rsid w:val="00BE4BB4"/>
    <w:rsid w:val="00BE6038"/>
    <w:rsid w:val="00BE7C58"/>
    <w:rsid w:val="00BE7C99"/>
    <w:rsid w:val="00BF235E"/>
    <w:rsid w:val="00BF254E"/>
    <w:rsid w:val="00BF28EB"/>
    <w:rsid w:val="00BF2EFC"/>
    <w:rsid w:val="00BF458D"/>
    <w:rsid w:val="00BF4C45"/>
    <w:rsid w:val="00BF5EE5"/>
    <w:rsid w:val="00BF6AE9"/>
    <w:rsid w:val="00C03EE0"/>
    <w:rsid w:val="00C0466F"/>
    <w:rsid w:val="00C0526F"/>
    <w:rsid w:val="00C05F0D"/>
    <w:rsid w:val="00C068D2"/>
    <w:rsid w:val="00C06E4E"/>
    <w:rsid w:val="00C070D3"/>
    <w:rsid w:val="00C072CD"/>
    <w:rsid w:val="00C12FE2"/>
    <w:rsid w:val="00C13DBF"/>
    <w:rsid w:val="00C166B9"/>
    <w:rsid w:val="00C171AF"/>
    <w:rsid w:val="00C17A9E"/>
    <w:rsid w:val="00C17BC0"/>
    <w:rsid w:val="00C20F05"/>
    <w:rsid w:val="00C2110B"/>
    <w:rsid w:val="00C25EC8"/>
    <w:rsid w:val="00C26D5D"/>
    <w:rsid w:val="00C27878"/>
    <w:rsid w:val="00C30BD2"/>
    <w:rsid w:val="00C30C58"/>
    <w:rsid w:val="00C327DF"/>
    <w:rsid w:val="00C35335"/>
    <w:rsid w:val="00C356B5"/>
    <w:rsid w:val="00C35ED8"/>
    <w:rsid w:val="00C40A6D"/>
    <w:rsid w:val="00C40FC2"/>
    <w:rsid w:val="00C41007"/>
    <w:rsid w:val="00C46B74"/>
    <w:rsid w:val="00C47C5C"/>
    <w:rsid w:val="00C50D29"/>
    <w:rsid w:val="00C53045"/>
    <w:rsid w:val="00C531EE"/>
    <w:rsid w:val="00C53DD1"/>
    <w:rsid w:val="00C554BF"/>
    <w:rsid w:val="00C61A6A"/>
    <w:rsid w:val="00C644E5"/>
    <w:rsid w:val="00C6457B"/>
    <w:rsid w:val="00C661FF"/>
    <w:rsid w:val="00C6659C"/>
    <w:rsid w:val="00C6704C"/>
    <w:rsid w:val="00C71C5A"/>
    <w:rsid w:val="00C7291B"/>
    <w:rsid w:val="00C72C02"/>
    <w:rsid w:val="00C747B4"/>
    <w:rsid w:val="00C74822"/>
    <w:rsid w:val="00C755E6"/>
    <w:rsid w:val="00C75A05"/>
    <w:rsid w:val="00C75D51"/>
    <w:rsid w:val="00C80082"/>
    <w:rsid w:val="00C803F9"/>
    <w:rsid w:val="00C822FF"/>
    <w:rsid w:val="00C82577"/>
    <w:rsid w:val="00C831B0"/>
    <w:rsid w:val="00C84837"/>
    <w:rsid w:val="00C86F29"/>
    <w:rsid w:val="00C904DD"/>
    <w:rsid w:val="00C90AF0"/>
    <w:rsid w:val="00C90DA2"/>
    <w:rsid w:val="00C91D01"/>
    <w:rsid w:val="00C92408"/>
    <w:rsid w:val="00C9325B"/>
    <w:rsid w:val="00C97496"/>
    <w:rsid w:val="00CA0A3C"/>
    <w:rsid w:val="00CA1727"/>
    <w:rsid w:val="00CA1DC7"/>
    <w:rsid w:val="00CA2F55"/>
    <w:rsid w:val="00CA3DAC"/>
    <w:rsid w:val="00CA4DCA"/>
    <w:rsid w:val="00CA4F7B"/>
    <w:rsid w:val="00CA5165"/>
    <w:rsid w:val="00CA5452"/>
    <w:rsid w:val="00CA65FD"/>
    <w:rsid w:val="00CA6974"/>
    <w:rsid w:val="00CA6E03"/>
    <w:rsid w:val="00CA6EF8"/>
    <w:rsid w:val="00CA77F7"/>
    <w:rsid w:val="00CB33EA"/>
    <w:rsid w:val="00CB369D"/>
    <w:rsid w:val="00CB3A69"/>
    <w:rsid w:val="00CB64BF"/>
    <w:rsid w:val="00CB6D3B"/>
    <w:rsid w:val="00CC01EA"/>
    <w:rsid w:val="00CC02E0"/>
    <w:rsid w:val="00CC10D9"/>
    <w:rsid w:val="00CC28FC"/>
    <w:rsid w:val="00CC59DF"/>
    <w:rsid w:val="00CC70AF"/>
    <w:rsid w:val="00CD2DEE"/>
    <w:rsid w:val="00CD36F7"/>
    <w:rsid w:val="00CD4EFE"/>
    <w:rsid w:val="00CD500C"/>
    <w:rsid w:val="00CD711F"/>
    <w:rsid w:val="00CD78AE"/>
    <w:rsid w:val="00CE0329"/>
    <w:rsid w:val="00CE1BB9"/>
    <w:rsid w:val="00CE1C4E"/>
    <w:rsid w:val="00CE6608"/>
    <w:rsid w:val="00CF061E"/>
    <w:rsid w:val="00CF22B4"/>
    <w:rsid w:val="00CF23A2"/>
    <w:rsid w:val="00CF309A"/>
    <w:rsid w:val="00CF3260"/>
    <w:rsid w:val="00CF4EA0"/>
    <w:rsid w:val="00CF5D42"/>
    <w:rsid w:val="00CF7571"/>
    <w:rsid w:val="00D003E7"/>
    <w:rsid w:val="00D00F20"/>
    <w:rsid w:val="00D019C4"/>
    <w:rsid w:val="00D020E7"/>
    <w:rsid w:val="00D034AC"/>
    <w:rsid w:val="00D0500D"/>
    <w:rsid w:val="00D10233"/>
    <w:rsid w:val="00D10481"/>
    <w:rsid w:val="00D12C84"/>
    <w:rsid w:val="00D133A4"/>
    <w:rsid w:val="00D1655A"/>
    <w:rsid w:val="00D16DC1"/>
    <w:rsid w:val="00D17292"/>
    <w:rsid w:val="00D20A4E"/>
    <w:rsid w:val="00D227C8"/>
    <w:rsid w:val="00D242BA"/>
    <w:rsid w:val="00D25BB2"/>
    <w:rsid w:val="00D25FDD"/>
    <w:rsid w:val="00D265E6"/>
    <w:rsid w:val="00D271C7"/>
    <w:rsid w:val="00D33526"/>
    <w:rsid w:val="00D34AC4"/>
    <w:rsid w:val="00D34DCA"/>
    <w:rsid w:val="00D34E3B"/>
    <w:rsid w:val="00D35623"/>
    <w:rsid w:val="00D35654"/>
    <w:rsid w:val="00D35810"/>
    <w:rsid w:val="00D4030E"/>
    <w:rsid w:val="00D41A30"/>
    <w:rsid w:val="00D41CFD"/>
    <w:rsid w:val="00D45043"/>
    <w:rsid w:val="00D45935"/>
    <w:rsid w:val="00D45B82"/>
    <w:rsid w:val="00D4611A"/>
    <w:rsid w:val="00D4729A"/>
    <w:rsid w:val="00D50FCA"/>
    <w:rsid w:val="00D53EC4"/>
    <w:rsid w:val="00D5414F"/>
    <w:rsid w:val="00D544DC"/>
    <w:rsid w:val="00D54B3A"/>
    <w:rsid w:val="00D54CEF"/>
    <w:rsid w:val="00D56603"/>
    <w:rsid w:val="00D611DE"/>
    <w:rsid w:val="00D629BF"/>
    <w:rsid w:val="00D7065F"/>
    <w:rsid w:val="00D722DD"/>
    <w:rsid w:val="00D72BA8"/>
    <w:rsid w:val="00D73D32"/>
    <w:rsid w:val="00D778B9"/>
    <w:rsid w:val="00D81960"/>
    <w:rsid w:val="00D853E9"/>
    <w:rsid w:val="00D8617E"/>
    <w:rsid w:val="00D87810"/>
    <w:rsid w:val="00D87996"/>
    <w:rsid w:val="00D87F19"/>
    <w:rsid w:val="00D907C0"/>
    <w:rsid w:val="00D9352D"/>
    <w:rsid w:val="00D935FA"/>
    <w:rsid w:val="00D943AC"/>
    <w:rsid w:val="00D94739"/>
    <w:rsid w:val="00D94F4C"/>
    <w:rsid w:val="00D959E9"/>
    <w:rsid w:val="00D96145"/>
    <w:rsid w:val="00D96DD6"/>
    <w:rsid w:val="00D9759C"/>
    <w:rsid w:val="00D979D9"/>
    <w:rsid w:val="00DA1048"/>
    <w:rsid w:val="00DA227B"/>
    <w:rsid w:val="00DA39C6"/>
    <w:rsid w:val="00DA3B32"/>
    <w:rsid w:val="00DA3B8F"/>
    <w:rsid w:val="00DA55DF"/>
    <w:rsid w:val="00DA6796"/>
    <w:rsid w:val="00DB0356"/>
    <w:rsid w:val="00DB0F04"/>
    <w:rsid w:val="00DB1108"/>
    <w:rsid w:val="00DB183C"/>
    <w:rsid w:val="00DB495C"/>
    <w:rsid w:val="00DC0A05"/>
    <w:rsid w:val="00DC1576"/>
    <w:rsid w:val="00DC2514"/>
    <w:rsid w:val="00DC7423"/>
    <w:rsid w:val="00DD13BC"/>
    <w:rsid w:val="00DD1490"/>
    <w:rsid w:val="00DD176F"/>
    <w:rsid w:val="00DD519B"/>
    <w:rsid w:val="00DD5630"/>
    <w:rsid w:val="00DD5B5B"/>
    <w:rsid w:val="00DD6DAD"/>
    <w:rsid w:val="00DD6FE4"/>
    <w:rsid w:val="00DD7D46"/>
    <w:rsid w:val="00DE1A43"/>
    <w:rsid w:val="00DE30C8"/>
    <w:rsid w:val="00DE3517"/>
    <w:rsid w:val="00DE4096"/>
    <w:rsid w:val="00DE4581"/>
    <w:rsid w:val="00DE465F"/>
    <w:rsid w:val="00DE4CDA"/>
    <w:rsid w:val="00DE52EE"/>
    <w:rsid w:val="00DE6AD8"/>
    <w:rsid w:val="00DF0DB2"/>
    <w:rsid w:val="00DF4EB5"/>
    <w:rsid w:val="00DF5EF8"/>
    <w:rsid w:val="00DF78F9"/>
    <w:rsid w:val="00E008AF"/>
    <w:rsid w:val="00E00D41"/>
    <w:rsid w:val="00E0161A"/>
    <w:rsid w:val="00E02F62"/>
    <w:rsid w:val="00E05A2E"/>
    <w:rsid w:val="00E064AC"/>
    <w:rsid w:val="00E06B1F"/>
    <w:rsid w:val="00E073FD"/>
    <w:rsid w:val="00E07B15"/>
    <w:rsid w:val="00E1012F"/>
    <w:rsid w:val="00E1026D"/>
    <w:rsid w:val="00E102E8"/>
    <w:rsid w:val="00E10B98"/>
    <w:rsid w:val="00E1283C"/>
    <w:rsid w:val="00E138BF"/>
    <w:rsid w:val="00E141C8"/>
    <w:rsid w:val="00E15567"/>
    <w:rsid w:val="00E1574A"/>
    <w:rsid w:val="00E17729"/>
    <w:rsid w:val="00E17880"/>
    <w:rsid w:val="00E209E0"/>
    <w:rsid w:val="00E24AF0"/>
    <w:rsid w:val="00E27173"/>
    <w:rsid w:val="00E30E83"/>
    <w:rsid w:val="00E376C9"/>
    <w:rsid w:val="00E422AF"/>
    <w:rsid w:val="00E44D5B"/>
    <w:rsid w:val="00E45445"/>
    <w:rsid w:val="00E458B2"/>
    <w:rsid w:val="00E45D86"/>
    <w:rsid w:val="00E4686B"/>
    <w:rsid w:val="00E50EAE"/>
    <w:rsid w:val="00E52A6A"/>
    <w:rsid w:val="00E5387E"/>
    <w:rsid w:val="00E538B0"/>
    <w:rsid w:val="00E53F55"/>
    <w:rsid w:val="00E54469"/>
    <w:rsid w:val="00E54941"/>
    <w:rsid w:val="00E56C78"/>
    <w:rsid w:val="00E57490"/>
    <w:rsid w:val="00E57AC9"/>
    <w:rsid w:val="00E60333"/>
    <w:rsid w:val="00E64FB0"/>
    <w:rsid w:val="00E6711F"/>
    <w:rsid w:val="00E714DF"/>
    <w:rsid w:val="00E7227C"/>
    <w:rsid w:val="00E73094"/>
    <w:rsid w:val="00E7348E"/>
    <w:rsid w:val="00E73D6F"/>
    <w:rsid w:val="00E747EE"/>
    <w:rsid w:val="00E76155"/>
    <w:rsid w:val="00E76451"/>
    <w:rsid w:val="00E76CE9"/>
    <w:rsid w:val="00E80664"/>
    <w:rsid w:val="00E865CC"/>
    <w:rsid w:val="00E9063E"/>
    <w:rsid w:val="00E908CC"/>
    <w:rsid w:val="00E915B2"/>
    <w:rsid w:val="00E918D6"/>
    <w:rsid w:val="00E944F0"/>
    <w:rsid w:val="00E948C0"/>
    <w:rsid w:val="00E94A68"/>
    <w:rsid w:val="00E96216"/>
    <w:rsid w:val="00EA1EE0"/>
    <w:rsid w:val="00EA2088"/>
    <w:rsid w:val="00EA2BA6"/>
    <w:rsid w:val="00EA4E7C"/>
    <w:rsid w:val="00EA57D4"/>
    <w:rsid w:val="00EA5819"/>
    <w:rsid w:val="00EA772E"/>
    <w:rsid w:val="00EA7731"/>
    <w:rsid w:val="00EB00E5"/>
    <w:rsid w:val="00EB1628"/>
    <w:rsid w:val="00EB17A8"/>
    <w:rsid w:val="00EB3274"/>
    <w:rsid w:val="00EB4527"/>
    <w:rsid w:val="00EB5C46"/>
    <w:rsid w:val="00EC0273"/>
    <w:rsid w:val="00EC4840"/>
    <w:rsid w:val="00EC4E65"/>
    <w:rsid w:val="00EC7465"/>
    <w:rsid w:val="00ED0860"/>
    <w:rsid w:val="00ED140A"/>
    <w:rsid w:val="00ED201A"/>
    <w:rsid w:val="00ED209D"/>
    <w:rsid w:val="00ED2DAE"/>
    <w:rsid w:val="00ED44CF"/>
    <w:rsid w:val="00ED4908"/>
    <w:rsid w:val="00ED57F3"/>
    <w:rsid w:val="00ED6658"/>
    <w:rsid w:val="00ED7E87"/>
    <w:rsid w:val="00EE0ECD"/>
    <w:rsid w:val="00EE1D2A"/>
    <w:rsid w:val="00EE3397"/>
    <w:rsid w:val="00EE47BA"/>
    <w:rsid w:val="00EE486D"/>
    <w:rsid w:val="00EE516E"/>
    <w:rsid w:val="00EE66AB"/>
    <w:rsid w:val="00EE673A"/>
    <w:rsid w:val="00EF0DEE"/>
    <w:rsid w:val="00EF4150"/>
    <w:rsid w:val="00EF6FB1"/>
    <w:rsid w:val="00EF7D8B"/>
    <w:rsid w:val="00F00191"/>
    <w:rsid w:val="00F012E6"/>
    <w:rsid w:val="00F018D7"/>
    <w:rsid w:val="00F01A58"/>
    <w:rsid w:val="00F01F1E"/>
    <w:rsid w:val="00F032A7"/>
    <w:rsid w:val="00F03617"/>
    <w:rsid w:val="00F06B9D"/>
    <w:rsid w:val="00F07593"/>
    <w:rsid w:val="00F128A8"/>
    <w:rsid w:val="00F12E5D"/>
    <w:rsid w:val="00F13E10"/>
    <w:rsid w:val="00F17994"/>
    <w:rsid w:val="00F2609C"/>
    <w:rsid w:val="00F3288B"/>
    <w:rsid w:val="00F32B85"/>
    <w:rsid w:val="00F339E0"/>
    <w:rsid w:val="00F33CD8"/>
    <w:rsid w:val="00F358C2"/>
    <w:rsid w:val="00F362FE"/>
    <w:rsid w:val="00F40758"/>
    <w:rsid w:val="00F40B05"/>
    <w:rsid w:val="00F41DBC"/>
    <w:rsid w:val="00F429FD"/>
    <w:rsid w:val="00F45E14"/>
    <w:rsid w:val="00F477C5"/>
    <w:rsid w:val="00F538BE"/>
    <w:rsid w:val="00F5412E"/>
    <w:rsid w:val="00F54347"/>
    <w:rsid w:val="00F54395"/>
    <w:rsid w:val="00F54C26"/>
    <w:rsid w:val="00F55628"/>
    <w:rsid w:val="00F601F0"/>
    <w:rsid w:val="00F6084A"/>
    <w:rsid w:val="00F6102C"/>
    <w:rsid w:val="00F6144C"/>
    <w:rsid w:val="00F61867"/>
    <w:rsid w:val="00F61CE4"/>
    <w:rsid w:val="00F628DF"/>
    <w:rsid w:val="00F633BA"/>
    <w:rsid w:val="00F64906"/>
    <w:rsid w:val="00F64C45"/>
    <w:rsid w:val="00F65C80"/>
    <w:rsid w:val="00F67418"/>
    <w:rsid w:val="00F70685"/>
    <w:rsid w:val="00F71D65"/>
    <w:rsid w:val="00F80FBB"/>
    <w:rsid w:val="00F816EE"/>
    <w:rsid w:val="00F82947"/>
    <w:rsid w:val="00F90B67"/>
    <w:rsid w:val="00F90EC2"/>
    <w:rsid w:val="00F915CD"/>
    <w:rsid w:val="00F91EC4"/>
    <w:rsid w:val="00F943A2"/>
    <w:rsid w:val="00F946B7"/>
    <w:rsid w:val="00F9490A"/>
    <w:rsid w:val="00F95070"/>
    <w:rsid w:val="00FA085E"/>
    <w:rsid w:val="00FA13CC"/>
    <w:rsid w:val="00FA19CA"/>
    <w:rsid w:val="00FA4708"/>
    <w:rsid w:val="00FA6C78"/>
    <w:rsid w:val="00FA74A4"/>
    <w:rsid w:val="00FA756C"/>
    <w:rsid w:val="00FB199A"/>
    <w:rsid w:val="00FB29E7"/>
    <w:rsid w:val="00FB49DA"/>
    <w:rsid w:val="00FB5E39"/>
    <w:rsid w:val="00FB66C1"/>
    <w:rsid w:val="00FB7727"/>
    <w:rsid w:val="00FB7A95"/>
    <w:rsid w:val="00FC05B6"/>
    <w:rsid w:val="00FC1417"/>
    <w:rsid w:val="00FC422D"/>
    <w:rsid w:val="00FC46BF"/>
    <w:rsid w:val="00FC4FD7"/>
    <w:rsid w:val="00FC522D"/>
    <w:rsid w:val="00FC7E8B"/>
    <w:rsid w:val="00FD0403"/>
    <w:rsid w:val="00FD0A17"/>
    <w:rsid w:val="00FD0B1A"/>
    <w:rsid w:val="00FD45B3"/>
    <w:rsid w:val="00FD4EE3"/>
    <w:rsid w:val="00FD5013"/>
    <w:rsid w:val="00FD539A"/>
    <w:rsid w:val="00FE20EF"/>
    <w:rsid w:val="00FE2CF8"/>
    <w:rsid w:val="00FE2DAE"/>
    <w:rsid w:val="00FE4551"/>
    <w:rsid w:val="00FE457A"/>
    <w:rsid w:val="00FE4A53"/>
    <w:rsid w:val="00FF260B"/>
    <w:rsid w:val="00FF2970"/>
    <w:rsid w:val="00FF3168"/>
    <w:rsid w:val="00FF380A"/>
    <w:rsid w:val="00FF465A"/>
    <w:rsid w:val="00FF476D"/>
    <w:rsid w:val="00FF5AB5"/>
    <w:rsid w:val="00FF618D"/>
    <w:rsid w:val="00FF6A6E"/>
    <w:rsid w:val="00FF786A"/>
    <w:rsid w:val="00FF7B3E"/>
    <w:rsid w:val="4EE93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next w:val="1"/>
    <w:link w:val="15"/>
    <w:qFormat/>
    <w:uiPriority w:val="0"/>
    <w:pPr>
      <w:keepNext/>
      <w:keepLines/>
      <w:widowControl w:val="0"/>
      <w:spacing w:before="280" w:after="290" w:line="376" w:lineRule="auto"/>
      <w:jc w:val="both"/>
      <w:outlineLvl w:val="3"/>
    </w:pPr>
    <w:rPr>
      <w:rFonts w:ascii="Cambria" w:hAnsi="Cambria" w:eastAsia="宋体" w:cs="Times New Roman"/>
      <w:b/>
      <w:kern w:val="2"/>
      <w:sz w:val="28"/>
      <w:szCs w:val="28"/>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unhideWhenUsed/>
    <w:qFormat/>
    <w:uiPriority w:val="99"/>
    <w:pPr>
      <w:tabs>
        <w:tab w:val="center" w:pos="4153"/>
        <w:tab w:val="right" w:pos="8306"/>
      </w:tabs>
      <w:snapToGrid w:val="0"/>
      <w:jc w:val="left"/>
    </w:pPr>
    <w:rPr>
      <w:sz w:val="18"/>
      <w:szCs w:val="18"/>
    </w:rPr>
  </w:style>
  <w:style w:type="paragraph" w:styleId="4">
    <w:name w:val="toc 7"/>
    <w:basedOn w:val="1"/>
    <w:next w:val="1"/>
    <w:qFormat/>
    <w:uiPriority w:val="0"/>
    <w:pPr>
      <w:ind w:left="1260"/>
      <w:jc w:val="left"/>
    </w:pPr>
    <w:rPr>
      <w:rFonts w:ascii="Calibri" w:hAnsi="Calibri" w:cs="Calibri"/>
      <w:sz w:val="18"/>
      <w:szCs w:val="18"/>
    </w:rPr>
  </w:style>
  <w:style w:type="paragraph" w:styleId="5">
    <w:name w:val="Normal Indent"/>
    <w:basedOn w:val="1"/>
    <w:qFormat/>
    <w:uiPriority w:val="0"/>
    <w:pPr>
      <w:ind w:firstLine="420" w:firstLineChars="200"/>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16"/>
    <w:semiHidden/>
    <w:unhideWhenUsed/>
    <w:qFormat/>
    <w:uiPriority w:val="99"/>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qFormat/>
    <w:uiPriority w:val="99"/>
    <w:rPr>
      <w:color w:val="0000FF"/>
      <w:u w:val="single"/>
    </w:rPr>
  </w:style>
  <w:style w:type="character" w:customStyle="1" w:styleId="12">
    <w:name w:val="页眉 Char"/>
    <w:basedOn w:val="10"/>
    <w:link w:val="8"/>
    <w:qFormat/>
    <w:uiPriority w:val="99"/>
    <w:rPr>
      <w:sz w:val="18"/>
      <w:szCs w:val="18"/>
    </w:rPr>
  </w:style>
  <w:style w:type="character" w:customStyle="1" w:styleId="13">
    <w:name w:val="页脚 Char"/>
    <w:basedOn w:val="10"/>
    <w:link w:val="2"/>
    <w:qFormat/>
    <w:uiPriority w:val="99"/>
    <w:rPr>
      <w:sz w:val="18"/>
      <w:szCs w:val="18"/>
    </w:rPr>
  </w:style>
  <w:style w:type="character" w:customStyle="1" w:styleId="14">
    <w:name w:val="日期 Char"/>
    <w:basedOn w:val="10"/>
    <w:link w:val="6"/>
    <w:semiHidden/>
    <w:qFormat/>
    <w:uiPriority w:val="99"/>
    <w:rPr>
      <w:rFonts w:ascii="Times New Roman" w:hAnsi="Times New Roman" w:eastAsia="宋体" w:cs="Times New Roman"/>
      <w:szCs w:val="24"/>
    </w:rPr>
  </w:style>
  <w:style w:type="character" w:customStyle="1" w:styleId="15">
    <w:name w:val="标题 4 Char"/>
    <w:basedOn w:val="10"/>
    <w:link w:val="3"/>
    <w:qFormat/>
    <w:uiPriority w:val="0"/>
    <w:rPr>
      <w:rFonts w:ascii="Cambria" w:hAnsi="Cambria" w:eastAsia="宋体" w:cs="Times New Roman"/>
      <w:b/>
      <w:sz w:val="28"/>
      <w:szCs w:val="28"/>
    </w:rPr>
  </w:style>
  <w:style w:type="character" w:customStyle="1" w:styleId="16">
    <w:name w:val="批注框文本 Char"/>
    <w:basedOn w:val="10"/>
    <w:link w:val="7"/>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1693</Words>
  <Characters>9655</Characters>
  <Lines>80</Lines>
  <Paragraphs>22</Paragraphs>
  <TotalTime>1</TotalTime>
  <ScaleCrop>false</ScaleCrop>
  <LinksUpToDate>false</LinksUpToDate>
  <CharactersWithSpaces>11326</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2021-06-08T07:20:00Z</dcterms:created>
  <dc:creator>侯裔</dc:creator>
  <cp:lastModifiedBy>ddd</cp:lastModifiedBy>
  <dcterms:modified xsi:type="dcterms:W3CDTF">2021-06-08T09:31:13Z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