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Ansi="宋体"/>
          <w:b/>
          <w:color w:val="000000" w:themeColor="text1"/>
          <w:sz w:val="28"/>
          <w:szCs w:val="28"/>
          <w14:textFill>
            <w14:solidFill>
              <w14:schemeClr w14:val="tx1"/>
            </w14:solidFill>
          </w14:textFill>
        </w:rPr>
      </w:pPr>
      <w:bookmarkStart w:id="0" w:name="_GoBack"/>
      <w:bookmarkEnd w:id="0"/>
      <w:r>
        <w:rPr>
          <w:rFonts w:hAnsi="宋体"/>
          <w:b/>
          <w:color w:val="000000" w:themeColor="text1"/>
          <w:sz w:val="28"/>
          <w:szCs w:val="28"/>
          <w14:textFill>
            <w14:solidFill>
              <w14:schemeClr w14:val="tx1"/>
            </w14:solidFill>
          </w14:textFill>
        </w:rPr>
        <w:t>附录1 资格审查条件（资质最低条件）</w:t>
      </w:r>
    </w:p>
    <w:p>
      <w:pPr>
        <w:ind w:left="141" w:leftChars="67" w:firstLine="312"/>
        <w:jc w:val="center"/>
        <w:rPr>
          <w:rFonts w:hAnsi="宋体"/>
          <w:b/>
          <w:color w:val="000000" w:themeColor="text1"/>
          <w:sz w:val="28"/>
          <w:szCs w:val="28"/>
          <w14:textFill>
            <w14:solidFill>
              <w14:schemeClr w14:val="tx1"/>
            </w14:solidFill>
          </w14:textFill>
        </w:rPr>
      </w:pPr>
    </w:p>
    <w:tbl>
      <w:tblPr>
        <w:tblStyle w:val="6"/>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6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991" w:type="dxa"/>
            <w:tcBorders>
              <w:top w:val="single" w:color="auto" w:sz="4" w:space="0"/>
              <w:left w:val="single" w:color="auto" w:sz="4" w:space="0"/>
            </w:tcBorders>
            <w:vAlign w:val="center"/>
          </w:tcPr>
          <w:p>
            <w:pPr>
              <w:spacing w:line="320" w:lineRule="exact"/>
              <w:ind w:left="141" w:leftChars="67" w:firstLine="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标  段</w:t>
            </w:r>
          </w:p>
        </w:tc>
        <w:tc>
          <w:tcPr>
            <w:tcW w:w="6947" w:type="dxa"/>
            <w:tcBorders>
              <w:top w:val="single" w:color="auto" w:sz="4" w:space="0"/>
            </w:tcBorders>
            <w:vAlign w:val="center"/>
          </w:tcPr>
          <w:p>
            <w:pPr>
              <w:spacing w:line="320" w:lineRule="exact"/>
              <w:ind w:left="141" w:leftChars="61" w:hanging="13"/>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企业资质</w:t>
            </w:r>
            <w:r>
              <w:rPr>
                <w:rFonts w:hAnsi="宋体"/>
                <w:color w:val="000000" w:themeColor="text1"/>
                <w:sz w:val="24"/>
                <w:szCs w:val="24"/>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1991" w:type="dxa"/>
            <w:tcBorders>
              <w:left w:val="single" w:color="auto" w:sz="4" w:space="0"/>
            </w:tcBorders>
            <w:vAlign w:val="center"/>
          </w:tcPr>
          <w:p>
            <w:pPr>
              <w:snapToGrid w:val="0"/>
              <w:spacing w:line="360" w:lineRule="auto"/>
              <w:ind w:left="142" w:leftChars="67" w:hanging="1"/>
              <w:jc w:val="center"/>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JDJL-1</w:t>
            </w:r>
          </w:p>
          <w:p>
            <w:pPr>
              <w:snapToGrid w:val="0"/>
              <w:spacing w:line="360" w:lineRule="auto"/>
              <w:ind w:left="142" w:leftChars="67" w:hanging="1"/>
              <w:jc w:val="center"/>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JDJL-2</w:t>
            </w:r>
          </w:p>
          <w:p>
            <w:pPr>
              <w:snapToGrid w:val="0"/>
              <w:spacing w:line="360" w:lineRule="auto"/>
              <w:ind w:left="142" w:leftChars="67" w:hanging="1"/>
              <w:jc w:val="center"/>
              <w:rPr>
                <w:color w:val="000000" w:themeColor="text1"/>
                <w14:textFill>
                  <w14:solidFill>
                    <w14:schemeClr w14:val="tx1"/>
                  </w14:solidFill>
                </w14:textFill>
              </w:rPr>
            </w:pPr>
            <w:r>
              <w:rPr>
                <w:rFonts w:hint="eastAsia"/>
                <w:color w:val="000000" w:themeColor="text1"/>
                <w:sz w:val="24"/>
                <w:szCs w:val="28"/>
                <w14:textFill>
                  <w14:solidFill>
                    <w14:schemeClr w14:val="tx1"/>
                  </w14:solidFill>
                </w14:textFill>
              </w:rPr>
              <w:t>JDJL-3</w:t>
            </w:r>
          </w:p>
        </w:tc>
        <w:tc>
          <w:tcPr>
            <w:tcW w:w="6947" w:type="dxa"/>
            <w:vAlign w:val="center"/>
          </w:tcPr>
          <w:p>
            <w:pPr>
              <w:snapToGrid w:val="0"/>
              <w:spacing w:before="100" w:beforeAutospacing="1" w:line="360" w:lineRule="auto"/>
              <w:ind w:left="141" w:leftChars="67" w:firstLine="312"/>
              <w:rPr>
                <w:rFonts w:hAnsi="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具备</w:t>
            </w:r>
            <w:r>
              <w:rPr>
                <w:rFonts w:hint="eastAsia" w:ascii="宋体" w:hAnsi="宋体" w:cs="宋体"/>
                <w:color w:val="000000" w:themeColor="text1"/>
                <w:sz w:val="24"/>
                <w:szCs w:val="24"/>
                <w14:textFill>
                  <w14:solidFill>
                    <w14:schemeClr w14:val="tx1"/>
                  </w14:solidFill>
                </w14:textFill>
              </w:rPr>
              <w:t>国</w:t>
            </w:r>
            <w:r>
              <w:rPr>
                <w:rFonts w:ascii="宋体" w:hAnsi="宋体" w:cs="宋体"/>
                <w:color w:val="000000" w:themeColor="text1"/>
                <w:sz w:val="24"/>
                <w:szCs w:val="24"/>
                <w14:textFill>
                  <w14:solidFill>
                    <w14:schemeClr w14:val="tx1"/>
                  </w14:solidFill>
                </w14:textFill>
              </w:rPr>
              <w:t>务院</w:t>
            </w:r>
            <w:r>
              <w:rPr>
                <w:rFonts w:hint="eastAsia" w:ascii="宋体" w:hAnsi="宋体" w:cs="宋体"/>
                <w:color w:val="000000" w:themeColor="text1"/>
                <w:sz w:val="24"/>
                <w:szCs w:val="24"/>
                <w14:textFill>
                  <w14:solidFill>
                    <w14:schemeClr w14:val="tx1"/>
                  </w14:solidFill>
                </w14:textFill>
              </w:rPr>
              <w:t>建设主管</w:t>
            </w:r>
            <w:r>
              <w:rPr>
                <w:rFonts w:ascii="宋体" w:hAnsi="宋体" w:cs="宋体"/>
                <w:color w:val="000000" w:themeColor="text1"/>
                <w:sz w:val="24"/>
                <w:szCs w:val="24"/>
                <w14:textFill>
                  <w14:solidFill>
                    <w14:schemeClr w14:val="tx1"/>
                  </w14:solidFill>
                </w14:textFill>
              </w:rPr>
              <w:t>部门颁发</w:t>
            </w:r>
            <w:r>
              <w:rPr>
                <w:rFonts w:hint="eastAsia" w:ascii="宋体" w:hAnsi="宋体" w:cs="宋体"/>
                <w:color w:val="000000" w:themeColor="text1"/>
                <w:sz w:val="24"/>
                <w:szCs w:val="24"/>
                <w14:textFill>
                  <w14:solidFill>
                    <w14:schemeClr w14:val="tx1"/>
                  </w14:solidFill>
                </w14:textFill>
              </w:rPr>
              <w:t>的</w:t>
            </w:r>
            <w:r>
              <w:rPr>
                <w:rFonts w:hint="eastAsia" w:cs="宋体" w:asciiTheme="minorEastAsia" w:hAnsiTheme="minorEastAsia" w:eastAsiaTheme="minorEastAsia"/>
                <w:color w:val="000000" w:themeColor="text1"/>
                <w:sz w:val="24"/>
                <w:szCs w:val="24"/>
                <w14:textFill>
                  <w14:solidFill>
                    <w14:schemeClr w14:val="tx1"/>
                  </w14:solidFill>
                </w14:textFill>
              </w:rPr>
              <w:t>工程监理企业综合资质或</w:t>
            </w:r>
            <w:r>
              <w:rPr>
                <w:rFonts w:cs="宋体" w:asciiTheme="minorEastAsia" w:hAnsiTheme="minorEastAsia" w:eastAsiaTheme="minorEastAsia"/>
                <w:color w:val="000000" w:themeColor="text1"/>
                <w:sz w:val="24"/>
                <w:szCs w:val="24"/>
                <w14:textFill>
                  <w14:solidFill>
                    <w14:schemeClr w14:val="tx1"/>
                  </w14:solidFill>
                </w14:textFill>
              </w:rPr>
              <w:t>具备</w:t>
            </w:r>
            <w:r>
              <w:rPr>
                <w:rFonts w:hint="eastAsia" w:cs="宋体" w:asciiTheme="minorEastAsia" w:hAnsiTheme="minorEastAsia" w:eastAsiaTheme="minorEastAsia"/>
                <w:color w:val="000000" w:themeColor="text1"/>
                <w:sz w:val="24"/>
                <w:szCs w:val="24"/>
                <w14:textFill>
                  <w14:solidFill>
                    <w14:schemeClr w14:val="tx1"/>
                  </w14:solidFill>
                </w14:textFill>
              </w:rPr>
              <w:t>交通运输主管部门颁发</w:t>
            </w:r>
            <w:r>
              <w:rPr>
                <w:rFonts w:cs="宋体" w:asciiTheme="minorEastAsia" w:hAnsiTheme="minorEastAsia" w:eastAsiaTheme="minorEastAsia"/>
                <w:color w:val="000000" w:themeColor="text1"/>
                <w:sz w:val="24"/>
                <w:szCs w:val="24"/>
                <w14:textFill>
                  <w14:solidFill>
                    <w14:schemeClr w14:val="tx1"/>
                  </w14:solidFill>
                </w14:textFill>
              </w:rPr>
              <w:t>的公路</w:t>
            </w:r>
            <w:r>
              <w:rPr>
                <w:rFonts w:hint="eastAsia" w:cs="宋体" w:asciiTheme="minorEastAsia" w:hAnsiTheme="minorEastAsia" w:eastAsiaTheme="minorEastAsia"/>
                <w:color w:val="000000" w:themeColor="text1"/>
                <w:sz w:val="24"/>
                <w:szCs w:val="24"/>
                <w14:textFill>
                  <w14:solidFill>
                    <w14:schemeClr w14:val="tx1"/>
                  </w14:solidFill>
                </w14:textFill>
              </w:rPr>
              <w:t>机电</w:t>
            </w:r>
            <w:r>
              <w:rPr>
                <w:rFonts w:cs="宋体" w:asciiTheme="minorEastAsia" w:hAnsiTheme="minorEastAsia" w:eastAsiaTheme="minorEastAsia"/>
                <w:color w:val="000000" w:themeColor="text1"/>
                <w:sz w:val="24"/>
                <w:szCs w:val="24"/>
                <w14:textFill>
                  <w14:solidFill>
                    <w14:schemeClr w14:val="tx1"/>
                  </w14:solidFill>
                </w14:textFill>
              </w:rPr>
              <w:t>工程</w:t>
            </w:r>
            <w:r>
              <w:rPr>
                <w:rFonts w:hint="eastAsia" w:cs="宋体" w:asciiTheme="minorEastAsia" w:hAnsiTheme="minorEastAsia" w:eastAsiaTheme="minorEastAsia"/>
                <w:color w:val="000000" w:themeColor="text1"/>
                <w:sz w:val="24"/>
                <w:szCs w:val="24"/>
                <w14:textFill>
                  <w14:solidFill>
                    <w14:schemeClr w14:val="tx1"/>
                  </w14:solidFill>
                </w14:textFill>
              </w:rPr>
              <w:t>专项</w:t>
            </w:r>
            <w:r>
              <w:rPr>
                <w:rFonts w:cs="宋体" w:asciiTheme="minorEastAsia" w:hAnsiTheme="minorEastAsia" w:eastAsiaTheme="minorEastAsia"/>
                <w:color w:val="000000" w:themeColor="text1"/>
                <w:sz w:val="24"/>
                <w:szCs w:val="24"/>
                <w14:textFill>
                  <w14:solidFill>
                    <w14:schemeClr w14:val="tx1"/>
                  </w14:solidFill>
                </w14:textFill>
              </w:rPr>
              <w:t>监理资质</w:t>
            </w:r>
            <w:r>
              <w:rPr>
                <w:rFonts w:hint="eastAsia" w:cs="宋体" w:asciiTheme="minorEastAsia" w:hAnsiTheme="minorEastAsia" w:eastAsiaTheme="minorEastAsia"/>
                <w:color w:val="000000" w:themeColor="text1"/>
                <w:sz w:val="24"/>
                <w:szCs w:val="24"/>
                <w14:textFill>
                  <w14:solidFill>
                    <w14:schemeClr w14:val="tx1"/>
                  </w14:solidFill>
                </w14:textFill>
              </w:rPr>
              <w:t>。</w:t>
            </w:r>
          </w:p>
        </w:tc>
      </w:tr>
    </w:tbl>
    <w:p>
      <w:pPr>
        <w:spacing w:before="100" w:beforeAutospacing="1" w:after="100" w:afterAutospacing="1" w:line="360" w:lineRule="auto"/>
        <w:jc w:val="left"/>
        <w:rPr>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44"/>
          <w:szCs w:val="21"/>
          <w14:textFill>
            <w14:solidFill>
              <w14:schemeClr w14:val="tx1"/>
            </w14:solidFill>
          </w14:textFill>
        </w:rPr>
        <w:t>注：</w:t>
      </w:r>
      <w:r>
        <w:rPr>
          <w:color w:val="000000" w:themeColor="text1"/>
          <w:szCs w:val="21"/>
          <w14:textFill>
            <w14:solidFill>
              <w14:schemeClr w14:val="tx1"/>
            </w14:solidFill>
          </w14:textFill>
        </w:rPr>
        <w:t>根据《住房和城乡建设部办公厅关于建设工程企业资质延续有关事项的通知》（建办市函〔2020〕334号）文件规定，住房和城乡建设部核发的资质证书有效期于2020年7月1日至2021年12月30日届满的，统一延期至2021年12月31日。</w:t>
      </w:r>
    </w:p>
    <w:p>
      <w:pPr>
        <w:ind w:left="141" w:leftChars="67" w:firstLine="312"/>
        <w:jc w:val="center"/>
        <w:rPr>
          <w:rFonts w:hAnsi="宋体"/>
          <w:b/>
          <w:color w:val="000000" w:themeColor="text1"/>
          <w:sz w:val="28"/>
          <w:szCs w:val="28"/>
          <w14:textFill>
            <w14:solidFill>
              <w14:schemeClr w14:val="tx1"/>
            </w14:solidFill>
          </w14:textFill>
        </w:rPr>
      </w:pPr>
      <w:r>
        <w:rPr>
          <w:rFonts w:hAnsi="宋体"/>
          <w:b/>
          <w:color w:val="000000" w:themeColor="text1"/>
          <w:sz w:val="28"/>
          <w:szCs w:val="28"/>
          <w14:textFill>
            <w14:solidFill>
              <w14:schemeClr w14:val="tx1"/>
            </w14:solidFill>
          </w14:textFill>
        </w:rPr>
        <w:t>附录2 资格审查条件（业绩最低要求）</w:t>
      </w:r>
    </w:p>
    <w:p>
      <w:pPr>
        <w:ind w:left="141" w:leftChars="67" w:firstLine="312"/>
        <w:jc w:val="center"/>
        <w:rPr>
          <w:rFonts w:hAnsi="宋体"/>
          <w:b/>
          <w:color w:val="000000" w:themeColor="text1"/>
          <w:sz w:val="28"/>
          <w:szCs w:val="28"/>
          <w14:textFill>
            <w14:solidFill>
              <w14:schemeClr w14:val="tx1"/>
            </w14:solidFill>
          </w14:textFill>
        </w:rPr>
      </w:pPr>
    </w:p>
    <w:tbl>
      <w:tblPr>
        <w:tblStyle w:val="6"/>
        <w:tblW w:w="903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34"/>
        <w:gridCol w:w="72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jc w:val="center"/>
        </w:trPr>
        <w:tc>
          <w:tcPr>
            <w:tcW w:w="1834" w:type="dxa"/>
            <w:vAlign w:val="center"/>
          </w:tcPr>
          <w:p>
            <w:pPr>
              <w:spacing w:line="320" w:lineRule="exact"/>
              <w:ind w:firstLine="0"/>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标  段</w:t>
            </w:r>
          </w:p>
        </w:tc>
        <w:tc>
          <w:tcPr>
            <w:tcW w:w="7200" w:type="dxa"/>
            <w:vAlign w:val="center"/>
          </w:tcPr>
          <w:p>
            <w:pPr>
              <w:spacing w:line="320" w:lineRule="exact"/>
              <w:ind w:left="139" w:hanging="139" w:hangingChars="58"/>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业绩要求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6" w:hRule="atLeast"/>
          <w:jc w:val="center"/>
        </w:trPr>
        <w:tc>
          <w:tcPr>
            <w:tcW w:w="1834" w:type="dxa"/>
            <w:vAlign w:val="center"/>
          </w:tcPr>
          <w:p>
            <w:pPr>
              <w:snapToGrid w:val="0"/>
              <w:spacing w:line="360" w:lineRule="auto"/>
              <w:ind w:left="142" w:leftChars="67" w:hanging="1"/>
              <w:jc w:val="center"/>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JDJL-1</w:t>
            </w:r>
          </w:p>
          <w:p>
            <w:pPr>
              <w:snapToGrid w:val="0"/>
              <w:spacing w:line="360" w:lineRule="auto"/>
              <w:ind w:left="142" w:leftChars="67" w:hanging="1"/>
              <w:jc w:val="center"/>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JDJL-2</w:t>
            </w:r>
          </w:p>
          <w:p>
            <w:pPr>
              <w:snapToGrid w:val="0"/>
              <w:spacing w:line="360" w:lineRule="auto"/>
              <w:ind w:firstLine="0"/>
              <w:jc w:val="center"/>
              <w:rPr>
                <w:rFonts w:hAnsi="宋体" w:cs="宋体"/>
                <w:color w:val="000000" w:themeColor="text1"/>
                <w:sz w:val="24"/>
                <w:szCs w:val="24"/>
                <w14:textFill>
                  <w14:solidFill>
                    <w14:schemeClr w14:val="tx1"/>
                  </w14:solidFill>
                </w14:textFill>
              </w:rPr>
            </w:pPr>
            <w:r>
              <w:rPr>
                <w:rFonts w:hint="eastAsia"/>
                <w:color w:val="000000" w:themeColor="text1"/>
                <w:sz w:val="24"/>
                <w:szCs w:val="28"/>
                <w14:textFill>
                  <w14:solidFill>
                    <w14:schemeClr w14:val="tx1"/>
                  </w14:solidFill>
                </w14:textFill>
              </w:rPr>
              <w:t xml:space="preserve"> JDJL-3 </w:t>
            </w:r>
          </w:p>
        </w:tc>
        <w:tc>
          <w:tcPr>
            <w:tcW w:w="7200" w:type="dxa"/>
            <w:vAlign w:val="center"/>
          </w:tcPr>
          <w:p>
            <w:pPr>
              <w:snapToGrid w:val="0"/>
              <w:spacing w:line="360" w:lineRule="auto"/>
              <w:ind w:firstLine="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无</w:t>
            </w:r>
            <w:r>
              <w:rPr>
                <w:rFonts w:hAnsi="宋体" w:cs="宋体"/>
                <w:color w:val="000000" w:themeColor="text1"/>
                <w:sz w:val="24"/>
                <w:szCs w:val="24"/>
                <w14:textFill>
                  <w14:solidFill>
                    <w14:schemeClr w14:val="tx1"/>
                  </w14:solidFill>
                </w14:textFill>
              </w:rPr>
              <w:t>业绩最低要求</w:t>
            </w:r>
          </w:p>
        </w:tc>
      </w:tr>
    </w:tbl>
    <w:p>
      <w:pPr>
        <w:ind w:left="141" w:leftChars="67" w:firstLine="312"/>
        <w:jc w:val="center"/>
        <w:rPr>
          <w:rFonts w:hAnsi="宋体"/>
          <w:b/>
          <w:color w:val="000000" w:themeColor="text1"/>
          <w:sz w:val="28"/>
          <w:szCs w:val="28"/>
          <w14:textFill>
            <w14:solidFill>
              <w14:schemeClr w14:val="tx1"/>
            </w14:solidFill>
          </w14:textFill>
        </w:rPr>
      </w:pPr>
    </w:p>
    <w:p>
      <w:pPr>
        <w:ind w:left="141" w:leftChars="67" w:firstLine="312"/>
        <w:jc w:val="center"/>
        <w:rPr>
          <w:rFonts w:hAnsi="宋体"/>
          <w:b/>
          <w:color w:val="000000" w:themeColor="text1"/>
          <w:sz w:val="28"/>
          <w:szCs w:val="28"/>
          <w14:textFill>
            <w14:solidFill>
              <w14:schemeClr w14:val="tx1"/>
            </w14:solidFill>
          </w14:textFill>
        </w:rPr>
      </w:pPr>
      <w:r>
        <w:rPr>
          <w:rFonts w:hAnsi="宋体"/>
          <w:b/>
          <w:color w:val="000000" w:themeColor="text1"/>
          <w:sz w:val="28"/>
          <w:szCs w:val="28"/>
          <w14:textFill>
            <w14:solidFill>
              <w14:schemeClr w14:val="tx1"/>
            </w14:solidFill>
          </w14:textFill>
        </w:rPr>
        <w:t>附录3资格审查条件（信誉最低要求）</w:t>
      </w:r>
    </w:p>
    <w:p>
      <w:pPr>
        <w:ind w:left="141" w:leftChars="67" w:firstLine="312"/>
        <w:jc w:val="center"/>
        <w:rPr>
          <w:rFonts w:hAnsi="宋体"/>
          <w:b/>
          <w:color w:val="000000" w:themeColor="text1"/>
          <w:sz w:val="28"/>
          <w:szCs w:val="28"/>
          <w14:textFill>
            <w14:solidFill>
              <w14:schemeClr w14:val="tx1"/>
            </w14:solidFill>
          </w14:textFill>
        </w:rPr>
      </w:pPr>
    </w:p>
    <w:tbl>
      <w:tblPr>
        <w:tblStyle w:val="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trPr>
        <w:tc>
          <w:tcPr>
            <w:tcW w:w="9288" w:type="dxa"/>
            <w:vAlign w:val="center"/>
          </w:tcPr>
          <w:p>
            <w:pPr>
              <w:ind w:firstLine="0"/>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信誉</w:t>
            </w:r>
            <w:r>
              <w:rPr>
                <w:rFonts w:hAnsi="宋体"/>
                <w:color w:val="000000" w:themeColor="text1"/>
                <w:sz w:val="24"/>
                <w:szCs w:val="24"/>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trPr>
        <w:tc>
          <w:tcPr>
            <w:tcW w:w="9288" w:type="dxa"/>
            <w:vAlign w:val="center"/>
          </w:tcPr>
          <w:p>
            <w:pPr>
              <w:spacing w:line="360" w:lineRule="auto"/>
              <w:ind w:left="141" w:leftChars="67" w:firstLine="312"/>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w:t>
            </w:r>
            <w:r>
              <w:rPr>
                <w:rFonts w:hAnsi="宋体"/>
                <w:color w:val="000000" w:themeColor="text1"/>
                <w:sz w:val="24"/>
                <w:szCs w:val="24"/>
                <w14:textFill>
                  <w14:solidFill>
                    <w14:schemeClr w14:val="tx1"/>
                  </w14:solidFill>
                </w14:textFill>
              </w:rPr>
              <w:t>在贵州省交通运输厅最新公布的信用等级评价中未列为D级。</w:t>
            </w:r>
          </w:p>
          <w:p>
            <w:pPr>
              <w:snapToGrid w:val="0"/>
              <w:spacing w:line="360" w:lineRule="auto"/>
              <w:ind w:left="141" w:leftChars="67" w:firstLine="312"/>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2．投标人没有正受到取消投标资格的行政处罚。</w:t>
            </w:r>
          </w:p>
          <w:p>
            <w:pPr>
              <w:snapToGrid w:val="0"/>
              <w:spacing w:line="360" w:lineRule="auto"/>
              <w:ind w:left="141" w:leftChars="67" w:firstLine="312"/>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3. </w:t>
            </w:r>
            <w:r>
              <w:rPr>
                <w:rFonts w:hAnsi="宋体"/>
                <w:color w:val="000000" w:themeColor="text1"/>
                <w:sz w:val="24"/>
                <w:szCs w:val="24"/>
                <w14:textFill>
                  <w14:solidFill>
                    <w14:schemeClr w14:val="tx1"/>
                  </w14:solidFill>
                </w14:textFill>
              </w:rPr>
              <w:t>投标人没有正受到责令停产、停业的行政处罚或正处于财务被接管、冻结、破产的状态。</w:t>
            </w:r>
          </w:p>
          <w:p>
            <w:pPr>
              <w:spacing w:line="360" w:lineRule="auto"/>
              <w:ind w:left="141" w:leftChars="67" w:firstLine="312"/>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4．</w:t>
            </w:r>
            <w:r>
              <w:rPr>
                <w:rFonts w:hAnsi="宋体"/>
                <w:color w:val="000000" w:themeColor="text1"/>
                <w:sz w:val="24"/>
                <w:szCs w:val="24"/>
                <w14:textFill>
                  <w14:solidFill>
                    <w14:schemeClr w14:val="tx1"/>
                  </w14:solidFill>
                </w14:textFill>
              </w:rPr>
              <w:t>投标人没有涉及正在诉讼的案件，或涉及正在诉讼的案件（请详述具体情况）但经评标委员会认定不会对承担本项目造成重大影响。</w:t>
            </w:r>
          </w:p>
          <w:p>
            <w:pPr>
              <w:spacing w:line="360" w:lineRule="auto"/>
              <w:ind w:left="141" w:leftChars="67" w:firstLine="312"/>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5. 投标人在国家企业信用信息公示系统中未被列入严重违法失信企业名单。</w:t>
            </w:r>
          </w:p>
          <w:p>
            <w:pPr>
              <w:spacing w:line="360" w:lineRule="auto"/>
              <w:ind w:left="141" w:leftChars="67" w:firstLine="312"/>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6. 投标人在“信用中国”网站中未被列入失信被执行人名单。</w:t>
            </w:r>
          </w:p>
        </w:tc>
      </w:tr>
    </w:tbl>
    <w:p>
      <w:pPr>
        <w:ind w:left="141" w:leftChars="67" w:firstLine="312"/>
        <w:jc w:val="center"/>
        <w:rPr>
          <w:rFonts w:hAnsi="宋体"/>
          <w:b/>
          <w:color w:val="000000" w:themeColor="text1"/>
          <w:sz w:val="28"/>
          <w:szCs w:val="28"/>
          <w14:textFill>
            <w14:solidFill>
              <w14:schemeClr w14:val="tx1"/>
            </w14:solidFill>
          </w14:textFill>
        </w:rPr>
        <w:sectPr>
          <w:footerReference r:id="rId4" w:type="first"/>
          <w:footerReference r:id="rId3" w:type="default"/>
          <w:pgSz w:w="11906" w:h="16838"/>
          <w:pgMar w:top="1418" w:right="1276" w:bottom="1440" w:left="1622" w:header="680" w:footer="992" w:gutter="0"/>
          <w:pgNumType w:start="1"/>
          <w:cols w:space="720" w:num="1"/>
          <w:titlePg/>
          <w:docGrid w:linePitch="312" w:charSpace="0"/>
        </w:sectPr>
      </w:pPr>
    </w:p>
    <w:p>
      <w:pPr>
        <w:ind w:left="141" w:leftChars="67" w:firstLine="312"/>
        <w:jc w:val="center"/>
        <w:rPr>
          <w:rFonts w:hAnsi="宋体"/>
          <w:b/>
          <w:color w:val="000000" w:themeColor="text1"/>
          <w:sz w:val="28"/>
          <w:szCs w:val="28"/>
          <w14:textFill>
            <w14:solidFill>
              <w14:schemeClr w14:val="tx1"/>
            </w14:solidFill>
          </w14:textFill>
        </w:rPr>
      </w:pPr>
      <w:r>
        <w:rPr>
          <w:rFonts w:hAnsi="宋体"/>
          <w:b/>
          <w:color w:val="000000" w:themeColor="text1"/>
          <w:sz w:val="28"/>
          <w:szCs w:val="28"/>
          <w14:textFill>
            <w14:solidFill>
              <w14:schemeClr w14:val="tx1"/>
            </w14:solidFill>
          </w14:textFill>
        </w:rPr>
        <w:t>附录4资格审查条件（主要人员最低要求）</w:t>
      </w:r>
    </w:p>
    <w:p>
      <w:pPr>
        <w:adjustRightInd/>
        <w:snapToGrid w:val="0"/>
        <w:spacing w:line="288" w:lineRule="auto"/>
        <w:ind w:left="141" w:leftChars="67" w:firstLine="312"/>
        <w:textAlignment w:val="auto"/>
        <w:rPr>
          <w:rFonts w:hAnsi="宋体"/>
          <w:color w:val="000000" w:themeColor="text1"/>
          <w:sz w:val="24"/>
          <w:szCs w:val="24"/>
          <w14:textFill>
            <w14:solidFill>
              <w14:schemeClr w14:val="tx1"/>
            </w14:solidFill>
          </w14:textFill>
        </w:rPr>
      </w:pPr>
    </w:p>
    <w:tbl>
      <w:tblPr>
        <w:tblStyle w:val="6"/>
        <w:tblW w:w="9723"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705"/>
        <w:gridCol w:w="804"/>
        <w:gridCol w:w="1964"/>
        <w:gridCol w:w="1895"/>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323" w:type="dxa"/>
            <w:vAlign w:val="center"/>
          </w:tcPr>
          <w:p>
            <w:pPr>
              <w:spacing w:line="320" w:lineRule="exact"/>
              <w:ind w:firstLine="0"/>
              <w:jc w:val="center"/>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标  段</w:t>
            </w:r>
          </w:p>
        </w:tc>
        <w:tc>
          <w:tcPr>
            <w:tcW w:w="1705" w:type="dxa"/>
            <w:vAlign w:val="center"/>
          </w:tcPr>
          <w:p>
            <w:pPr>
              <w:snapToGrid w:val="0"/>
              <w:spacing w:line="400" w:lineRule="exact"/>
              <w:ind w:firstLine="0"/>
              <w:jc w:val="center"/>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主要人员</w:t>
            </w:r>
          </w:p>
        </w:tc>
        <w:tc>
          <w:tcPr>
            <w:tcW w:w="804" w:type="dxa"/>
            <w:vAlign w:val="center"/>
          </w:tcPr>
          <w:p>
            <w:pPr>
              <w:snapToGrid w:val="0"/>
              <w:spacing w:line="400" w:lineRule="exact"/>
              <w:ind w:firstLine="0"/>
              <w:jc w:val="center"/>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数量</w:t>
            </w:r>
          </w:p>
        </w:tc>
        <w:tc>
          <w:tcPr>
            <w:tcW w:w="1964" w:type="dxa"/>
            <w:vAlign w:val="center"/>
          </w:tcPr>
          <w:p>
            <w:pPr>
              <w:snapToGrid w:val="0"/>
              <w:spacing w:line="400" w:lineRule="exact"/>
              <w:ind w:firstLine="0"/>
              <w:jc w:val="center"/>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资格要求</w:t>
            </w:r>
          </w:p>
        </w:tc>
        <w:tc>
          <w:tcPr>
            <w:tcW w:w="1895" w:type="dxa"/>
            <w:vAlign w:val="center"/>
          </w:tcPr>
          <w:p>
            <w:pPr>
              <w:snapToGrid w:val="0"/>
              <w:spacing w:line="240" w:lineRule="auto"/>
              <w:ind w:firstLine="0"/>
              <w:jc w:val="center"/>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职称要求</w:t>
            </w:r>
          </w:p>
        </w:tc>
        <w:tc>
          <w:tcPr>
            <w:tcW w:w="2032" w:type="dxa"/>
            <w:vAlign w:val="center"/>
          </w:tcPr>
          <w:p>
            <w:pPr>
              <w:snapToGrid w:val="0"/>
              <w:spacing w:line="240" w:lineRule="auto"/>
              <w:ind w:firstLine="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在岗</w:t>
            </w:r>
            <w:r>
              <w:rPr>
                <w:rFonts w:ascii="宋体" w:hAnsi="宋体"/>
                <w:b/>
                <w:color w:val="000000" w:themeColor="text1"/>
                <w:sz w:val="24"/>
                <w:szCs w:val="24"/>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2" w:hRule="atLeast"/>
        </w:trPr>
        <w:tc>
          <w:tcPr>
            <w:tcW w:w="1323" w:type="dxa"/>
            <w:vAlign w:val="center"/>
          </w:tcPr>
          <w:p>
            <w:pPr>
              <w:snapToGrid w:val="0"/>
              <w:spacing w:line="360" w:lineRule="auto"/>
              <w:ind w:firstLine="0"/>
              <w:jc w:val="center"/>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JDJL-1</w:t>
            </w:r>
          </w:p>
          <w:p>
            <w:pPr>
              <w:snapToGrid w:val="0"/>
              <w:spacing w:line="360" w:lineRule="auto"/>
              <w:ind w:firstLine="0"/>
              <w:jc w:val="center"/>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JDJL-2</w:t>
            </w:r>
          </w:p>
          <w:p>
            <w:pPr>
              <w:snapToGrid w:val="0"/>
              <w:spacing w:line="360" w:lineRule="auto"/>
              <w:ind w:firstLine="0"/>
              <w:jc w:val="center"/>
              <w:rPr>
                <w:rFonts w:ascii="宋体" w:hAnsi="宋体"/>
                <w:color w:val="000000" w:themeColor="text1"/>
                <w:sz w:val="24"/>
                <w:szCs w:val="24"/>
                <w14:textFill>
                  <w14:solidFill>
                    <w14:schemeClr w14:val="tx1"/>
                  </w14:solidFill>
                </w14:textFill>
              </w:rPr>
            </w:pPr>
            <w:r>
              <w:rPr>
                <w:rFonts w:hint="eastAsia"/>
                <w:color w:val="000000" w:themeColor="text1"/>
                <w:sz w:val="24"/>
                <w:szCs w:val="28"/>
                <w14:textFill>
                  <w14:solidFill>
                    <w14:schemeClr w14:val="tx1"/>
                  </w14:solidFill>
                </w14:textFill>
              </w:rPr>
              <w:t>JDJL-3</w:t>
            </w:r>
          </w:p>
        </w:tc>
        <w:tc>
          <w:tcPr>
            <w:tcW w:w="1705" w:type="dxa"/>
            <w:vAlign w:val="center"/>
          </w:tcPr>
          <w:p>
            <w:pPr>
              <w:pStyle w:val="4"/>
              <w:spacing w:line="340" w:lineRule="atLeast"/>
              <w:ind w:left="0" w:leftChars="0" w:firstLine="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总监理工程师</w:t>
            </w:r>
          </w:p>
        </w:tc>
        <w:tc>
          <w:tcPr>
            <w:tcW w:w="804" w:type="dxa"/>
            <w:vAlign w:val="center"/>
          </w:tcPr>
          <w:p>
            <w:pPr>
              <w:pStyle w:val="4"/>
              <w:spacing w:line="340" w:lineRule="atLeast"/>
              <w:ind w:left="0" w:leftChars="0" w:firstLine="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1964" w:type="dxa"/>
            <w:vAlign w:val="center"/>
          </w:tcPr>
          <w:p>
            <w:pPr>
              <w:pStyle w:val="4"/>
              <w:spacing w:line="340" w:lineRule="atLeast"/>
              <w:ind w:left="0" w:leftChars="0" w:firstLine="0"/>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需具备</w:t>
            </w:r>
            <w:r>
              <w:rPr>
                <w:rFonts w:hint="eastAsia" w:ascii="宋体" w:hAnsi="宋体" w:cs="Arial"/>
                <w:color w:val="000000" w:themeColor="text1"/>
                <w:szCs w:val="21"/>
                <w14:textFill>
                  <w14:solidFill>
                    <w14:schemeClr w14:val="tx1"/>
                  </w14:solidFill>
                </w14:textFill>
              </w:rPr>
              <w:t>中华人民共和国住房和城乡建设部</w:t>
            </w:r>
            <w:r>
              <w:rPr>
                <w:rFonts w:ascii="宋体" w:hAnsi="宋体" w:cs="Arial"/>
                <w:color w:val="000000" w:themeColor="text1"/>
                <w:szCs w:val="21"/>
                <w14:textFill>
                  <w14:solidFill>
                    <w14:schemeClr w14:val="tx1"/>
                  </w14:solidFill>
                </w14:textFill>
              </w:rPr>
              <w:t>颁发的监理工程师</w:t>
            </w:r>
            <w:r>
              <w:rPr>
                <w:rFonts w:hint="eastAsia" w:ascii="宋体" w:hAnsi="宋体" w:cs="Arial"/>
                <w:color w:val="000000" w:themeColor="text1"/>
                <w:szCs w:val="21"/>
                <w14:textFill>
                  <w14:solidFill>
                    <w14:schemeClr w14:val="tx1"/>
                  </w14:solidFill>
                </w14:textFill>
              </w:rPr>
              <w:t>执业</w:t>
            </w:r>
            <w:r>
              <w:rPr>
                <w:rFonts w:ascii="宋体" w:hAnsi="宋体" w:cs="Arial"/>
                <w:color w:val="000000" w:themeColor="text1"/>
                <w:szCs w:val="21"/>
                <w14:textFill>
                  <w14:solidFill>
                    <w14:schemeClr w14:val="tx1"/>
                  </w14:solidFill>
                </w14:textFill>
              </w:rPr>
              <w:t>资格证书</w:t>
            </w:r>
            <w:r>
              <w:rPr>
                <w:rFonts w:hint="eastAsia" w:ascii="宋体" w:hAnsi="宋体" w:cs="Arial"/>
                <w:color w:val="000000" w:themeColor="text1"/>
                <w:szCs w:val="21"/>
                <w:lang w:eastAsia="zh-CN"/>
                <w14:textFill>
                  <w14:solidFill>
                    <w14:schemeClr w14:val="tx1"/>
                  </w14:solidFill>
                </w14:textFill>
              </w:rPr>
              <w:t>（</w:t>
            </w:r>
            <w:r>
              <w:rPr>
                <w:rFonts w:hint="eastAsia" w:ascii="宋体" w:hAnsi="宋体" w:cs="Arial"/>
                <w:color w:val="000000" w:themeColor="text1"/>
                <w:szCs w:val="21"/>
                <w:lang w:val="en-US" w:eastAsia="zh-CN"/>
                <w14:textFill>
                  <w14:solidFill>
                    <w14:schemeClr w14:val="tx1"/>
                  </w14:solidFill>
                </w14:textFill>
              </w:rPr>
              <w:t>机电工程专业</w:t>
            </w:r>
            <w:r>
              <w:rPr>
                <w:rFonts w:hint="eastAsia" w:ascii="宋体" w:hAnsi="宋体" w:cs="Arial"/>
                <w:color w:val="000000" w:themeColor="text1"/>
                <w:szCs w:val="21"/>
                <w:lang w:eastAsia="zh-CN"/>
                <w14:textFill>
                  <w14:solidFill>
                    <w14:schemeClr w14:val="tx1"/>
                  </w14:solidFill>
                </w14:textFill>
              </w:rPr>
              <w:t>）</w:t>
            </w:r>
            <w:r>
              <w:rPr>
                <w:rFonts w:hint="eastAsia" w:ascii="宋体" w:hAnsi="宋体" w:cs="Arial"/>
                <w:color w:val="000000" w:themeColor="text1"/>
                <w:szCs w:val="21"/>
                <w:lang w:val="en-US" w:eastAsia="zh-CN"/>
                <w14:textFill>
                  <w14:solidFill>
                    <w14:schemeClr w14:val="tx1"/>
                  </w14:solidFill>
                </w14:textFill>
              </w:rPr>
              <w:t>或交通运输部颁发的监理工程师资格证书</w:t>
            </w:r>
            <w:r>
              <w:rPr>
                <w:rFonts w:hint="eastAsia" w:ascii="宋体" w:hAnsi="宋体" w:cs="Arial"/>
                <w:color w:val="000000" w:themeColor="text1"/>
                <w:szCs w:val="21"/>
                <w:lang w:eastAsia="zh-CN"/>
                <w14:textFill>
                  <w14:solidFill>
                    <w14:schemeClr w14:val="tx1"/>
                  </w14:solidFill>
                </w14:textFill>
              </w:rPr>
              <w:t>（</w:t>
            </w:r>
            <w:r>
              <w:rPr>
                <w:rFonts w:hint="eastAsia" w:ascii="宋体" w:hAnsi="宋体" w:cs="Arial"/>
                <w:color w:val="000000" w:themeColor="text1"/>
                <w:szCs w:val="21"/>
                <w:lang w:val="en-US" w:eastAsia="zh-CN"/>
                <w14:textFill>
                  <w14:solidFill>
                    <w14:schemeClr w14:val="tx1"/>
                  </w14:solidFill>
                </w14:textFill>
              </w:rPr>
              <w:t>机电工程专业</w:t>
            </w:r>
            <w:r>
              <w:rPr>
                <w:rFonts w:hint="eastAsia" w:ascii="宋体" w:hAnsi="宋体" w:cs="Arial"/>
                <w:color w:val="000000" w:themeColor="text1"/>
                <w:szCs w:val="21"/>
                <w:lang w:eastAsia="zh-CN"/>
                <w14:textFill>
                  <w14:solidFill>
                    <w14:schemeClr w14:val="tx1"/>
                  </w14:solidFill>
                </w14:textFill>
              </w:rPr>
              <w:t>）</w:t>
            </w:r>
          </w:p>
        </w:tc>
        <w:tc>
          <w:tcPr>
            <w:tcW w:w="1895" w:type="dxa"/>
            <w:vAlign w:val="center"/>
          </w:tcPr>
          <w:p>
            <w:pPr>
              <w:snapToGrid w:val="0"/>
              <w:spacing w:line="240" w:lineRule="auto"/>
              <w:ind w:firstLine="0"/>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高级工程师及以上职称</w:t>
            </w:r>
            <w:r>
              <w:rPr>
                <w:rFonts w:hint="eastAsia" w:ascii="宋体" w:hAnsi="宋体"/>
                <w:color w:val="000000" w:themeColor="text1"/>
                <w:sz w:val="24"/>
                <w:szCs w:val="24"/>
                <w14:textFill>
                  <w14:solidFill>
                    <w14:schemeClr w14:val="tx1"/>
                  </w14:solidFill>
                </w14:textFill>
              </w:rPr>
              <w:t>（机电工程或公路工程相关专业）</w:t>
            </w:r>
          </w:p>
        </w:tc>
        <w:tc>
          <w:tcPr>
            <w:tcW w:w="2032" w:type="dxa"/>
            <w:vAlign w:val="center"/>
          </w:tcPr>
          <w:p>
            <w:pPr>
              <w:snapToGrid w:val="0"/>
              <w:spacing w:line="240" w:lineRule="auto"/>
              <w:ind w:firstLine="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无在岗项目（指目前未在其他项目上任职，或虽在其他项目上任职但本项目中标后能够从该项目撤离）</w:t>
            </w:r>
          </w:p>
        </w:tc>
      </w:tr>
    </w:tbl>
    <w:p>
      <w:pPr>
        <w:snapToGrid w:val="0"/>
        <w:spacing w:before="120" w:beforeLines="50" w:line="240" w:lineRule="auto"/>
        <w:ind w:left="141" w:leftChars="67" w:firstLine="482" w:firstLineChars="200"/>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注：</w:t>
      </w:r>
    </w:p>
    <w:p>
      <w:pPr>
        <w:numPr>
          <w:ilvl w:val="0"/>
          <w:numId w:val="1"/>
        </w:numPr>
        <w:snapToGrid w:val="0"/>
        <w:spacing w:before="120" w:beforeLines="50" w:line="240" w:lineRule="auto"/>
        <w:ind w:left="141" w:leftChars="67" w:firstLine="480" w:firstLineChars="200"/>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如项目经理或项目总工目前仍在其他项目上任职或目前虽未在其他项目上任职，但处于其他招标项目中标公示期或中标公示期已满但尚未签署合同，则投标人应提供主要人员能够从该项目撤离的书面承诺。</w:t>
      </w:r>
    </w:p>
    <w:p>
      <w:pPr>
        <w:numPr>
          <w:ilvl w:val="0"/>
          <w:numId w:val="2"/>
        </w:numPr>
        <w:spacing w:before="120" w:beforeLines="50" w:line="300" w:lineRule="auto"/>
        <w:rPr>
          <w:rFonts w:cs="Arial" w:asciiTheme="minorEastAsia" w:hAnsiTheme="minorEastAsia" w:eastAsiaTheme="minorEastAsia"/>
          <w:b/>
          <w:bCs/>
          <w:color w:val="000000" w:themeColor="text1"/>
          <w:szCs w:val="21"/>
          <w14:textFill>
            <w14:solidFill>
              <w14:schemeClr w14:val="tx1"/>
            </w14:solidFill>
          </w14:textFill>
        </w:rPr>
      </w:pPr>
      <w:r>
        <w:rPr>
          <w:rFonts w:hint="eastAsia" w:cs="Arial" w:asciiTheme="minorEastAsia" w:hAnsiTheme="minorEastAsia" w:eastAsiaTheme="minorEastAsia"/>
          <w:b/>
          <w:bCs/>
          <w:color w:val="000000" w:themeColor="text1"/>
          <w:szCs w:val="21"/>
          <w14:textFill>
            <w14:solidFill>
              <w14:schemeClr w14:val="tx1"/>
            </w14:solidFill>
          </w14:textFill>
        </w:rPr>
        <w:t>资格审查投标人如不满足上述强制性资格条件除其他技术人员中的任何一条，将被认为资格审查不合格；本次招标阶段其他技术人员不需要提供资料。投标人一旦中标，在合同谈判时应提交上述技术人员相关资料，人员资历应满足资格审查强制标准要求。</w:t>
      </w:r>
    </w:p>
    <w:p>
      <w:pPr>
        <w:spacing w:before="120" w:beforeLines="50" w:line="300" w:lineRule="auto"/>
        <w:rPr>
          <w:rFonts w:cs="Arial" w:asciiTheme="minorEastAsia" w:hAnsiTheme="minorEastAsia" w:eastAsiaTheme="minorEastAsia"/>
          <w:b/>
          <w:bCs/>
          <w:color w:val="000000" w:themeColor="text1"/>
          <w:szCs w:val="21"/>
          <w14:textFill>
            <w14:solidFill>
              <w14:schemeClr w14:val="tx1"/>
            </w14:solidFill>
          </w14:textFill>
        </w:rPr>
      </w:pPr>
      <w:r>
        <w:rPr>
          <w:rFonts w:cs="Arial" w:asciiTheme="minorEastAsia" w:hAnsiTheme="minorEastAsia" w:eastAsiaTheme="minorEastAsia"/>
          <w:b/>
          <w:bCs/>
          <w:color w:val="000000" w:themeColor="text1"/>
          <w:szCs w:val="21"/>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总监理工程师</w:t>
      </w:r>
      <w:r>
        <w:rPr>
          <w:rFonts w:cs="Arial" w:asciiTheme="minorEastAsia" w:hAnsiTheme="minorEastAsia" w:eastAsiaTheme="minorEastAsia"/>
          <w:b/>
          <w:bCs/>
          <w:color w:val="000000" w:themeColor="text1"/>
          <w:szCs w:val="21"/>
          <w14:textFill>
            <w14:solidFill>
              <w14:schemeClr w14:val="tx1"/>
            </w14:solidFill>
          </w14:textFill>
        </w:rPr>
        <w:t>在整个招标及施工期内</w:t>
      </w:r>
      <w:r>
        <w:rPr>
          <w:rFonts w:hint="eastAsia" w:cs="Arial" w:asciiTheme="minorEastAsia" w:hAnsiTheme="minorEastAsia" w:eastAsiaTheme="minorEastAsia"/>
          <w:b/>
          <w:bCs/>
          <w:color w:val="000000" w:themeColor="text1"/>
          <w:szCs w:val="21"/>
          <w14:textFill>
            <w14:solidFill>
              <w14:schemeClr w14:val="tx1"/>
            </w14:solidFill>
          </w14:textFill>
        </w:rPr>
        <w:t>原则上</w:t>
      </w:r>
      <w:r>
        <w:rPr>
          <w:rFonts w:cs="Arial" w:asciiTheme="minorEastAsia" w:hAnsiTheme="minorEastAsia" w:eastAsiaTheme="minorEastAsia"/>
          <w:b/>
          <w:bCs/>
          <w:color w:val="000000" w:themeColor="text1"/>
          <w:szCs w:val="21"/>
          <w14:textFill>
            <w14:solidFill>
              <w14:schemeClr w14:val="tx1"/>
            </w14:solidFill>
          </w14:textFill>
        </w:rPr>
        <w:t>不允许更换，否则，招标人有权取消其中标资格，已签订合同的业主有权终止合同。</w:t>
      </w:r>
    </w:p>
    <w:p>
      <w:pPr>
        <w:spacing w:before="120" w:beforeLines="50" w:line="300" w:lineRule="auto"/>
        <w:rPr>
          <w:color w:val="000000" w:themeColor="text1"/>
          <w14:textFill>
            <w14:solidFill>
              <w14:schemeClr w14:val="tx1"/>
            </w14:solidFill>
          </w14:textFill>
        </w:rPr>
      </w:pPr>
      <w:r>
        <w:rPr>
          <w:rFonts w:cs="Arial" w:asciiTheme="minorEastAsia" w:hAnsiTheme="minorEastAsia" w:eastAsiaTheme="minorEastAsia"/>
          <w:b/>
          <w:bCs/>
          <w:color w:val="000000" w:themeColor="text1"/>
          <w:szCs w:val="21"/>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总监理工程师</w:t>
      </w:r>
      <w:r>
        <w:rPr>
          <w:rFonts w:cs="Arial" w:asciiTheme="minorEastAsia" w:hAnsiTheme="minorEastAsia" w:eastAsiaTheme="minorEastAsia"/>
          <w:b/>
          <w:bCs/>
          <w:color w:val="000000" w:themeColor="text1"/>
          <w:szCs w:val="21"/>
          <w14:textFill>
            <w14:solidFill>
              <w14:schemeClr w14:val="tx1"/>
            </w14:solidFill>
          </w14:textFill>
        </w:rPr>
        <w:t>应</w:t>
      </w:r>
      <w:r>
        <w:rPr>
          <w:rFonts w:hint="eastAsia" w:cs="Arial" w:asciiTheme="minorEastAsia" w:hAnsiTheme="minorEastAsia" w:eastAsiaTheme="minorEastAsia"/>
          <w:b/>
          <w:color w:val="000000" w:themeColor="text1"/>
          <w:szCs w:val="21"/>
          <w14:textFill>
            <w14:solidFill>
              <w14:schemeClr w14:val="tx1"/>
            </w14:solidFill>
          </w14:textFill>
        </w:rPr>
        <w:t>提供从社保系统打印的以上人员从投标截止日往前算起的连续三个月以上（含三个月）的缴费明细。</w:t>
      </w:r>
    </w:p>
    <w:p>
      <w:pPr>
        <w:snapToGrid w:val="0"/>
        <w:spacing w:before="120" w:beforeLines="50" w:line="240" w:lineRule="auto"/>
        <w:ind w:left="141" w:leftChars="67" w:firstLine="480" w:firstLineChars="200"/>
        <w:rPr>
          <w:rFonts w:hAnsi="宋体"/>
          <w:bCs/>
          <w:color w:val="000000" w:themeColor="text1"/>
          <w:sz w:val="24"/>
          <w:szCs w:val="24"/>
          <w14:textFill>
            <w14:solidFill>
              <w14:schemeClr w14:val="tx1"/>
            </w14:solidFill>
          </w14:textFill>
        </w:rPr>
      </w:pPr>
    </w:p>
    <w:p>
      <w:pPr>
        <w:ind w:left="141" w:leftChars="67" w:firstLine="312"/>
        <w:jc w:val="center"/>
        <w:rPr>
          <w:rFonts w:hAnsi="宋体"/>
          <w:color w:val="000000" w:themeColor="text1"/>
          <w:sz w:val="24"/>
          <w:szCs w:val="24"/>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adjustRightInd w:val="0"/>
        <w:snapToGrid w:val="0"/>
        <w:spacing w:before="240" w:beforeLines="100" w:after="100" w:afterAutospacing="1" w:line="240" w:lineRule="auto"/>
        <w:jc w:val="center"/>
        <w:rPr>
          <w:rFonts w:ascii="宋体" w:hAnsi="宋体" w:eastAsia="宋体"/>
          <w:color w:val="000000" w:themeColor="text1"/>
          <w:sz w:val="36"/>
          <w:szCs w:val="36"/>
          <w14:textFill>
            <w14:solidFill>
              <w14:schemeClr w14:val="tx1"/>
            </w14:solidFill>
          </w14:textFill>
        </w:rPr>
      </w:pPr>
      <w:r>
        <w:rPr>
          <w:rFonts w:hint="eastAsia" w:ascii="宋体" w:hAnsi="宋体" w:eastAsia="宋体"/>
          <w:color w:val="000000" w:themeColor="text1"/>
          <w:sz w:val="36"/>
          <w:szCs w:val="36"/>
          <w14:textFill>
            <w14:solidFill>
              <w14:schemeClr w14:val="tx1"/>
            </w14:solidFill>
          </w14:textFill>
        </w:rPr>
        <w:t>第三章  评标办法（综合评估法）</w:t>
      </w:r>
    </w:p>
    <w:p>
      <w:pPr>
        <w:ind w:left="141" w:leftChars="67" w:firstLine="312"/>
        <w:jc w:val="left"/>
        <w:outlineLvl w:val="1"/>
        <w:rPr>
          <w:rFonts w:hAnsi="宋体" w:cs="宋体"/>
          <w:b/>
          <w:color w:val="000000" w:themeColor="text1"/>
          <w:kern w:val="2"/>
          <w:sz w:val="28"/>
          <w:szCs w:val="28"/>
          <w14:textFill>
            <w14:solidFill>
              <w14:schemeClr w14:val="tx1"/>
            </w14:solidFill>
          </w14:textFill>
        </w:rPr>
      </w:pPr>
      <w:r>
        <w:rPr>
          <w:rFonts w:hAnsi="宋体"/>
          <w:b/>
          <w:color w:val="000000" w:themeColor="text1"/>
          <w:sz w:val="28"/>
          <w:szCs w:val="28"/>
          <w14:textFill>
            <w14:solidFill>
              <w14:schemeClr w14:val="tx1"/>
            </w14:solidFill>
          </w14:textFill>
        </w:rPr>
        <w:t>评标办法前附表</w:t>
      </w:r>
    </w:p>
    <w:tbl>
      <w:tblPr>
        <w:tblStyle w:val="6"/>
        <w:tblpPr w:leftFromText="180" w:rightFromText="180" w:vertAnchor="text" w:tblpY="1"/>
        <w:tblOverlap w:val="never"/>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600"/>
        <w:gridCol w:w="678"/>
        <w:gridCol w:w="991"/>
        <w:gridCol w:w="2052"/>
        <w:gridCol w:w="688"/>
        <w:gridCol w:w="3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blHeader/>
        </w:trPr>
        <w:tc>
          <w:tcPr>
            <w:tcW w:w="2236" w:type="dxa"/>
            <w:gridSpan w:val="3"/>
            <w:vAlign w:val="center"/>
          </w:tcPr>
          <w:p>
            <w:pPr>
              <w:spacing w:line="300" w:lineRule="exact"/>
              <w:ind w:left="141" w:leftChars="67" w:firstLine="312"/>
              <w:jc w:val="center"/>
              <w:rPr>
                <w:rFonts w:hAnsi="宋体"/>
                <w:b/>
                <w:color w:val="000000" w:themeColor="text1"/>
                <w:szCs w:val="21"/>
                <w14:textFill>
                  <w14:solidFill>
                    <w14:schemeClr w14:val="tx1"/>
                  </w14:solidFill>
                </w14:textFill>
              </w:rPr>
            </w:pPr>
            <w:r>
              <w:rPr>
                <w:rFonts w:hAnsi="宋体"/>
                <w:b/>
                <w:color w:val="000000" w:themeColor="text1"/>
                <w:szCs w:val="21"/>
                <w14:textFill>
                  <w14:solidFill>
                    <w14:schemeClr w14:val="tx1"/>
                  </w14:solidFill>
                </w14:textFill>
              </w:rPr>
              <w:t>条款号/名称</w:t>
            </w:r>
          </w:p>
        </w:tc>
        <w:tc>
          <w:tcPr>
            <w:tcW w:w="6977" w:type="dxa"/>
            <w:gridSpan w:val="4"/>
            <w:vAlign w:val="center"/>
          </w:tcPr>
          <w:p>
            <w:pPr>
              <w:spacing w:line="300" w:lineRule="exact"/>
              <w:ind w:left="141" w:leftChars="67" w:firstLine="312"/>
              <w:jc w:val="center"/>
              <w:rPr>
                <w:rFonts w:hAnsi="宋体"/>
                <w:b/>
                <w:color w:val="000000" w:themeColor="text1"/>
                <w:szCs w:val="21"/>
                <w14:textFill>
                  <w14:solidFill>
                    <w14:schemeClr w14:val="tx1"/>
                  </w14:solidFill>
                </w14:textFill>
              </w:rPr>
            </w:pPr>
            <w:r>
              <w:rPr>
                <w:rFonts w:hAnsi="宋体"/>
                <w:b/>
                <w:color w:val="000000" w:themeColor="text1"/>
                <w:szCs w:val="21"/>
                <w14:textFill>
                  <w14:solidFill>
                    <w14:schemeClr w14:val="tx1"/>
                  </w14:solidFill>
                </w14:textFill>
              </w:rPr>
              <w:t>评审因素与标准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trPr>
        <w:tc>
          <w:tcPr>
            <w:tcW w:w="958" w:type="dxa"/>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278" w:type="dxa"/>
            <w:gridSpan w:val="2"/>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评标办法</w:t>
            </w:r>
          </w:p>
        </w:tc>
        <w:tc>
          <w:tcPr>
            <w:tcW w:w="6977" w:type="dxa"/>
            <w:gridSpan w:val="4"/>
            <w:vAlign w:val="center"/>
          </w:tcPr>
          <w:p>
            <w:pPr>
              <w:widowControl/>
              <w:adjustRightInd/>
              <w:spacing w:line="300" w:lineRule="exact"/>
              <w:ind w:firstLine="420" w:firstLineChars="200"/>
              <w:textAlignment w:val="auto"/>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综合评分相等时，评标委员会依次按照以下优先顺序推荐中标候选人：</w:t>
            </w:r>
          </w:p>
          <w:p>
            <w:pPr>
              <w:widowControl/>
              <w:adjustRightInd/>
              <w:spacing w:line="300" w:lineRule="exact"/>
              <w:ind w:firstLine="420" w:firstLineChars="200"/>
              <w:textAlignment w:val="auto"/>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（1）评标价低的投标人优先；</w:t>
            </w:r>
          </w:p>
          <w:p>
            <w:pPr>
              <w:widowControl/>
              <w:adjustRightInd/>
              <w:spacing w:line="300" w:lineRule="exact"/>
              <w:ind w:firstLine="420" w:firstLineChars="200"/>
              <w:textAlignment w:val="auto"/>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（2）被贵州省交通运输主管部门评为较高信用等级的投标人优先；</w:t>
            </w:r>
          </w:p>
          <w:p>
            <w:pPr>
              <w:widowControl/>
              <w:adjustRightInd/>
              <w:spacing w:line="300" w:lineRule="exact"/>
              <w:ind w:firstLine="420" w:firstLineChars="200"/>
              <w:textAlignment w:val="auto"/>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（3）商务和技术得分较高的投标人优先；</w:t>
            </w:r>
          </w:p>
          <w:p>
            <w:pPr>
              <w:widowControl/>
              <w:adjustRightInd/>
              <w:spacing w:line="300" w:lineRule="exact"/>
              <w:ind w:firstLine="420" w:firstLineChars="200"/>
              <w:textAlignment w:val="auto"/>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（4）较早购买招标文件的投标人优先。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2" w:hRule="atLeast"/>
        </w:trPr>
        <w:tc>
          <w:tcPr>
            <w:tcW w:w="958" w:type="dxa"/>
            <w:vAlign w:val="center"/>
          </w:tcPr>
          <w:p>
            <w:pPr>
              <w:spacing w:line="300" w:lineRule="exact"/>
              <w:ind w:left="141" w:leftChars="67" w:firstLine="0"/>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2.1.1</w:t>
            </w:r>
          </w:p>
          <w:p>
            <w:pPr>
              <w:spacing w:line="300" w:lineRule="exact"/>
              <w:ind w:left="141" w:leftChars="67" w:firstLine="0"/>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2.1.3</w:t>
            </w:r>
          </w:p>
        </w:tc>
        <w:tc>
          <w:tcPr>
            <w:tcW w:w="1278" w:type="dxa"/>
            <w:gridSpan w:val="2"/>
            <w:vAlign w:val="center"/>
          </w:tcPr>
          <w:p>
            <w:pPr>
              <w:spacing w:line="300" w:lineRule="exact"/>
              <w:ind w:left="141" w:leftChars="67" w:firstLine="0"/>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形式评审与响应性评审标准</w:t>
            </w:r>
          </w:p>
        </w:tc>
        <w:tc>
          <w:tcPr>
            <w:tcW w:w="6977" w:type="dxa"/>
            <w:gridSpan w:val="4"/>
            <w:vAlign w:val="center"/>
          </w:tcPr>
          <w:p>
            <w:pPr>
              <w:widowControl/>
              <w:adjustRightInd/>
              <w:spacing w:line="300" w:lineRule="exact"/>
              <w:ind w:left="141" w:leftChars="67" w:firstLine="312"/>
              <w:textAlignment w:val="auto"/>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第一个信封（商务及技术文件）评审标准：</w:t>
            </w:r>
          </w:p>
          <w:p>
            <w:pPr>
              <w:pStyle w:val="10"/>
              <w:autoSpaceDE w:val="0"/>
              <w:autoSpaceDN w:val="0"/>
              <w:spacing w:line="300" w:lineRule="exact"/>
              <w:ind w:firstLine="422"/>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（1）投标文件按照招标文件规定的格式、内容填写，字迹清晰可辨；</w:t>
            </w:r>
          </w:p>
          <w:p>
            <w:pPr>
              <w:spacing w:line="300" w:lineRule="exact"/>
              <w:ind w:firstLine="422" w:firstLineChars="200"/>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（2）投标文件上法定代表人或其授权代理人的签字，投标人的单位章齐全，符合招标文件规定；</w:t>
            </w:r>
          </w:p>
          <w:p>
            <w:pPr>
              <w:spacing w:line="300" w:lineRule="exact"/>
              <w:ind w:left="141" w:leftChars="67" w:firstLine="316" w:firstLineChars="150"/>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若由授权代理人签署，投标函签署的日期应在授权委托书委托期限以内。</w:t>
            </w:r>
          </w:p>
          <w:p>
            <w:pPr>
              <w:spacing w:line="300" w:lineRule="exact"/>
              <w:ind w:firstLine="422" w:firstLineChars="200"/>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（3）</w:t>
            </w:r>
            <w:r>
              <w:rPr>
                <w:rFonts w:hint="eastAsia" w:ascii="宋体" w:cs="宋体"/>
                <w:b/>
                <w:color w:val="000000" w:themeColor="text1"/>
                <w:szCs w:val="21"/>
                <w14:textFill>
                  <w14:solidFill>
                    <w14:schemeClr w14:val="tx1"/>
                  </w14:solidFill>
                </w14:textFill>
              </w:rPr>
              <w:t>与</w:t>
            </w:r>
            <w:r>
              <w:rPr>
                <w:rFonts w:hint="eastAsia" w:ascii="宋体" w:cs="宋体"/>
                <w:b/>
                <w:color w:val="000000" w:themeColor="text1"/>
                <w:spacing w:val="-3"/>
                <w:szCs w:val="21"/>
                <w14:textFill>
                  <w14:solidFill>
                    <w14:schemeClr w14:val="tx1"/>
                  </w14:solidFill>
                </w14:textFill>
              </w:rPr>
              <w:t>所</w:t>
            </w:r>
            <w:r>
              <w:rPr>
                <w:rFonts w:hint="eastAsia" w:ascii="宋体" w:cs="宋体"/>
                <w:b/>
                <w:color w:val="000000" w:themeColor="text1"/>
                <w:szCs w:val="21"/>
                <w14:textFill>
                  <w14:solidFill>
                    <w14:schemeClr w14:val="tx1"/>
                  </w14:solidFill>
                </w14:textFill>
              </w:rPr>
              <w:t>投</w:t>
            </w:r>
            <w:r>
              <w:rPr>
                <w:rFonts w:hint="eastAsia" w:ascii="宋体" w:cs="宋体"/>
                <w:b/>
                <w:color w:val="000000" w:themeColor="text1"/>
                <w:spacing w:val="-3"/>
                <w:szCs w:val="21"/>
                <w14:textFill>
                  <w14:solidFill>
                    <w14:schemeClr w14:val="tx1"/>
                  </w14:solidFill>
                </w14:textFill>
              </w:rPr>
              <w:t>标</w:t>
            </w:r>
            <w:r>
              <w:rPr>
                <w:rFonts w:hint="eastAsia" w:ascii="宋体" w:cs="宋体"/>
                <w:b/>
                <w:color w:val="000000" w:themeColor="text1"/>
                <w:szCs w:val="21"/>
                <w14:textFill>
                  <w14:solidFill>
                    <w14:schemeClr w14:val="tx1"/>
                  </w14:solidFill>
                </w14:textFill>
              </w:rPr>
              <w:t>段</w:t>
            </w:r>
            <w:r>
              <w:rPr>
                <w:rFonts w:hint="eastAsia" w:ascii="宋体" w:cs="宋体"/>
                <w:b/>
                <w:color w:val="000000" w:themeColor="text1"/>
                <w:spacing w:val="-3"/>
                <w:szCs w:val="21"/>
                <w14:textFill>
                  <w14:solidFill>
                    <w14:schemeClr w14:val="tx1"/>
                  </w14:solidFill>
                </w14:textFill>
              </w:rPr>
              <w:t>的</w:t>
            </w:r>
            <w:r>
              <w:rPr>
                <w:rFonts w:hint="eastAsia" w:ascii="宋体" w:cs="宋体"/>
                <w:b/>
                <w:color w:val="000000" w:themeColor="text1"/>
                <w:szCs w:val="21"/>
                <w14:textFill>
                  <w14:solidFill>
                    <w14:schemeClr w14:val="tx1"/>
                  </w14:solidFill>
                </w14:textFill>
              </w:rPr>
              <w:t>其</w:t>
            </w:r>
            <w:r>
              <w:rPr>
                <w:rFonts w:hint="eastAsia" w:ascii="宋体" w:cs="宋体"/>
                <w:b/>
                <w:color w:val="000000" w:themeColor="text1"/>
                <w:spacing w:val="-3"/>
                <w:szCs w:val="21"/>
                <w14:textFill>
                  <w14:solidFill>
                    <w14:schemeClr w14:val="tx1"/>
                  </w14:solidFill>
                </w14:textFill>
              </w:rPr>
              <w:t>他</w:t>
            </w:r>
            <w:r>
              <w:rPr>
                <w:rFonts w:hint="eastAsia" w:ascii="宋体" w:cs="宋体"/>
                <w:b/>
                <w:color w:val="000000" w:themeColor="text1"/>
                <w:szCs w:val="21"/>
                <w14:textFill>
                  <w14:solidFill>
                    <w14:schemeClr w14:val="tx1"/>
                  </w14:solidFill>
                </w14:textFill>
              </w:rPr>
              <w:t>投</w:t>
            </w:r>
            <w:r>
              <w:rPr>
                <w:rFonts w:hint="eastAsia" w:ascii="宋体" w:cs="宋体"/>
                <w:b/>
                <w:color w:val="000000" w:themeColor="text1"/>
                <w:spacing w:val="-3"/>
                <w:szCs w:val="21"/>
                <w14:textFill>
                  <w14:solidFill>
                    <w14:schemeClr w14:val="tx1"/>
                  </w14:solidFill>
                </w14:textFill>
              </w:rPr>
              <w:t>标人</w:t>
            </w:r>
            <w:r>
              <w:rPr>
                <w:rFonts w:hint="eastAsia" w:ascii="宋体" w:cs="宋体"/>
                <w:b/>
                <w:color w:val="000000" w:themeColor="text1"/>
                <w:szCs w:val="21"/>
                <w14:textFill>
                  <w14:solidFill>
                    <w14:schemeClr w14:val="tx1"/>
                  </w14:solidFill>
                </w14:textFill>
              </w:rPr>
              <w:t>不存</w:t>
            </w:r>
            <w:r>
              <w:rPr>
                <w:rFonts w:hint="eastAsia" w:ascii="宋体" w:cs="宋体"/>
                <w:b/>
                <w:color w:val="000000" w:themeColor="text1"/>
                <w:spacing w:val="-3"/>
                <w:szCs w:val="21"/>
                <w14:textFill>
                  <w14:solidFill>
                    <w14:schemeClr w14:val="tx1"/>
                  </w14:solidFill>
                </w14:textFill>
              </w:rPr>
              <w:t>在</w:t>
            </w:r>
            <w:r>
              <w:rPr>
                <w:rFonts w:hint="eastAsia" w:ascii="宋体" w:cs="宋体"/>
                <w:b/>
                <w:color w:val="000000" w:themeColor="text1"/>
                <w:szCs w:val="21"/>
                <w14:textFill>
                  <w14:solidFill>
                    <w14:schemeClr w14:val="tx1"/>
                  </w14:solidFill>
                </w14:textFill>
              </w:rPr>
              <w:t>控</w:t>
            </w:r>
            <w:r>
              <w:rPr>
                <w:rFonts w:hint="eastAsia" w:ascii="宋体" w:cs="宋体"/>
                <w:b/>
                <w:color w:val="000000" w:themeColor="text1"/>
                <w:spacing w:val="-3"/>
                <w:szCs w:val="21"/>
                <w14:textFill>
                  <w14:solidFill>
                    <w14:schemeClr w14:val="tx1"/>
                  </w14:solidFill>
                </w14:textFill>
              </w:rPr>
              <w:t>股</w:t>
            </w:r>
            <w:r>
              <w:rPr>
                <w:rFonts w:hint="eastAsia" w:ascii="宋体" w:cs="宋体"/>
                <w:b/>
                <w:color w:val="000000" w:themeColor="text1"/>
                <w:spacing w:val="-41"/>
                <w:szCs w:val="21"/>
                <w14:textFill>
                  <w14:solidFill>
                    <w14:schemeClr w14:val="tx1"/>
                  </w14:solidFill>
                </w14:textFill>
              </w:rPr>
              <w:t>、</w:t>
            </w:r>
            <w:r>
              <w:rPr>
                <w:rFonts w:hint="eastAsia" w:ascii="宋体" w:cs="宋体"/>
                <w:b/>
                <w:color w:val="000000" w:themeColor="text1"/>
                <w:szCs w:val="21"/>
                <w14:textFill>
                  <w14:solidFill>
                    <w14:schemeClr w14:val="tx1"/>
                  </w14:solidFill>
                </w14:textFill>
              </w:rPr>
              <w:t>管</w:t>
            </w:r>
            <w:r>
              <w:rPr>
                <w:rFonts w:hint="eastAsia" w:ascii="宋体" w:cs="宋体"/>
                <w:b/>
                <w:color w:val="000000" w:themeColor="text1"/>
                <w:spacing w:val="-3"/>
                <w:szCs w:val="21"/>
                <w14:textFill>
                  <w14:solidFill>
                    <w14:schemeClr w14:val="tx1"/>
                  </w14:solidFill>
                </w14:textFill>
              </w:rPr>
              <w:t>理</w:t>
            </w:r>
            <w:r>
              <w:rPr>
                <w:rFonts w:hint="eastAsia" w:ascii="宋体" w:cs="宋体"/>
                <w:b/>
                <w:color w:val="000000" w:themeColor="text1"/>
                <w:szCs w:val="21"/>
                <w14:textFill>
                  <w14:solidFill>
                    <w14:schemeClr w14:val="tx1"/>
                  </w14:solidFill>
                </w14:textFill>
              </w:rPr>
              <w:t>关</w:t>
            </w:r>
            <w:r>
              <w:rPr>
                <w:rFonts w:hint="eastAsia" w:ascii="宋体" w:cs="宋体"/>
                <w:b/>
                <w:color w:val="000000" w:themeColor="text1"/>
                <w:spacing w:val="-3"/>
                <w:szCs w:val="21"/>
                <w14:textFill>
                  <w14:solidFill>
                    <w14:schemeClr w14:val="tx1"/>
                  </w14:solidFill>
                </w14:textFill>
              </w:rPr>
              <w:t>系或</w:t>
            </w:r>
            <w:r>
              <w:rPr>
                <w:rFonts w:hint="eastAsia" w:ascii="宋体" w:cs="宋体"/>
                <w:b/>
                <w:color w:val="000000" w:themeColor="text1"/>
                <w:szCs w:val="21"/>
                <w14:textFill>
                  <w14:solidFill>
                    <w14:schemeClr w14:val="tx1"/>
                  </w14:solidFill>
                </w14:textFill>
              </w:rPr>
              <w:t>单位</w:t>
            </w:r>
            <w:r>
              <w:rPr>
                <w:rFonts w:hint="eastAsia" w:ascii="宋体" w:cs="宋体"/>
                <w:b/>
                <w:color w:val="000000" w:themeColor="text1"/>
                <w:spacing w:val="-3"/>
                <w:szCs w:val="21"/>
                <w14:textFill>
                  <w14:solidFill>
                    <w14:schemeClr w14:val="tx1"/>
                  </w14:solidFill>
                </w14:textFill>
              </w:rPr>
              <w:t>负</w:t>
            </w:r>
            <w:r>
              <w:rPr>
                <w:rFonts w:hint="eastAsia" w:ascii="宋体" w:cs="宋体"/>
                <w:b/>
                <w:color w:val="000000" w:themeColor="text1"/>
                <w:szCs w:val="21"/>
                <w14:textFill>
                  <w14:solidFill>
                    <w14:schemeClr w14:val="tx1"/>
                  </w14:solidFill>
                </w14:textFill>
              </w:rPr>
              <w:t>责</w:t>
            </w:r>
            <w:r>
              <w:rPr>
                <w:rFonts w:hint="eastAsia" w:ascii="宋体" w:cs="宋体"/>
                <w:b/>
                <w:color w:val="000000" w:themeColor="text1"/>
                <w:spacing w:val="-3"/>
                <w:szCs w:val="21"/>
                <w14:textFill>
                  <w14:solidFill>
                    <w14:schemeClr w14:val="tx1"/>
                  </w14:solidFill>
                </w14:textFill>
              </w:rPr>
              <w:t>人</w:t>
            </w:r>
            <w:r>
              <w:rPr>
                <w:rFonts w:hint="eastAsia" w:ascii="宋体" w:cs="宋体"/>
                <w:b/>
                <w:color w:val="000000" w:themeColor="text1"/>
                <w:szCs w:val="21"/>
                <w14:textFill>
                  <w14:solidFill>
                    <w14:schemeClr w14:val="tx1"/>
                  </w14:solidFill>
                </w14:textFill>
              </w:rPr>
              <w:t>为</w:t>
            </w:r>
            <w:r>
              <w:rPr>
                <w:rFonts w:ascii="宋体" w:cs="宋体"/>
                <w:b/>
                <w:color w:val="000000" w:themeColor="text1"/>
                <w:szCs w:val="21"/>
                <w14:textFill>
                  <w14:solidFill>
                    <w14:schemeClr w14:val="tx1"/>
                  </w14:solidFill>
                </w14:textFill>
              </w:rPr>
              <w:t xml:space="preserve"> </w:t>
            </w:r>
            <w:r>
              <w:rPr>
                <w:rFonts w:hint="eastAsia" w:ascii="宋体" w:cs="宋体"/>
                <w:b/>
                <w:color w:val="000000" w:themeColor="text1"/>
                <w:spacing w:val="-2"/>
                <w:szCs w:val="21"/>
                <w14:textFill>
                  <w14:solidFill>
                    <w14:schemeClr w14:val="tx1"/>
                  </w14:solidFill>
                </w14:textFill>
              </w:rPr>
              <w:t>同一人的情况；与招标人也不存在利害关系并可能影响招标公正性。</w:t>
            </w:r>
          </w:p>
          <w:p>
            <w:pPr>
              <w:spacing w:line="300" w:lineRule="exact"/>
              <w:ind w:firstLine="422" w:firstLineChars="200"/>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 xml:space="preserve">（4）投标人按照招标文件规定的金额、形式、时间和帐户等要求提供了投标保证金； </w:t>
            </w:r>
          </w:p>
          <w:p>
            <w:pPr>
              <w:spacing w:line="300" w:lineRule="exact"/>
              <w:ind w:left="141" w:leftChars="67" w:firstLine="312"/>
              <w:rPr>
                <w:rFonts w:ascii="宋体" w:cs="宋体"/>
                <w:b/>
                <w:color w:val="000000" w:themeColor="text1"/>
                <w:spacing w:val="-2"/>
                <w:szCs w:val="21"/>
                <w14:textFill>
                  <w14:solidFill>
                    <w14:schemeClr w14:val="tx1"/>
                  </w14:solidFill>
                </w14:textFill>
              </w:rPr>
            </w:pPr>
            <w:r>
              <w:rPr>
                <w:b/>
                <w:color w:val="000000" w:themeColor="text1"/>
                <w:spacing w:val="-1"/>
                <w:szCs w:val="21"/>
                <w14:textFill>
                  <w14:solidFill>
                    <w14:schemeClr w14:val="tx1"/>
                  </w14:solidFill>
                </w14:textFill>
              </w:rPr>
              <w:t>a</w:t>
            </w:r>
            <w:r>
              <w:rPr>
                <w:b/>
                <w:color w:val="000000" w:themeColor="text1"/>
                <w:szCs w:val="21"/>
                <w14:textFill>
                  <w14:solidFill>
                    <w14:schemeClr w14:val="tx1"/>
                  </w14:solidFill>
                </w14:textFill>
              </w:rPr>
              <w:t>.</w:t>
            </w:r>
            <w:r>
              <w:rPr>
                <w:rFonts w:hint="eastAsia" w:ascii="宋体" w:cs="宋体"/>
                <w:b/>
                <w:color w:val="000000" w:themeColor="text1"/>
                <w:szCs w:val="21"/>
                <w14:textFill>
                  <w14:solidFill>
                    <w14:schemeClr w14:val="tx1"/>
                  </w14:solidFill>
                </w14:textFill>
              </w:rPr>
              <w:t>投</w:t>
            </w:r>
            <w:r>
              <w:rPr>
                <w:rFonts w:hint="eastAsia" w:ascii="宋体" w:cs="宋体"/>
                <w:b/>
                <w:color w:val="000000" w:themeColor="text1"/>
                <w:spacing w:val="-3"/>
                <w:szCs w:val="21"/>
                <w14:textFill>
                  <w14:solidFill>
                    <w14:schemeClr w14:val="tx1"/>
                  </w14:solidFill>
                </w14:textFill>
              </w:rPr>
              <w:t>标</w:t>
            </w:r>
            <w:r>
              <w:rPr>
                <w:rFonts w:hint="eastAsia" w:ascii="宋体" w:cs="宋体"/>
                <w:b/>
                <w:color w:val="000000" w:themeColor="text1"/>
                <w:szCs w:val="21"/>
                <w14:textFill>
                  <w14:solidFill>
                    <w14:schemeClr w14:val="tx1"/>
                  </w14:solidFill>
                </w14:textFill>
              </w:rPr>
              <w:t>保</w:t>
            </w:r>
            <w:r>
              <w:rPr>
                <w:rFonts w:hint="eastAsia" w:ascii="宋体" w:cs="宋体"/>
                <w:b/>
                <w:color w:val="000000" w:themeColor="text1"/>
                <w:spacing w:val="-3"/>
                <w:szCs w:val="21"/>
                <w14:textFill>
                  <w14:solidFill>
                    <w14:schemeClr w14:val="tx1"/>
                  </w14:solidFill>
                </w14:textFill>
              </w:rPr>
              <w:t>证</w:t>
            </w:r>
            <w:r>
              <w:rPr>
                <w:rFonts w:hint="eastAsia" w:ascii="宋体" w:cs="宋体"/>
                <w:b/>
                <w:color w:val="000000" w:themeColor="text1"/>
                <w:spacing w:val="-1"/>
                <w:szCs w:val="21"/>
                <w14:textFill>
                  <w14:solidFill>
                    <w14:schemeClr w14:val="tx1"/>
                  </w14:solidFill>
                </w14:textFill>
              </w:rPr>
              <w:t>金</w:t>
            </w:r>
            <w:r>
              <w:rPr>
                <w:rFonts w:hint="eastAsia" w:ascii="宋体" w:cs="宋体"/>
                <w:b/>
                <w:color w:val="000000" w:themeColor="text1"/>
                <w:spacing w:val="-3"/>
                <w:szCs w:val="21"/>
                <w14:textFill>
                  <w14:solidFill>
                    <w14:schemeClr w14:val="tx1"/>
                  </w14:solidFill>
                </w14:textFill>
              </w:rPr>
              <w:t>金</w:t>
            </w:r>
            <w:r>
              <w:rPr>
                <w:rFonts w:hint="eastAsia" w:ascii="宋体" w:cs="宋体"/>
                <w:b/>
                <w:color w:val="000000" w:themeColor="text1"/>
                <w:szCs w:val="21"/>
                <w14:textFill>
                  <w14:solidFill>
                    <w14:schemeClr w14:val="tx1"/>
                  </w14:solidFill>
                </w14:textFill>
              </w:rPr>
              <w:t>额</w:t>
            </w:r>
            <w:r>
              <w:rPr>
                <w:rFonts w:hint="eastAsia" w:ascii="宋体" w:cs="宋体"/>
                <w:b/>
                <w:color w:val="000000" w:themeColor="text1"/>
                <w:spacing w:val="-3"/>
                <w:szCs w:val="21"/>
                <w14:textFill>
                  <w14:solidFill>
                    <w14:schemeClr w14:val="tx1"/>
                  </w14:solidFill>
                </w14:textFill>
              </w:rPr>
              <w:t>符</w:t>
            </w:r>
            <w:r>
              <w:rPr>
                <w:rFonts w:hint="eastAsia" w:ascii="宋体" w:cs="宋体"/>
                <w:b/>
                <w:color w:val="000000" w:themeColor="text1"/>
                <w:szCs w:val="21"/>
                <w14:textFill>
                  <w14:solidFill>
                    <w14:schemeClr w14:val="tx1"/>
                  </w14:solidFill>
                </w14:textFill>
              </w:rPr>
              <w:t>合</w:t>
            </w:r>
            <w:r>
              <w:rPr>
                <w:rFonts w:hint="eastAsia" w:ascii="宋体" w:cs="宋体"/>
                <w:b/>
                <w:color w:val="000000" w:themeColor="text1"/>
                <w:spacing w:val="-3"/>
                <w:szCs w:val="21"/>
                <w14:textFill>
                  <w14:solidFill>
                    <w14:schemeClr w14:val="tx1"/>
                  </w14:solidFill>
                </w14:textFill>
              </w:rPr>
              <w:t>招标</w:t>
            </w:r>
            <w:r>
              <w:rPr>
                <w:rFonts w:hint="eastAsia" w:ascii="宋体" w:cs="宋体"/>
                <w:b/>
                <w:color w:val="000000" w:themeColor="text1"/>
                <w:szCs w:val="21"/>
                <w14:textFill>
                  <w14:solidFill>
                    <w14:schemeClr w14:val="tx1"/>
                  </w14:solidFill>
                </w14:textFill>
              </w:rPr>
              <w:t>文件</w:t>
            </w:r>
            <w:r>
              <w:rPr>
                <w:rFonts w:hint="eastAsia" w:ascii="宋体" w:cs="宋体"/>
                <w:b/>
                <w:color w:val="000000" w:themeColor="text1"/>
                <w:spacing w:val="-3"/>
                <w:szCs w:val="21"/>
                <w14:textFill>
                  <w14:solidFill>
                    <w14:schemeClr w14:val="tx1"/>
                  </w14:solidFill>
                </w14:textFill>
              </w:rPr>
              <w:t>规</w:t>
            </w:r>
            <w:r>
              <w:rPr>
                <w:rFonts w:hint="eastAsia" w:ascii="宋体" w:cs="宋体"/>
                <w:b/>
                <w:color w:val="000000" w:themeColor="text1"/>
                <w:szCs w:val="21"/>
                <w14:textFill>
                  <w14:solidFill>
                    <w14:schemeClr w14:val="tx1"/>
                  </w14:solidFill>
                </w14:textFill>
              </w:rPr>
              <w:t>定</w:t>
            </w:r>
            <w:r>
              <w:rPr>
                <w:rFonts w:hint="eastAsia" w:ascii="宋体" w:cs="宋体"/>
                <w:b/>
                <w:color w:val="000000" w:themeColor="text1"/>
                <w:spacing w:val="-3"/>
                <w:szCs w:val="21"/>
                <w14:textFill>
                  <w14:solidFill>
                    <w14:schemeClr w14:val="tx1"/>
                  </w14:solidFill>
                </w14:textFill>
              </w:rPr>
              <w:t>的</w:t>
            </w:r>
            <w:r>
              <w:rPr>
                <w:rFonts w:hint="eastAsia" w:ascii="宋体" w:cs="宋体"/>
                <w:b/>
                <w:color w:val="000000" w:themeColor="text1"/>
                <w:szCs w:val="21"/>
                <w14:textFill>
                  <w14:solidFill>
                    <w14:schemeClr w14:val="tx1"/>
                  </w14:solidFill>
                </w14:textFill>
              </w:rPr>
              <w:t>金</w:t>
            </w:r>
            <w:r>
              <w:rPr>
                <w:rFonts w:hint="eastAsia" w:ascii="宋体" w:cs="宋体"/>
                <w:b/>
                <w:color w:val="000000" w:themeColor="text1"/>
                <w:spacing w:val="-1"/>
                <w:szCs w:val="21"/>
                <w14:textFill>
                  <w14:solidFill>
                    <w14:schemeClr w14:val="tx1"/>
                  </w14:solidFill>
                </w14:textFill>
              </w:rPr>
              <w:t>额</w:t>
            </w:r>
            <w:r>
              <w:rPr>
                <w:rFonts w:hint="eastAsia" w:ascii="宋体" w:cs="宋体"/>
                <w:b/>
                <w:color w:val="000000" w:themeColor="text1"/>
                <w:spacing w:val="-44"/>
                <w:szCs w:val="21"/>
                <w14:textFill>
                  <w14:solidFill>
                    <w14:schemeClr w14:val="tx1"/>
                  </w14:solidFill>
                </w14:textFill>
              </w:rPr>
              <w:t>，</w:t>
            </w:r>
            <w:r>
              <w:rPr>
                <w:rFonts w:hint="eastAsia" w:ascii="宋体" w:cs="宋体"/>
                <w:b/>
                <w:color w:val="000000" w:themeColor="text1"/>
                <w:szCs w:val="21"/>
                <w14:textFill>
                  <w14:solidFill>
                    <w14:schemeClr w14:val="tx1"/>
                  </w14:solidFill>
                </w14:textFill>
              </w:rPr>
              <w:t>且</w:t>
            </w:r>
            <w:r>
              <w:rPr>
                <w:rFonts w:hint="eastAsia" w:ascii="宋体" w:cs="宋体"/>
                <w:b/>
                <w:color w:val="000000" w:themeColor="text1"/>
                <w:spacing w:val="-3"/>
                <w:szCs w:val="21"/>
                <w14:textFill>
                  <w14:solidFill>
                    <w14:schemeClr w14:val="tx1"/>
                  </w14:solidFill>
                </w14:textFill>
              </w:rPr>
              <w:t>投标</w:t>
            </w:r>
            <w:r>
              <w:rPr>
                <w:rFonts w:hint="eastAsia" w:ascii="宋体" w:cs="宋体"/>
                <w:b/>
                <w:color w:val="000000" w:themeColor="text1"/>
                <w:szCs w:val="21"/>
                <w14:textFill>
                  <w14:solidFill>
                    <w14:schemeClr w14:val="tx1"/>
                  </w14:solidFill>
                </w14:textFill>
              </w:rPr>
              <w:t>保证</w:t>
            </w:r>
            <w:r>
              <w:rPr>
                <w:rFonts w:hint="eastAsia" w:ascii="宋体" w:cs="宋体"/>
                <w:b/>
                <w:color w:val="000000" w:themeColor="text1"/>
                <w:spacing w:val="-3"/>
                <w:szCs w:val="21"/>
                <w14:textFill>
                  <w14:solidFill>
                    <w14:schemeClr w14:val="tx1"/>
                  </w14:solidFill>
                </w14:textFill>
              </w:rPr>
              <w:t>金</w:t>
            </w:r>
            <w:r>
              <w:rPr>
                <w:rFonts w:hint="eastAsia" w:ascii="宋体" w:cs="宋体"/>
                <w:b/>
                <w:color w:val="000000" w:themeColor="text1"/>
                <w:szCs w:val="21"/>
                <w14:textFill>
                  <w14:solidFill>
                    <w14:schemeClr w14:val="tx1"/>
                  </w14:solidFill>
                </w14:textFill>
              </w:rPr>
              <w:t>有</w:t>
            </w:r>
            <w:r>
              <w:rPr>
                <w:rFonts w:hint="eastAsia" w:ascii="宋体" w:cs="宋体"/>
                <w:b/>
                <w:color w:val="000000" w:themeColor="text1"/>
                <w:spacing w:val="-3"/>
                <w:szCs w:val="21"/>
                <w14:textFill>
                  <w14:solidFill>
                    <w14:schemeClr w14:val="tx1"/>
                  </w14:solidFill>
                </w14:textFill>
              </w:rPr>
              <w:t>效</w:t>
            </w:r>
            <w:r>
              <w:rPr>
                <w:rFonts w:hint="eastAsia" w:ascii="宋体" w:cs="宋体"/>
                <w:b/>
                <w:color w:val="000000" w:themeColor="text1"/>
                <w:szCs w:val="21"/>
                <w14:textFill>
                  <w14:solidFill>
                    <w14:schemeClr w14:val="tx1"/>
                  </w14:solidFill>
                </w14:textFill>
              </w:rPr>
              <w:t>期</w:t>
            </w:r>
            <w:r>
              <w:rPr>
                <w:rFonts w:hint="eastAsia" w:ascii="宋体" w:cs="宋体"/>
                <w:b/>
                <w:color w:val="000000" w:themeColor="text1"/>
                <w:spacing w:val="-2"/>
                <w:szCs w:val="21"/>
                <w14:textFill>
                  <w14:solidFill>
                    <w14:schemeClr w14:val="tx1"/>
                  </w14:solidFill>
                </w14:textFill>
              </w:rPr>
              <w:t>不少于投标有效期；</w:t>
            </w:r>
          </w:p>
          <w:p>
            <w:pPr>
              <w:pStyle w:val="11"/>
              <w:kinsoku w:val="0"/>
              <w:overflowPunct w:val="0"/>
              <w:spacing w:before="41" w:line="300" w:lineRule="exact"/>
              <w:ind w:left="141" w:leftChars="67" w:right="97" w:firstLine="312"/>
              <w:jc w:val="both"/>
              <w:rPr>
                <w:rFonts w:ascii="宋体" w:cs="宋体"/>
                <w:b/>
                <w:color w:val="000000" w:themeColor="text1"/>
                <w:spacing w:val="-3"/>
                <w:sz w:val="21"/>
                <w:szCs w:val="21"/>
                <w14:textFill>
                  <w14:solidFill>
                    <w14:schemeClr w14:val="tx1"/>
                  </w14:solidFill>
                </w14:textFill>
              </w:rPr>
            </w:pPr>
            <w:r>
              <w:rPr>
                <w:b/>
                <w:color w:val="000000" w:themeColor="text1"/>
                <w:sz w:val="21"/>
                <w:szCs w:val="21"/>
                <w14:textFill>
                  <w14:solidFill>
                    <w14:schemeClr w14:val="tx1"/>
                  </w14:solidFill>
                </w14:textFill>
              </w:rPr>
              <w:t>b.</w:t>
            </w:r>
            <w:r>
              <w:rPr>
                <w:rFonts w:hint="eastAsia" w:ascii="宋体" w:cs="宋体"/>
                <w:b/>
                <w:color w:val="000000" w:themeColor="text1"/>
                <w:sz w:val="21"/>
                <w:szCs w:val="21"/>
                <w14:textFill>
                  <w14:solidFill>
                    <w14:schemeClr w14:val="tx1"/>
                  </w14:solidFill>
                </w14:textFill>
              </w:rPr>
              <w:t>若</w:t>
            </w:r>
            <w:r>
              <w:rPr>
                <w:rFonts w:hint="eastAsia" w:ascii="宋体" w:cs="宋体"/>
                <w:b/>
                <w:color w:val="000000" w:themeColor="text1"/>
                <w:spacing w:val="-3"/>
                <w:sz w:val="21"/>
                <w:szCs w:val="21"/>
                <w14:textFill>
                  <w14:solidFill>
                    <w14:schemeClr w14:val="tx1"/>
                  </w14:solidFill>
                </w14:textFill>
              </w:rPr>
              <w:t>投</w:t>
            </w:r>
            <w:r>
              <w:rPr>
                <w:rFonts w:hint="eastAsia" w:ascii="宋体" w:cs="宋体"/>
                <w:b/>
                <w:color w:val="000000" w:themeColor="text1"/>
                <w:sz w:val="21"/>
                <w:szCs w:val="21"/>
                <w14:textFill>
                  <w14:solidFill>
                    <w14:schemeClr w14:val="tx1"/>
                  </w14:solidFill>
                </w14:textFill>
              </w:rPr>
              <w:t>标</w:t>
            </w:r>
            <w:r>
              <w:rPr>
                <w:rFonts w:hint="eastAsia" w:ascii="宋体" w:cs="宋体"/>
                <w:b/>
                <w:color w:val="000000" w:themeColor="text1"/>
                <w:spacing w:val="-3"/>
                <w:sz w:val="21"/>
                <w:szCs w:val="21"/>
                <w14:textFill>
                  <w14:solidFill>
                    <w14:schemeClr w14:val="tx1"/>
                  </w14:solidFill>
                </w14:textFill>
              </w:rPr>
              <w:t>保</w:t>
            </w:r>
            <w:r>
              <w:rPr>
                <w:rFonts w:hint="eastAsia" w:ascii="宋体" w:cs="宋体"/>
                <w:b/>
                <w:color w:val="000000" w:themeColor="text1"/>
                <w:sz w:val="21"/>
                <w:szCs w:val="21"/>
                <w14:textFill>
                  <w14:solidFill>
                    <w14:schemeClr w14:val="tx1"/>
                  </w14:solidFill>
                </w14:textFill>
              </w:rPr>
              <w:t>证</w:t>
            </w:r>
            <w:r>
              <w:rPr>
                <w:rFonts w:hint="eastAsia" w:ascii="宋体" w:cs="宋体"/>
                <w:b/>
                <w:color w:val="000000" w:themeColor="text1"/>
                <w:spacing w:val="-3"/>
                <w:sz w:val="21"/>
                <w:szCs w:val="21"/>
                <w14:textFill>
                  <w14:solidFill>
                    <w14:schemeClr w14:val="tx1"/>
                  </w14:solidFill>
                </w14:textFill>
              </w:rPr>
              <w:t>金</w:t>
            </w:r>
            <w:r>
              <w:rPr>
                <w:rFonts w:hint="eastAsia" w:ascii="宋体" w:cs="宋体"/>
                <w:b/>
                <w:color w:val="000000" w:themeColor="text1"/>
                <w:sz w:val="21"/>
                <w:szCs w:val="21"/>
                <w14:textFill>
                  <w14:solidFill>
                    <w14:schemeClr w14:val="tx1"/>
                  </w14:solidFill>
                </w14:textFill>
              </w:rPr>
              <w:t>采</w:t>
            </w:r>
            <w:r>
              <w:rPr>
                <w:rFonts w:hint="eastAsia" w:ascii="宋体" w:cs="宋体"/>
                <w:b/>
                <w:color w:val="000000" w:themeColor="text1"/>
                <w:spacing w:val="-3"/>
                <w:sz w:val="21"/>
                <w:szCs w:val="21"/>
                <w14:textFill>
                  <w14:solidFill>
                    <w14:schemeClr w14:val="tx1"/>
                  </w14:solidFill>
                </w14:textFill>
              </w:rPr>
              <w:t>用</w:t>
            </w:r>
            <w:r>
              <w:rPr>
                <w:rFonts w:hint="eastAsia" w:ascii="宋体" w:cs="宋体"/>
                <w:b/>
                <w:color w:val="000000" w:themeColor="text1"/>
                <w:sz w:val="21"/>
                <w:szCs w:val="21"/>
                <w14:textFill>
                  <w14:solidFill>
                    <w14:schemeClr w14:val="tx1"/>
                  </w14:solidFill>
                </w14:textFill>
              </w:rPr>
              <w:t>现</w:t>
            </w:r>
            <w:r>
              <w:rPr>
                <w:rFonts w:hint="eastAsia" w:ascii="宋体" w:cs="宋体"/>
                <w:b/>
                <w:color w:val="000000" w:themeColor="text1"/>
                <w:spacing w:val="-3"/>
                <w:sz w:val="21"/>
                <w:szCs w:val="21"/>
                <w14:textFill>
                  <w14:solidFill>
                    <w14:schemeClr w14:val="tx1"/>
                  </w14:solidFill>
                </w14:textFill>
              </w:rPr>
              <w:t>金</w:t>
            </w:r>
            <w:r>
              <w:rPr>
                <w:rFonts w:hint="eastAsia" w:ascii="宋体" w:cs="宋体"/>
                <w:b/>
                <w:color w:val="000000" w:themeColor="text1"/>
                <w:sz w:val="21"/>
                <w:szCs w:val="21"/>
                <w14:textFill>
                  <w14:solidFill>
                    <w14:schemeClr w14:val="tx1"/>
                  </w14:solidFill>
                </w14:textFill>
              </w:rPr>
              <w:t>或支</w:t>
            </w:r>
            <w:r>
              <w:rPr>
                <w:rFonts w:hint="eastAsia" w:ascii="宋体" w:cs="宋体"/>
                <w:b/>
                <w:color w:val="000000" w:themeColor="text1"/>
                <w:spacing w:val="-3"/>
                <w:sz w:val="21"/>
                <w:szCs w:val="21"/>
                <w14:textFill>
                  <w14:solidFill>
                    <w14:schemeClr w14:val="tx1"/>
                  </w14:solidFill>
                </w14:textFill>
              </w:rPr>
              <w:t>票</w:t>
            </w:r>
            <w:r>
              <w:rPr>
                <w:rFonts w:hint="eastAsia" w:ascii="宋体" w:cs="宋体"/>
                <w:b/>
                <w:color w:val="000000" w:themeColor="text1"/>
                <w:sz w:val="21"/>
                <w:szCs w:val="21"/>
                <w14:textFill>
                  <w14:solidFill>
                    <w14:schemeClr w14:val="tx1"/>
                  </w14:solidFill>
                </w14:textFill>
              </w:rPr>
              <w:t>形</w:t>
            </w:r>
            <w:r>
              <w:rPr>
                <w:rFonts w:hint="eastAsia" w:ascii="宋体" w:cs="宋体"/>
                <w:b/>
                <w:color w:val="000000" w:themeColor="text1"/>
                <w:spacing w:val="-3"/>
                <w:sz w:val="21"/>
                <w:szCs w:val="21"/>
                <w14:textFill>
                  <w14:solidFill>
                    <w14:schemeClr w14:val="tx1"/>
                  </w14:solidFill>
                </w14:textFill>
              </w:rPr>
              <w:t>式</w:t>
            </w:r>
            <w:r>
              <w:rPr>
                <w:rFonts w:hint="eastAsia" w:ascii="宋体" w:cs="宋体"/>
                <w:b/>
                <w:color w:val="000000" w:themeColor="text1"/>
                <w:sz w:val="21"/>
                <w:szCs w:val="21"/>
                <w14:textFill>
                  <w14:solidFill>
                    <w14:schemeClr w14:val="tx1"/>
                  </w14:solidFill>
                </w14:textFill>
              </w:rPr>
              <w:t>提</w:t>
            </w:r>
            <w:r>
              <w:rPr>
                <w:rFonts w:hint="eastAsia" w:ascii="宋体" w:cs="宋体"/>
                <w:b/>
                <w:color w:val="000000" w:themeColor="text1"/>
                <w:spacing w:val="-3"/>
                <w:sz w:val="21"/>
                <w:szCs w:val="21"/>
                <w14:textFill>
                  <w14:solidFill>
                    <w14:schemeClr w14:val="tx1"/>
                  </w14:solidFill>
                </w14:textFill>
              </w:rPr>
              <w:t>交</w:t>
            </w:r>
            <w:r>
              <w:rPr>
                <w:rFonts w:hint="eastAsia" w:ascii="宋体" w:cs="宋体"/>
                <w:b/>
                <w:color w:val="000000" w:themeColor="text1"/>
                <w:spacing w:val="-53"/>
                <w:sz w:val="21"/>
                <w:szCs w:val="21"/>
                <w14:textFill>
                  <w14:solidFill>
                    <w14:schemeClr w14:val="tx1"/>
                  </w14:solidFill>
                </w14:textFill>
              </w:rPr>
              <w:t>，</w:t>
            </w:r>
            <w:r>
              <w:rPr>
                <w:rFonts w:hint="eastAsia" w:ascii="宋体" w:cs="宋体"/>
                <w:b/>
                <w:color w:val="000000" w:themeColor="text1"/>
                <w:sz w:val="21"/>
                <w:szCs w:val="21"/>
                <w14:textFill>
                  <w14:solidFill>
                    <w14:schemeClr w14:val="tx1"/>
                  </w14:solidFill>
                </w14:textFill>
              </w:rPr>
              <w:t>投</w:t>
            </w:r>
            <w:r>
              <w:rPr>
                <w:rFonts w:hint="eastAsia" w:ascii="宋体" w:cs="宋体"/>
                <w:b/>
                <w:color w:val="000000" w:themeColor="text1"/>
                <w:spacing w:val="-3"/>
                <w:sz w:val="21"/>
                <w:szCs w:val="21"/>
                <w14:textFill>
                  <w14:solidFill>
                    <w14:schemeClr w14:val="tx1"/>
                  </w14:solidFill>
                </w14:textFill>
              </w:rPr>
              <w:t>标人应在递交投标文件截止时间之前，将投标保证金由投标人的基本账户转入招标人指定账户，并按照要求在投标文件中附汇款单据（或银行进帐单）；</w:t>
            </w:r>
          </w:p>
          <w:p>
            <w:pPr>
              <w:spacing w:line="300" w:lineRule="exact"/>
              <w:ind w:left="141" w:leftChars="67" w:firstLine="312"/>
              <w:rPr>
                <w:rFonts w:ascii="宋体" w:cs="宋体"/>
                <w:b/>
                <w:color w:val="000000" w:themeColor="text1"/>
                <w:spacing w:val="-2"/>
                <w:szCs w:val="21"/>
                <w14:textFill>
                  <w14:solidFill>
                    <w14:schemeClr w14:val="tx1"/>
                  </w14:solidFill>
                </w14:textFill>
              </w:rPr>
            </w:pPr>
            <w:r>
              <w:rPr>
                <w:rFonts w:ascii="宋体" w:cs="宋体"/>
                <w:b/>
                <w:color w:val="000000" w:themeColor="text1"/>
                <w:spacing w:val="-3"/>
                <w:szCs w:val="21"/>
                <w14:textFill>
                  <w14:solidFill>
                    <w14:schemeClr w14:val="tx1"/>
                  </w14:solidFill>
                </w14:textFill>
              </w:rPr>
              <w:t>c.</w:t>
            </w:r>
            <w:r>
              <w:rPr>
                <w:rFonts w:hint="eastAsia" w:ascii="宋体" w:cs="宋体"/>
                <w:b/>
                <w:color w:val="000000" w:themeColor="text1"/>
                <w:spacing w:val="-3"/>
                <w:szCs w:val="21"/>
                <w14:textFill>
                  <w14:solidFill>
                    <w14:schemeClr w14:val="tx1"/>
                  </w14:solidFill>
                </w14:textFill>
              </w:rPr>
              <w:t>若投标保证金采用银行保函形式提交，银行保函的格式、开具保</w:t>
            </w:r>
            <w:r>
              <w:rPr>
                <w:rFonts w:hint="eastAsia" w:ascii="宋体" w:cs="宋体"/>
                <w:b/>
                <w:color w:val="000000" w:themeColor="text1"/>
                <w:szCs w:val="21"/>
                <w14:textFill>
                  <w14:solidFill>
                    <w14:schemeClr w14:val="tx1"/>
                  </w14:solidFill>
                </w14:textFill>
              </w:rPr>
              <w:t>函的</w:t>
            </w:r>
            <w:r>
              <w:rPr>
                <w:rFonts w:hint="eastAsia" w:ascii="宋体" w:cs="宋体"/>
                <w:b/>
                <w:color w:val="000000" w:themeColor="text1"/>
                <w:spacing w:val="-3"/>
                <w:szCs w:val="21"/>
                <w14:textFill>
                  <w14:solidFill>
                    <w14:schemeClr w14:val="tx1"/>
                  </w14:solidFill>
                </w14:textFill>
              </w:rPr>
              <w:t>银</w:t>
            </w:r>
            <w:r>
              <w:rPr>
                <w:rFonts w:hint="eastAsia" w:ascii="宋体" w:cs="宋体"/>
                <w:b/>
                <w:color w:val="000000" w:themeColor="text1"/>
                <w:szCs w:val="21"/>
                <w14:textFill>
                  <w14:solidFill>
                    <w14:schemeClr w14:val="tx1"/>
                  </w14:solidFill>
                </w14:textFill>
              </w:rPr>
              <w:t>行</w:t>
            </w:r>
            <w:r>
              <w:rPr>
                <w:rFonts w:hint="eastAsia" w:ascii="宋体" w:cs="宋体"/>
                <w:b/>
                <w:color w:val="000000" w:themeColor="text1"/>
                <w:spacing w:val="-3"/>
                <w:szCs w:val="21"/>
                <w14:textFill>
                  <w14:solidFill>
                    <w14:schemeClr w14:val="tx1"/>
                  </w14:solidFill>
                </w14:textFill>
              </w:rPr>
              <w:t>均</w:t>
            </w:r>
            <w:r>
              <w:rPr>
                <w:rFonts w:hint="eastAsia" w:ascii="宋体" w:cs="宋体"/>
                <w:b/>
                <w:color w:val="000000" w:themeColor="text1"/>
                <w:szCs w:val="21"/>
                <w14:textFill>
                  <w14:solidFill>
                    <w14:schemeClr w14:val="tx1"/>
                  </w14:solidFill>
                </w14:textFill>
              </w:rPr>
              <w:t>满</w:t>
            </w:r>
            <w:r>
              <w:rPr>
                <w:rFonts w:hint="eastAsia" w:ascii="宋体" w:cs="宋体"/>
                <w:b/>
                <w:color w:val="000000" w:themeColor="text1"/>
                <w:spacing w:val="-3"/>
                <w:szCs w:val="21"/>
                <w14:textFill>
                  <w14:solidFill>
                    <w14:schemeClr w14:val="tx1"/>
                  </w14:solidFill>
                </w14:textFill>
              </w:rPr>
              <w:t>足</w:t>
            </w:r>
            <w:r>
              <w:rPr>
                <w:rFonts w:hint="eastAsia" w:ascii="宋体" w:cs="宋体"/>
                <w:b/>
                <w:color w:val="000000" w:themeColor="text1"/>
                <w:szCs w:val="21"/>
                <w14:textFill>
                  <w14:solidFill>
                    <w14:schemeClr w14:val="tx1"/>
                  </w14:solidFill>
                </w14:textFill>
              </w:rPr>
              <w:t>招</w:t>
            </w:r>
            <w:r>
              <w:rPr>
                <w:rFonts w:hint="eastAsia" w:ascii="宋体" w:cs="宋体"/>
                <w:b/>
                <w:color w:val="000000" w:themeColor="text1"/>
                <w:spacing w:val="-3"/>
                <w:szCs w:val="21"/>
                <w14:textFill>
                  <w14:solidFill>
                    <w14:schemeClr w14:val="tx1"/>
                  </w14:solidFill>
                </w14:textFill>
              </w:rPr>
              <w:t>标</w:t>
            </w:r>
            <w:r>
              <w:rPr>
                <w:rFonts w:hint="eastAsia" w:ascii="宋体" w:cs="宋体"/>
                <w:b/>
                <w:color w:val="000000" w:themeColor="text1"/>
                <w:szCs w:val="21"/>
                <w14:textFill>
                  <w14:solidFill>
                    <w14:schemeClr w14:val="tx1"/>
                  </w14:solidFill>
                </w14:textFill>
              </w:rPr>
              <w:t>文</w:t>
            </w:r>
            <w:r>
              <w:rPr>
                <w:rFonts w:hint="eastAsia" w:ascii="宋体" w:cs="宋体"/>
                <w:b/>
                <w:color w:val="000000" w:themeColor="text1"/>
                <w:spacing w:val="-3"/>
                <w:szCs w:val="21"/>
                <w14:textFill>
                  <w14:solidFill>
                    <w14:schemeClr w14:val="tx1"/>
                  </w14:solidFill>
                </w14:textFill>
              </w:rPr>
              <w:t>件</w:t>
            </w:r>
            <w:r>
              <w:rPr>
                <w:rFonts w:hint="eastAsia" w:ascii="宋体" w:cs="宋体"/>
                <w:b/>
                <w:color w:val="000000" w:themeColor="text1"/>
                <w:szCs w:val="21"/>
                <w14:textFill>
                  <w14:solidFill>
                    <w14:schemeClr w14:val="tx1"/>
                  </w14:solidFill>
                </w14:textFill>
              </w:rPr>
              <w:t>要</w:t>
            </w:r>
            <w:r>
              <w:rPr>
                <w:rFonts w:hint="eastAsia" w:ascii="宋体" w:cs="宋体"/>
                <w:b/>
                <w:color w:val="000000" w:themeColor="text1"/>
                <w:spacing w:val="-3"/>
                <w:szCs w:val="21"/>
                <w14:textFill>
                  <w14:solidFill>
                    <w14:schemeClr w14:val="tx1"/>
                  </w14:solidFill>
                </w14:textFill>
              </w:rPr>
              <w:t>求</w:t>
            </w:r>
            <w:r>
              <w:rPr>
                <w:rFonts w:hint="eastAsia" w:ascii="宋体" w:cs="宋体"/>
                <w:b/>
                <w:color w:val="000000" w:themeColor="text1"/>
                <w:spacing w:val="-104"/>
                <w:szCs w:val="21"/>
                <w14:textFill>
                  <w14:solidFill>
                    <w14:schemeClr w14:val="tx1"/>
                  </w14:solidFill>
                </w14:textFill>
              </w:rPr>
              <w:t>，</w:t>
            </w:r>
            <w:r>
              <w:rPr>
                <w:rFonts w:hint="eastAsia" w:ascii="宋体" w:cs="宋体"/>
                <w:b/>
                <w:color w:val="000000" w:themeColor="text1"/>
                <w:spacing w:val="-3"/>
                <w:szCs w:val="21"/>
                <w14:textFill>
                  <w14:solidFill>
                    <w14:schemeClr w14:val="tx1"/>
                  </w14:solidFill>
                </w14:textFill>
              </w:rPr>
              <w:t>且</w:t>
            </w:r>
            <w:r>
              <w:rPr>
                <w:rFonts w:hint="eastAsia" w:ascii="宋体" w:cs="宋体"/>
                <w:b/>
                <w:color w:val="000000" w:themeColor="text1"/>
                <w:spacing w:val="-1"/>
                <w:szCs w:val="21"/>
                <w14:textFill>
                  <w14:solidFill>
                    <w14:schemeClr w14:val="tx1"/>
                  </w14:solidFill>
                </w14:textFill>
              </w:rPr>
              <w:t>在</w:t>
            </w:r>
            <w:r>
              <w:rPr>
                <w:rFonts w:hint="eastAsia" w:ascii="宋体" w:cs="宋体"/>
                <w:b/>
                <w:color w:val="000000" w:themeColor="text1"/>
                <w:spacing w:val="-3"/>
                <w:szCs w:val="21"/>
                <w14:textFill>
                  <w14:solidFill>
                    <w14:schemeClr w14:val="tx1"/>
                  </w14:solidFill>
                </w14:textFill>
              </w:rPr>
              <w:t>递</w:t>
            </w:r>
            <w:r>
              <w:rPr>
                <w:rFonts w:hint="eastAsia" w:ascii="宋体" w:cs="宋体"/>
                <w:b/>
                <w:color w:val="000000" w:themeColor="text1"/>
                <w:szCs w:val="21"/>
                <w14:textFill>
                  <w14:solidFill>
                    <w14:schemeClr w14:val="tx1"/>
                  </w14:solidFill>
                </w14:textFill>
              </w:rPr>
              <w:t>交</w:t>
            </w:r>
            <w:r>
              <w:rPr>
                <w:rFonts w:hint="eastAsia" w:ascii="宋体" w:cs="宋体"/>
                <w:b/>
                <w:color w:val="000000" w:themeColor="text1"/>
                <w:spacing w:val="-3"/>
                <w:szCs w:val="21"/>
                <w14:textFill>
                  <w14:solidFill>
                    <w14:schemeClr w14:val="tx1"/>
                  </w14:solidFill>
                </w14:textFill>
              </w:rPr>
              <w:t>投</w:t>
            </w:r>
            <w:r>
              <w:rPr>
                <w:rFonts w:hint="eastAsia" w:ascii="宋体" w:cs="宋体"/>
                <w:b/>
                <w:color w:val="000000" w:themeColor="text1"/>
                <w:spacing w:val="-1"/>
                <w:szCs w:val="21"/>
                <w14:textFill>
                  <w14:solidFill>
                    <w14:schemeClr w14:val="tx1"/>
                  </w14:solidFill>
                </w14:textFill>
              </w:rPr>
              <w:t>标</w:t>
            </w:r>
            <w:r>
              <w:rPr>
                <w:rFonts w:hint="eastAsia" w:ascii="宋体" w:cs="宋体"/>
                <w:b/>
                <w:color w:val="000000" w:themeColor="text1"/>
                <w:spacing w:val="-3"/>
                <w:szCs w:val="21"/>
                <w14:textFill>
                  <w14:solidFill>
                    <w14:schemeClr w14:val="tx1"/>
                  </w14:solidFill>
                </w14:textFill>
              </w:rPr>
              <w:t>文</w:t>
            </w:r>
            <w:r>
              <w:rPr>
                <w:rFonts w:hint="eastAsia" w:ascii="宋体" w:cs="宋体"/>
                <w:b/>
                <w:color w:val="000000" w:themeColor="text1"/>
                <w:szCs w:val="21"/>
                <w14:textFill>
                  <w14:solidFill>
                    <w14:schemeClr w14:val="tx1"/>
                  </w14:solidFill>
                </w14:textFill>
              </w:rPr>
              <w:t>件</w:t>
            </w:r>
            <w:r>
              <w:rPr>
                <w:rFonts w:hint="eastAsia" w:ascii="宋体" w:cs="宋体"/>
                <w:b/>
                <w:color w:val="000000" w:themeColor="text1"/>
                <w:spacing w:val="-3"/>
                <w:szCs w:val="21"/>
                <w14:textFill>
                  <w14:solidFill>
                    <w14:schemeClr w14:val="tx1"/>
                  </w14:solidFill>
                </w14:textFill>
              </w:rPr>
              <w:t>截</w:t>
            </w:r>
            <w:r>
              <w:rPr>
                <w:rFonts w:hint="eastAsia" w:ascii="宋体" w:cs="宋体"/>
                <w:b/>
                <w:color w:val="000000" w:themeColor="text1"/>
                <w:szCs w:val="21"/>
                <w14:textFill>
                  <w14:solidFill>
                    <w14:schemeClr w14:val="tx1"/>
                  </w14:solidFill>
                </w14:textFill>
              </w:rPr>
              <w:t>止时</w:t>
            </w:r>
            <w:r>
              <w:rPr>
                <w:rFonts w:hint="eastAsia" w:ascii="宋体" w:cs="宋体"/>
                <w:b/>
                <w:color w:val="000000" w:themeColor="text1"/>
                <w:spacing w:val="-3"/>
                <w:szCs w:val="21"/>
                <w14:textFill>
                  <w14:solidFill>
                    <w14:schemeClr w14:val="tx1"/>
                  </w14:solidFill>
                </w14:textFill>
              </w:rPr>
              <w:t>间</w:t>
            </w:r>
            <w:r>
              <w:rPr>
                <w:rFonts w:hint="eastAsia" w:ascii="宋体" w:cs="宋体"/>
                <w:b/>
                <w:color w:val="000000" w:themeColor="text1"/>
                <w:szCs w:val="21"/>
                <w14:textFill>
                  <w14:solidFill>
                    <w14:schemeClr w14:val="tx1"/>
                  </w14:solidFill>
                </w14:textFill>
              </w:rPr>
              <w:t>之</w:t>
            </w:r>
            <w:r>
              <w:rPr>
                <w:rFonts w:hint="eastAsia" w:ascii="宋体" w:cs="宋体"/>
                <w:b/>
                <w:color w:val="000000" w:themeColor="text1"/>
                <w:spacing w:val="-2"/>
                <w:szCs w:val="21"/>
                <w14:textFill>
                  <w14:solidFill>
                    <w14:schemeClr w14:val="tx1"/>
                  </w14:solidFill>
                </w14:textFill>
              </w:rPr>
              <w:t>前</w:t>
            </w:r>
            <w:r>
              <w:rPr>
                <w:rFonts w:hint="eastAsia" w:ascii="宋体" w:cs="宋体"/>
                <w:b/>
                <w:color w:val="000000" w:themeColor="text1"/>
                <w:szCs w:val="21"/>
                <w14:textFill>
                  <w14:solidFill>
                    <w14:schemeClr w14:val="tx1"/>
                  </w14:solidFill>
                </w14:textFill>
              </w:rPr>
              <w:t>向</w:t>
            </w:r>
            <w:r>
              <w:rPr>
                <w:rFonts w:hint="eastAsia" w:ascii="宋体" w:cs="宋体"/>
                <w:b/>
                <w:color w:val="000000" w:themeColor="text1"/>
                <w:spacing w:val="-3"/>
                <w:szCs w:val="21"/>
                <w14:textFill>
                  <w14:solidFill>
                    <w14:schemeClr w14:val="tx1"/>
                  </w14:solidFill>
                </w14:textFill>
              </w:rPr>
              <w:t>招</w:t>
            </w:r>
            <w:r>
              <w:rPr>
                <w:rFonts w:hint="eastAsia" w:ascii="宋体" w:cs="宋体"/>
                <w:b/>
                <w:color w:val="000000" w:themeColor="text1"/>
                <w:szCs w:val="21"/>
                <w14:textFill>
                  <w14:solidFill>
                    <w14:schemeClr w14:val="tx1"/>
                  </w14:solidFill>
                </w14:textFill>
              </w:rPr>
              <w:t>标</w:t>
            </w:r>
            <w:r>
              <w:rPr>
                <w:rFonts w:ascii="宋体" w:cs="宋体"/>
                <w:b/>
                <w:color w:val="000000" w:themeColor="text1"/>
                <w:szCs w:val="21"/>
                <w14:textFill>
                  <w14:solidFill>
                    <w14:schemeClr w14:val="tx1"/>
                  </w14:solidFill>
                </w14:textFill>
              </w:rPr>
              <w:t xml:space="preserve"> </w:t>
            </w:r>
            <w:r>
              <w:rPr>
                <w:rFonts w:hint="eastAsia" w:ascii="宋体" w:cs="宋体"/>
                <w:b/>
                <w:color w:val="000000" w:themeColor="text1"/>
                <w:spacing w:val="-2"/>
                <w:szCs w:val="21"/>
                <w14:textFill>
                  <w14:solidFill>
                    <w14:schemeClr w14:val="tx1"/>
                  </w14:solidFill>
                </w14:textFill>
              </w:rPr>
              <w:t>人提交了银行保函原件。</w:t>
            </w:r>
          </w:p>
          <w:p>
            <w:pPr>
              <w:spacing w:line="300" w:lineRule="exact"/>
              <w:ind w:left="141" w:leftChars="67" w:firstLine="312"/>
              <w:rPr>
                <w:rFonts w:ascii="宋体" w:cs="宋体"/>
                <w:b/>
                <w:color w:val="000000" w:themeColor="text1"/>
                <w:spacing w:val="-2"/>
                <w:szCs w:val="21"/>
                <w14:textFill>
                  <w14:solidFill>
                    <w14:schemeClr w14:val="tx1"/>
                  </w14:solidFill>
                </w14:textFill>
              </w:rPr>
            </w:pPr>
            <w:r>
              <w:rPr>
                <w:rFonts w:hint="eastAsia" w:ascii="宋体" w:cs="宋体"/>
                <w:b/>
                <w:color w:val="000000" w:themeColor="text1"/>
                <w:spacing w:val="-3"/>
                <w:szCs w:val="21"/>
                <w14:textFill>
                  <w14:solidFill>
                    <w14:schemeClr w14:val="tx1"/>
                  </w14:solidFill>
                </w14:textFill>
              </w:rPr>
              <w:t>d</w:t>
            </w:r>
            <w:r>
              <w:rPr>
                <w:rFonts w:ascii="宋体" w:cs="宋体"/>
                <w:b/>
                <w:color w:val="000000" w:themeColor="text1"/>
                <w:spacing w:val="-3"/>
                <w:szCs w:val="21"/>
                <w14:textFill>
                  <w14:solidFill>
                    <w14:schemeClr w14:val="tx1"/>
                  </w14:solidFill>
                </w14:textFill>
              </w:rPr>
              <w:t>.</w:t>
            </w:r>
            <w:r>
              <w:rPr>
                <w:rFonts w:hint="eastAsia" w:ascii="宋体" w:cs="宋体"/>
                <w:b/>
                <w:color w:val="000000" w:themeColor="text1"/>
                <w:spacing w:val="-3"/>
                <w:szCs w:val="21"/>
                <w14:textFill>
                  <w14:solidFill>
                    <w14:schemeClr w14:val="tx1"/>
                  </w14:solidFill>
                </w14:textFill>
              </w:rPr>
              <w:t>若投标保证金采用保证保险形式提交，保证保险的格式、开具</w:t>
            </w:r>
            <w:r>
              <w:rPr>
                <w:rFonts w:hint="eastAsia" w:hAnsi="宋体"/>
                <w:b/>
                <w:color w:val="000000" w:themeColor="text1"/>
                <w:szCs w:val="21"/>
                <w14:textFill>
                  <w14:solidFill>
                    <w14:schemeClr w14:val="tx1"/>
                  </w14:solidFill>
                </w14:textFill>
              </w:rPr>
              <w:t>的保险机构</w:t>
            </w:r>
            <w:r>
              <w:rPr>
                <w:rFonts w:hint="eastAsia" w:ascii="宋体" w:cs="宋体"/>
                <w:b/>
                <w:color w:val="000000" w:themeColor="text1"/>
                <w:spacing w:val="-3"/>
                <w:szCs w:val="21"/>
                <w14:textFill>
                  <w14:solidFill>
                    <w14:schemeClr w14:val="tx1"/>
                  </w14:solidFill>
                </w14:textFill>
              </w:rPr>
              <w:t>均</w:t>
            </w:r>
            <w:r>
              <w:rPr>
                <w:rFonts w:hint="eastAsia" w:ascii="宋体" w:cs="宋体"/>
                <w:b/>
                <w:color w:val="000000" w:themeColor="text1"/>
                <w:szCs w:val="21"/>
                <w14:textFill>
                  <w14:solidFill>
                    <w14:schemeClr w14:val="tx1"/>
                  </w14:solidFill>
                </w14:textFill>
              </w:rPr>
              <w:t>满</w:t>
            </w:r>
            <w:r>
              <w:rPr>
                <w:rFonts w:hint="eastAsia" w:ascii="宋体" w:cs="宋体"/>
                <w:b/>
                <w:color w:val="000000" w:themeColor="text1"/>
                <w:spacing w:val="-3"/>
                <w:szCs w:val="21"/>
                <w14:textFill>
                  <w14:solidFill>
                    <w14:schemeClr w14:val="tx1"/>
                  </w14:solidFill>
                </w14:textFill>
              </w:rPr>
              <w:t>足</w:t>
            </w:r>
            <w:r>
              <w:rPr>
                <w:rFonts w:hint="eastAsia" w:ascii="宋体" w:cs="宋体"/>
                <w:b/>
                <w:color w:val="000000" w:themeColor="text1"/>
                <w:szCs w:val="21"/>
                <w14:textFill>
                  <w14:solidFill>
                    <w14:schemeClr w14:val="tx1"/>
                  </w14:solidFill>
                </w14:textFill>
              </w:rPr>
              <w:t>招</w:t>
            </w:r>
            <w:r>
              <w:rPr>
                <w:rFonts w:hint="eastAsia" w:ascii="宋体" w:cs="宋体"/>
                <w:b/>
                <w:color w:val="000000" w:themeColor="text1"/>
                <w:spacing w:val="-3"/>
                <w:szCs w:val="21"/>
                <w14:textFill>
                  <w14:solidFill>
                    <w14:schemeClr w14:val="tx1"/>
                  </w14:solidFill>
                </w14:textFill>
              </w:rPr>
              <w:t>标</w:t>
            </w:r>
            <w:r>
              <w:rPr>
                <w:rFonts w:hint="eastAsia" w:ascii="宋体" w:cs="宋体"/>
                <w:b/>
                <w:color w:val="000000" w:themeColor="text1"/>
                <w:szCs w:val="21"/>
                <w14:textFill>
                  <w14:solidFill>
                    <w14:schemeClr w14:val="tx1"/>
                  </w14:solidFill>
                </w14:textFill>
              </w:rPr>
              <w:t>文</w:t>
            </w:r>
            <w:r>
              <w:rPr>
                <w:rFonts w:hint="eastAsia" w:ascii="宋体" w:cs="宋体"/>
                <w:b/>
                <w:color w:val="000000" w:themeColor="text1"/>
                <w:spacing w:val="-3"/>
                <w:szCs w:val="21"/>
                <w14:textFill>
                  <w14:solidFill>
                    <w14:schemeClr w14:val="tx1"/>
                  </w14:solidFill>
                </w14:textFill>
              </w:rPr>
              <w:t>件</w:t>
            </w:r>
            <w:r>
              <w:rPr>
                <w:rFonts w:hint="eastAsia" w:ascii="宋体" w:cs="宋体"/>
                <w:b/>
                <w:color w:val="000000" w:themeColor="text1"/>
                <w:szCs w:val="21"/>
                <w14:textFill>
                  <w14:solidFill>
                    <w14:schemeClr w14:val="tx1"/>
                  </w14:solidFill>
                </w14:textFill>
              </w:rPr>
              <w:t>要</w:t>
            </w:r>
            <w:r>
              <w:rPr>
                <w:rFonts w:hint="eastAsia" w:ascii="宋体" w:cs="宋体"/>
                <w:b/>
                <w:color w:val="000000" w:themeColor="text1"/>
                <w:spacing w:val="-3"/>
                <w:szCs w:val="21"/>
                <w14:textFill>
                  <w14:solidFill>
                    <w14:schemeClr w14:val="tx1"/>
                  </w14:solidFill>
                </w14:textFill>
              </w:rPr>
              <w:t>求</w:t>
            </w:r>
            <w:r>
              <w:rPr>
                <w:rFonts w:hint="eastAsia" w:ascii="宋体" w:cs="宋体"/>
                <w:b/>
                <w:color w:val="000000" w:themeColor="text1"/>
                <w:spacing w:val="-104"/>
                <w:szCs w:val="21"/>
                <w14:textFill>
                  <w14:solidFill>
                    <w14:schemeClr w14:val="tx1"/>
                  </w14:solidFill>
                </w14:textFill>
              </w:rPr>
              <w:t>，</w:t>
            </w:r>
            <w:r>
              <w:rPr>
                <w:rFonts w:hint="eastAsia" w:ascii="宋体" w:cs="宋体"/>
                <w:b/>
                <w:color w:val="000000" w:themeColor="text1"/>
                <w:spacing w:val="-3"/>
                <w:szCs w:val="21"/>
                <w14:textFill>
                  <w14:solidFill>
                    <w14:schemeClr w14:val="tx1"/>
                  </w14:solidFill>
                </w14:textFill>
              </w:rPr>
              <w:t>且</w:t>
            </w:r>
            <w:r>
              <w:rPr>
                <w:rFonts w:hint="eastAsia" w:ascii="宋体" w:cs="宋体"/>
                <w:b/>
                <w:color w:val="000000" w:themeColor="text1"/>
                <w:spacing w:val="-1"/>
                <w:szCs w:val="21"/>
                <w14:textFill>
                  <w14:solidFill>
                    <w14:schemeClr w14:val="tx1"/>
                  </w14:solidFill>
                </w14:textFill>
              </w:rPr>
              <w:t>在</w:t>
            </w:r>
            <w:r>
              <w:rPr>
                <w:rFonts w:hint="eastAsia" w:ascii="宋体" w:cs="宋体"/>
                <w:b/>
                <w:color w:val="000000" w:themeColor="text1"/>
                <w:spacing w:val="-3"/>
                <w:szCs w:val="21"/>
                <w14:textFill>
                  <w14:solidFill>
                    <w14:schemeClr w14:val="tx1"/>
                  </w14:solidFill>
                </w14:textFill>
              </w:rPr>
              <w:t>递</w:t>
            </w:r>
            <w:r>
              <w:rPr>
                <w:rFonts w:hint="eastAsia" w:ascii="宋体" w:cs="宋体"/>
                <w:b/>
                <w:color w:val="000000" w:themeColor="text1"/>
                <w:szCs w:val="21"/>
                <w14:textFill>
                  <w14:solidFill>
                    <w14:schemeClr w14:val="tx1"/>
                  </w14:solidFill>
                </w14:textFill>
              </w:rPr>
              <w:t>交</w:t>
            </w:r>
            <w:r>
              <w:rPr>
                <w:rFonts w:hint="eastAsia" w:ascii="宋体" w:cs="宋体"/>
                <w:b/>
                <w:color w:val="000000" w:themeColor="text1"/>
                <w:spacing w:val="-3"/>
                <w:szCs w:val="21"/>
                <w14:textFill>
                  <w14:solidFill>
                    <w14:schemeClr w14:val="tx1"/>
                  </w14:solidFill>
                </w14:textFill>
              </w:rPr>
              <w:t>投</w:t>
            </w:r>
            <w:r>
              <w:rPr>
                <w:rFonts w:hint="eastAsia" w:ascii="宋体" w:cs="宋体"/>
                <w:b/>
                <w:color w:val="000000" w:themeColor="text1"/>
                <w:spacing w:val="-1"/>
                <w:szCs w:val="21"/>
                <w14:textFill>
                  <w14:solidFill>
                    <w14:schemeClr w14:val="tx1"/>
                  </w14:solidFill>
                </w14:textFill>
              </w:rPr>
              <w:t>标</w:t>
            </w:r>
            <w:r>
              <w:rPr>
                <w:rFonts w:hint="eastAsia" w:ascii="宋体" w:cs="宋体"/>
                <w:b/>
                <w:color w:val="000000" w:themeColor="text1"/>
                <w:spacing w:val="-3"/>
                <w:szCs w:val="21"/>
                <w14:textFill>
                  <w14:solidFill>
                    <w14:schemeClr w14:val="tx1"/>
                  </w14:solidFill>
                </w14:textFill>
              </w:rPr>
              <w:t>文</w:t>
            </w:r>
            <w:r>
              <w:rPr>
                <w:rFonts w:hint="eastAsia" w:ascii="宋体" w:cs="宋体"/>
                <w:b/>
                <w:color w:val="000000" w:themeColor="text1"/>
                <w:szCs w:val="21"/>
                <w14:textFill>
                  <w14:solidFill>
                    <w14:schemeClr w14:val="tx1"/>
                  </w14:solidFill>
                </w14:textFill>
              </w:rPr>
              <w:t>件</w:t>
            </w:r>
            <w:r>
              <w:rPr>
                <w:rFonts w:hint="eastAsia" w:ascii="宋体" w:cs="宋体"/>
                <w:b/>
                <w:color w:val="000000" w:themeColor="text1"/>
                <w:spacing w:val="-3"/>
                <w:szCs w:val="21"/>
                <w14:textFill>
                  <w14:solidFill>
                    <w14:schemeClr w14:val="tx1"/>
                  </w14:solidFill>
                </w14:textFill>
              </w:rPr>
              <w:t>截</w:t>
            </w:r>
            <w:r>
              <w:rPr>
                <w:rFonts w:hint="eastAsia" w:ascii="宋体" w:cs="宋体"/>
                <w:b/>
                <w:color w:val="000000" w:themeColor="text1"/>
                <w:szCs w:val="21"/>
                <w14:textFill>
                  <w14:solidFill>
                    <w14:schemeClr w14:val="tx1"/>
                  </w14:solidFill>
                </w14:textFill>
              </w:rPr>
              <w:t>止时</w:t>
            </w:r>
            <w:r>
              <w:rPr>
                <w:rFonts w:hint="eastAsia" w:ascii="宋体" w:cs="宋体"/>
                <w:b/>
                <w:color w:val="000000" w:themeColor="text1"/>
                <w:spacing w:val="-3"/>
                <w:szCs w:val="21"/>
                <w14:textFill>
                  <w14:solidFill>
                    <w14:schemeClr w14:val="tx1"/>
                  </w14:solidFill>
                </w14:textFill>
              </w:rPr>
              <w:t>间</w:t>
            </w:r>
            <w:r>
              <w:rPr>
                <w:rFonts w:hint="eastAsia" w:ascii="宋体" w:cs="宋体"/>
                <w:b/>
                <w:color w:val="000000" w:themeColor="text1"/>
                <w:szCs w:val="21"/>
                <w14:textFill>
                  <w14:solidFill>
                    <w14:schemeClr w14:val="tx1"/>
                  </w14:solidFill>
                </w14:textFill>
              </w:rPr>
              <w:t>之</w:t>
            </w:r>
            <w:r>
              <w:rPr>
                <w:rFonts w:hint="eastAsia" w:ascii="宋体" w:cs="宋体"/>
                <w:b/>
                <w:color w:val="000000" w:themeColor="text1"/>
                <w:spacing w:val="-2"/>
                <w:szCs w:val="21"/>
                <w14:textFill>
                  <w14:solidFill>
                    <w14:schemeClr w14:val="tx1"/>
                  </w14:solidFill>
                </w14:textFill>
              </w:rPr>
              <w:t>前</w:t>
            </w:r>
            <w:r>
              <w:rPr>
                <w:rFonts w:hint="eastAsia" w:ascii="宋体" w:cs="宋体"/>
                <w:b/>
                <w:color w:val="000000" w:themeColor="text1"/>
                <w:szCs w:val="21"/>
                <w14:textFill>
                  <w14:solidFill>
                    <w14:schemeClr w14:val="tx1"/>
                  </w14:solidFill>
                </w14:textFill>
              </w:rPr>
              <w:t>向</w:t>
            </w:r>
            <w:r>
              <w:rPr>
                <w:rFonts w:hint="eastAsia" w:ascii="宋体" w:cs="宋体"/>
                <w:b/>
                <w:color w:val="000000" w:themeColor="text1"/>
                <w:spacing w:val="-3"/>
                <w:szCs w:val="21"/>
                <w14:textFill>
                  <w14:solidFill>
                    <w14:schemeClr w14:val="tx1"/>
                  </w14:solidFill>
                </w14:textFill>
              </w:rPr>
              <w:t>招</w:t>
            </w:r>
            <w:r>
              <w:rPr>
                <w:rFonts w:hint="eastAsia" w:ascii="宋体" w:cs="宋体"/>
                <w:b/>
                <w:color w:val="000000" w:themeColor="text1"/>
                <w:szCs w:val="21"/>
                <w14:textFill>
                  <w14:solidFill>
                    <w14:schemeClr w14:val="tx1"/>
                  </w14:solidFill>
                </w14:textFill>
              </w:rPr>
              <w:t>标</w:t>
            </w:r>
            <w:r>
              <w:rPr>
                <w:rFonts w:hint="eastAsia" w:ascii="宋体" w:cs="宋体"/>
                <w:b/>
                <w:color w:val="000000" w:themeColor="text1"/>
                <w:spacing w:val="-2"/>
                <w:szCs w:val="21"/>
                <w14:textFill>
                  <w14:solidFill>
                    <w14:schemeClr w14:val="tx1"/>
                  </w14:solidFill>
                </w14:textFill>
              </w:rPr>
              <w:t>人提交了</w:t>
            </w:r>
            <w:r>
              <w:rPr>
                <w:rFonts w:hint="eastAsia" w:ascii="宋体" w:cs="宋体"/>
                <w:b/>
                <w:color w:val="000000" w:themeColor="text1"/>
                <w:spacing w:val="-3"/>
                <w:szCs w:val="21"/>
                <w14:textFill>
                  <w14:solidFill>
                    <w14:schemeClr w14:val="tx1"/>
                  </w14:solidFill>
                </w14:textFill>
              </w:rPr>
              <w:t>保证保险</w:t>
            </w:r>
            <w:r>
              <w:rPr>
                <w:rFonts w:hint="eastAsia" w:ascii="宋体" w:cs="宋体"/>
                <w:b/>
                <w:color w:val="000000" w:themeColor="text1"/>
                <w:spacing w:val="-2"/>
                <w:szCs w:val="21"/>
                <w14:textFill>
                  <w14:solidFill>
                    <w14:schemeClr w14:val="tx1"/>
                  </w14:solidFill>
                </w14:textFill>
              </w:rPr>
              <w:t>原件。</w:t>
            </w:r>
          </w:p>
          <w:p>
            <w:pPr>
              <w:spacing w:line="300" w:lineRule="exact"/>
              <w:ind w:left="141" w:leftChars="67" w:firstLine="312"/>
              <w:rPr>
                <w:rFonts w:hAnsi="宋体"/>
                <w:b/>
                <w:color w:val="000000" w:themeColor="text1"/>
                <w:szCs w:val="21"/>
                <w14:textFill>
                  <w14:solidFill>
                    <w14:schemeClr w14:val="tx1"/>
                  </w14:solidFill>
                </w14:textFill>
              </w:rPr>
            </w:pPr>
            <w:r>
              <w:rPr>
                <w:rFonts w:hint="eastAsia" w:ascii="宋体" w:cs="宋体"/>
                <w:b/>
                <w:color w:val="000000" w:themeColor="text1"/>
                <w:spacing w:val="-2"/>
                <w:szCs w:val="21"/>
                <w14:textFill>
                  <w14:solidFill>
                    <w14:schemeClr w14:val="tx1"/>
                  </w14:solidFill>
                </w14:textFill>
              </w:rPr>
              <w:t>（</w:t>
            </w:r>
            <w:r>
              <w:rPr>
                <w:b/>
                <w:color w:val="000000" w:themeColor="text1"/>
                <w:spacing w:val="-2"/>
                <w:szCs w:val="21"/>
                <w14:textFill>
                  <w14:solidFill>
                    <w14:schemeClr w14:val="tx1"/>
                  </w14:solidFill>
                </w14:textFill>
              </w:rPr>
              <w:t>5</w:t>
            </w:r>
            <w:r>
              <w:rPr>
                <w:rFonts w:hint="eastAsia" w:ascii="宋体" w:cs="宋体"/>
                <w:b/>
                <w:color w:val="000000" w:themeColor="text1"/>
                <w:spacing w:val="-2"/>
                <w:szCs w:val="21"/>
                <w14:textFill>
                  <w14:solidFill>
                    <w14:schemeClr w14:val="tx1"/>
                  </w14:solidFill>
                </w14:textFill>
              </w:rPr>
              <w:t>）投标人法定代表人授权委托代理人签署投标文件的，须提交</w:t>
            </w:r>
            <w:r>
              <w:rPr>
                <w:rFonts w:hint="eastAsia" w:ascii="宋体" w:cs="宋体"/>
                <w:b/>
                <w:color w:val="000000" w:themeColor="text1"/>
                <w:szCs w:val="21"/>
                <w14:textFill>
                  <w14:solidFill>
                    <w14:schemeClr w14:val="tx1"/>
                  </w14:solidFill>
                </w14:textFill>
              </w:rPr>
              <w:t>授权</w:t>
            </w:r>
            <w:r>
              <w:rPr>
                <w:rFonts w:hint="eastAsia" w:ascii="宋体" w:cs="宋体"/>
                <w:b/>
                <w:color w:val="000000" w:themeColor="text1"/>
                <w:spacing w:val="-3"/>
                <w:szCs w:val="21"/>
                <w14:textFill>
                  <w14:solidFill>
                    <w14:schemeClr w14:val="tx1"/>
                  </w14:solidFill>
                </w14:textFill>
              </w:rPr>
              <w:t>委</w:t>
            </w:r>
            <w:r>
              <w:rPr>
                <w:rFonts w:hint="eastAsia" w:ascii="宋体" w:cs="宋体"/>
                <w:b/>
                <w:color w:val="000000" w:themeColor="text1"/>
                <w:szCs w:val="21"/>
                <w14:textFill>
                  <w14:solidFill>
                    <w14:schemeClr w14:val="tx1"/>
                  </w14:solidFill>
                </w14:textFill>
              </w:rPr>
              <w:t>托</w:t>
            </w:r>
            <w:r>
              <w:rPr>
                <w:rFonts w:hint="eastAsia" w:ascii="宋体" w:cs="宋体"/>
                <w:b/>
                <w:color w:val="000000" w:themeColor="text1"/>
                <w:spacing w:val="-3"/>
                <w:szCs w:val="21"/>
                <w14:textFill>
                  <w14:solidFill>
                    <w14:schemeClr w14:val="tx1"/>
                  </w14:solidFill>
                </w14:textFill>
              </w:rPr>
              <w:t>书</w:t>
            </w:r>
            <w:r>
              <w:rPr>
                <w:rFonts w:hint="eastAsia" w:ascii="宋体" w:cs="宋体"/>
                <w:b/>
                <w:color w:val="000000" w:themeColor="text1"/>
                <w:spacing w:val="-106"/>
                <w:szCs w:val="21"/>
                <w14:textFill>
                  <w14:solidFill>
                    <w14:schemeClr w14:val="tx1"/>
                  </w14:solidFill>
                </w14:textFill>
              </w:rPr>
              <w:t>，</w:t>
            </w:r>
            <w:r>
              <w:rPr>
                <w:rFonts w:hint="eastAsia" w:ascii="宋体" w:cs="宋体"/>
                <w:b/>
                <w:color w:val="000000" w:themeColor="text1"/>
                <w:szCs w:val="21"/>
                <w14:textFill>
                  <w14:solidFill>
                    <w14:schemeClr w14:val="tx1"/>
                  </w14:solidFill>
                </w14:textFill>
              </w:rPr>
              <w:t>且</w:t>
            </w:r>
            <w:r>
              <w:rPr>
                <w:rFonts w:hint="eastAsia" w:ascii="宋体" w:cs="宋体"/>
                <w:b/>
                <w:color w:val="000000" w:themeColor="text1"/>
                <w:spacing w:val="-3"/>
                <w:szCs w:val="21"/>
                <w14:textFill>
                  <w14:solidFill>
                    <w14:schemeClr w14:val="tx1"/>
                  </w14:solidFill>
                </w14:textFill>
              </w:rPr>
              <w:t>授</w:t>
            </w:r>
            <w:r>
              <w:rPr>
                <w:rFonts w:hint="eastAsia" w:ascii="宋体" w:cs="宋体"/>
                <w:b/>
                <w:color w:val="000000" w:themeColor="text1"/>
                <w:szCs w:val="21"/>
                <w14:textFill>
                  <w14:solidFill>
                    <w14:schemeClr w14:val="tx1"/>
                  </w14:solidFill>
                </w14:textFill>
              </w:rPr>
              <w:t>权</w:t>
            </w:r>
            <w:r>
              <w:rPr>
                <w:rFonts w:hint="eastAsia" w:ascii="宋体" w:cs="宋体"/>
                <w:b/>
                <w:color w:val="000000" w:themeColor="text1"/>
                <w:spacing w:val="-3"/>
                <w:szCs w:val="21"/>
                <w14:textFill>
                  <w14:solidFill>
                    <w14:schemeClr w14:val="tx1"/>
                  </w14:solidFill>
                </w14:textFill>
              </w:rPr>
              <w:t>人</w:t>
            </w:r>
            <w:r>
              <w:rPr>
                <w:rFonts w:hint="eastAsia" w:ascii="宋体" w:cs="宋体"/>
                <w:b/>
                <w:color w:val="000000" w:themeColor="text1"/>
                <w:szCs w:val="21"/>
                <w14:textFill>
                  <w14:solidFill>
                    <w14:schemeClr w14:val="tx1"/>
                  </w14:solidFill>
                </w14:textFill>
              </w:rPr>
              <w:t>和</w:t>
            </w:r>
            <w:r>
              <w:rPr>
                <w:rFonts w:hint="eastAsia" w:ascii="宋体" w:cs="宋体"/>
                <w:b/>
                <w:color w:val="000000" w:themeColor="text1"/>
                <w:spacing w:val="-3"/>
                <w:szCs w:val="21"/>
                <w14:textFill>
                  <w14:solidFill>
                    <w14:schemeClr w14:val="tx1"/>
                  </w14:solidFill>
                </w14:textFill>
              </w:rPr>
              <w:t>被</w:t>
            </w:r>
            <w:r>
              <w:rPr>
                <w:rFonts w:hint="eastAsia" w:ascii="宋体" w:cs="宋体"/>
                <w:b/>
                <w:color w:val="000000" w:themeColor="text1"/>
                <w:szCs w:val="21"/>
                <w14:textFill>
                  <w14:solidFill>
                    <w14:schemeClr w14:val="tx1"/>
                  </w14:solidFill>
                </w14:textFill>
              </w:rPr>
              <w:t>授权</w:t>
            </w:r>
            <w:r>
              <w:rPr>
                <w:rFonts w:hint="eastAsia" w:ascii="宋体" w:cs="宋体"/>
                <w:b/>
                <w:color w:val="000000" w:themeColor="text1"/>
                <w:spacing w:val="-3"/>
                <w:szCs w:val="21"/>
                <w14:textFill>
                  <w14:solidFill>
                    <w14:schemeClr w14:val="tx1"/>
                  </w14:solidFill>
                </w14:textFill>
              </w:rPr>
              <w:t>人</w:t>
            </w:r>
            <w:r>
              <w:rPr>
                <w:rFonts w:hint="eastAsia" w:ascii="宋体" w:cs="宋体"/>
                <w:b/>
                <w:color w:val="000000" w:themeColor="text1"/>
                <w:szCs w:val="21"/>
                <w14:textFill>
                  <w14:solidFill>
                    <w14:schemeClr w14:val="tx1"/>
                  </w14:solidFill>
                </w14:textFill>
              </w:rPr>
              <w:t>均</w:t>
            </w:r>
            <w:r>
              <w:rPr>
                <w:rFonts w:hint="eastAsia" w:ascii="宋体" w:cs="宋体"/>
                <w:b/>
                <w:color w:val="000000" w:themeColor="text1"/>
                <w:spacing w:val="-3"/>
                <w:szCs w:val="21"/>
                <w14:textFill>
                  <w14:solidFill>
                    <w14:schemeClr w14:val="tx1"/>
                  </w14:solidFill>
                </w14:textFill>
              </w:rPr>
              <w:t>在</w:t>
            </w:r>
            <w:r>
              <w:rPr>
                <w:rFonts w:hint="eastAsia" w:ascii="宋体" w:cs="宋体"/>
                <w:b/>
                <w:color w:val="000000" w:themeColor="text1"/>
                <w:szCs w:val="21"/>
                <w14:textFill>
                  <w14:solidFill>
                    <w14:schemeClr w14:val="tx1"/>
                  </w14:solidFill>
                </w14:textFill>
              </w:rPr>
              <w:t>授</w:t>
            </w:r>
            <w:r>
              <w:rPr>
                <w:rFonts w:hint="eastAsia" w:ascii="宋体" w:cs="宋体"/>
                <w:b/>
                <w:color w:val="000000" w:themeColor="text1"/>
                <w:spacing w:val="-3"/>
                <w:szCs w:val="21"/>
                <w14:textFill>
                  <w14:solidFill>
                    <w14:schemeClr w14:val="tx1"/>
                  </w14:solidFill>
                </w14:textFill>
              </w:rPr>
              <w:t>权</w:t>
            </w:r>
            <w:r>
              <w:rPr>
                <w:rFonts w:hint="eastAsia" w:ascii="宋体" w:cs="宋体"/>
                <w:b/>
                <w:color w:val="000000" w:themeColor="text1"/>
                <w:szCs w:val="21"/>
                <w14:textFill>
                  <w14:solidFill>
                    <w14:schemeClr w14:val="tx1"/>
                  </w14:solidFill>
                </w14:textFill>
              </w:rPr>
              <w:t>委</w:t>
            </w:r>
            <w:r>
              <w:rPr>
                <w:rFonts w:hint="eastAsia" w:ascii="宋体" w:cs="宋体"/>
                <w:b/>
                <w:color w:val="000000" w:themeColor="text1"/>
                <w:spacing w:val="-3"/>
                <w:szCs w:val="21"/>
                <w14:textFill>
                  <w14:solidFill>
                    <w14:schemeClr w14:val="tx1"/>
                  </w14:solidFill>
                </w14:textFill>
              </w:rPr>
              <w:t>托</w:t>
            </w:r>
            <w:r>
              <w:rPr>
                <w:rFonts w:hint="eastAsia" w:ascii="宋体" w:cs="宋体"/>
                <w:b/>
                <w:color w:val="000000" w:themeColor="text1"/>
                <w:szCs w:val="21"/>
                <w14:textFill>
                  <w14:solidFill>
                    <w14:schemeClr w14:val="tx1"/>
                  </w14:solidFill>
                </w14:textFill>
              </w:rPr>
              <w:t>书</w:t>
            </w:r>
            <w:r>
              <w:rPr>
                <w:rFonts w:hint="eastAsia" w:ascii="宋体" w:cs="宋体"/>
                <w:b/>
                <w:color w:val="000000" w:themeColor="text1"/>
                <w:spacing w:val="-3"/>
                <w:szCs w:val="21"/>
                <w14:textFill>
                  <w14:solidFill>
                    <w14:schemeClr w14:val="tx1"/>
                  </w14:solidFill>
                </w14:textFill>
              </w:rPr>
              <w:t>上</w:t>
            </w:r>
            <w:r>
              <w:rPr>
                <w:rFonts w:hint="eastAsia" w:ascii="宋体" w:cs="宋体"/>
                <w:b/>
                <w:color w:val="000000" w:themeColor="text1"/>
                <w:szCs w:val="21"/>
                <w14:textFill>
                  <w14:solidFill>
                    <w14:schemeClr w14:val="tx1"/>
                  </w14:solidFill>
                </w14:textFill>
              </w:rPr>
              <w:t>签名</w:t>
            </w:r>
            <w:r>
              <w:rPr>
                <w:rFonts w:hint="eastAsia" w:ascii="宋体" w:cs="宋体"/>
                <w:b/>
                <w:color w:val="000000" w:themeColor="text1"/>
                <w:spacing w:val="-108"/>
                <w:szCs w:val="21"/>
                <w14:textFill>
                  <w14:solidFill>
                    <w14:schemeClr w14:val="tx1"/>
                  </w14:solidFill>
                </w14:textFill>
              </w:rPr>
              <w:t>，</w:t>
            </w:r>
            <w:r>
              <w:rPr>
                <w:rFonts w:hint="eastAsia" w:ascii="宋体" w:cs="宋体"/>
                <w:b/>
                <w:color w:val="000000" w:themeColor="text1"/>
                <w:szCs w:val="21"/>
                <w14:textFill>
                  <w14:solidFill>
                    <w14:schemeClr w14:val="tx1"/>
                  </w14:solidFill>
                </w14:textFill>
              </w:rPr>
              <w:t>未</w:t>
            </w:r>
            <w:r>
              <w:rPr>
                <w:rFonts w:hint="eastAsia" w:ascii="宋体" w:cs="宋体"/>
                <w:b/>
                <w:color w:val="000000" w:themeColor="text1"/>
                <w:spacing w:val="-3"/>
                <w:szCs w:val="21"/>
                <w14:textFill>
                  <w14:solidFill>
                    <w14:schemeClr w14:val="tx1"/>
                  </w14:solidFill>
                </w14:textFill>
              </w:rPr>
              <w:t>使</w:t>
            </w:r>
            <w:r>
              <w:rPr>
                <w:rFonts w:hint="eastAsia" w:ascii="宋体" w:cs="宋体"/>
                <w:b/>
                <w:color w:val="000000" w:themeColor="text1"/>
                <w:szCs w:val="21"/>
                <w14:textFill>
                  <w14:solidFill>
                    <w14:schemeClr w14:val="tx1"/>
                  </w14:solidFill>
                </w14:textFill>
              </w:rPr>
              <w:t>用印</w:t>
            </w:r>
            <w:r>
              <w:rPr>
                <w:rFonts w:hint="eastAsia" w:ascii="宋体" w:cs="宋体"/>
                <w:b/>
                <w:color w:val="000000" w:themeColor="text1"/>
                <w:spacing w:val="-3"/>
                <w:szCs w:val="21"/>
                <w14:textFill>
                  <w14:solidFill>
                    <w14:schemeClr w14:val="tx1"/>
                  </w14:solidFill>
                </w14:textFill>
              </w:rPr>
              <w:t>章</w:t>
            </w:r>
            <w:r>
              <w:rPr>
                <w:rFonts w:hint="eastAsia" w:ascii="宋体" w:cs="宋体"/>
                <w:b/>
                <w:color w:val="000000" w:themeColor="text1"/>
                <w:szCs w:val="21"/>
                <w14:textFill>
                  <w14:solidFill>
                    <w14:schemeClr w14:val="tx1"/>
                  </w14:solidFill>
                </w14:textFill>
              </w:rPr>
              <w:t>、</w:t>
            </w:r>
            <w:r>
              <w:rPr>
                <w:rFonts w:ascii="宋体" w:cs="宋体"/>
                <w:b/>
                <w:color w:val="000000" w:themeColor="text1"/>
                <w:szCs w:val="21"/>
                <w14:textFill>
                  <w14:solidFill>
                    <w14:schemeClr w14:val="tx1"/>
                  </w14:solidFill>
                </w14:textFill>
              </w:rPr>
              <w:t xml:space="preserve"> </w:t>
            </w:r>
            <w:r>
              <w:rPr>
                <w:rFonts w:hint="eastAsia" w:ascii="宋体" w:cs="宋体"/>
                <w:b/>
                <w:color w:val="000000" w:themeColor="text1"/>
                <w:spacing w:val="-2"/>
                <w:szCs w:val="21"/>
                <w14:textFill>
                  <w14:solidFill>
                    <w14:schemeClr w14:val="tx1"/>
                  </w14:solidFill>
                </w14:textFill>
              </w:rPr>
              <w:t>签名章或其他电子制版签名代替。</w:t>
            </w:r>
          </w:p>
          <w:p>
            <w:pPr>
              <w:spacing w:line="300" w:lineRule="exact"/>
              <w:ind w:left="141" w:leftChars="67" w:firstLine="312"/>
              <w:rPr>
                <w:rFonts w:hAnsi="宋体"/>
                <w:b/>
                <w:color w:val="000000" w:themeColor="text1"/>
                <w:szCs w:val="21"/>
                <w14:textFill>
                  <w14:solidFill>
                    <w14:schemeClr w14:val="tx1"/>
                  </w14:solidFill>
                </w14:textFill>
              </w:rPr>
            </w:pPr>
            <w:r>
              <w:rPr>
                <w:rFonts w:hint="eastAsia" w:ascii="宋体" w:cs="宋体"/>
                <w:b/>
                <w:color w:val="000000" w:themeColor="text1"/>
                <w:spacing w:val="-2"/>
                <w:szCs w:val="21"/>
                <w14:textFill>
                  <w14:solidFill>
                    <w14:schemeClr w14:val="tx1"/>
                  </w14:solidFill>
                </w14:textFill>
              </w:rPr>
              <w:t>（</w:t>
            </w:r>
            <w:r>
              <w:rPr>
                <w:b/>
                <w:color w:val="000000" w:themeColor="text1"/>
                <w:spacing w:val="-2"/>
                <w:szCs w:val="21"/>
                <w14:textFill>
                  <w14:solidFill>
                    <w14:schemeClr w14:val="tx1"/>
                  </w14:solidFill>
                </w14:textFill>
              </w:rPr>
              <w:t>6</w:t>
            </w:r>
            <w:r>
              <w:rPr>
                <w:rFonts w:hint="eastAsia" w:ascii="宋体" w:cs="宋体"/>
                <w:b/>
                <w:color w:val="000000" w:themeColor="text1"/>
                <w:spacing w:val="-2"/>
                <w:szCs w:val="21"/>
                <w14:textFill>
                  <w14:solidFill>
                    <w14:schemeClr w14:val="tx1"/>
                  </w14:solidFill>
                </w14:textFill>
              </w:rPr>
              <w:t>）投标人法定代表人亲自签署投标文件的，提供了法定代表人身份证明，且法定代表人在法定代表人身份证明上签名，未使用印章、签名章或其他电子制版签名代替。</w:t>
            </w:r>
          </w:p>
          <w:p>
            <w:pPr>
              <w:spacing w:line="300" w:lineRule="exact"/>
              <w:ind w:left="141" w:leftChars="67" w:firstLine="312"/>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（7）投标人以联合体形式投标时，联合体满足招标文件的要求；（本项目不适用）</w:t>
            </w:r>
          </w:p>
          <w:p>
            <w:pPr>
              <w:spacing w:line="300" w:lineRule="exact"/>
              <w:ind w:left="141" w:leftChars="67" w:firstLine="312"/>
              <w:rPr>
                <w:rFonts w:hAnsi="宋体"/>
                <w:b/>
                <w:color w:val="000000" w:themeColor="text1"/>
                <w:szCs w:val="21"/>
                <w14:textFill>
                  <w14:solidFill>
                    <w14:schemeClr w14:val="tx1"/>
                  </w14:solidFill>
                </w14:textFill>
              </w:rPr>
            </w:pPr>
            <w:r>
              <w:rPr>
                <w:b/>
                <w:color w:val="000000" w:themeColor="text1"/>
                <w:spacing w:val="-1"/>
                <w:szCs w:val="21"/>
                <w14:textFill>
                  <w14:solidFill>
                    <w14:schemeClr w14:val="tx1"/>
                  </w14:solidFill>
                </w14:textFill>
              </w:rPr>
              <w:t>a</w:t>
            </w:r>
            <w:r>
              <w:rPr>
                <w:b/>
                <w:color w:val="000000" w:themeColor="text1"/>
                <w:szCs w:val="21"/>
                <w14:textFill>
                  <w14:solidFill>
                    <w14:schemeClr w14:val="tx1"/>
                  </w14:solidFill>
                </w14:textFill>
              </w:rPr>
              <w:t>.</w:t>
            </w:r>
            <w:r>
              <w:rPr>
                <w:rFonts w:hint="eastAsia" w:ascii="宋体" w:cs="宋体"/>
                <w:b/>
                <w:color w:val="000000" w:themeColor="text1"/>
                <w:szCs w:val="21"/>
                <w14:textFill>
                  <w14:solidFill>
                    <w14:schemeClr w14:val="tx1"/>
                  </w14:solidFill>
                </w14:textFill>
              </w:rPr>
              <w:t>投</w:t>
            </w:r>
            <w:r>
              <w:rPr>
                <w:rFonts w:hint="eastAsia" w:ascii="宋体" w:cs="宋体"/>
                <w:b/>
                <w:color w:val="000000" w:themeColor="text1"/>
                <w:spacing w:val="-3"/>
                <w:szCs w:val="21"/>
                <w14:textFill>
                  <w14:solidFill>
                    <w14:schemeClr w14:val="tx1"/>
                  </w14:solidFill>
                </w14:textFill>
              </w:rPr>
              <w:t>标</w:t>
            </w:r>
            <w:r>
              <w:rPr>
                <w:rFonts w:hint="eastAsia" w:ascii="宋体" w:cs="宋体"/>
                <w:b/>
                <w:color w:val="000000" w:themeColor="text1"/>
                <w:szCs w:val="21"/>
                <w14:textFill>
                  <w14:solidFill>
                    <w14:schemeClr w14:val="tx1"/>
                  </w14:solidFill>
                </w14:textFill>
              </w:rPr>
              <w:t>人按</w:t>
            </w:r>
            <w:r>
              <w:rPr>
                <w:rFonts w:hint="eastAsia" w:ascii="宋体" w:cs="宋体"/>
                <w:b/>
                <w:color w:val="000000" w:themeColor="text1"/>
                <w:spacing w:val="-3"/>
                <w:szCs w:val="21"/>
                <w14:textFill>
                  <w14:solidFill>
                    <w14:schemeClr w14:val="tx1"/>
                  </w14:solidFill>
                </w14:textFill>
              </w:rPr>
              <w:t>照</w:t>
            </w:r>
            <w:r>
              <w:rPr>
                <w:rFonts w:hint="eastAsia" w:ascii="宋体" w:cs="宋体"/>
                <w:b/>
                <w:color w:val="000000" w:themeColor="text1"/>
                <w:szCs w:val="21"/>
                <w14:textFill>
                  <w14:solidFill>
                    <w14:schemeClr w14:val="tx1"/>
                  </w14:solidFill>
                </w14:textFill>
              </w:rPr>
              <w:t>招</w:t>
            </w:r>
            <w:r>
              <w:rPr>
                <w:rFonts w:hint="eastAsia" w:ascii="宋体" w:cs="宋体"/>
                <w:b/>
                <w:color w:val="000000" w:themeColor="text1"/>
                <w:spacing w:val="-3"/>
                <w:szCs w:val="21"/>
                <w14:textFill>
                  <w14:solidFill>
                    <w14:schemeClr w14:val="tx1"/>
                  </w14:solidFill>
                </w14:textFill>
              </w:rPr>
              <w:t>标</w:t>
            </w:r>
            <w:r>
              <w:rPr>
                <w:rFonts w:hint="eastAsia" w:ascii="宋体" w:cs="宋体"/>
                <w:b/>
                <w:color w:val="000000" w:themeColor="text1"/>
                <w:szCs w:val="21"/>
                <w14:textFill>
                  <w14:solidFill>
                    <w14:schemeClr w14:val="tx1"/>
                  </w14:solidFill>
                </w14:textFill>
              </w:rPr>
              <w:t>文</w:t>
            </w:r>
            <w:r>
              <w:rPr>
                <w:rFonts w:hint="eastAsia" w:ascii="宋体" w:cs="宋体"/>
                <w:b/>
                <w:color w:val="000000" w:themeColor="text1"/>
                <w:spacing w:val="-3"/>
                <w:szCs w:val="21"/>
                <w14:textFill>
                  <w14:solidFill>
                    <w14:schemeClr w14:val="tx1"/>
                  </w14:solidFill>
                </w14:textFill>
              </w:rPr>
              <w:t>件</w:t>
            </w:r>
            <w:r>
              <w:rPr>
                <w:rFonts w:hint="eastAsia" w:ascii="宋体" w:cs="宋体"/>
                <w:b/>
                <w:color w:val="000000" w:themeColor="text1"/>
                <w:szCs w:val="21"/>
                <w14:textFill>
                  <w14:solidFill>
                    <w14:schemeClr w14:val="tx1"/>
                  </w14:solidFill>
                </w14:textFill>
              </w:rPr>
              <w:t>提</w:t>
            </w:r>
            <w:r>
              <w:rPr>
                <w:rFonts w:hint="eastAsia" w:ascii="宋体" w:cs="宋体"/>
                <w:b/>
                <w:color w:val="000000" w:themeColor="text1"/>
                <w:spacing w:val="-3"/>
                <w:szCs w:val="21"/>
                <w14:textFill>
                  <w14:solidFill>
                    <w14:schemeClr w14:val="tx1"/>
                  </w14:solidFill>
                </w14:textFill>
              </w:rPr>
              <w:t>供</w:t>
            </w:r>
            <w:r>
              <w:rPr>
                <w:rFonts w:hint="eastAsia" w:ascii="宋体" w:cs="宋体"/>
                <w:b/>
                <w:color w:val="000000" w:themeColor="text1"/>
                <w:szCs w:val="21"/>
                <w14:textFill>
                  <w14:solidFill>
                    <w14:schemeClr w14:val="tx1"/>
                  </w14:solidFill>
                </w14:textFill>
              </w:rPr>
              <w:t>的</w:t>
            </w:r>
            <w:r>
              <w:rPr>
                <w:rFonts w:hint="eastAsia" w:ascii="宋体" w:cs="宋体"/>
                <w:b/>
                <w:color w:val="000000" w:themeColor="text1"/>
                <w:spacing w:val="-3"/>
                <w:szCs w:val="21"/>
                <w14:textFill>
                  <w14:solidFill>
                    <w14:schemeClr w14:val="tx1"/>
                  </w14:solidFill>
                </w14:textFill>
              </w:rPr>
              <w:t>格</w:t>
            </w:r>
            <w:r>
              <w:rPr>
                <w:rFonts w:hint="eastAsia" w:ascii="宋体" w:cs="宋体"/>
                <w:b/>
                <w:color w:val="000000" w:themeColor="text1"/>
                <w:szCs w:val="21"/>
                <w14:textFill>
                  <w14:solidFill>
                    <w14:schemeClr w14:val="tx1"/>
                  </w14:solidFill>
                </w14:textFill>
              </w:rPr>
              <w:t>式签</w:t>
            </w:r>
            <w:r>
              <w:rPr>
                <w:rFonts w:hint="eastAsia" w:ascii="宋体" w:cs="宋体"/>
                <w:b/>
                <w:color w:val="000000" w:themeColor="text1"/>
                <w:spacing w:val="-3"/>
                <w:szCs w:val="21"/>
                <w14:textFill>
                  <w14:solidFill>
                    <w14:schemeClr w14:val="tx1"/>
                  </w14:solidFill>
                </w14:textFill>
              </w:rPr>
              <w:t>订</w:t>
            </w:r>
            <w:r>
              <w:rPr>
                <w:rFonts w:hint="eastAsia" w:ascii="宋体" w:cs="宋体"/>
                <w:b/>
                <w:color w:val="000000" w:themeColor="text1"/>
                <w:szCs w:val="21"/>
                <w14:textFill>
                  <w14:solidFill>
                    <w14:schemeClr w14:val="tx1"/>
                  </w14:solidFill>
                </w14:textFill>
              </w:rPr>
              <w:t>了</w:t>
            </w:r>
            <w:r>
              <w:rPr>
                <w:rFonts w:hint="eastAsia" w:ascii="宋体" w:cs="宋体"/>
                <w:b/>
                <w:color w:val="000000" w:themeColor="text1"/>
                <w:spacing w:val="-3"/>
                <w:szCs w:val="21"/>
                <w14:textFill>
                  <w14:solidFill>
                    <w14:schemeClr w14:val="tx1"/>
                  </w14:solidFill>
                </w14:textFill>
              </w:rPr>
              <w:t>联</w:t>
            </w:r>
            <w:r>
              <w:rPr>
                <w:rFonts w:hint="eastAsia" w:ascii="宋体" w:cs="宋体"/>
                <w:b/>
                <w:color w:val="000000" w:themeColor="text1"/>
                <w:szCs w:val="21"/>
                <w14:textFill>
                  <w14:solidFill>
                    <w14:schemeClr w14:val="tx1"/>
                  </w14:solidFill>
                </w14:textFill>
              </w:rPr>
              <w:t>合</w:t>
            </w:r>
            <w:r>
              <w:rPr>
                <w:rFonts w:hint="eastAsia" w:ascii="宋体" w:cs="宋体"/>
                <w:b/>
                <w:color w:val="000000" w:themeColor="text1"/>
                <w:spacing w:val="-2"/>
                <w:szCs w:val="21"/>
                <w14:textFill>
                  <w14:solidFill>
                    <w14:schemeClr w14:val="tx1"/>
                  </w14:solidFill>
                </w14:textFill>
              </w:rPr>
              <w:t>体协议书，明确各方承担连带责任，并明确了联合体牵头人；</w:t>
            </w:r>
            <w:r>
              <w:rPr>
                <w:rFonts w:hint="eastAsia" w:hAnsi="宋体"/>
                <w:b/>
                <w:color w:val="000000" w:themeColor="text1"/>
                <w:szCs w:val="21"/>
                <w14:textFill>
                  <w14:solidFill>
                    <w14:schemeClr w14:val="tx1"/>
                  </w14:solidFill>
                </w14:textFill>
              </w:rPr>
              <w:t>（本项目不适用）</w:t>
            </w:r>
          </w:p>
          <w:p>
            <w:pPr>
              <w:spacing w:line="300" w:lineRule="exact"/>
              <w:ind w:left="141" w:leftChars="67" w:firstLine="312"/>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（8）同一投标人未提交两个以上不同的投标文件，但招标文件要求提交备选投标的除外；</w:t>
            </w:r>
          </w:p>
          <w:p>
            <w:pPr>
              <w:spacing w:line="300" w:lineRule="exact"/>
              <w:ind w:left="141" w:leftChars="67" w:firstLine="312"/>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（9）投标文件未出现有关投标报价的内容；</w:t>
            </w:r>
          </w:p>
          <w:p>
            <w:pPr>
              <w:spacing w:line="300" w:lineRule="exact"/>
              <w:ind w:left="141" w:leftChars="67" w:firstLine="312"/>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（10）</w:t>
            </w:r>
            <w:r>
              <w:rPr>
                <w:rFonts w:hint="eastAsia" w:ascii="宋体" w:cs="宋体"/>
                <w:b/>
                <w:color w:val="000000" w:themeColor="text1"/>
                <w:spacing w:val="-2"/>
                <w:szCs w:val="21"/>
                <w14:textFill>
                  <w14:solidFill>
                    <w14:schemeClr w14:val="tx1"/>
                  </w14:solidFill>
                </w14:textFill>
              </w:rPr>
              <w:t>投标文件载明的招标项目完成期限符合招标文件规定。</w:t>
            </w:r>
          </w:p>
          <w:p>
            <w:pPr>
              <w:spacing w:line="300" w:lineRule="exact"/>
              <w:ind w:left="141" w:leftChars="67" w:firstLine="312"/>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（11）投标文件对招标文件的实质性要求和条件作出响应。</w:t>
            </w:r>
          </w:p>
          <w:p>
            <w:pPr>
              <w:spacing w:line="300" w:lineRule="exact"/>
              <w:ind w:left="141" w:leftChars="67" w:firstLine="312"/>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（12）权利义务符合招标文件规定：</w:t>
            </w:r>
          </w:p>
          <w:p>
            <w:pPr>
              <w:spacing w:line="300" w:lineRule="exact"/>
              <w:ind w:left="141" w:leftChars="67" w:firstLine="312"/>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a.投标人应接受招标文件规定的风险划分原则，未提出新的风险划分办法；</w:t>
            </w:r>
          </w:p>
          <w:p>
            <w:pPr>
              <w:spacing w:line="300" w:lineRule="exact"/>
              <w:ind w:left="141" w:leftChars="67" w:firstLine="312"/>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b.投标人未增加委托人的责任范围，或减少投标人义务；</w:t>
            </w:r>
          </w:p>
          <w:p>
            <w:pPr>
              <w:spacing w:line="300" w:lineRule="exact"/>
              <w:ind w:left="141" w:leftChars="67" w:firstLine="312"/>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c.投标人未提出不同的支付办法；</w:t>
            </w:r>
          </w:p>
          <w:p>
            <w:pPr>
              <w:spacing w:line="300" w:lineRule="exact"/>
              <w:ind w:left="141" w:leftChars="67" w:firstLine="312"/>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d. 投标人对合同纠纷、事故处理办法未提出异议；</w:t>
            </w:r>
          </w:p>
          <w:p>
            <w:pPr>
              <w:spacing w:line="300" w:lineRule="exact"/>
              <w:ind w:left="141" w:leftChars="67" w:firstLine="312"/>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e. 投标人在投标活动中无欺诈行为；</w:t>
            </w:r>
          </w:p>
          <w:p>
            <w:pPr>
              <w:spacing w:line="300" w:lineRule="exact"/>
              <w:ind w:left="141" w:leftChars="67" w:firstLine="312"/>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f. 投标人未对合同条款有重要保留。</w:t>
            </w:r>
          </w:p>
          <w:p>
            <w:pPr>
              <w:spacing w:line="300" w:lineRule="exact"/>
              <w:ind w:left="141" w:leftChars="67" w:firstLine="312"/>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（13）投标文件正、副本份数符合招标文件第二章“投标人须知”第3.7.4项规定。</w:t>
            </w:r>
          </w:p>
          <w:p>
            <w:pPr>
              <w:spacing w:line="300" w:lineRule="exact"/>
              <w:ind w:left="141" w:leftChars="67" w:firstLine="312"/>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（14）投标文件未附有招标人不能接受的条件；</w:t>
            </w:r>
          </w:p>
          <w:p>
            <w:pPr>
              <w:widowControl/>
              <w:adjustRightInd/>
              <w:spacing w:line="300" w:lineRule="exact"/>
              <w:ind w:left="141" w:leftChars="67" w:firstLine="312"/>
              <w:textAlignment w:val="auto"/>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（15）投标人不</w:t>
            </w:r>
            <w:r>
              <w:rPr>
                <w:rFonts w:hint="eastAsia" w:hAnsi="宋体" w:cs="宋体"/>
                <w:b/>
                <w:color w:val="000000" w:themeColor="text1"/>
                <w:szCs w:val="21"/>
                <w14:textFill>
                  <w14:solidFill>
                    <w14:schemeClr w14:val="tx1"/>
                  </w14:solidFill>
                </w14:textFill>
              </w:rPr>
              <w:t>存在《中华人民共和国招标投标法实施条例》（国务院令第613号）第三十九条、第四十条、第四十一条所列的投标人相互串通投标、或者招标人与投标人串通投标情形之一的。</w:t>
            </w:r>
          </w:p>
          <w:p>
            <w:pPr>
              <w:widowControl/>
              <w:adjustRightInd/>
              <w:spacing w:line="300" w:lineRule="exact"/>
              <w:ind w:left="141" w:leftChars="67" w:firstLine="312"/>
              <w:textAlignment w:val="auto"/>
              <w:rPr>
                <w:rFonts w:hAnsi="宋体" w:cs="宋体"/>
                <w:b/>
                <w:color w:val="000000" w:themeColor="text1"/>
                <w:szCs w:val="21"/>
                <w14:textFill>
                  <w14:solidFill>
                    <w14:schemeClr w14:val="tx1"/>
                  </w14:solidFill>
                </w14:textFill>
              </w:rPr>
            </w:pPr>
          </w:p>
          <w:p>
            <w:pPr>
              <w:widowControl/>
              <w:adjustRightInd/>
              <w:spacing w:line="300" w:lineRule="exact"/>
              <w:ind w:left="141" w:leftChars="67" w:firstLine="312"/>
              <w:textAlignment w:val="auto"/>
              <w:rPr>
                <w:rFonts w:hAnsi="宋体" w:cs="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第二个信封（报价文件）评审标准</w:t>
            </w:r>
          </w:p>
          <w:p>
            <w:pPr>
              <w:tabs>
                <w:tab w:val="left" w:pos="0"/>
                <w:tab w:val="left" w:pos="890"/>
              </w:tabs>
              <w:spacing w:line="300" w:lineRule="exact"/>
              <w:ind w:left="141" w:leftChars="67" w:firstLine="312"/>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（1）投标文件按招标文件规定的格式、内容填写，字迹清晰可辨，内容齐全完整；</w:t>
            </w:r>
          </w:p>
          <w:p>
            <w:pPr>
              <w:pStyle w:val="11"/>
              <w:kinsoku w:val="0"/>
              <w:overflowPunct w:val="0"/>
              <w:spacing w:before="32" w:line="300" w:lineRule="exact"/>
              <w:ind w:left="141" w:leftChars="67" w:right="100" w:firstLine="312"/>
              <w:rPr>
                <w:rFonts w:ascii="宋体" w:cs="宋体"/>
                <w:b/>
                <w:color w:val="000000" w:themeColor="text1"/>
                <w:spacing w:val="-3"/>
                <w:sz w:val="21"/>
                <w:szCs w:val="21"/>
                <w14:textFill>
                  <w14:solidFill>
                    <w14:schemeClr w14:val="tx1"/>
                  </w14:solidFill>
                </w14:textFill>
              </w:rPr>
            </w:pPr>
            <w:r>
              <w:rPr>
                <w:rFonts w:hint="eastAsia" w:ascii="宋体" w:cs="宋体"/>
                <w:b/>
                <w:color w:val="000000" w:themeColor="text1"/>
                <w:spacing w:val="-3"/>
                <w:sz w:val="21"/>
                <w:szCs w:val="21"/>
                <w14:textFill>
                  <w14:solidFill>
                    <w14:schemeClr w14:val="tx1"/>
                  </w14:solidFill>
                </w14:textFill>
              </w:rPr>
              <w:t>a.投标函按招标文件规定填报了项目名称、标段号、补遗书编号（如 有）、投标价（下浮率）；</w:t>
            </w:r>
          </w:p>
          <w:p>
            <w:pPr>
              <w:pStyle w:val="11"/>
              <w:kinsoku w:val="0"/>
              <w:overflowPunct w:val="0"/>
              <w:spacing w:before="32" w:line="300" w:lineRule="exact"/>
              <w:ind w:left="141" w:leftChars="67" w:right="100" w:firstLine="312"/>
              <w:rPr>
                <w:rFonts w:ascii="宋体" w:cs="宋体"/>
                <w:b/>
                <w:color w:val="000000" w:themeColor="text1"/>
                <w:spacing w:val="-3"/>
                <w:sz w:val="21"/>
                <w:szCs w:val="21"/>
                <w14:textFill>
                  <w14:solidFill>
                    <w14:schemeClr w14:val="tx1"/>
                  </w14:solidFill>
                </w14:textFill>
              </w:rPr>
            </w:pPr>
            <w:r>
              <w:rPr>
                <w:rFonts w:hint="eastAsia" w:ascii="宋体" w:cs="宋体"/>
                <w:b/>
                <w:color w:val="000000" w:themeColor="text1"/>
                <w:spacing w:val="-3"/>
                <w:sz w:val="21"/>
                <w:szCs w:val="21"/>
                <w14:textFill>
                  <w14:solidFill>
                    <w14:schemeClr w14:val="tx1"/>
                  </w14:solidFill>
                </w14:textFill>
              </w:rPr>
              <w:t>b.已标价报价清单说明文字与招标文件规定一致，未进行实质性修 改和删减；</w:t>
            </w:r>
          </w:p>
          <w:p>
            <w:pPr>
              <w:tabs>
                <w:tab w:val="left" w:pos="0"/>
                <w:tab w:val="left" w:pos="890"/>
              </w:tabs>
              <w:spacing w:line="300" w:lineRule="exact"/>
              <w:ind w:left="141" w:leftChars="67" w:firstLine="312"/>
              <w:rPr>
                <w:rFonts w:hAnsi="宋体"/>
                <w:b/>
                <w:color w:val="000000" w:themeColor="text1"/>
                <w:szCs w:val="21"/>
                <w14:textFill>
                  <w14:solidFill>
                    <w14:schemeClr w14:val="tx1"/>
                  </w14:solidFill>
                </w14:textFill>
              </w:rPr>
            </w:pPr>
            <w:r>
              <w:rPr>
                <w:b/>
                <w:color w:val="000000" w:themeColor="text1"/>
                <w:spacing w:val="-2"/>
                <w:szCs w:val="21"/>
                <w14:textFill>
                  <w14:solidFill>
                    <w14:schemeClr w14:val="tx1"/>
                  </w14:solidFill>
                </w14:textFill>
              </w:rPr>
              <w:t>c.</w:t>
            </w:r>
            <w:r>
              <w:rPr>
                <w:rFonts w:hint="eastAsia" w:ascii="宋体" w:cs="宋体"/>
                <w:b/>
                <w:color w:val="000000" w:themeColor="text1"/>
                <w:spacing w:val="-2"/>
                <w:szCs w:val="21"/>
                <w14:textFill>
                  <w14:solidFill>
                    <w14:schemeClr w14:val="tx1"/>
                  </w14:solidFill>
                </w14:textFill>
              </w:rPr>
              <w:t>投标文件组成齐全完整，内容均按规定填写。</w:t>
            </w:r>
          </w:p>
          <w:p>
            <w:pPr>
              <w:tabs>
                <w:tab w:val="left" w:pos="0"/>
                <w:tab w:val="left" w:pos="890"/>
              </w:tabs>
              <w:spacing w:line="300" w:lineRule="exact"/>
              <w:ind w:left="141" w:leftChars="67" w:firstLine="312"/>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（2）投标文件上法定代表人或其授权代理人的签字、投标人的单位章齐全，符合招标文件规定；</w:t>
            </w:r>
            <w:r>
              <w:rPr>
                <w:rFonts w:hint="eastAsia"/>
                <w:b/>
                <w:color w:val="000000" w:themeColor="text1"/>
                <w:szCs w:val="24"/>
                <w14:textFill>
                  <w14:solidFill>
                    <w14:schemeClr w14:val="tx1"/>
                  </w14:solidFill>
                </w14:textFill>
              </w:rPr>
              <w:t>监理</w:t>
            </w:r>
            <w:r>
              <w:rPr>
                <w:b/>
                <w:color w:val="000000" w:themeColor="text1"/>
                <w:szCs w:val="24"/>
                <w14:textFill>
                  <w14:solidFill>
                    <w14:schemeClr w14:val="tx1"/>
                  </w14:solidFill>
                </w14:textFill>
              </w:rPr>
              <w:t>服务费用报价表</w:t>
            </w:r>
            <w:r>
              <w:rPr>
                <w:rFonts w:hint="eastAsia"/>
                <w:b/>
                <w:color w:val="000000" w:themeColor="text1"/>
                <w:szCs w:val="24"/>
                <w14:textFill>
                  <w14:solidFill>
                    <w14:schemeClr w14:val="tx1"/>
                  </w14:solidFill>
                </w14:textFill>
              </w:rPr>
              <w:t>由投标人法定代表人或其授权委托人逐页签字并加盖投标人公章。</w:t>
            </w:r>
            <w:r>
              <w:rPr>
                <w:rFonts w:hint="eastAsia" w:hAnsi="宋体"/>
                <w:b/>
                <w:color w:val="000000" w:themeColor="text1"/>
                <w:szCs w:val="21"/>
                <w14:textFill>
                  <w14:solidFill>
                    <w14:schemeClr w14:val="tx1"/>
                  </w14:solidFill>
                </w14:textFill>
              </w:rPr>
              <w:t>若由授权代理人签署，报价函签署的日期应在授权委托书委托期限以内。</w:t>
            </w:r>
          </w:p>
          <w:p>
            <w:pPr>
              <w:tabs>
                <w:tab w:val="left" w:pos="0"/>
                <w:tab w:val="left" w:pos="890"/>
              </w:tabs>
              <w:spacing w:line="300" w:lineRule="exact"/>
              <w:ind w:left="141" w:leftChars="67" w:firstLine="312"/>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（3）在报价函上填写了投标总价（包括大写金额和小写金额），投标总价不高于招标人公布的最高投标限价（如有），且报价唯一；</w:t>
            </w:r>
          </w:p>
          <w:p>
            <w:pPr>
              <w:widowControl/>
              <w:adjustRightInd/>
              <w:spacing w:line="300" w:lineRule="exact"/>
              <w:ind w:left="141" w:leftChars="67" w:firstLine="312"/>
              <w:textAlignment w:val="auto"/>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（4）投标报价的大写金额能够确定具体数值。</w:t>
            </w:r>
          </w:p>
          <w:p>
            <w:pPr>
              <w:widowControl/>
              <w:adjustRightInd/>
              <w:spacing w:line="300" w:lineRule="exact"/>
              <w:ind w:left="141" w:leftChars="67" w:firstLine="312"/>
              <w:textAlignment w:val="auto"/>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（5）同一投标人未提交两个以上不同的投标报价，但招标文件要求提交备选投标的除外。</w:t>
            </w:r>
          </w:p>
          <w:p>
            <w:pPr>
              <w:widowControl/>
              <w:adjustRightInd/>
              <w:spacing w:line="300" w:lineRule="exact"/>
              <w:ind w:left="141" w:leftChars="67" w:firstLine="312"/>
              <w:textAlignment w:val="auto"/>
              <w:rPr>
                <w:rFonts w:hAnsi="宋体" w:cs="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（6）投标文件正、副本份数符合招标文件第二章“投标人须知”第3.7.4项规定。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9" w:hRule="atLeast"/>
        </w:trPr>
        <w:tc>
          <w:tcPr>
            <w:tcW w:w="958" w:type="dxa"/>
            <w:vAlign w:val="center"/>
          </w:tcPr>
          <w:p>
            <w:pPr>
              <w:spacing w:line="300" w:lineRule="exact"/>
              <w:ind w:firstLine="0"/>
              <w:jc w:val="center"/>
              <w:rPr>
                <w:rFonts w:hAnsi="宋体"/>
                <w:b/>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2.</w:t>
            </w:r>
            <w:r>
              <w:rPr>
                <w:rFonts w:hint="eastAsia" w:hAnsi="宋体"/>
                <w:color w:val="000000" w:themeColor="text1"/>
                <w:szCs w:val="21"/>
                <w14:textFill>
                  <w14:solidFill>
                    <w14:schemeClr w14:val="tx1"/>
                  </w14:solidFill>
                </w14:textFill>
              </w:rPr>
              <w:t>1.</w:t>
            </w:r>
            <w:r>
              <w:rPr>
                <w:rFonts w:hAnsi="宋体"/>
                <w:color w:val="000000" w:themeColor="text1"/>
                <w:szCs w:val="21"/>
                <w14:textFill>
                  <w14:solidFill>
                    <w14:schemeClr w14:val="tx1"/>
                  </w14:solidFill>
                </w14:textFill>
              </w:rPr>
              <w:t>2</w:t>
            </w:r>
          </w:p>
        </w:tc>
        <w:tc>
          <w:tcPr>
            <w:tcW w:w="1278" w:type="dxa"/>
            <w:gridSpan w:val="2"/>
            <w:vAlign w:val="center"/>
          </w:tcPr>
          <w:p>
            <w:pPr>
              <w:spacing w:line="300" w:lineRule="exact"/>
              <w:ind w:firstLine="0"/>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资格审查标准</w:t>
            </w:r>
          </w:p>
        </w:tc>
        <w:tc>
          <w:tcPr>
            <w:tcW w:w="6977" w:type="dxa"/>
            <w:gridSpan w:val="4"/>
          </w:tcPr>
          <w:p>
            <w:pPr>
              <w:spacing w:line="300" w:lineRule="exact"/>
              <w:ind w:left="141" w:leftChars="67" w:firstLine="312"/>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（1）投标人具有有效的营业执照、基本帐户开户许可证</w:t>
            </w:r>
            <w:r>
              <w:rPr>
                <w:rFonts w:hint="eastAsia" w:cs="Arial" w:asciiTheme="minorEastAsia" w:hAnsiTheme="minorEastAsia" w:eastAsiaTheme="minorEastAsia"/>
                <w:b/>
                <w:color w:val="000000" w:themeColor="text1"/>
                <w:szCs w:val="21"/>
                <w14:textFill>
                  <w14:solidFill>
                    <w14:schemeClr w14:val="tx1"/>
                  </w14:solidFill>
                </w14:textFill>
              </w:rPr>
              <w:t>（符合《关于试点取消企业银行账户开户许可证核发的通知》（银发〔</w:t>
            </w:r>
            <w:r>
              <w:rPr>
                <w:rFonts w:cs="Arial" w:asciiTheme="minorEastAsia" w:hAnsiTheme="minorEastAsia" w:eastAsiaTheme="minorEastAsia"/>
                <w:b/>
                <w:color w:val="000000" w:themeColor="text1"/>
                <w:szCs w:val="21"/>
                <w14:textFill>
                  <w14:solidFill>
                    <w14:schemeClr w14:val="tx1"/>
                  </w14:solidFill>
                </w14:textFill>
              </w:rPr>
              <w:t xml:space="preserve">2018〕125 </w:t>
            </w:r>
            <w:r>
              <w:rPr>
                <w:rFonts w:hint="eastAsia" w:cs="Arial" w:asciiTheme="minorEastAsia" w:hAnsiTheme="minorEastAsia" w:eastAsiaTheme="minorEastAsia"/>
                <w:b/>
                <w:color w:val="000000" w:themeColor="text1"/>
                <w:szCs w:val="21"/>
                <w14:textFill>
                  <w14:solidFill>
                    <w14:schemeClr w14:val="tx1"/>
                  </w14:solidFill>
                </w14:textFill>
              </w:rPr>
              <w:t>号）文件规定的试点地区的投标人，无须附基本账户《开户许可证》，但应附载有投标人名称、基本账户开户银行和银行账号信息的相关证明材料）</w:t>
            </w:r>
            <w:r>
              <w:rPr>
                <w:rFonts w:hint="eastAsia" w:hAnsi="宋体"/>
                <w:b/>
                <w:color w:val="000000" w:themeColor="text1"/>
                <w:szCs w:val="21"/>
                <w14:textFill>
                  <w14:solidFill>
                    <w14:schemeClr w14:val="tx1"/>
                  </w14:solidFill>
                </w14:textFill>
              </w:rPr>
              <w:t>；</w:t>
            </w:r>
          </w:p>
          <w:p>
            <w:pPr>
              <w:spacing w:line="300" w:lineRule="exact"/>
              <w:ind w:left="141" w:leftChars="67" w:firstLine="312"/>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（2）投标人的资质等级符合招标文件的规定；</w:t>
            </w:r>
          </w:p>
          <w:p>
            <w:pPr>
              <w:spacing w:line="300" w:lineRule="exact"/>
              <w:ind w:left="141" w:leftChars="67" w:firstLine="312"/>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（3）投标人的信誉符合招标文件的规定；</w:t>
            </w:r>
          </w:p>
          <w:p>
            <w:pPr>
              <w:spacing w:line="300" w:lineRule="exact"/>
              <w:ind w:left="141" w:leftChars="67" w:firstLine="312"/>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（4）投标人的总监理工程师资格、在岗情况符合招标文件规定；</w:t>
            </w:r>
          </w:p>
          <w:p>
            <w:pPr>
              <w:spacing w:line="300" w:lineRule="exact"/>
              <w:ind w:left="141" w:leftChars="67" w:firstLine="312"/>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（5）投标人的其他要求符合招标文件规定。</w:t>
            </w:r>
          </w:p>
          <w:p>
            <w:pPr>
              <w:widowControl/>
              <w:adjustRightInd/>
              <w:spacing w:line="300" w:lineRule="exact"/>
              <w:ind w:left="141" w:leftChars="67" w:firstLine="312"/>
              <w:textAlignment w:val="auto"/>
              <w:rPr>
                <w:rFonts w:hAnsi="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w:t>
            </w:r>
            <w:r>
              <w:rPr>
                <w:rFonts w:hint="eastAsia" w:hAnsi="宋体"/>
                <w:b/>
                <w:color w:val="000000" w:themeColor="text1"/>
                <w:szCs w:val="21"/>
                <w14:textFill>
                  <w14:solidFill>
                    <w14:schemeClr w14:val="tx1"/>
                  </w14:solidFill>
                </w14:textFill>
              </w:rPr>
              <w:t>6）投标人不存在第二章“投标人须知”第1.4.3项和第1.4.4项规定的任何一种情形。</w:t>
            </w:r>
          </w:p>
          <w:p>
            <w:pPr>
              <w:spacing w:line="300" w:lineRule="exact"/>
              <w:ind w:left="141" w:leftChars="67" w:firstLine="312"/>
              <w:jc w:val="left"/>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（7）投标人符合第一章：“投标人须知”第1.4.5项规定。</w:t>
            </w:r>
          </w:p>
          <w:p>
            <w:pPr>
              <w:widowControl/>
              <w:adjustRightInd/>
              <w:spacing w:line="300" w:lineRule="exact"/>
              <w:ind w:left="141" w:leftChars="67" w:firstLine="312"/>
              <w:textAlignment w:val="auto"/>
              <w:rPr>
                <w:rFonts w:hAnsi="宋体" w:cs="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（8）</w:t>
            </w:r>
            <w:r>
              <w:rPr>
                <w:rFonts w:hint="eastAsia" w:ascii="宋体" w:cs="宋体"/>
                <w:b/>
                <w:color w:val="000000" w:themeColor="text1"/>
                <w:spacing w:val="-2"/>
                <w:szCs w:val="21"/>
                <w14:textFill>
                  <w14:solidFill>
                    <w14:schemeClr w14:val="tx1"/>
                  </w14:solidFill>
                </w14:textFill>
              </w:rPr>
              <w:t>以联合体形式参与投标的，联合体各方均不能再以自己名义单</w:t>
            </w:r>
            <w:r>
              <w:rPr>
                <w:rFonts w:hint="eastAsia" w:ascii="宋体" w:cs="宋体"/>
                <w:b/>
                <w:color w:val="000000" w:themeColor="text1"/>
                <w:szCs w:val="21"/>
                <w14:textFill>
                  <w14:solidFill>
                    <w14:schemeClr w14:val="tx1"/>
                  </w14:solidFill>
                </w14:textFill>
              </w:rPr>
              <w:t>独或</w:t>
            </w:r>
            <w:r>
              <w:rPr>
                <w:rFonts w:hint="eastAsia" w:ascii="宋体" w:cs="宋体"/>
                <w:b/>
                <w:color w:val="000000" w:themeColor="text1"/>
                <w:spacing w:val="-3"/>
                <w:szCs w:val="21"/>
                <w14:textFill>
                  <w14:solidFill>
                    <w14:schemeClr w14:val="tx1"/>
                  </w14:solidFill>
                </w14:textFill>
              </w:rPr>
              <w:t>参</w:t>
            </w:r>
            <w:r>
              <w:rPr>
                <w:rFonts w:hint="eastAsia" w:ascii="宋体" w:cs="宋体"/>
                <w:b/>
                <w:color w:val="000000" w:themeColor="text1"/>
                <w:szCs w:val="21"/>
                <w14:textFill>
                  <w14:solidFill>
                    <w14:schemeClr w14:val="tx1"/>
                  </w14:solidFill>
                </w14:textFill>
              </w:rPr>
              <w:t>加</w:t>
            </w:r>
            <w:r>
              <w:rPr>
                <w:rFonts w:hint="eastAsia" w:ascii="宋体" w:cs="宋体"/>
                <w:b/>
                <w:color w:val="000000" w:themeColor="text1"/>
                <w:spacing w:val="-3"/>
                <w:szCs w:val="21"/>
                <w14:textFill>
                  <w14:solidFill>
                    <w14:schemeClr w14:val="tx1"/>
                  </w14:solidFill>
                </w14:textFill>
              </w:rPr>
              <w:t>其</w:t>
            </w:r>
            <w:r>
              <w:rPr>
                <w:rFonts w:hint="eastAsia" w:ascii="宋体" w:cs="宋体"/>
                <w:b/>
                <w:color w:val="000000" w:themeColor="text1"/>
                <w:szCs w:val="21"/>
                <w14:textFill>
                  <w14:solidFill>
                    <w14:schemeClr w14:val="tx1"/>
                  </w14:solidFill>
                </w14:textFill>
              </w:rPr>
              <w:t>他</w:t>
            </w:r>
            <w:r>
              <w:rPr>
                <w:rFonts w:hint="eastAsia" w:ascii="宋体" w:cs="宋体"/>
                <w:b/>
                <w:color w:val="000000" w:themeColor="text1"/>
                <w:spacing w:val="-3"/>
                <w:szCs w:val="21"/>
                <w14:textFill>
                  <w14:solidFill>
                    <w14:schemeClr w14:val="tx1"/>
                  </w14:solidFill>
                </w14:textFill>
              </w:rPr>
              <w:t>联</w:t>
            </w:r>
            <w:r>
              <w:rPr>
                <w:rFonts w:hint="eastAsia" w:ascii="宋体" w:cs="宋体"/>
                <w:b/>
                <w:color w:val="000000" w:themeColor="text1"/>
                <w:szCs w:val="21"/>
                <w14:textFill>
                  <w14:solidFill>
                    <w14:schemeClr w14:val="tx1"/>
                  </w14:solidFill>
                </w14:textFill>
              </w:rPr>
              <w:t>合</w:t>
            </w:r>
            <w:r>
              <w:rPr>
                <w:rFonts w:hint="eastAsia" w:ascii="宋体" w:cs="宋体"/>
                <w:b/>
                <w:color w:val="000000" w:themeColor="text1"/>
                <w:spacing w:val="-3"/>
                <w:szCs w:val="21"/>
                <w14:textFill>
                  <w14:solidFill>
                    <w14:schemeClr w14:val="tx1"/>
                  </w14:solidFill>
                </w14:textFill>
              </w:rPr>
              <w:t>体</w:t>
            </w:r>
            <w:r>
              <w:rPr>
                <w:rFonts w:hint="eastAsia" w:ascii="宋体" w:cs="宋体"/>
                <w:b/>
                <w:color w:val="000000" w:themeColor="text1"/>
                <w:szCs w:val="21"/>
                <w14:textFill>
                  <w14:solidFill>
                    <w14:schemeClr w14:val="tx1"/>
                  </w14:solidFill>
                </w14:textFill>
              </w:rPr>
              <w:t>在</w:t>
            </w:r>
            <w:r>
              <w:rPr>
                <w:rFonts w:hint="eastAsia" w:ascii="宋体" w:cs="宋体"/>
                <w:b/>
                <w:color w:val="000000" w:themeColor="text1"/>
                <w:spacing w:val="-3"/>
                <w:szCs w:val="21"/>
                <w14:textFill>
                  <w14:solidFill>
                    <w14:schemeClr w14:val="tx1"/>
                  </w14:solidFill>
                </w14:textFill>
              </w:rPr>
              <w:t>同</w:t>
            </w:r>
            <w:r>
              <w:rPr>
                <w:rFonts w:hint="eastAsia" w:ascii="宋体" w:cs="宋体"/>
                <w:b/>
                <w:color w:val="000000" w:themeColor="text1"/>
                <w:szCs w:val="21"/>
                <w14:textFill>
                  <w14:solidFill>
                    <w14:schemeClr w14:val="tx1"/>
                  </w14:solidFill>
                </w14:textFill>
              </w:rPr>
              <w:t>一标</w:t>
            </w:r>
            <w:r>
              <w:rPr>
                <w:rFonts w:hint="eastAsia" w:ascii="宋体" w:cs="宋体"/>
                <w:b/>
                <w:color w:val="000000" w:themeColor="text1"/>
                <w:spacing w:val="-3"/>
                <w:szCs w:val="21"/>
                <w14:textFill>
                  <w14:solidFill>
                    <w14:schemeClr w14:val="tx1"/>
                  </w14:solidFill>
                </w14:textFill>
              </w:rPr>
              <w:t>段</w:t>
            </w:r>
            <w:r>
              <w:rPr>
                <w:rFonts w:hint="eastAsia" w:ascii="宋体" w:cs="宋体"/>
                <w:b/>
                <w:color w:val="000000" w:themeColor="text1"/>
                <w:szCs w:val="21"/>
                <w14:textFill>
                  <w14:solidFill>
                    <w14:schemeClr w14:val="tx1"/>
                  </w14:solidFill>
                </w14:textFill>
              </w:rPr>
              <w:t>中</w:t>
            </w:r>
            <w:r>
              <w:rPr>
                <w:rFonts w:hint="eastAsia" w:ascii="宋体" w:cs="宋体"/>
                <w:b/>
                <w:color w:val="000000" w:themeColor="text1"/>
                <w:spacing w:val="-3"/>
                <w:szCs w:val="21"/>
                <w14:textFill>
                  <w14:solidFill>
                    <w14:schemeClr w14:val="tx1"/>
                  </w14:solidFill>
                </w14:textFill>
              </w:rPr>
              <w:t>投</w:t>
            </w:r>
            <w:r>
              <w:rPr>
                <w:rFonts w:hint="eastAsia" w:ascii="宋体" w:cs="宋体"/>
                <w:b/>
                <w:color w:val="000000" w:themeColor="text1"/>
                <w:szCs w:val="21"/>
                <w14:textFill>
                  <w14:solidFill>
                    <w14:schemeClr w14:val="tx1"/>
                  </w14:solidFill>
                </w14:textFill>
              </w:rPr>
              <w:t>标</w:t>
            </w:r>
            <w:r>
              <w:rPr>
                <w:rFonts w:hint="eastAsia" w:ascii="宋体" w:cs="宋体"/>
                <w:b/>
                <w:color w:val="000000" w:themeColor="text1"/>
                <w:spacing w:val="-56"/>
                <w:szCs w:val="21"/>
                <w14:textFill>
                  <w14:solidFill>
                    <w14:schemeClr w14:val="tx1"/>
                  </w14:solidFill>
                </w14:textFill>
              </w:rPr>
              <w:t>；</w:t>
            </w:r>
            <w:r>
              <w:rPr>
                <w:rFonts w:hint="eastAsia" w:ascii="宋体" w:cs="宋体"/>
                <w:b/>
                <w:color w:val="000000" w:themeColor="text1"/>
                <w:szCs w:val="21"/>
                <w14:textFill>
                  <w14:solidFill>
                    <w14:schemeClr w14:val="tx1"/>
                  </w14:solidFill>
                </w14:textFill>
              </w:rPr>
              <w:t>独</w:t>
            </w:r>
            <w:r>
              <w:rPr>
                <w:rFonts w:hint="eastAsia" w:ascii="宋体" w:cs="宋体"/>
                <w:b/>
                <w:color w:val="000000" w:themeColor="text1"/>
                <w:spacing w:val="-3"/>
                <w:szCs w:val="21"/>
                <w14:textFill>
                  <w14:solidFill>
                    <w14:schemeClr w14:val="tx1"/>
                  </w14:solidFill>
                </w14:textFill>
              </w:rPr>
              <w:t>立</w:t>
            </w:r>
            <w:r>
              <w:rPr>
                <w:rFonts w:hint="eastAsia" w:ascii="宋体" w:cs="宋体"/>
                <w:b/>
                <w:color w:val="000000" w:themeColor="text1"/>
                <w:szCs w:val="21"/>
                <w14:textFill>
                  <w14:solidFill>
                    <w14:schemeClr w14:val="tx1"/>
                  </w14:solidFill>
                </w14:textFill>
              </w:rPr>
              <w:t>参</w:t>
            </w:r>
            <w:r>
              <w:rPr>
                <w:rFonts w:hint="eastAsia" w:ascii="宋体" w:cs="宋体"/>
                <w:b/>
                <w:color w:val="000000" w:themeColor="text1"/>
                <w:spacing w:val="-3"/>
                <w:szCs w:val="21"/>
                <w14:textFill>
                  <w14:solidFill>
                    <w14:schemeClr w14:val="tx1"/>
                  </w14:solidFill>
                </w14:textFill>
              </w:rPr>
              <w:t>与</w:t>
            </w:r>
            <w:r>
              <w:rPr>
                <w:rFonts w:hint="eastAsia" w:ascii="宋体" w:cs="宋体"/>
                <w:b/>
                <w:color w:val="000000" w:themeColor="text1"/>
                <w:szCs w:val="21"/>
                <w14:textFill>
                  <w14:solidFill>
                    <w14:schemeClr w14:val="tx1"/>
                  </w14:solidFill>
                </w14:textFill>
              </w:rPr>
              <w:t>投标</w:t>
            </w:r>
            <w:r>
              <w:rPr>
                <w:rFonts w:hint="eastAsia" w:ascii="宋体" w:cs="宋体"/>
                <w:b/>
                <w:color w:val="000000" w:themeColor="text1"/>
                <w:spacing w:val="-3"/>
                <w:szCs w:val="21"/>
                <w14:textFill>
                  <w14:solidFill>
                    <w14:schemeClr w14:val="tx1"/>
                  </w14:solidFill>
                </w14:textFill>
              </w:rPr>
              <w:t>的</w:t>
            </w:r>
            <w:r>
              <w:rPr>
                <w:rFonts w:hint="eastAsia" w:ascii="宋体" w:cs="宋体"/>
                <w:b/>
                <w:color w:val="000000" w:themeColor="text1"/>
                <w:spacing w:val="-53"/>
                <w:szCs w:val="21"/>
                <w14:textFill>
                  <w14:solidFill>
                    <w14:schemeClr w14:val="tx1"/>
                  </w14:solidFill>
                </w14:textFill>
              </w:rPr>
              <w:t>，</w:t>
            </w:r>
            <w:r>
              <w:rPr>
                <w:rFonts w:hint="eastAsia" w:ascii="宋体" w:cs="宋体"/>
                <w:b/>
                <w:color w:val="000000" w:themeColor="text1"/>
                <w:spacing w:val="-3"/>
                <w:szCs w:val="21"/>
                <w14:textFill>
                  <w14:solidFill>
                    <w14:schemeClr w14:val="tx1"/>
                  </w14:solidFill>
                </w14:textFill>
              </w:rPr>
              <w:t>投</w:t>
            </w:r>
            <w:r>
              <w:rPr>
                <w:rFonts w:hint="eastAsia" w:ascii="宋体" w:cs="宋体"/>
                <w:b/>
                <w:color w:val="000000" w:themeColor="text1"/>
                <w:szCs w:val="21"/>
                <w14:textFill>
                  <w14:solidFill>
                    <w14:schemeClr w14:val="tx1"/>
                  </w14:solidFill>
                </w14:textFill>
              </w:rPr>
              <w:t>标</w:t>
            </w:r>
            <w:r>
              <w:rPr>
                <w:rFonts w:hint="eastAsia" w:ascii="宋体" w:cs="宋体"/>
                <w:b/>
                <w:color w:val="000000" w:themeColor="text1"/>
                <w:spacing w:val="-3"/>
                <w:szCs w:val="21"/>
                <w14:textFill>
                  <w14:solidFill>
                    <w14:schemeClr w14:val="tx1"/>
                  </w14:solidFill>
                </w14:textFill>
              </w:rPr>
              <w:t>人</w:t>
            </w:r>
            <w:r>
              <w:rPr>
                <w:rFonts w:hint="eastAsia" w:ascii="宋体" w:cs="宋体"/>
                <w:b/>
                <w:color w:val="000000" w:themeColor="text1"/>
                <w:szCs w:val="21"/>
                <w14:textFill>
                  <w14:solidFill>
                    <w14:schemeClr w14:val="tx1"/>
                  </w14:solidFill>
                </w14:textFill>
              </w:rPr>
              <w:t>不能同</w:t>
            </w:r>
            <w:r>
              <w:rPr>
                <w:rFonts w:hint="eastAsia" w:ascii="宋体" w:cs="宋体"/>
                <w:b/>
                <w:color w:val="000000" w:themeColor="text1"/>
                <w:spacing w:val="-2"/>
                <w:szCs w:val="21"/>
                <w14:textFill>
                  <w14:solidFill>
                    <w14:schemeClr w14:val="tx1"/>
                  </w14:solidFill>
                </w14:textFill>
              </w:rPr>
              <w:t>时参加联合体在同一标段中投标。（本项目不适用）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trPr>
        <w:tc>
          <w:tcPr>
            <w:tcW w:w="958" w:type="dxa"/>
            <w:vAlign w:val="center"/>
          </w:tcPr>
          <w:p>
            <w:pPr>
              <w:spacing w:line="300" w:lineRule="exact"/>
              <w:ind w:firstLine="0"/>
              <w:jc w:val="cente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2.</w:t>
            </w:r>
            <w:r>
              <w:rPr>
                <w:rFonts w:hint="eastAsia" w:hAnsi="宋体"/>
                <w:color w:val="000000" w:themeColor="text1"/>
                <w:szCs w:val="21"/>
                <w14:textFill>
                  <w14:solidFill>
                    <w14:schemeClr w14:val="tx1"/>
                  </w14:solidFill>
                </w14:textFill>
              </w:rPr>
              <w:t>2.1</w:t>
            </w:r>
          </w:p>
        </w:tc>
        <w:tc>
          <w:tcPr>
            <w:tcW w:w="1278" w:type="dxa"/>
            <w:gridSpan w:val="2"/>
            <w:vAlign w:val="center"/>
          </w:tcPr>
          <w:p>
            <w:pPr>
              <w:spacing w:line="300" w:lineRule="exact"/>
              <w:ind w:firstLine="0"/>
              <w:jc w:val="center"/>
              <w:rPr>
                <w:rFonts w:hAnsi="宋体"/>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分值构成（总分100分）</w:t>
            </w:r>
          </w:p>
        </w:tc>
        <w:tc>
          <w:tcPr>
            <w:tcW w:w="6977" w:type="dxa"/>
            <w:gridSpan w:val="4"/>
            <w:vAlign w:val="center"/>
          </w:tcPr>
          <w:p>
            <w:pPr>
              <w:spacing w:line="300" w:lineRule="exact"/>
              <w:ind w:firstLine="0"/>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第一个信封（商务及技术文件）评分分值构成：</w:t>
            </w:r>
            <w:r>
              <w:rPr>
                <w:rFonts w:hAnsi="宋体"/>
                <w:b/>
                <w:color w:val="000000" w:themeColor="text1"/>
                <w:szCs w:val="21"/>
                <w14:textFill>
                  <w14:solidFill>
                    <w14:schemeClr w14:val="tx1"/>
                  </w14:solidFill>
                </w14:textFill>
              </w:rPr>
              <w:t xml:space="preserve"> </w:t>
            </w:r>
          </w:p>
          <w:p>
            <w:pPr>
              <w:spacing w:line="300" w:lineRule="exact"/>
              <w:ind w:left="141" w:leftChars="67" w:firstLine="312"/>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技术建议书：</w:t>
            </w:r>
            <w:r>
              <w:rPr>
                <w:rFonts w:hint="eastAsia" w:hAnsi="宋体"/>
                <w:color w:val="000000" w:themeColor="text1"/>
                <w:szCs w:val="21"/>
                <w:u w:val="single"/>
                <w14:textFill>
                  <w14:solidFill>
                    <w14:schemeClr w14:val="tx1"/>
                  </w14:solidFill>
                </w14:textFill>
              </w:rPr>
              <w:t xml:space="preserve">35 </w:t>
            </w:r>
            <w:r>
              <w:rPr>
                <w:rFonts w:hint="eastAsia" w:hAnsi="宋体"/>
                <w:color w:val="000000" w:themeColor="text1"/>
                <w:szCs w:val="21"/>
                <w14:textFill>
                  <w14:solidFill>
                    <w14:schemeClr w14:val="tx1"/>
                  </w14:solidFill>
                </w14:textFill>
              </w:rPr>
              <w:t>分</w:t>
            </w:r>
          </w:p>
          <w:p>
            <w:pPr>
              <w:spacing w:line="300" w:lineRule="exact"/>
              <w:ind w:left="141" w:leftChars="67" w:firstLine="312"/>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主要人员：</w:t>
            </w:r>
            <w:r>
              <w:rPr>
                <w:rFonts w:hint="eastAsia" w:hAnsi="宋体"/>
                <w:color w:val="000000" w:themeColor="text1"/>
                <w:szCs w:val="21"/>
                <w:u w:val="single"/>
                <w14:textFill>
                  <w14:solidFill>
                    <w14:schemeClr w14:val="tx1"/>
                  </w14:solidFill>
                </w14:textFill>
              </w:rPr>
              <w:t xml:space="preserve">28 </w:t>
            </w:r>
            <w:r>
              <w:rPr>
                <w:rFonts w:hint="eastAsia" w:hAnsi="宋体"/>
                <w:color w:val="000000" w:themeColor="text1"/>
                <w:szCs w:val="21"/>
                <w14:textFill>
                  <w14:solidFill>
                    <w14:schemeClr w14:val="tx1"/>
                  </w14:solidFill>
                </w14:textFill>
              </w:rPr>
              <w:t xml:space="preserve"> 分</w:t>
            </w:r>
          </w:p>
          <w:p>
            <w:pPr>
              <w:spacing w:line="300" w:lineRule="exact"/>
              <w:ind w:left="141" w:leftChars="67" w:firstLine="312"/>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业    绩：</w:t>
            </w:r>
            <w:r>
              <w:rPr>
                <w:rFonts w:hint="eastAsia" w:hAnsi="宋体"/>
                <w:color w:val="000000" w:themeColor="text1"/>
                <w:szCs w:val="21"/>
                <w:u w:val="single"/>
                <w14:textFill>
                  <w14:solidFill>
                    <w14:schemeClr w14:val="tx1"/>
                  </w14:solidFill>
                </w14:textFill>
              </w:rPr>
              <w:t xml:space="preserve"> 24 </w:t>
            </w:r>
            <w:r>
              <w:rPr>
                <w:rFonts w:hint="eastAsia" w:hAnsi="宋体"/>
                <w:color w:val="000000" w:themeColor="text1"/>
                <w:szCs w:val="21"/>
                <w14:textFill>
                  <w14:solidFill>
                    <w14:schemeClr w14:val="tx1"/>
                  </w14:solidFill>
                </w14:textFill>
              </w:rPr>
              <w:t xml:space="preserve"> 分</w:t>
            </w:r>
          </w:p>
          <w:p>
            <w:pPr>
              <w:spacing w:line="300" w:lineRule="exact"/>
              <w:ind w:left="141" w:leftChars="67" w:firstLine="312"/>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信用等级：</w:t>
            </w:r>
            <w:r>
              <w:rPr>
                <w:rFonts w:hint="eastAsia" w:hAnsi="宋体"/>
                <w:color w:val="000000" w:themeColor="text1"/>
                <w:szCs w:val="21"/>
                <w:u w:val="single"/>
                <w14:textFill>
                  <w14:solidFill>
                    <w14:schemeClr w14:val="tx1"/>
                  </w14:solidFill>
                </w14:textFill>
              </w:rPr>
              <w:t xml:space="preserve"> 3 </w:t>
            </w:r>
            <w:r>
              <w:rPr>
                <w:rFonts w:hint="eastAsia" w:hAnsi="宋体"/>
                <w:color w:val="000000" w:themeColor="text1"/>
                <w:szCs w:val="21"/>
                <w14:textFill>
                  <w14:solidFill>
                    <w14:schemeClr w14:val="tx1"/>
                  </w14:solidFill>
                </w14:textFill>
              </w:rPr>
              <w:t>分</w:t>
            </w:r>
          </w:p>
          <w:p>
            <w:pPr>
              <w:spacing w:line="300" w:lineRule="exact"/>
              <w:ind w:firstLine="0"/>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第二个信封（报价文件</w:t>
            </w:r>
            <w:r>
              <w:rPr>
                <w:rFonts w:hAnsi="宋体"/>
                <w:b/>
                <w:color w:val="000000" w:themeColor="text1"/>
                <w:szCs w:val="21"/>
                <w14:textFill>
                  <w14:solidFill>
                    <w14:schemeClr w14:val="tx1"/>
                  </w14:solidFill>
                </w14:textFill>
              </w:rPr>
              <w:t>）</w:t>
            </w:r>
            <w:r>
              <w:rPr>
                <w:rFonts w:hint="eastAsia" w:hAnsi="宋体"/>
                <w:b/>
                <w:color w:val="000000" w:themeColor="text1"/>
                <w:szCs w:val="21"/>
                <w14:textFill>
                  <w14:solidFill>
                    <w14:schemeClr w14:val="tx1"/>
                  </w14:solidFill>
                </w14:textFill>
              </w:rPr>
              <w:t>评分标准构成：</w:t>
            </w:r>
          </w:p>
          <w:p>
            <w:pPr>
              <w:spacing w:line="300" w:lineRule="exact"/>
              <w:ind w:left="141" w:leftChars="67" w:firstLine="312"/>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评标价：</w:t>
            </w:r>
            <w:r>
              <w:rPr>
                <w:rFonts w:hint="eastAsia" w:hAnsi="宋体"/>
                <w:color w:val="000000" w:themeColor="text1"/>
                <w:szCs w:val="21"/>
                <w:u w:val="single"/>
                <w14:textFill>
                  <w14:solidFill>
                    <w14:schemeClr w14:val="tx1"/>
                  </w14:solidFill>
                </w14:textFill>
              </w:rPr>
              <w:t>10</w:t>
            </w:r>
            <w:r>
              <w:rPr>
                <w:rFonts w:hint="eastAsia" w:hAnsi="宋体"/>
                <w:color w:val="000000" w:themeColor="text1"/>
                <w:szCs w:val="21"/>
                <w14:textFill>
                  <w14:solidFill>
                    <w14:schemeClr w14:val="tx1"/>
                  </w14:solidFill>
                </w14:textFill>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9" w:hRule="atLeast"/>
        </w:trPr>
        <w:tc>
          <w:tcPr>
            <w:tcW w:w="958" w:type="dxa"/>
            <w:vAlign w:val="center"/>
          </w:tcPr>
          <w:p>
            <w:pPr>
              <w:spacing w:line="300" w:lineRule="exact"/>
              <w:ind w:firstLine="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2.2.2</w:t>
            </w:r>
          </w:p>
        </w:tc>
        <w:tc>
          <w:tcPr>
            <w:tcW w:w="1278" w:type="dxa"/>
            <w:gridSpan w:val="2"/>
            <w:vAlign w:val="center"/>
          </w:tcPr>
          <w:p>
            <w:pPr>
              <w:spacing w:line="300" w:lineRule="exact"/>
              <w:ind w:firstLine="0"/>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评标基准价计算方法</w:t>
            </w:r>
          </w:p>
        </w:tc>
        <w:tc>
          <w:tcPr>
            <w:tcW w:w="6977" w:type="dxa"/>
            <w:gridSpan w:val="4"/>
            <w:vAlign w:val="center"/>
          </w:tcPr>
          <w:p>
            <w:pPr>
              <w:spacing w:line="300" w:lineRule="exact"/>
              <w:ind w:left="141" w:leftChars="67" w:firstLine="312"/>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评标基准价的</w:t>
            </w:r>
            <w:r>
              <w:rPr>
                <w:rFonts w:hint="eastAsia" w:hAnsi="宋体"/>
                <w:color w:val="000000" w:themeColor="text1"/>
                <w:szCs w:val="21"/>
                <w14:textFill>
                  <w14:solidFill>
                    <w14:schemeClr w14:val="tx1"/>
                  </w14:solidFill>
                </w14:textFill>
              </w:rPr>
              <w:t>计算</w:t>
            </w:r>
            <w:r>
              <w:rPr>
                <w:rFonts w:hAnsi="宋体"/>
                <w:color w:val="000000" w:themeColor="text1"/>
                <w:szCs w:val="21"/>
                <w14:textFill>
                  <w14:solidFill>
                    <w14:schemeClr w14:val="tx1"/>
                  </w14:solidFill>
                </w14:textFill>
              </w:rPr>
              <w:t>：</w:t>
            </w:r>
          </w:p>
          <w:p>
            <w:pPr>
              <w:spacing w:line="300" w:lineRule="exact"/>
              <w:ind w:left="141" w:leftChars="67"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（1）评标价的确定：</w:t>
            </w:r>
          </w:p>
          <w:p>
            <w:pPr>
              <w:spacing w:line="300" w:lineRule="exact"/>
              <w:ind w:left="141" w:leftChars="67"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评标价=投标函报价（下浮率）</w:t>
            </w:r>
          </w:p>
          <w:p>
            <w:pPr>
              <w:spacing w:line="300" w:lineRule="exact"/>
              <w:ind w:left="141" w:leftChars="67"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（2）评标价平均值的计算：</w:t>
            </w:r>
          </w:p>
          <w:p>
            <w:pPr>
              <w:spacing w:line="300" w:lineRule="exact"/>
              <w:ind w:left="141" w:leftChars="67"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除</w:t>
            </w:r>
            <w:r>
              <w:rPr>
                <w:rFonts w:hAnsi="宋体"/>
                <w:color w:val="000000" w:themeColor="text1"/>
                <w:szCs w:val="21"/>
                <w14:textFill>
                  <w14:solidFill>
                    <w14:schemeClr w14:val="tx1"/>
                  </w14:solidFill>
                </w14:textFill>
              </w:rPr>
              <w:t>按</w:t>
            </w:r>
            <w:r>
              <w:rPr>
                <w:rFonts w:hint="eastAsia" w:hAnsi="宋体"/>
                <w:color w:val="000000" w:themeColor="text1"/>
                <w:szCs w:val="21"/>
                <w14:textFill>
                  <w14:solidFill>
                    <w14:schemeClr w14:val="tx1"/>
                  </w14:solidFill>
                </w14:textFill>
              </w:rPr>
              <w:t>第二章“投标人须知”</w:t>
            </w:r>
            <w:r>
              <w:rPr>
                <w:rFonts w:hint="eastAsia" w:hAnsi="宋体"/>
                <w:b/>
                <w:color w:val="000000" w:themeColor="text1"/>
                <w:szCs w:val="21"/>
                <w14:textFill>
                  <w14:solidFill>
                    <w14:schemeClr w14:val="tx1"/>
                  </w14:solidFill>
                </w14:textFill>
              </w:rPr>
              <w:t>第5.2.4项</w:t>
            </w:r>
            <w:r>
              <w:rPr>
                <w:rFonts w:hint="eastAsia" w:hAnsi="宋体"/>
                <w:color w:val="000000" w:themeColor="text1"/>
                <w:szCs w:val="21"/>
                <w14:textFill>
                  <w14:solidFill>
                    <w14:schemeClr w14:val="tx1"/>
                  </w14:solidFill>
                </w14:textFill>
              </w:rPr>
              <w:t>规定开标现场被宣布为不进入评标基准价计算的投标报价之外，所有通过第一个信封初步评审与资格审查的投标人的评标价去掉一个最高值和一个最低值后的算术平均值即为评标价平均值（如果参与评标价平均值计算的有效投标人少于5家时，则计算评标价平均值时不去掉最高值和最低值）。</w:t>
            </w:r>
          </w:p>
          <w:p>
            <w:pPr>
              <w:spacing w:line="300" w:lineRule="exact"/>
              <w:ind w:left="141" w:leftChars="67"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（2）评标基准价的确定：</w:t>
            </w:r>
          </w:p>
          <w:p>
            <w:pPr>
              <w:spacing w:line="300" w:lineRule="exact"/>
              <w:ind w:left="141" w:leftChars="67"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将评标价平均值直接作为评标基准价。</w:t>
            </w:r>
          </w:p>
          <w:p>
            <w:pPr>
              <w:spacing w:line="300" w:lineRule="exact"/>
              <w:ind w:left="141" w:leftChars="67" w:firstLine="315" w:firstLineChars="15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注：</w:t>
            </w:r>
            <w:r>
              <w:rPr>
                <w:rFonts w:hAnsi="宋体"/>
                <w:color w:val="000000" w:themeColor="text1"/>
                <w:szCs w:val="21"/>
                <w14:textFill>
                  <w14:solidFill>
                    <w14:schemeClr w14:val="tx1"/>
                  </w14:solidFill>
                </w14:textFill>
              </w:rPr>
              <w:t>招标人</w:t>
            </w:r>
            <w:r>
              <w:rPr>
                <w:rFonts w:hint="eastAsia" w:hAnsi="宋体"/>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招标代理</w:t>
            </w:r>
            <w:r>
              <w:rPr>
                <w:rFonts w:hint="eastAsia" w:hAnsi="宋体"/>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将在第二</w:t>
            </w:r>
            <w:r>
              <w:rPr>
                <w:rFonts w:hint="eastAsia" w:hAnsi="宋体"/>
                <w:color w:val="000000" w:themeColor="text1"/>
                <w:szCs w:val="21"/>
                <w14:textFill>
                  <w14:solidFill>
                    <w14:schemeClr w14:val="tx1"/>
                  </w14:solidFill>
                </w14:textFill>
              </w:rPr>
              <w:t>个</w:t>
            </w:r>
            <w:r>
              <w:rPr>
                <w:rFonts w:hAnsi="宋体"/>
                <w:color w:val="000000" w:themeColor="text1"/>
                <w:szCs w:val="21"/>
                <w14:textFill>
                  <w14:solidFill>
                    <w14:schemeClr w14:val="tx1"/>
                  </w14:solidFill>
                </w14:textFill>
              </w:rPr>
              <w:t>信封开标现场</w:t>
            </w:r>
            <w:r>
              <w:rPr>
                <w:rFonts w:hint="eastAsia" w:hAnsi="宋体"/>
                <w:color w:val="000000" w:themeColor="text1"/>
                <w:szCs w:val="21"/>
                <w14:textFill>
                  <w14:solidFill>
                    <w14:schemeClr w14:val="tx1"/>
                  </w14:solidFill>
                </w14:textFill>
              </w:rPr>
              <w:t>（经参加第</w:t>
            </w:r>
            <w:r>
              <w:rPr>
                <w:rFonts w:hAnsi="宋体"/>
                <w:color w:val="000000" w:themeColor="text1"/>
                <w:szCs w:val="21"/>
                <w14:textFill>
                  <w14:solidFill>
                    <w14:schemeClr w14:val="tx1"/>
                  </w14:solidFill>
                </w14:textFill>
              </w:rPr>
              <w:t>一</w:t>
            </w:r>
            <w:r>
              <w:rPr>
                <w:rFonts w:hint="eastAsia" w:hAnsi="宋体"/>
                <w:color w:val="000000" w:themeColor="text1"/>
                <w:szCs w:val="21"/>
                <w14:textFill>
                  <w14:solidFill>
                    <w14:schemeClr w14:val="tx1"/>
                  </w14:solidFill>
                </w14:textFill>
              </w:rPr>
              <w:t>信封</w:t>
            </w:r>
            <w:r>
              <w:rPr>
                <w:rFonts w:hAnsi="宋体"/>
                <w:color w:val="000000" w:themeColor="text1"/>
                <w:szCs w:val="21"/>
                <w14:textFill>
                  <w14:solidFill>
                    <w14:schemeClr w14:val="tx1"/>
                  </w14:solidFill>
                </w14:textFill>
              </w:rPr>
              <w:t>开标</w:t>
            </w:r>
            <w:r>
              <w:rPr>
                <w:rFonts w:hint="eastAsia" w:hAnsi="宋体"/>
                <w:color w:val="000000" w:themeColor="text1"/>
                <w:szCs w:val="21"/>
                <w14:textFill>
                  <w14:solidFill>
                    <w14:schemeClr w14:val="tx1"/>
                  </w14:solidFill>
                </w14:textFill>
              </w:rPr>
              <w:t>会</w:t>
            </w:r>
            <w:r>
              <w:rPr>
                <w:rFonts w:hAnsi="宋体"/>
                <w:color w:val="000000" w:themeColor="text1"/>
                <w:szCs w:val="21"/>
                <w14:textFill>
                  <w14:solidFill>
                    <w14:schemeClr w14:val="tx1"/>
                  </w14:solidFill>
                </w14:textFill>
              </w:rPr>
              <w:t>全体投标人</w:t>
            </w:r>
            <w:r>
              <w:rPr>
                <w:rFonts w:hint="eastAsia" w:hAnsi="宋体"/>
                <w:color w:val="000000" w:themeColor="text1"/>
                <w:szCs w:val="21"/>
                <w14:textFill>
                  <w14:solidFill>
                    <w14:schemeClr w14:val="tx1"/>
                  </w14:solidFill>
                </w14:textFill>
              </w:rPr>
              <w:t>代表签</w:t>
            </w:r>
            <w:r>
              <w:rPr>
                <w:rFonts w:hAnsi="宋体"/>
                <w:color w:val="000000" w:themeColor="text1"/>
                <w:szCs w:val="21"/>
                <w14:textFill>
                  <w14:solidFill>
                    <w14:schemeClr w14:val="tx1"/>
                  </w14:solidFill>
                </w14:textFill>
              </w:rPr>
              <w:t>字</w:t>
            </w:r>
            <w:r>
              <w:rPr>
                <w:rFonts w:hint="eastAsia" w:hAnsi="宋体"/>
                <w:color w:val="000000" w:themeColor="text1"/>
                <w:szCs w:val="21"/>
                <w14:textFill>
                  <w14:solidFill>
                    <w14:schemeClr w14:val="tx1"/>
                  </w14:solidFill>
                </w14:textFill>
              </w:rPr>
              <w:t>同意第二个信封（报价文件）由</w:t>
            </w:r>
            <w:r>
              <w:rPr>
                <w:rFonts w:hAnsi="宋体"/>
                <w:color w:val="000000" w:themeColor="text1"/>
                <w:szCs w:val="21"/>
                <w14:textFill>
                  <w14:solidFill>
                    <w14:schemeClr w14:val="tx1"/>
                  </w14:solidFill>
                </w14:textFill>
              </w:rPr>
              <w:t>评标委员会</w:t>
            </w:r>
            <w:r>
              <w:rPr>
                <w:rFonts w:hint="eastAsia" w:hAnsi="宋体"/>
                <w:color w:val="000000" w:themeColor="text1"/>
                <w:szCs w:val="21"/>
                <w14:textFill>
                  <w14:solidFill>
                    <w14:schemeClr w14:val="tx1"/>
                  </w14:solidFill>
                </w14:textFill>
              </w:rPr>
              <w:t>在</w:t>
            </w:r>
            <w:r>
              <w:rPr>
                <w:rFonts w:hAnsi="宋体"/>
                <w:color w:val="000000" w:themeColor="text1"/>
                <w:szCs w:val="21"/>
                <w14:textFill>
                  <w14:solidFill>
                    <w14:schemeClr w14:val="tx1"/>
                  </w14:solidFill>
                </w14:textFill>
              </w:rPr>
              <w:t>评标现场开启</w:t>
            </w:r>
            <w:r>
              <w:rPr>
                <w:rFonts w:hint="eastAsia" w:hAnsi="宋体"/>
                <w:color w:val="000000" w:themeColor="text1"/>
                <w:szCs w:val="21"/>
                <w14:textFill>
                  <w14:solidFill>
                    <w14:schemeClr w14:val="tx1"/>
                  </w14:solidFill>
                </w14:textFill>
              </w:rPr>
              <w:t>），宣读所有通过第一信封初步评审与资格审查的投标人第二个信封报价，并</w:t>
            </w:r>
            <w:r>
              <w:rPr>
                <w:rFonts w:hAnsi="宋体"/>
                <w:color w:val="000000" w:themeColor="text1"/>
                <w:szCs w:val="21"/>
                <w14:textFill>
                  <w14:solidFill>
                    <w14:schemeClr w14:val="tx1"/>
                  </w14:solidFill>
                </w14:textFill>
              </w:rPr>
              <w:t>公布</w:t>
            </w: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第一</w:t>
            </w:r>
            <w:r>
              <w:rPr>
                <w:rFonts w:hint="eastAsia" w:hAnsi="宋体"/>
                <w:color w:val="000000" w:themeColor="text1"/>
                <w:szCs w:val="21"/>
                <w14:textFill>
                  <w14:solidFill>
                    <w14:schemeClr w14:val="tx1"/>
                  </w14:solidFill>
                </w14:textFill>
              </w:rPr>
              <w:t>个</w:t>
            </w:r>
            <w:r>
              <w:rPr>
                <w:rFonts w:hAnsi="宋体"/>
                <w:color w:val="000000" w:themeColor="text1"/>
                <w:szCs w:val="21"/>
                <w14:textFill>
                  <w14:solidFill>
                    <w14:schemeClr w14:val="tx1"/>
                  </w14:solidFill>
                </w14:textFill>
              </w:rPr>
              <w:t>信封（商务及技术文件）评审的投标人</w:t>
            </w:r>
            <w:r>
              <w:rPr>
                <w:rFonts w:hint="eastAsia" w:hAnsi="宋体"/>
                <w:color w:val="000000" w:themeColor="text1"/>
                <w:szCs w:val="21"/>
                <w14:textFill>
                  <w14:solidFill>
                    <w14:schemeClr w14:val="tx1"/>
                  </w14:solidFill>
                </w14:textFill>
              </w:rPr>
              <w:t>的投标报价，作为评标基准价的计算依据。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958" w:type="dxa"/>
            <w:vAlign w:val="center"/>
          </w:tcPr>
          <w:p>
            <w:pPr>
              <w:spacing w:line="300" w:lineRule="exact"/>
              <w:ind w:firstLine="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2.2.3</w:t>
            </w:r>
          </w:p>
        </w:tc>
        <w:tc>
          <w:tcPr>
            <w:tcW w:w="1278" w:type="dxa"/>
            <w:gridSpan w:val="2"/>
            <w:vAlign w:val="center"/>
          </w:tcPr>
          <w:p>
            <w:pPr>
              <w:spacing w:line="300" w:lineRule="exact"/>
              <w:ind w:firstLine="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评标价的偏差率计算公式</w:t>
            </w:r>
          </w:p>
        </w:tc>
        <w:tc>
          <w:tcPr>
            <w:tcW w:w="6977" w:type="dxa"/>
            <w:gridSpan w:val="4"/>
            <w:vAlign w:val="center"/>
          </w:tcPr>
          <w:p>
            <w:pPr>
              <w:spacing w:line="300" w:lineRule="exact"/>
              <w:ind w:left="141" w:leftChars="67" w:firstLine="312"/>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偏差率=100%×｜（投标人评标价-评标基准价）︱/ 评标基准价</w:t>
            </w:r>
          </w:p>
          <w:p>
            <w:pPr>
              <w:spacing w:line="300" w:lineRule="exact"/>
              <w:ind w:left="141" w:leftChars="67" w:firstLine="312"/>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偏差率保留两位小数。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967" w:type="dxa"/>
            <w:gridSpan w:val="6"/>
            <w:vAlign w:val="center"/>
          </w:tcPr>
          <w:p>
            <w:pPr>
              <w:spacing w:line="300" w:lineRule="exact"/>
              <w:ind w:left="141" w:leftChars="67" w:firstLine="312"/>
              <w:jc w:val="center"/>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评分因素与权重分值</w:t>
            </w:r>
          </w:p>
        </w:tc>
        <w:tc>
          <w:tcPr>
            <w:tcW w:w="3246" w:type="dxa"/>
            <w:vAlign w:val="center"/>
          </w:tcPr>
          <w:p>
            <w:pPr>
              <w:spacing w:line="300" w:lineRule="exact"/>
              <w:ind w:left="141" w:leftChars="67" w:firstLine="312"/>
              <w:jc w:val="center"/>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958" w:type="dxa"/>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条款号</w:t>
            </w:r>
          </w:p>
        </w:tc>
        <w:tc>
          <w:tcPr>
            <w:tcW w:w="1278" w:type="dxa"/>
            <w:gridSpan w:val="2"/>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评分因素</w:t>
            </w:r>
          </w:p>
        </w:tc>
        <w:tc>
          <w:tcPr>
            <w:tcW w:w="991" w:type="dxa"/>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评分因素权重分值</w:t>
            </w:r>
          </w:p>
        </w:tc>
        <w:tc>
          <w:tcPr>
            <w:tcW w:w="2052" w:type="dxa"/>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各评分因素细分项</w:t>
            </w:r>
          </w:p>
        </w:tc>
        <w:tc>
          <w:tcPr>
            <w:tcW w:w="688" w:type="dxa"/>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分值</w:t>
            </w:r>
          </w:p>
        </w:tc>
        <w:tc>
          <w:tcPr>
            <w:tcW w:w="3246" w:type="dxa"/>
            <w:vAlign w:val="center"/>
          </w:tcPr>
          <w:p>
            <w:pPr>
              <w:spacing w:line="300" w:lineRule="exact"/>
              <w:ind w:left="141" w:leftChars="67" w:firstLine="312"/>
              <w:rPr>
                <w:rFonts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58" w:type="dxa"/>
            <w:vMerge w:val="restart"/>
            <w:vAlign w:val="center"/>
          </w:tcPr>
          <w:p>
            <w:pPr>
              <w:pStyle w:val="9"/>
              <w:spacing w:line="30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2.2.4（1）</w:t>
            </w:r>
          </w:p>
        </w:tc>
        <w:tc>
          <w:tcPr>
            <w:tcW w:w="1278" w:type="dxa"/>
            <w:gridSpan w:val="2"/>
            <w:vMerge w:val="restart"/>
            <w:vAlign w:val="center"/>
          </w:tcPr>
          <w:p>
            <w:pPr>
              <w:pStyle w:val="9"/>
              <w:spacing w:line="30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技术建议书</w:t>
            </w:r>
          </w:p>
        </w:tc>
        <w:tc>
          <w:tcPr>
            <w:tcW w:w="991" w:type="dxa"/>
            <w:vMerge w:val="restart"/>
            <w:vAlign w:val="center"/>
          </w:tcPr>
          <w:p>
            <w:pPr>
              <w:spacing w:line="300" w:lineRule="exact"/>
              <w:ind w:left="141" w:leftChars="67" w:firstLine="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35分</w:t>
            </w:r>
          </w:p>
        </w:tc>
        <w:tc>
          <w:tcPr>
            <w:tcW w:w="2052" w:type="dxa"/>
            <w:vAlign w:val="center"/>
          </w:tcPr>
          <w:p>
            <w:pPr>
              <w:pStyle w:val="9"/>
              <w:spacing w:line="30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监理工作范围</w:t>
            </w:r>
          </w:p>
        </w:tc>
        <w:tc>
          <w:tcPr>
            <w:tcW w:w="688" w:type="dxa"/>
            <w:vAlign w:val="center"/>
          </w:tcPr>
          <w:p>
            <w:pPr>
              <w:pStyle w:val="9"/>
              <w:spacing w:line="30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5分</w:t>
            </w:r>
          </w:p>
        </w:tc>
        <w:tc>
          <w:tcPr>
            <w:tcW w:w="3246" w:type="dxa"/>
            <w:vMerge w:val="restart"/>
            <w:vAlign w:val="center"/>
          </w:tcPr>
          <w:p>
            <w:pPr>
              <w:pStyle w:val="9"/>
              <w:spacing w:line="300" w:lineRule="exact"/>
              <w:jc w:val="lef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均按4个等级评定：“很好”计90%～100%，“较好”计80～90%，“一般”计70%～80%，“较差但可行”计60%～70%，评标委员会成员对各项因素的评分一般不得低于招标文件规定该因素满分值的60%，低于满分值60%的，评标委员会成员应当在评标报告中作出说明。评标委员会对此将作为细微偏差对投标人技术建议书予以适当扣分。</w:t>
            </w:r>
          </w:p>
          <w:p>
            <w:pPr>
              <w:pStyle w:val="9"/>
              <w:spacing w:line="300" w:lineRule="exact"/>
              <w:jc w:val="lef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项目由评标委员会按照上述规定，独立评分并签名，各项目以专家打分的平均值确定（当评标委员会成员为5人时该平均值以各成员打分的算术平均值确定；当评标委员会成员为7人及以上时，该平均值以去掉一个最高分和一个最低分后的平均值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958" w:type="dxa"/>
            <w:vMerge w:val="continue"/>
            <w:vAlign w:val="center"/>
          </w:tcPr>
          <w:p>
            <w:pPr>
              <w:spacing w:line="300" w:lineRule="exact"/>
              <w:ind w:left="141" w:leftChars="67" w:firstLine="312"/>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278" w:type="dxa"/>
            <w:gridSpan w:val="2"/>
            <w:vMerge w:val="continue"/>
            <w:vAlign w:val="center"/>
          </w:tcPr>
          <w:p>
            <w:pPr>
              <w:spacing w:line="300" w:lineRule="exact"/>
              <w:ind w:left="141" w:leftChars="67" w:firstLine="312"/>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991" w:type="dxa"/>
            <w:vMerge w:val="continue"/>
            <w:vAlign w:val="center"/>
          </w:tcPr>
          <w:p>
            <w:pPr>
              <w:spacing w:line="300" w:lineRule="exact"/>
              <w:ind w:left="141" w:leftChars="67" w:firstLine="312"/>
              <w:rPr>
                <w:rFonts w:asciiTheme="minorEastAsia" w:hAnsiTheme="minorEastAsia" w:eastAsiaTheme="minorEastAsia" w:cstheme="minorEastAsia"/>
                <w:color w:val="000000" w:themeColor="text1"/>
                <w:szCs w:val="21"/>
                <w14:textFill>
                  <w14:solidFill>
                    <w14:schemeClr w14:val="tx1"/>
                  </w14:solidFill>
                </w14:textFill>
              </w:rPr>
            </w:pPr>
          </w:p>
        </w:tc>
        <w:tc>
          <w:tcPr>
            <w:tcW w:w="2052" w:type="dxa"/>
            <w:vAlign w:val="center"/>
          </w:tcPr>
          <w:p>
            <w:pPr>
              <w:pStyle w:val="9"/>
              <w:spacing w:line="30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现场监理机构设置与人员安排</w:t>
            </w:r>
          </w:p>
        </w:tc>
        <w:tc>
          <w:tcPr>
            <w:tcW w:w="688" w:type="dxa"/>
            <w:vAlign w:val="center"/>
          </w:tcPr>
          <w:p>
            <w:pPr>
              <w:pStyle w:val="9"/>
              <w:spacing w:line="30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6分</w:t>
            </w:r>
          </w:p>
        </w:tc>
        <w:tc>
          <w:tcPr>
            <w:tcW w:w="3246" w:type="dxa"/>
            <w:vMerge w:val="continue"/>
            <w:vAlign w:val="center"/>
          </w:tcPr>
          <w:p>
            <w:pPr>
              <w:spacing w:line="300" w:lineRule="exact"/>
              <w:ind w:left="141" w:leftChars="67" w:firstLine="312"/>
              <w:jc w:val="left"/>
              <w:rPr>
                <w:rFonts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958" w:type="dxa"/>
            <w:vMerge w:val="continue"/>
            <w:vAlign w:val="center"/>
          </w:tcPr>
          <w:p>
            <w:pPr>
              <w:spacing w:line="300" w:lineRule="exact"/>
              <w:ind w:left="141" w:leftChars="67" w:firstLine="312"/>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278" w:type="dxa"/>
            <w:gridSpan w:val="2"/>
            <w:vMerge w:val="continue"/>
            <w:vAlign w:val="center"/>
          </w:tcPr>
          <w:p>
            <w:pPr>
              <w:spacing w:line="300" w:lineRule="exact"/>
              <w:ind w:left="141" w:leftChars="67" w:firstLine="312"/>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991" w:type="dxa"/>
            <w:vMerge w:val="continue"/>
            <w:vAlign w:val="center"/>
          </w:tcPr>
          <w:p>
            <w:pPr>
              <w:spacing w:line="300" w:lineRule="exact"/>
              <w:ind w:left="141" w:leftChars="67" w:firstLine="312"/>
              <w:rPr>
                <w:rFonts w:asciiTheme="minorEastAsia" w:hAnsiTheme="minorEastAsia" w:eastAsiaTheme="minorEastAsia" w:cstheme="minorEastAsia"/>
                <w:color w:val="000000" w:themeColor="text1"/>
                <w:szCs w:val="21"/>
                <w14:textFill>
                  <w14:solidFill>
                    <w14:schemeClr w14:val="tx1"/>
                  </w14:solidFill>
                </w14:textFill>
              </w:rPr>
            </w:pPr>
          </w:p>
        </w:tc>
        <w:tc>
          <w:tcPr>
            <w:tcW w:w="2052" w:type="dxa"/>
            <w:vAlign w:val="center"/>
          </w:tcPr>
          <w:p>
            <w:pPr>
              <w:pStyle w:val="9"/>
              <w:spacing w:line="30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监理仪器、设备和设施的配备</w:t>
            </w:r>
          </w:p>
        </w:tc>
        <w:tc>
          <w:tcPr>
            <w:tcW w:w="688" w:type="dxa"/>
            <w:vAlign w:val="center"/>
          </w:tcPr>
          <w:p>
            <w:pPr>
              <w:pStyle w:val="9"/>
              <w:spacing w:line="30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4分</w:t>
            </w:r>
          </w:p>
        </w:tc>
        <w:tc>
          <w:tcPr>
            <w:tcW w:w="3246" w:type="dxa"/>
            <w:vMerge w:val="continue"/>
            <w:vAlign w:val="center"/>
          </w:tcPr>
          <w:p>
            <w:pPr>
              <w:spacing w:line="300" w:lineRule="exact"/>
              <w:ind w:left="141" w:leftChars="67" w:firstLine="312"/>
              <w:jc w:val="left"/>
              <w:rPr>
                <w:rFonts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58" w:type="dxa"/>
            <w:vMerge w:val="continue"/>
            <w:vAlign w:val="center"/>
          </w:tcPr>
          <w:p>
            <w:pPr>
              <w:spacing w:line="300" w:lineRule="exact"/>
              <w:ind w:left="141" w:leftChars="67" w:firstLine="312"/>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278" w:type="dxa"/>
            <w:gridSpan w:val="2"/>
            <w:vMerge w:val="continue"/>
            <w:vAlign w:val="center"/>
          </w:tcPr>
          <w:p>
            <w:pPr>
              <w:spacing w:line="300" w:lineRule="exact"/>
              <w:ind w:left="141" w:leftChars="67" w:firstLine="312"/>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991" w:type="dxa"/>
            <w:vMerge w:val="continue"/>
            <w:vAlign w:val="center"/>
          </w:tcPr>
          <w:p>
            <w:pPr>
              <w:spacing w:line="300" w:lineRule="exact"/>
              <w:ind w:left="141" w:leftChars="67" w:firstLine="312"/>
              <w:rPr>
                <w:rFonts w:asciiTheme="minorEastAsia" w:hAnsiTheme="minorEastAsia" w:eastAsiaTheme="minorEastAsia" w:cstheme="minorEastAsia"/>
                <w:color w:val="000000" w:themeColor="text1"/>
                <w:szCs w:val="21"/>
                <w14:textFill>
                  <w14:solidFill>
                    <w14:schemeClr w14:val="tx1"/>
                  </w14:solidFill>
                </w14:textFill>
              </w:rPr>
            </w:pPr>
          </w:p>
        </w:tc>
        <w:tc>
          <w:tcPr>
            <w:tcW w:w="2052" w:type="dxa"/>
            <w:vAlign w:val="center"/>
          </w:tcPr>
          <w:p>
            <w:pPr>
              <w:pStyle w:val="9"/>
              <w:spacing w:line="30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监理工作程序</w:t>
            </w:r>
          </w:p>
        </w:tc>
        <w:tc>
          <w:tcPr>
            <w:tcW w:w="688" w:type="dxa"/>
            <w:vAlign w:val="center"/>
          </w:tcPr>
          <w:p>
            <w:pPr>
              <w:pStyle w:val="9"/>
              <w:spacing w:line="30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6分</w:t>
            </w:r>
          </w:p>
        </w:tc>
        <w:tc>
          <w:tcPr>
            <w:tcW w:w="3246" w:type="dxa"/>
            <w:vMerge w:val="continue"/>
            <w:vAlign w:val="center"/>
          </w:tcPr>
          <w:p>
            <w:pPr>
              <w:spacing w:line="300" w:lineRule="exact"/>
              <w:ind w:left="141" w:leftChars="67" w:firstLine="312"/>
              <w:jc w:val="left"/>
              <w:rPr>
                <w:rFonts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958" w:type="dxa"/>
            <w:vMerge w:val="continue"/>
            <w:vAlign w:val="center"/>
          </w:tcPr>
          <w:p>
            <w:pPr>
              <w:spacing w:line="300" w:lineRule="exact"/>
              <w:ind w:left="141" w:leftChars="67" w:firstLine="312"/>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278" w:type="dxa"/>
            <w:gridSpan w:val="2"/>
            <w:vMerge w:val="continue"/>
            <w:vAlign w:val="center"/>
          </w:tcPr>
          <w:p>
            <w:pPr>
              <w:spacing w:line="300" w:lineRule="exact"/>
              <w:ind w:left="141" w:leftChars="67" w:firstLine="312"/>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991" w:type="dxa"/>
            <w:vMerge w:val="continue"/>
            <w:vAlign w:val="center"/>
          </w:tcPr>
          <w:p>
            <w:pPr>
              <w:spacing w:line="300" w:lineRule="exact"/>
              <w:ind w:left="141" w:leftChars="67" w:firstLine="312"/>
              <w:rPr>
                <w:rFonts w:asciiTheme="minorEastAsia" w:hAnsiTheme="minorEastAsia" w:eastAsiaTheme="minorEastAsia" w:cstheme="minorEastAsia"/>
                <w:color w:val="000000" w:themeColor="text1"/>
                <w:szCs w:val="21"/>
                <w14:textFill>
                  <w14:solidFill>
                    <w14:schemeClr w14:val="tx1"/>
                  </w14:solidFill>
                </w14:textFill>
              </w:rPr>
            </w:pPr>
          </w:p>
        </w:tc>
        <w:tc>
          <w:tcPr>
            <w:tcW w:w="2052" w:type="dxa"/>
            <w:vAlign w:val="center"/>
          </w:tcPr>
          <w:p>
            <w:pPr>
              <w:pStyle w:val="9"/>
              <w:spacing w:line="30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监理大纲（或监理方案）和措施</w:t>
            </w:r>
          </w:p>
        </w:tc>
        <w:tc>
          <w:tcPr>
            <w:tcW w:w="688" w:type="dxa"/>
            <w:vAlign w:val="center"/>
          </w:tcPr>
          <w:p>
            <w:pPr>
              <w:pStyle w:val="9"/>
              <w:spacing w:line="30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6分</w:t>
            </w:r>
          </w:p>
        </w:tc>
        <w:tc>
          <w:tcPr>
            <w:tcW w:w="3246" w:type="dxa"/>
            <w:vMerge w:val="continue"/>
            <w:vAlign w:val="center"/>
          </w:tcPr>
          <w:p>
            <w:pPr>
              <w:spacing w:line="300" w:lineRule="exact"/>
              <w:ind w:left="141" w:leftChars="67" w:firstLine="312"/>
              <w:jc w:val="left"/>
              <w:rPr>
                <w:rFonts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958" w:type="dxa"/>
            <w:vMerge w:val="continue"/>
            <w:vAlign w:val="center"/>
          </w:tcPr>
          <w:p>
            <w:pPr>
              <w:spacing w:line="300" w:lineRule="exact"/>
              <w:ind w:left="141" w:leftChars="67" w:firstLine="312"/>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278" w:type="dxa"/>
            <w:gridSpan w:val="2"/>
            <w:vMerge w:val="continue"/>
            <w:vAlign w:val="center"/>
          </w:tcPr>
          <w:p>
            <w:pPr>
              <w:spacing w:line="300" w:lineRule="exact"/>
              <w:ind w:left="141" w:leftChars="67" w:firstLine="312"/>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991" w:type="dxa"/>
            <w:vMerge w:val="continue"/>
            <w:vAlign w:val="center"/>
          </w:tcPr>
          <w:p>
            <w:pPr>
              <w:spacing w:line="300" w:lineRule="exact"/>
              <w:ind w:left="141" w:leftChars="67" w:firstLine="312"/>
              <w:rPr>
                <w:rFonts w:asciiTheme="minorEastAsia" w:hAnsiTheme="minorEastAsia" w:eastAsiaTheme="minorEastAsia" w:cstheme="minorEastAsia"/>
                <w:color w:val="000000" w:themeColor="text1"/>
                <w:szCs w:val="21"/>
                <w14:textFill>
                  <w14:solidFill>
                    <w14:schemeClr w14:val="tx1"/>
                  </w14:solidFill>
                </w14:textFill>
              </w:rPr>
            </w:pPr>
          </w:p>
        </w:tc>
        <w:tc>
          <w:tcPr>
            <w:tcW w:w="2052" w:type="dxa"/>
            <w:vAlign w:val="center"/>
          </w:tcPr>
          <w:p>
            <w:pPr>
              <w:pStyle w:val="9"/>
              <w:spacing w:line="30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本工程监理工作的重点与难点分析</w:t>
            </w:r>
          </w:p>
        </w:tc>
        <w:tc>
          <w:tcPr>
            <w:tcW w:w="688" w:type="dxa"/>
            <w:vAlign w:val="center"/>
          </w:tcPr>
          <w:p>
            <w:pPr>
              <w:pStyle w:val="9"/>
              <w:spacing w:line="30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5分</w:t>
            </w:r>
          </w:p>
        </w:tc>
        <w:tc>
          <w:tcPr>
            <w:tcW w:w="3246" w:type="dxa"/>
            <w:vMerge w:val="continue"/>
            <w:vAlign w:val="center"/>
          </w:tcPr>
          <w:p>
            <w:pPr>
              <w:spacing w:line="300" w:lineRule="exact"/>
              <w:ind w:left="141" w:leftChars="67" w:firstLine="312"/>
              <w:jc w:val="left"/>
              <w:rPr>
                <w:rFonts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958" w:type="dxa"/>
            <w:vMerge w:val="continue"/>
            <w:vAlign w:val="center"/>
          </w:tcPr>
          <w:p>
            <w:pPr>
              <w:spacing w:line="300" w:lineRule="exact"/>
              <w:ind w:left="141" w:leftChars="67" w:firstLine="312"/>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278" w:type="dxa"/>
            <w:gridSpan w:val="2"/>
            <w:vMerge w:val="continue"/>
            <w:vAlign w:val="center"/>
          </w:tcPr>
          <w:p>
            <w:pPr>
              <w:spacing w:line="300" w:lineRule="exact"/>
              <w:ind w:left="141" w:leftChars="67" w:firstLine="312"/>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991" w:type="dxa"/>
            <w:vMerge w:val="continue"/>
            <w:vAlign w:val="center"/>
          </w:tcPr>
          <w:p>
            <w:pPr>
              <w:spacing w:line="300" w:lineRule="exact"/>
              <w:ind w:left="141" w:leftChars="67" w:firstLine="312"/>
              <w:rPr>
                <w:rFonts w:asciiTheme="minorEastAsia" w:hAnsiTheme="minorEastAsia" w:eastAsiaTheme="minorEastAsia" w:cstheme="minorEastAsia"/>
                <w:color w:val="000000" w:themeColor="text1"/>
                <w:szCs w:val="21"/>
                <w14:textFill>
                  <w14:solidFill>
                    <w14:schemeClr w14:val="tx1"/>
                  </w14:solidFill>
                </w14:textFill>
              </w:rPr>
            </w:pPr>
          </w:p>
        </w:tc>
        <w:tc>
          <w:tcPr>
            <w:tcW w:w="2052" w:type="dxa"/>
            <w:vAlign w:val="center"/>
          </w:tcPr>
          <w:p>
            <w:pPr>
              <w:pStyle w:val="9"/>
              <w:spacing w:line="30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对专项工程的建议</w:t>
            </w:r>
          </w:p>
        </w:tc>
        <w:tc>
          <w:tcPr>
            <w:tcW w:w="688" w:type="dxa"/>
            <w:vAlign w:val="center"/>
          </w:tcPr>
          <w:p>
            <w:pPr>
              <w:pStyle w:val="9"/>
              <w:spacing w:line="30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3分</w:t>
            </w:r>
          </w:p>
        </w:tc>
        <w:tc>
          <w:tcPr>
            <w:tcW w:w="3246" w:type="dxa"/>
            <w:vMerge w:val="continue"/>
            <w:vAlign w:val="center"/>
          </w:tcPr>
          <w:p>
            <w:pPr>
              <w:spacing w:line="300" w:lineRule="exact"/>
              <w:ind w:left="141" w:leftChars="67" w:firstLine="312"/>
              <w:jc w:val="left"/>
              <w:rPr>
                <w:rFonts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958" w:type="dxa"/>
            <w:vMerge w:val="restart"/>
            <w:vAlign w:val="center"/>
          </w:tcPr>
          <w:p>
            <w:pPr>
              <w:pStyle w:val="9"/>
              <w:spacing w:line="30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2.2.4（2）</w:t>
            </w:r>
          </w:p>
        </w:tc>
        <w:tc>
          <w:tcPr>
            <w:tcW w:w="1278" w:type="dxa"/>
            <w:gridSpan w:val="2"/>
            <w:vMerge w:val="restart"/>
            <w:vAlign w:val="center"/>
          </w:tcPr>
          <w:p>
            <w:pPr>
              <w:pStyle w:val="9"/>
              <w:spacing w:line="30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主要人员</w:t>
            </w:r>
          </w:p>
        </w:tc>
        <w:tc>
          <w:tcPr>
            <w:tcW w:w="991" w:type="dxa"/>
            <w:vMerge w:val="restart"/>
            <w:vAlign w:val="center"/>
          </w:tcPr>
          <w:p>
            <w:pPr>
              <w:pStyle w:val="9"/>
              <w:spacing w:line="30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28分</w:t>
            </w:r>
          </w:p>
        </w:tc>
        <w:tc>
          <w:tcPr>
            <w:tcW w:w="2052" w:type="dxa"/>
            <w:vAlign w:val="center"/>
          </w:tcPr>
          <w:p>
            <w:pPr>
              <w:pStyle w:val="9"/>
              <w:spacing w:line="30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总监理工程师任职资格</w:t>
            </w:r>
          </w:p>
        </w:tc>
        <w:tc>
          <w:tcPr>
            <w:tcW w:w="688" w:type="dxa"/>
            <w:vAlign w:val="center"/>
          </w:tcPr>
          <w:p>
            <w:pPr>
              <w:pStyle w:val="9"/>
              <w:spacing w:line="30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w:t>
            </w:r>
            <w:r>
              <w:rPr>
                <w:rFonts w:asciiTheme="minorEastAsia" w:hAnsiTheme="minorEastAsia" w:eastAsiaTheme="minorEastAsia" w:cstheme="minorEastAsia"/>
                <w:color w:val="000000" w:themeColor="text1"/>
                <w14:textFill>
                  <w14:solidFill>
                    <w14:schemeClr w14:val="tx1"/>
                  </w14:solidFill>
                </w14:textFill>
              </w:rPr>
              <w:t>6</w:t>
            </w:r>
            <w:r>
              <w:rPr>
                <w:rFonts w:hint="eastAsia" w:asciiTheme="minorEastAsia" w:hAnsiTheme="minorEastAsia" w:eastAsiaTheme="minorEastAsia" w:cstheme="minorEastAsia"/>
                <w:color w:val="000000" w:themeColor="text1"/>
                <w14:textFill>
                  <w14:solidFill>
                    <w14:schemeClr w14:val="tx1"/>
                  </w14:solidFill>
                </w14:textFill>
              </w:rPr>
              <w:t>分</w:t>
            </w:r>
          </w:p>
        </w:tc>
        <w:tc>
          <w:tcPr>
            <w:tcW w:w="3246" w:type="dxa"/>
            <w:vAlign w:val="center"/>
          </w:tcPr>
          <w:p>
            <w:pPr>
              <w:pStyle w:val="9"/>
              <w:spacing w:line="300" w:lineRule="exact"/>
              <w:jc w:val="lef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总监理工程师资格要求满足招标文件最低要求的得1</w:t>
            </w:r>
            <w:r>
              <w:rPr>
                <w:rFonts w:asciiTheme="minorEastAsia" w:hAnsiTheme="minorEastAsia" w:eastAsiaTheme="minorEastAsia" w:cstheme="minorEastAsia"/>
                <w:color w:val="000000" w:themeColor="text1"/>
                <w14:textFill>
                  <w14:solidFill>
                    <w14:schemeClr w14:val="tx1"/>
                  </w14:solidFill>
                </w14:textFill>
              </w:rPr>
              <w:t>6</w:t>
            </w:r>
            <w:r>
              <w:rPr>
                <w:rFonts w:hint="eastAsia" w:asciiTheme="minorEastAsia" w:hAnsiTheme="minorEastAsia" w:eastAsiaTheme="minorEastAsia" w:cstheme="minorEastAsia"/>
                <w:color w:val="000000" w:themeColor="text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958" w:type="dxa"/>
            <w:vMerge w:val="continue"/>
            <w:vAlign w:val="center"/>
          </w:tcPr>
          <w:p>
            <w:pPr>
              <w:spacing w:line="300" w:lineRule="exact"/>
              <w:ind w:left="141" w:leftChars="67" w:firstLine="312"/>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278" w:type="dxa"/>
            <w:gridSpan w:val="2"/>
            <w:vMerge w:val="continue"/>
            <w:vAlign w:val="center"/>
          </w:tcPr>
          <w:p>
            <w:pPr>
              <w:spacing w:line="300" w:lineRule="exact"/>
              <w:ind w:left="141" w:leftChars="67" w:firstLine="312"/>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991" w:type="dxa"/>
            <w:vMerge w:val="continue"/>
            <w:vAlign w:val="center"/>
          </w:tcPr>
          <w:p>
            <w:pPr>
              <w:spacing w:line="300" w:lineRule="exact"/>
              <w:ind w:left="141" w:leftChars="67" w:firstLine="312"/>
              <w:rPr>
                <w:rFonts w:asciiTheme="minorEastAsia" w:hAnsiTheme="minorEastAsia" w:eastAsiaTheme="minorEastAsia" w:cstheme="minorEastAsia"/>
                <w:color w:val="000000" w:themeColor="text1"/>
                <w:szCs w:val="21"/>
                <w14:textFill>
                  <w14:solidFill>
                    <w14:schemeClr w14:val="tx1"/>
                  </w14:solidFill>
                </w14:textFill>
              </w:rPr>
            </w:pPr>
          </w:p>
        </w:tc>
        <w:tc>
          <w:tcPr>
            <w:tcW w:w="2052" w:type="dxa"/>
            <w:vAlign w:val="center"/>
          </w:tcPr>
          <w:p>
            <w:pPr>
              <w:pStyle w:val="9"/>
              <w:spacing w:line="30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总监理工程师业绩</w:t>
            </w:r>
          </w:p>
        </w:tc>
        <w:tc>
          <w:tcPr>
            <w:tcW w:w="688" w:type="dxa"/>
            <w:vAlign w:val="center"/>
          </w:tcPr>
          <w:p>
            <w:pPr>
              <w:pStyle w:val="9"/>
              <w:spacing w:line="30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w:t>
            </w:r>
            <w:r>
              <w:rPr>
                <w:rFonts w:asciiTheme="minorEastAsia" w:hAnsiTheme="minorEastAsia" w:eastAsiaTheme="minorEastAsia" w:cstheme="minorEastAsia"/>
                <w:color w:val="000000" w:themeColor="text1"/>
                <w14:textFill>
                  <w14:solidFill>
                    <w14:schemeClr w14:val="tx1"/>
                  </w14:solidFill>
                </w14:textFill>
              </w:rPr>
              <w:t>2</w:t>
            </w:r>
            <w:r>
              <w:rPr>
                <w:rFonts w:hint="eastAsia" w:asciiTheme="minorEastAsia" w:hAnsiTheme="minorEastAsia" w:eastAsiaTheme="minorEastAsia" w:cstheme="minorEastAsia"/>
                <w:color w:val="000000" w:themeColor="text1"/>
                <w14:textFill>
                  <w14:solidFill>
                    <w14:schemeClr w14:val="tx1"/>
                  </w14:solidFill>
                </w14:textFill>
              </w:rPr>
              <w:t>分</w:t>
            </w:r>
          </w:p>
        </w:tc>
        <w:tc>
          <w:tcPr>
            <w:tcW w:w="3246" w:type="dxa"/>
            <w:vAlign w:val="center"/>
          </w:tcPr>
          <w:p>
            <w:pPr>
              <w:pStyle w:val="9"/>
              <w:spacing w:line="300" w:lineRule="exact"/>
              <w:jc w:val="lef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每增加一个担任高速公路项目或机电工程项目总监理工程师或副总监理工程师或驻地监理工程师业绩加</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14:textFill>
                  <w14:solidFill>
                    <w14:schemeClr w14:val="tx1"/>
                  </w14:solidFill>
                </w14:textFill>
              </w:rPr>
              <w:t>分，总计加分不超过</w:t>
            </w:r>
            <w:r>
              <w:rPr>
                <w:rFonts w:asciiTheme="minorEastAsia" w:hAnsiTheme="minorEastAsia" w:eastAsiaTheme="minorEastAsia" w:cstheme="minorEastAsia"/>
                <w:color w:val="000000" w:themeColor="text1"/>
                <w14:textFill>
                  <w14:solidFill>
                    <w14:schemeClr w14:val="tx1"/>
                  </w14:solidFill>
                </w14:textFill>
              </w:rPr>
              <w:t>12</w:t>
            </w:r>
            <w:r>
              <w:rPr>
                <w:rFonts w:hint="eastAsia" w:asciiTheme="minorEastAsia" w:hAnsiTheme="minorEastAsia" w:eastAsiaTheme="minorEastAsia" w:cstheme="minorEastAsia"/>
                <w:color w:val="000000" w:themeColor="text1"/>
                <w14:textFill>
                  <w14:solidFill>
                    <w14:schemeClr w14:val="tx1"/>
                  </w14:solidFill>
                </w14:textFill>
              </w:rPr>
              <w:t>分（需提供证明材料，证明材料中未体现总监理工程师或副总监理工程师或驻地监理工程师信息的，不予认可）。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5" w:hRule="atLeast"/>
        </w:trPr>
        <w:tc>
          <w:tcPr>
            <w:tcW w:w="958" w:type="dxa"/>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2.2.4（3）</w:t>
            </w:r>
          </w:p>
        </w:tc>
        <w:tc>
          <w:tcPr>
            <w:tcW w:w="1278" w:type="dxa"/>
            <w:gridSpan w:val="2"/>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评标价</w:t>
            </w:r>
          </w:p>
        </w:tc>
        <w:tc>
          <w:tcPr>
            <w:tcW w:w="991" w:type="dxa"/>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10分</w:t>
            </w:r>
          </w:p>
        </w:tc>
        <w:tc>
          <w:tcPr>
            <w:tcW w:w="5986" w:type="dxa"/>
            <w:gridSpan w:val="3"/>
            <w:vAlign w:val="center"/>
          </w:tcPr>
          <w:p>
            <w:pPr>
              <w:pStyle w:val="5"/>
              <w:spacing w:line="300" w:lineRule="exact"/>
              <w:ind w:firstLine="420"/>
              <w:rPr>
                <w:rFonts w:ascii="Times New Roman" w:eastAsia="宋体"/>
                <w:color w:val="000000" w:themeColor="text1"/>
                <w:sz w:val="21"/>
                <w:szCs w:val="22"/>
                <w14:textFill>
                  <w14:solidFill>
                    <w14:schemeClr w14:val="tx1"/>
                  </w14:solidFill>
                </w14:textFill>
              </w:rPr>
            </w:pPr>
            <w:r>
              <w:rPr>
                <w:rFonts w:hint="eastAsia" w:ascii="Times New Roman" w:eastAsia="宋体"/>
                <w:color w:val="000000" w:themeColor="text1"/>
                <w:sz w:val="21"/>
                <w:szCs w:val="22"/>
                <w14:textFill>
                  <w14:solidFill>
                    <w14:schemeClr w14:val="tx1"/>
                  </w14:solidFill>
                </w14:textFill>
              </w:rPr>
              <w:t>当投标人报价等于评标基准价时得满分。投标报价每高于评标基准价一个百分点扣0.2分；每低于最高投标限价的90%（即下浮率28%）一个百分点扣0.2分；低于评标基准价但不低于最高投标限价的90%（即下浮率28%）的投标报价每低于评标基准价一个百分点扣0.1分。中间值按比例内插，四舍五入，保留两位小数。</w:t>
            </w:r>
          </w:p>
          <w:p>
            <w:pPr>
              <w:spacing w:line="300" w:lineRule="exact"/>
              <w:ind w:left="141" w:leftChars="67" w:firstLine="312"/>
              <w:rPr>
                <w:color w:val="000000" w:themeColor="text1"/>
                <w14:textFill>
                  <w14:solidFill>
                    <w14:schemeClr w14:val="tx1"/>
                  </w14:solidFill>
                </w14:textFill>
              </w:rPr>
            </w:pPr>
            <w:r>
              <w:rPr>
                <w:rFonts w:hint="eastAsia"/>
                <w:color w:val="000000" w:themeColor="text1"/>
                <w14:textFill>
                  <w14:solidFill>
                    <w14:schemeClr w14:val="tx1"/>
                  </w14:solidFill>
                </w14:textFill>
              </w:rPr>
              <w:t>用公式表示如下：</w:t>
            </w:r>
          </w:p>
          <w:p>
            <w:pPr>
              <w:spacing w:line="300" w:lineRule="exact"/>
              <w:ind w:left="141" w:leftChars="67" w:firstLine="312"/>
              <w:rPr>
                <w:color w:val="000000" w:themeColor="text1"/>
                <w14:textFill>
                  <w14:solidFill>
                    <w14:schemeClr w14:val="tx1"/>
                  </w14:solidFill>
                </w14:textFill>
              </w:rPr>
            </w:pPr>
            <w:r>
              <w:rPr>
                <w:rFonts w:hint="eastAsia"/>
                <w:color w:val="000000" w:themeColor="text1"/>
                <w14:textFill>
                  <w14:solidFill>
                    <w14:schemeClr w14:val="tx1"/>
                  </w14:solidFill>
                </w14:textFill>
              </w:rPr>
              <w:drawing>
                <wp:anchor distT="0" distB="0" distL="0" distR="0" simplePos="0" relativeHeight="251659264" behindDoc="0" locked="0" layoutInCell="1" allowOverlap="1">
                  <wp:simplePos x="0" y="0"/>
                  <wp:positionH relativeFrom="column">
                    <wp:posOffset>859155</wp:posOffset>
                  </wp:positionH>
                  <wp:positionV relativeFrom="paragraph">
                    <wp:posOffset>79375</wp:posOffset>
                  </wp:positionV>
                  <wp:extent cx="1765300" cy="405765"/>
                  <wp:effectExtent l="0" t="0" r="0" b="13970"/>
                  <wp:wrapSquare wrapText="bothSides"/>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6" cstate="print"/>
                          <a:srcRect/>
                          <a:stretch>
                            <a:fillRect/>
                          </a:stretch>
                        </pic:blipFill>
                        <pic:spPr>
                          <a:xfrm>
                            <a:off x="0" y="0"/>
                            <a:ext cx="1765300" cy="405765"/>
                          </a:xfrm>
                          <a:prstGeom prst="rect">
                            <a:avLst/>
                          </a:prstGeom>
                          <a:ln>
                            <a:noFill/>
                          </a:ln>
                        </pic:spPr>
                      </pic:pic>
                    </a:graphicData>
                  </a:graphic>
                </wp:anchor>
              </w:drawing>
            </w:r>
          </w:p>
          <w:p>
            <w:pPr>
              <w:spacing w:line="300" w:lineRule="exact"/>
              <w:ind w:left="141" w:leftChars="67" w:firstLine="312"/>
              <w:rPr>
                <w:color w:val="000000" w:themeColor="text1"/>
                <w14:textFill>
                  <w14:solidFill>
                    <w14:schemeClr w14:val="tx1"/>
                  </w14:solidFill>
                </w14:textFill>
              </w:rPr>
            </w:pPr>
          </w:p>
          <w:p>
            <w:pPr>
              <w:spacing w:line="300" w:lineRule="exact"/>
              <w:ind w:left="141" w:leftChars="67" w:firstLine="312"/>
              <w:rPr>
                <w:color w:val="000000" w:themeColor="text1"/>
                <w14:textFill>
                  <w14:solidFill>
                    <w14:schemeClr w14:val="tx1"/>
                  </w14:solidFill>
                </w14:textFill>
              </w:rPr>
            </w:pPr>
          </w:p>
          <w:p>
            <w:pPr>
              <w:spacing w:line="300" w:lineRule="exact"/>
              <w:ind w:firstLine="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式中：F1——投标人评标价得分；</w:t>
            </w:r>
          </w:p>
          <w:p>
            <w:pPr>
              <w:spacing w:line="300" w:lineRule="exact"/>
              <w:ind w:left="141" w:leftChars="67" w:firstLine="31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F——评标价得分所占的百分比权重，F=10;</w:t>
            </w:r>
          </w:p>
          <w:p>
            <w:pPr>
              <w:spacing w:line="300" w:lineRule="exact"/>
              <w:ind w:left="141" w:leftChars="67" w:firstLine="31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D1——投标人的投标报价；</w:t>
            </w:r>
          </w:p>
          <w:p>
            <w:pPr>
              <w:spacing w:line="300" w:lineRule="exact"/>
              <w:ind w:left="141" w:leftChars="67" w:firstLine="31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D——评标基准价。 </w:t>
            </w:r>
          </w:p>
          <w:p>
            <w:pPr>
              <w:spacing w:line="300" w:lineRule="exact"/>
              <w:ind w:left="141" w:leftChars="67" w:firstLine="34"/>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若D1﹥D，则E=0.2；</w:t>
            </w:r>
          </w:p>
          <w:p>
            <w:pPr>
              <w:spacing w:line="300" w:lineRule="exact"/>
              <w:ind w:left="141" w:leftChars="67" w:firstLine="34"/>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若D1＜ D，且D1≥最高限价90%，则E=0.1。</w:t>
            </w:r>
          </w:p>
          <w:p>
            <w:pPr>
              <w:spacing w:line="340" w:lineRule="exact"/>
              <w:ind w:firstLine="176"/>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若D1＜ 最高限价90%，则E=0.2，财务得分最低为0分。</w:t>
            </w:r>
            <w:r>
              <w:rPr>
                <w:rFonts w:hint="eastAsia" w:hAnsi="宋体"/>
                <w:color w:val="000000" w:themeColor="text1"/>
                <w:spacing w:val="-6"/>
                <w:szCs w:val="21"/>
                <w14:textFill>
                  <w14:solidFill>
                    <w14:schemeClr w14:val="tx1"/>
                  </w14:solidFill>
                </w14:textFill>
              </w:rPr>
              <w:t>例：假如评标基准价为下浮率25%，某投标人评标价为下浮率24%，则该投标人的评标价高于评标基准价；某投标人评标价为下浮率26%，则该投标人的评标价低于评标基准价。</w:t>
            </w:r>
          </w:p>
          <w:p>
            <w:pPr>
              <w:pStyle w:val="2"/>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958" w:type="dxa"/>
            <w:vMerge w:val="restart"/>
            <w:vAlign w:val="center"/>
          </w:tcPr>
          <w:p>
            <w:pPr>
              <w:pStyle w:val="9"/>
              <w:spacing w:line="300" w:lineRule="exact"/>
              <w:rPr>
                <w:color w:val="000000" w:themeColor="text1"/>
                <w14:textFill>
                  <w14:solidFill>
                    <w14:schemeClr w14:val="tx1"/>
                  </w14:solidFill>
                </w14:textFill>
              </w:rPr>
            </w:pPr>
          </w:p>
          <w:p>
            <w:pPr>
              <w:pStyle w:val="9"/>
              <w:spacing w:line="300" w:lineRule="exact"/>
              <w:rPr>
                <w:color w:val="000000" w:themeColor="text1"/>
                <w14:textFill>
                  <w14:solidFill>
                    <w14:schemeClr w14:val="tx1"/>
                  </w14:solidFill>
                </w14:textFill>
              </w:rPr>
            </w:pPr>
          </w:p>
          <w:p>
            <w:pPr>
              <w:pStyle w:val="9"/>
              <w:spacing w:line="300" w:lineRule="exact"/>
              <w:rPr>
                <w:color w:val="000000" w:themeColor="text1"/>
                <w14:textFill>
                  <w14:solidFill>
                    <w14:schemeClr w14:val="tx1"/>
                  </w14:solidFill>
                </w14:textFill>
              </w:rPr>
            </w:pPr>
          </w:p>
          <w:p>
            <w:pPr>
              <w:pStyle w:val="9"/>
              <w:spacing w:line="300" w:lineRule="exact"/>
              <w:rPr>
                <w:color w:val="000000" w:themeColor="text1"/>
                <w14:textFill>
                  <w14:solidFill>
                    <w14:schemeClr w14:val="tx1"/>
                  </w14:solidFill>
                </w14:textFill>
              </w:rPr>
            </w:pPr>
          </w:p>
          <w:p>
            <w:pPr>
              <w:pStyle w:val="9"/>
              <w:spacing w:line="300" w:lineRule="exact"/>
              <w:rPr>
                <w:color w:val="000000" w:themeColor="text1"/>
                <w14:textFill>
                  <w14:solidFill>
                    <w14:schemeClr w14:val="tx1"/>
                  </w14:solidFill>
                </w14:textFill>
              </w:rPr>
            </w:pPr>
          </w:p>
          <w:p>
            <w:pPr>
              <w:pStyle w:val="9"/>
              <w:spacing w:line="300" w:lineRule="exact"/>
              <w:rPr>
                <w:color w:val="000000" w:themeColor="text1"/>
                <w14:textFill>
                  <w14:solidFill>
                    <w14:schemeClr w14:val="tx1"/>
                  </w14:solidFill>
                </w14:textFill>
              </w:rPr>
            </w:pPr>
          </w:p>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2.2.4（4）</w:t>
            </w:r>
          </w:p>
        </w:tc>
        <w:tc>
          <w:tcPr>
            <w:tcW w:w="600" w:type="dxa"/>
            <w:vMerge w:val="restart"/>
            <w:vAlign w:val="center"/>
          </w:tcPr>
          <w:p>
            <w:pPr>
              <w:pStyle w:val="9"/>
              <w:spacing w:line="300" w:lineRule="exact"/>
              <w:rPr>
                <w:color w:val="000000" w:themeColor="text1"/>
                <w14:textFill>
                  <w14:solidFill>
                    <w14:schemeClr w14:val="tx1"/>
                  </w14:solidFill>
                </w14:textFill>
              </w:rPr>
            </w:pPr>
          </w:p>
          <w:p>
            <w:pPr>
              <w:pStyle w:val="9"/>
              <w:spacing w:line="300" w:lineRule="exact"/>
              <w:rPr>
                <w:color w:val="000000" w:themeColor="text1"/>
                <w14:textFill>
                  <w14:solidFill>
                    <w14:schemeClr w14:val="tx1"/>
                  </w14:solidFill>
                </w14:textFill>
              </w:rPr>
            </w:pPr>
          </w:p>
          <w:p>
            <w:pPr>
              <w:pStyle w:val="9"/>
              <w:spacing w:line="300" w:lineRule="exact"/>
              <w:rPr>
                <w:color w:val="000000" w:themeColor="text1"/>
                <w14:textFill>
                  <w14:solidFill>
                    <w14:schemeClr w14:val="tx1"/>
                  </w14:solidFill>
                </w14:textFill>
              </w:rPr>
            </w:pPr>
          </w:p>
          <w:p>
            <w:pPr>
              <w:pStyle w:val="9"/>
              <w:spacing w:line="300" w:lineRule="exact"/>
              <w:rPr>
                <w:color w:val="000000" w:themeColor="text1"/>
                <w14:textFill>
                  <w14:solidFill>
                    <w14:schemeClr w14:val="tx1"/>
                  </w14:solidFill>
                </w14:textFill>
              </w:rPr>
            </w:pPr>
          </w:p>
          <w:p>
            <w:pPr>
              <w:pStyle w:val="9"/>
              <w:spacing w:line="300" w:lineRule="exact"/>
              <w:rPr>
                <w:color w:val="000000" w:themeColor="text1"/>
                <w14:textFill>
                  <w14:solidFill>
                    <w14:schemeClr w14:val="tx1"/>
                  </w14:solidFill>
                </w14:textFill>
              </w:rPr>
            </w:pPr>
          </w:p>
          <w:p>
            <w:pPr>
              <w:pStyle w:val="9"/>
              <w:spacing w:line="300" w:lineRule="exact"/>
              <w:rPr>
                <w:color w:val="000000" w:themeColor="text1"/>
                <w14:textFill>
                  <w14:solidFill>
                    <w14:schemeClr w14:val="tx1"/>
                  </w14:solidFill>
                </w14:textFill>
              </w:rPr>
            </w:pPr>
          </w:p>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其他因素</w:t>
            </w:r>
          </w:p>
        </w:tc>
        <w:tc>
          <w:tcPr>
            <w:tcW w:w="678" w:type="dxa"/>
            <w:vMerge w:val="restart"/>
            <w:vAlign w:val="center"/>
          </w:tcPr>
          <w:p>
            <w:pPr>
              <w:pStyle w:val="9"/>
              <w:spacing w:line="300"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业</w:t>
            </w:r>
            <w:r>
              <w:rPr>
                <w:rFonts w:hint="eastAsia"/>
                <w:color w:val="000000" w:themeColor="text1"/>
                <w14:textFill>
                  <w14:solidFill>
                    <w14:schemeClr w14:val="tx1"/>
                  </w14:solidFill>
                </w14:textFill>
              </w:rPr>
              <w:t>绩</w:t>
            </w:r>
          </w:p>
        </w:tc>
        <w:tc>
          <w:tcPr>
            <w:tcW w:w="991" w:type="dxa"/>
            <w:vMerge w:val="restart"/>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24分</w:t>
            </w:r>
          </w:p>
        </w:tc>
        <w:tc>
          <w:tcPr>
            <w:tcW w:w="5986" w:type="dxa"/>
            <w:gridSpan w:val="3"/>
            <w:vAlign w:val="center"/>
          </w:tcPr>
          <w:p>
            <w:pPr>
              <w:pBdr>
                <w:top w:val="none" w:color="auto" w:sz="0" w:space="0"/>
                <w:left w:val="none" w:color="auto" w:sz="0" w:space="0"/>
                <w:bottom w:val="none" w:color="auto" w:sz="0" w:space="0"/>
                <w:right w:val="none" w:color="auto" w:sz="0" w:space="0"/>
              </w:pBdr>
              <w:spacing w:before="0" w:beforeAutospacing="0" w:after="0" w:afterAutospacing="0" w:line="300" w:lineRule="exact"/>
              <w:ind w:left="0" w:leftChars="0" w:firstLine="0"/>
              <w:rPr>
                <w:rFonts w:ascii="宋体"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1、</w:t>
            </w:r>
            <w:r>
              <w:rPr>
                <w:rFonts w:hAnsi="宋体" w:cs="宋体"/>
                <w:color w:val="000000" w:themeColor="text1"/>
                <w:szCs w:val="21"/>
                <w14:textFill>
                  <w14:solidFill>
                    <w14:schemeClr w14:val="tx1"/>
                  </w14:solidFill>
                </w14:textFill>
              </w:rPr>
              <w:t>近五年内（20</w:t>
            </w:r>
            <w:r>
              <w:rPr>
                <w:rFonts w:hint="eastAsia" w:hAnsi="宋体" w:cs="宋体"/>
                <w:color w:val="000000" w:themeColor="text1"/>
                <w:szCs w:val="21"/>
                <w14:textFill>
                  <w14:solidFill>
                    <w14:schemeClr w14:val="tx1"/>
                  </w14:solidFill>
                </w14:textFill>
              </w:rPr>
              <w:t>16</w:t>
            </w:r>
            <w:r>
              <w:rPr>
                <w:rFonts w:hAnsi="宋体" w:cs="宋体"/>
                <w:color w:val="000000" w:themeColor="text1"/>
                <w:szCs w:val="21"/>
                <w14:textFill>
                  <w14:solidFill>
                    <w14:schemeClr w14:val="tx1"/>
                  </w14:solidFill>
                </w14:textFill>
              </w:rPr>
              <w:t>年1月1日至今，以合同项目完成时间为准）每</w:t>
            </w:r>
            <w:r>
              <w:rPr>
                <w:rFonts w:hint="eastAsia" w:hAnsi="宋体" w:cs="宋体"/>
                <w:color w:val="000000" w:themeColor="text1"/>
                <w:szCs w:val="21"/>
                <w14:textFill>
                  <w14:solidFill>
                    <w14:schemeClr w14:val="tx1"/>
                  </w14:solidFill>
                </w14:textFill>
              </w:rPr>
              <w:t>完成过1个</w:t>
            </w:r>
            <w:r>
              <w:rPr>
                <w:rFonts w:hint="eastAsia" w:cs="宋体"/>
                <w:color w:val="000000" w:themeColor="text1"/>
                <w14:textFill>
                  <w14:solidFill>
                    <w14:schemeClr w14:val="tx1"/>
                  </w14:solidFill>
                </w14:textFill>
              </w:rPr>
              <w:t>高速公路机电工程</w:t>
            </w:r>
            <w:r>
              <w:rPr>
                <w:rFonts w:hint="eastAsia" w:hAnsi="宋体" w:cs="宋体"/>
                <w:color w:val="000000" w:themeColor="text1"/>
                <w:szCs w:val="21"/>
                <w14:textFill>
                  <w14:solidFill>
                    <w14:schemeClr w14:val="tx1"/>
                  </w14:solidFill>
                </w14:textFill>
              </w:rPr>
              <w:t>监理业绩</w:t>
            </w:r>
            <w:r>
              <w:rPr>
                <w:rFonts w:hint="eastAsia" w:hAnsi="宋体"/>
                <w:color w:val="000000" w:themeColor="text1"/>
                <w:szCs w:val="21"/>
                <w14:textFill>
                  <w14:solidFill>
                    <w14:schemeClr w14:val="tx1"/>
                  </w14:solidFill>
                </w14:textFill>
              </w:rPr>
              <w:t>加4分（以签订的合同数量计），总计加分不超过24分，需提供业绩证明材料。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8" w:type="dxa"/>
            <w:vMerge w:val="continue"/>
            <w:vAlign w:val="center"/>
          </w:tcPr>
          <w:p>
            <w:pPr>
              <w:pStyle w:val="9"/>
              <w:spacing w:line="300" w:lineRule="exact"/>
              <w:rPr>
                <w:color w:val="000000" w:themeColor="text1"/>
                <w14:textFill>
                  <w14:solidFill>
                    <w14:schemeClr w14:val="tx1"/>
                  </w14:solidFill>
                </w14:textFill>
              </w:rPr>
            </w:pPr>
          </w:p>
        </w:tc>
        <w:tc>
          <w:tcPr>
            <w:tcW w:w="600" w:type="dxa"/>
            <w:vMerge w:val="continue"/>
            <w:vAlign w:val="center"/>
          </w:tcPr>
          <w:p>
            <w:pPr>
              <w:pStyle w:val="9"/>
              <w:spacing w:line="300" w:lineRule="exact"/>
              <w:rPr>
                <w:color w:val="000000" w:themeColor="text1"/>
                <w14:textFill>
                  <w14:solidFill>
                    <w14:schemeClr w14:val="tx1"/>
                  </w14:solidFill>
                </w14:textFill>
              </w:rPr>
            </w:pPr>
          </w:p>
        </w:tc>
        <w:tc>
          <w:tcPr>
            <w:tcW w:w="678" w:type="dxa"/>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投标人信誉（信用等级）</w:t>
            </w:r>
          </w:p>
        </w:tc>
        <w:tc>
          <w:tcPr>
            <w:tcW w:w="991" w:type="dxa"/>
            <w:vAlign w:val="center"/>
          </w:tcPr>
          <w:p>
            <w:pPr>
              <w:pStyle w:val="9"/>
              <w:spacing w:line="300" w:lineRule="exact"/>
              <w:ind w:firstLine="0" w:firstLineChars="0"/>
              <w:rPr>
                <w:rFonts w:ascii="Times New Roman" w:hAnsi="Times New Roman"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3分</w:t>
            </w:r>
          </w:p>
        </w:tc>
        <w:tc>
          <w:tcPr>
            <w:tcW w:w="5986" w:type="dxa"/>
            <w:gridSpan w:val="3"/>
            <w:vAlign w:val="center"/>
          </w:tcPr>
          <w:p>
            <w:pPr>
              <w:numPr>
                <w:ilvl w:val="0"/>
                <w:numId w:val="3"/>
              </w:numPr>
              <w:spacing w:line="300" w:lineRule="exact"/>
              <w:ind w:firstLine="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对投标人的信用等级的认定条件为：按《贵州省交通运输厅关于印发〈贵州省高速公路设计施工企业信用评价实施细则（试行）〉的通知》（黔交建设〔</w:t>
            </w:r>
            <w:r>
              <w:rPr>
                <w:rFonts w:ascii="宋体" w:hAnsi="宋体"/>
                <w:color w:val="000000" w:themeColor="text1"/>
                <w:szCs w:val="21"/>
                <w:highlight w:val="none"/>
                <w14:textFill>
                  <w14:solidFill>
                    <w14:schemeClr w14:val="tx1"/>
                  </w14:solidFill>
                </w14:textFill>
              </w:rPr>
              <w:t>2016</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279</w:t>
            </w:r>
            <w:r>
              <w:rPr>
                <w:rFonts w:hint="eastAsia" w:ascii="宋体" w:hAnsi="宋体"/>
                <w:color w:val="000000" w:themeColor="text1"/>
                <w:szCs w:val="21"/>
                <w:highlight w:val="none"/>
                <w14:textFill>
                  <w14:solidFill>
                    <w14:schemeClr w14:val="tx1"/>
                  </w14:solidFill>
                </w14:textFill>
              </w:rPr>
              <w:t>号）及《贵州省交通运输厅关于高速公路设计施工企业信用评价结果引用的补充通知》（黔交建设〔</w:t>
            </w:r>
            <w:r>
              <w:rPr>
                <w:rFonts w:ascii="宋体" w:hAnsi="宋体"/>
                <w:color w:val="000000" w:themeColor="text1"/>
                <w:szCs w:val="21"/>
                <w:highlight w:val="none"/>
                <w14:textFill>
                  <w14:solidFill>
                    <w14:schemeClr w14:val="tx1"/>
                  </w14:solidFill>
                </w14:textFill>
              </w:rPr>
              <w:t>2016</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291</w:t>
            </w:r>
            <w:r>
              <w:rPr>
                <w:rFonts w:hint="eastAsia" w:ascii="宋体" w:hAnsi="宋体"/>
                <w:color w:val="000000" w:themeColor="text1"/>
                <w:szCs w:val="21"/>
                <w:highlight w:val="none"/>
                <w14:textFill>
                  <w14:solidFill>
                    <w14:schemeClr w14:val="tx1"/>
                  </w14:solidFill>
                </w14:textFill>
              </w:rPr>
              <w:t>号）文件</w:t>
            </w:r>
            <w:r>
              <w:rPr>
                <w:rFonts w:ascii="宋体" w:hAnsi="宋体"/>
                <w:color w:val="000000" w:themeColor="text1"/>
                <w:szCs w:val="21"/>
                <w:highlight w:val="none"/>
                <w14:textFill>
                  <w14:solidFill>
                    <w14:schemeClr w14:val="tx1"/>
                  </w14:solidFill>
                </w14:textFill>
              </w:rPr>
              <w:t>（可在贵州省交通运输厅网站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"http://jt.guizhou.gov.cn/" </w:instrText>
            </w:r>
            <w:r>
              <w:rPr>
                <w:color w:val="000000" w:themeColor="text1"/>
                <w:highlight w:val="none"/>
                <w14:textFill>
                  <w14:solidFill>
                    <w14:schemeClr w14:val="tx1"/>
                  </w14:solidFill>
                </w14:textFill>
              </w:rPr>
              <w:fldChar w:fldCharType="separate"/>
            </w:r>
            <w:r>
              <w:rPr>
                <w:rFonts w:hint="eastAsia" w:ascii="宋体" w:hAnsi="宋体"/>
                <w:color w:val="000000" w:themeColor="text1"/>
                <w:szCs w:val="21"/>
                <w:highlight w:val="none"/>
                <w14:textFill>
                  <w14:solidFill>
                    <w14:schemeClr w14:val="tx1"/>
                  </w14:solidFill>
                </w14:textFill>
              </w:rPr>
              <w:t>http://jt.guizhou.gov.cn/</w:t>
            </w:r>
            <w:r>
              <w:rPr>
                <w:rFonts w:hint="eastAsia" w:ascii="宋体" w:hAnsi="宋体"/>
                <w:color w:val="000000" w:themeColor="text1"/>
                <w:szCs w:val="21"/>
                <w:highlight w:val="none"/>
                <w14:textFill>
                  <w14:solidFill>
                    <w14:schemeClr w14:val="tx1"/>
                  </w14:solidFill>
                </w14:textFill>
              </w:rPr>
              <w:fldChar w:fldCharType="end"/>
            </w:r>
            <w:r>
              <w:rPr>
                <w:rFonts w:ascii="宋体" w:hAnsi="宋体"/>
                <w:color w:val="000000" w:themeColor="text1"/>
                <w:szCs w:val="21"/>
                <w:highlight w:val="none"/>
                <w14:textFill>
                  <w14:solidFill>
                    <w14:schemeClr w14:val="tx1"/>
                  </w14:solidFill>
                </w14:textFill>
              </w:rPr>
              <w:t>上查询）</w:t>
            </w:r>
            <w:r>
              <w:rPr>
                <w:rFonts w:hint="eastAsia" w:ascii="宋体" w:hAnsi="宋体"/>
                <w:color w:val="000000" w:themeColor="text1"/>
                <w:szCs w:val="21"/>
                <w:highlight w:val="none"/>
                <w14:textFill>
                  <w14:solidFill>
                    <w14:schemeClr w14:val="tx1"/>
                  </w14:solidFill>
                </w14:textFill>
              </w:rPr>
              <w:t>规定</w:t>
            </w:r>
            <w:r>
              <w:rPr>
                <w:rFonts w:ascii="宋体" w:hAnsi="宋体"/>
                <w:color w:val="000000" w:themeColor="text1"/>
                <w:szCs w:val="21"/>
                <w:highlight w:val="none"/>
                <w14:textFill>
                  <w14:solidFill>
                    <w14:schemeClr w14:val="tx1"/>
                  </w14:solidFill>
                </w14:textFill>
              </w:rPr>
              <w:t>确定的最新信用等级</w:t>
            </w:r>
            <w:r>
              <w:rPr>
                <w:rFonts w:hint="eastAsia" w:ascii="宋体" w:hAnsi="宋体"/>
                <w:color w:val="000000" w:themeColor="text1"/>
                <w:szCs w:val="21"/>
                <w:highlight w:val="none"/>
                <w14:textFill>
                  <w14:solidFill>
                    <w14:schemeClr w14:val="tx1"/>
                  </w14:solidFill>
                </w14:textFill>
              </w:rPr>
              <w:t xml:space="preserve">采用，其中： </w:t>
            </w:r>
          </w:p>
          <w:p>
            <w:pPr>
              <w:spacing w:line="300" w:lineRule="exact"/>
              <w:ind w:firstLine="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投标人最新信用等级</w:t>
            </w:r>
            <w:r>
              <w:rPr>
                <w:rFonts w:hint="eastAsia" w:ascii="宋体" w:hAnsi="宋体"/>
                <w:color w:val="000000" w:themeColor="text1"/>
                <w:szCs w:val="21"/>
                <w:highlight w:val="none"/>
                <w14:textFill>
                  <w14:solidFill>
                    <w14:schemeClr w14:val="tx1"/>
                  </w14:solidFill>
                </w14:textFill>
              </w:rPr>
              <w:t>按以下顺序引用（排序在前的优先）：</w:t>
            </w:r>
          </w:p>
          <w:p>
            <w:pPr>
              <w:spacing w:line="300" w:lineRule="exact"/>
              <w:ind w:firstLine="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①我省的信用评价等级；</w:t>
            </w:r>
          </w:p>
          <w:p>
            <w:pPr>
              <w:spacing w:line="300" w:lineRule="exact"/>
              <w:ind w:firstLine="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②交通运输部的信用评价等级；</w:t>
            </w:r>
          </w:p>
          <w:p>
            <w:pPr>
              <w:spacing w:line="300" w:lineRule="exact"/>
              <w:ind w:firstLine="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③投标单位注册地交通运输厅（局、委）的信用评价等级（其专业评价包含的实际范围与我省的评价专业范围完全一致的，按照专业评价引用，否则按综合评价引用）</w:t>
            </w:r>
            <w:r>
              <w:rPr>
                <w:rFonts w:ascii="宋体" w:hAnsi="宋体"/>
                <w:color w:val="000000" w:themeColor="text1"/>
                <w:szCs w:val="21"/>
                <w:highlight w:val="none"/>
                <w14:textFill>
                  <w14:solidFill>
                    <w14:schemeClr w14:val="tx1"/>
                  </w14:solidFill>
                </w14:textFill>
              </w:rPr>
              <w:t>。</w:t>
            </w:r>
          </w:p>
          <w:p>
            <w:pPr>
              <w:spacing w:line="300" w:lineRule="exact"/>
              <w:ind w:firstLine="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以上同一优先级中，投标专业对应的专业评价优先于不分专业的综合评价，综合评价优先于非投标专业对应的专业评价（若同一投标人出现多个“非投标专业对应的专业评价”时，按有利于投标人的原则引用，即引用其中等级较高的评价结果）。</w:t>
            </w:r>
          </w:p>
          <w:p>
            <w:pPr>
              <w:spacing w:line="300" w:lineRule="exact"/>
              <w:ind w:firstLine="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无上述3种信用评价等级时，其信用评价等级按以下原则确定（评价结果</w:t>
            </w:r>
            <w:r>
              <w:rPr>
                <w:rFonts w:ascii="宋体" w:hAnsi="宋体"/>
                <w:color w:val="000000" w:themeColor="text1"/>
                <w:szCs w:val="21"/>
                <w:highlight w:val="none"/>
                <w14:textFill>
                  <w14:solidFill>
                    <w14:schemeClr w14:val="tx1"/>
                  </w14:solidFill>
                </w14:textFill>
              </w:rPr>
              <w:t>视为综合评价结果</w:t>
            </w:r>
            <w:r>
              <w:rPr>
                <w:rFonts w:hint="eastAsia" w:ascii="宋体" w:hAnsi="宋体"/>
                <w:color w:val="000000" w:themeColor="text1"/>
                <w:szCs w:val="21"/>
                <w:highlight w:val="none"/>
                <w14:textFill>
                  <w14:solidFill>
                    <w14:schemeClr w14:val="tx1"/>
                  </w14:solidFill>
                </w14:textFill>
              </w:rPr>
              <w:t>）：</w:t>
            </w:r>
          </w:p>
          <w:p>
            <w:pPr>
              <w:spacing w:line="300" w:lineRule="exact"/>
              <w:ind w:firstLine="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——没有发现不良信用记录的，按A级对待；</w:t>
            </w:r>
          </w:p>
          <w:p>
            <w:pPr>
              <w:spacing w:line="300" w:lineRule="exact"/>
              <w:ind w:firstLine="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——有一般不良记录的，按B级对待；</w:t>
            </w:r>
          </w:p>
          <w:p>
            <w:pPr>
              <w:spacing w:line="300" w:lineRule="exact"/>
              <w:ind w:firstLine="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——仅有1次达到直接定为D级不良记录的，或仅有2次达到直接定为C级不良记录的，按C级对待；</w:t>
            </w:r>
          </w:p>
          <w:p>
            <w:pPr>
              <w:spacing w:line="300" w:lineRule="exact"/>
              <w:ind w:firstLine="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——发生直接定为D级不良记录超过1次的，或直接定为C级不良记录超过2次的，或直接定为D、C级不良记录合计2次的，按D级对待。</w:t>
            </w:r>
          </w:p>
          <w:p>
            <w:pPr>
              <w:spacing w:line="300" w:lineRule="exact"/>
              <w:ind w:firstLine="0"/>
              <w:jc w:val="left"/>
              <w:rPr>
                <w:rFonts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以上不良信用记录的认定，按交通运输部《公路施工企业信用评价规则》（交公路发〔2009〕733号）第十三条的规定执行。</w:t>
            </w:r>
          </w:p>
          <w:p>
            <w:pPr>
              <w:spacing w:line="300" w:lineRule="exact"/>
              <w:ind w:firstLine="0"/>
              <w:rPr>
                <w:rFonts w:ascii="宋体"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评标加分或减分标准：</w:t>
            </w:r>
          </w:p>
          <w:tbl>
            <w:tblPr>
              <w:tblStyle w:val="6"/>
              <w:tblpPr w:leftFromText="180" w:rightFromText="180" w:vertAnchor="text" w:tblpXSpec="center" w:tblpY="1"/>
              <w:tblOverlap w:val="never"/>
              <w:tblW w:w="5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690"/>
              <w:gridCol w:w="646"/>
              <w:gridCol w:w="725"/>
              <w:gridCol w:w="730"/>
              <w:gridCol w:w="731"/>
              <w:gridCol w:w="732"/>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blHeader/>
                <w:jc w:val="center"/>
              </w:trPr>
              <w:tc>
                <w:tcPr>
                  <w:tcW w:w="714" w:type="dxa"/>
                  <w:vMerge w:val="restart"/>
                  <w:vAlign w:val="center"/>
                </w:tcPr>
                <w:p>
                  <w:pPr>
                    <w:spacing w:line="300" w:lineRule="exact"/>
                    <w:ind w:firstLine="0"/>
                    <w:jc w:val="left"/>
                    <w:rPr>
                      <w:rFonts w:ascii="宋体" w:hAnsi="宋体" w:cs="Arial"/>
                      <w:color w:val="000000" w:themeColor="text1"/>
                      <w:sz w:val="20"/>
                      <w:szCs w:val="20"/>
                      <w:highlight w:val="none"/>
                      <w14:textFill>
                        <w14:solidFill>
                          <w14:schemeClr w14:val="tx1"/>
                        </w14:solidFill>
                      </w14:textFill>
                    </w:rPr>
                  </w:pPr>
                  <w:r>
                    <w:rPr>
                      <w:rFonts w:ascii="宋体" w:hAnsi="宋体" w:cs="Arial"/>
                      <w:color w:val="000000" w:themeColor="text1"/>
                      <w:sz w:val="20"/>
                      <w:szCs w:val="20"/>
                      <w:highlight w:val="none"/>
                      <w14:textFill>
                        <w14:solidFill>
                          <w14:schemeClr w14:val="tx1"/>
                        </w14:solidFill>
                      </w14:textFill>
                    </w:rPr>
                    <w:t>最新信用等级</w:t>
                  </w:r>
                </w:p>
              </w:tc>
              <w:tc>
                <w:tcPr>
                  <w:tcW w:w="1336" w:type="dxa"/>
                  <w:gridSpan w:val="2"/>
                  <w:vAlign w:val="center"/>
                </w:tcPr>
                <w:p>
                  <w:pPr>
                    <w:spacing w:line="300" w:lineRule="exact"/>
                    <w:ind w:firstLine="0"/>
                    <w:jc w:val="cente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AA</w:t>
                  </w:r>
                </w:p>
              </w:tc>
              <w:tc>
                <w:tcPr>
                  <w:tcW w:w="1455" w:type="dxa"/>
                  <w:gridSpan w:val="2"/>
                  <w:vAlign w:val="center"/>
                </w:tcPr>
                <w:p>
                  <w:pPr>
                    <w:spacing w:line="300" w:lineRule="exact"/>
                    <w:ind w:firstLine="0"/>
                    <w:jc w:val="cente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A</w:t>
                  </w:r>
                </w:p>
              </w:tc>
              <w:tc>
                <w:tcPr>
                  <w:tcW w:w="731" w:type="dxa"/>
                  <w:vAlign w:val="center"/>
                </w:tcPr>
                <w:p>
                  <w:pPr>
                    <w:spacing w:line="300" w:lineRule="exact"/>
                    <w:ind w:firstLine="0"/>
                    <w:jc w:val="cente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B</w:t>
                  </w:r>
                </w:p>
              </w:tc>
              <w:tc>
                <w:tcPr>
                  <w:tcW w:w="1464" w:type="dxa"/>
                  <w:gridSpan w:val="2"/>
                  <w:vAlign w:val="center"/>
                </w:tcPr>
                <w:p>
                  <w:pPr>
                    <w:spacing w:line="300" w:lineRule="exact"/>
                    <w:ind w:firstLine="0"/>
                    <w:jc w:val="cente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blHeader/>
                <w:jc w:val="center"/>
              </w:trPr>
              <w:tc>
                <w:tcPr>
                  <w:tcW w:w="714" w:type="dxa"/>
                  <w:vMerge w:val="continue"/>
                  <w:vAlign w:val="center"/>
                </w:tcPr>
                <w:p>
                  <w:pPr>
                    <w:spacing w:line="300" w:lineRule="exact"/>
                    <w:ind w:firstLine="0"/>
                    <w:jc w:val="left"/>
                    <w:rPr>
                      <w:rFonts w:ascii="宋体" w:hAnsi="宋体" w:cs="Arial"/>
                      <w:color w:val="000000" w:themeColor="text1"/>
                      <w:szCs w:val="21"/>
                      <w:highlight w:val="none"/>
                      <w14:textFill>
                        <w14:solidFill>
                          <w14:schemeClr w14:val="tx1"/>
                        </w14:solidFill>
                      </w14:textFill>
                    </w:rPr>
                  </w:pPr>
                </w:p>
              </w:tc>
              <w:tc>
                <w:tcPr>
                  <w:tcW w:w="690" w:type="dxa"/>
                  <w:vAlign w:val="center"/>
                </w:tcPr>
                <w:p>
                  <w:pPr>
                    <w:spacing w:line="300" w:lineRule="exact"/>
                    <w:ind w:firstLine="0"/>
                    <w:jc w:val="left"/>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专业评价</w:t>
                  </w:r>
                </w:p>
              </w:tc>
              <w:tc>
                <w:tcPr>
                  <w:tcW w:w="646" w:type="dxa"/>
                  <w:vAlign w:val="center"/>
                </w:tcPr>
                <w:p>
                  <w:pPr>
                    <w:spacing w:line="300" w:lineRule="exact"/>
                    <w:ind w:firstLine="0"/>
                    <w:jc w:val="left"/>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综合评价</w:t>
                  </w:r>
                </w:p>
              </w:tc>
              <w:tc>
                <w:tcPr>
                  <w:tcW w:w="725" w:type="dxa"/>
                  <w:vAlign w:val="center"/>
                </w:tcPr>
                <w:p>
                  <w:pPr>
                    <w:spacing w:line="300" w:lineRule="exact"/>
                    <w:ind w:firstLine="0"/>
                    <w:jc w:val="left"/>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专业评价</w:t>
                  </w:r>
                </w:p>
              </w:tc>
              <w:tc>
                <w:tcPr>
                  <w:tcW w:w="730" w:type="dxa"/>
                  <w:vAlign w:val="center"/>
                </w:tcPr>
                <w:p>
                  <w:pPr>
                    <w:spacing w:line="300" w:lineRule="exact"/>
                    <w:ind w:firstLine="0"/>
                    <w:jc w:val="left"/>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综合评价</w:t>
                  </w:r>
                </w:p>
              </w:tc>
              <w:tc>
                <w:tcPr>
                  <w:tcW w:w="731" w:type="dxa"/>
                  <w:vAlign w:val="center"/>
                </w:tcPr>
                <w:p>
                  <w:pPr>
                    <w:spacing w:line="300" w:lineRule="exact"/>
                    <w:ind w:firstLine="0"/>
                    <w:jc w:val="left"/>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w:t>
                  </w:r>
                </w:p>
              </w:tc>
              <w:tc>
                <w:tcPr>
                  <w:tcW w:w="732" w:type="dxa"/>
                  <w:vAlign w:val="center"/>
                </w:tcPr>
                <w:p>
                  <w:pPr>
                    <w:spacing w:line="300" w:lineRule="exact"/>
                    <w:ind w:firstLine="0"/>
                    <w:jc w:val="left"/>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专业评价</w:t>
                  </w:r>
                </w:p>
              </w:tc>
              <w:tc>
                <w:tcPr>
                  <w:tcW w:w="732" w:type="dxa"/>
                  <w:vAlign w:val="center"/>
                </w:tcPr>
                <w:p>
                  <w:pPr>
                    <w:spacing w:line="300" w:lineRule="exact"/>
                    <w:ind w:firstLine="0"/>
                    <w:jc w:val="left"/>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4" w:type="dxa"/>
                  <w:vAlign w:val="center"/>
                </w:tcPr>
                <w:p>
                  <w:pPr>
                    <w:spacing w:line="300" w:lineRule="exact"/>
                    <w:ind w:firstLine="0"/>
                    <w:jc w:val="left"/>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取值</w:t>
                  </w:r>
                </w:p>
              </w:tc>
              <w:tc>
                <w:tcPr>
                  <w:tcW w:w="690" w:type="dxa"/>
                  <w:vAlign w:val="center"/>
                </w:tcPr>
                <w:p>
                  <w:pPr>
                    <w:spacing w:line="300" w:lineRule="exact"/>
                    <w:ind w:firstLine="0"/>
                    <w:jc w:val="left"/>
                    <w:rPr>
                      <w:rFonts w:ascii="宋体" w:hAnsi="宋体" w:cs="Arial"/>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+3.0</w:t>
                  </w:r>
                </w:p>
              </w:tc>
              <w:tc>
                <w:tcPr>
                  <w:tcW w:w="646" w:type="dxa"/>
                  <w:vAlign w:val="center"/>
                </w:tcPr>
                <w:p>
                  <w:pPr>
                    <w:spacing w:line="300" w:lineRule="exact"/>
                    <w:ind w:firstLine="0"/>
                    <w:jc w:val="left"/>
                    <w:rPr>
                      <w:rFonts w:ascii="宋体" w:hAnsi="宋体" w:cs="Arial"/>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+1.5</w:t>
                  </w:r>
                </w:p>
              </w:tc>
              <w:tc>
                <w:tcPr>
                  <w:tcW w:w="725" w:type="dxa"/>
                  <w:vAlign w:val="center"/>
                </w:tcPr>
                <w:p>
                  <w:pPr>
                    <w:spacing w:line="300" w:lineRule="exact"/>
                    <w:ind w:firstLine="0"/>
                    <w:jc w:val="left"/>
                    <w:rPr>
                      <w:rFonts w:ascii="宋体" w:hAnsi="宋体" w:cs="Arial"/>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+1.5</w:t>
                  </w:r>
                </w:p>
              </w:tc>
              <w:tc>
                <w:tcPr>
                  <w:tcW w:w="730" w:type="dxa"/>
                  <w:vAlign w:val="center"/>
                </w:tcPr>
                <w:p>
                  <w:pPr>
                    <w:spacing w:line="300" w:lineRule="exact"/>
                    <w:ind w:firstLine="0"/>
                    <w:jc w:val="left"/>
                    <w:rPr>
                      <w:rFonts w:ascii="宋体" w:hAnsi="宋体" w:cs="Arial"/>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+0.8</w:t>
                  </w:r>
                </w:p>
              </w:tc>
              <w:tc>
                <w:tcPr>
                  <w:tcW w:w="731" w:type="dxa"/>
                  <w:vAlign w:val="center"/>
                </w:tcPr>
                <w:p>
                  <w:pPr>
                    <w:spacing w:line="300" w:lineRule="exact"/>
                    <w:ind w:firstLine="0"/>
                    <w:jc w:val="left"/>
                    <w:rPr>
                      <w:rFonts w:ascii="宋体" w:hAnsi="宋体" w:cs="Arial"/>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0.0</w:t>
                  </w:r>
                </w:p>
              </w:tc>
              <w:tc>
                <w:tcPr>
                  <w:tcW w:w="732" w:type="dxa"/>
                  <w:vAlign w:val="center"/>
                </w:tcPr>
                <w:p>
                  <w:pPr>
                    <w:spacing w:line="300" w:lineRule="exact"/>
                    <w:ind w:firstLine="0"/>
                    <w:jc w:val="left"/>
                    <w:rPr>
                      <w:rFonts w:ascii="宋体" w:hAnsi="宋体" w:cs="Arial"/>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0</w:t>
                  </w:r>
                </w:p>
              </w:tc>
              <w:tc>
                <w:tcPr>
                  <w:tcW w:w="732" w:type="dxa"/>
                  <w:vAlign w:val="center"/>
                </w:tcPr>
                <w:p>
                  <w:pPr>
                    <w:spacing w:line="300" w:lineRule="exact"/>
                    <w:ind w:firstLine="0"/>
                    <w:jc w:val="left"/>
                    <w:rPr>
                      <w:rFonts w:ascii="宋体" w:hAnsi="宋体" w:cs="Arial"/>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-1.5</w:t>
                  </w:r>
                </w:p>
              </w:tc>
            </w:tr>
          </w:tbl>
          <w:p>
            <w:pPr>
              <w:spacing w:line="300" w:lineRule="exact"/>
              <w:ind w:firstLine="723" w:firstLineChars="400"/>
              <w:rPr>
                <w:rFonts w:ascii="宋体" w:hAnsi="宋体"/>
                <w:b/>
                <w:bCs/>
                <w:color w:val="000000" w:themeColor="text1"/>
                <w:sz w:val="18"/>
                <w:szCs w:val="18"/>
                <w:highlight w:val="none"/>
                <w14:textFill>
                  <w14:solidFill>
                    <w14:schemeClr w14:val="tx1"/>
                  </w14:solidFill>
                </w14:textFill>
              </w:rPr>
            </w:pPr>
            <w:r>
              <w:rPr>
                <w:rFonts w:hint="eastAsia" w:ascii="宋体" w:hAnsi="宋体"/>
                <w:b/>
                <w:bCs/>
                <w:color w:val="000000" w:themeColor="text1"/>
                <w:sz w:val="18"/>
                <w:szCs w:val="18"/>
                <w:highlight w:val="none"/>
                <w14:textFill>
                  <w14:solidFill>
                    <w14:schemeClr w14:val="tx1"/>
                  </w14:solidFill>
                </w14:textFill>
              </w:rPr>
              <w:t>注：在引用上表时，非投标专业对应的专业评价视为综合评价。</w:t>
            </w:r>
          </w:p>
          <w:p>
            <w:pPr>
              <w:spacing w:line="300" w:lineRule="exact"/>
              <w:ind w:firstLin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投标人信用等级的引用原则：①优先引用贵州省交通运输厅的信用评价等级，如投标人在贵州省交通运输厅无信用评价等级，②则引用交通运输部评价等级。③如无交通运输部评价等级，则引用投标单位注册地交通运输厅（局、委）的信用评价等级。以上同一优先级中，投标专业对应的专业评价优先于不分专业的综合评价，综合评价优先于非投标专业对应的专业评价（若同一投标人出现多个“非投标专业对应的专业评价”时，按有利于投标人的原则引用，即引用其中等级较高的评价结果）。</w:t>
            </w:r>
          </w:p>
          <w:p>
            <w:pPr>
              <w:spacing w:line="300" w:lineRule="exact"/>
              <w:ind w:firstLine="0" w:firstLineChars="0"/>
              <w:jc w:val="left"/>
              <w:rPr>
                <w:rFonts w:hAnsi="宋体"/>
                <w:b/>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无上述①、②、③3种信用评价等级时，按贵州省交通运输厅关于印发《贵州省高速公路设计施工企业信用评价实施细则（试行）》的通知（黔交建设〔2016〕279号文件）和黔交建设〔2016〕291号文件中相关规定确定。</w:t>
            </w:r>
          </w:p>
        </w:tc>
      </w:tr>
    </w:tbl>
    <w:tbl>
      <w:tblPr>
        <w:tblStyle w:val="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180" w:type="dxa"/>
            <w:vAlign w:val="center"/>
          </w:tcPr>
          <w:p>
            <w:pPr>
              <w:spacing w:line="300" w:lineRule="exact"/>
              <w:ind w:left="0" w:leftChars="0" w:firstLine="0"/>
              <w:jc w:val="left"/>
              <w:rPr>
                <w:rFonts w:hAnsi="宋体" w:cs="宋体"/>
                <w:color w:val="000000" w:themeColor="text1"/>
                <w:szCs w:val="21"/>
                <w14:textFill>
                  <w14:solidFill>
                    <w14:schemeClr w14:val="tx1"/>
                  </w14:solidFill>
                </w14:textFill>
              </w:rPr>
            </w:pPr>
            <w:r>
              <w:rPr>
                <w:rFonts w:hint="eastAsia" w:hAnsi="宋体"/>
                <w:b/>
                <w:color w:val="000000" w:themeColor="text1"/>
                <w:sz w:val="22"/>
                <w14:textFill>
                  <w14:solidFill>
                    <w14:schemeClr w14:val="tx1"/>
                  </w14:solidFill>
                </w14:textFill>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9180" w:type="dxa"/>
          </w:tcPr>
          <w:p>
            <w:pPr>
              <w:snapToGrid w:val="0"/>
              <w:spacing w:line="360" w:lineRule="auto"/>
              <w:ind w:firstLine="0" w:firstLineChars="0"/>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1. 评标委员会对满足招标文件实质性要求的投标文件，按照本章第2.2款规定的评分标准进行打分，并按综合得分由高到低顺序推荐中标候选人（评标过程中，若在同一个标段中由于投标文件被否决，导致有效投标人只有1个的情形时，该标段不再推荐中标候选人;若有效投标人仅为2个时，评标委员会应当对有效投标是否仍具有竞争性进行评审，如评标委员会一致认为有效投标仍具有竞争性的，应当继续推荐中标候选人，并在评标报告中予以说明,如评标委员会对有效投标是否仍具有竞争性无法达成一致意见的，应当否决该标段投标）。</w:t>
            </w:r>
          </w:p>
          <w:p>
            <w:pPr>
              <w:spacing w:line="360" w:lineRule="auto"/>
              <w:ind w:left="0" w:leftChars="0" w:firstLine="0"/>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2.各评审因素得分（除2.2.4（2）、2.2.4（3）、2.2.4（4）三项除外，上述三项评标委员评分应保持一致）应以评标委员会各成员的打分平均值确定，该平均值当评标委员会成员为5人时以各成员打分的算术平均值确定；当评标委员会成员为7人及以上时需去掉一个最高分和一个最低分后计算。</w:t>
            </w:r>
          </w:p>
          <w:p>
            <w:pPr>
              <w:snapToGrid w:val="0"/>
              <w:spacing w:line="360" w:lineRule="auto"/>
              <w:ind w:firstLine="0" w:firstLineChars="0"/>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3. 若信用等级“AA”级的同一投标人在2个以上标段综合得分排名均为第一且拟委任总监理工程师均不重复，则按照标段编号顺序推荐为2个标段的第一中标候选人，其余标段将不再作为中标候选人推荐，由排名其后的投标人递补为第一中标候选人；如同一投标人在2个以上标段综合得分排名均为第一且拟委任总监理工程师重复，则按照标段编号顺序推荐为1个标段的第一中标候选人，其余标段将不再作为中标候选人推荐，由排名其后的投标人递补为第一中标候选人，依次类推。若递补为第一中标候选人的投标人在其他标段已被推荐为第一中标候选人且拟委任总监理工程师重复，则不再递补推荐其为第一中标候选人，依次类推。</w:t>
            </w:r>
          </w:p>
          <w:p>
            <w:pPr>
              <w:pStyle w:val="2"/>
              <w:spacing w:line="360" w:lineRule="auto"/>
              <w:ind w:firstLine="211" w:firstLineChars="100"/>
              <w:rPr>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4. 若信用等级“A”级的同一投标人在2个标段综合得分排名均为第一，则按照标段编号顺序推荐为1个标段的第一中标候选人；其余标段将不再作为中标候选人推荐，依次类推。</w:t>
            </w:r>
          </w:p>
        </w:tc>
      </w:tr>
    </w:tbl>
    <w:p>
      <w:pPr>
        <w:widowControl/>
        <w:adjustRightInd/>
        <w:spacing w:line="240" w:lineRule="auto"/>
        <w:ind w:firstLine="0"/>
        <w:jc w:val="left"/>
        <w:textAlignment w:val="auto"/>
        <w:rPr>
          <w:rFonts w:hAnsi="宋体"/>
          <w:b/>
          <w:color w:val="000000" w:themeColor="text1"/>
          <w:kern w:val="2"/>
          <w:sz w:val="28"/>
          <w:szCs w:val="28"/>
          <w14:textFill>
            <w14:solidFill>
              <w14:schemeClr w14:val="tx1"/>
            </w14:solidFill>
          </w14:textFill>
        </w:rPr>
      </w:pPr>
    </w:p>
    <w:p>
      <w:pPr>
        <w:pStyle w:val="2"/>
        <w:rPr>
          <w:color w:val="000000" w:themeColor="text1"/>
          <w14:textFill>
            <w14:solidFill>
              <w14:schemeClr w14:val="tx1"/>
            </w14:solidFill>
          </w14:textFill>
        </w:rPr>
      </w:pPr>
      <w:r>
        <w:rPr>
          <w:color w:val="000000" w:themeColor="text1"/>
          <w14:textFill>
            <w14:solidFill>
              <w14:schemeClr w14:val="tx1"/>
            </w14:solidFill>
          </w14:textFill>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kern w:val="2"/>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kern w:val="2"/>
        <w:sz w:val="18"/>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ACB2DE"/>
    <w:multiLevelType w:val="singleLevel"/>
    <w:tmpl w:val="E1ACB2DE"/>
    <w:lvl w:ilvl="0" w:tentative="0">
      <w:start w:val="1"/>
      <w:numFmt w:val="decimal"/>
      <w:suff w:val="space"/>
      <w:lvlText w:val="%1."/>
      <w:lvlJc w:val="left"/>
    </w:lvl>
  </w:abstractNum>
  <w:abstractNum w:abstractNumId="1">
    <w:nsid w:val="E70D1AB3"/>
    <w:multiLevelType w:val="multilevel"/>
    <w:tmpl w:val="E70D1AB3"/>
    <w:lvl w:ilvl="0" w:tentative="0">
      <w:start w:val="2"/>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2625E38E"/>
    <w:multiLevelType w:val="singleLevel"/>
    <w:tmpl w:val="2625E38E"/>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14C90"/>
    <w:rsid w:val="363A54F1"/>
    <w:rsid w:val="5BE3585F"/>
    <w:rsid w:val="67514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20" w:lineRule="atLeast"/>
      <w:ind w:firstLine="454"/>
      <w:jc w:val="both"/>
      <w:textAlignment w:val="baseline"/>
    </w:pPr>
    <w:rPr>
      <w:rFonts w:ascii="Times New Roman" w:hAnsi="Times New Roman" w:eastAsia="宋体" w:cs="Times New Roman"/>
      <w:sz w:val="21"/>
      <w:szCs w:val="22"/>
      <w:lang w:val="en-US" w:eastAsia="zh-CN" w:bidi="ar-SA"/>
    </w:rPr>
  </w:style>
  <w:style w:type="paragraph" w:styleId="3">
    <w:name w:val="heading 2"/>
    <w:basedOn w:val="1"/>
    <w:next w:val="1"/>
    <w:qFormat/>
    <w:uiPriority w:val="0"/>
    <w:pPr>
      <w:keepNext/>
      <w:keepLines/>
      <w:adjustRightInd/>
      <w:spacing w:before="260" w:after="260" w:line="415" w:lineRule="auto"/>
      <w:ind w:firstLine="0"/>
      <w:textAlignment w:val="auto"/>
      <w:outlineLvl w:val="1"/>
    </w:pPr>
    <w:rPr>
      <w:rFonts w:ascii="Arial" w:hAnsi="Arial" w:eastAsia="黑体"/>
      <w:b/>
      <w:kern w:val="2"/>
      <w:sz w:val="32"/>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adjustRightInd/>
      <w:snapToGrid w:val="0"/>
      <w:spacing w:line="240" w:lineRule="auto"/>
      <w:ind w:firstLine="0"/>
      <w:jc w:val="left"/>
      <w:textAlignment w:val="auto"/>
    </w:pPr>
    <w:rPr>
      <w:kern w:val="2"/>
      <w:sz w:val="18"/>
      <w:szCs w:val="18"/>
    </w:rPr>
  </w:style>
  <w:style w:type="paragraph" w:styleId="4">
    <w:name w:val="Body Text Indent"/>
    <w:basedOn w:val="1"/>
    <w:qFormat/>
    <w:uiPriority w:val="0"/>
    <w:pPr>
      <w:spacing w:after="120"/>
      <w:ind w:left="200" w:leftChars="200"/>
    </w:pPr>
  </w:style>
  <w:style w:type="paragraph" w:styleId="5">
    <w:name w:val="Body Text Indent 2"/>
    <w:basedOn w:val="1"/>
    <w:qFormat/>
    <w:uiPriority w:val="0"/>
    <w:pPr>
      <w:autoSpaceDE w:val="0"/>
      <w:autoSpaceDN w:val="0"/>
      <w:spacing w:line="240" w:lineRule="auto"/>
      <w:ind w:firstLine="480" w:firstLineChars="200"/>
    </w:pPr>
    <w:rPr>
      <w:rFonts w:ascii="仿宋_GB2312" w:eastAsia="仿宋_GB2312"/>
      <w:sz w:val="24"/>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6'"/>
    <w:basedOn w:val="1"/>
    <w:qFormat/>
    <w:uiPriority w:val="0"/>
    <w:pPr>
      <w:autoSpaceDE w:val="0"/>
      <w:autoSpaceDN w:val="0"/>
      <w:snapToGrid w:val="0"/>
      <w:spacing w:line="320" w:lineRule="exact"/>
      <w:ind w:firstLine="0"/>
      <w:jc w:val="center"/>
    </w:pPr>
    <w:rPr>
      <w:spacing w:val="20"/>
      <w:kern w:val="28"/>
      <w:szCs w:val="20"/>
    </w:rPr>
  </w:style>
  <w:style w:type="paragraph" w:styleId="10">
    <w:name w:val="List Paragraph"/>
    <w:basedOn w:val="1"/>
    <w:qFormat/>
    <w:uiPriority w:val="1"/>
    <w:pPr>
      <w:ind w:firstLine="420" w:firstLineChars="200"/>
    </w:pPr>
  </w:style>
  <w:style w:type="paragraph" w:customStyle="1" w:styleId="11">
    <w:name w:val="Table Paragraph"/>
    <w:basedOn w:val="1"/>
    <w:qFormat/>
    <w:uiPriority w:val="1"/>
    <w:pPr>
      <w:autoSpaceDE w:val="0"/>
      <w:autoSpaceDN w:val="0"/>
      <w:spacing w:line="240" w:lineRule="auto"/>
      <w:ind w:firstLine="0"/>
      <w:jc w:val="left"/>
      <w:textAlignment w:val="auto"/>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2021-07-13T03:05:00Z</dcterms:created>
  <dc:creator>WPS_1559546572</dc:creator>
  <cp:lastModifiedBy>ddd</cp:lastModifiedBy>
  <dcterms:modified xsi:type="dcterms:W3CDTF">2021-07-14T03:35:22Z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55B3EAD68C3B4A6BAACB2F740CD3FCA9</vt:lpwstr>
  </property>
</Properties>
</file>